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widowControl/>
        <w:suppressLineNumbers w:val="0"/>
        <w:jc w:val="center"/>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Y084 大褚路（大褚路）杜仲路延伸段升级改造工程监理</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024</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 xml:space="preserve"> 亳州交控产业发展有限公司 </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 xml:space="preserve"> 2023年 7 </w:t>
      </w:r>
      <w:r>
        <w:rPr>
          <w:rFonts w:hint="eastAsia" w:ascii="Times New Roman" w:hAnsi="Times New Roman" w:eastAsia="楷体" w:cs="Times New Roman"/>
          <w:kern w:val="0"/>
          <w:sz w:val="32"/>
          <w:szCs w:val="32"/>
          <w:highlight w:val="none"/>
          <w:u w:val="none"/>
          <w:shd w:val="clear" w:color="auto" w:fill="auto"/>
          <w:lang w:val="en-US" w:eastAsia="zh-CN"/>
        </w:rPr>
        <w:t>月 21 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6</w:t>
      </w: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Y084 大褚路（杜仲路）延伸段升级改造工程监理</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246996166"/>
      <w:bookmarkStart w:id="2" w:name="_Toc152042295"/>
      <w:bookmarkStart w:id="3" w:name="_Toc152045519"/>
      <w:bookmarkStart w:id="4" w:name="_Toc179632536"/>
      <w:bookmarkStart w:id="5" w:name="_Toc296602410"/>
      <w:bookmarkStart w:id="6" w:name="_Toc246996909"/>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5520"/>
      <w:bookmarkStart w:id="9" w:name="_Toc246996167"/>
      <w:bookmarkStart w:id="10" w:name="_Toc152042296"/>
      <w:bookmarkStart w:id="11" w:name="_Toc144974488"/>
      <w:bookmarkStart w:id="12" w:name="_Toc247085681"/>
      <w:bookmarkStart w:id="13" w:name="_Toc246996910"/>
      <w:bookmarkStart w:id="14" w:name="_Toc296602411"/>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 xml:space="preserve">项目名称：Y084 </w:t>
      </w:r>
      <w:r>
        <w:rPr>
          <w:rFonts w:hint="eastAsia" w:asciiTheme="minorEastAsia" w:hAnsiTheme="minorEastAsia" w:cstheme="minorEastAsia"/>
          <w:sz w:val="28"/>
          <w:szCs w:val="28"/>
          <w:highlight w:val="none"/>
          <w:lang w:val="en-US" w:eastAsia="zh-CN"/>
        </w:rPr>
        <w:t>大褚路（杜仲路）</w:t>
      </w:r>
      <w:r>
        <w:rPr>
          <w:rFonts w:hint="eastAsia" w:asciiTheme="minorEastAsia" w:hAnsiTheme="minorEastAsia" w:eastAsiaTheme="minorEastAsia" w:cstheme="minorEastAsia"/>
          <w:sz w:val="28"/>
          <w:szCs w:val="28"/>
          <w:highlight w:val="none"/>
          <w:lang w:val="en-US" w:eastAsia="zh-CN"/>
        </w:rPr>
        <w:t>延伸段升级改造工程</w:t>
      </w:r>
      <w:r>
        <w:rPr>
          <w:rFonts w:hint="eastAsia" w:asciiTheme="minorEastAsia" w:hAnsiTheme="minorEastAsia" w:cstheme="minorEastAsia"/>
          <w:sz w:val="28"/>
          <w:szCs w:val="28"/>
          <w:highlight w:val="none"/>
          <w:lang w:val="en-US" w:eastAsia="zh-CN"/>
        </w:rPr>
        <w:t>监理</w:t>
      </w:r>
      <w:r>
        <w:rPr>
          <w:rFonts w:hint="eastAsia" w:asciiTheme="minorEastAsia" w:hAnsiTheme="minorEastAsia" w:eastAsiaTheme="minorEastAsia" w:cstheme="minorEastAsia"/>
          <w:sz w:val="28"/>
          <w:szCs w:val="2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（二）资金来源：自筹</w:t>
      </w:r>
      <w:r>
        <w:rPr>
          <w:rFonts w:hint="eastAsia" w:asciiTheme="minorEastAsia" w:hAnsiTheme="minorEastAsia" w:cstheme="minorEastAsia"/>
          <w:sz w:val="28"/>
          <w:szCs w:val="28"/>
          <w:highlight w:val="none"/>
          <w:lang w:val="en-US" w:eastAsia="zh-CN"/>
        </w:rPr>
        <w:t>资金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（三）招标人：亳州交控产业发展有限公司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项目概况：</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大褚路（杜仲路）</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Y084</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为</w:t>
      </w:r>
      <w:r>
        <w:rPr>
          <w:rFonts w:hint="eastAsia" w:asciiTheme="minorEastAsia" w:hAnsiTheme="minorEastAsia" w:eastAsiaTheme="minorEastAsia" w:cstheme="minorEastAsia"/>
          <w:sz w:val="28"/>
          <w:szCs w:val="28"/>
          <w:highlight w:val="none"/>
          <w:lang w:val="en-US" w:eastAsia="zh-CN"/>
        </w:rPr>
        <w:t xml:space="preserve">升级改造路，路线起点与现状 </w:t>
      </w:r>
      <w:r>
        <w:rPr>
          <w:rFonts w:hint="default" w:asciiTheme="minorEastAsia" w:hAnsiTheme="minorEastAsia" w:eastAsiaTheme="minorEastAsia" w:cstheme="minorEastAsia"/>
          <w:sz w:val="28"/>
          <w:szCs w:val="28"/>
          <w:highlight w:val="none"/>
          <w:lang w:val="en-US" w:eastAsia="zh-CN"/>
        </w:rPr>
        <w:t xml:space="preserve">G105 </w:t>
      </w:r>
      <w:r>
        <w:rPr>
          <w:rFonts w:hint="eastAsia" w:asciiTheme="minorEastAsia" w:hAnsiTheme="minorEastAsia" w:eastAsiaTheme="minorEastAsia" w:cstheme="minorEastAsia"/>
          <w:sz w:val="28"/>
          <w:szCs w:val="28"/>
          <w:highlight w:val="none"/>
          <w:lang w:val="en-US" w:eastAsia="zh-CN"/>
        </w:rPr>
        <w:t>平面相交，沿现状老路自东向西经大王村、孟庄、小卢庄、卢张庄、小仵庄、褚楼，终点接现状沥青路（河南界），</w:t>
      </w:r>
      <w:r>
        <w:rPr>
          <w:rFonts w:hint="eastAsia" w:asciiTheme="minorEastAsia" w:hAnsiTheme="minorEastAsia" w:cstheme="minorEastAsia"/>
          <w:sz w:val="28"/>
          <w:szCs w:val="28"/>
          <w:highlight w:val="none"/>
          <w:lang w:val="en-US" w:eastAsia="zh-CN"/>
        </w:rPr>
        <w:t>起点</w:t>
      </w:r>
      <w:r>
        <w:rPr>
          <w:rFonts w:hint="default" w:asciiTheme="minorEastAsia" w:hAnsiTheme="minorEastAsia" w:eastAsiaTheme="minorEastAsia" w:cstheme="minorEastAsia"/>
          <w:sz w:val="28"/>
          <w:szCs w:val="28"/>
          <w:highlight w:val="none"/>
          <w:lang w:val="en-US" w:eastAsia="zh-CN"/>
        </w:rPr>
        <w:t xml:space="preserve">K3+300.0 </w:t>
      </w:r>
      <w:r>
        <w:rPr>
          <w:rFonts w:hint="eastAsia" w:asciiTheme="minorEastAsia" w:hAnsiTheme="minorEastAsia" w:eastAsiaTheme="minorEastAsia" w:cstheme="minorEastAsia"/>
          <w:sz w:val="28"/>
          <w:szCs w:val="28"/>
          <w:highlight w:val="none"/>
          <w:lang w:val="en-US" w:eastAsia="zh-CN"/>
        </w:rPr>
        <w:t>怀柴路</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rPr>
        <w:t xml:space="preserve">终点桩号为 K8+274.878，路线全长约 8.275km。工程项目总投资额约 2500 万元 </w:t>
      </w:r>
      <w:r>
        <w:rPr>
          <w:rFonts w:hint="eastAsia" w:asciiTheme="minorEastAsia" w:hAnsiTheme="minorEastAsia" w:cstheme="minorEastAsia"/>
          <w:sz w:val="28"/>
          <w:szCs w:val="28"/>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zh-CN"/>
        </w:rPr>
        <w:t xml:space="preserve">技术标准： </w:t>
      </w:r>
      <w:r>
        <w:rPr>
          <w:rFonts w:hint="default" w:asciiTheme="minorEastAsia" w:hAnsiTheme="minorEastAsia" w:eastAsia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公路等级：三级公路 ；</w:t>
      </w:r>
      <w:r>
        <w:rPr>
          <w:rFonts w:hint="default" w:asciiTheme="minorEastAsia" w:hAnsiTheme="minorEastAsia" w:eastAsia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zh-CN"/>
        </w:rPr>
        <w:t>设计速度：</w:t>
      </w:r>
      <w:r>
        <w:rPr>
          <w:rFonts w:hint="default" w:asciiTheme="minorEastAsia" w:hAnsiTheme="minorEastAsia" w:eastAsiaTheme="minorEastAsia" w:cstheme="minorEastAsia"/>
          <w:sz w:val="28"/>
          <w:szCs w:val="28"/>
          <w:highlight w:val="none"/>
          <w:lang w:val="en-US" w:eastAsia="zh-CN"/>
        </w:rPr>
        <w:t xml:space="preserve">40 </w:t>
      </w:r>
      <w:r>
        <w:rPr>
          <w:rFonts w:hint="eastAsia" w:asciiTheme="minorEastAsia" w:hAnsiTheme="minorEastAsia" w:eastAsiaTheme="minorEastAsia" w:cstheme="minorEastAsia"/>
          <w:sz w:val="28"/>
          <w:szCs w:val="28"/>
          <w:highlight w:val="none"/>
          <w:lang w:val="en-US" w:eastAsia="zh-CN"/>
        </w:rPr>
        <w:t>公里</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小时（限速段 </w:t>
      </w:r>
      <w:r>
        <w:rPr>
          <w:rFonts w:hint="default" w:asciiTheme="minorEastAsia" w:hAnsiTheme="minorEastAsia" w:eastAsiaTheme="minorEastAsia" w:cstheme="minorEastAsia"/>
          <w:sz w:val="28"/>
          <w:szCs w:val="28"/>
          <w:highlight w:val="none"/>
          <w:lang w:val="en-US" w:eastAsia="zh-CN"/>
        </w:rPr>
        <w:t>20km/h</w:t>
      </w:r>
      <w:r>
        <w:rPr>
          <w:rFonts w:hint="eastAsia" w:asciiTheme="minorEastAsia" w:hAnsiTheme="minorEastAsia" w:eastAsiaTheme="minorEastAsia" w:cstheme="minorEastAsia"/>
          <w:sz w:val="28"/>
          <w:szCs w:val="28"/>
          <w:highlight w:val="none"/>
          <w:lang w:val="en-US" w:eastAsia="zh-CN"/>
        </w:rPr>
        <w:t>） ；</w:t>
      </w:r>
      <w:r>
        <w:rPr>
          <w:rFonts w:hint="default" w:asciiTheme="minorEastAsia" w:hAnsiTheme="minorEastAsia" w:eastAsia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路基、路面：</w:t>
      </w:r>
      <w:r>
        <w:rPr>
          <w:rFonts w:hint="default" w:asciiTheme="minorEastAsia" w:hAnsiTheme="minorEastAsia" w:eastAsiaTheme="minorEastAsia" w:cstheme="minorEastAsia"/>
          <w:sz w:val="28"/>
          <w:szCs w:val="28"/>
          <w:highlight w:val="none"/>
          <w:lang w:val="en-US" w:eastAsia="zh-CN"/>
        </w:rPr>
        <w:t>K0+000.0</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 xml:space="preserve">K3+300.0 </w:t>
      </w:r>
      <w:r>
        <w:rPr>
          <w:rFonts w:hint="eastAsia" w:asciiTheme="minorEastAsia" w:hAnsiTheme="minorEastAsia" w:eastAsiaTheme="minorEastAsia" w:cstheme="minorEastAsia"/>
          <w:sz w:val="28"/>
          <w:szCs w:val="28"/>
          <w:highlight w:val="none"/>
          <w:lang w:val="en-US" w:eastAsia="zh-CN"/>
        </w:rPr>
        <w:t xml:space="preserve">段，路基宽 </w:t>
      </w:r>
      <w:r>
        <w:rPr>
          <w:rFonts w:hint="default" w:asciiTheme="minorEastAsia" w:hAnsiTheme="minorEastAsia" w:eastAsiaTheme="minorEastAsia" w:cstheme="minorEastAsia"/>
          <w:sz w:val="28"/>
          <w:szCs w:val="28"/>
          <w:highlight w:val="none"/>
          <w:lang w:val="en-US" w:eastAsia="zh-CN"/>
        </w:rPr>
        <w:t xml:space="preserve">9.0 </w:t>
      </w:r>
      <w:r>
        <w:rPr>
          <w:rFonts w:hint="eastAsia" w:asciiTheme="minorEastAsia" w:hAnsiTheme="minorEastAsia" w:eastAsiaTheme="minorEastAsia" w:cstheme="minorEastAsia"/>
          <w:sz w:val="28"/>
          <w:szCs w:val="28"/>
          <w:highlight w:val="none"/>
          <w:lang w:val="en-US" w:eastAsia="zh-CN"/>
        </w:rPr>
        <w:t xml:space="preserve">米，路面宽 </w:t>
      </w:r>
      <w:r>
        <w:rPr>
          <w:rFonts w:hint="default" w:asciiTheme="minorEastAsia" w:hAnsiTheme="minorEastAsia" w:eastAsiaTheme="minorEastAsia" w:cstheme="minorEastAsia"/>
          <w:sz w:val="28"/>
          <w:szCs w:val="28"/>
          <w:highlight w:val="none"/>
          <w:lang w:val="en-US" w:eastAsia="zh-CN"/>
        </w:rPr>
        <w:t xml:space="preserve">8.0 </w:t>
      </w:r>
      <w:r>
        <w:rPr>
          <w:rFonts w:hint="eastAsia" w:asciiTheme="minorEastAsia" w:hAnsiTheme="minorEastAsia" w:eastAsiaTheme="minorEastAsia" w:cstheme="minorEastAsia"/>
          <w:sz w:val="28"/>
          <w:szCs w:val="28"/>
          <w:highlight w:val="none"/>
          <w:lang w:val="en-US" w:eastAsia="zh-CN"/>
        </w:rPr>
        <w:t xml:space="preserve">米； </w:t>
      </w:r>
      <w:r>
        <w:rPr>
          <w:rFonts w:hint="default" w:asciiTheme="minorEastAsia" w:hAnsiTheme="minorEastAsia" w:eastAsiaTheme="minorEastAsia" w:cstheme="minorEastAsia"/>
          <w:sz w:val="28"/>
          <w:szCs w:val="28"/>
          <w:highlight w:val="none"/>
          <w:lang w:val="en-US" w:eastAsia="zh-CN"/>
        </w:rPr>
        <w:t>K3+300.0</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 xml:space="preserve">K5+755.241 </w:t>
      </w:r>
      <w:r>
        <w:rPr>
          <w:rFonts w:hint="eastAsia" w:asciiTheme="minorEastAsia" w:hAnsiTheme="minorEastAsia" w:eastAsiaTheme="minorEastAsia" w:cstheme="minorEastAsia"/>
          <w:sz w:val="28"/>
          <w:szCs w:val="28"/>
          <w:highlight w:val="none"/>
          <w:lang w:val="en-US" w:eastAsia="zh-CN"/>
        </w:rPr>
        <w:t xml:space="preserve">段，路基宽 </w:t>
      </w:r>
      <w:r>
        <w:rPr>
          <w:rFonts w:hint="default" w:asciiTheme="minorEastAsia" w:hAnsiTheme="minorEastAsia" w:eastAsiaTheme="minorEastAsia" w:cstheme="minorEastAsia"/>
          <w:sz w:val="28"/>
          <w:szCs w:val="28"/>
          <w:highlight w:val="none"/>
          <w:lang w:val="en-US" w:eastAsia="zh-CN"/>
        </w:rPr>
        <w:t xml:space="preserve">11.0 </w:t>
      </w:r>
      <w:r>
        <w:rPr>
          <w:rFonts w:hint="eastAsia" w:asciiTheme="minorEastAsia" w:hAnsiTheme="minorEastAsia" w:eastAsiaTheme="minorEastAsia" w:cstheme="minorEastAsia"/>
          <w:sz w:val="28"/>
          <w:szCs w:val="28"/>
          <w:highlight w:val="none"/>
          <w:lang w:val="en-US" w:eastAsia="zh-CN"/>
        </w:rPr>
        <w:t xml:space="preserve">米，路面宽 </w:t>
      </w:r>
      <w:r>
        <w:rPr>
          <w:rFonts w:hint="default" w:asciiTheme="minorEastAsia" w:hAnsiTheme="minorEastAsia" w:eastAsiaTheme="minorEastAsia" w:cstheme="minorEastAsia"/>
          <w:sz w:val="28"/>
          <w:szCs w:val="28"/>
          <w:highlight w:val="none"/>
          <w:lang w:val="en-US" w:eastAsia="zh-CN"/>
        </w:rPr>
        <w:t xml:space="preserve">8.0 </w:t>
      </w:r>
      <w:r>
        <w:rPr>
          <w:rFonts w:hint="eastAsia" w:asciiTheme="minorEastAsia" w:hAnsiTheme="minorEastAsia" w:eastAsiaTheme="minorEastAsia" w:cstheme="minorEastAsia"/>
          <w:sz w:val="28"/>
          <w:szCs w:val="28"/>
          <w:highlight w:val="none"/>
          <w:lang w:val="en-US" w:eastAsia="zh-CN"/>
        </w:rPr>
        <w:t>米；</w:t>
      </w:r>
      <w:r>
        <w:rPr>
          <w:rFonts w:hint="default" w:asciiTheme="minorEastAsia" w:hAnsiTheme="minorEastAsia" w:eastAsiaTheme="minorEastAsia" w:cstheme="minorEastAsia"/>
          <w:sz w:val="28"/>
          <w:szCs w:val="28"/>
          <w:highlight w:val="none"/>
          <w:lang w:val="en-US" w:eastAsia="zh-CN"/>
        </w:rPr>
        <w:t>K5+755.241</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 xml:space="preserve">K8+274.878 </w:t>
      </w:r>
      <w:r>
        <w:rPr>
          <w:rFonts w:hint="eastAsia" w:asciiTheme="minorEastAsia" w:hAnsiTheme="minorEastAsia" w:eastAsiaTheme="minorEastAsia" w:cstheme="minorEastAsia"/>
          <w:sz w:val="28"/>
          <w:szCs w:val="28"/>
          <w:highlight w:val="none"/>
          <w:lang w:val="en-US" w:eastAsia="zh-CN"/>
        </w:rPr>
        <w:t xml:space="preserve">段，路基宽 </w:t>
      </w:r>
      <w:r>
        <w:rPr>
          <w:rFonts w:hint="default" w:asciiTheme="minorEastAsia" w:hAnsiTheme="minorEastAsia" w:eastAsiaTheme="minorEastAsia" w:cstheme="minorEastAsia"/>
          <w:sz w:val="28"/>
          <w:szCs w:val="28"/>
          <w:highlight w:val="none"/>
          <w:lang w:val="en-US" w:eastAsia="zh-CN"/>
        </w:rPr>
        <w:t xml:space="preserve">9.0 </w:t>
      </w:r>
      <w:r>
        <w:rPr>
          <w:rFonts w:hint="eastAsia" w:asciiTheme="minorEastAsia" w:hAnsiTheme="minorEastAsia" w:eastAsiaTheme="minorEastAsia" w:cstheme="minorEastAsia"/>
          <w:sz w:val="28"/>
          <w:szCs w:val="28"/>
          <w:highlight w:val="none"/>
          <w:lang w:val="en-US" w:eastAsia="zh-CN"/>
        </w:rPr>
        <w:t xml:space="preserve">米，路面宽 </w:t>
      </w:r>
      <w:r>
        <w:rPr>
          <w:rFonts w:hint="default" w:asciiTheme="minorEastAsia" w:hAnsiTheme="minorEastAsia" w:eastAsiaTheme="minorEastAsia" w:cstheme="minorEastAsia"/>
          <w:sz w:val="28"/>
          <w:szCs w:val="28"/>
          <w:highlight w:val="none"/>
          <w:lang w:val="en-US" w:eastAsia="zh-CN"/>
        </w:rPr>
        <w:t xml:space="preserve">8.0 </w:t>
      </w:r>
      <w:r>
        <w:rPr>
          <w:rFonts w:hint="eastAsia" w:asciiTheme="minorEastAsia" w:hAnsiTheme="minorEastAsia" w:eastAsiaTheme="minorEastAsia" w:cstheme="minorEastAsia"/>
          <w:sz w:val="28"/>
          <w:szCs w:val="28"/>
          <w:highlight w:val="none"/>
          <w:lang w:val="en-US" w:eastAsia="zh-CN"/>
        </w:rPr>
        <w:t xml:space="preserve">米。 </w:t>
      </w:r>
      <w:r>
        <w:rPr>
          <w:rFonts w:hint="default" w:asciiTheme="minorEastAsia" w:hAnsiTheme="minorEastAsia" w:eastAsia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lang w:val="en-US" w:eastAsia="zh-CN"/>
        </w:rPr>
        <w:t xml:space="preserve">路面结构类型：沥青混凝土路面 </w:t>
      </w:r>
      <w:r>
        <w:rPr>
          <w:rFonts w:hint="default" w:asciiTheme="minorEastAsia" w:hAnsiTheme="minorEastAsia" w:eastAsiaTheme="minorEastAsia" w:cstheme="minorEastAsia"/>
          <w:sz w:val="28"/>
          <w:szCs w:val="28"/>
          <w:highlight w:val="none"/>
          <w:lang w:val="en-US" w:eastAsia="zh-CN"/>
        </w:rPr>
        <w:t>5.</w:t>
      </w:r>
      <w:r>
        <w:rPr>
          <w:rFonts w:hint="eastAsia" w:asciiTheme="minorEastAsia" w:hAnsiTheme="minorEastAsia" w:eastAsiaTheme="minorEastAsia" w:cstheme="minorEastAsia"/>
          <w:sz w:val="28"/>
          <w:szCs w:val="28"/>
          <w:highlight w:val="none"/>
          <w:lang w:val="en-US" w:eastAsia="zh-CN"/>
        </w:rPr>
        <w:t>桥涵设计荷载：公路</w:t>
      </w:r>
      <w:r>
        <w:rPr>
          <w:rFonts w:hint="default" w:asciiTheme="minorEastAsia" w:hAnsiTheme="minorEastAsia" w:eastAsiaTheme="minorEastAsia" w:cstheme="minorEastAsia"/>
          <w:sz w:val="28"/>
          <w:szCs w:val="28"/>
          <w:highlight w:val="none"/>
          <w:lang w:val="en-US" w:eastAsia="zh-CN"/>
        </w:rPr>
        <w:t>-Ⅱ</w:t>
      </w:r>
      <w:r>
        <w:rPr>
          <w:rFonts w:hint="eastAsia" w:asciiTheme="minorEastAsia" w:hAnsiTheme="minorEastAsia" w:eastAsiaTheme="minorEastAsia" w:cstheme="minorEastAsia"/>
          <w:sz w:val="28"/>
          <w:szCs w:val="28"/>
          <w:highlight w:val="none"/>
          <w:lang w:val="en-US" w:eastAsia="zh-CN"/>
        </w:rPr>
        <w:t xml:space="preserve">级 </w:t>
      </w:r>
      <w:r>
        <w:rPr>
          <w:rFonts w:hint="default" w:asciiTheme="minorEastAsia" w:hAnsiTheme="minorEastAsia" w:eastAsiaTheme="minorEastAsia" w:cstheme="minorEastAsia"/>
          <w:sz w:val="28"/>
          <w:szCs w:val="28"/>
          <w:highlight w:val="none"/>
          <w:lang w:val="en-US" w:eastAsia="zh-CN"/>
        </w:rPr>
        <w:t>6.</w:t>
      </w:r>
      <w:r>
        <w:rPr>
          <w:rFonts w:hint="eastAsia" w:asciiTheme="minorEastAsia" w:hAnsiTheme="minorEastAsia" w:eastAsiaTheme="minorEastAsia" w:cstheme="minorEastAsia"/>
          <w:sz w:val="28"/>
          <w:szCs w:val="28"/>
          <w:highlight w:val="none"/>
          <w:lang w:val="en-US" w:eastAsia="zh-CN"/>
        </w:rPr>
        <w:t xml:space="preserve">设计洪水频率：涵洞及路基为 </w:t>
      </w:r>
      <w:r>
        <w:rPr>
          <w:rFonts w:hint="default" w:asciiTheme="minorEastAsia" w:hAnsiTheme="minorEastAsia" w:eastAsiaTheme="minorEastAsia" w:cstheme="minorEastAsia"/>
          <w:sz w:val="28"/>
          <w:szCs w:val="28"/>
          <w:highlight w:val="none"/>
          <w:lang w:val="en-US" w:eastAsia="zh-CN"/>
        </w:rPr>
        <w:t xml:space="preserve">1/25 </w:t>
      </w:r>
      <w:r>
        <w:rPr>
          <w:rFonts w:hint="eastAsia" w:asciiTheme="minorEastAsia" w:hAnsiTheme="minorEastAsia" w:cstheme="minorEastAsia"/>
          <w:sz w:val="28"/>
          <w:szCs w:val="28"/>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3.监理机构：本工程设置 </w:t>
      </w:r>
      <w:r>
        <w:rPr>
          <w:rFonts w:hint="eastAsia" w:asciiTheme="minorEastAsia" w:hAnsi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级监理机构</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设置总监理工程师办公室 </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下设驻地监理工程师办公室 1 个</w:t>
      </w:r>
      <w:r>
        <w:rPr>
          <w:rFonts w:hint="eastAsia" w:asciiTheme="minorEastAsia" w:hAnsiTheme="minorEastAsia" w:cstheme="minorEastAsia"/>
          <w:sz w:val="28"/>
          <w:szCs w:val="28"/>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监理服务期限</w:t>
      </w:r>
      <w:r>
        <w:rPr>
          <w:rFonts w:hint="eastAsia" w:asciiTheme="minorEastAsia" w:hAnsiTheme="minorEastAsia" w:eastAsiaTheme="minorEastAsia" w:cstheme="minorEastAsia"/>
          <w:sz w:val="28"/>
          <w:szCs w:val="28"/>
          <w:highlight w:val="none"/>
          <w:lang w:val="en-US" w:eastAsia="zh-CN"/>
        </w:rPr>
        <w:t xml:space="preserve">：施工计划工期 </w:t>
      </w:r>
      <w:r>
        <w:rPr>
          <w:rFonts w:hint="eastAsia" w:asciiTheme="minorEastAsia" w:hAnsiTheme="minorEastAsia" w:cstheme="minorEastAsia"/>
          <w:sz w:val="28"/>
          <w:szCs w:val="28"/>
          <w:highlight w:val="none"/>
          <w:lang w:val="en-US" w:eastAsia="zh-CN"/>
        </w:rPr>
        <w:t>150</w:t>
      </w:r>
      <w:r>
        <w:rPr>
          <w:rFonts w:hint="eastAsia" w:asciiTheme="minorEastAsia" w:hAnsiTheme="minorEastAsia" w:eastAsiaTheme="minorEastAsia" w:cstheme="minorEastAsia"/>
          <w:sz w:val="28"/>
          <w:szCs w:val="28"/>
          <w:highlight w:val="none"/>
          <w:lang w:val="en-US" w:eastAsia="zh-CN"/>
        </w:rPr>
        <w:t xml:space="preserve"> 个日历天</w:t>
      </w:r>
      <w:r>
        <w:rPr>
          <w:rFonts w:hint="eastAsia" w:asciiTheme="minorEastAsia" w:hAnsiTheme="minorEastAsia" w:cstheme="minorEastAsia"/>
          <w:sz w:val="28"/>
          <w:szCs w:val="28"/>
          <w:highlight w:val="none"/>
          <w:lang w:val="en-US" w:eastAsia="zh-CN"/>
        </w:rPr>
        <w:t>（含施工准备期），</w:t>
      </w:r>
      <w:r>
        <w:rPr>
          <w:rFonts w:hint="eastAsia" w:asciiTheme="minorEastAsia" w:hAnsiTheme="minorEastAsia" w:eastAsiaTheme="minorEastAsia" w:cstheme="minorEastAsia"/>
          <w:sz w:val="28"/>
          <w:szCs w:val="28"/>
          <w:highlight w:val="none"/>
          <w:lang w:val="en-US" w:eastAsia="zh-CN"/>
        </w:rPr>
        <w:t xml:space="preserve">缺陷责任期 </w:t>
      </w:r>
      <w:r>
        <w:rPr>
          <w:rFonts w:hint="eastAsia" w:asciiTheme="minorEastAsia" w:hAnsiTheme="minorEastAsia" w:cstheme="minorEastAsia"/>
          <w:sz w:val="28"/>
          <w:szCs w:val="28"/>
          <w:highlight w:val="none"/>
          <w:lang w:val="en-US" w:eastAsia="zh-CN"/>
        </w:rPr>
        <w:t>730日历天</w:t>
      </w:r>
      <w:r>
        <w:rPr>
          <w:rFonts w:hint="eastAsia" w:asciiTheme="minorEastAsia" w:hAnsiTheme="minorEastAsia" w:cstheme="minorEastAsia"/>
          <w:sz w:val="28"/>
          <w:szCs w:val="28"/>
          <w:lang w:val="zh-CN" w:eastAsia="zh-CN"/>
        </w:rPr>
        <w:t>，监理服务期自签订工程建设监理合同之日起，至工程保修期满。</w:t>
      </w:r>
      <w:r>
        <w:rPr>
          <w:rFonts w:hint="eastAsia" w:asciiTheme="minorEastAsia" w:hAnsiTheme="minorEastAsia" w:eastAsiaTheme="minorEastAsia" w:cstheme="minorEastAsia"/>
          <w:sz w:val="28"/>
          <w:szCs w:val="28"/>
          <w:highlight w:val="none"/>
          <w:lang w:val="en-US" w:eastAsia="zh-CN"/>
        </w:rPr>
        <w:t xml:space="preserve"> </w:t>
      </w:r>
    </w:p>
    <w:p>
      <w:pPr>
        <w:pStyle w:val="9"/>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5.最高投标限价（含税）： </w:t>
      </w:r>
      <w:r>
        <w:rPr>
          <w:rFonts w:hint="eastAsia" w:asciiTheme="minorEastAsia" w:hAnsiTheme="minorEastAsia" w:cstheme="minorEastAsia"/>
          <w:sz w:val="28"/>
          <w:szCs w:val="28"/>
          <w:highlight w:val="none"/>
          <w:lang w:val="en-US" w:eastAsia="zh-CN"/>
        </w:rPr>
        <w:t>1.8</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color w:val="auto"/>
          <w:sz w:val="28"/>
          <w:szCs w:val="28"/>
          <w:highlight w:val="none"/>
          <w:u w:val="none"/>
          <w:lang w:val="en-US" w:eastAsia="zh-CN"/>
        </w:rPr>
        <w:t>按</w:t>
      </w:r>
      <w:r>
        <w:rPr>
          <w:rFonts w:hint="eastAsia" w:asciiTheme="minorEastAsia" w:hAnsiTheme="minorEastAsia" w:cstheme="minorEastAsia"/>
          <w:color w:val="auto"/>
          <w:sz w:val="28"/>
          <w:szCs w:val="28"/>
          <w:highlight w:val="none"/>
          <w:u w:val="none"/>
          <w:lang w:val="en-US" w:eastAsia="zh-CN"/>
        </w:rPr>
        <w:t>固定费率</w:t>
      </w:r>
      <w:r>
        <w:rPr>
          <w:rFonts w:hint="eastAsia" w:asciiTheme="minorEastAsia" w:hAnsiTheme="minorEastAsia" w:eastAsiaTheme="minorEastAsia" w:cstheme="minorEastAsia"/>
          <w:color w:val="auto"/>
          <w:sz w:val="28"/>
          <w:szCs w:val="28"/>
          <w:highlight w:val="none"/>
          <w:u w:val="none"/>
          <w:lang w:val="en-US" w:eastAsia="zh-CN"/>
        </w:rPr>
        <w:t>报</w:t>
      </w:r>
      <w:r>
        <w:rPr>
          <w:rFonts w:hint="eastAsia" w:asciiTheme="minorEastAsia" w:hAnsiTheme="minorEastAsia" w:eastAsiaTheme="minorEastAsia" w:cstheme="minorEastAsia"/>
          <w:sz w:val="28"/>
          <w:szCs w:val="28"/>
          <w:highlight w:val="none"/>
          <w:lang w:val="en-US" w:eastAsia="zh-CN"/>
        </w:rPr>
        <w:t>价。</w:t>
      </w:r>
      <w:r>
        <w:rPr>
          <w:rFonts w:hint="eastAsia" w:asciiTheme="minorEastAsia" w:hAnsiTheme="minorEastAsia" w:eastAsiaTheme="minorEastAsia" w:cstheme="minorEastAsia"/>
          <w:spacing w:val="0"/>
          <w:kern w:val="2"/>
          <w:sz w:val="28"/>
          <w:szCs w:val="28"/>
          <w:highlight w:val="none"/>
          <w:lang w:bidi="ar"/>
        </w:rPr>
        <w:t>监理费</w:t>
      </w:r>
      <w:r>
        <w:rPr>
          <w:rFonts w:hint="eastAsia" w:asciiTheme="minorEastAsia" w:hAnsiTheme="minorEastAsia" w:eastAsiaTheme="minorEastAsia" w:cstheme="minorEastAsia"/>
          <w:spacing w:val="0"/>
          <w:kern w:val="2"/>
          <w:sz w:val="28"/>
          <w:szCs w:val="28"/>
          <w:highlight w:val="none"/>
          <w:lang w:val="en-US" w:eastAsia="zh-CN" w:bidi="ar"/>
        </w:rPr>
        <w:t>用按照项目结算审定价款</w:t>
      </w:r>
      <w:r>
        <w:rPr>
          <w:rFonts w:hint="eastAsia" w:asciiTheme="minorEastAsia" w:hAnsiTheme="minorEastAsia" w:eastAsiaTheme="minorEastAsia" w:cstheme="minorEastAsia"/>
          <w:spacing w:val="0"/>
          <w:kern w:val="2"/>
          <w:sz w:val="28"/>
          <w:szCs w:val="28"/>
          <w:highlight w:val="none"/>
          <w:lang w:bidi="ar"/>
        </w:rPr>
        <w:t>乘以中标费率</w:t>
      </w:r>
      <w:r>
        <w:rPr>
          <w:rFonts w:hint="eastAsia" w:asciiTheme="minorEastAsia" w:hAnsiTheme="minorEastAsia" w:eastAsiaTheme="minorEastAsia" w:cstheme="minorEastAsia"/>
          <w:spacing w:val="0"/>
          <w:kern w:val="2"/>
          <w:sz w:val="28"/>
          <w:szCs w:val="28"/>
          <w:highlight w:val="none"/>
          <w:lang w:eastAsia="zh-CN" w:bidi="ar"/>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 xml:space="preserve">。不含税价格不因国家税率变化而改变，在合同履行期间，如遇国家税率调整，则价税合计的价格应相应调整，以开具发票的时间为准。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6</w:t>
      </w:r>
      <w:r>
        <w:rPr>
          <w:rFonts w:hint="eastAsia" w:asciiTheme="minorEastAsia" w:hAnsiTheme="minorEastAsia" w:eastAsiaTheme="minorEastAsia" w:cstheme="minorEastAsia"/>
          <w:sz w:val="28"/>
          <w:szCs w:val="28"/>
          <w:highlight w:val="none"/>
          <w:lang w:val="en-US" w:eastAsia="zh-CN"/>
        </w:rPr>
        <w:t>.招标范围：</w:t>
      </w:r>
      <w:r>
        <w:rPr>
          <w:rFonts w:hint="default" w:asciiTheme="minorEastAsia" w:hAnsiTheme="minorEastAsia" w:eastAsiaTheme="minorEastAsia" w:cstheme="minorEastAsia"/>
          <w:sz w:val="28"/>
          <w:szCs w:val="28"/>
          <w:highlight w:val="none"/>
          <w:lang w:val="en-US" w:eastAsia="zh-CN"/>
        </w:rPr>
        <w:t xml:space="preserve">亳州市谯城区 </w:t>
      </w:r>
      <w:r>
        <w:rPr>
          <w:rFonts w:hint="eastAsia" w:asciiTheme="minorEastAsia" w:hAnsiTheme="minorEastAsia" w:eastAsiaTheme="minorEastAsia" w:cstheme="minorEastAsia"/>
          <w:sz w:val="28"/>
          <w:szCs w:val="28"/>
          <w:highlight w:val="none"/>
          <w:lang w:val="en-US" w:eastAsia="zh-CN"/>
        </w:rPr>
        <w:t xml:space="preserve">Y084 </w:t>
      </w:r>
      <w:r>
        <w:rPr>
          <w:rFonts w:hint="eastAsia" w:asciiTheme="minorEastAsia" w:hAnsiTheme="minorEastAsia" w:cstheme="minorEastAsia"/>
          <w:sz w:val="28"/>
          <w:szCs w:val="28"/>
          <w:highlight w:val="none"/>
          <w:lang w:val="en-US" w:eastAsia="zh-CN"/>
        </w:rPr>
        <w:t>大褚路（杜仲路）</w:t>
      </w:r>
      <w:r>
        <w:rPr>
          <w:rFonts w:hint="eastAsia" w:asciiTheme="minorEastAsia" w:hAnsiTheme="minorEastAsia" w:eastAsiaTheme="minorEastAsia" w:cstheme="minorEastAsia"/>
          <w:sz w:val="28"/>
          <w:szCs w:val="28"/>
          <w:highlight w:val="none"/>
          <w:lang w:val="en-US" w:eastAsia="zh-CN"/>
        </w:rPr>
        <w:t>延伸段升级改造工程</w:t>
      </w:r>
      <w:r>
        <w:rPr>
          <w:rFonts w:hint="eastAsia" w:asciiTheme="minorEastAsia" w:hAnsiTheme="minorEastAsia" w:cstheme="minorEastAsia"/>
          <w:sz w:val="28"/>
          <w:szCs w:val="28"/>
          <w:highlight w:val="none"/>
          <w:lang w:val="en-US" w:eastAsia="zh-CN"/>
        </w:rPr>
        <w:t>项</w:t>
      </w:r>
      <w:r>
        <w:rPr>
          <w:rFonts w:hint="default" w:asciiTheme="minorEastAsia" w:hAnsiTheme="minorEastAsia" w:eastAsiaTheme="minorEastAsia" w:cstheme="minorEastAsia"/>
          <w:sz w:val="28"/>
          <w:szCs w:val="28"/>
          <w:highlight w:val="none"/>
          <w:lang w:val="en-US" w:eastAsia="zh-CN"/>
        </w:rPr>
        <w:t>目</w:t>
      </w:r>
      <w:r>
        <w:rPr>
          <w:rFonts w:hint="eastAsia" w:asciiTheme="minorEastAsia" w:hAnsiTheme="minorEastAsia" w:cstheme="minorEastAsia"/>
          <w:sz w:val="28"/>
          <w:szCs w:val="28"/>
          <w:highlight w:val="none"/>
          <w:lang w:val="en-US" w:eastAsia="zh-CN"/>
        </w:rPr>
        <w:t>监理，</w:t>
      </w:r>
      <w:r>
        <w:rPr>
          <w:rFonts w:hint="default" w:asciiTheme="minorEastAsia" w:hAnsiTheme="minorEastAsia" w:eastAsiaTheme="minorEastAsia" w:cstheme="minorEastAsia"/>
          <w:sz w:val="28"/>
          <w:szCs w:val="28"/>
          <w:highlight w:val="none"/>
          <w:lang w:val="en-US" w:eastAsia="zh-CN"/>
        </w:rPr>
        <w:t>包含工程的施</w:t>
      </w:r>
      <w:r>
        <w:rPr>
          <w:rFonts w:hint="eastAsia" w:asciiTheme="minorEastAsia" w:hAnsiTheme="minorEastAsia" w:eastAsiaTheme="minorEastAsia" w:cstheme="minorEastAsia"/>
          <w:sz w:val="28"/>
          <w:szCs w:val="28"/>
          <w:highlight w:val="none"/>
          <w:lang w:val="en-US" w:eastAsia="zh-CN"/>
        </w:rPr>
        <w:t>工准备阶段、施工阶段、验收与缺陷责任阶段的全过程监理</w:t>
      </w:r>
      <w:r>
        <w:rPr>
          <w:rFonts w:hint="eastAsia" w:asciiTheme="minorEastAsia" w:hAnsiTheme="minorEastAsia" w:eastAsiaTheme="minorEastAsia" w:cstheme="minorEastAsia"/>
          <w:color w:val="auto"/>
          <w:sz w:val="28"/>
          <w:szCs w:val="28"/>
          <w:highlight w:val="none"/>
          <w:lang w:val="en-US" w:eastAsia="zh-CN"/>
        </w:rPr>
        <w:t>服务（包含监理抽检实验报告并满足交竣工验收要求，如公司没有相应</w:t>
      </w:r>
      <w:r>
        <w:rPr>
          <w:rFonts w:hint="eastAsia" w:asciiTheme="minorEastAsia" w:hAnsiTheme="minorEastAsia" w:eastAsiaTheme="minorEastAsia" w:cstheme="minorEastAsia"/>
          <w:sz w:val="28"/>
          <w:szCs w:val="28"/>
          <w:highlight w:val="none"/>
          <w:lang w:val="en-US" w:eastAsia="zh-CN"/>
        </w:rPr>
        <w:t>的检测资质需委托满足本工程 要求的第三方检测机构）</w:t>
      </w:r>
      <w:r>
        <w:rPr>
          <w:rFonts w:hint="eastAsia" w:asciiTheme="minorEastAsia" w:hAnsiTheme="minorEastAsia" w:cstheme="minorEastAsia"/>
          <w:sz w:val="28"/>
          <w:szCs w:val="28"/>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7</w:t>
      </w:r>
      <w:r>
        <w:rPr>
          <w:rFonts w:hint="eastAsia" w:asciiTheme="minorEastAsia" w:hAnsiTheme="minorEastAsia" w:eastAsiaTheme="minorEastAsia" w:cstheme="minorEastAsia"/>
          <w:sz w:val="28"/>
          <w:szCs w:val="28"/>
          <w:highlight w:val="none"/>
          <w:lang w:val="en-US" w:eastAsia="zh-CN"/>
        </w:rPr>
        <w:t>.标段划分：本项目共分 1 个标段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1.1 具有独立法人资格，并在人员、设备、资金等方面具有承担本工程施工监理的能力；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1.2 具有交通行政主管部门核发公路工程专业乙级及以上监理资质或工程监理综合资质；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1.3 提供 2018 年至今企业类似项目业绩 1 个，以交工验收时间为准。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类似项目业绩指：承担过合同金额不低于 50 万元的公路新建或改扩建项目施工监理，（须提供中标通知书、监理合同协议书、交工验收证书。时间以交工验收证书上载明的时间为准）</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r>
        <w:rPr>
          <w:rFonts w:hint="eastAsia" w:asciiTheme="minorEastAsia" w:hAnsiTheme="minorEastAsia" w:eastAsiaTheme="minorEastAsia" w:cstheme="minorEastAsia"/>
          <w:sz w:val="28"/>
          <w:szCs w:val="28"/>
          <w:highlight w:val="none"/>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1.4 投标时（以投标截止时间为准），无被亳州市市本级及县区各行业主管部门或公共资源交易监管部门限制投标的不良行为记录（有效期内）；无因扬尘治理措施不到位，被亳州市市本级及县区行业主管部门记不良行为记录（有效期内）；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1.5 企业信用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1.5.1 投标人（不含分公司，不含子公司）存在以下不良信用记录情形之一的，不得推荐为中标候选人，不得确定为中标人。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（1）投标人被人民法院列入失信被执行人的；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（2）投标人被市场监督管理部门列入企业经营异常名录的；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（3）投标人被税务部门列入重大税收违法案件当事人名单的；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评标委员会仅对进入技术标评审的投标人进行查询，以评标委员会在评标时通过“信用中国（www.creditchina.gov.cn）”查询为准，对信用信息查询记录和证据截图存档（仅对经查询存在不良信用情形的投标人）。以联合体方式参与投标的，应当对所有联合体成员进行信用记录查询，联合体成员之一存在不良信用记录的，视同联合体存在不良信用记录。遇系统故障则此项不作要求。</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1.5.2 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2.项目总监理工程师资格要求：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yellow"/>
          <w:u w:val="none"/>
          <w:lang w:val="en-US" w:eastAsia="zh-CN"/>
        </w:rPr>
      </w:pPr>
      <w:r>
        <w:rPr>
          <w:rFonts w:hint="eastAsia" w:asciiTheme="minorEastAsia" w:hAnsiTheme="minorEastAsia" w:eastAsiaTheme="minorEastAsia" w:cstheme="minorEastAsia"/>
          <w:sz w:val="28"/>
          <w:szCs w:val="28"/>
          <w:highlight w:val="none"/>
          <w:u w:val="none"/>
          <w:lang w:val="en-US" w:eastAsia="zh-CN"/>
        </w:rPr>
        <w:t xml:space="preserve">2.1 具备交通运输工程监理工程师资格证书或交通运输部公路工程监理工程师资格证书 ；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2.2 提供 2018 年至今，类似项目业绩 1 个，以交工验收时间为准。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类似项目业绩指：以总监理工程师身份完成过合同金额不低于 50 万元的公路新建或改扩建项目施工监理，（须提供中标通知书、监理合同协议书、交工验收证书。时间以交工验收证书上载明的时间为准） ；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2.3 其他：投标时（以投标截止时间为准），无被亳州市市本级（县区）各行业主管部门及公共资源交易监管部门限制投标的不良行为记录（有效期内）。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3.本次招标 不接受联合体投标。联合体投标的，应满足下列要求： / 。 </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5.本项目委托代理人必须是投标单位正式人员，提供在投标单位 </w:t>
      </w:r>
    </w:p>
    <w:p>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已缴纳的 202</w:t>
      </w: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 xml:space="preserve"> 年 1 月以来连续 </w:t>
      </w: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 xml:space="preserve"> 个月的养老保险证明（指养老保险管理单位出具的养老保险证明，加盖养老保险管理单位的公章或电子章，投标时将复印件或扫描件制作在投标文件中），否则按无效投标处理</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eastAsiaTheme="minorEastAsia" w:cstheme="minorEastAsia"/>
          <w:i w:val="0"/>
          <w:iCs w:val="0"/>
          <w:sz w:val="28"/>
          <w:szCs w:val="28"/>
          <w:highlight w:val="none"/>
          <w:lang w:val="en-US" w:eastAsia="zh-CN"/>
        </w:rPr>
        <w:t>）</w:t>
      </w:r>
      <w:r>
        <w:rPr>
          <w:rFonts w:hint="eastAsia" w:asciiTheme="minorEastAsia" w:hAnsiTheme="minorEastAsia" w:cstheme="minorEastAsia"/>
          <w:i w:val="0"/>
          <w:iCs w:val="0"/>
          <w:sz w:val="28"/>
          <w:szCs w:val="28"/>
          <w:highlight w:val="none"/>
          <w:lang w:val="en-US" w:eastAsia="zh-CN"/>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7</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31</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color w:val="auto"/>
          <w:sz w:val="28"/>
          <w:szCs w:val="28"/>
          <w:highlight w:val="none"/>
          <w:lang w:val="en-US" w:eastAsia="zh-CN"/>
        </w:rPr>
        <w:t>不允许</w:t>
      </w:r>
      <w:r>
        <w:rPr>
          <w:rFonts w:hint="default" w:asciiTheme="minorEastAsia" w:hAnsiTheme="minorEastAsia" w:eastAsiaTheme="minorEastAsia" w:cstheme="minorEastAsia"/>
          <w:color w:val="auto"/>
          <w:sz w:val="28"/>
          <w:szCs w:val="28"/>
          <w:highlight w:val="none"/>
          <w:lang w:val="en-US" w:eastAsia="zh-CN"/>
        </w:rPr>
        <w:t>投标人以</w:t>
      </w:r>
      <w:r>
        <w:rPr>
          <w:rFonts w:hint="default" w:asciiTheme="minorEastAsia" w:hAnsiTheme="minorEastAsia" w:eastAsiaTheme="minorEastAsia" w:cstheme="minorEastAsia"/>
          <w:sz w:val="28"/>
          <w:szCs w:val="28"/>
          <w:highlight w:val="none"/>
          <w:lang w:val="en-US" w:eastAsia="zh-CN"/>
        </w:rPr>
        <w:t>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10000 </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亳州交控产业发展有限公司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 xml:space="preserve">    亳州市汽车南站西侧3楼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    翟中祥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17705675833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亳州交控产业发展有限公司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7</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21</w:t>
      </w:r>
      <w:r>
        <w:rPr>
          <w:rFonts w:hint="eastAsia" w:asciiTheme="minorEastAsia" w:hAnsiTheme="minorEastAsia" w:eastAsiaTheme="minorEastAsia" w:cstheme="minorEastAsia"/>
          <w:color w:val="auto"/>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招标</w:t>
            </w:r>
            <w:r>
              <w:rPr>
                <w:rFonts w:hint="eastAsia" w:ascii="Times New Roman" w:hAnsi="Times New Roman" w:cs="Times New Roman"/>
                <w:color w:val="auto"/>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建设</w:t>
            </w:r>
            <w:r>
              <w:rPr>
                <w:rFonts w:hint="default" w:ascii="Times New Roman" w:hAnsi="Times New Roman" w:cs="Times New Roman"/>
                <w:color w:val="auto"/>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资金来源</w:t>
            </w:r>
            <w:r>
              <w:rPr>
                <w:rFonts w:hint="eastAsia" w:ascii="Times New Roman" w:hAnsi="Times New Roman" w:cs="Times New Roman"/>
                <w:color w:val="auto"/>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1.2.</w:t>
            </w: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计划工期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质量</w:t>
            </w:r>
            <w:r>
              <w:rPr>
                <w:rFonts w:hint="eastAsia" w:ascii="Times New Roman" w:hAnsi="Times New Roman" w:cs="Times New Roman"/>
                <w:color w:val="auto"/>
                <w:szCs w:val="21"/>
                <w:highlight w:val="none"/>
                <w:lang w:val="en-US" w:eastAsia="zh-CN"/>
              </w:rPr>
              <w:t>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pPr>
              <w:autoSpaceDE w:val="0"/>
              <w:autoSpaceDN w:val="0"/>
              <w:adjustRightInd w:val="0"/>
              <w:snapToGrid w:val="0"/>
              <w:spacing w:line="440" w:lineRule="exact"/>
              <w:jc w:val="left"/>
              <w:rPr>
                <w:rFonts w:hint="eastAsia" w:hAnsi="宋体"/>
                <w:color w:val="auto"/>
                <w:szCs w:val="21"/>
              </w:rPr>
            </w:pPr>
            <w:r>
              <w:rPr>
                <w:rFonts w:hint="eastAsia" w:hAnsi="宋体"/>
                <w:color w:val="auto"/>
                <w:szCs w:val="21"/>
                <w:lang w:val="en-US" w:eastAsia="zh-CN"/>
              </w:rPr>
              <w:t>2</w:t>
            </w:r>
            <w:r>
              <w:rPr>
                <w:rFonts w:hint="eastAsia" w:hAnsi="宋体"/>
                <w:color w:val="auto"/>
                <w:szCs w:val="21"/>
              </w:rPr>
              <w:t>、财务要求：</w:t>
            </w:r>
          </w:p>
          <w:p>
            <w:pPr>
              <w:autoSpaceDE w:val="0"/>
              <w:autoSpaceDN w:val="0"/>
              <w:adjustRightInd w:val="0"/>
              <w:snapToGrid w:val="0"/>
              <w:spacing w:line="440" w:lineRule="exact"/>
              <w:ind w:firstLine="308" w:firstLineChars="147"/>
              <w:jc w:val="left"/>
              <w:rPr>
                <w:rFonts w:hint="eastAsia" w:hAnsi="宋体"/>
                <w:color w:val="auto"/>
                <w:szCs w:val="21"/>
              </w:rPr>
            </w:pPr>
            <w:r>
              <w:rPr>
                <w:rFonts w:hint="eastAsia" w:hAnsi="宋体"/>
                <w:color w:val="auto"/>
                <w:szCs w:val="21"/>
              </w:rPr>
              <w:t>不需要</w:t>
            </w:r>
            <w:r>
              <w:rPr>
                <w:rFonts w:hint="eastAsia" w:hAnsi="宋体"/>
                <w:color w:val="auto"/>
                <w:szCs w:val="21"/>
              </w:rPr>
              <w:sym w:font="Wingdings" w:char="00FE"/>
            </w:r>
          </w:p>
          <w:p>
            <w:pPr>
              <w:autoSpaceDE w:val="0"/>
              <w:autoSpaceDN w:val="0"/>
              <w:adjustRightInd w:val="0"/>
              <w:snapToGrid w:val="0"/>
              <w:spacing w:line="440" w:lineRule="exac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 xml:space="preserve">3、业绩要求：详见招标公告。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 xml:space="preserve">4、信誉要求：详见招标公告。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default"/>
                <w:color w:val="auto"/>
                <w:szCs w:val="21"/>
                <w:lang w:val="en-US" w:eastAsia="zh-CN"/>
              </w:rPr>
              <w:t>5</w:t>
            </w:r>
            <w:r>
              <w:rPr>
                <w:rFonts w:hint="eastAsia"/>
                <w:color w:val="auto"/>
                <w:szCs w:val="21"/>
                <w:lang w:val="en-US" w:eastAsia="zh-CN"/>
              </w:rPr>
              <w:t xml:space="preserve">、项目总监理工程师资格要求：详见招标公告。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default"/>
                <w:color w:val="auto"/>
                <w:szCs w:val="21"/>
                <w:lang w:val="en-US" w:eastAsia="zh-CN"/>
              </w:rPr>
              <w:t>6</w:t>
            </w:r>
            <w:r>
              <w:rPr>
                <w:rFonts w:hint="eastAsia"/>
                <w:color w:val="auto"/>
                <w:szCs w:val="21"/>
                <w:lang w:val="en-US" w:eastAsia="zh-CN"/>
              </w:rPr>
              <w:t xml:space="preserve">、其他要求：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eastAsia"/>
                <w:color w:val="auto"/>
                <w:szCs w:val="21"/>
                <w:lang w:val="en-US" w:eastAsia="zh-CN"/>
              </w:rPr>
            </w:pPr>
            <w:r>
              <w:rPr>
                <w:rFonts w:hint="eastAsia"/>
                <w:color w:val="auto"/>
                <w:szCs w:val="21"/>
                <w:lang w:val="en-US" w:eastAsia="zh-CN"/>
              </w:rPr>
              <w:t>（</w:t>
            </w:r>
            <w:r>
              <w:rPr>
                <w:rFonts w:hint="default"/>
                <w:color w:val="auto"/>
                <w:szCs w:val="21"/>
                <w:lang w:val="en-US" w:eastAsia="zh-CN"/>
              </w:rPr>
              <w:t>1</w:t>
            </w:r>
            <w:r>
              <w:rPr>
                <w:rFonts w:hint="eastAsia"/>
                <w:color w:val="auto"/>
                <w:szCs w:val="21"/>
                <w:lang w:val="en-US" w:eastAsia="zh-CN"/>
              </w:rPr>
              <w:t xml:space="preserve">）本工程拟派专职人员的具体资格和数量要求：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驻地监理机构的主要监理人员不低于：</w:t>
            </w:r>
            <w:r>
              <w:rPr>
                <w:rFonts w:hint="default"/>
                <w:color w:val="auto"/>
                <w:szCs w:val="21"/>
                <w:lang w:val="en-US" w:eastAsia="zh-CN"/>
              </w:rPr>
              <w:t xml:space="preserve"> 5 </w:t>
            </w:r>
            <w:r>
              <w:rPr>
                <w:rFonts w:hint="eastAsia"/>
                <w:color w:val="auto"/>
                <w:szCs w:val="21"/>
                <w:lang w:val="en-US" w:eastAsia="zh-CN"/>
              </w:rPr>
              <w:t xml:space="preserve">人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总监：</w:t>
            </w:r>
            <w:r>
              <w:rPr>
                <w:rFonts w:hint="default"/>
                <w:color w:val="auto"/>
                <w:szCs w:val="21"/>
                <w:lang w:val="en-US" w:eastAsia="zh-CN"/>
              </w:rPr>
              <w:t xml:space="preserve"> 1 </w:t>
            </w:r>
            <w:r>
              <w:rPr>
                <w:rFonts w:hint="eastAsia"/>
                <w:color w:val="auto"/>
                <w:szCs w:val="21"/>
                <w:lang w:val="en-US" w:eastAsia="zh-CN"/>
              </w:rPr>
              <w:t xml:space="preserve">人， 详见招标公告；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总监代表：</w:t>
            </w:r>
            <w:r>
              <w:rPr>
                <w:rFonts w:hint="default"/>
                <w:color w:val="auto"/>
                <w:szCs w:val="21"/>
                <w:lang w:val="en-US" w:eastAsia="zh-CN"/>
              </w:rPr>
              <w:t xml:space="preserve"> / </w:t>
            </w:r>
            <w:r>
              <w:rPr>
                <w:rFonts w:hint="eastAsia"/>
                <w:color w:val="auto"/>
                <w:szCs w:val="21"/>
                <w:lang w:val="en-US" w:eastAsia="zh-CN"/>
              </w:rPr>
              <w:t xml:space="preserve">人， ；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 xml:space="preserve">其他监理人员配备：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eastAsia"/>
                <w:color w:val="auto"/>
                <w:szCs w:val="21"/>
                <w:lang w:val="en-US" w:eastAsia="zh-CN"/>
              </w:rPr>
            </w:pPr>
            <w:r>
              <w:rPr>
                <w:rFonts w:hint="eastAsia"/>
                <w:color w:val="auto"/>
                <w:szCs w:val="21"/>
                <w:lang w:val="en-US" w:eastAsia="zh-CN"/>
              </w:rPr>
              <w:t>专业监理工程师：</w:t>
            </w:r>
            <w:r>
              <w:rPr>
                <w:rFonts w:hint="default"/>
                <w:color w:val="auto"/>
                <w:szCs w:val="21"/>
                <w:lang w:val="en-US" w:eastAsia="zh-CN"/>
              </w:rPr>
              <w:t xml:space="preserve"> </w:t>
            </w:r>
            <w:r>
              <w:rPr>
                <w:rFonts w:hint="eastAsia"/>
                <w:color w:val="auto"/>
                <w:szCs w:val="21"/>
                <w:lang w:val="en-US" w:eastAsia="zh-CN"/>
              </w:rPr>
              <w:t>2</w:t>
            </w:r>
            <w:r>
              <w:rPr>
                <w:rFonts w:hint="default"/>
                <w:color w:val="auto"/>
                <w:szCs w:val="21"/>
                <w:lang w:val="en-US" w:eastAsia="zh-CN"/>
              </w:rPr>
              <w:t xml:space="preserve"> </w:t>
            </w:r>
            <w:r>
              <w:rPr>
                <w:rFonts w:hint="eastAsia"/>
                <w:color w:val="auto"/>
                <w:szCs w:val="21"/>
                <w:lang w:val="en-US" w:eastAsia="zh-CN"/>
              </w:rPr>
              <w:t>人， 具有交通运输工程监理工程师资格证书或交通运输部公路工程监理工程师资格证书或公路工程专业监理工程师资格证书；监理员：</w:t>
            </w:r>
            <w:r>
              <w:rPr>
                <w:rFonts w:hint="default"/>
                <w:color w:val="auto"/>
                <w:szCs w:val="21"/>
                <w:lang w:val="en-US" w:eastAsia="zh-CN"/>
              </w:rPr>
              <w:t xml:space="preserve"> </w:t>
            </w:r>
            <w:r>
              <w:rPr>
                <w:rFonts w:hint="eastAsia"/>
                <w:color w:val="auto"/>
                <w:szCs w:val="21"/>
                <w:lang w:val="en-US" w:eastAsia="zh-CN"/>
              </w:rPr>
              <w:t>2</w:t>
            </w:r>
            <w:r>
              <w:rPr>
                <w:rFonts w:hint="default"/>
                <w:color w:val="auto"/>
                <w:szCs w:val="21"/>
                <w:lang w:val="en-US" w:eastAsia="zh-CN"/>
              </w:rPr>
              <w:t xml:space="preserve"> </w:t>
            </w:r>
            <w:r>
              <w:rPr>
                <w:rFonts w:hint="eastAsia"/>
                <w:color w:val="auto"/>
                <w:szCs w:val="21"/>
                <w:lang w:val="en-US" w:eastAsia="zh-CN"/>
              </w:rPr>
              <w:t>人，省级（直辖市）交通主管部门或省级（直辖市）质量监督局（质量监督站）或中国交通建设监理协会颁发的公路工程监理业务培训结业证书。</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w:t>
            </w:r>
            <w:r>
              <w:rPr>
                <w:rFonts w:hint="default"/>
                <w:color w:val="auto"/>
                <w:szCs w:val="21"/>
                <w:lang w:val="en-US" w:eastAsia="zh-CN"/>
              </w:rPr>
              <w:t>2</w:t>
            </w:r>
            <w:r>
              <w:rPr>
                <w:rFonts w:hint="eastAsia"/>
                <w:color w:val="auto"/>
                <w:szCs w:val="21"/>
                <w:lang w:val="en-US" w:eastAsia="zh-CN"/>
              </w:rPr>
              <w:t xml:space="preserve">）不得将非本单位人员配备到项目管理机构。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 xml:space="preserve">（3）如要求投标人提供类似业绩的，（须提供中标通知书、监理合同协议书、交工验收证书。时间以交工验收证书上载明的时间为准）。 </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default"/>
                <w:color w:val="auto"/>
                <w:szCs w:val="21"/>
                <w:lang w:val="en-US" w:eastAsia="zh-CN"/>
              </w:rPr>
            </w:pPr>
            <w:r>
              <w:rPr>
                <w:rFonts w:hint="eastAsia"/>
                <w:color w:val="auto"/>
                <w:szCs w:val="21"/>
                <w:lang w:val="en-US" w:eastAsia="zh-CN"/>
              </w:rPr>
              <w:t xml:space="preserve">项目总监、总监代表（如要求）、应附人社部等四部委联合下发的交通运输工程监理工程师资格证书或交通运输部公路工程监理工程师资格证书、职称证（如要求）、缴纳养老保险的复印件。 </w:t>
            </w:r>
          </w:p>
          <w:p>
            <w:pPr>
              <w:keepNext w:val="0"/>
              <w:keepLines w:val="0"/>
              <w:pageBreakBefore w:val="0"/>
              <w:widowControl w:val="0"/>
              <w:kinsoku/>
              <w:wordWrap/>
              <w:overflowPunct/>
              <w:topLinePunct w:val="0"/>
              <w:autoSpaceDE w:val="0"/>
              <w:autoSpaceDN w:val="0"/>
              <w:bidi w:val="0"/>
              <w:adjustRightInd w:val="0"/>
              <w:snapToGrid w:val="0"/>
              <w:spacing w:line="400" w:lineRule="exact"/>
              <w:jc w:val="left"/>
              <w:textAlignment w:val="auto"/>
              <w:rPr>
                <w:rFonts w:hint="default"/>
                <w:color w:val="auto"/>
                <w:szCs w:val="21"/>
                <w:lang w:val="en-US" w:eastAsia="zh-CN"/>
              </w:rPr>
            </w:pPr>
            <w:r>
              <w:rPr>
                <w:rFonts w:hint="eastAsia"/>
                <w:color w:val="auto"/>
                <w:szCs w:val="21"/>
                <w:lang w:val="en-US" w:eastAsia="zh-CN"/>
              </w:rPr>
              <w:t xml:space="preserve">专业监理工程师应附交通运输工程监理工程师资格证书或交通运输部公路工程监理工程师资格证书或公路工程专业监理工程师资格证书，职称证（如要求）、缴纳养老保险的复印件。 </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default"/>
                <w:color w:val="auto"/>
                <w:szCs w:val="21"/>
                <w:lang w:val="en-US" w:eastAsia="zh-CN"/>
              </w:rPr>
            </w:pPr>
            <w:r>
              <w:rPr>
                <w:rFonts w:hint="eastAsia"/>
                <w:color w:val="auto"/>
                <w:szCs w:val="21"/>
                <w:lang w:val="en-US" w:eastAsia="zh-CN"/>
              </w:rPr>
              <w:t xml:space="preserve">监理员应附岗位证书、缴纳养老保险的复印件。 </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default"/>
                <w:color w:val="auto"/>
                <w:szCs w:val="21"/>
                <w:lang w:val="en-US" w:eastAsia="zh-CN"/>
              </w:rPr>
            </w:pPr>
            <w:r>
              <w:rPr>
                <w:rFonts w:hint="eastAsia"/>
                <w:color w:val="auto"/>
                <w:szCs w:val="21"/>
                <w:lang w:val="en-US" w:eastAsia="zh-CN"/>
              </w:rPr>
              <w:t xml:space="preserve">如上述注册证、执业证等证件上的单位与投标单位不一致的，由发证单位出具正在变更的证明。以上拟派专职人员缴纳养老保险的单位应为投标单位。 </w:t>
            </w:r>
          </w:p>
          <w:p>
            <w:pPr>
              <w:keepNext w:val="0"/>
              <w:keepLines w:val="0"/>
              <w:pageBreakBefore w:val="0"/>
              <w:widowControl w:val="0"/>
              <w:kinsoku/>
              <w:wordWrap/>
              <w:overflowPunct/>
              <w:topLinePunct w:val="0"/>
              <w:autoSpaceDE w:val="0"/>
              <w:autoSpaceDN w:val="0"/>
              <w:bidi w:val="0"/>
              <w:adjustRightInd w:val="0"/>
              <w:snapToGrid w:val="0"/>
              <w:spacing w:line="400" w:lineRule="exact"/>
              <w:ind w:firstLine="420" w:firstLineChars="200"/>
              <w:jc w:val="left"/>
              <w:textAlignment w:val="auto"/>
              <w:rPr>
                <w:rFonts w:hint="default" w:ascii="Times New Roman" w:hAnsi="Times New Roman" w:cs="Times New Roman"/>
                <w:color w:val="auto"/>
                <w:szCs w:val="21"/>
                <w:highlight w:val="none"/>
              </w:rPr>
            </w:pPr>
            <w:r>
              <w:rPr>
                <w:rFonts w:hint="eastAsia"/>
                <w:color w:val="auto"/>
                <w:szCs w:val="21"/>
                <w:lang w:val="en-US" w:eastAsia="zh-CN"/>
              </w:rPr>
              <w:t xml:space="preserve">养老保险须提供 </w:t>
            </w:r>
            <w:r>
              <w:rPr>
                <w:rFonts w:hint="default"/>
                <w:color w:val="auto"/>
                <w:szCs w:val="21"/>
                <w:lang w:val="en-US" w:eastAsia="zh-CN"/>
              </w:rPr>
              <w:t>202</w:t>
            </w:r>
            <w:r>
              <w:rPr>
                <w:rFonts w:hint="eastAsia"/>
                <w:color w:val="auto"/>
                <w:szCs w:val="21"/>
                <w:lang w:val="en-US" w:eastAsia="zh-CN"/>
              </w:rPr>
              <w:t>3</w:t>
            </w:r>
            <w:r>
              <w:rPr>
                <w:rFonts w:hint="default"/>
                <w:color w:val="auto"/>
                <w:szCs w:val="21"/>
                <w:lang w:val="en-US" w:eastAsia="zh-CN"/>
              </w:rPr>
              <w:t xml:space="preserve"> </w:t>
            </w:r>
            <w:r>
              <w:rPr>
                <w:rFonts w:hint="eastAsia"/>
                <w:color w:val="auto"/>
                <w:szCs w:val="21"/>
                <w:lang w:val="en-US" w:eastAsia="zh-CN"/>
              </w:rPr>
              <w:t>年 1 月以来在投标单位缴纳的连续 3 个月的养老保险证明（指养老保险管理单位出具的养老保险证明，加盖养老保险管理单位的公章或电子章；如提供复印件或扫描件，加盖投标单位公章）。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 xml:space="preserve">接受    </w:t>
            </w: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r>
              <w:rPr>
                <w:rFonts w:hint="eastAsia" w:hAnsi="宋体"/>
                <w:color w:val="auto"/>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 xml:space="preserve">详见招标文件第一章招标公告、第四章合同条款及格式、第五章发包人要求。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在亳州交通投资控股集团有限公司官网（www.bzjkjt.com）上的发布时间，视为投标人确认收到招标文件</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kern w:val="2"/>
                <w:sz w:val="21"/>
                <w:szCs w:val="21"/>
                <w:highlight w:val="none"/>
                <w:u w:val="single"/>
                <w:lang w:val="en-US" w:eastAsia="zh-CN" w:bidi="ar-SA"/>
              </w:rPr>
              <w:t xml:space="preserve"> 详见第一章招标公告。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pPr>
              <w:autoSpaceDE w:val="0"/>
              <w:autoSpaceDN w:val="0"/>
              <w:adjustRightInd w:val="0"/>
              <w:snapToGrid w:val="0"/>
              <w:spacing w:line="440" w:lineRule="exact"/>
              <w:ind w:firstLine="308" w:firstLineChars="147"/>
              <w:jc w:val="left"/>
              <w:rPr>
                <w:rFonts w:hint="default" w:ascii="Times New Roman" w:hAnsi="Times New Roman" w:cs="Times New Roman"/>
                <w:color w:val="auto"/>
                <w:szCs w:val="21"/>
                <w:highlight w:val="none"/>
              </w:rPr>
            </w:pPr>
            <w:r>
              <w:rPr>
                <w:rFonts w:hint="eastAsia" w:hAnsi="宋体"/>
                <w:color w:val="auto"/>
                <w:szCs w:val="21"/>
              </w:rPr>
              <w:t>不需要</w:t>
            </w:r>
            <w:r>
              <w:rPr>
                <w:rFonts w:hint="eastAsia" w:hAnsi="宋体"/>
                <w:color w:val="auto"/>
                <w:szCs w:val="21"/>
              </w:rPr>
              <w:sym w:font="Wingdings" w:char="00A8"/>
            </w:r>
            <w:r>
              <w:rPr>
                <w:rFonts w:hint="eastAsia" w:hAnsi="宋体"/>
                <w:color w:val="auto"/>
                <w:szCs w:val="21"/>
                <w:lang w:val="en-US" w:eastAsia="zh-CN"/>
              </w:rPr>
              <w:t xml:space="preserve">       </w:t>
            </w:r>
            <w:r>
              <w:rPr>
                <w:rFonts w:hint="eastAsia" w:hAnsi="宋体"/>
                <w:color w:val="auto"/>
                <w:szCs w:val="21"/>
              </w:rPr>
              <w:t>需 要</w:t>
            </w:r>
            <w:r>
              <w:rPr>
                <w:rFonts w:hint="eastAsia" w:hAnsi="宋体"/>
                <w:color w:val="auto"/>
                <w:szCs w:val="21"/>
              </w:rPr>
              <w:sym w:font="Wingdings" w:char="00FE"/>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w:t>
            </w:r>
            <w:r>
              <w:rPr>
                <w:rFonts w:hint="eastAsia" w:ascii="Times New Roman" w:hAnsi="Times New Roman" w:cs="Times New Roman"/>
                <w:color w:val="auto"/>
                <w:szCs w:val="21"/>
                <w:highlight w:val="none"/>
                <w:u w:val="single"/>
                <w:lang w:val="en-US" w:eastAsia="zh-CN"/>
              </w:rPr>
              <w:t xml:space="preserve"> 10000元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BZJK-2023-024号保证金”</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（2）中标侯选人公示期满且确定中标人后，未中标人的投标保证金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4</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5</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不允许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允许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招标人：亳州交控产业发展有限公司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rPr>
              <w:t>Y084 大褚路（大褚路）杜仲路延伸段升级改造工程监理</w:t>
            </w:r>
            <w:r>
              <w:rPr>
                <w:rFonts w:hint="eastAsia" w:ascii="Times New Roman" w:hAnsi="Times New Roman" w:cs="Times New Roman"/>
                <w:color w:val="auto"/>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项目编号：BZJK-2022-</w:t>
            </w:r>
            <w:r>
              <w:rPr>
                <w:rFonts w:hint="eastAsia" w:ascii="Times New Roman" w:hAnsi="Times New Roman" w:cs="Times New Roman"/>
                <w:color w:val="auto"/>
                <w:szCs w:val="21"/>
                <w:highlight w:val="none"/>
                <w:u w:val="single"/>
                <w:lang w:val="en-US" w:eastAsia="zh-CN"/>
              </w:rPr>
              <w:t xml:space="preserve"> 024  </w:t>
            </w:r>
            <w:r>
              <w:rPr>
                <w:rFonts w:hint="eastAsia" w:ascii="Times New Roman" w:hAnsi="Times New Roman" w:cs="Times New Roman"/>
                <w:color w:val="auto"/>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 xml:space="preserve"> 2023  </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 xml:space="preserve"> 7  </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 xml:space="preserve">  31 </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 xml:space="preserve">  15 </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开标地点：</w:t>
            </w:r>
            <w:r>
              <w:rPr>
                <w:rFonts w:hint="eastAsia" w:ascii="Times New Roman" w:hAnsi="Times New Roman" w:cs="Times New Roman"/>
                <w:color w:val="auto"/>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b/>
                <w:bCs/>
                <w:color w:val="auto"/>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评标委员会构成：</w:t>
            </w:r>
            <w:r>
              <w:rPr>
                <w:rFonts w:hint="eastAsia" w:ascii="Times New Roman" w:hAnsi="Times New Roman" w:cs="Times New Roman"/>
                <w:color w:val="auto"/>
                <w:szCs w:val="21"/>
                <w:highlight w:val="none"/>
                <w:u w:val="single"/>
                <w:lang w:val="en-US" w:eastAsia="zh-CN"/>
              </w:rPr>
              <w:t>5</w:t>
            </w:r>
            <w:r>
              <w:rPr>
                <w:rFonts w:hint="default" w:ascii="Times New Roman" w:hAnsi="Times New Roman" w:cs="Times New Roman"/>
                <w:color w:val="auto"/>
                <w:szCs w:val="21"/>
                <w:highlight w:val="none"/>
              </w:rPr>
              <w:t>人，其中招标人代表</w:t>
            </w:r>
            <w:r>
              <w:rPr>
                <w:rFonts w:hint="eastAsia" w:ascii="Times New Roman" w:hAnsi="Times New Roman" w:cs="Times New Roman"/>
                <w:color w:val="auto"/>
                <w:szCs w:val="21"/>
                <w:highlight w:val="none"/>
                <w:u w:val="single"/>
                <w:lang w:val="en-US" w:eastAsia="zh-CN"/>
              </w:rPr>
              <w:t>1</w:t>
            </w:r>
            <w:r>
              <w:rPr>
                <w:rFonts w:hint="default" w:ascii="Times New Roman" w:hAnsi="Times New Roman" w:cs="Times New Roman"/>
                <w:color w:val="auto"/>
                <w:szCs w:val="21"/>
                <w:highlight w:val="none"/>
              </w:rPr>
              <w:t>人，专家</w:t>
            </w:r>
            <w:r>
              <w:rPr>
                <w:rFonts w:hint="eastAsia" w:ascii="Times New Roman" w:hAnsi="Times New Roman" w:cs="Times New Roman"/>
                <w:color w:val="auto"/>
                <w:szCs w:val="21"/>
                <w:highlight w:val="none"/>
                <w:u w:val="single"/>
                <w:lang w:val="en-US" w:eastAsia="zh-CN"/>
              </w:rPr>
              <w:t>4</w:t>
            </w:r>
            <w:r>
              <w:rPr>
                <w:rFonts w:hint="default" w:ascii="Times New Roman" w:hAnsi="Times New Roman" w:cs="Times New Roman"/>
                <w:color w:val="auto"/>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评标专家确定方式：</w:t>
            </w:r>
            <w:r>
              <w:rPr>
                <w:rFonts w:hint="eastAsia" w:ascii="Times New Roman" w:hAnsi="Times New Roman" w:cs="Times New Roman"/>
                <w:color w:val="auto"/>
                <w:szCs w:val="21"/>
                <w:highlight w:val="none"/>
                <w:lang w:val="en-US" w:eastAsia="zh-CN"/>
              </w:rPr>
              <w:t>随机抽取</w:t>
            </w:r>
            <w:r>
              <w:rPr>
                <w:rFonts w:hint="default" w:ascii="Times New Roman" w:hAnsi="Times New Roman" w:cs="Times New Roman"/>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公示媒介：</w:t>
            </w:r>
            <w:r>
              <w:rPr>
                <w:rFonts w:hint="default" w:ascii="Times New Roman" w:hAnsi="Times New Roman" w:cs="Times New Roman"/>
                <w:color w:val="auto"/>
                <w:szCs w:val="21"/>
                <w:highlight w:val="none"/>
                <w:lang w:val="en-US" w:eastAsia="zh-CN"/>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eastAsia="仿宋_GB2312" w:cs="Times New Roman"/>
                <w:color w:val="auto"/>
                <w:sz w:val="24"/>
                <w:szCs w:val="24"/>
                <w:lang w:val="en-US" w:eastAsia="zh-CN"/>
              </w:rPr>
              <w:t>不</w:t>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r>
              <w:rPr>
                <w:rFonts w:hint="eastAsia" w:ascii="Times New Roman" w:hAnsi="Times New Roman" w:cs="Times New Roman"/>
                <w:b/>
                <w:bCs/>
                <w:color w:val="auto"/>
                <w:szCs w:val="21"/>
                <w:highlight w:val="none"/>
                <w:lang w:val="en-US" w:eastAsia="zh-CN"/>
              </w:rPr>
              <w:t>10000元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投标人须知正文部分直接引用国家发改委等九部委于2017年9月4日联合印发的《中华人民共和国标准监理招标文件》（2017年版）。</w:t>
      </w:r>
    </w:p>
    <w:p>
      <w:pPr>
        <w:pStyle w:val="7"/>
        <w:keepNext w:val="0"/>
        <w:keepLines w:val="0"/>
        <w:spacing w:before="0" w:after="0" w:line="240" w:lineRule="auto"/>
        <w:jc w:val="cente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eastAsiaTheme="minorEastAsia"/>
                <w:color w:val="auto"/>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投标函及投标函附录</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有法定代表人</w:t>
            </w:r>
            <w:r>
              <w:rPr>
                <w:rFonts w:hint="eastAsia" w:ascii="Times New Roman" w:hAnsi="Times New Roman" w:cs="Times New Roman"/>
                <w:color w:val="auto"/>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投标文件格式</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第3.2.3项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第1.3.1项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第1.3.2项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第1.3.3项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第3.3.1项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第3.4.1项</w:t>
            </w:r>
            <w:r>
              <w:rPr>
                <w:rFonts w:hint="default" w:ascii="Times New Roman" w:hAnsi="Times New Roman" w:cs="Times New Roman" w:eastAsiaTheme="minorEastAsia"/>
                <w:color w:val="auto"/>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color w:val="auto"/>
              </w:rPr>
              <w:t>技术建议书</w:t>
            </w:r>
            <w:r>
              <w:rPr>
                <w:rFonts w:hint="eastAsia"/>
                <w:color w:val="auto"/>
              </w:rPr>
              <w:t>评审标准</w:t>
            </w:r>
            <w:r>
              <w:rPr>
                <w:rFonts w:hint="eastAsia" w:ascii="Times New Roman" w:hAnsi="Times New Roman" w:cs="Times New Roman"/>
                <w:color w:val="auto"/>
                <w:kern w:val="0"/>
                <w:sz w:val="24"/>
                <w:szCs w:val="24"/>
                <w:highlight w:val="none"/>
                <w:lang w:val="en-US" w:eastAsia="zh-CN"/>
              </w:rPr>
              <w:t>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40</w:t>
            </w:r>
            <w:r>
              <w:rPr>
                <w:rFonts w:hint="eastAsia" w:ascii="Times New Roman" w:hAnsi="Times New Roman" w:cs="Times New Roman"/>
                <w:i/>
                <w:iCs/>
                <w:color w:val="auto"/>
                <w:kern w:val="0"/>
                <w:sz w:val="24"/>
                <w:szCs w:val="24"/>
                <w:highlight w:val="none"/>
                <w:u w:val="singl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hAnsi="宋体"/>
                <w:color w:val="auto"/>
              </w:rPr>
              <w:t>企业荣誉</w:t>
            </w:r>
            <w:r>
              <w:rPr>
                <w:rFonts w:hint="eastAsia" w:ascii="Times New Roman" w:hAnsi="Times New Roman" w:cs="Times New Roman"/>
                <w:color w:val="auto"/>
                <w:kern w:val="0"/>
                <w:sz w:val="24"/>
                <w:szCs w:val="24"/>
                <w:highlight w:val="none"/>
                <w:lang w:val="en-US" w:eastAsia="zh-CN"/>
              </w:rPr>
              <w:t>部分：</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投标报价：10</w:t>
            </w:r>
            <w:r>
              <w:rPr>
                <w:rFonts w:hint="default" w:ascii="Times New Roman" w:hAnsi="Times New Roman" w:cs="Times New Roman" w:eastAsiaTheme="minorEastAsia"/>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详见2.2.4（3）投标报价评审标准。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详见2.2.4（3）投标报价评审标准。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spacing w:line="440" w:lineRule="exact"/>
              <w:jc w:val="center"/>
              <w:rPr>
                <w:rFonts w:hint="eastAsia"/>
                <w:color w:val="auto"/>
              </w:rPr>
            </w:pPr>
            <w:r>
              <w:rPr>
                <w:color w:val="auto"/>
              </w:rPr>
              <w:t>技术</w:t>
            </w:r>
          </w:p>
          <w:p>
            <w:pPr>
              <w:spacing w:line="440" w:lineRule="exact"/>
              <w:jc w:val="center"/>
              <w:rPr>
                <w:rFonts w:hint="eastAsia"/>
                <w:color w:val="auto"/>
              </w:rPr>
            </w:pPr>
            <w:r>
              <w:rPr>
                <w:color w:val="auto"/>
              </w:rPr>
              <w:t>建议书</w:t>
            </w:r>
          </w:p>
          <w:p>
            <w:pPr>
              <w:spacing w:line="440" w:lineRule="exact"/>
              <w:jc w:val="center"/>
              <w:rPr>
                <w:rFonts w:hint="eastAsia"/>
                <w:color w:val="auto"/>
              </w:rPr>
            </w:pPr>
            <w:r>
              <w:rPr>
                <w:rFonts w:hint="eastAsia"/>
                <w:color w:val="auto"/>
              </w:rPr>
              <w:t>评审</w:t>
            </w:r>
          </w:p>
          <w:p>
            <w:pPr>
              <w:spacing w:line="440" w:lineRule="exact"/>
              <w:jc w:val="center"/>
              <w:rPr>
                <w:rFonts w:hint="eastAsia"/>
                <w:color w:val="auto"/>
              </w:rPr>
            </w:pPr>
            <w:r>
              <w:rPr>
                <w:rFonts w:hint="eastAsia"/>
                <w:color w:val="auto"/>
              </w:rPr>
              <w:t>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宋体"/>
                <w:color w:val="auto"/>
                <w:szCs w:val="21"/>
              </w:rPr>
              <w:t>（满分40</w:t>
            </w:r>
            <w:r>
              <w:rPr>
                <w:rFonts w:hint="eastAsia" w:ascii="宋体"/>
                <w:color w:val="auto"/>
                <w:szCs w:val="21"/>
                <w:lang w:eastAsia="zh-CN"/>
              </w:rPr>
              <w:t>）</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HAnsi" w:hAnsiTheme="minorHAnsi" w:cstheme="minorBidi"/>
                <w:color w:val="auto"/>
                <w:kern w:val="2"/>
                <w:sz w:val="21"/>
                <w:szCs w:val="21"/>
                <w:lang w:val="en-US" w:eastAsia="zh-CN"/>
              </w:rPr>
            </w:pPr>
            <w:r>
              <w:rPr>
                <w:rFonts w:hint="eastAsia" w:asciiTheme="minorHAnsi" w:hAnsiTheme="minorHAnsi" w:cstheme="minorBidi"/>
                <w:color w:val="auto"/>
                <w:kern w:val="2"/>
                <w:sz w:val="21"/>
                <w:szCs w:val="21"/>
              </w:rPr>
              <w:t>工程总体概述（满分1分）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color w:val="auto"/>
                <w:szCs w:val="21"/>
              </w:rPr>
            </w:pPr>
            <w:r>
              <w:rPr>
                <w:rFonts w:hint="eastAsia"/>
                <w:color w:val="auto"/>
                <w:szCs w:val="21"/>
              </w:rPr>
              <w:t>工程总体概况描述清晰明确，完整，符合招标文件要求。</w:t>
            </w:r>
          </w:p>
          <w:p>
            <w:pPr>
              <w:spacing w:line="400" w:lineRule="exact"/>
              <w:rPr>
                <w:rFonts w:hint="default" w:ascii="Times New Roman" w:hAnsi="Times New Roman" w:cs="Times New Roman"/>
                <w:color w:val="auto"/>
                <w:kern w:val="0"/>
                <w:sz w:val="24"/>
                <w:szCs w:val="24"/>
                <w:highlight w:val="none"/>
                <w:lang w:val="en-US" w:eastAsia="zh-CN"/>
              </w:rPr>
            </w:pPr>
            <w:r>
              <w:rPr>
                <w:rFonts w:hint="eastAsia"/>
                <w:b/>
                <w:color w:val="auto"/>
                <w:szCs w:val="21"/>
              </w:rPr>
              <w:t>优：0.9-1分，良：0.7-0.9分，一般：0.6-0.7分，差：0分。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spacing w:line="400" w:lineRule="exact"/>
              <w:jc w:val="center"/>
              <w:rPr>
                <w:rFonts w:hint="eastAsia" w:asciiTheme="minorHAnsi" w:hAnsiTheme="minorHAnsi" w:cstheme="minorBidi"/>
                <w:color w:val="auto"/>
                <w:kern w:val="2"/>
                <w:sz w:val="21"/>
                <w:szCs w:val="21"/>
              </w:rPr>
            </w:pPr>
            <w:r>
              <w:rPr>
                <w:rFonts w:hint="eastAsia" w:asciiTheme="minorHAnsi" w:hAnsiTheme="minorHAnsi" w:cstheme="minorBidi"/>
                <w:color w:val="auto"/>
                <w:kern w:val="2"/>
                <w:sz w:val="21"/>
                <w:szCs w:val="21"/>
              </w:rPr>
              <w:t>监理工作范围</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heme="minorHAnsi" w:hAnsiTheme="minorHAnsi" w:eastAsiaTheme="minorEastAsia" w:cstheme="minorBidi"/>
                <w:color w:val="auto"/>
                <w:kern w:val="2"/>
                <w:sz w:val="21"/>
                <w:szCs w:val="21"/>
                <w:lang w:val="en-US" w:eastAsia="zh-CN"/>
              </w:rPr>
            </w:pPr>
            <w:r>
              <w:rPr>
                <w:rFonts w:hint="eastAsia" w:asciiTheme="minorHAnsi" w:hAnsiTheme="minorHAnsi" w:cstheme="minorBidi"/>
                <w:color w:val="auto"/>
                <w:kern w:val="2"/>
                <w:sz w:val="21"/>
                <w:szCs w:val="21"/>
              </w:rPr>
              <w:t>（满分2分</w:t>
            </w:r>
            <w:r>
              <w:rPr>
                <w:rFonts w:hint="eastAsia" w:asciiTheme="minorHAnsi" w:hAnsiTheme="minorHAnsi" w:cstheme="minorBidi"/>
                <w:color w:val="auto"/>
                <w:kern w:val="2"/>
                <w:sz w:val="21"/>
                <w:szCs w:val="21"/>
                <w:lang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color w:val="auto"/>
                <w:szCs w:val="21"/>
              </w:rPr>
            </w:pPr>
            <w:r>
              <w:rPr>
                <w:rFonts w:hint="eastAsia"/>
                <w:color w:val="auto"/>
                <w:szCs w:val="21"/>
              </w:rPr>
              <w:t>监理依据符合国家行业规范要求，监理范围、工作安排、监理人员岗位职责表述清晰明确，完整，具有较强的针对性，符合招标文件要求。</w:t>
            </w:r>
          </w:p>
          <w:p>
            <w:pPr>
              <w:spacing w:line="400" w:lineRule="exact"/>
              <w:rPr>
                <w:rFonts w:hint="default" w:ascii="Times New Roman" w:hAnsi="Times New Roman" w:cs="Times New Roman"/>
                <w:color w:val="auto"/>
                <w:kern w:val="0"/>
                <w:sz w:val="24"/>
                <w:szCs w:val="24"/>
                <w:highlight w:val="none"/>
                <w:lang w:val="en-US" w:eastAsia="zh-CN"/>
              </w:rPr>
            </w:pPr>
            <w:r>
              <w:rPr>
                <w:rFonts w:hint="eastAsia"/>
                <w:b/>
                <w:color w:val="auto"/>
                <w:szCs w:val="21"/>
              </w:rPr>
              <w:t>优：1.6-2 分，良：1.2-1.6 分，一般：0.8-1.2 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jc w:val="center"/>
              <w:rPr>
                <w:rFonts w:hint="eastAsia"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监理机构设置与人员安排</w:t>
            </w:r>
          </w:p>
          <w:p>
            <w:pPr>
              <w:wordWrap w:val="0"/>
              <w:spacing w:line="400" w:lineRule="exact"/>
              <w:jc w:val="center"/>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rPr>
              <w:t>（满分3分）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color w:val="auto"/>
                <w:szCs w:val="21"/>
              </w:rPr>
            </w:pPr>
            <w:r>
              <w:rPr>
                <w:rFonts w:hint="eastAsia" w:ascii="宋体" w:hAnsi="宋体"/>
                <w:color w:val="auto"/>
                <w:szCs w:val="21"/>
              </w:rPr>
              <w:t>通过框图形式，有明确的组织形式、项目监理班子人员结构、岗位职责任务明确。</w:t>
            </w:r>
          </w:p>
          <w:p>
            <w:pPr>
              <w:spacing w:line="400" w:lineRule="exact"/>
              <w:rPr>
                <w:rFonts w:hint="default" w:ascii="Times New Roman" w:hAnsi="Times New Roman" w:cs="Times New Roman"/>
                <w:color w:val="auto"/>
                <w:kern w:val="0"/>
                <w:sz w:val="24"/>
                <w:szCs w:val="24"/>
                <w:highlight w:val="none"/>
                <w:lang w:val="en-US" w:eastAsia="zh-CN"/>
              </w:rPr>
            </w:pPr>
            <w:r>
              <w:rPr>
                <w:rFonts w:hint="eastAsia"/>
                <w:b/>
                <w:color w:val="auto"/>
                <w:szCs w:val="21"/>
              </w:rPr>
              <w:t>优：2.6-3 分，良：2.2-2.6 分，一般：1.8-2.2 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jc w:val="center"/>
              <w:rPr>
                <w:rFonts w:hint="eastAsia" w:ascii="Times New Roman" w:hAnsi="Times New Roman" w:cs="Times New Roman"/>
                <w:color w:val="auto"/>
                <w:kern w:val="0"/>
                <w:sz w:val="24"/>
                <w:szCs w:val="24"/>
                <w:highlight w:val="none"/>
              </w:rPr>
            </w:pPr>
            <w:r>
              <w:rPr>
                <w:rFonts w:hint="eastAsia" w:ascii="Times New Roman" w:hAnsi="Times New Roman" w:cs="Times New Roman"/>
                <w:color w:val="auto"/>
                <w:kern w:val="0"/>
                <w:sz w:val="24"/>
                <w:szCs w:val="24"/>
                <w:highlight w:val="none"/>
              </w:rPr>
              <w:t>监理仪器、设备和设施的配备</w:t>
            </w:r>
          </w:p>
          <w:p>
            <w:pPr>
              <w:wordWrap w:val="0"/>
              <w:spacing w:line="400" w:lineRule="exact"/>
              <w:jc w:val="center"/>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rPr>
              <w:t>（满分6分）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color w:val="auto"/>
                <w:szCs w:val="21"/>
              </w:rPr>
            </w:pPr>
            <w:r>
              <w:rPr>
                <w:rFonts w:hint="eastAsia"/>
                <w:color w:val="auto"/>
                <w:szCs w:val="21"/>
              </w:rPr>
              <w:t>测量、检测仪器设备配备齐全、合理。</w:t>
            </w:r>
          </w:p>
          <w:p>
            <w:pPr>
              <w:spacing w:line="400" w:lineRule="exact"/>
              <w:rPr>
                <w:rFonts w:hint="default" w:ascii="Times New Roman" w:hAnsi="Times New Roman" w:cs="Times New Roman"/>
                <w:color w:val="auto"/>
                <w:kern w:val="0"/>
                <w:sz w:val="24"/>
                <w:szCs w:val="24"/>
                <w:highlight w:val="none"/>
                <w:lang w:val="en-US" w:eastAsia="zh-CN"/>
              </w:rPr>
            </w:pPr>
            <w:r>
              <w:rPr>
                <w:rFonts w:hint="eastAsia"/>
                <w:b/>
                <w:color w:val="auto"/>
                <w:szCs w:val="21"/>
              </w:rPr>
              <w:t>优：5.6-6 分，良：5.2-5.6 分，一般：4.8-5.2 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olor w:val="auto"/>
                <w:szCs w:val="21"/>
              </w:rPr>
            </w:pPr>
            <w:r>
              <w:rPr>
                <w:rFonts w:hint="eastAsia" w:ascii="宋体"/>
                <w:color w:val="auto"/>
                <w:szCs w:val="21"/>
              </w:rPr>
              <w:t>监理工作程序</w:t>
            </w:r>
          </w:p>
          <w:p>
            <w:pPr>
              <w:jc w:val="center"/>
              <w:rPr>
                <w:rFonts w:hint="eastAsia" w:asciiTheme="minorHAnsi" w:hAnsiTheme="minorHAnsi" w:eastAsiaTheme="minorEastAsia" w:cstheme="minorBidi"/>
                <w:color w:val="auto"/>
                <w:kern w:val="2"/>
                <w:sz w:val="21"/>
                <w:szCs w:val="21"/>
                <w:lang w:val="en-US" w:eastAsia="zh-CN" w:bidi="ar-SA"/>
              </w:rPr>
            </w:pPr>
            <w:r>
              <w:rPr>
                <w:rFonts w:hint="eastAsia" w:ascii="宋体"/>
                <w:color w:val="auto"/>
                <w:szCs w:val="21"/>
              </w:rPr>
              <w:t>（满分2分）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color w:val="auto"/>
                <w:szCs w:val="21"/>
              </w:rPr>
            </w:pPr>
            <w:r>
              <w:rPr>
                <w:rFonts w:hint="eastAsia"/>
                <w:color w:val="auto"/>
                <w:szCs w:val="21"/>
              </w:rPr>
              <w:t>监理程序、方法得当可行，监理工作流程合理、制度完善。</w:t>
            </w:r>
          </w:p>
          <w:p>
            <w:pPr>
              <w:spacing w:line="400" w:lineRule="exact"/>
              <w:rPr>
                <w:rFonts w:hint="eastAsia" w:ascii="Times New Roman" w:hAnsi="Times New Roman" w:cs="Times New Roman"/>
                <w:i/>
                <w:iCs/>
                <w:color w:val="auto"/>
                <w:kern w:val="0"/>
                <w:sz w:val="24"/>
                <w:szCs w:val="24"/>
                <w:highlight w:val="none"/>
                <w:u w:val="single"/>
                <w:lang w:val="en-US" w:eastAsia="zh-CN"/>
              </w:rPr>
            </w:pPr>
            <w:r>
              <w:rPr>
                <w:rFonts w:hint="eastAsia"/>
                <w:b/>
                <w:color w:val="auto"/>
                <w:szCs w:val="21"/>
              </w:rPr>
              <w:t>优：1.6-2 分，良：1.2-1.6 分，一般：0.8-1.2 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Cs w:val="21"/>
              </w:rPr>
            </w:pPr>
            <w:r>
              <w:rPr>
                <w:rFonts w:hint="eastAsia"/>
                <w:color w:val="auto"/>
                <w:szCs w:val="21"/>
              </w:rPr>
              <w:t>监理大纲和</w:t>
            </w:r>
          </w:p>
          <w:p>
            <w:pPr>
              <w:jc w:val="center"/>
              <w:rPr>
                <w:rFonts w:hint="eastAsia"/>
                <w:color w:val="auto"/>
                <w:szCs w:val="21"/>
              </w:rPr>
            </w:pPr>
            <w:r>
              <w:rPr>
                <w:rFonts w:hint="eastAsia"/>
                <w:color w:val="auto"/>
                <w:szCs w:val="21"/>
              </w:rPr>
              <w:t>措施</w:t>
            </w:r>
          </w:p>
          <w:p>
            <w:pPr>
              <w:jc w:val="center"/>
              <w:rPr>
                <w:rFonts w:hint="eastAsia" w:asciiTheme="minorHAnsi" w:hAnsiTheme="minorHAnsi" w:eastAsiaTheme="minorEastAsia" w:cstheme="minorBidi"/>
                <w:color w:val="auto"/>
                <w:kern w:val="2"/>
                <w:sz w:val="21"/>
                <w:szCs w:val="21"/>
                <w:lang w:val="en-US" w:eastAsia="zh-CN" w:bidi="ar-SA"/>
              </w:rPr>
            </w:pPr>
            <w:r>
              <w:rPr>
                <w:rFonts w:hint="eastAsia" w:ascii="宋体"/>
                <w:color w:val="auto"/>
                <w:szCs w:val="21"/>
              </w:rPr>
              <w:t>（满分18分）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color w:val="auto"/>
                <w:szCs w:val="21"/>
              </w:rPr>
            </w:pPr>
            <w:r>
              <w:rPr>
                <w:rFonts w:hint="eastAsia"/>
                <w:color w:val="auto"/>
                <w:szCs w:val="21"/>
              </w:rPr>
              <w:t>1.质量、造价、进度控制措施具体有效，目标明确，关键部位考虑周到细致，</w:t>
            </w:r>
            <w:r>
              <w:rPr>
                <w:rFonts w:hint="eastAsia" w:ascii="宋体" w:hAnsi="宋体"/>
                <w:color w:val="auto"/>
                <w:szCs w:val="21"/>
              </w:rPr>
              <w:t>预控措施</w:t>
            </w:r>
            <w:r>
              <w:rPr>
                <w:rFonts w:hint="eastAsia"/>
                <w:color w:val="auto"/>
                <w:szCs w:val="21"/>
              </w:rPr>
              <w:t>、方法切实可行。（6分）</w:t>
            </w:r>
          </w:p>
          <w:p>
            <w:pPr>
              <w:spacing w:line="400" w:lineRule="exact"/>
              <w:rPr>
                <w:rFonts w:hint="eastAsia"/>
                <w:color w:val="auto"/>
                <w:szCs w:val="21"/>
              </w:rPr>
            </w:pPr>
            <w:r>
              <w:rPr>
                <w:rFonts w:hint="eastAsia"/>
                <w:color w:val="auto"/>
                <w:szCs w:val="21"/>
              </w:rPr>
              <w:t>2.合同、信息管理的措施详细合理齐全、针对性强。（4分）</w:t>
            </w:r>
          </w:p>
          <w:p>
            <w:pPr>
              <w:spacing w:line="400" w:lineRule="exact"/>
              <w:rPr>
                <w:rFonts w:hint="eastAsia"/>
                <w:color w:val="auto"/>
                <w:szCs w:val="21"/>
              </w:rPr>
            </w:pPr>
            <w:r>
              <w:rPr>
                <w:rFonts w:hint="eastAsia"/>
                <w:color w:val="auto"/>
                <w:szCs w:val="21"/>
              </w:rPr>
              <w:t>3.组织沟通、协调措施详细可行。（4分）</w:t>
            </w:r>
          </w:p>
          <w:p>
            <w:pPr>
              <w:spacing w:line="400" w:lineRule="exact"/>
              <w:rPr>
                <w:rFonts w:hint="eastAsia"/>
                <w:color w:val="auto"/>
                <w:szCs w:val="21"/>
              </w:rPr>
            </w:pPr>
            <w:r>
              <w:rPr>
                <w:rFonts w:hint="eastAsia"/>
                <w:color w:val="auto"/>
                <w:szCs w:val="21"/>
              </w:rPr>
              <w:t>4.具体的安全、环保监理措施详细可行。（4分）</w:t>
            </w:r>
          </w:p>
          <w:p>
            <w:pPr>
              <w:spacing w:line="400" w:lineRule="exact"/>
              <w:rPr>
                <w:rFonts w:hint="eastAsia" w:ascii="Times New Roman" w:hAnsi="Times New Roman" w:cs="Times New Roman"/>
                <w:i/>
                <w:iCs/>
                <w:color w:val="auto"/>
                <w:kern w:val="0"/>
                <w:sz w:val="24"/>
                <w:szCs w:val="24"/>
                <w:highlight w:val="none"/>
                <w:u w:val="single"/>
                <w:lang w:val="en-US" w:eastAsia="zh-CN"/>
              </w:rPr>
            </w:pPr>
            <w:r>
              <w:rPr>
                <w:rFonts w:hint="eastAsia"/>
                <w:b/>
                <w:color w:val="auto"/>
                <w:szCs w:val="21"/>
              </w:rPr>
              <w:t>优：16.2</w:t>
            </w:r>
            <w:r>
              <w:rPr>
                <w:b/>
                <w:color w:val="auto"/>
                <w:szCs w:val="21"/>
              </w:rPr>
              <w:t>-</w:t>
            </w:r>
            <w:r>
              <w:rPr>
                <w:rFonts w:hint="eastAsia"/>
                <w:b/>
                <w:color w:val="auto"/>
                <w:szCs w:val="21"/>
              </w:rPr>
              <w:t>18分，良：12.8</w:t>
            </w:r>
            <w:r>
              <w:rPr>
                <w:b/>
                <w:color w:val="auto"/>
                <w:szCs w:val="21"/>
              </w:rPr>
              <w:t>-</w:t>
            </w:r>
            <w:r>
              <w:rPr>
                <w:rFonts w:hint="eastAsia"/>
                <w:b/>
                <w:color w:val="auto"/>
                <w:szCs w:val="21"/>
              </w:rPr>
              <w:t>16.2分，一般：10.8</w:t>
            </w:r>
            <w:r>
              <w:rPr>
                <w:b/>
                <w:color w:val="auto"/>
                <w:szCs w:val="21"/>
              </w:rPr>
              <w:t>-</w:t>
            </w:r>
            <w:r>
              <w:rPr>
                <w:rFonts w:hint="eastAsia"/>
                <w:b/>
                <w:color w:val="auto"/>
                <w:szCs w:val="21"/>
              </w:rPr>
              <w:t>12.8分，差：</w:t>
            </w:r>
            <w:r>
              <w:rPr>
                <w:b/>
                <w:color w:val="auto"/>
                <w:szCs w:val="21"/>
              </w:rPr>
              <w:t>0</w:t>
            </w:r>
            <w:r>
              <w:rPr>
                <w:rFonts w:hint="eastAsia"/>
                <w:b/>
                <w:color w:val="auto"/>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olor w:val="auto"/>
                <w:szCs w:val="21"/>
              </w:rPr>
            </w:pPr>
            <w:r>
              <w:rPr>
                <w:rFonts w:hint="eastAsia" w:ascii="宋体"/>
                <w:color w:val="auto"/>
                <w:szCs w:val="21"/>
              </w:rPr>
              <w:t>监理工作重点、难点分析</w:t>
            </w:r>
          </w:p>
          <w:p>
            <w:pPr>
              <w:jc w:val="center"/>
              <w:rPr>
                <w:rFonts w:hint="eastAsia" w:ascii="宋体" w:hAnsiTheme="minorHAnsi" w:eastAsiaTheme="minorEastAsia" w:cstheme="minorBidi"/>
                <w:color w:val="auto"/>
                <w:kern w:val="2"/>
                <w:sz w:val="21"/>
                <w:szCs w:val="21"/>
                <w:lang w:val="en-US" w:eastAsia="zh-CN" w:bidi="ar-SA"/>
              </w:rPr>
            </w:pPr>
            <w:r>
              <w:rPr>
                <w:rFonts w:hint="eastAsia" w:ascii="宋体"/>
                <w:color w:val="auto"/>
                <w:szCs w:val="21"/>
              </w:rPr>
              <w:t>（满分4分）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color w:val="auto"/>
                <w:szCs w:val="21"/>
              </w:rPr>
            </w:pPr>
            <w:r>
              <w:rPr>
                <w:rFonts w:hint="eastAsia"/>
                <w:color w:val="auto"/>
                <w:szCs w:val="21"/>
              </w:rPr>
              <w:t>监理重点、难点分析针对性强。</w:t>
            </w:r>
          </w:p>
          <w:p>
            <w:pPr>
              <w:spacing w:line="400" w:lineRule="exact"/>
              <w:rPr>
                <w:rFonts w:hint="eastAsia" w:ascii="Times New Roman" w:hAnsi="Times New Roman" w:cs="Times New Roman"/>
                <w:i/>
                <w:iCs/>
                <w:color w:val="auto"/>
                <w:kern w:val="0"/>
                <w:sz w:val="24"/>
                <w:szCs w:val="24"/>
                <w:highlight w:val="none"/>
                <w:u w:val="single"/>
                <w:lang w:val="en-US" w:eastAsia="zh-CN"/>
              </w:rPr>
            </w:pPr>
            <w:r>
              <w:rPr>
                <w:rFonts w:hint="eastAsia"/>
                <w:b/>
                <w:color w:val="auto"/>
                <w:szCs w:val="21"/>
              </w:rPr>
              <w:t>优：3.6-4 分，良：3.2-3.6 分，一般：2.4-3.2 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olor w:val="auto"/>
                <w:szCs w:val="21"/>
              </w:rPr>
            </w:pPr>
            <w:r>
              <w:rPr>
                <w:rFonts w:hint="eastAsia" w:ascii="宋体"/>
                <w:color w:val="auto"/>
                <w:szCs w:val="21"/>
              </w:rPr>
              <w:t>对本工程监理建议</w:t>
            </w:r>
          </w:p>
          <w:p>
            <w:pPr>
              <w:jc w:val="center"/>
              <w:rPr>
                <w:rFonts w:hint="eastAsia" w:ascii="宋体" w:hAnsiTheme="minorHAnsi" w:eastAsiaTheme="minorEastAsia" w:cstheme="minorBidi"/>
                <w:color w:val="auto"/>
                <w:kern w:val="2"/>
                <w:sz w:val="21"/>
                <w:szCs w:val="21"/>
                <w:lang w:val="en-US" w:eastAsia="zh-CN" w:bidi="ar-SA"/>
              </w:rPr>
            </w:pPr>
            <w:r>
              <w:rPr>
                <w:rFonts w:hint="eastAsia" w:ascii="宋体"/>
                <w:color w:val="auto"/>
                <w:szCs w:val="21"/>
              </w:rPr>
              <w:t>（满分4分）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color w:val="auto"/>
                <w:szCs w:val="21"/>
              </w:rPr>
            </w:pPr>
            <w:r>
              <w:rPr>
                <w:rFonts w:hint="eastAsia"/>
                <w:color w:val="auto"/>
                <w:szCs w:val="21"/>
              </w:rPr>
              <w:t>监理建议合理，解决方案完成切实可行，符合工程特点。</w:t>
            </w:r>
          </w:p>
          <w:p>
            <w:pPr>
              <w:spacing w:line="400" w:lineRule="exact"/>
              <w:rPr>
                <w:rFonts w:hint="eastAsia" w:ascii="Times New Roman" w:hAnsi="Times New Roman" w:cs="Times New Roman"/>
                <w:i/>
                <w:iCs/>
                <w:color w:val="auto"/>
                <w:kern w:val="0"/>
                <w:sz w:val="24"/>
                <w:szCs w:val="24"/>
                <w:highlight w:val="none"/>
                <w:u w:val="single"/>
                <w:lang w:val="en-US" w:eastAsia="zh-CN"/>
              </w:rPr>
            </w:pPr>
            <w:r>
              <w:rPr>
                <w:rFonts w:hint="eastAsia"/>
                <w:b/>
                <w:color w:val="auto"/>
                <w:szCs w:val="21"/>
              </w:rPr>
              <w:t>优：3.6-4 分，良：3.2-3.6 分，一般：2.4-3.2 分，差：0分。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682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hAnsi="宋体"/>
                <w:color w:val="auto"/>
              </w:rPr>
              <w:t>所有评委的评分去掉一个最高分和一个最低分后的平均值，即为该投标人的施工组织设计最终得分，最终得分保留两位小数。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spacing w:line="320" w:lineRule="exact"/>
              <w:jc w:val="center"/>
              <w:rPr>
                <w:rFonts w:hint="eastAsia" w:hAnsi="宋体"/>
                <w:color w:val="auto"/>
              </w:rPr>
            </w:pPr>
            <w:r>
              <w:rPr>
                <w:rFonts w:hint="eastAsia" w:hAnsi="宋体"/>
                <w:color w:val="auto"/>
              </w:rPr>
              <w:t>企业</w:t>
            </w:r>
          </w:p>
          <w:p>
            <w:pPr>
              <w:spacing w:line="320" w:lineRule="exact"/>
              <w:jc w:val="center"/>
              <w:rPr>
                <w:rFonts w:hint="eastAsia" w:hAnsi="宋体"/>
                <w:color w:val="auto"/>
              </w:rPr>
            </w:pPr>
            <w:r>
              <w:rPr>
                <w:rFonts w:hint="eastAsia" w:hAnsi="宋体"/>
                <w:color w:val="auto"/>
              </w:rPr>
              <w:t>荣誉</w:t>
            </w:r>
          </w:p>
          <w:p>
            <w:pPr>
              <w:spacing w:line="320" w:lineRule="exact"/>
              <w:jc w:val="center"/>
              <w:rPr>
                <w:rFonts w:hint="eastAsia" w:hAnsi="宋体"/>
                <w:color w:val="auto"/>
              </w:rPr>
            </w:pPr>
            <w:r>
              <w:rPr>
                <w:rFonts w:hint="eastAsia" w:hAnsi="宋体"/>
                <w:color w:val="auto"/>
              </w:rPr>
              <w:t>（满分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hAnsi="宋体"/>
                <w:color w:val="auto"/>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color w:val="auto"/>
                <w:szCs w:val="21"/>
              </w:rPr>
            </w:pPr>
            <w:r>
              <w:rPr>
                <w:rFonts w:hint="eastAsia"/>
                <w:color w:val="auto"/>
                <w:szCs w:val="21"/>
              </w:rPr>
              <w:t>企业类似业绩</w:t>
            </w:r>
          </w:p>
          <w:p>
            <w:pPr>
              <w:spacing w:line="320" w:lineRule="exact"/>
              <w:jc w:val="center"/>
              <w:rPr>
                <w:rFonts w:hint="default" w:ascii="Times New Roman" w:hAnsi="Times New Roman" w:cs="Times New Roman"/>
                <w:color w:val="auto"/>
                <w:kern w:val="0"/>
                <w:sz w:val="24"/>
                <w:szCs w:val="24"/>
                <w:highlight w:val="none"/>
                <w:lang w:val="en-US" w:eastAsia="zh-CN"/>
              </w:rPr>
            </w:pPr>
            <w:r>
              <w:rPr>
                <w:rFonts w:hint="eastAsia"/>
                <w:color w:val="auto"/>
                <w:szCs w:val="21"/>
              </w:rPr>
              <w:t>（满分1</w:t>
            </w:r>
            <w:r>
              <w:rPr>
                <w:rFonts w:hint="eastAsia"/>
                <w:color w:val="auto"/>
                <w:szCs w:val="21"/>
                <w:lang w:val="en-US" w:eastAsia="zh-CN"/>
              </w:rPr>
              <w:t>5</w:t>
            </w:r>
            <w:r>
              <w:rPr>
                <w:rFonts w:hint="eastAsia"/>
                <w:color w:val="auto"/>
                <w:szCs w:val="21"/>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rPr>
                <w:rFonts w:hint="default" w:ascii="Times New Roman" w:hAnsi="Times New Roman" w:cs="Times New Roman"/>
                <w:color w:val="auto"/>
                <w:kern w:val="0"/>
                <w:sz w:val="24"/>
                <w:szCs w:val="24"/>
                <w:highlight w:val="none"/>
                <w:lang w:val="en-US" w:eastAsia="zh-CN"/>
              </w:rPr>
            </w:pPr>
            <w:r>
              <w:rPr>
                <w:rFonts w:hint="eastAsia"/>
                <w:color w:val="auto"/>
              </w:rPr>
              <w:t>在满足招标公告类似项目业绩要求的基础上，企业再提供</w:t>
            </w:r>
            <w:r>
              <w:rPr>
                <w:color w:val="auto"/>
              </w:rPr>
              <w:t>1</w:t>
            </w:r>
            <w:r>
              <w:rPr>
                <w:rFonts w:hint="eastAsia"/>
                <w:color w:val="auto"/>
              </w:rPr>
              <w:t>个所监理的单项合同金额</w:t>
            </w:r>
            <w:r>
              <w:rPr>
                <w:rFonts w:hint="eastAsia"/>
                <w:color w:val="auto"/>
                <w:lang w:val="en-US" w:eastAsia="zh-CN"/>
              </w:rPr>
              <w:t>不低于50</w:t>
            </w:r>
            <w:r>
              <w:rPr>
                <w:rFonts w:hint="eastAsia"/>
                <w:color w:val="auto"/>
              </w:rPr>
              <w:t>万元</w:t>
            </w:r>
            <w:r>
              <w:rPr>
                <w:rFonts w:hint="eastAsia"/>
                <w:color w:val="auto"/>
                <w:lang w:val="en-US" w:eastAsia="zh-CN"/>
              </w:rPr>
              <w:t>的公路工程监理</w:t>
            </w:r>
            <w:r>
              <w:rPr>
                <w:rFonts w:hint="eastAsia"/>
                <w:b/>
                <w:color w:val="auto"/>
              </w:rPr>
              <w:t xml:space="preserve">业绩 </w:t>
            </w:r>
            <w:r>
              <w:rPr>
                <w:rFonts w:hint="eastAsia"/>
                <w:color w:val="auto"/>
              </w:rPr>
              <w:t>，得5分，满分</w:t>
            </w:r>
            <w:r>
              <w:rPr>
                <w:rFonts w:hint="eastAsia"/>
                <w:color w:val="auto"/>
                <w:lang w:val="en-US" w:eastAsia="zh-CN"/>
              </w:rPr>
              <w:t>15</w:t>
            </w:r>
            <w:r>
              <w:rPr>
                <w:rFonts w:hint="eastAsia"/>
                <w:color w:val="auto"/>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color w:val="auto"/>
                <w:szCs w:val="21"/>
              </w:rPr>
            </w:pPr>
            <w:r>
              <w:rPr>
                <w:rFonts w:hint="eastAsia"/>
                <w:color w:val="auto"/>
                <w:szCs w:val="21"/>
              </w:rPr>
              <w:t>拟派项目总监理工程师类似项目业绩</w:t>
            </w:r>
          </w:p>
          <w:p>
            <w:pPr>
              <w:spacing w:line="320" w:lineRule="exact"/>
              <w:jc w:val="center"/>
              <w:rPr>
                <w:rFonts w:hint="default" w:ascii="Times New Roman" w:hAnsi="Times New Roman" w:cs="Times New Roman"/>
                <w:i/>
                <w:iCs/>
                <w:color w:val="auto"/>
                <w:kern w:val="0"/>
                <w:sz w:val="24"/>
                <w:szCs w:val="24"/>
                <w:highlight w:val="none"/>
                <w:u w:val="single"/>
                <w:lang w:val="en-US" w:eastAsia="zh-CN"/>
              </w:rPr>
            </w:pPr>
            <w:r>
              <w:rPr>
                <w:rFonts w:hint="eastAsia"/>
                <w:color w:val="auto"/>
                <w:szCs w:val="21"/>
              </w:rPr>
              <w:t>（满分10分）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rPr>
                <w:rFonts w:hint="eastAsia" w:ascii="Times New Roman" w:hAnsi="Times New Roman" w:cs="Times New Roman"/>
                <w:i/>
                <w:iCs/>
                <w:color w:val="auto"/>
                <w:kern w:val="0"/>
                <w:sz w:val="24"/>
                <w:szCs w:val="24"/>
                <w:highlight w:val="none"/>
                <w:u w:val="single"/>
                <w:lang w:val="en-US" w:eastAsia="zh-CN"/>
              </w:rPr>
            </w:pPr>
            <w:r>
              <w:rPr>
                <w:rFonts w:hint="eastAsia"/>
                <w:color w:val="auto"/>
                <w:szCs w:val="21"/>
              </w:rPr>
              <w:t>拟派总监理工程师以总监理工程师身份所监理的单项合同金额</w:t>
            </w:r>
            <w:r>
              <w:rPr>
                <w:rFonts w:hint="eastAsia"/>
                <w:color w:val="auto"/>
                <w:szCs w:val="21"/>
                <w:lang w:val="en-US" w:eastAsia="zh-CN"/>
              </w:rPr>
              <w:t>不低于50</w:t>
            </w:r>
            <w:r>
              <w:rPr>
                <w:rFonts w:hint="eastAsia"/>
                <w:color w:val="auto"/>
                <w:szCs w:val="21"/>
              </w:rPr>
              <w:t>万元</w:t>
            </w:r>
            <w:r>
              <w:rPr>
                <w:rFonts w:hint="eastAsia"/>
                <w:color w:val="auto"/>
                <w:szCs w:val="21"/>
                <w:lang w:val="en-US" w:eastAsia="zh-CN"/>
              </w:rPr>
              <w:t>的公路工程监理业</w:t>
            </w:r>
            <w:r>
              <w:rPr>
                <w:rFonts w:hint="eastAsia"/>
                <w:color w:val="auto"/>
                <w:szCs w:val="21"/>
              </w:rPr>
              <w:t>绩 ，得5分，满分</w:t>
            </w:r>
            <w:r>
              <w:rPr>
                <w:rFonts w:hint="eastAsia"/>
                <w:color w:val="auto"/>
                <w:szCs w:val="21"/>
                <w:lang w:val="en-US" w:eastAsia="zh-CN"/>
              </w:rPr>
              <w:t>10</w:t>
            </w:r>
            <w:r>
              <w:rPr>
                <w:rFonts w:hint="eastAsia"/>
                <w:color w:val="auto"/>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vMerge w:val="restart"/>
            <w:tcBorders>
              <w:top w:val="single" w:color="auto" w:sz="4" w:space="0"/>
              <w:left w:val="single" w:color="auto" w:sz="4" w:space="0"/>
              <w:right w:val="single" w:color="auto" w:sz="4" w:space="0"/>
            </w:tcBorders>
            <w:noWrap w:val="0"/>
            <w:vAlign w:val="center"/>
          </w:tcPr>
          <w:p>
            <w:pPr>
              <w:spacing w:line="440" w:lineRule="exact"/>
              <w:jc w:val="center"/>
              <w:rPr>
                <w:rFonts w:hint="eastAsia"/>
                <w:color w:val="auto"/>
                <w:szCs w:val="21"/>
              </w:rPr>
            </w:pPr>
            <w:r>
              <w:rPr>
                <w:rFonts w:hint="eastAsia"/>
                <w:color w:val="auto"/>
                <w:szCs w:val="21"/>
              </w:rPr>
              <w:t>企业信用</w:t>
            </w:r>
          </w:p>
          <w:p>
            <w:pPr>
              <w:spacing w:line="320" w:lineRule="exact"/>
              <w:jc w:val="center"/>
              <w:rPr>
                <w:rFonts w:hint="eastAsia"/>
                <w:color w:val="auto"/>
                <w:szCs w:val="21"/>
              </w:rPr>
            </w:pPr>
            <w:r>
              <w:rPr>
                <w:rFonts w:hint="eastAsia"/>
                <w:color w:val="auto"/>
                <w:szCs w:val="21"/>
              </w:rPr>
              <w:t>（满分</w:t>
            </w:r>
            <w:r>
              <w:rPr>
                <w:rFonts w:hint="eastAsia"/>
                <w:color w:val="auto"/>
                <w:szCs w:val="21"/>
                <w:lang w:val="en-US" w:eastAsia="zh-CN"/>
              </w:rPr>
              <w:t>25</w:t>
            </w:r>
            <w:r>
              <w:rPr>
                <w:rFonts w:hint="eastAsia"/>
                <w:color w:val="auto"/>
                <w:szCs w:val="21"/>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ind w:firstLine="0" w:firstLineChars="0"/>
              <w:jc w:val="left"/>
              <w:rPr>
                <w:color w:val="auto"/>
                <w:highlight w:val="none"/>
              </w:rPr>
            </w:pPr>
            <w:r>
              <w:rPr>
                <w:rFonts w:hint="eastAsia" w:ascii="宋体" w:hAnsi="宋体"/>
                <w:color w:val="auto"/>
                <w:szCs w:val="21"/>
                <w:highlight w:val="none"/>
              </w:rPr>
              <w:t>（1）</w:t>
            </w:r>
            <w:r>
              <w:rPr>
                <w:rFonts w:hint="default"/>
                <w:color w:val="auto"/>
                <w:kern w:val="2"/>
                <w:szCs w:val="24"/>
                <w:highlight w:val="none"/>
              </w:rPr>
              <w:t>201</w:t>
            </w:r>
            <w:r>
              <w:rPr>
                <w:rFonts w:hint="eastAsia"/>
                <w:color w:val="auto"/>
                <w:kern w:val="2"/>
                <w:szCs w:val="24"/>
                <w:highlight w:val="none"/>
                <w:lang w:val="en-US" w:eastAsia="zh-CN"/>
              </w:rPr>
              <w:t>8</w:t>
            </w:r>
            <w:r>
              <w:rPr>
                <w:rFonts w:hint="eastAsia"/>
                <w:color w:val="auto"/>
                <w:highlight w:val="none"/>
              </w:rPr>
              <w:t>年</w:t>
            </w:r>
            <w:r>
              <w:rPr>
                <w:rFonts w:hint="eastAsia"/>
                <w:color w:val="auto"/>
                <w:highlight w:val="none"/>
                <w:lang w:val="en-US" w:eastAsia="zh-CN"/>
              </w:rPr>
              <w:t>1</w:t>
            </w:r>
            <w:r>
              <w:rPr>
                <w:rFonts w:hint="eastAsia"/>
                <w:color w:val="auto"/>
                <w:highlight w:val="none"/>
              </w:rPr>
              <w:t>月1日至投标截止时间，投标人监理的</w:t>
            </w:r>
            <w:r>
              <w:rPr>
                <w:rFonts w:hint="eastAsia"/>
                <w:color w:val="auto"/>
                <w:highlight w:val="none"/>
                <w:lang w:val="en-US" w:eastAsia="zh-CN"/>
              </w:rPr>
              <w:t>公路工程</w:t>
            </w:r>
            <w:r>
              <w:rPr>
                <w:rFonts w:hint="eastAsia" w:cs="Times New Roman"/>
                <w:color w:val="auto"/>
                <w:szCs w:val="21"/>
                <w:highlight w:val="none"/>
                <w:lang w:eastAsia="zh-CN"/>
              </w:rPr>
              <w:t>项目荣获</w:t>
            </w:r>
            <w:r>
              <w:rPr>
                <w:rFonts w:hint="eastAsia" w:cs="Times New Roman"/>
                <w:color w:val="auto"/>
                <w:szCs w:val="21"/>
                <w:highlight w:val="none"/>
                <w:lang w:val="en-US" w:eastAsia="zh-CN"/>
              </w:rPr>
              <w:t>市级</w:t>
            </w:r>
            <w:r>
              <w:rPr>
                <w:rFonts w:hint="eastAsia"/>
                <w:color w:val="auto"/>
                <w:highlight w:val="none"/>
                <w:lang w:eastAsia="zh-CN"/>
              </w:rPr>
              <w:t>及以上</w:t>
            </w:r>
            <w:r>
              <w:rPr>
                <w:rFonts w:hint="eastAsia"/>
                <w:color w:val="auto"/>
                <w:highlight w:val="none"/>
              </w:rPr>
              <w:t>优质工程奖，</w:t>
            </w:r>
            <w:r>
              <w:rPr>
                <w:rFonts w:hint="eastAsia"/>
                <w:color w:val="auto"/>
                <w:highlight w:val="none"/>
                <w:lang w:eastAsia="zh-CN"/>
              </w:rPr>
              <w:t>（如：省级“黄山杯”；市级“芍</w:t>
            </w:r>
            <w:r>
              <w:rPr>
                <w:rFonts w:hint="eastAsia"/>
                <w:color w:val="auto"/>
                <w:highlight w:val="none"/>
                <w:lang w:val="en-US" w:eastAsia="zh-CN"/>
              </w:rPr>
              <w:t>花</w:t>
            </w:r>
            <w:r>
              <w:rPr>
                <w:rFonts w:hint="eastAsia"/>
                <w:color w:val="auto"/>
                <w:highlight w:val="none"/>
                <w:lang w:eastAsia="zh-CN"/>
              </w:rPr>
              <w:t>杯”、“庐州杯”、“皋城杯”、“颍州杯”等）</w:t>
            </w:r>
            <w:r>
              <w:rPr>
                <w:rFonts w:hint="eastAsia"/>
                <w:color w:val="auto"/>
                <w:highlight w:val="none"/>
              </w:rPr>
              <w:t>每个</w:t>
            </w:r>
            <w:r>
              <w:rPr>
                <w:rFonts w:hint="eastAsia"/>
                <w:color w:val="auto"/>
                <w:highlight w:val="none"/>
                <w:lang w:val="en-US" w:eastAsia="zh-CN"/>
              </w:rPr>
              <w:t>5</w:t>
            </w:r>
            <w:r>
              <w:rPr>
                <w:rFonts w:hint="default"/>
                <w:color w:val="auto"/>
                <w:kern w:val="2"/>
                <w:szCs w:val="24"/>
                <w:highlight w:val="none"/>
              </w:rPr>
              <w:t>分</w:t>
            </w:r>
            <w:r>
              <w:rPr>
                <w:rFonts w:hint="eastAsia"/>
                <w:color w:val="auto"/>
                <w:highlight w:val="none"/>
              </w:rPr>
              <w:t>，本项满分</w:t>
            </w:r>
            <w:r>
              <w:rPr>
                <w:rFonts w:hint="eastAsia"/>
                <w:color w:val="auto"/>
                <w:highlight w:val="none"/>
                <w:lang w:val="en-US" w:eastAsia="zh-CN"/>
              </w:rPr>
              <w:t>5</w:t>
            </w:r>
            <w:r>
              <w:rPr>
                <w:rFonts w:hint="eastAsia"/>
                <w:color w:val="auto"/>
                <w:highlight w:val="none"/>
              </w:rPr>
              <w:t>分。</w:t>
            </w:r>
            <w:r>
              <w:rPr>
                <w:color w:val="auto"/>
                <w:highlight w:val="none"/>
              </w:rPr>
              <w:t>同时需附截图以方便查询，否则不予认可。</w:t>
            </w:r>
          </w:p>
          <w:p>
            <w:pPr>
              <w:widowControl/>
              <w:adjustRightInd w:val="0"/>
              <w:snapToGrid w:val="0"/>
              <w:ind w:firstLine="0" w:firstLineChars="0"/>
              <w:jc w:val="left"/>
              <w:rPr>
                <w:color w:val="auto"/>
                <w:highlight w:val="none"/>
              </w:rPr>
            </w:pPr>
            <w:r>
              <w:rPr>
                <w:rFonts w:hint="eastAsia"/>
                <w:color w:val="auto"/>
                <w:highlight w:val="none"/>
              </w:rPr>
              <w:t>注：</w:t>
            </w:r>
          </w:p>
          <w:p>
            <w:pPr>
              <w:widowControl/>
              <w:adjustRightInd w:val="0"/>
              <w:snapToGrid w:val="0"/>
              <w:ind w:firstLine="0" w:firstLineChars="0"/>
              <w:jc w:val="left"/>
              <w:rPr>
                <w:color w:val="auto"/>
                <w:highlight w:val="none"/>
              </w:rPr>
            </w:pPr>
            <w:r>
              <w:rPr>
                <w:rFonts w:hint="eastAsia"/>
                <w:color w:val="auto"/>
                <w:highlight w:val="none"/>
                <w:lang w:val="en-US" w:eastAsia="zh-CN"/>
              </w:rPr>
              <w:t>a</w:t>
            </w:r>
            <w:r>
              <w:rPr>
                <w:rFonts w:hint="eastAsia"/>
                <w:color w:val="auto"/>
                <w:highlight w:val="none"/>
              </w:rPr>
              <w:t>同一项目多次获奖仅计一次，不重复计分。</w:t>
            </w:r>
          </w:p>
          <w:p>
            <w:pPr>
              <w:widowControl/>
              <w:adjustRightInd w:val="0"/>
              <w:snapToGrid w:val="0"/>
              <w:ind w:firstLine="0" w:firstLineChars="0"/>
              <w:jc w:val="left"/>
              <w:rPr>
                <w:rFonts w:hint="eastAsia"/>
                <w:color w:val="auto"/>
                <w:highlight w:val="none"/>
              </w:rPr>
            </w:pPr>
            <w:r>
              <w:rPr>
                <w:rFonts w:hint="eastAsia"/>
                <w:color w:val="auto"/>
                <w:highlight w:val="none"/>
                <w:lang w:val="en-US" w:eastAsia="zh-CN"/>
              </w:rPr>
              <w:t>b</w:t>
            </w:r>
            <w:r>
              <w:rPr>
                <w:rFonts w:hint="eastAsia"/>
                <w:color w:val="auto"/>
                <w:highlight w:val="none"/>
              </w:rPr>
              <w:t>获奖时间以获奖证书</w:t>
            </w:r>
            <w:r>
              <w:rPr>
                <w:rFonts w:hint="eastAsia"/>
                <w:color w:val="auto"/>
                <w:kern w:val="2"/>
                <w:szCs w:val="24"/>
                <w:highlight w:val="none"/>
                <w:lang w:val="en-US" w:eastAsia="zh-CN"/>
              </w:rPr>
              <w:t>、</w:t>
            </w:r>
            <w:r>
              <w:rPr>
                <w:rFonts w:hint="default"/>
                <w:color w:val="auto"/>
                <w:kern w:val="2"/>
                <w:szCs w:val="24"/>
                <w:highlight w:val="none"/>
                <w:lang w:val="en-US" w:eastAsia="zh-CN"/>
              </w:rPr>
              <w:t>文件</w:t>
            </w:r>
            <w:r>
              <w:rPr>
                <w:rFonts w:hint="eastAsia"/>
                <w:color w:val="auto"/>
                <w:highlight w:val="none"/>
              </w:rPr>
              <w:t>颁发时间或获奖通知公告为准（不包含获奖公示）。</w:t>
            </w:r>
          </w:p>
          <w:p>
            <w:pPr>
              <w:spacing w:line="360" w:lineRule="exact"/>
              <w:rPr>
                <w:rFonts w:hint="default" w:ascii="宋体" w:hAnsi="宋体" w:eastAsiaTheme="minorEastAsia" w:cstheme="minorBidi"/>
                <w:color w:val="auto"/>
                <w:kern w:val="2"/>
                <w:sz w:val="21"/>
                <w:szCs w:val="21"/>
                <w:highlight w:val="none"/>
                <w:lang w:val="en-US" w:eastAsia="zh-CN" w:bidi="ar-SA"/>
              </w:rPr>
            </w:pPr>
            <w:r>
              <w:rPr>
                <w:rFonts w:hint="eastAsia"/>
                <w:color w:val="auto"/>
                <w:highlight w:val="none"/>
                <w:lang w:val="en-US" w:eastAsia="zh-CN"/>
              </w:rPr>
              <w:t>c</w:t>
            </w:r>
            <w:r>
              <w:rPr>
                <w:rFonts w:hint="eastAsia"/>
                <w:color w:val="auto"/>
                <w:highlight w:val="none"/>
              </w:rPr>
              <w:t>获奖时间以获奖证书</w:t>
            </w:r>
            <w:r>
              <w:rPr>
                <w:rFonts w:hint="eastAsia"/>
                <w:color w:val="auto"/>
                <w:kern w:val="2"/>
                <w:szCs w:val="24"/>
                <w:highlight w:val="none"/>
                <w:lang w:val="en-US" w:eastAsia="zh-CN"/>
              </w:rPr>
              <w:t>、</w:t>
            </w:r>
            <w:r>
              <w:rPr>
                <w:rFonts w:hint="default"/>
                <w:color w:val="auto"/>
                <w:kern w:val="2"/>
                <w:szCs w:val="24"/>
                <w:highlight w:val="none"/>
                <w:lang w:val="en-US" w:eastAsia="zh-CN"/>
              </w:rPr>
              <w:t>文件</w:t>
            </w:r>
            <w:r>
              <w:rPr>
                <w:rFonts w:hint="eastAsia"/>
                <w:color w:val="auto"/>
                <w:highlight w:val="none"/>
                <w:lang w:eastAsia="zh-CN"/>
              </w:rPr>
              <w:t>、</w:t>
            </w:r>
            <w:r>
              <w:rPr>
                <w:rFonts w:hint="eastAsia"/>
                <w:color w:val="auto"/>
                <w:highlight w:val="none"/>
              </w:rPr>
              <w:t>获奖通知公告</w:t>
            </w:r>
            <w:r>
              <w:rPr>
                <w:rFonts w:hint="eastAsia"/>
                <w:color w:val="auto"/>
                <w:highlight w:val="none"/>
                <w:lang w:val="en-US" w:eastAsia="zh-CN"/>
              </w:rPr>
              <w:t>需体现投标人名称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vMerge w:val="continue"/>
            <w:tcBorders>
              <w:left w:val="single" w:color="auto" w:sz="4" w:space="0"/>
              <w:right w:val="single" w:color="auto" w:sz="4" w:space="0"/>
            </w:tcBorders>
            <w:noWrap w:val="0"/>
            <w:vAlign w:val="center"/>
          </w:tcPr>
          <w:p>
            <w:pPr>
              <w:spacing w:line="320" w:lineRule="exact"/>
              <w:jc w:val="center"/>
              <w:rPr>
                <w:rFonts w:hint="eastAsia"/>
                <w:color w:val="auto"/>
                <w:szCs w:val="21"/>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ind w:firstLine="0" w:firstLineChars="0"/>
              <w:jc w:val="left"/>
              <w:rPr>
                <w:rFonts w:hint="eastAsia"/>
                <w:color w:val="auto"/>
                <w:kern w:val="2"/>
                <w:szCs w:val="24"/>
                <w:highlight w:val="yellow"/>
                <w:lang w:val="en-US" w:eastAsia="zh-CN"/>
              </w:rPr>
            </w:pPr>
            <w:r>
              <w:rPr>
                <w:rFonts w:hint="eastAsia"/>
                <w:color w:val="auto"/>
                <w:szCs w:val="21"/>
              </w:rPr>
              <w:t>（2）</w:t>
            </w:r>
            <w:r>
              <w:rPr>
                <w:rFonts w:hint="eastAsia" w:ascii="Calibri" w:hAnsi="Calibri" w:eastAsia="宋体" w:cs="Times New Roman"/>
                <w:color w:val="auto"/>
                <w:szCs w:val="21"/>
              </w:rPr>
              <w:t>拟派总监理工程师以总监理工程师身份所监理</w:t>
            </w:r>
            <w:r>
              <w:rPr>
                <w:rFonts w:hint="eastAsia" w:cs="Times New Roman"/>
                <w:color w:val="auto"/>
                <w:szCs w:val="21"/>
                <w:lang w:eastAsia="zh-CN"/>
              </w:rPr>
              <w:t>的</w:t>
            </w:r>
            <w:r>
              <w:rPr>
                <w:rFonts w:hint="eastAsia"/>
                <w:color w:val="auto"/>
                <w:lang w:val="en-US" w:eastAsia="zh-CN"/>
              </w:rPr>
              <w:t>公路工程</w:t>
            </w:r>
            <w:r>
              <w:rPr>
                <w:rFonts w:hint="eastAsia" w:cs="Times New Roman"/>
                <w:color w:val="auto"/>
                <w:szCs w:val="21"/>
                <w:lang w:eastAsia="zh-CN"/>
              </w:rPr>
              <w:t>项目荣获</w:t>
            </w:r>
            <w:r>
              <w:rPr>
                <w:rFonts w:hint="eastAsia"/>
                <w:color w:val="auto"/>
                <w:lang w:eastAsia="zh-CN"/>
              </w:rPr>
              <w:t>市级及以上</w:t>
            </w:r>
            <w:r>
              <w:rPr>
                <w:rFonts w:hint="eastAsia"/>
                <w:color w:val="auto"/>
              </w:rPr>
              <w:t>优质工程奖，</w:t>
            </w:r>
            <w:r>
              <w:rPr>
                <w:rFonts w:hint="eastAsia"/>
                <w:color w:val="auto"/>
                <w:lang w:eastAsia="zh-CN"/>
              </w:rPr>
              <w:t>（如：省级“黄山杯”；市级“芍</w:t>
            </w:r>
            <w:r>
              <w:rPr>
                <w:rFonts w:hint="eastAsia"/>
                <w:color w:val="auto"/>
                <w:lang w:val="en-US" w:eastAsia="zh-CN"/>
              </w:rPr>
              <w:t>花</w:t>
            </w:r>
            <w:r>
              <w:rPr>
                <w:rFonts w:hint="eastAsia"/>
                <w:color w:val="auto"/>
                <w:lang w:eastAsia="zh-CN"/>
              </w:rPr>
              <w:t>杯”、“庐州</w:t>
            </w:r>
            <w:r>
              <w:rPr>
                <w:rFonts w:hint="eastAsia"/>
                <w:color w:val="auto"/>
                <w:highlight w:val="none"/>
                <w:lang w:eastAsia="zh-CN"/>
              </w:rPr>
              <w:t>杯”、“皋城杯”、“颍州杯”等）</w:t>
            </w:r>
            <w:r>
              <w:rPr>
                <w:rFonts w:hint="eastAsia"/>
                <w:color w:val="auto"/>
                <w:highlight w:val="none"/>
              </w:rPr>
              <w:t>每个</w:t>
            </w:r>
            <w:r>
              <w:rPr>
                <w:rFonts w:hint="eastAsia"/>
                <w:color w:val="auto"/>
                <w:highlight w:val="none"/>
                <w:lang w:val="en-US" w:eastAsia="zh-CN"/>
              </w:rPr>
              <w:t>5</w:t>
            </w:r>
            <w:r>
              <w:rPr>
                <w:rFonts w:hint="default"/>
                <w:color w:val="auto"/>
                <w:kern w:val="2"/>
                <w:szCs w:val="24"/>
                <w:highlight w:val="none"/>
              </w:rPr>
              <w:t>分</w:t>
            </w:r>
            <w:r>
              <w:rPr>
                <w:rFonts w:hint="eastAsia"/>
                <w:color w:val="auto"/>
                <w:kern w:val="2"/>
                <w:szCs w:val="24"/>
                <w:highlight w:val="none"/>
                <w:lang w:eastAsia="zh-CN"/>
              </w:rPr>
              <w:t>，满分</w:t>
            </w:r>
            <w:r>
              <w:rPr>
                <w:rFonts w:hint="eastAsia"/>
                <w:color w:val="auto"/>
                <w:kern w:val="2"/>
                <w:szCs w:val="24"/>
                <w:highlight w:val="none"/>
                <w:lang w:val="en-US" w:eastAsia="zh-CN"/>
              </w:rPr>
              <w:t>5分。</w:t>
            </w:r>
          </w:p>
          <w:p>
            <w:pPr>
              <w:spacing w:line="360" w:lineRule="exact"/>
              <w:rPr>
                <w:rFonts w:hint="eastAsia" w:asciiTheme="minorHAnsi" w:hAnsiTheme="minorHAnsi" w:eastAsiaTheme="minorEastAsia" w:cstheme="minorBidi"/>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vMerge w:val="continue"/>
            <w:tcBorders>
              <w:left w:val="single" w:color="auto" w:sz="4" w:space="0"/>
              <w:bottom w:val="single" w:color="auto" w:sz="4" w:space="0"/>
              <w:right w:val="single" w:color="auto" w:sz="4" w:space="0"/>
            </w:tcBorders>
            <w:noWrap w:val="0"/>
            <w:vAlign w:val="center"/>
          </w:tcPr>
          <w:p>
            <w:pPr>
              <w:spacing w:line="320" w:lineRule="exact"/>
              <w:jc w:val="center"/>
              <w:rPr>
                <w:rFonts w:hint="eastAsia"/>
                <w:color w:val="auto"/>
                <w:szCs w:val="21"/>
              </w:rPr>
            </w:pP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Times New Roman" w:hAnsi="Times New Roman" w:eastAsia="宋体" w:cs="Times New Roman"/>
                <w:color w:val="auto"/>
                <w:spacing w:val="0"/>
                <w:sz w:val="21"/>
                <w:szCs w:val="24"/>
              </w:rPr>
            </w:pPr>
            <w:r>
              <w:rPr>
                <w:rFonts w:hint="eastAsia"/>
                <w:color w:val="auto"/>
                <w:szCs w:val="21"/>
              </w:rPr>
              <w:t>（3）</w:t>
            </w:r>
            <w:r>
              <w:rPr>
                <w:rFonts w:hint="eastAsia" w:ascii="Times New Roman" w:hAnsi="Times New Roman" w:eastAsia="宋体" w:cs="Times New Roman"/>
                <w:color w:val="auto"/>
                <w:spacing w:val="0"/>
                <w:sz w:val="21"/>
                <w:szCs w:val="24"/>
                <w:lang w:val="en-US" w:eastAsia="zh-CN"/>
              </w:rPr>
              <w:t>201</w:t>
            </w:r>
            <w:r>
              <w:rPr>
                <w:rFonts w:hint="eastAsia" w:ascii="Times New Roman" w:hAnsi="Times New Roman" w:cs="Times New Roman"/>
                <w:color w:val="auto"/>
                <w:spacing w:val="0"/>
                <w:sz w:val="21"/>
                <w:szCs w:val="24"/>
                <w:lang w:val="en-US" w:eastAsia="zh-CN"/>
              </w:rPr>
              <w:t>9</w:t>
            </w:r>
            <w:r>
              <w:rPr>
                <w:rFonts w:hint="eastAsia" w:ascii="Times New Roman" w:hAnsi="Times New Roman" w:eastAsia="宋体" w:cs="Times New Roman"/>
                <w:color w:val="auto"/>
                <w:spacing w:val="0"/>
                <w:sz w:val="21"/>
                <w:szCs w:val="24"/>
                <w:lang w:val="en-US" w:eastAsia="zh-CN"/>
              </w:rPr>
              <w:t>-2021年度，</w:t>
            </w:r>
            <w:r>
              <w:rPr>
                <w:rFonts w:hint="eastAsia" w:ascii="Times New Roman" w:hAnsi="Times New Roman" w:eastAsia="宋体" w:cs="Times New Roman"/>
                <w:color w:val="auto"/>
                <w:spacing w:val="0"/>
                <w:sz w:val="21"/>
                <w:szCs w:val="24"/>
              </w:rPr>
              <w:t>投标监理单位在安徽省公路工程监理信用评价</w:t>
            </w:r>
            <w:r>
              <w:rPr>
                <w:rFonts w:hint="eastAsia" w:ascii="宋体" w:hAnsi="宋体" w:eastAsia="宋体" w:cs="宋体"/>
                <w:color w:val="auto"/>
                <w:kern w:val="0"/>
                <w:sz w:val="21"/>
                <w:szCs w:val="21"/>
                <w:lang w:val="en-US" w:eastAsia="zh-CN" w:bidi="ar"/>
              </w:rPr>
              <w:t>系统或全国公路建设市场信用信息管理系统监理企业信用评价</w:t>
            </w:r>
            <w:r>
              <w:rPr>
                <w:rFonts w:hint="eastAsia" w:ascii="Times New Roman" w:hAnsi="Times New Roman" w:eastAsia="宋体" w:cs="Times New Roman"/>
                <w:color w:val="auto"/>
                <w:spacing w:val="0"/>
                <w:sz w:val="21"/>
                <w:szCs w:val="24"/>
              </w:rPr>
              <w:t>等级为AA级的</w:t>
            </w:r>
            <w:r>
              <w:rPr>
                <w:rFonts w:hint="eastAsia" w:ascii="Times New Roman" w:hAnsi="Times New Roman" w:cs="Times New Roman"/>
                <w:color w:val="auto"/>
                <w:spacing w:val="0"/>
                <w:sz w:val="21"/>
                <w:szCs w:val="24"/>
                <w:lang w:eastAsia="zh-CN"/>
              </w:rPr>
              <w:t>每一年</w:t>
            </w:r>
            <w:r>
              <w:rPr>
                <w:rFonts w:hint="eastAsia" w:ascii="Times New Roman" w:hAnsi="Times New Roman" w:eastAsia="宋体" w:cs="Times New Roman"/>
                <w:color w:val="auto"/>
                <w:spacing w:val="0"/>
                <w:sz w:val="21"/>
                <w:szCs w:val="24"/>
              </w:rPr>
              <w:t>得</w:t>
            </w:r>
            <w:r>
              <w:rPr>
                <w:rFonts w:hint="eastAsia" w:ascii="Times New Roman" w:hAnsi="Times New Roman" w:cs="Times New Roman"/>
                <w:color w:val="auto"/>
                <w:spacing w:val="0"/>
                <w:sz w:val="21"/>
                <w:szCs w:val="24"/>
                <w:lang w:val="en-US" w:eastAsia="zh-CN"/>
              </w:rPr>
              <w:t>5</w:t>
            </w:r>
            <w:r>
              <w:rPr>
                <w:rFonts w:hint="eastAsia" w:ascii="Times New Roman" w:hAnsi="Times New Roman" w:eastAsia="宋体" w:cs="Times New Roman"/>
                <w:color w:val="auto"/>
                <w:spacing w:val="0"/>
                <w:sz w:val="21"/>
                <w:szCs w:val="24"/>
              </w:rPr>
              <w:t>分，A级的得</w:t>
            </w:r>
            <w:r>
              <w:rPr>
                <w:rFonts w:hint="eastAsia" w:ascii="Times New Roman" w:hAnsi="Times New Roman" w:cs="Times New Roman"/>
                <w:color w:val="auto"/>
                <w:spacing w:val="0"/>
                <w:sz w:val="21"/>
                <w:szCs w:val="24"/>
                <w:lang w:val="en-US" w:eastAsia="zh-CN"/>
              </w:rPr>
              <w:t>3</w:t>
            </w:r>
            <w:r>
              <w:rPr>
                <w:rFonts w:hint="eastAsia" w:ascii="Times New Roman" w:hAnsi="Times New Roman" w:eastAsia="宋体" w:cs="Times New Roman"/>
                <w:color w:val="auto"/>
                <w:spacing w:val="0"/>
                <w:sz w:val="21"/>
                <w:szCs w:val="24"/>
              </w:rPr>
              <w:t>分，</w:t>
            </w:r>
            <w:r>
              <w:rPr>
                <w:rFonts w:hint="eastAsia" w:ascii="Times New Roman" w:hAnsi="Times New Roman" w:eastAsia="宋体" w:cs="Times New Roman"/>
                <w:color w:val="auto"/>
                <w:spacing w:val="0"/>
                <w:sz w:val="21"/>
                <w:szCs w:val="24"/>
                <w:lang w:val="en-US" w:eastAsia="zh-CN"/>
              </w:rPr>
              <w:t>满分</w:t>
            </w:r>
            <w:r>
              <w:rPr>
                <w:rFonts w:hint="eastAsia" w:ascii="Times New Roman" w:hAnsi="Times New Roman" w:cs="Times New Roman"/>
                <w:color w:val="auto"/>
                <w:spacing w:val="0"/>
                <w:sz w:val="21"/>
                <w:szCs w:val="24"/>
                <w:lang w:val="en-US" w:eastAsia="zh-CN"/>
              </w:rPr>
              <w:t>15</w:t>
            </w:r>
            <w:r>
              <w:rPr>
                <w:rFonts w:hint="eastAsia" w:ascii="Times New Roman" w:hAnsi="Times New Roman" w:eastAsia="宋体" w:cs="Times New Roman"/>
                <w:color w:val="auto"/>
                <w:spacing w:val="0"/>
                <w:sz w:val="21"/>
                <w:szCs w:val="24"/>
                <w:lang w:val="en-US" w:eastAsia="zh-CN"/>
              </w:rPr>
              <w:t>分。</w:t>
            </w:r>
            <w:r>
              <w:rPr>
                <w:rFonts w:hint="eastAsia" w:ascii="Times New Roman" w:hAnsi="Times New Roman" w:eastAsia="宋体" w:cs="Times New Roman"/>
                <w:color w:val="auto"/>
                <w:spacing w:val="0"/>
                <w:sz w:val="21"/>
                <w:szCs w:val="24"/>
              </w:rPr>
              <w:t>其他情况不得分；</w:t>
            </w:r>
          </w:p>
          <w:p>
            <w:pPr>
              <w:keepNext w:val="0"/>
              <w:keepLines w:val="0"/>
              <w:widowControl/>
              <w:numPr>
                <w:ilvl w:val="0"/>
                <w:numId w:val="0"/>
              </w:numPr>
              <w:suppressLineNumbers w:val="0"/>
              <w:ind w:left="420" w:leftChars="0"/>
              <w:jc w:val="left"/>
              <w:rPr>
                <w:color w:val="auto"/>
              </w:rPr>
            </w:pPr>
            <w:r>
              <w:rPr>
                <w:rFonts w:hint="eastAsia" w:ascii="Times New Roman" w:hAnsi="Times New Roman" w:eastAsia="宋体" w:cs="Times New Roman"/>
                <w:color w:val="auto"/>
                <w:spacing w:val="0"/>
                <w:sz w:val="21"/>
                <w:szCs w:val="24"/>
                <w:lang w:val="en-US" w:eastAsia="zh-CN"/>
              </w:rPr>
              <w:t>注：评标时，以评标委员会通过安徽省公路建设市场信用信息管理系统（</w:t>
            </w:r>
            <w:r>
              <w:rPr>
                <w:rFonts w:hint="default" w:ascii="Times New Roman" w:hAnsi="Times New Roman" w:eastAsia="宋体" w:cs="Times New Roman"/>
                <w:color w:val="auto"/>
                <w:spacing w:val="0"/>
                <w:sz w:val="21"/>
                <w:szCs w:val="24"/>
                <w:lang w:val="en-US" w:eastAsia="zh-CN"/>
              </w:rPr>
              <w:t>http://xyxt.ahtongtu.cn/website/CreditList.aspx</w:t>
            </w:r>
            <w:r>
              <w:rPr>
                <w:rFonts w:hint="eastAsia" w:ascii="Times New Roman" w:hAnsi="Times New Roman" w:eastAsia="宋体" w:cs="Times New Roman"/>
                <w:color w:val="auto"/>
                <w:spacing w:val="0"/>
                <w:sz w:val="21"/>
                <w:szCs w:val="24"/>
                <w:lang w:val="en-US" w:eastAsia="zh-CN"/>
              </w:rPr>
              <w:t>）或全国公路建设市场信用信息管理系统（</w:t>
            </w:r>
            <w:r>
              <w:rPr>
                <w:rFonts w:hint="default" w:ascii="Times New Roman" w:hAnsi="Times New Roman" w:eastAsia="宋体" w:cs="Times New Roman"/>
                <w:color w:val="auto"/>
                <w:spacing w:val="0"/>
                <w:sz w:val="21"/>
                <w:szCs w:val="24"/>
                <w:lang w:val="en-US" w:eastAsia="zh-CN"/>
              </w:rPr>
              <w:t>https://glxy.mot.gov.cn/</w:t>
            </w:r>
            <w:r>
              <w:rPr>
                <w:rFonts w:hint="eastAsia" w:ascii="宋体" w:hAnsi="宋体" w:eastAsia="宋体" w:cs="宋体"/>
                <w:color w:val="auto"/>
                <w:kern w:val="0"/>
                <w:sz w:val="21"/>
                <w:szCs w:val="21"/>
                <w:lang w:val="en-US" w:eastAsia="zh-CN" w:bidi="ar"/>
              </w:rPr>
              <w:t xml:space="preserve">）查询结果为准。 </w:t>
            </w:r>
          </w:p>
          <w:p>
            <w:pPr>
              <w:keepNext w:val="0"/>
              <w:keepLines w:val="0"/>
              <w:widowControl/>
              <w:suppressLineNumbers w:val="0"/>
              <w:jc w:val="left"/>
              <w:rPr>
                <w:color w:val="auto"/>
              </w:rPr>
            </w:pPr>
            <w:r>
              <w:rPr>
                <w:rFonts w:hint="eastAsia" w:ascii="宋体" w:hAnsi="宋体" w:eastAsia="宋体" w:cs="宋体"/>
                <w:color w:val="auto"/>
                <w:kern w:val="0"/>
                <w:sz w:val="21"/>
                <w:szCs w:val="21"/>
                <w:lang w:val="en-US" w:eastAsia="zh-CN" w:bidi="ar"/>
              </w:rPr>
              <w:t>如两者查询结果不一致，以评价等级高的为准。</w:t>
            </w:r>
          </w:p>
          <w:p>
            <w:pPr>
              <w:spacing w:line="360" w:lineRule="exact"/>
              <w:rPr>
                <w:rFonts w:hint="eastAsia" w:asciiTheme="minorHAnsi" w:hAnsiTheme="minorHAnsi" w:eastAsiaTheme="minorEastAsia" w:cstheme="minorBidi"/>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7670" w:type="dxa"/>
            <w:gridSpan w:val="3"/>
            <w:tcBorders>
              <w:bottom w:val="single" w:color="auto" w:sz="4" w:space="0"/>
              <w:right w:val="single" w:color="auto" w:sz="4" w:space="0"/>
            </w:tcBorders>
            <w:noWrap w:val="0"/>
            <w:vAlign w:val="center"/>
          </w:tcPr>
          <w:p>
            <w:pPr>
              <w:tabs>
                <w:tab w:val="left" w:pos="720"/>
              </w:tabs>
              <w:spacing w:line="360" w:lineRule="exact"/>
              <w:rPr>
                <w:rFonts w:ascii="宋体"/>
                <w:color w:val="auto"/>
              </w:rPr>
            </w:pPr>
            <w:r>
              <w:rPr>
                <w:rFonts w:hint="eastAsia" w:ascii="宋体" w:hAnsi="宋体"/>
                <w:b/>
                <w:color w:val="auto"/>
              </w:rPr>
              <w:t>注</w:t>
            </w:r>
            <w:r>
              <w:rPr>
                <w:rFonts w:hint="eastAsia" w:ascii="宋体" w:hAnsi="宋体"/>
                <w:color w:val="auto"/>
              </w:rPr>
              <w:t>：①企业和拟派总监理工程师</w:t>
            </w:r>
            <w:r>
              <w:rPr>
                <w:rFonts w:hint="eastAsia" w:ascii="宋体" w:hAnsi="宋体"/>
                <w:b/>
                <w:color w:val="auto"/>
              </w:rPr>
              <w:t>奖项</w:t>
            </w:r>
            <w:r>
              <w:rPr>
                <w:rFonts w:hint="eastAsia" w:ascii="宋体" w:hAnsi="宋体"/>
                <w:color w:val="auto"/>
              </w:rPr>
              <w:t>：投标文件中须提供获奖证书或文件、通知等证明文件材料的复印件或扫描件，否则不加分；若“拟派总监理工程师奖项”获奖证书或相关批准文件上无项目经理姓名，须同时提供合同的扫描件或复印件。</w:t>
            </w:r>
          </w:p>
          <w:p>
            <w:pPr>
              <w:tabs>
                <w:tab w:val="left" w:pos="720"/>
              </w:tabs>
              <w:spacing w:line="360" w:lineRule="exact"/>
              <w:rPr>
                <w:rFonts w:ascii="宋体"/>
                <w:color w:val="auto"/>
              </w:rPr>
            </w:pPr>
            <w:r>
              <w:rPr>
                <w:rFonts w:hint="eastAsia" w:ascii="宋体" w:hAnsi="宋体"/>
                <w:color w:val="auto"/>
              </w:rPr>
              <w:t>②企业、拟派总监理工程师和拟派总监代表</w:t>
            </w:r>
            <w:r>
              <w:rPr>
                <w:rFonts w:hint="eastAsia"/>
                <w:b/>
                <w:color w:val="auto"/>
                <w:szCs w:val="21"/>
              </w:rPr>
              <w:t>类似项目业绩</w:t>
            </w:r>
            <w:r>
              <w:rPr>
                <w:rFonts w:hint="eastAsia"/>
                <w:color w:val="auto"/>
                <w:szCs w:val="21"/>
              </w:rPr>
              <w:t>：投标文件中须提供中标通知书、合同协议书及</w:t>
            </w:r>
            <w:r>
              <w:rPr>
                <w:rFonts w:hint="eastAsia" w:ascii="宋体" w:hAnsi="宋体"/>
                <w:color w:val="auto"/>
                <w:szCs w:val="21"/>
              </w:rPr>
              <w:t>工程竣工验收证书（或工程接收证书或工程竣工验收备案表）的复印件或扫描件</w:t>
            </w:r>
            <w:r>
              <w:rPr>
                <w:rFonts w:hint="eastAsia"/>
                <w:color w:val="auto"/>
                <w:szCs w:val="21"/>
              </w:rPr>
              <w:t>，否则不加分。</w:t>
            </w:r>
          </w:p>
          <w:p>
            <w:pPr>
              <w:tabs>
                <w:tab w:val="left" w:pos="720"/>
              </w:tabs>
              <w:spacing w:line="360" w:lineRule="exact"/>
              <w:rPr>
                <w:rFonts w:hint="eastAsia" w:ascii="宋体" w:hAnsi="宋体"/>
                <w:b/>
                <w:color w:val="auto"/>
              </w:rPr>
            </w:pPr>
            <w:r>
              <w:rPr>
                <w:rFonts w:ascii="宋体" w:hAnsi="宋体"/>
                <w:color w:val="auto"/>
                <w:szCs w:val="21"/>
              </w:rPr>
              <w:fldChar w:fldCharType="begin"/>
            </w:r>
            <w:r>
              <w:rPr>
                <w:rFonts w:ascii="宋体" w:hAnsi="宋体"/>
                <w:color w:val="auto"/>
                <w:szCs w:val="21"/>
              </w:rPr>
              <w:instrText xml:space="preserve"> = 3 \* GB3 </w:instrText>
            </w:r>
            <w:r>
              <w:rPr>
                <w:rFonts w:ascii="宋体" w:hAnsi="宋体"/>
                <w:color w:val="auto"/>
                <w:szCs w:val="21"/>
              </w:rPr>
              <w:fldChar w:fldCharType="separate"/>
            </w:r>
            <w:r>
              <w:rPr>
                <w:rFonts w:hint="eastAsia" w:ascii="宋体" w:hAnsi="宋体"/>
                <w:color w:val="auto"/>
                <w:szCs w:val="21"/>
              </w:rPr>
              <w:t>③</w:t>
            </w:r>
            <w:r>
              <w:rPr>
                <w:rFonts w:ascii="宋体" w:hAnsi="宋体"/>
                <w:color w:val="auto"/>
                <w:szCs w:val="21"/>
              </w:rPr>
              <w:fldChar w:fldCharType="end"/>
            </w:r>
            <w:r>
              <w:rPr>
                <w:rFonts w:hint="eastAsia" w:ascii="宋体" w:hAnsi="宋体"/>
                <w:color w:val="auto"/>
              </w:rPr>
              <w:t>以</w:t>
            </w:r>
            <w:r>
              <w:rPr>
                <w:rFonts w:hint="eastAsia" w:ascii="宋体" w:hAnsi="宋体"/>
                <w:b/>
                <w:color w:val="auto"/>
              </w:rPr>
              <w:t>上</w:t>
            </w:r>
            <w:r>
              <w:rPr>
                <w:rFonts w:hint="eastAsia"/>
                <w:b/>
                <w:color w:val="auto"/>
              </w:rPr>
              <w:t>类似项目业绩</w:t>
            </w:r>
            <w:r>
              <w:rPr>
                <w:rFonts w:hint="eastAsia"/>
                <w:b/>
                <w:color w:val="auto"/>
                <w:szCs w:val="21"/>
              </w:rPr>
              <w:t>、类似项目工程奖项</w:t>
            </w:r>
            <w:r>
              <w:rPr>
                <w:rFonts w:hint="eastAsia"/>
                <w:color w:val="auto"/>
                <w:szCs w:val="21"/>
              </w:rPr>
              <w:t>指所监理的</w:t>
            </w:r>
            <w:r>
              <w:rPr>
                <w:rFonts w:hint="eastAsia"/>
                <w:b/>
                <w:color w:val="auto"/>
              </w:rPr>
              <w:t>公路工程业绩、奖项。</w:t>
            </w:r>
            <w:r>
              <w:rPr>
                <w:rFonts w:hint="eastAsia" w:ascii="宋体" w:hAnsi="宋体"/>
                <w:b/>
                <w:color w:val="auto"/>
              </w:rPr>
              <w:t>时间自</w:t>
            </w:r>
            <w:r>
              <w:rPr>
                <w:rFonts w:hint="eastAsia" w:ascii="宋体" w:hAnsi="宋体"/>
                <w:b/>
                <w:color w:val="auto"/>
                <w:lang w:val="en-US" w:eastAsia="zh-CN"/>
              </w:rPr>
              <w:t>2018</w:t>
            </w:r>
            <w:r>
              <w:rPr>
                <w:rFonts w:ascii="宋体" w:hAnsi="宋体"/>
                <w:b/>
                <w:color w:val="auto"/>
              </w:rPr>
              <w:t xml:space="preserve"> </w:t>
            </w:r>
            <w:r>
              <w:rPr>
                <w:rFonts w:hint="eastAsia" w:ascii="宋体" w:hAnsi="宋体"/>
                <w:b/>
                <w:color w:val="auto"/>
              </w:rPr>
              <w:t xml:space="preserve">年 </w:t>
            </w:r>
            <w:r>
              <w:rPr>
                <w:rFonts w:hint="eastAsia" w:ascii="宋体" w:hAnsi="宋体"/>
                <w:b/>
                <w:color w:val="auto"/>
                <w:lang w:val="en-US" w:eastAsia="zh-CN"/>
              </w:rPr>
              <w:t>1</w:t>
            </w:r>
            <w:r>
              <w:rPr>
                <w:rFonts w:hint="eastAsia" w:ascii="宋体" w:hAnsi="宋体"/>
                <w:b/>
                <w:color w:val="auto"/>
              </w:rPr>
              <w:t xml:space="preserve"> 月起至今。奖项以获奖证书颁发时间为准，</w:t>
            </w:r>
            <w:r>
              <w:rPr>
                <w:rFonts w:hint="eastAsia"/>
                <w:b/>
                <w:color w:val="auto"/>
                <w:szCs w:val="21"/>
              </w:rPr>
              <w:t>类似业绩以</w:t>
            </w:r>
            <w:r>
              <w:rPr>
                <w:rFonts w:hint="eastAsia"/>
                <w:b/>
                <w:color w:val="auto"/>
                <w:szCs w:val="21"/>
                <w:lang w:val="en-US" w:eastAsia="zh-CN"/>
              </w:rPr>
              <w:t>交工验收</w:t>
            </w:r>
            <w:r>
              <w:rPr>
                <w:rFonts w:hint="eastAsia"/>
                <w:b/>
                <w:color w:val="auto"/>
                <w:szCs w:val="21"/>
              </w:rPr>
              <w:t>时间为准</w:t>
            </w:r>
            <w:r>
              <w:rPr>
                <w:rFonts w:hint="eastAsia" w:ascii="宋体" w:hAnsi="宋体"/>
                <w:b/>
                <w:color w:val="auto"/>
              </w:rPr>
              <w:t xml:space="preserve">。 </w:t>
            </w:r>
          </w:p>
          <w:p>
            <w:pPr>
              <w:spacing w:line="360" w:lineRule="exact"/>
              <w:rPr>
                <w:rFonts w:hint="eastAsia" w:asciiTheme="minorHAnsi" w:hAnsiTheme="minorHAnsi" w:eastAsiaTheme="minorEastAsia" w:cstheme="minorBidi"/>
                <w:color w:val="auto"/>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spacing w:line="320" w:lineRule="exact"/>
              <w:jc w:val="center"/>
              <w:rPr>
                <w:rFonts w:hint="default" w:asciiTheme="minorHAnsi" w:hAnsiTheme="minorHAnsi" w:eastAsiaTheme="minorEastAsia" w:cstheme="minorBidi"/>
                <w:color w:val="auto"/>
                <w:kern w:val="2"/>
                <w:sz w:val="21"/>
                <w:szCs w:val="21"/>
                <w:lang w:val="en-US" w:eastAsia="zh-CN" w:bidi="ar-SA"/>
              </w:rPr>
            </w:pPr>
            <w:r>
              <w:rPr>
                <w:rFonts w:hint="eastAsia"/>
                <w:color w:val="auto"/>
                <w:szCs w:val="21"/>
              </w:rPr>
              <w:t>投标报价</w:t>
            </w:r>
            <w:r>
              <w:rPr>
                <w:color w:val="auto"/>
                <w:szCs w:val="21"/>
              </w:rPr>
              <w:t>评审标准</w:t>
            </w:r>
            <w:r>
              <w:rPr>
                <w:rFonts w:hint="eastAsia"/>
                <w:color w:val="auto"/>
                <w:szCs w:val="21"/>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color w:val="auto"/>
                <w:szCs w:val="21"/>
              </w:rPr>
              <w:t>投标报价评审（10分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color w:val="auto"/>
                <w:szCs w:val="21"/>
              </w:rPr>
            </w:pPr>
            <w:r>
              <w:rPr>
                <w:rFonts w:hint="eastAsia"/>
                <w:color w:val="auto"/>
                <w:szCs w:val="21"/>
              </w:rPr>
              <w:t xml:space="preserve">评标委员会将根据下列要求计算出商务报价得分： </w:t>
            </w:r>
          </w:p>
          <w:p>
            <w:pPr>
              <w:spacing w:line="340" w:lineRule="exact"/>
              <w:rPr>
                <w:rFonts w:hint="eastAsia"/>
                <w:color w:val="auto"/>
                <w:szCs w:val="21"/>
              </w:rPr>
            </w:pPr>
            <w:r>
              <w:rPr>
                <w:rFonts w:hint="eastAsia"/>
                <w:color w:val="auto"/>
                <w:szCs w:val="21"/>
              </w:rPr>
              <w:t xml:space="preserve">不高于招标人发布的招标控制价且评审合格的投标报价为有效报价： </w:t>
            </w:r>
          </w:p>
          <w:p>
            <w:pPr>
              <w:spacing w:line="340" w:lineRule="exact"/>
              <w:rPr>
                <w:rFonts w:hint="eastAsia"/>
                <w:color w:val="auto"/>
                <w:szCs w:val="21"/>
              </w:rPr>
            </w:pPr>
            <w:r>
              <w:rPr>
                <w:rFonts w:hint="eastAsia"/>
                <w:color w:val="auto"/>
                <w:szCs w:val="21"/>
              </w:rPr>
              <w:t>①有效报价在5家（不含）以下时，则直接取其算术平均值作为评标基准价；</w:t>
            </w:r>
          </w:p>
          <w:p>
            <w:pPr>
              <w:spacing w:line="340" w:lineRule="exact"/>
              <w:rPr>
                <w:rFonts w:hint="eastAsia"/>
                <w:color w:val="auto"/>
                <w:szCs w:val="21"/>
              </w:rPr>
            </w:pPr>
            <w:r>
              <w:rPr>
                <w:rFonts w:hint="eastAsia"/>
                <w:color w:val="auto"/>
                <w:szCs w:val="21"/>
              </w:rPr>
              <w:t>②有效报价为5家（含）以上时，去掉1个最高价和1个最低价， 取余下投标人的投标报价算术平均值作为评标基准价。（以上计算评标基准价四舍五入保留三位小数）</w:t>
            </w:r>
          </w:p>
          <w:p>
            <w:pPr>
              <w:spacing w:line="340" w:lineRule="exact"/>
              <w:rPr>
                <w:rFonts w:hint="eastAsia"/>
                <w:color w:val="auto"/>
                <w:szCs w:val="21"/>
              </w:rPr>
            </w:pPr>
            <w:r>
              <w:rPr>
                <w:rFonts w:hint="eastAsia"/>
                <w:color w:val="auto"/>
                <w:szCs w:val="21"/>
              </w:rPr>
              <w:t xml:space="preserve">各投标人的投标报价得分按以下公式计算： </w:t>
            </w:r>
          </w:p>
          <w:p>
            <w:pPr>
              <w:spacing w:line="340" w:lineRule="exact"/>
              <w:rPr>
                <w:rFonts w:hint="eastAsia"/>
                <w:color w:val="auto"/>
                <w:szCs w:val="21"/>
              </w:rPr>
            </w:pPr>
            <w:r>
              <w:rPr>
                <w:rFonts w:hint="eastAsia"/>
                <w:color w:val="auto"/>
                <w:szCs w:val="21"/>
              </w:rPr>
              <w:t xml:space="preserve">①投标人的投标报价高于评标基准价：10-（投标人投标报价-评标基准价）/评标基准价*100*1； </w:t>
            </w:r>
          </w:p>
          <w:p>
            <w:pPr>
              <w:spacing w:line="340" w:lineRule="exact"/>
              <w:rPr>
                <w:rFonts w:hint="eastAsia"/>
                <w:color w:val="auto"/>
                <w:szCs w:val="21"/>
              </w:rPr>
            </w:pPr>
            <w:r>
              <w:rPr>
                <w:rFonts w:hint="eastAsia"/>
                <w:color w:val="auto"/>
                <w:szCs w:val="21"/>
              </w:rPr>
              <w:t xml:space="preserve">②投标人的投标报价等于或低于评标基准价：10+（投标人投标报价-评标基准价）/评标基准价*100*0.5； </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kern w:val="0"/>
                <w:sz w:val="24"/>
                <w:szCs w:val="24"/>
                <w:highlight w:val="none"/>
                <w:lang w:val="en-US" w:eastAsia="zh-CN"/>
              </w:rPr>
            </w:pPr>
            <w:r>
              <w:rPr>
                <w:rFonts w:hint="eastAsia"/>
                <w:color w:val="auto"/>
                <w:szCs w:val="21"/>
              </w:rPr>
              <w:t>最终计算得分扣完为止，四舍五入保留两位小数。</w:t>
            </w:r>
          </w:p>
        </w:tc>
      </w:tr>
    </w:tbl>
    <w:p>
      <w:pPr>
        <w:rPr>
          <w:rFonts w:hint="eastAsia"/>
        </w:rPr>
      </w:pPr>
      <w:bookmarkStart w:id="16" w:name="_Toc179632607"/>
      <w:bookmarkStart w:id="17" w:name="_Toc246996232"/>
      <w:bookmarkStart w:id="18" w:name="_Toc296602477"/>
      <w:bookmarkStart w:id="19" w:name="_Toc144974556"/>
      <w:bookmarkStart w:id="20" w:name="_Toc152042366"/>
      <w:bookmarkStart w:id="21" w:name="_Toc247085747"/>
      <w:bookmarkStart w:id="22" w:name="_Toc246996975"/>
      <w:bookmarkStart w:id="23" w:name="_Toc152045589"/>
      <w:r>
        <w:rPr>
          <w:rFonts w:hint="eastAsia"/>
        </w:rPr>
        <w:t xml:space="preserve">    </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2367"/>
      <w:bookmarkStart w:id="25" w:name="_Toc246996233"/>
      <w:bookmarkStart w:id="26" w:name="_Toc152045590"/>
      <w:bookmarkStart w:id="27" w:name="_Toc179632608"/>
      <w:bookmarkStart w:id="28" w:name="_Toc247085748"/>
      <w:bookmarkStart w:id="29" w:name="_Toc144974557"/>
      <w:bookmarkStart w:id="30" w:name="_Toc296602478"/>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246996977"/>
      <w:bookmarkStart w:id="34" w:name="_Toc152045591"/>
      <w:bookmarkStart w:id="35" w:name="_Toc179632609"/>
      <w:bookmarkStart w:id="36" w:name="_Toc152042368"/>
      <w:bookmarkStart w:id="37" w:name="_Toc144974558"/>
      <w:bookmarkStart w:id="38" w:name="_Toc296602479"/>
      <w:bookmarkStart w:id="39" w:name="_Toc24708574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152042370"/>
      <w:bookmarkStart w:id="41" w:name="_Toc296602481"/>
      <w:bookmarkStart w:id="42" w:name="_Toc152045593"/>
      <w:bookmarkStart w:id="43" w:name="_Toc246996979"/>
      <w:bookmarkStart w:id="44" w:name="_Toc179632611"/>
      <w:bookmarkStart w:id="45" w:name="_Toc144974560"/>
      <w:bookmarkStart w:id="46" w:name="_Toc246996236"/>
      <w:bookmarkStart w:id="47" w:name="_Toc24708575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技术建议书评审</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企业信誉评审</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投标报价评审</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技术建议书</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kern w:val="0"/>
          <w:sz w:val="24"/>
          <w:szCs w:val="24"/>
          <w:highlight w:val="none"/>
          <w:lang w:val="en-US" w:eastAsia="zh-CN"/>
        </w:rPr>
        <w:t>企业信誉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kern w:val="0"/>
          <w:sz w:val="24"/>
          <w:szCs w:val="24"/>
          <w:highlight w:val="none"/>
          <w:lang w:val="en-US" w:eastAsia="zh-CN"/>
        </w:rPr>
        <w:t>投标报价</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color w:val="000000" w:themeColor="text1"/>
          <w:kern w:val="0"/>
          <w:sz w:val="24"/>
          <w:szCs w:val="24"/>
          <w:highlight w:val="none"/>
          <w:lang w:eastAsia="zh-CN"/>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52042371"/>
      <w:bookmarkStart w:id="49" w:name="_Toc152045594"/>
      <w:bookmarkStart w:id="50" w:name="_Toc247085752"/>
      <w:bookmarkStart w:id="51" w:name="_Toc296602482"/>
      <w:bookmarkStart w:id="52" w:name="_Toc144974561"/>
      <w:bookmarkStart w:id="53" w:name="_Toc246996237"/>
      <w:bookmarkStart w:id="54" w:name="_Toc246996980"/>
      <w:bookmarkStart w:id="55" w:name="_Toc17963261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2"/>
      <w:bookmarkStart w:id="57" w:name="_Toc246996238"/>
      <w:bookmarkStart w:id="58" w:name="_Toc152045595"/>
      <w:bookmarkStart w:id="59" w:name="_Toc247085753"/>
      <w:bookmarkStart w:id="60" w:name="_Toc144974562"/>
      <w:bookmarkStart w:id="61" w:name="_Toc179632613"/>
      <w:bookmarkStart w:id="62" w:name="_Toc296602483"/>
      <w:bookmarkStart w:id="63" w:name="_Toc246996981"/>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247085754"/>
      <w:bookmarkStart w:id="66" w:name="_Toc152045596"/>
      <w:bookmarkStart w:id="67" w:name="_Toc246996239"/>
      <w:bookmarkStart w:id="68" w:name="_Toc179632614"/>
      <w:bookmarkStart w:id="69" w:name="_Toc296602484"/>
      <w:bookmarkStart w:id="70" w:name="_Toc152042373"/>
      <w:bookmarkStart w:id="71"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w:t>
      </w:r>
      <w:r>
        <w:rPr>
          <w:rFonts w:hint="eastAsia" w:ascii="Times New Roman" w:hAnsi="Times New Roman" w:cs="Times New Roman"/>
          <w:color w:val="auto"/>
          <w:kern w:val="0"/>
          <w:sz w:val="24"/>
          <w:szCs w:val="24"/>
          <w:highlight w:val="none"/>
          <w:lang w:val="en-US" w:eastAsia="zh-CN"/>
        </w:rPr>
        <w:t>值对技术建议书计算</w:t>
      </w:r>
      <w:r>
        <w:rPr>
          <w:rFonts w:hint="eastAsia" w:ascii="Times New Roman" w:hAnsi="Times New Roman" w:cs="Times New Roman"/>
          <w:kern w:val="0"/>
          <w:sz w:val="24"/>
          <w:szCs w:val="24"/>
          <w:highlight w:val="none"/>
          <w:lang w:val="en-US" w:eastAsia="zh-CN"/>
        </w:rPr>
        <w:t>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第2.2.4（2）目规定的评审因素和分值对企业信誉</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eastAsiaTheme="minorEastAsia"/>
                <w:color w:val="auto"/>
                <w:kern w:val="0"/>
                <w:sz w:val="24"/>
                <w:szCs w:val="24"/>
                <w:lang w:val="en-US" w:eastAsia="zh-CN" w:bidi="ar"/>
              </w:rPr>
              <w:t xml:space="preserve">亳州交控产业发展有限公司 </w:t>
            </w:r>
            <w:r>
              <w:rPr>
                <w:rFonts w:hint="eastAsia" w:ascii="Times New Roman" w:hAnsi="Times New Roman" w:cs="Times New Roman"/>
                <w:kern w:val="0"/>
                <w:sz w:val="24"/>
                <w:szCs w:val="24"/>
                <w:highlight w:val="none"/>
                <w:shd w:val="clear" w:color="auto" w:fill="auto"/>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widowControl/>
              <w:wordWrap/>
              <w:spacing w:line="240" w:lineRule="auto"/>
              <w:ind w:firstLine="480" w:firstLineChars="200"/>
              <w:jc w:val="left"/>
              <w:rPr>
                <w:rFonts w:hint="eastAsia" w:ascii="仿宋" w:hAnsi="仿宋" w:eastAsia="仿宋" w:cs="仿宋"/>
                <w:i w:val="0"/>
                <w:iCs w:val="0"/>
                <w:color w:val="auto"/>
                <w:kern w:val="0"/>
                <w:sz w:val="30"/>
                <w:szCs w:val="30"/>
                <w:u w:val="none"/>
                <w:lang w:bidi="ar"/>
              </w:rPr>
            </w:pPr>
            <w:r>
              <w:rPr>
                <w:rFonts w:hint="default" w:ascii="Times New Roman" w:hAnsi="Times New Roman" w:cs="Times New Roman" w:eastAsiaTheme="minorEastAsia"/>
                <w:color w:val="auto"/>
                <w:spacing w:val="0"/>
                <w:kern w:val="0"/>
                <w:sz w:val="24"/>
                <w:szCs w:val="24"/>
                <w:lang w:bidi="ar"/>
              </w:rPr>
              <w:t>以同期经审核后的施工单位申报</w:t>
            </w:r>
            <w:r>
              <w:rPr>
                <w:rFonts w:hint="eastAsia" w:ascii="Times New Roman" w:hAnsi="Times New Roman" w:cs="Times New Roman"/>
                <w:color w:val="auto"/>
                <w:spacing w:val="0"/>
                <w:kern w:val="0"/>
                <w:sz w:val="24"/>
                <w:szCs w:val="24"/>
                <w:lang w:val="en-US" w:eastAsia="zh-CN" w:bidi="ar"/>
              </w:rPr>
              <w:t>施工</w:t>
            </w:r>
            <w:r>
              <w:rPr>
                <w:rFonts w:hint="default" w:ascii="Times New Roman" w:hAnsi="Times New Roman" w:cs="Times New Roman" w:eastAsiaTheme="minorEastAsia"/>
                <w:color w:val="auto"/>
                <w:spacing w:val="0"/>
                <w:kern w:val="0"/>
                <w:sz w:val="24"/>
                <w:szCs w:val="24"/>
                <w:lang w:bidi="ar"/>
              </w:rPr>
              <w:t>审定价款为基数支付监理费,支付核定监理费的80%；工程经</w:t>
            </w:r>
            <w:r>
              <w:rPr>
                <w:rFonts w:hint="eastAsia" w:ascii="Times New Roman" w:hAnsi="Times New Roman" w:cs="Times New Roman"/>
                <w:color w:val="auto"/>
                <w:spacing w:val="0"/>
                <w:kern w:val="0"/>
                <w:sz w:val="24"/>
                <w:szCs w:val="24"/>
                <w:lang w:val="en-US" w:eastAsia="zh-CN" w:bidi="ar"/>
              </w:rPr>
              <w:t>交</w:t>
            </w:r>
            <w:r>
              <w:rPr>
                <w:rFonts w:hint="default" w:ascii="Times New Roman" w:hAnsi="Times New Roman" w:cs="Times New Roman" w:eastAsiaTheme="minorEastAsia"/>
                <w:color w:val="auto"/>
                <w:spacing w:val="0"/>
                <w:kern w:val="0"/>
                <w:sz w:val="24"/>
                <w:szCs w:val="24"/>
                <w:lang w:bidi="ar"/>
              </w:rPr>
              <w:t>工验收合格，达到施工合同</w:t>
            </w:r>
            <w:r>
              <w:rPr>
                <w:rFonts w:hint="default" w:ascii="Times New Roman" w:hAnsi="Times New Roman" w:cs="Times New Roman" w:eastAsiaTheme="minorEastAsia"/>
                <w:color w:val="auto"/>
                <w:kern w:val="0"/>
                <w:sz w:val="24"/>
                <w:szCs w:val="24"/>
                <w:lang w:bidi="ar"/>
              </w:rPr>
              <w:t xml:space="preserve"> </w:t>
            </w:r>
            <w:r>
              <w:rPr>
                <w:rFonts w:hint="default" w:ascii="Times New Roman" w:hAnsi="Times New Roman" w:cs="Times New Roman" w:eastAsiaTheme="minorEastAsia"/>
                <w:color w:val="auto"/>
                <w:spacing w:val="0"/>
                <w:kern w:val="0"/>
                <w:sz w:val="24"/>
                <w:szCs w:val="24"/>
                <w:lang w:bidi="ar"/>
              </w:rPr>
              <w:t>约定的质量标准付至总监理费的 85%；工程</w:t>
            </w:r>
            <w:r>
              <w:rPr>
                <w:rFonts w:hint="eastAsia" w:ascii="Times New Roman" w:hAnsi="Times New Roman" w:cs="Times New Roman"/>
                <w:color w:val="auto"/>
                <w:spacing w:val="0"/>
                <w:kern w:val="0"/>
                <w:sz w:val="24"/>
                <w:szCs w:val="24"/>
                <w:lang w:val="en-US" w:eastAsia="zh-CN" w:bidi="ar"/>
              </w:rPr>
              <w:t>施工</w:t>
            </w:r>
            <w:r>
              <w:rPr>
                <w:rFonts w:hint="default" w:ascii="Times New Roman" w:hAnsi="Times New Roman" w:cs="Times New Roman" w:eastAsiaTheme="minorEastAsia"/>
                <w:color w:val="auto"/>
                <w:spacing w:val="0"/>
                <w:kern w:val="0"/>
                <w:sz w:val="24"/>
                <w:szCs w:val="24"/>
                <w:lang w:bidi="ar"/>
              </w:rPr>
              <w:t>审计完成时后付至总监理费</w:t>
            </w:r>
            <w:r>
              <w:rPr>
                <w:rFonts w:hint="eastAsia" w:ascii="Times New Roman" w:hAnsi="Times New Roman" w:cs="Times New Roman"/>
                <w:color w:val="auto"/>
                <w:spacing w:val="0"/>
                <w:kern w:val="0"/>
                <w:sz w:val="24"/>
                <w:szCs w:val="24"/>
                <w:lang w:val="en-US" w:eastAsia="zh-CN" w:bidi="ar"/>
              </w:rPr>
              <w:t>用</w:t>
            </w:r>
            <w:r>
              <w:rPr>
                <w:rFonts w:hint="default" w:ascii="Times New Roman" w:hAnsi="Times New Roman" w:cs="Times New Roman" w:eastAsiaTheme="minorEastAsia"/>
                <w:color w:val="auto"/>
                <w:kern w:val="0"/>
                <w:sz w:val="24"/>
                <w:szCs w:val="24"/>
                <w:lang w:bidi="ar"/>
              </w:rPr>
              <w:t xml:space="preserve"> </w:t>
            </w:r>
            <w:r>
              <w:rPr>
                <w:rFonts w:hint="default" w:ascii="Times New Roman" w:hAnsi="Times New Roman" w:cs="Times New Roman" w:eastAsiaTheme="minorEastAsia"/>
                <w:color w:val="auto"/>
                <w:spacing w:val="0"/>
                <w:kern w:val="0"/>
                <w:sz w:val="24"/>
                <w:szCs w:val="24"/>
                <w:lang w:bidi="ar"/>
              </w:rPr>
              <w:t>(总监理费</w:t>
            </w:r>
            <w:r>
              <w:rPr>
                <w:rFonts w:hint="eastAsia" w:ascii="Times New Roman" w:hAnsi="Times New Roman" w:cs="Times New Roman"/>
                <w:color w:val="auto"/>
                <w:spacing w:val="0"/>
                <w:kern w:val="0"/>
                <w:sz w:val="24"/>
                <w:szCs w:val="24"/>
                <w:lang w:val="en-US" w:eastAsia="zh-CN" w:bidi="ar"/>
              </w:rPr>
              <w:t>用</w:t>
            </w:r>
            <w:r>
              <w:rPr>
                <w:rFonts w:hint="default" w:ascii="Times New Roman" w:hAnsi="Times New Roman" w:cs="Times New Roman" w:eastAsiaTheme="minorEastAsia"/>
                <w:color w:val="auto"/>
                <w:spacing w:val="0"/>
                <w:kern w:val="0"/>
                <w:sz w:val="24"/>
                <w:szCs w:val="24"/>
                <w:lang w:bidi="ar"/>
              </w:rPr>
              <w:t>为工程</w:t>
            </w:r>
            <w:r>
              <w:rPr>
                <w:rFonts w:hint="eastAsia" w:ascii="Times New Roman" w:hAnsi="Times New Roman" w:cs="Times New Roman"/>
                <w:color w:val="auto"/>
                <w:spacing w:val="0"/>
                <w:kern w:val="0"/>
                <w:sz w:val="24"/>
                <w:szCs w:val="24"/>
                <w:lang w:val="en-US" w:eastAsia="zh-CN" w:bidi="ar"/>
              </w:rPr>
              <w:t>施工</w:t>
            </w:r>
            <w:r>
              <w:rPr>
                <w:rFonts w:hint="default" w:ascii="Times New Roman" w:hAnsi="Times New Roman" w:cs="Times New Roman" w:eastAsiaTheme="minorEastAsia"/>
                <w:color w:val="auto"/>
                <w:spacing w:val="0"/>
                <w:kern w:val="0"/>
                <w:sz w:val="24"/>
                <w:szCs w:val="24"/>
                <w:lang w:val="en-US" w:eastAsia="zh-CN" w:bidi="ar"/>
              </w:rPr>
              <w:t>审定价款</w:t>
            </w:r>
            <w:r>
              <w:rPr>
                <w:rFonts w:hint="default" w:ascii="Times New Roman" w:hAnsi="Times New Roman" w:cs="Times New Roman" w:eastAsiaTheme="minorEastAsia"/>
                <w:color w:val="auto"/>
                <w:spacing w:val="0"/>
                <w:kern w:val="0"/>
                <w:sz w:val="24"/>
                <w:szCs w:val="24"/>
                <w:lang w:bidi="ar"/>
              </w:rPr>
              <w:t>乘以中标费率) 的 97%。余款作为质量保证金，</w:t>
            </w:r>
            <w:r>
              <w:rPr>
                <w:rFonts w:hint="default" w:ascii="Times New Roman" w:hAnsi="Times New Roman" w:cs="Times New Roman" w:eastAsiaTheme="minorEastAsia"/>
                <w:color w:val="auto"/>
                <w:spacing w:val="0"/>
                <w:kern w:val="0"/>
                <w:sz w:val="24"/>
                <w:szCs w:val="24"/>
                <w:u w:val="none" w:color="auto"/>
                <w:lang w:bidi="ar"/>
              </w:rPr>
              <w:t xml:space="preserve">工程质保期满， 按合同约定无息退还。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ascii="Times New Roman" w:hAnsi="Times New Roman" w:cs="Times New Roman"/>
                <w:kern w:val="0"/>
                <w:sz w:val="24"/>
              </w:rPr>
              <w:t>注：</w:t>
            </w:r>
            <w:r>
              <w:rPr>
                <w:rFonts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1）工程款凭正式增值税专用发票结算。监理单位应在每次付款前向建设单位提交一份付款申请、税务发票，并附工程进度及监理单位按合同约定履行义务的有关证明。建设单位审核监理单位的付款申请资料无误后履行付款手续。监理费付至审定金额的 97%时，乙方需提供全额增值税专用发票，否则甲方有权暂停付款。施工工期顺延时，服务费不予调整。监理费用=招标文件规定监理范围内施工结算价×中标费率。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eastAsiaTheme="minorEastAsia" w:cstheme="minorEastAsia"/>
                <w:spacing w:val="0"/>
                <w:kern w:val="2"/>
                <w:sz w:val="28"/>
                <w:szCs w:val="28"/>
                <w:highlight w:val="none"/>
                <w:lang w:bidi="ar"/>
              </w:rPr>
              <w:t>监理费</w:t>
            </w:r>
            <w:r>
              <w:rPr>
                <w:rFonts w:hint="eastAsia" w:asciiTheme="minorEastAsia" w:hAnsiTheme="minorEastAsia" w:eastAsiaTheme="minorEastAsia" w:cstheme="minorEastAsia"/>
                <w:spacing w:val="0"/>
                <w:kern w:val="2"/>
                <w:sz w:val="28"/>
                <w:szCs w:val="28"/>
                <w:highlight w:val="none"/>
                <w:lang w:val="en-US" w:eastAsia="zh-CN" w:bidi="ar"/>
              </w:rPr>
              <w:t>用按照项目结算审定价款</w:t>
            </w:r>
            <w:r>
              <w:rPr>
                <w:rFonts w:hint="eastAsia" w:asciiTheme="minorEastAsia" w:hAnsiTheme="minorEastAsia" w:eastAsiaTheme="minorEastAsia" w:cstheme="minorEastAsia"/>
                <w:spacing w:val="0"/>
                <w:kern w:val="2"/>
                <w:sz w:val="28"/>
                <w:szCs w:val="28"/>
                <w:highlight w:val="none"/>
                <w:lang w:bidi="ar"/>
              </w:rPr>
              <w:t>乘以中标费率</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widowControl/>
        <w:jc w:val="left"/>
        <w:rPr>
          <w:rFonts w:hint="eastAsia"/>
          <w:szCs w:val="21"/>
        </w:rPr>
      </w:pPr>
    </w:p>
    <w:bookmarkEnd w:id="16"/>
    <w:bookmarkEnd w:id="17"/>
    <w:bookmarkEnd w:id="18"/>
    <w:bookmarkEnd w:id="19"/>
    <w:bookmarkEnd w:id="20"/>
    <w:bookmarkEnd w:id="21"/>
    <w:bookmarkEnd w:id="22"/>
    <w:bookmarkEnd w:id="23"/>
    <w:p>
      <w:pPr>
        <w:keepNext w:val="0"/>
        <w:keepLines w:val="0"/>
        <w:widowControl/>
        <w:suppressLineNumbers w:val="0"/>
        <w:jc w:val="center"/>
      </w:pPr>
      <w:r>
        <w:rPr>
          <w:rFonts w:hint="eastAsia" w:ascii="宋体" w:hAnsi="宋体" w:eastAsia="宋体" w:cs="宋体"/>
          <w:b/>
          <w:bCs/>
          <w:color w:val="000000"/>
          <w:kern w:val="0"/>
          <w:sz w:val="43"/>
          <w:szCs w:val="43"/>
          <w:lang w:val="en-US" w:eastAsia="zh-CN" w:bidi="ar"/>
        </w:rPr>
        <w:t>第五章发包人要求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发包人要求应尽可能清晰准确，对于可以进行定量评估的工作，发包人要求不仅应明确规定其功能、用途、质量、环境、安全，并且要规定检验、试验、试运行的具体要求。对于监理人负责提供的有关服务，在发包人要求中应一并明确规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发包人要求通常包括但不限于以下内容。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一、监理要求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招标人应当根据项目情况在本章中明确相应的监理要求，一般应包括以下内容：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（一）项目概况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1. </w:t>
      </w:r>
      <w:r>
        <w:rPr>
          <w:rFonts w:hint="eastAsia" w:ascii="Times New Roman" w:hAnsi="Times New Roman" w:cs="Times New Roman" w:eastAsiaTheme="minorEastAsia"/>
          <w:color w:val="auto"/>
          <w:kern w:val="0"/>
          <w:sz w:val="24"/>
          <w:szCs w:val="24"/>
          <w:lang w:val="en-US" w:eastAsia="zh-CN" w:bidi="ar"/>
        </w:rPr>
        <w:t xml:space="preserve">项目名称、建设单位、建设规模、技术标准、项目地理位置；项目的起讫地点、主要控制点；桥涵的结构形式；独立特大桥的桥型、荷载标准、跨径、桥长、桥宽、基础、水深、引道长度等；独立隧道的长度、宽度、防水排水、衬砌和设施等；附属设施标准、规格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2. </w:t>
      </w:r>
      <w:r>
        <w:rPr>
          <w:rFonts w:hint="eastAsia" w:ascii="Times New Roman" w:hAnsi="Times New Roman" w:cs="Times New Roman" w:eastAsiaTheme="minorEastAsia"/>
          <w:color w:val="auto"/>
          <w:kern w:val="0"/>
          <w:sz w:val="24"/>
          <w:szCs w:val="24"/>
          <w:lang w:val="en-US" w:eastAsia="zh-CN" w:bidi="ar"/>
        </w:rPr>
        <w:t xml:space="preserve">项目周边环境、文物情况；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3. </w:t>
      </w:r>
      <w:r>
        <w:rPr>
          <w:rFonts w:hint="eastAsia" w:ascii="Times New Roman" w:hAnsi="Times New Roman" w:cs="Times New Roman" w:eastAsiaTheme="minorEastAsia"/>
          <w:color w:val="auto"/>
          <w:kern w:val="0"/>
          <w:sz w:val="24"/>
          <w:szCs w:val="24"/>
          <w:lang w:val="en-US" w:eastAsia="zh-CN" w:bidi="ar"/>
        </w:rPr>
        <w:t xml:space="preserve">水文、气候、气象及地质简况；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4. </w:t>
      </w:r>
      <w:r>
        <w:rPr>
          <w:rFonts w:hint="eastAsia" w:ascii="Times New Roman" w:hAnsi="Times New Roman" w:cs="Times New Roman" w:eastAsiaTheme="minorEastAsia"/>
          <w:color w:val="auto"/>
          <w:kern w:val="0"/>
          <w:sz w:val="24"/>
          <w:szCs w:val="24"/>
          <w:lang w:val="en-US" w:eastAsia="zh-CN" w:bidi="ar"/>
        </w:rPr>
        <w:t xml:space="preserve">交通、电力、通信及其他条件等。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（二）监理范围及内容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包括监理范围及主要监理内容，与监理范围对应的施工标段划分及各标段主要工程数量表等。监理招标范围包括该项目的全部施工内容(含交安设施等)的监理工作、  合同期内的施工、验收及保修期间的监理工作。在项目实施中如有增减项， 监理人的服务内容则相应予以增加或减少，监理费率仍按合同执行。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（三）监理依据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（四）监理人员和试验检测仪器设备要求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（五）其他要求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1.更换监理人员的其他情形： (1) 严重过失行为的； (2) 有违法行为不能履行职责的； (3) 涉嫌犯罪的； (4) 不能胜任岗位职责的； (5) 严重违反职业道德的；(6)专用条件约定的其他情形。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2. 对监理人的授权范围：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 委托监理合同中赋予监理人的权利包括： 完成监理任务后获得酬金的权利。(2)监理人执行监理业务可以行使的权利。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A 工程建设有关事项和工程设计的 建议权， 工程建设有关事项包括工程规模、设计标准、规划设计，生产工艺设计 和使用功能要求。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B 实施项目的质量、安全、工期和费用的监督控制权。主要表 现为：对承包商报的工程施工组织设计和技术方案， 按照保质量、保工期和降低 成本要求，自主进行审批和向承包商提出建议；征得发包人同意，发布开工令、停工令、复工令； 对工程上使用的材料和施工质量进行检验；对施工进度进行检 查、监督，未经监理工程师签字， 建筑材料、建筑构配件和设备不得在工地上使 用，施工单位不得进行下一道工序的施工；工程实施竣工日期提前或延误期限的 鉴定；工程承包合同约定的工程范围内，工程款支付的审核和签认权，以及结算 工程款的复核确认与否定权。未经监理人签字确认， 发包人不支付工程款， 不进 行竣工验收。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C 工程建设有关协作单位组织协调的主持权。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D 紧急情况下，为了 工程和人身安全，尽管变更指令已超越了发包人授权而又不能事先得到批准时， 也有权发布变更指令，但应尽快通知发包人。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3.监理人有权要求承包人调换其人员的限制条件：报发包人同意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4. 提交报告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监理人应提交报告的种类(包括监理规划、监理月报及约 定的专项报告)、时间和份数：经审核批准的监理规划在召开第一次工地会议前三天报送发包人 1 份；经批准 的监理实施细则在施工开始前三天报送发包人 1 份； 工地周例会(包括根据需要 及时组织的专题会议) 会议纪要在会后两天内报送发包人 1 份； 监理月报在每月 28 日前报送发包人 1 份；其它应报送发包人的资料按相关规范文件要求报送。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二、适用规范标准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（一）通用施工监理规范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执行《公路工程施工监理规范》（</w:t>
      </w:r>
      <w:r>
        <w:rPr>
          <w:rFonts w:hint="default" w:ascii="Times New Roman" w:hAnsi="Times New Roman" w:cs="Times New Roman" w:eastAsiaTheme="minorEastAsia"/>
          <w:color w:val="auto"/>
          <w:kern w:val="0"/>
          <w:sz w:val="24"/>
          <w:szCs w:val="24"/>
          <w:lang w:val="en-US" w:eastAsia="zh-CN" w:bidi="ar"/>
        </w:rPr>
        <w:t>JTG G10—2016</w:t>
      </w:r>
      <w:r>
        <w:rPr>
          <w:rFonts w:hint="eastAsia" w:ascii="Times New Roman" w:hAnsi="Times New Roman" w:cs="Times New Roman" w:eastAsiaTheme="minorEastAsia"/>
          <w:color w:val="auto"/>
          <w:kern w:val="0"/>
          <w:sz w:val="24"/>
          <w:szCs w:val="24"/>
          <w:lang w:val="en-US" w:eastAsia="zh-CN" w:bidi="ar"/>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（二）专用施工监理规范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专用施工监理规范由招标人根据工程的实际情况，在《公路工程施工监理规范》（</w:t>
      </w:r>
      <w:r>
        <w:rPr>
          <w:rFonts w:hint="default" w:ascii="Times New Roman" w:hAnsi="Times New Roman" w:cs="Times New Roman" w:eastAsiaTheme="minorEastAsia"/>
          <w:color w:val="auto"/>
          <w:kern w:val="0"/>
          <w:sz w:val="24"/>
          <w:szCs w:val="24"/>
          <w:lang w:val="en-US" w:eastAsia="zh-CN" w:bidi="ar"/>
        </w:rPr>
        <w:t xml:space="preserve">JTG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G10—2016</w:t>
      </w:r>
      <w:r>
        <w:rPr>
          <w:rFonts w:hint="eastAsia" w:ascii="Times New Roman" w:hAnsi="Times New Roman" w:cs="Times New Roman" w:eastAsiaTheme="minorEastAsia"/>
          <w:color w:val="auto"/>
          <w:kern w:val="0"/>
          <w:sz w:val="24"/>
          <w:szCs w:val="24"/>
          <w:lang w:val="en-US" w:eastAsia="zh-CN" w:bidi="ar"/>
        </w:rPr>
        <w:t>）的基础上自行编制并纳入</w:t>
      </w:r>
      <w:r>
        <w:rPr>
          <w:rFonts w:hint="default"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eastAsiaTheme="minorEastAsia"/>
          <w:color w:val="auto"/>
          <w:kern w:val="0"/>
          <w:sz w:val="24"/>
          <w:szCs w:val="24"/>
          <w:lang w:val="en-US" w:eastAsia="zh-CN" w:bidi="ar"/>
        </w:rPr>
        <w:t>发包人要求</w:t>
      </w:r>
      <w:r>
        <w:rPr>
          <w:rFonts w:hint="default"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eastAsiaTheme="minorEastAsia"/>
          <w:color w:val="auto"/>
          <w:kern w:val="0"/>
          <w:sz w:val="24"/>
          <w:szCs w:val="24"/>
          <w:lang w:val="en-US" w:eastAsia="zh-CN" w:bidi="ar"/>
        </w:rPr>
        <w:t xml:space="preserve">中，但不得与国家、交通运输部及有关部门的法规、标准、规范等矛盾。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针对本工程或仅在本地区实行的与监理工作有关的管理办法、制度应一并纳入</w:t>
      </w:r>
      <w:r>
        <w:rPr>
          <w:rFonts w:hint="default"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eastAsiaTheme="minorEastAsia"/>
          <w:color w:val="auto"/>
          <w:kern w:val="0"/>
          <w:sz w:val="24"/>
          <w:szCs w:val="24"/>
          <w:lang w:val="en-US" w:eastAsia="zh-CN" w:bidi="ar"/>
        </w:rPr>
        <w:t>发包人要求</w:t>
      </w:r>
      <w:r>
        <w:rPr>
          <w:rFonts w:hint="default"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eastAsiaTheme="minorEastAsia"/>
          <w:color w:val="auto"/>
          <w:kern w:val="0"/>
          <w:sz w:val="24"/>
          <w:szCs w:val="24"/>
          <w:lang w:val="en-US" w:eastAsia="zh-CN" w:bidi="ar"/>
        </w:rPr>
        <w:t xml:space="preserve">中。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（三）施工技术规范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施工技术规范包括以下内容：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1. </w:t>
      </w:r>
      <w:r>
        <w:rPr>
          <w:rFonts w:hint="eastAsia" w:ascii="Times New Roman" w:hAnsi="Times New Roman" w:cs="Times New Roman" w:eastAsiaTheme="minorEastAsia"/>
          <w:color w:val="auto"/>
          <w:kern w:val="0"/>
          <w:sz w:val="24"/>
          <w:szCs w:val="24"/>
          <w:lang w:val="en-US" w:eastAsia="zh-CN" w:bidi="ar"/>
        </w:rPr>
        <w:t xml:space="preserve">本工程施工标段招标文件中的技术规范；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2. </w:t>
      </w:r>
      <w:r>
        <w:rPr>
          <w:rFonts w:hint="eastAsia" w:ascii="Times New Roman" w:hAnsi="Times New Roman" w:cs="Times New Roman" w:eastAsiaTheme="minorEastAsia"/>
          <w:color w:val="auto"/>
          <w:kern w:val="0"/>
          <w:sz w:val="24"/>
          <w:szCs w:val="24"/>
          <w:lang w:val="en-US" w:eastAsia="zh-CN" w:bidi="ar"/>
        </w:rPr>
        <w:t xml:space="preserve">所有与工程施工有关的国家现行的公路建设标准、规范、规程及相关文件。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（四）国家、行业、项目所在地适用本工程的其他规范、标准或规程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三、成果文件要求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（一）成果文件的组成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（二）成果文件的深度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（三）成果文件的格式要求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（四）成果文件的份数要求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（五）成果文件的载体要求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1. </w:t>
      </w:r>
      <w:r>
        <w:rPr>
          <w:rFonts w:hint="eastAsia" w:ascii="Times New Roman" w:hAnsi="Times New Roman" w:cs="Times New Roman" w:eastAsiaTheme="minorEastAsia"/>
          <w:color w:val="auto"/>
          <w:kern w:val="0"/>
          <w:sz w:val="24"/>
          <w:szCs w:val="24"/>
          <w:lang w:val="en-US" w:eastAsia="zh-CN" w:bidi="ar"/>
        </w:rPr>
        <w:t xml:space="preserve">纸质版的要求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2. </w:t>
      </w:r>
      <w:r>
        <w:rPr>
          <w:rFonts w:hint="eastAsia" w:ascii="Times New Roman" w:hAnsi="Times New Roman" w:cs="Times New Roman" w:eastAsiaTheme="minorEastAsia"/>
          <w:color w:val="auto"/>
          <w:kern w:val="0"/>
          <w:sz w:val="24"/>
          <w:szCs w:val="24"/>
          <w:lang w:val="en-US" w:eastAsia="zh-CN" w:bidi="ar"/>
        </w:rPr>
        <w:t xml:space="preserve">电子版的要求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default" w:ascii="Times New Roman" w:hAnsi="Times New Roman" w:cs="Times New Roman" w:eastAsiaTheme="minorEastAsia"/>
          <w:color w:val="auto"/>
          <w:kern w:val="0"/>
          <w:sz w:val="24"/>
          <w:szCs w:val="24"/>
          <w:lang w:val="en-US" w:eastAsia="zh-CN" w:bidi="ar"/>
        </w:rPr>
        <w:t xml:space="preserve">3. </w:t>
      </w:r>
      <w:r>
        <w:rPr>
          <w:rFonts w:hint="eastAsia" w:ascii="Times New Roman" w:hAnsi="Times New Roman" w:cs="Times New Roman" w:eastAsiaTheme="minorEastAsia"/>
          <w:color w:val="auto"/>
          <w:kern w:val="0"/>
          <w:sz w:val="24"/>
          <w:szCs w:val="24"/>
          <w:lang w:val="en-US" w:eastAsia="zh-CN" w:bidi="ar"/>
        </w:rPr>
        <w:t xml:space="preserve">其他要求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3.1 投标文件中承诺的总监理工程师、总监代表、专业监理工程师、监理员等人员原则 上不予更换， 以上管理人员确因身体健康等不可抗拒原因需要变更时， 替换后的管理人员资 格、业绩不得低于原管理人员， 并完善变更手续， 报送建设行政主管部门备案。未报送备案 的， 由建设行政主管部门记企业和项目经理不良记录档案一次。更换项目班子管理人员一人次视为违约一次，并按以下规定给予承包人进行处罚。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(1)如更换总监理工程师、总监代表，须向发包人支付违约金 3万元/人次；  </w:t>
      </w: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    (2)如更换专业监理工程师，须向发包人支付人员违约保证金 1 万元/人次；  </w:t>
      </w: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    (3)监理员等其他管理人员 0.5 万元/人次。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(4)被替换的管理人员不得再参与其它项目的投标和管理，若发现须再次向发包人支 付违约金，违约金金额等同于替换金额。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(5) 以上管理人员在监理期间不能满足工程的需要，建设单位有权要求更换，监理人 应在收到书面更换通知后 7 天内进行更换，并视中标人为违约一次, 并按照上述(1)至(3) 约定进行处罚。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承担本工程施工监理的监理机构必须进驻现场， 总监理工程师必须常驻现场，所有监 理人员(含总监)接受发包人管理考勤，总监理工程师、总监代表及专业监理工 程师的月到位天数不得少 22 天， 实际到位天数每少一天，总监理工程师按 1000 元/人每天 扣除监理费用， 总监理工程师代表按 500 元/人每天扣除监理费用，专业监理工程师、监 理员按 300 元/人每天扣除监理费用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(6)总监理工程师、总监代表未经批准， 擅自离开施工现场的违约责任：每天缴纳违约金 5000元/人天。</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(7) 监理人未经发包人同意,擅自更换总监或总监代表的,监理人需向发包人支付 5 万 元/人/次的违约金,且发包人有权单方面解除合同， 并可追究由此造成的损失;擅自更换专业 监理工程师的,监理人需向发包人支付 2 万元/人/次的违约金;擅自更换监理员的,监理人 需向发包人支付 1 万元/人/次的违约金;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(8)监理人无正当理由拒绝更换总监或总监代表的,监理人需向发包人支付 5 万元/人/ 次的违约金,且发包人有权单方面解除合同，并可追究由此造成的损失;无正当理由拒绝更换 专业监理工程师的,监理人需向发包人支付 2万元/人/次的违约金;无正当理由拒绝更换监 理员的,监理人需向发包人支付1 万元/人/次的违约金;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(9)承担本工程施工监理的监理机构必须按人员进场计划进驻现场，总监理工程师必须 常驻现场，所有监理人员(含总监) 接受发包人管理考勤 ，总监理工程师、总监代 表、专业监理工程师及监理员的月到岗天数不得少 22 天，实际到位天数每少一天，总监理 工程师按 1000 元/人/天向发包人支付违约金，总监理工程师代表按 500 元/人/天向发包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人支付违约金，专业监理工程师、监理员按 300 元/人/天向发包人支付违约金.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 9.2 发包人其他要求：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 签订监理合同后 7 日内，监理组成人员必须按投标承诺人员进场计划到岗。总监未按时到岗的，发包人有权要求监理人支付 5000 元/天的违约金，其他人员未到岗的，发包人有权要求监理人支付 2000 元/天/人的违约金。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(2) 监理人应在合同签订后 14 日内提交办理安全报监、质量报监、施工许可证的相关 资料，并按要求及时报送监理规划、监理实施细则等或其他发包人要求提供的相关资料， 每延期一天，发包人有权要求承包人支付违约金 10000 元/项，延期超过 3 天的发函通报至监 理人公司；延期超过 5 天的约谈监理人企业负责人；延期 14 天，则发包人有权单方面解除 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(3)因发包人原因造成未能在计划开工日期前发出开工通知的或部分工程未能按计划 开工日期开工的， 按实际开工日期顺延竣工日期， 价格不予调整， 费用不予补偿。因监理人原因造成未能在计划开工日期前发出开工通知的， 每延期一天，发包人有权要求监理人支付违约金 10000 元，延期 7 天的，则发包人有权单方面解除合同，并有权追究由此造成的损失。</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(4)监理人应安排专职造价人员负责本工程的造价管理工作。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(5)在监理工作范围内，监理人应对其工作人员进行安全教育并实行人身意外事故保 险。监理人员的任何损害与发包人无关。监理人员在责任期内的人身保险和人身伤害由监理 人承担，发包人概不负责。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(6)监理人必须服从发包人的调度，做好检查配合工作及其他有关的协调配合工作，  若监理人拒不执行的，发包人有权要求承包人支付 2000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(7)监理人员人员必须按要求参加发包人组织的工程会议，确有特殊情况必须提前向 发包人请假并经发包人同意，否则，发包人有权要求承包人支付 2000 元/次/人的违约金。 经会议决议后统一布置的任务， 监理人必须认真实施， 对完成事项执行不力或未有效落实的， 发包人有权要求监理人支付 2000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(8)如监理人在质量、安全、进度等方面无法满足招标文件要求和投标文件承诺，发 包人有权约谈监理人单位或承包人上级主管单位法定代表人或主要负责人， 如被约谈的该法 定代表人或主要负责人未在约定时间到场约谈， 发包人有权要求监理人支付 10000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(9) 发包人有权要求监理人企业分管负责人每1 月自到施工现场巡查一次 ，并将巡查 结果报发包人备案,否则,发包人有权要求监理人支付 5000 元/次的违约金。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(10) 严禁挂靠、转包或违法分包， 若发现监理人挂靠、转包，发包人有权要求监理人支付违约金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(11) 发包人有权增加或减少合同中的任何工作，或追加额外工作， 监理人必须无条件立即执行，否则视为违约，监理人应承担由此造成的一切损失， 且发包人有权要求监理人支付违约金 20000 元/次，且发包人有权单方面解除合同，并有权追究由此造成的损失。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(12)监理人必须在每月 25 日下午时前向发包人提供一份监理月报，否则，包人有权 要求监理人支付违约金 1000 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(13) 如发现监理人质量、安全管理等内业资料不完善、不按要求编制、与工程进度不同步、弄虚作假或因监理人原因使施工单位内业资料整理不到位的，发包人有权要求监理人支付违约金 2000 元/次/项，并承担由此造成的一切损失。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(14) 监理人不按规定或未采取有效措施督促施工单位对材料进行进场验收、送检、见 证取样或按要求进行实体检测、留取试块、试件等，发包人有权要求监理人支付 2000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(15) 如在检查中发现现场存在质量、安全文明施工不符合规范要求， 而监理人未及时发现或发现了未及时采取有效措施督促施工单位进行整改，则发包人有权要求监理人支付 1000 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(16)监理人不按照规范要求进行旁站(到场 15 分钟内没有见到监理旁站人员，视同 监理没有旁站)，除承担该部位质量问题的监理责任外，发包人有权要求监理人支付 1000元/次/处的违约金。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(17)监理人应对由于施工单位原因造成的进度滞后问题采取有效、迅速的处理措施， 否则，发包人有权要求监理人支付 1000 元/次的违约金(以月为周期)。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(18) 因监理人工作未尽职责或存在明显错误的，影响工程进展或造成损失的，发包人 有权要求监理人支付 10000 元/次的违约金，并承担由此造成的一切损失。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(19) 如被发包人组织的第三方安全、质量等检查时通报批评，监理人未尽职履责，发包人有权要求监理人支付 5000 元/次的违约金； 三次及三次以上被通报批评，发包人有权约 谈监理人企业负责人， 且可视为该总监等监理人员不能胜任本职工作， 发包人有权要求监理人按规定程序更换总监等人员，并按人员变更违约处理。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(20) 如被主管部门通报批评或被媒体曝光，监理人未尽职履责， 包人有权要求监理人支付 10000 元/次的违约金，且发包人有权约谈监理人企业负责人，且可视为该总监等管理人员不能胜任本职工作， 发包人有权要求监理人按规定程序更换总监等人员， 并按人员变更违约处理。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(21) 如监理人未尽职履责， 工程每发生一起安全事故， 监理人除接受政府相关部门处罚外，包人有权要求承监理人支付一定违约金， 并承担由事故引发的一切后果。发生特别重大事故， 包人有权要求监理人支付违约金 20 万元/次； 发生重大事故，包人有权要求监理人支付违约金 10 万元/次；发生较大事故，包人有权要求监理人支付违约金 5 万元/次；发生 一般事故，包人有权要求监理人支付违约金 2 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(22) 监理人要履行监督职责，对施工现场的农民工实名制管理、劳动合同签订、劳动 用工考勤、按月发放农民工工资等进行监督管理，在项目部设立农民工工资投诉接待室，监 理人要安排专人值班； 在元旦、春节、中秋节等重大节日前， 认真督促、审核施工单位排查 农民工工资拖欠情况，制定维稳值班制度，并上报发包人备案。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(23) 在检查中，如发现施工单位未按照要求落实农民工工资管理相关措施的，而监理 人未及时发现或发现了未及时采取有效措施督促施工单位进行整改， 视为违约。第一次发现 的，发包人有权要求监理人支付 2000 元违约金，且有权约谈监理人企业相关人员；第二次 发现的，发包人进行通报批评，发包人有权要求监理人支付 5000 元违约金，且有权约谈监 理人企业相关人员； 第三次发现的， 函告监理人企业总部， 发包人有权要求监理人支付 10000 元违约金，且有权约谈监理人企业法定代表人或其授权委托代理人(公司副总以上级别)； 第四次发现的，上报至市、区建设行政主管部门及人力资源社会保障行政部门处理，且发包 人有权要求监理人支付 20000 元违约金。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(24)  在项目实施过程中，尤其在元旦、春节、 中秋节等特殊时段，发生农民工上访 的， 而监理人失职失责，视为违约，发生 10 人(不含 10 人) 以下上访的， 发包人有权要求监理人支付 5000 元/次违约金，且有权约谈监理人企业相关人员；发生 10 人(含 10 人)以 上上访的，发包人有权要求监理人支付 10000 元/次违约金，且有权约谈监理人企业法定代 表人或其授权委托代理人(公司副总以上级别) ；发生 30 人(含 30 人) 以上上访的， 或虽 然人数较少，但上访事件不能及时妥善解决造成恶劣影响的，发包人有权要求监理人支付20000 元/次违约金，并上报至市、区建设行政主管部门及人力资源社会保障行政部门处理。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(25)若监理人与施工单位串通损害发包人利益，发包人有权要求监理人支付违约金 1-10万元/次。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(26)若监理人需发包人支付的违约金额累计达到 10 万元时，发包人有权视情况解除本监理合同。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(27) 因监理人原因出现下列情形的， 发包人有权依法解除合同： 总监、总代等监理人 员变更未经发包人同意擅自长期脱岗离岗不履行职务的(连续 3 个月考勤率不足 50%的) ； 在检查中多次发现(3 次及以上) 监理人未及时发现现场质量、安全文明施工问题或发现了未及时采取有效措施督促整改的； 因监理人监管不力， 导致拖欠劳务人员工资，引起群体性 事件的； 监理人明确表示或者以其行为表明不履行合同主要义务的； 有证据证明监理人无能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力继续履行义务的；法律、法规规定或合同约定的其他情形。 如因监理人违约造成的合同解除，发包人有权不支付剩余监理费，且履约保证金不予退还。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（28）监理人员不作为，对现场明显问题未及时发现、轻慢敷衍了事者视情况轻重，扣除监理费 </w:t>
      </w:r>
      <w:r>
        <w:rPr>
          <w:rFonts w:hint="default" w:ascii="Times New Roman" w:hAnsi="Times New Roman" w:cs="Times New Roman" w:eastAsiaTheme="minorEastAsia"/>
          <w:color w:val="auto"/>
          <w:kern w:val="0"/>
          <w:sz w:val="24"/>
          <w:szCs w:val="24"/>
          <w:lang w:val="en-US" w:eastAsia="zh-CN" w:bidi="ar"/>
        </w:rPr>
        <w:t>500</w:t>
      </w:r>
      <w:r>
        <w:rPr>
          <w:rFonts w:hint="eastAsia"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 xml:space="preserve">1000 </w:t>
      </w:r>
      <w:r>
        <w:rPr>
          <w:rFonts w:hint="eastAsia" w:ascii="Times New Roman" w:hAnsi="Times New Roman" w:cs="Times New Roman" w:eastAsiaTheme="minorEastAsia"/>
          <w:color w:val="auto"/>
          <w:kern w:val="0"/>
          <w:sz w:val="24"/>
          <w:szCs w:val="24"/>
          <w:lang w:val="en-US" w:eastAsia="zh-CN" w:bidi="ar"/>
        </w:rPr>
        <w:t>元</w:t>
      </w:r>
      <w:r>
        <w:rPr>
          <w:rFonts w:hint="default"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eastAsiaTheme="minorEastAsia"/>
          <w:color w:val="auto"/>
          <w:kern w:val="0"/>
          <w:sz w:val="24"/>
          <w:szCs w:val="24"/>
          <w:lang w:val="en-US" w:eastAsia="zh-CN" w:bidi="ar"/>
        </w:rPr>
        <w:t>次不等。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ab/>
      </w:r>
      <w:r>
        <w:rPr>
          <w:rFonts w:hint="eastAsia" w:ascii="Times New Roman" w:hAnsi="Times New Roman" w:cs="Times New Roman" w:eastAsiaTheme="minorEastAsia"/>
          <w:color w:val="auto"/>
          <w:kern w:val="0"/>
          <w:sz w:val="24"/>
          <w:szCs w:val="24"/>
          <w:lang w:val="en-US" w:eastAsia="zh-CN" w:bidi="ar"/>
        </w:rPr>
        <w:t xml:space="preserve">(29) 本合同条款中所有违约金应在违约处理单发出后 7 日内缴纳，如不及时缴纳，发包人有权暂停监理费支付或从监理费中扣除。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项目结算及项目变更，监理单位应认真审核，并按照发包人及其集团公司要求实施。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不论何种原因造成的工程施工工期延长，监理费均不予调整。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32）在工程施工期间，发包人将不定期地组织有关人员对工程质量进行抽查。如发包人抽查时发现已施工完成的工程中材料或质量未达到约定质量标准且未被监理人员发现并发出纠正指令，视为监理失误，视情节轻重，监理人承担 </w:t>
      </w:r>
      <w:r>
        <w:rPr>
          <w:rFonts w:hint="default" w:ascii="Times New Roman" w:hAnsi="Times New Roman" w:cs="Times New Roman" w:eastAsiaTheme="minorEastAsia"/>
          <w:color w:val="auto"/>
          <w:kern w:val="0"/>
          <w:sz w:val="24"/>
          <w:szCs w:val="24"/>
          <w:lang w:val="en-US" w:eastAsia="zh-CN" w:bidi="ar"/>
        </w:rPr>
        <w:t xml:space="preserve">5000 </w:t>
      </w:r>
      <w:r>
        <w:rPr>
          <w:rFonts w:hint="eastAsia" w:ascii="Times New Roman" w:hAnsi="Times New Roman" w:cs="Times New Roman" w:eastAsiaTheme="minorEastAsia"/>
          <w:color w:val="auto"/>
          <w:kern w:val="0"/>
          <w:sz w:val="24"/>
          <w:szCs w:val="24"/>
          <w:lang w:val="en-US" w:eastAsia="zh-CN" w:bidi="ar"/>
        </w:rPr>
        <w:t>元</w:t>
      </w:r>
      <w:r>
        <w:rPr>
          <w:rFonts w:hint="default"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eastAsiaTheme="minorEastAsia"/>
          <w:color w:val="auto"/>
          <w:kern w:val="0"/>
          <w:sz w:val="24"/>
          <w:szCs w:val="24"/>
          <w:lang w:val="en-US" w:eastAsia="zh-CN" w:bidi="ar"/>
        </w:rPr>
        <w:t xml:space="preserve">次的违约金，若出现重大质量安全事故的除依据国家相关法律严肃处理外，报请有关部门给予不良记录或黑名单等处罚。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（33）安全文明施工管理及扬尘治理是监理日常工作，必须委派一人专门负责。若被上级有关部门通报批评，媒体曝光，监理人除承担相应处罚外，另向发包人支付 </w:t>
      </w:r>
      <w:r>
        <w:rPr>
          <w:rFonts w:hint="default" w:ascii="Times New Roman" w:hAnsi="Times New Roman" w:cs="Times New Roman" w:eastAsiaTheme="minorEastAsia"/>
          <w:color w:val="auto"/>
          <w:kern w:val="0"/>
          <w:sz w:val="24"/>
          <w:szCs w:val="24"/>
          <w:lang w:val="en-US" w:eastAsia="zh-CN" w:bidi="ar"/>
        </w:rPr>
        <w:t xml:space="preserve">2000 </w:t>
      </w:r>
      <w:r>
        <w:rPr>
          <w:rFonts w:hint="eastAsia" w:ascii="Times New Roman" w:hAnsi="Times New Roman" w:cs="Times New Roman" w:eastAsiaTheme="minorEastAsia"/>
          <w:color w:val="auto"/>
          <w:kern w:val="0"/>
          <w:sz w:val="24"/>
          <w:szCs w:val="24"/>
          <w:lang w:val="en-US" w:eastAsia="zh-CN" w:bidi="ar"/>
        </w:rPr>
        <w:t>元</w:t>
      </w:r>
      <w:r>
        <w:rPr>
          <w:rFonts w:hint="default"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eastAsiaTheme="minorEastAsia"/>
          <w:color w:val="auto"/>
          <w:kern w:val="0"/>
          <w:sz w:val="24"/>
          <w:szCs w:val="24"/>
          <w:lang w:val="en-US" w:eastAsia="zh-CN" w:bidi="ar"/>
        </w:rPr>
        <w:t xml:space="preserve">次的违约金。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（34）内业资料不完善（包括不限于检验、检查、验收不及时、无签字、无记录），伪造资料报告或伪造检验结论的，每次处以人民币</w:t>
      </w:r>
      <w:r>
        <w:rPr>
          <w:rFonts w:hint="default" w:ascii="Times New Roman" w:hAnsi="Times New Roman" w:cs="Times New Roman" w:eastAsiaTheme="minorEastAsia"/>
          <w:color w:val="auto"/>
          <w:kern w:val="0"/>
          <w:sz w:val="24"/>
          <w:szCs w:val="24"/>
          <w:lang w:val="en-US" w:eastAsia="zh-CN" w:bidi="ar"/>
        </w:rPr>
        <w:t xml:space="preserve">200--2000 </w:t>
      </w:r>
      <w:r>
        <w:rPr>
          <w:rFonts w:hint="eastAsia" w:ascii="Times New Roman" w:hAnsi="Times New Roman" w:cs="Times New Roman" w:eastAsiaTheme="minorEastAsia"/>
          <w:color w:val="auto"/>
          <w:kern w:val="0"/>
          <w:sz w:val="24"/>
          <w:szCs w:val="24"/>
          <w:lang w:val="en-US" w:eastAsia="zh-CN" w:bidi="ar"/>
        </w:rPr>
        <w:t xml:space="preserve">元违约金，情节严重者，报建设主管部门处理。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（35）监理人必须对工程设计变更、签证、结算审计持严谨、负责的态度，针对现场签证、变更、暂估价对应的工程量、现场未按图纸施工部分做好现场详细实测、影像等记录，结算审计中若（</w:t>
      </w:r>
      <w:r>
        <w:rPr>
          <w:rFonts w:hint="default" w:ascii="Times New Roman" w:hAnsi="Times New Roman" w:cs="Times New Roman" w:eastAsiaTheme="minorEastAsia"/>
          <w:color w:val="auto"/>
          <w:kern w:val="0"/>
          <w:sz w:val="24"/>
          <w:szCs w:val="24"/>
          <w:lang w:val="en-US" w:eastAsia="zh-CN" w:bidi="ar"/>
        </w:rPr>
        <w:t>A-B</w:t>
      </w:r>
      <w:r>
        <w:rPr>
          <w:rFonts w:hint="eastAsia" w:ascii="Times New Roman" w:hAnsi="Times New Roman" w:cs="Times New Roman" w:eastAsiaTheme="minorEastAsia"/>
          <w:color w:val="auto"/>
          <w:kern w:val="0"/>
          <w:sz w:val="24"/>
          <w:szCs w:val="24"/>
          <w:lang w:val="en-US" w:eastAsia="zh-CN" w:bidi="ar"/>
        </w:rPr>
        <w:t>） ／</w:t>
      </w:r>
      <w:r>
        <w:rPr>
          <w:rFonts w:hint="default" w:ascii="Times New Roman" w:hAnsi="Times New Roman" w:cs="Times New Roman" w:eastAsiaTheme="minorEastAsia"/>
          <w:color w:val="auto"/>
          <w:kern w:val="0"/>
          <w:sz w:val="24"/>
          <w:szCs w:val="24"/>
          <w:lang w:val="en-US" w:eastAsia="zh-CN" w:bidi="ar"/>
        </w:rPr>
        <w:t>B&gt;10</w:t>
      </w:r>
      <w:r>
        <w:rPr>
          <w:rFonts w:hint="eastAsia" w:ascii="Times New Roman" w:hAnsi="Times New Roman" w:cs="Times New Roman" w:eastAsiaTheme="minorEastAsia"/>
          <w:color w:val="auto"/>
          <w:kern w:val="0"/>
          <w:sz w:val="24"/>
          <w:szCs w:val="24"/>
          <w:lang w:val="en-US" w:eastAsia="zh-CN" w:bidi="ar"/>
        </w:rPr>
        <w:t>％时（其中：</w:t>
      </w:r>
      <w:r>
        <w:rPr>
          <w:rFonts w:hint="default" w:ascii="Times New Roman" w:hAnsi="Times New Roman" w:cs="Times New Roman" w:eastAsiaTheme="minorEastAsia"/>
          <w:color w:val="auto"/>
          <w:kern w:val="0"/>
          <w:sz w:val="24"/>
          <w:szCs w:val="24"/>
          <w:lang w:val="en-US" w:eastAsia="zh-CN" w:bidi="ar"/>
        </w:rPr>
        <w:t xml:space="preserve">A </w:t>
      </w:r>
      <w:r>
        <w:rPr>
          <w:rFonts w:hint="eastAsia" w:ascii="Times New Roman" w:hAnsi="Times New Roman" w:cs="Times New Roman" w:eastAsiaTheme="minorEastAsia"/>
          <w:color w:val="auto"/>
          <w:kern w:val="0"/>
          <w:sz w:val="24"/>
          <w:szCs w:val="24"/>
          <w:lang w:val="en-US" w:eastAsia="zh-CN" w:bidi="ar"/>
        </w:rPr>
        <w:t>指监理人审定承包人送审的工程结算总造价，</w:t>
      </w:r>
      <w:r>
        <w:rPr>
          <w:rFonts w:hint="default" w:ascii="Times New Roman" w:hAnsi="Times New Roman" w:cs="Times New Roman" w:eastAsiaTheme="minorEastAsia"/>
          <w:color w:val="auto"/>
          <w:kern w:val="0"/>
          <w:sz w:val="24"/>
          <w:szCs w:val="24"/>
          <w:lang w:val="en-US" w:eastAsia="zh-CN" w:bidi="ar"/>
        </w:rPr>
        <w:t xml:space="preserve">B </w:t>
      </w:r>
      <w:r>
        <w:rPr>
          <w:rFonts w:hint="eastAsia" w:ascii="Times New Roman" w:hAnsi="Times New Roman" w:cs="Times New Roman" w:eastAsiaTheme="minorEastAsia"/>
          <w:color w:val="auto"/>
          <w:kern w:val="0"/>
          <w:sz w:val="24"/>
          <w:szCs w:val="24"/>
          <w:lang w:val="en-US" w:eastAsia="zh-CN" w:bidi="ar"/>
        </w:rPr>
        <w:t xml:space="preserve">指经审计机构审定后的工程结算总造价），处以自 </w:t>
      </w:r>
      <w:r>
        <w:rPr>
          <w:rFonts w:hint="default" w:ascii="Times New Roman" w:hAnsi="Times New Roman" w:cs="Times New Roman" w:eastAsiaTheme="minorEastAsia"/>
          <w:color w:val="auto"/>
          <w:kern w:val="0"/>
          <w:sz w:val="24"/>
          <w:szCs w:val="24"/>
          <w:lang w:val="en-US" w:eastAsia="zh-CN" w:bidi="ar"/>
        </w:rPr>
        <w:t>10%</w:t>
      </w:r>
      <w:r>
        <w:rPr>
          <w:rFonts w:hint="eastAsia" w:ascii="Times New Roman" w:hAnsi="Times New Roman" w:cs="Times New Roman" w:eastAsiaTheme="minorEastAsia"/>
          <w:color w:val="auto"/>
          <w:kern w:val="0"/>
          <w:sz w:val="24"/>
          <w:szCs w:val="24"/>
          <w:lang w:val="en-US" w:eastAsia="zh-CN" w:bidi="ar"/>
        </w:rPr>
        <w:t xml:space="preserve">超出部分乘以 </w:t>
      </w:r>
      <w:r>
        <w:rPr>
          <w:rFonts w:hint="default" w:ascii="Times New Roman" w:hAnsi="Times New Roman" w:cs="Times New Roman" w:eastAsiaTheme="minorEastAsia"/>
          <w:color w:val="auto"/>
          <w:kern w:val="0"/>
          <w:sz w:val="24"/>
          <w:szCs w:val="24"/>
          <w:lang w:val="en-US" w:eastAsia="zh-CN" w:bidi="ar"/>
        </w:rPr>
        <w:t xml:space="preserve">2 </w:t>
      </w:r>
      <w:r>
        <w:rPr>
          <w:rFonts w:hint="eastAsia" w:ascii="Times New Roman" w:hAnsi="Times New Roman" w:cs="Times New Roman" w:eastAsiaTheme="minorEastAsia"/>
          <w:color w:val="auto"/>
          <w:kern w:val="0"/>
          <w:sz w:val="24"/>
          <w:szCs w:val="24"/>
          <w:lang w:val="en-US" w:eastAsia="zh-CN" w:bidi="ar"/>
        </w:rPr>
        <w:t>倍监理费率的罚款（即（</w:t>
      </w:r>
      <w:r>
        <w:rPr>
          <w:rFonts w:hint="default" w:ascii="Times New Roman" w:hAnsi="Times New Roman" w:cs="Times New Roman" w:eastAsiaTheme="minorEastAsia"/>
          <w:color w:val="auto"/>
          <w:kern w:val="0"/>
          <w:sz w:val="24"/>
          <w:szCs w:val="24"/>
          <w:lang w:val="en-US" w:eastAsia="zh-CN" w:bidi="ar"/>
        </w:rPr>
        <w:t>A-B*1.10</w:t>
      </w:r>
      <w:r>
        <w:rPr>
          <w:rFonts w:hint="eastAsia"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*2*</w:t>
      </w:r>
      <w:r>
        <w:rPr>
          <w:rFonts w:hint="eastAsia" w:ascii="Times New Roman" w:hAnsi="Times New Roman" w:cs="Times New Roman" w:eastAsiaTheme="minorEastAsia"/>
          <w:color w:val="auto"/>
          <w:kern w:val="0"/>
          <w:sz w:val="24"/>
          <w:szCs w:val="24"/>
          <w:lang w:val="en-US" w:eastAsia="zh-CN" w:bidi="ar"/>
        </w:rPr>
        <w:t xml:space="preserve">监理中标费率）。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（36）监理人未完成发包人委托的监理业务，应酌情扣减监理费。若由于监理人的错误或过失，给发包人造成损失的，应根据错误或过失的性质和所造成损失的程度，承担赔偿责任。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（37）监理人应按投标文件及合同中拟定的经发包人认可的人员名单派监理人员到位上岗。除非发包人另</w:t>
      </w:r>
      <w:bookmarkStart w:id="137" w:name="_GoBack"/>
      <w:bookmarkEnd w:id="137"/>
      <w:r>
        <w:rPr>
          <w:rFonts w:hint="eastAsia" w:ascii="Times New Roman" w:hAnsi="Times New Roman" w:cs="Times New Roman" w:eastAsiaTheme="minorEastAsia"/>
          <w:color w:val="auto"/>
          <w:kern w:val="0"/>
          <w:sz w:val="24"/>
          <w:szCs w:val="24"/>
          <w:lang w:val="en-US" w:eastAsia="zh-CN" w:bidi="ar"/>
        </w:rPr>
        <w:t>有要求或其它特殊原因，监理人不得以任何理由在人员进场过程中调换总监理工程师和专业监理工程师等主要监理人员。否则将被视为监理人违约。项目施工期间，监理人员均为本工程专有人员，总监理工程师</w:t>
      </w:r>
      <w:r>
        <w:rPr>
          <w:rFonts w:hint="default" w:ascii="Times New Roman" w:hAnsi="Times New Roman" w:cs="Times New Roman" w:eastAsiaTheme="minorEastAsia"/>
          <w:color w:val="auto"/>
          <w:kern w:val="0"/>
          <w:sz w:val="24"/>
          <w:szCs w:val="24"/>
          <w:lang w:val="en-US" w:eastAsia="zh-CN" w:bidi="ar"/>
        </w:rPr>
        <w:t xml:space="preserve"> </w:t>
      </w:r>
      <w:r>
        <w:rPr>
          <w:rFonts w:hint="eastAsia" w:ascii="Times New Roman" w:hAnsi="Times New Roman" w:cs="Times New Roman" w:eastAsiaTheme="minorEastAsia"/>
          <w:color w:val="auto"/>
          <w:kern w:val="0"/>
          <w:sz w:val="24"/>
          <w:szCs w:val="24"/>
          <w:lang w:val="en-US" w:eastAsia="zh-CN" w:bidi="ar"/>
        </w:rPr>
        <w:t>，总监代表</w:t>
      </w:r>
      <w:r>
        <w:rPr>
          <w:rFonts w:hint="default" w:ascii="Times New Roman" w:hAnsi="Times New Roman" w:cs="Times New Roman" w:eastAsiaTheme="minorEastAsia"/>
          <w:color w:val="auto"/>
          <w:kern w:val="0"/>
          <w:sz w:val="24"/>
          <w:szCs w:val="24"/>
          <w:lang w:val="en-US" w:eastAsia="zh-CN" w:bidi="ar"/>
        </w:rPr>
        <w:t xml:space="preserve"> </w:t>
      </w:r>
      <w:r>
        <w:rPr>
          <w:rFonts w:hint="eastAsia" w:ascii="Times New Roman" w:hAnsi="Times New Roman" w:cs="Times New Roman" w:eastAsiaTheme="minorEastAsia"/>
          <w:color w:val="auto"/>
          <w:kern w:val="0"/>
          <w:sz w:val="24"/>
          <w:szCs w:val="24"/>
          <w:lang w:val="en-US" w:eastAsia="zh-CN" w:bidi="ar"/>
        </w:rPr>
        <w:t>，专业监理工程师</w:t>
      </w:r>
      <w:r>
        <w:rPr>
          <w:rFonts w:hint="default" w:ascii="Times New Roman" w:hAnsi="Times New Roman" w:cs="Times New Roman" w:eastAsiaTheme="minorEastAsia"/>
          <w:color w:val="auto"/>
          <w:kern w:val="0"/>
          <w:sz w:val="24"/>
          <w:szCs w:val="24"/>
          <w:lang w:val="en-US" w:eastAsia="zh-CN" w:bidi="ar"/>
        </w:rPr>
        <w:t xml:space="preserve"> </w:t>
      </w:r>
      <w:r>
        <w:rPr>
          <w:rFonts w:hint="eastAsia"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（38）如监理人员的更换造成损失的应当全额赔偿，发包人可以单方面解除本监理合同。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（39）总监理工程师和总监理工程师代表不能同时离岗。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（40） 监理人应配备相应专业的监理人员、数量满足项目监理工作的需要。各专业监理工程师不得随意更换，如确实需要调整，监理人应征得发包人的同意。监理机构的所有人员均不得与任何被监理单位产生或建立与监理工作无关的联系和关系，以确保监理工作的公正性，维护发包人和其它相关单位的合法权益。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（41）发包人将不定期对总监理工程师、专业监理工程师等履行职责的情况进行检查，总监理工程师应能及时提供反映这些情况的概要的和全套的书面备查材料。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（42）监理单位应对工程变更的内容提出明确意见，并对施工单位申报的变更价款进行审核，出具审核结论，并对结论承担相应责任。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（43）监理单位须监督施工单位农民工工资发放情况，并配合发包人处理农民工工资纠纷事件。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（44）工程质量的报验工作由监理人督促承包人完成。遇有质量问题，必须按质量承包等级要求返工或停工处理，未履行监理责任而造成的损失由监理人承担。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（45）监理人工作亦包含工程竣工、验收、备案、决算审核与移交工作。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（46）监理人员在责任期内的人身保险和人身伤害由监理人承担，发包人概不负责。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（47）本项目拟派总监工程师任职资格须符合安徽省住房城乡建设厅建市【</w:t>
      </w:r>
      <w:r>
        <w:rPr>
          <w:rFonts w:hint="default" w:ascii="Times New Roman" w:hAnsi="Times New Roman" w:cs="Times New Roman" w:eastAsiaTheme="minorEastAsia"/>
          <w:color w:val="auto"/>
          <w:kern w:val="0"/>
          <w:sz w:val="24"/>
          <w:szCs w:val="24"/>
          <w:lang w:val="en-US" w:eastAsia="zh-CN" w:bidi="ar"/>
        </w:rPr>
        <w:t>2014</w:t>
      </w:r>
      <w:r>
        <w:rPr>
          <w:rFonts w:hint="eastAsia"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 xml:space="preserve">186 </w:t>
      </w:r>
      <w:r>
        <w:rPr>
          <w:rFonts w:hint="eastAsia" w:ascii="Times New Roman" w:hAnsi="Times New Roman" w:cs="Times New Roman" w:eastAsiaTheme="minorEastAsia"/>
          <w:color w:val="auto"/>
          <w:kern w:val="0"/>
          <w:sz w:val="24"/>
          <w:szCs w:val="24"/>
          <w:lang w:val="en-US" w:eastAsia="zh-CN" w:bidi="ar"/>
        </w:rPr>
        <w:t xml:space="preserve">号文，且满足办理施工许可证的条件。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 xml:space="preserve">（48）配合发包人完成各级部门和质检单位的检查。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（49）本合同条款中所有违约金应在费用直接从当次申报的监理费中扣除或按发包人要求进行缴纳，如不及时缴纳，发包人有权暂停监理费支付或从监理费中扣除。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（50）本项目由于工期短，任务重，需抢工期，在隐蔽部位施工阶段需要计量时，需随叫随到，及时计量及记录隐蔽工程量，并留下纸质及影像资料存档。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color w:val="auto"/>
          <w:kern w:val="0"/>
          <w:sz w:val="24"/>
          <w:szCs w:val="24"/>
          <w:lang w:val="en-US" w:eastAsia="zh-CN" w:bidi="ar"/>
        </w:rPr>
      </w:pPr>
      <w:r>
        <w:rPr>
          <w:rFonts w:hint="eastAsia" w:ascii="Times New Roman" w:hAnsi="Times New Roman" w:cs="Times New Roman" w:eastAsiaTheme="minorEastAsia"/>
          <w:color w:val="auto"/>
          <w:kern w:val="0"/>
          <w:sz w:val="24"/>
          <w:szCs w:val="24"/>
          <w:lang w:val="en-US" w:eastAsia="zh-CN" w:bidi="ar"/>
        </w:rPr>
        <w:t>（51）监理人员数量可根据现场实际情况和建设单位要求进行调整，调整前须征求建设单位意见。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color w:val="auto"/>
          <w:kern w:val="0"/>
          <w:sz w:val="24"/>
          <w:szCs w:val="24"/>
          <w:lang w:val="en-US" w:eastAsia="zh-CN" w:bidi="ar"/>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7"/>
        <w:jc w:val="center"/>
        <w:rPr>
          <w:rFonts w:hint="default" w:ascii="Times New Roman" w:hAnsi="Times New Roman" w:cs="Times New Roman"/>
        </w:rPr>
      </w:pPr>
      <w:bookmarkStart w:id="72" w:name="_Toc144974856"/>
      <w:bookmarkStart w:id="73" w:name="_Toc247527827"/>
      <w:bookmarkStart w:id="74" w:name="_Toc247514246"/>
      <w:bookmarkStart w:id="75" w:name="_Toc152042576"/>
      <w:bookmarkStart w:id="76" w:name="_Toc152045787"/>
      <w:bookmarkStart w:id="77" w:name="_Toc300835209"/>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7"/>
        <w:jc w:val="center"/>
        <w:rPr>
          <w:rFonts w:hint="default" w:ascii="Times New Roman" w:hAnsi="Times New Roman" w:eastAsia="黑体" w:cs="Times New Roman"/>
          <w:sz w:val="20"/>
          <w:szCs w:val="20"/>
        </w:rPr>
      </w:pPr>
      <w:bookmarkStart w:id="78" w:name="_Toc152045788"/>
      <w:bookmarkStart w:id="79" w:name="_Toc144974857"/>
      <w:bookmarkStart w:id="80" w:name="_Toc152042577"/>
      <w:bookmarkStart w:id="81" w:name="_Toc247514247"/>
      <w:bookmarkStart w:id="82" w:name="_Toc247527828"/>
      <w:bookmarkStart w:id="83" w:name="_Toc300835210"/>
      <w:r>
        <w:rPr>
          <w:rFonts w:hint="default" w:ascii="Times New Roman" w:hAnsi="Times New Roman" w:cs="Times New Roman"/>
        </w:rPr>
        <w:t>一、投标函及投标函附录</w:t>
      </w:r>
      <w:bookmarkEnd w:id="78"/>
      <w:bookmarkEnd w:id="79"/>
      <w:bookmarkEnd w:id="80"/>
      <w:bookmarkEnd w:id="81"/>
      <w:bookmarkEnd w:id="82"/>
      <w:bookmarkEnd w:id="83"/>
    </w:p>
    <w:p>
      <w:pPr>
        <w:spacing w:line="440" w:lineRule="exact"/>
        <w:rPr>
          <w:rFonts w:hint="default" w:ascii="Times New Roman" w:hAnsi="Times New Roman" w:cs="Times New Roman" w:eastAsiaTheme="minorEastAsia"/>
          <w:sz w:val="20"/>
          <w:szCs w:val="20"/>
          <w:lang w:val="en-US" w:eastAsia="zh-CN"/>
        </w:rPr>
      </w:pPr>
      <w:bookmarkStart w:id="84" w:name="_Toc144974859"/>
      <w:bookmarkStart w:id="85" w:name="_Toc300835212"/>
      <w:bookmarkStart w:id="86" w:name="_Toc152042579"/>
      <w:bookmarkStart w:id="87" w:name="_Toc152045790"/>
      <w:bookmarkStart w:id="88" w:name="_Toc247527830"/>
      <w:bookmarkStart w:id="89" w:name="_Toc24751424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招标项目招标文件的全部内容，愿意以按照施工价款审定金额为基数，</w:t>
      </w:r>
      <w:r>
        <w:rPr>
          <w:rFonts w:hint="eastAsia" w:ascii="Times New Roman" w:hAnsi="Times New Roman" w:cs="Times New Roman" w:eastAsiaTheme="minorEastAsia"/>
          <w:sz w:val="21"/>
          <w:szCs w:val="21"/>
          <w:u w:val="single"/>
          <w:lang w:val="en-US" w:eastAsia="zh-CN"/>
        </w:rPr>
        <w:t xml:space="preserve"> </w:t>
      </w:r>
      <w:r>
        <w:rPr>
          <w:rFonts w:hint="eastAsia" w:ascii="Times New Roman" w:hAnsi="Times New Roman" w:cs="Times New Roman"/>
          <w:sz w:val="21"/>
          <w:szCs w:val="21"/>
          <w:u w:val="single"/>
          <w:lang w:val="en-US" w:eastAsia="zh-CN"/>
        </w:rPr>
        <w:t xml:space="preserve">  </w:t>
      </w:r>
      <w:r>
        <w:rPr>
          <w:rFonts w:hint="eastAsia" w:ascii="Times New Roman" w:hAnsi="Times New Roman" w:cs="Times New Roman" w:eastAsiaTheme="minorEastAsia"/>
          <w:sz w:val="21"/>
          <w:szCs w:val="21"/>
          <w:u w:val="single"/>
          <w:lang w:val="en-US" w:eastAsia="zh-CN"/>
        </w:rPr>
        <w:t xml:space="preserve"> </w:t>
      </w:r>
      <w:r>
        <w:rPr>
          <w:rFonts w:hint="eastAsia" w:ascii="Times New Roman" w:hAnsi="Times New Roman" w:cs="Times New Roman"/>
          <w:sz w:val="21"/>
          <w:szCs w:val="21"/>
          <w:lang w:val="en-US" w:eastAsia="zh-CN"/>
        </w:rPr>
        <w:t>（费率）</w:t>
      </w:r>
      <w:r>
        <w:rPr>
          <w:rFonts w:hint="eastAsia"/>
          <w:lang w:eastAsia="zh-CN"/>
        </w:rPr>
        <w:t>，</w:t>
      </w:r>
      <w:r>
        <w:rPr>
          <w:rFonts w:hint="eastAsia" w:ascii="Times New Roman" w:hAnsi="Times New Roman" w:cs="Times New Roman"/>
          <w:szCs w:val="21"/>
          <w:lang w:val="en-US" w:eastAsia="zh-CN"/>
        </w:rPr>
        <w:t>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，服务期限：</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日历天，工期延长不增加费用，按合同约定完成本项全部工作。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84"/>
    <w:bookmarkEnd w:id="85"/>
    <w:bookmarkEnd w:id="86"/>
    <w:bookmarkEnd w:id="87"/>
    <w:bookmarkEnd w:id="88"/>
    <w:bookmarkEnd w:id="89"/>
    <w:p>
      <w:pPr>
        <w:spacing w:line="240" w:lineRule="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0" w:name="_Toc300835213"/>
      <w:bookmarkStart w:id="91" w:name="_Toc247514283"/>
      <w:bookmarkStart w:id="92" w:name="_Toc247527831"/>
      <w:bookmarkStart w:id="93" w:name="_Toc152045791"/>
      <w:bookmarkStart w:id="94" w:name="_Toc144974860"/>
      <w:bookmarkStart w:id="95" w:name="_Toc152042580"/>
      <w:r>
        <w:rPr>
          <w:rFonts w:hint="default" w:ascii="Times New Roman" w:hAnsi="Times New Roman" w:cs="Times New Roman"/>
        </w:rPr>
        <w:br w:type="page"/>
      </w:r>
    </w:p>
    <w:p>
      <w:pPr>
        <w:pStyle w:val="7"/>
        <w:jc w:val="center"/>
        <w:rPr>
          <w:rFonts w:hint="default" w:ascii="Times New Roman" w:hAnsi="Times New Roman" w:cs="Times New Roman"/>
        </w:rPr>
      </w:pPr>
      <w:r>
        <w:rPr>
          <w:rFonts w:hint="default" w:ascii="Times New Roman" w:hAnsi="Times New Roman" w:cs="Times New Roman"/>
        </w:rPr>
        <w:t>二、法定代表人身份证明</w:t>
      </w:r>
      <w:bookmarkEnd w:id="90"/>
      <w:bookmarkEnd w:id="91"/>
      <w:bookmarkEnd w:id="92"/>
      <w:bookmarkEnd w:id="93"/>
      <w:bookmarkEnd w:id="94"/>
      <w:bookmarkEnd w:id="9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7"/>
        <w:jc w:val="center"/>
        <w:rPr>
          <w:rFonts w:hint="default" w:ascii="Times New Roman" w:hAnsi="Times New Roman" w:cs="Times New Roman"/>
        </w:rPr>
      </w:pPr>
      <w:bookmarkStart w:id="96" w:name="_Toc247527832"/>
      <w:bookmarkStart w:id="97" w:name="_Toc144974861"/>
      <w:bookmarkStart w:id="98" w:name="_Toc300835214"/>
      <w:bookmarkStart w:id="99" w:name="_Toc152045792"/>
      <w:bookmarkStart w:id="100" w:name="_Toc247514284"/>
      <w:bookmarkStart w:id="101" w:name="_Toc152042581"/>
      <w:r>
        <w:rPr>
          <w:rFonts w:hint="default" w:ascii="Times New Roman" w:hAnsi="Times New Roman" w:cs="Times New Roman"/>
        </w:rPr>
        <w:t>二、授权委托书</w:t>
      </w:r>
      <w:bookmarkEnd w:id="96"/>
      <w:bookmarkEnd w:id="97"/>
      <w:bookmarkEnd w:id="98"/>
      <w:bookmarkEnd w:id="99"/>
      <w:bookmarkEnd w:id="100"/>
      <w:bookmarkEnd w:id="101"/>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7"/>
        <w:jc w:val="center"/>
        <w:rPr>
          <w:rFonts w:hint="default" w:ascii="Times New Roman" w:hAnsi="Times New Roman" w:cs="Times New Roman"/>
          <w:highlight w:val="none"/>
        </w:rPr>
      </w:pPr>
      <w:bookmarkStart w:id="102" w:name="_Toc247514286"/>
      <w:bookmarkStart w:id="103" w:name="_Toc152045794"/>
      <w:bookmarkStart w:id="104" w:name="_Toc144974862"/>
      <w:bookmarkStart w:id="105" w:name="_Toc247527834"/>
      <w:bookmarkStart w:id="106" w:name="_Toc300835216"/>
      <w:bookmarkStart w:id="107"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2"/>
      <w:bookmarkEnd w:id="103"/>
      <w:bookmarkEnd w:id="104"/>
      <w:bookmarkEnd w:id="105"/>
      <w:bookmarkEnd w:id="106"/>
      <w:bookmarkEnd w:id="107"/>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8"/>
    <w:p>
      <w:pPr>
        <w:rPr>
          <w:rFonts w:hint="default" w:ascii="Times New Roman" w:hAnsi="Times New Roman" w:cs="Times New Roman"/>
        </w:rPr>
      </w:pPr>
      <w:bookmarkStart w:id="109" w:name="_Toc247527835"/>
      <w:bookmarkStart w:id="110" w:name="_Toc247514287"/>
      <w:bookmarkStart w:id="111" w:name="_Toc144974863"/>
      <w:bookmarkStart w:id="112" w:name="_Toc152045795"/>
      <w:bookmarkStart w:id="113" w:name="_Toc152042584"/>
      <w:bookmarkStart w:id="114" w:name="_Toc300835218"/>
      <w:r>
        <w:rPr>
          <w:rFonts w:hint="default" w:ascii="Times New Roman" w:hAnsi="Times New Roman" w:cs="Times New Roman"/>
        </w:rPr>
        <w:br w:type="page"/>
      </w:r>
    </w:p>
    <w:p>
      <w:pPr>
        <w:pStyle w:val="7"/>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09"/>
      <w:bookmarkEnd w:id="110"/>
      <w:bookmarkEnd w:id="111"/>
      <w:bookmarkEnd w:id="112"/>
      <w:bookmarkEnd w:id="113"/>
      <w:bookmarkEnd w:id="114"/>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115" w:name="_Toc247514288"/>
            <w:bookmarkStart w:id="116" w:name="_Toc247527836"/>
            <w:bookmarkStart w:id="117" w:name="_Toc152042585"/>
            <w:bookmarkStart w:id="118" w:name="_Toc152045796"/>
            <w:bookmarkStart w:id="119" w:name="_Toc144974864"/>
            <w:bookmarkStart w:id="120" w:name="_Toc300835221"/>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115"/>
    <w:bookmarkEnd w:id="116"/>
    <w:bookmarkEnd w:id="117"/>
    <w:bookmarkEnd w:id="118"/>
    <w:bookmarkEnd w:id="119"/>
    <w:bookmarkEnd w:id="120"/>
    <w:p>
      <w:pPr>
        <w:pStyle w:val="7"/>
        <w:jc w:val="center"/>
        <w:rPr>
          <w:rFonts w:hint="eastAsia"/>
          <w:highlight w:val="none"/>
        </w:rPr>
      </w:pPr>
      <w:bookmarkStart w:id="121" w:name="_Toc144974876"/>
      <w:bookmarkStart w:id="122" w:name="_Toc247514300"/>
      <w:bookmarkStart w:id="123" w:name="_Toc246997112"/>
      <w:bookmarkStart w:id="124" w:name="_Toc152045808"/>
      <w:bookmarkStart w:id="125" w:name="_Toc152045803"/>
      <w:bookmarkStart w:id="126" w:name="_Toc247527848"/>
      <w:bookmarkStart w:id="127" w:name="_Toc144974871"/>
      <w:bookmarkStart w:id="128" w:name="_Toc300835224"/>
      <w:bookmarkStart w:id="129" w:name="_Toc179632823"/>
      <w:bookmarkStart w:id="130" w:name="_Toc296602614"/>
      <w:bookmarkStart w:id="131" w:name="_Toc246996369"/>
      <w:bookmarkStart w:id="132" w:name="_Toc247085887"/>
      <w:bookmarkStart w:id="133" w:name="_Toc152042597"/>
      <w:bookmarkStart w:id="134" w:name="_Toc152042592"/>
      <w:r>
        <w:rPr>
          <w:rFonts w:hint="eastAsia"/>
          <w:highlight w:val="none"/>
          <w:lang w:val="en-US" w:eastAsia="zh-CN"/>
        </w:rPr>
        <w:t>五</w:t>
      </w:r>
      <w:r>
        <w:rPr>
          <w:highlight w:val="none"/>
        </w:rPr>
        <w:t>、资格审查资料</w:t>
      </w:r>
    </w:p>
    <w:p>
      <w:pPr>
        <w:pStyle w:val="8"/>
        <w:jc w:val="both"/>
        <w:rPr>
          <w:rFonts w:hint="eastAsia"/>
        </w:rPr>
      </w:pPr>
      <w:r>
        <w:t>（一）基本情况表</w:t>
      </w:r>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8"/>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8"/>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8"/>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8"/>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8"/>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Pr>
        <w:pStyle w:val="7"/>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设计方案应包括（但不限于）下列内容：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7"/>
        <w:jc w:val="center"/>
        <w:rPr>
          <w:rFonts w:hint="default" w:ascii="Times New Roman" w:hAnsi="Times New Roman" w:cs="Times New Roman"/>
        </w:rPr>
      </w:pPr>
      <w:bookmarkStart w:id="135" w:name="_Toc271821942"/>
      <w:bookmarkStart w:id="136"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135"/>
      <w:bookmarkEnd w:id="136"/>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documentProtection w:edit="trackedChange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2YmVkOWZkYzc0MGE5OTVmZWU0ZWJjOTBjNDE2Z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C02C0F"/>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BC16F2"/>
    <w:rsid w:val="04CD15E8"/>
    <w:rsid w:val="04CF4810"/>
    <w:rsid w:val="04D63FDF"/>
    <w:rsid w:val="04EB08D2"/>
    <w:rsid w:val="04EC7DA2"/>
    <w:rsid w:val="050252F6"/>
    <w:rsid w:val="052B1173"/>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DC0977"/>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5C2291"/>
    <w:rsid w:val="086D3DA1"/>
    <w:rsid w:val="08774BE1"/>
    <w:rsid w:val="088F5820"/>
    <w:rsid w:val="08903F11"/>
    <w:rsid w:val="08932D8F"/>
    <w:rsid w:val="08E13E13"/>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943317"/>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8317B"/>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0E723F2"/>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64132"/>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E96C0C"/>
    <w:rsid w:val="166266B1"/>
    <w:rsid w:val="1693204C"/>
    <w:rsid w:val="169528F0"/>
    <w:rsid w:val="16C165A2"/>
    <w:rsid w:val="16C71A0C"/>
    <w:rsid w:val="16C724D4"/>
    <w:rsid w:val="16D411E7"/>
    <w:rsid w:val="16ED0036"/>
    <w:rsid w:val="170756D4"/>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7A6810"/>
    <w:rsid w:val="1CB07DF9"/>
    <w:rsid w:val="1CC3681B"/>
    <w:rsid w:val="1CF251D3"/>
    <w:rsid w:val="1CFF3217"/>
    <w:rsid w:val="1D0C3E62"/>
    <w:rsid w:val="1D1D0D81"/>
    <w:rsid w:val="1D4666F2"/>
    <w:rsid w:val="1D5835F0"/>
    <w:rsid w:val="1D594678"/>
    <w:rsid w:val="1D8C5045"/>
    <w:rsid w:val="1D9244F8"/>
    <w:rsid w:val="1D931CEA"/>
    <w:rsid w:val="1DC177D9"/>
    <w:rsid w:val="1E1A236E"/>
    <w:rsid w:val="1E225BB3"/>
    <w:rsid w:val="1E2A6113"/>
    <w:rsid w:val="1E2D212B"/>
    <w:rsid w:val="1E2E6E13"/>
    <w:rsid w:val="1E32182A"/>
    <w:rsid w:val="1E433C4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C86B86"/>
    <w:rsid w:val="1FDC7161"/>
    <w:rsid w:val="1FE570E2"/>
    <w:rsid w:val="1FE7673E"/>
    <w:rsid w:val="1FF468DA"/>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10F1F"/>
    <w:rsid w:val="217422B6"/>
    <w:rsid w:val="2188758A"/>
    <w:rsid w:val="21A61686"/>
    <w:rsid w:val="21C13A32"/>
    <w:rsid w:val="22270787"/>
    <w:rsid w:val="224D73DD"/>
    <w:rsid w:val="22592601"/>
    <w:rsid w:val="22603DB2"/>
    <w:rsid w:val="226D7B83"/>
    <w:rsid w:val="2293123C"/>
    <w:rsid w:val="22A570EC"/>
    <w:rsid w:val="22D12F02"/>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DA2E77"/>
    <w:rsid w:val="25DF76E4"/>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647A92"/>
    <w:rsid w:val="2A9154D8"/>
    <w:rsid w:val="2AA04C57"/>
    <w:rsid w:val="2AD750C3"/>
    <w:rsid w:val="2AE77D08"/>
    <w:rsid w:val="2AEA3011"/>
    <w:rsid w:val="2AFA0B1C"/>
    <w:rsid w:val="2B252D72"/>
    <w:rsid w:val="2B33475A"/>
    <w:rsid w:val="2B3E0375"/>
    <w:rsid w:val="2B492499"/>
    <w:rsid w:val="2B652A8D"/>
    <w:rsid w:val="2B6A7ED0"/>
    <w:rsid w:val="2B6C55DB"/>
    <w:rsid w:val="2B8D5640"/>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C6E8F"/>
    <w:rsid w:val="31CD31BF"/>
    <w:rsid w:val="31D72AD0"/>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773188"/>
    <w:rsid w:val="337E77C9"/>
    <w:rsid w:val="338F53C2"/>
    <w:rsid w:val="33925662"/>
    <w:rsid w:val="339B7AA1"/>
    <w:rsid w:val="33B7637D"/>
    <w:rsid w:val="33D4661F"/>
    <w:rsid w:val="33ED39C2"/>
    <w:rsid w:val="340F56DE"/>
    <w:rsid w:val="3425597D"/>
    <w:rsid w:val="342A5DF5"/>
    <w:rsid w:val="344851FD"/>
    <w:rsid w:val="34525066"/>
    <w:rsid w:val="349B5E0E"/>
    <w:rsid w:val="34A432B6"/>
    <w:rsid w:val="34AA020B"/>
    <w:rsid w:val="34BC17DA"/>
    <w:rsid w:val="34D015E3"/>
    <w:rsid w:val="34F85DA8"/>
    <w:rsid w:val="3509398E"/>
    <w:rsid w:val="3547266B"/>
    <w:rsid w:val="3554479E"/>
    <w:rsid w:val="35611EC4"/>
    <w:rsid w:val="357D63E5"/>
    <w:rsid w:val="357F00D0"/>
    <w:rsid w:val="35894506"/>
    <w:rsid w:val="35A377DB"/>
    <w:rsid w:val="35E7387F"/>
    <w:rsid w:val="35E81F7A"/>
    <w:rsid w:val="35EF4AF5"/>
    <w:rsid w:val="35F52BF3"/>
    <w:rsid w:val="360530D8"/>
    <w:rsid w:val="3605698A"/>
    <w:rsid w:val="361075F2"/>
    <w:rsid w:val="36162F1C"/>
    <w:rsid w:val="363277D2"/>
    <w:rsid w:val="365D0B39"/>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324708"/>
    <w:rsid w:val="3B667011"/>
    <w:rsid w:val="3B673FAC"/>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262818"/>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17D32"/>
    <w:rsid w:val="46527462"/>
    <w:rsid w:val="46594972"/>
    <w:rsid w:val="46763AFA"/>
    <w:rsid w:val="467D28D5"/>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F72310"/>
    <w:rsid w:val="49FD2EE4"/>
    <w:rsid w:val="4A0B4FDE"/>
    <w:rsid w:val="4A343D11"/>
    <w:rsid w:val="4A497D35"/>
    <w:rsid w:val="4A742241"/>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62750"/>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E135BFA"/>
    <w:rsid w:val="4E1B2DDB"/>
    <w:rsid w:val="4E250E8C"/>
    <w:rsid w:val="4E355E12"/>
    <w:rsid w:val="4E5D7C3A"/>
    <w:rsid w:val="4E6571B5"/>
    <w:rsid w:val="4E8D762E"/>
    <w:rsid w:val="4E9B1112"/>
    <w:rsid w:val="4EA06365"/>
    <w:rsid w:val="4EBD3915"/>
    <w:rsid w:val="4ECD54B1"/>
    <w:rsid w:val="4ED4046B"/>
    <w:rsid w:val="4ED60D38"/>
    <w:rsid w:val="4EDF4B15"/>
    <w:rsid w:val="4EF43B16"/>
    <w:rsid w:val="4F0E1E8F"/>
    <w:rsid w:val="4F2B6C13"/>
    <w:rsid w:val="4F3153D3"/>
    <w:rsid w:val="4F532EB7"/>
    <w:rsid w:val="4F5F3ED1"/>
    <w:rsid w:val="4F804E7C"/>
    <w:rsid w:val="4F85516A"/>
    <w:rsid w:val="4F944D8F"/>
    <w:rsid w:val="4FCA5221"/>
    <w:rsid w:val="4FED0FB9"/>
    <w:rsid w:val="50081462"/>
    <w:rsid w:val="5056171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A3EE8"/>
    <w:rsid w:val="52ED3633"/>
    <w:rsid w:val="52F766E2"/>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0939FA"/>
    <w:rsid w:val="54231D7C"/>
    <w:rsid w:val="542913B3"/>
    <w:rsid w:val="543A39C2"/>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3F7D24"/>
    <w:rsid w:val="56413F2B"/>
    <w:rsid w:val="56537C47"/>
    <w:rsid w:val="56A010C0"/>
    <w:rsid w:val="56B96B8E"/>
    <w:rsid w:val="56C747B5"/>
    <w:rsid w:val="56D42684"/>
    <w:rsid w:val="56DD2471"/>
    <w:rsid w:val="571974A0"/>
    <w:rsid w:val="57210A6D"/>
    <w:rsid w:val="57256D9D"/>
    <w:rsid w:val="5744214A"/>
    <w:rsid w:val="574B480A"/>
    <w:rsid w:val="57543081"/>
    <w:rsid w:val="5789649C"/>
    <w:rsid w:val="57A373F0"/>
    <w:rsid w:val="57C83C57"/>
    <w:rsid w:val="57FB2FB4"/>
    <w:rsid w:val="582028C2"/>
    <w:rsid w:val="58241460"/>
    <w:rsid w:val="582908A2"/>
    <w:rsid w:val="583D07DD"/>
    <w:rsid w:val="585F1862"/>
    <w:rsid w:val="58620D26"/>
    <w:rsid w:val="58706FB1"/>
    <w:rsid w:val="587C5983"/>
    <w:rsid w:val="58E8415E"/>
    <w:rsid w:val="58ED1995"/>
    <w:rsid w:val="58FF1A45"/>
    <w:rsid w:val="59034EBC"/>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BD78C2"/>
    <w:rsid w:val="5BD32897"/>
    <w:rsid w:val="5BF50A44"/>
    <w:rsid w:val="5C1F025F"/>
    <w:rsid w:val="5C295CCC"/>
    <w:rsid w:val="5C381A3A"/>
    <w:rsid w:val="5C5C135C"/>
    <w:rsid w:val="5C872DAA"/>
    <w:rsid w:val="5C974816"/>
    <w:rsid w:val="5CA85DE7"/>
    <w:rsid w:val="5CA97228"/>
    <w:rsid w:val="5CBA57BD"/>
    <w:rsid w:val="5CC5471C"/>
    <w:rsid w:val="5CDC5386"/>
    <w:rsid w:val="5CEE7B85"/>
    <w:rsid w:val="5CF07506"/>
    <w:rsid w:val="5CF73D69"/>
    <w:rsid w:val="5D202057"/>
    <w:rsid w:val="5D4700C2"/>
    <w:rsid w:val="5D6C4615"/>
    <w:rsid w:val="5D744CA1"/>
    <w:rsid w:val="5D7C5A81"/>
    <w:rsid w:val="5DD31E8F"/>
    <w:rsid w:val="5DDF2196"/>
    <w:rsid w:val="5DF704AE"/>
    <w:rsid w:val="5DF954B7"/>
    <w:rsid w:val="5DFF05CD"/>
    <w:rsid w:val="5E1672C2"/>
    <w:rsid w:val="5E1B6033"/>
    <w:rsid w:val="5E2612F9"/>
    <w:rsid w:val="5E435D5B"/>
    <w:rsid w:val="5E452275"/>
    <w:rsid w:val="5E534129"/>
    <w:rsid w:val="5E6E3C24"/>
    <w:rsid w:val="5E7255BD"/>
    <w:rsid w:val="5E8C07F2"/>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171AD8"/>
    <w:rsid w:val="61251167"/>
    <w:rsid w:val="61432D9E"/>
    <w:rsid w:val="61683AEB"/>
    <w:rsid w:val="618A70BC"/>
    <w:rsid w:val="618D5E50"/>
    <w:rsid w:val="61963F6D"/>
    <w:rsid w:val="61BD1F9D"/>
    <w:rsid w:val="61EA093B"/>
    <w:rsid w:val="61EB2991"/>
    <w:rsid w:val="62024DB4"/>
    <w:rsid w:val="62117D72"/>
    <w:rsid w:val="62140656"/>
    <w:rsid w:val="621E720E"/>
    <w:rsid w:val="62210A89"/>
    <w:rsid w:val="62285DB7"/>
    <w:rsid w:val="626857C6"/>
    <w:rsid w:val="626C17E1"/>
    <w:rsid w:val="62923991"/>
    <w:rsid w:val="62966DA1"/>
    <w:rsid w:val="62BD2FCD"/>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4F8403F"/>
    <w:rsid w:val="65112EA3"/>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643755"/>
    <w:rsid w:val="697E7396"/>
    <w:rsid w:val="698E2A57"/>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405FF"/>
    <w:rsid w:val="6B4A5562"/>
    <w:rsid w:val="6B565807"/>
    <w:rsid w:val="6B7174EC"/>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4A76D4"/>
    <w:rsid w:val="715C3ADF"/>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5C44F0"/>
    <w:rsid w:val="736A01CD"/>
    <w:rsid w:val="736B4D35"/>
    <w:rsid w:val="73741988"/>
    <w:rsid w:val="737770D5"/>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813724"/>
    <w:rsid w:val="77A14CDE"/>
    <w:rsid w:val="77AA2F7D"/>
    <w:rsid w:val="77C96BD3"/>
    <w:rsid w:val="78266CE5"/>
    <w:rsid w:val="7827421F"/>
    <w:rsid w:val="782B4A23"/>
    <w:rsid w:val="78302F8F"/>
    <w:rsid w:val="784117AB"/>
    <w:rsid w:val="78510397"/>
    <w:rsid w:val="78552936"/>
    <w:rsid w:val="78731F0E"/>
    <w:rsid w:val="78754CBA"/>
    <w:rsid w:val="78962FA5"/>
    <w:rsid w:val="78AF42C1"/>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2D0C79"/>
    <w:rsid w:val="7A326B5A"/>
    <w:rsid w:val="7A553725"/>
    <w:rsid w:val="7A616D0A"/>
    <w:rsid w:val="7A7F2C76"/>
    <w:rsid w:val="7AAC462A"/>
    <w:rsid w:val="7AF84FA0"/>
    <w:rsid w:val="7AF909C6"/>
    <w:rsid w:val="7B4E6013"/>
    <w:rsid w:val="7B6273C9"/>
    <w:rsid w:val="7B6F1BD0"/>
    <w:rsid w:val="7B732126"/>
    <w:rsid w:val="7B755C15"/>
    <w:rsid w:val="7B7B20CE"/>
    <w:rsid w:val="7B8E1216"/>
    <w:rsid w:val="7B9A1345"/>
    <w:rsid w:val="7BCA6C86"/>
    <w:rsid w:val="7C003703"/>
    <w:rsid w:val="7C044DA1"/>
    <w:rsid w:val="7C365DE1"/>
    <w:rsid w:val="7CA33449"/>
    <w:rsid w:val="7CC60325"/>
    <w:rsid w:val="7CCE4D69"/>
    <w:rsid w:val="7D0A0BA4"/>
    <w:rsid w:val="7D107AF3"/>
    <w:rsid w:val="7D4253C7"/>
    <w:rsid w:val="7D4C5341"/>
    <w:rsid w:val="7D4E5EE6"/>
    <w:rsid w:val="7D8901AD"/>
    <w:rsid w:val="7D8E577D"/>
    <w:rsid w:val="7D9240FA"/>
    <w:rsid w:val="7D9A426A"/>
    <w:rsid w:val="7E006F08"/>
    <w:rsid w:val="7E01736D"/>
    <w:rsid w:val="7E0D5D12"/>
    <w:rsid w:val="7E333E03"/>
    <w:rsid w:val="7E391FE6"/>
    <w:rsid w:val="7E916762"/>
    <w:rsid w:val="7EA916FD"/>
    <w:rsid w:val="7EAB552B"/>
    <w:rsid w:val="7EE53C64"/>
    <w:rsid w:val="7F541580"/>
    <w:rsid w:val="7F590594"/>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style>
  <w:style w:type="paragraph" w:styleId="3">
    <w:name w:val="Body Text"/>
    <w:basedOn w:val="1"/>
    <w:next w:val="4"/>
    <w:qFormat/>
    <w:uiPriority w:val="0"/>
    <w:pPr>
      <w:spacing w:after="120"/>
    </w:pPr>
  </w:style>
  <w:style w:type="paragraph" w:customStyle="1" w:styleId="4">
    <w:name w:val="style4"/>
    <w:basedOn w:val="1"/>
    <w:next w:val="5"/>
    <w:qFormat/>
    <w:uiPriority w:val="0"/>
    <w:pPr>
      <w:widowControl/>
      <w:spacing w:before="280" w:after="280"/>
    </w:pPr>
    <w:rPr>
      <w:rFonts w:ascii="宋体" w:eastAsia="宋体"/>
      <w:sz w:val="18"/>
    </w:rPr>
  </w:style>
  <w:style w:type="paragraph" w:customStyle="1" w:styleId="5">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Indent"/>
    <w:basedOn w:val="1"/>
    <w:qFormat/>
    <w:uiPriority w:val="0"/>
    <w:pPr>
      <w:spacing w:after="120" w:afterLines="0"/>
      <w:ind w:left="420" w:leftChars="20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7"/>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8"/>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27202</Words>
  <Characters>29710</Characters>
  <Lines>0</Lines>
  <Paragraphs>0</Paragraphs>
  <TotalTime>62</TotalTime>
  <ScaleCrop>false</ScaleCrop>
  <LinksUpToDate>false</LinksUpToDate>
  <CharactersWithSpaces>33417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WPS_1688375716</cp:lastModifiedBy>
  <cp:lastPrinted>2021-01-22T03:33:00Z</cp:lastPrinted>
  <dcterms:modified xsi:type="dcterms:W3CDTF">2023-07-21T10:03:53Z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2FA446C28FAF46EFA8B81C15F7AC737E_13</vt:lpwstr>
  </property>
</Properties>
</file>