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spacing w:after="156" w:afterLines="50" w:line="360" w:lineRule="auto"/>
        <w:ind w:left="1"/>
        <w:jc w:val="center"/>
        <w:rPr>
          <w:rFonts w:hint="eastAsia" w:ascii="Times New Roman" w:hAnsi="Times New Roman" w:cs="Times New Roman" w:eastAsiaTheme="minorEastAsia"/>
          <w:kern w:val="0"/>
          <w:sz w:val="44"/>
          <w:szCs w:val="44"/>
          <w:lang w:val="en-US" w:eastAsia="zh-CN"/>
        </w:rPr>
      </w:pPr>
      <w:r>
        <w:rPr>
          <w:rFonts w:hint="eastAsia" w:ascii="宋体" w:hAnsi="宋体" w:cs="宋体"/>
          <w:b/>
          <w:color w:val="auto"/>
          <w:w w:val="100"/>
          <w:sz w:val="44"/>
          <w:szCs w:val="44"/>
          <w:lang w:val="zh-CN"/>
        </w:rPr>
        <w:t>亳州市本级国有资产光伏发电项目</w:t>
      </w:r>
      <w:r>
        <w:rPr>
          <w:rFonts w:hint="eastAsia" w:ascii="宋体" w:hAnsi="宋体" w:cs="宋体"/>
          <w:b/>
          <w:color w:val="auto"/>
          <w:w w:val="100"/>
          <w:sz w:val="44"/>
          <w:szCs w:val="44"/>
          <w:lang w:val="en-US" w:eastAsia="zh-CN"/>
        </w:rPr>
        <w:t>监理</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outlineLvl w:val="0"/>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outlineLvl w:val="0"/>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outlineLvl w:val="0"/>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 xml:space="preserve"> </w:t>
      </w:r>
      <w:r>
        <w:rPr>
          <w:rFonts w:hint="eastAsia" w:ascii="Times New Roman" w:hAnsi="Times New Roman" w:eastAsia="楷体" w:cs="Times New Roman"/>
          <w:kern w:val="0"/>
          <w:sz w:val="28"/>
          <w:szCs w:val="28"/>
          <w:u w:val="single"/>
          <w:lang w:val="en-US" w:eastAsia="zh-CN"/>
        </w:rPr>
        <w:t>020</w:t>
      </w:r>
      <w:r>
        <w:rPr>
          <w:rFonts w:hint="eastAsia" w:ascii="Times New Roman" w:hAnsi="Times New Roman" w:eastAsia="楷体" w:cs="Times New Roman"/>
          <w:kern w:val="0"/>
          <w:sz w:val="28"/>
          <w:szCs w:val="28"/>
          <w:u w:val="single"/>
        </w:rPr>
        <w:t xml:space="preserve"> </w:t>
      </w:r>
      <w:r>
        <w:rPr>
          <w:rFonts w:ascii="Times New Roman" w:hAnsi="Times New Roman" w:eastAsia="楷体" w:cs="Times New Roman"/>
          <w:kern w:val="0"/>
          <w:sz w:val="28"/>
          <w:szCs w:val="28"/>
        </w:rPr>
        <w:t>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lang w:val="en-US" w:eastAsia="zh-CN"/>
        </w:rPr>
        <w:t>亳州新能源发展有限公司</w:t>
      </w:r>
      <w:r>
        <w:rPr>
          <w:rFonts w:hint="eastAsia" w:ascii="Times New Roman" w:hAnsi="Times New Roman" w:eastAsia="楷体" w:cs="Times New Roman"/>
          <w:kern w:val="0"/>
          <w:sz w:val="32"/>
          <w:szCs w:val="32"/>
        </w:rPr>
        <w:t xml:space="preserve"> </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 xml:space="preserve"> 2023年</w:t>
      </w:r>
      <w:r>
        <w:rPr>
          <w:rFonts w:hint="eastAsia" w:ascii="Times New Roman" w:hAnsi="Times New Roman" w:eastAsia="楷体" w:cs="Times New Roman"/>
          <w:kern w:val="0"/>
          <w:sz w:val="32"/>
          <w:szCs w:val="32"/>
          <w:lang w:val="en-US" w:eastAsia="zh-CN"/>
        </w:rPr>
        <w:t>6</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19</w:t>
      </w:r>
      <w:r>
        <w:rPr>
          <w:rFonts w:hint="eastAsia" w:ascii="Times New Roman" w:hAnsi="Times New Roman" w:eastAsia="楷体" w:cs="Times New Roman"/>
          <w:kern w:val="0"/>
          <w:sz w:val="32"/>
          <w:szCs w:val="32"/>
        </w:rPr>
        <w:t>日</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第一章 招标公告.......................................................................</w:t>
      </w:r>
      <w:r>
        <w:rPr>
          <w:rFonts w:hint="eastAsia" w:ascii="Times New Roman" w:hAnsi="Times New Roman" w:eastAsia="黑体" w:cs="Times New Roman"/>
          <w:kern w:val="0"/>
          <w:sz w:val="32"/>
          <w:szCs w:val="32"/>
          <w:lang w:val="en-US" w:eastAsia="zh-CN"/>
        </w:rPr>
        <w:t>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4</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17</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lang w:val="en-US" w:eastAsia="zh-CN"/>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bookmarkStart w:id="137" w:name="_GoBack"/>
      <w:bookmarkEnd w:id="137"/>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decimal" w:start="1"/>
          <w:cols w:space="0" w:num="1"/>
          <w:docGrid w:type="lines" w:linePitch="312" w:charSpace="0"/>
        </w:sectPr>
      </w:pPr>
    </w:p>
    <w:p>
      <w:pPr>
        <w:wordWrap w:val="0"/>
        <w:spacing w:line="480" w:lineRule="exact"/>
        <w:jc w:val="center"/>
        <w:outlineLvl w:val="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240" w:lineRule="auto"/>
        <w:jc w:val="center"/>
        <w:rPr>
          <w:rFonts w:hint="eastAsia" w:ascii="宋体" w:hAnsi="宋体" w:cs="宋体" w:eastAsiaTheme="minorEastAsia"/>
          <w:b/>
          <w:color w:val="auto"/>
          <w:sz w:val="32"/>
          <w:szCs w:val="32"/>
          <w:lang w:val="zh-CN"/>
        </w:rPr>
      </w:pPr>
      <w:r>
        <w:rPr>
          <w:rFonts w:hint="eastAsia" w:ascii="宋体" w:hAnsi="宋体" w:cs="宋体"/>
          <w:b/>
          <w:color w:val="auto"/>
          <w:w w:val="100"/>
          <w:sz w:val="32"/>
          <w:szCs w:val="32"/>
          <w:lang w:val="zh-CN"/>
        </w:rPr>
        <w:t>亳州市本级国有资产光伏发电项目监理招</w:t>
      </w:r>
      <w:r>
        <w:rPr>
          <w:rFonts w:hint="eastAsia" w:ascii="宋体" w:hAnsi="宋体" w:cs="宋体" w:eastAsiaTheme="minorEastAsia"/>
          <w:b/>
          <w:color w:val="auto"/>
          <w:sz w:val="32"/>
          <w:szCs w:val="32"/>
          <w:lang w:val="zh-CN"/>
        </w:rPr>
        <w:t>标公告</w:t>
      </w:r>
    </w:p>
    <w:p>
      <w:pPr>
        <w:wordWrap w:val="0"/>
        <w:spacing w:line="480" w:lineRule="exact"/>
        <w:ind w:firstLine="560" w:firstLineChars="200"/>
        <w:rPr>
          <w:rFonts w:ascii="Times New Roman" w:hAnsi="Times New Roman" w:eastAsia="仿宋_GB2312" w:cs="Times New Roman"/>
          <w:sz w:val="28"/>
          <w:szCs w:val="28"/>
        </w:rPr>
      </w:pPr>
      <w:bookmarkStart w:id="0" w:name="_Toc144974487"/>
      <w:bookmarkStart w:id="1" w:name="_Toc179632536"/>
      <w:bookmarkStart w:id="2" w:name="_Toc152045519"/>
      <w:bookmarkStart w:id="3" w:name="_Toc247085680"/>
      <w:bookmarkStart w:id="4" w:name="_Toc152042295"/>
      <w:bookmarkStart w:id="5" w:name="_Toc246996166"/>
      <w:bookmarkStart w:id="6" w:name="_Toc246996909"/>
      <w:bookmarkStart w:id="7" w:name="_Toc296602410"/>
    </w:p>
    <w:p>
      <w:pPr>
        <w:wordWrap w:val="0"/>
        <w:spacing w:line="480" w:lineRule="exact"/>
        <w:ind w:firstLine="560" w:firstLineChars="200"/>
        <w:outlineLvl w:val="1"/>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hint="eastAsia" w:asciiTheme="minorEastAsia" w:hAnsiTheme="minorEastAsia" w:cstheme="minorEastAsia"/>
          <w:sz w:val="28"/>
          <w:szCs w:val="28"/>
        </w:rPr>
      </w:pPr>
      <w:bookmarkStart w:id="8" w:name="_Toc296602411"/>
      <w:bookmarkStart w:id="9" w:name="_Toc152045520"/>
      <w:bookmarkStart w:id="10" w:name="_Toc246996910"/>
      <w:bookmarkStart w:id="11" w:name="_Toc152042296"/>
      <w:bookmarkStart w:id="12" w:name="_Toc247085681"/>
      <w:bookmarkStart w:id="13" w:name="_Toc179632537"/>
      <w:bookmarkStart w:id="14" w:name="_Toc246996167"/>
      <w:bookmarkStart w:id="15" w:name="_Toc144974488"/>
      <w:r>
        <w:rPr>
          <w:rFonts w:hint="eastAsia" w:asciiTheme="minorEastAsia" w:hAnsiTheme="minorEastAsia" w:cstheme="minorEastAsia"/>
          <w:sz w:val="28"/>
          <w:szCs w:val="28"/>
        </w:rPr>
        <w:t>（一）项目名称：</w:t>
      </w:r>
      <w:r>
        <w:rPr>
          <w:rFonts w:hint="eastAsia" w:asciiTheme="minorEastAsia" w:hAnsiTheme="minorEastAsia" w:cstheme="minorEastAsia"/>
          <w:sz w:val="28"/>
          <w:szCs w:val="28"/>
          <w:lang w:val="zh-CN"/>
        </w:rPr>
        <w:t>亳州市本级国有资产光伏发电项目监理</w:t>
      </w:r>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（二）资金来源：</w:t>
      </w:r>
      <w:r>
        <w:rPr>
          <w:rFonts w:hint="eastAsia" w:asciiTheme="minorEastAsia" w:hAnsiTheme="minorEastAsia" w:cstheme="minorEastAsia"/>
          <w:sz w:val="28"/>
          <w:szCs w:val="28"/>
          <w:lang w:val="en-US" w:eastAsia="zh-CN"/>
        </w:rPr>
        <w:t>自筹资金</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（三）招标人：</w:t>
      </w:r>
      <w:r>
        <w:rPr>
          <w:rFonts w:hint="eastAsia" w:asciiTheme="minorEastAsia" w:hAnsiTheme="minorEastAsia" w:cstheme="minorEastAsia"/>
          <w:sz w:val="28"/>
          <w:szCs w:val="28"/>
          <w:lang w:val="en-US" w:eastAsia="zh-CN"/>
        </w:rPr>
        <w:t>亳州新能源发展有限公司</w:t>
      </w:r>
    </w:p>
    <w:p>
      <w:pPr>
        <w:wordWrap w:val="0"/>
        <w:spacing w:line="480" w:lineRule="exact"/>
        <w:ind w:firstLine="560" w:firstLineChars="200"/>
        <w:rPr>
          <w:rFonts w:hint="eastAsia" w:ascii="Times New Roman" w:hAnsi="Times New Roman" w:cs="Times New Roman" w:eastAsiaTheme="minorEastAsia"/>
          <w:sz w:val="28"/>
          <w:szCs w:val="28"/>
          <w:lang w:eastAsia="zh-CN"/>
        </w:rPr>
      </w:pPr>
      <w:r>
        <w:rPr>
          <w:rFonts w:hint="eastAsia" w:asciiTheme="minorEastAsia" w:hAnsiTheme="minorEastAsia" w:cstheme="minorEastAsia"/>
          <w:sz w:val="28"/>
          <w:szCs w:val="28"/>
        </w:rPr>
        <w:t>项目已具备招标条件，现对该项目进行公开招标</w:t>
      </w:r>
      <w:r>
        <w:rPr>
          <w:rFonts w:hint="eastAsia" w:asciiTheme="minorEastAsia" w:hAnsiTheme="minorEastAsia" w:cstheme="minorEastAsia"/>
          <w:sz w:val="28"/>
          <w:szCs w:val="28"/>
          <w:lang w:eastAsia="zh-CN"/>
        </w:rPr>
        <w:t>。</w:t>
      </w:r>
    </w:p>
    <w:p>
      <w:pPr>
        <w:numPr>
          <w:ilvl w:val="0"/>
          <w:numId w:val="1"/>
        </w:numPr>
        <w:wordWrap w:val="0"/>
        <w:spacing w:line="480" w:lineRule="exact"/>
        <w:ind w:firstLine="560" w:firstLineChars="200"/>
        <w:outlineLvl w:val="1"/>
        <w:rPr>
          <w:rFonts w:ascii="黑体" w:hAnsi="黑体" w:eastAsia="黑体" w:cs="黑体"/>
          <w:sz w:val="28"/>
          <w:szCs w:val="28"/>
        </w:rPr>
      </w:pPr>
      <w:r>
        <w:rPr>
          <w:rFonts w:ascii="黑体" w:hAnsi="黑体" w:eastAsia="黑体" w:cs="黑体"/>
          <w:sz w:val="28"/>
          <w:szCs w:val="28"/>
        </w:rPr>
        <w:t>项目概况与招标范围</w:t>
      </w:r>
      <w:bookmarkEnd w:id="8"/>
      <w:bookmarkEnd w:id="9"/>
      <w:bookmarkEnd w:id="10"/>
      <w:bookmarkEnd w:id="11"/>
      <w:bookmarkEnd w:id="12"/>
      <w:bookmarkEnd w:id="13"/>
      <w:bookmarkEnd w:id="14"/>
      <w:bookmarkEnd w:id="15"/>
    </w:p>
    <w:p>
      <w:pPr>
        <w:keepNext w:val="0"/>
        <w:keepLines w:val="0"/>
        <w:pageBreakBefore w:val="0"/>
        <w:widowControl/>
        <w:suppressLineNumbers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（一）</w:t>
      </w:r>
      <w:r>
        <w:rPr>
          <w:rFonts w:hint="eastAsia" w:asciiTheme="minorEastAsia" w:hAnsiTheme="minorEastAsia" w:cstheme="minorEastAsia"/>
          <w:sz w:val="28"/>
          <w:szCs w:val="28"/>
          <w:lang w:val="zh-CN"/>
        </w:rPr>
        <w:t>项目概况：</w:t>
      </w:r>
      <w:r>
        <w:rPr>
          <w:rFonts w:hint="eastAsia" w:asciiTheme="minorEastAsia" w:hAnsiTheme="minorEastAsia" w:cstheme="minorEastAsia"/>
          <w:sz w:val="28"/>
          <w:szCs w:val="28"/>
          <w:lang w:val="zh-CN" w:eastAsia="zh-CN"/>
        </w:rPr>
        <w:t>完成亳州市本级国有资产光伏发电项目监理服务，包括市本级学校、自来水厂、医院、党政机关等公共机构的分布式光伏项目监理。</w:t>
      </w:r>
      <w:r>
        <w:rPr>
          <w:rFonts w:hint="eastAsia" w:asciiTheme="minorEastAsia" w:hAnsiTheme="minorEastAsia" w:cstheme="minorEastAsia"/>
          <w:sz w:val="28"/>
          <w:szCs w:val="28"/>
          <w:lang w:val="zh-CN"/>
        </w:rPr>
        <w:t xml:space="preserve"> </w:t>
      </w:r>
    </w:p>
    <w:p>
      <w:pPr>
        <w:keepNext w:val="0"/>
        <w:keepLines w:val="0"/>
        <w:widowControl/>
        <w:suppressLineNumbers w:val="0"/>
        <w:wordWrap w:val="0"/>
        <w:spacing w:line="480" w:lineRule="exact"/>
        <w:ind w:firstLine="560" w:firstLineChars="200"/>
        <w:jc w:val="both"/>
        <w:rPr>
          <w:rFonts w:hint="eastAsia" w:asciiTheme="minorEastAsia" w:hAnsiTheme="minorEastAsia" w:cstheme="minorEastAsia"/>
          <w:sz w:val="28"/>
          <w:szCs w:val="28"/>
          <w:lang w:val="zh-CN" w:eastAsia="zh-CN"/>
        </w:rPr>
      </w:pPr>
      <w:r>
        <w:rPr>
          <w:rFonts w:hint="eastAsia" w:asciiTheme="minorEastAsia" w:hAnsiTheme="minorEastAsia" w:cstheme="minorEastAsia"/>
          <w:sz w:val="28"/>
          <w:szCs w:val="28"/>
          <w:lang w:val="zh-CN"/>
        </w:rPr>
        <w:t>（二）招标范围：</w:t>
      </w:r>
      <w:r>
        <w:rPr>
          <w:rFonts w:hint="eastAsia" w:asciiTheme="minorEastAsia" w:hAnsiTheme="minorEastAsia" w:cstheme="minorEastAsia"/>
          <w:sz w:val="28"/>
          <w:szCs w:val="28"/>
          <w:lang w:val="en-US" w:eastAsia="zh-CN"/>
        </w:rPr>
        <w:t>安全、质量、进度、投资控制、合同等</w:t>
      </w:r>
      <w:r>
        <w:rPr>
          <w:rFonts w:hint="eastAsia" w:asciiTheme="minorEastAsia" w:hAnsiTheme="minorEastAsia" w:cstheme="minorEastAsia"/>
          <w:sz w:val="28"/>
          <w:szCs w:val="28"/>
          <w:lang w:val="zh-CN" w:eastAsia="zh-CN"/>
        </w:rPr>
        <w:t>施工全过程阶段的建设监理及保修阶段的监理。</w:t>
      </w:r>
    </w:p>
    <w:p>
      <w:pPr>
        <w:wordWrap w:val="0"/>
        <w:spacing w:line="480" w:lineRule="exact"/>
        <w:ind w:firstLine="560" w:firstLineChars="200"/>
        <w:jc w:val="both"/>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（三）服务标准：本工程质量应达到《光伏发电工程验收规范》（2012版）、《电力建设工程质量监督检查典型大纲（光伏发电部分）》等有关国家、地方、行业现行相关规范合格标准。</w:t>
      </w:r>
    </w:p>
    <w:p>
      <w:pPr>
        <w:wordWrap w:val="0"/>
        <w:spacing w:line="480" w:lineRule="exact"/>
        <w:ind w:firstLine="560" w:firstLineChars="200"/>
        <w:jc w:val="both"/>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（四）服务期限：</w:t>
      </w:r>
      <w:r>
        <w:rPr>
          <w:rFonts w:hint="eastAsia" w:asciiTheme="minorEastAsia" w:hAnsiTheme="minorEastAsia" w:cstheme="minorEastAsia"/>
          <w:sz w:val="28"/>
          <w:szCs w:val="28"/>
          <w:lang w:val="zh-CN" w:eastAsia="zh-CN"/>
        </w:rPr>
        <w:t>自签订工程建设监理合同之日起</w:t>
      </w:r>
      <w:r>
        <w:rPr>
          <w:rFonts w:hint="eastAsia" w:asciiTheme="minorEastAsia" w:hAnsiTheme="minorEastAsia" w:cstheme="minorEastAsia"/>
          <w:sz w:val="28"/>
          <w:szCs w:val="28"/>
          <w:lang w:val="en-US" w:eastAsia="zh-CN"/>
        </w:rPr>
        <w:t>计24个月</w:t>
      </w:r>
      <w:r>
        <w:rPr>
          <w:rFonts w:hint="eastAsia" w:asciiTheme="minorEastAsia" w:hAnsiTheme="minorEastAsia" w:cstheme="minorEastAsia"/>
          <w:sz w:val="28"/>
          <w:szCs w:val="28"/>
          <w:lang w:val="zh-CN" w:eastAsia="zh-CN"/>
        </w:rPr>
        <w:t>。</w:t>
      </w:r>
    </w:p>
    <w:p>
      <w:pPr>
        <w:wordWrap w:val="0"/>
        <w:spacing w:line="480" w:lineRule="exact"/>
        <w:ind w:firstLine="560" w:firstLineChars="200"/>
        <w:jc w:val="both"/>
        <w:outlineLvl w:val="9"/>
        <w:rPr>
          <w:rFonts w:hint="default" w:asciiTheme="minorEastAsia" w:hAnsiTheme="minorEastAsia" w:cstheme="minorEastAsia"/>
          <w:sz w:val="28"/>
          <w:szCs w:val="28"/>
          <w:lang w:val="zh-CN"/>
        </w:rPr>
      </w:pPr>
      <w:r>
        <w:rPr>
          <w:rFonts w:hint="eastAsia" w:asciiTheme="minorEastAsia" w:hAnsiTheme="minorEastAsia" w:cstheme="minorEastAsia"/>
          <w:sz w:val="28"/>
          <w:szCs w:val="28"/>
          <w:lang w:val="zh-CN"/>
        </w:rPr>
        <w:t>（五）</w:t>
      </w:r>
      <w:r>
        <w:rPr>
          <w:rFonts w:hint="eastAsia" w:asciiTheme="minorEastAsia" w:hAnsiTheme="minorEastAsia" w:cstheme="minorEastAsia"/>
          <w:sz w:val="28"/>
          <w:szCs w:val="28"/>
          <w:lang w:val="en-US" w:eastAsia="zh-CN"/>
        </w:rPr>
        <w:t>最高限价：</w:t>
      </w:r>
      <w:r>
        <w:rPr>
          <w:rFonts w:hint="eastAsia" w:asciiTheme="minorEastAsia" w:hAnsiTheme="minorEastAsia" w:cstheme="minorEastAsia"/>
          <w:sz w:val="28"/>
          <w:szCs w:val="28"/>
          <w:lang w:val="zh-CN" w:eastAsia="zh-CN"/>
        </w:rPr>
        <w:t>按照光伏项目施工总承包竣工结算审定</w:t>
      </w:r>
      <w:r>
        <w:rPr>
          <w:rFonts w:hint="eastAsia" w:asciiTheme="minorEastAsia" w:hAnsiTheme="minorEastAsia" w:cstheme="minorEastAsia"/>
          <w:sz w:val="28"/>
          <w:szCs w:val="28"/>
          <w:lang w:val="en-US" w:eastAsia="zh-CN"/>
        </w:rPr>
        <w:t>金额</w:t>
      </w:r>
      <w:r>
        <w:rPr>
          <w:rFonts w:hint="eastAsia" w:asciiTheme="minorEastAsia" w:hAnsiTheme="minorEastAsia" w:cstheme="minorEastAsia"/>
          <w:sz w:val="28"/>
          <w:szCs w:val="28"/>
          <w:lang w:val="zh-CN" w:eastAsia="zh-CN"/>
        </w:rPr>
        <w:t>为基数，监理费费率不高于1%。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outlineLvl w:val="1"/>
        <w:rPr>
          <w:rFonts w:ascii="黑体" w:hAnsi="黑体" w:eastAsia="黑体" w:cs="黑体"/>
          <w:sz w:val="28"/>
          <w:szCs w:val="28"/>
        </w:rPr>
      </w:pPr>
      <w:r>
        <w:rPr>
          <w:rFonts w:hint="eastAsia" w:ascii="黑体" w:hAnsi="黑体" w:eastAsia="黑体" w:cs="黑体"/>
          <w:sz w:val="28"/>
          <w:szCs w:val="28"/>
        </w:rPr>
        <w:t>三、投标人资格要求</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asciiTheme="minorEastAsia" w:hAnsiTheme="minorEastAsia" w:cstheme="minorEastAsia"/>
          <w:sz w:val="28"/>
          <w:szCs w:val="28"/>
        </w:rPr>
        <w:t>（</w:t>
      </w:r>
      <w:r>
        <w:rPr>
          <w:rFonts w:hint="eastAsia" w:asciiTheme="minorEastAsia" w:hAnsiTheme="minorEastAsia" w:cstheme="minorEastAsia"/>
          <w:sz w:val="28"/>
          <w:szCs w:val="28"/>
          <w:lang w:val="zh-CN"/>
        </w:rPr>
        <w:t>一）具有独立法人资格</w:t>
      </w:r>
      <w:r>
        <w:rPr>
          <w:rFonts w:hint="eastAsia" w:asciiTheme="minorEastAsia" w:hAnsiTheme="minorEastAsia" w:cstheme="minorEastAsia"/>
          <w:sz w:val="28"/>
          <w:szCs w:val="28"/>
          <w:lang w:val="zh-CN" w:eastAsia="zh-CN"/>
        </w:rPr>
        <w:t>、有效的营业执照</w:t>
      </w:r>
      <w:r>
        <w:rPr>
          <w:rFonts w:hint="eastAsia" w:asciiTheme="minorEastAsia" w:hAnsiTheme="minorEastAsia" w:cstheme="minorEastAsia"/>
          <w:sz w:val="28"/>
          <w:szCs w:val="28"/>
          <w:lang w:val="zh-CN"/>
        </w:rPr>
        <w:t>，并在人员、设备、资金等方面具有承担本项目的能力。</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（二）具有</w:t>
      </w:r>
      <w:r>
        <w:rPr>
          <w:rFonts w:hint="eastAsia" w:asciiTheme="minorEastAsia" w:hAnsiTheme="minorEastAsia" w:cstheme="minorEastAsia"/>
          <w:sz w:val="28"/>
          <w:szCs w:val="28"/>
          <w:lang w:val="en-US" w:eastAsia="zh-CN"/>
        </w:rPr>
        <w:t>住建部颁发的</w:t>
      </w:r>
      <w:r>
        <w:rPr>
          <w:rFonts w:hint="eastAsia" w:asciiTheme="minorEastAsia" w:hAnsiTheme="minorEastAsia" w:cstheme="minorEastAsia"/>
          <w:sz w:val="28"/>
          <w:szCs w:val="28"/>
          <w:lang w:val="zh-CN" w:eastAsia="zh-CN"/>
        </w:rPr>
        <w:t>有效的</w:t>
      </w:r>
      <w:r>
        <w:rPr>
          <w:rFonts w:hint="eastAsia" w:asciiTheme="minorEastAsia" w:hAnsiTheme="minorEastAsia" w:cstheme="minorEastAsia"/>
          <w:sz w:val="28"/>
          <w:szCs w:val="28"/>
          <w:lang w:val="en-US" w:eastAsia="zh-CN"/>
        </w:rPr>
        <w:t>工程监理电力工程专业乙级及以上资质</w:t>
      </w:r>
      <w:r>
        <w:rPr>
          <w:rFonts w:hint="eastAsia" w:asciiTheme="minorEastAsia" w:hAnsiTheme="minorEastAsia" w:cstheme="minorEastAsia"/>
          <w:sz w:val="28"/>
          <w:szCs w:val="28"/>
          <w:lang w:val="zh-CN" w:eastAsia="zh-CN"/>
        </w:rPr>
        <w:t>或工程监理综合资质</w:t>
      </w:r>
      <w:r>
        <w:rPr>
          <w:rFonts w:hint="eastAsia" w:asciiTheme="minorEastAsia" w:hAnsiTheme="minorEastAsia" w:cstheme="minorEastAsia"/>
          <w:sz w:val="28"/>
          <w:szCs w:val="28"/>
          <w:lang w:val="zh-CN"/>
        </w:rPr>
        <w:t>。</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eastAsia="zh-CN"/>
        </w:rPr>
      </w:pPr>
      <w:r>
        <w:rPr>
          <w:rFonts w:hint="eastAsia" w:asciiTheme="minorEastAsia" w:hAnsiTheme="minorEastAsia" w:cstheme="minorEastAsia"/>
          <w:sz w:val="28"/>
          <w:szCs w:val="28"/>
          <w:lang w:val="zh-CN"/>
        </w:rPr>
        <w:t>（三）项目</w:t>
      </w:r>
      <w:r>
        <w:rPr>
          <w:rFonts w:hint="eastAsia" w:asciiTheme="minorEastAsia" w:hAnsiTheme="minorEastAsia" w:cstheme="minorEastAsia"/>
          <w:sz w:val="28"/>
          <w:szCs w:val="28"/>
          <w:lang w:val="zh-CN" w:eastAsia="zh-CN"/>
        </w:rPr>
        <w:t>总监理工程师</w:t>
      </w:r>
      <w:r>
        <w:rPr>
          <w:rFonts w:hint="eastAsia" w:asciiTheme="minorEastAsia" w:hAnsiTheme="minorEastAsia" w:cstheme="minorEastAsia"/>
          <w:sz w:val="28"/>
          <w:szCs w:val="28"/>
          <w:lang w:val="zh-CN"/>
        </w:rPr>
        <w:t>具备</w:t>
      </w:r>
      <w:r>
        <w:rPr>
          <w:rFonts w:hint="eastAsia" w:asciiTheme="minorEastAsia" w:hAnsiTheme="minorEastAsia" w:cstheme="minorEastAsia"/>
          <w:sz w:val="28"/>
          <w:szCs w:val="28"/>
          <w:lang w:val="en-US" w:eastAsia="zh-CN"/>
        </w:rPr>
        <w:t>电力</w:t>
      </w:r>
      <w:r>
        <w:rPr>
          <w:rFonts w:hint="eastAsia" w:asciiTheme="minorEastAsia" w:hAnsiTheme="minorEastAsia" w:cstheme="minorEastAsia"/>
          <w:sz w:val="28"/>
          <w:szCs w:val="28"/>
          <w:lang w:val="zh-CN" w:eastAsia="zh-CN"/>
        </w:rPr>
        <w:t>工程专业国家注册监理工程师</w:t>
      </w:r>
      <w:r>
        <w:rPr>
          <w:rFonts w:hint="eastAsia" w:asciiTheme="minorEastAsia" w:hAnsiTheme="minorEastAsia" w:cstheme="minorEastAsia"/>
          <w:sz w:val="28"/>
          <w:szCs w:val="28"/>
          <w:lang w:val="zh-CN"/>
        </w:rPr>
        <w:t>执业资格</w:t>
      </w:r>
      <w:r>
        <w:rPr>
          <w:rFonts w:hint="eastAsia" w:asciiTheme="minorEastAsia" w:hAnsiTheme="minorEastAsia" w:cstheme="minorEastAsia"/>
          <w:color w:val="auto"/>
          <w:sz w:val="28"/>
          <w:szCs w:val="28"/>
          <w:lang w:val="zh-CN" w:eastAsia="zh-CN"/>
        </w:rPr>
        <w:t>，</w:t>
      </w:r>
      <w:r>
        <w:rPr>
          <w:rFonts w:hint="eastAsia" w:asciiTheme="minorEastAsia" w:hAnsiTheme="minorEastAsia" w:cstheme="minorEastAsia"/>
          <w:sz w:val="28"/>
          <w:szCs w:val="28"/>
          <w:lang w:val="zh-CN" w:eastAsia="zh-CN"/>
        </w:rPr>
        <w:t>且必须是本单位人员（招标公告中要求的注册证书注册单位应当与投标人名称一致，提供投标人所属社保机构出具的拟委任的总监理工程师</w:t>
      </w:r>
      <w:r>
        <w:rPr>
          <w:rFonts w:hint="eastAsia" w:asciiTheme="minorEastAsia" w:hAnsiTheme="minorEastAsia" w:cstheme="minorEastAsia"/>
          <w:color w:val="auto"/>
          <w:sz w:val="28"/>
          <w:szCs w:val="28"/>
          <w:lang w:val="zh-CN" w:eastAsia="zh-CN"/>
        </w:rPr>
        <w:t>202</w:t>
      </w:r>
      <w:r>
        <w:rPr>
          <w:rFonts w:hint="eastAsia" w:asciiTheme="minorEastAsia" w:hAnsiTheme="minorEastAsia" w:cstheme="minorEastAsia"/>
          <w:color w:val="auto"/>
          <w:sz w:val="28"/>
          <w:szCs w:val="28"/>
          <w:lang w:val="en-US" w:eastAsia="zh-CN"/>
        </w:rPr>
        <w:t>3</w:t>
      </w:r>
      <w:r>
        <w:rPr>
          <w:rFonts w:hint="eastAsia" w:asciiTheme="minorEastAsia" w:hAnsiTheme="minorEastAsia" w:cstheme="minorEastAsia"/>
          <w:color w:val="auto"/>
          <w:sz w:val="28"/>
          <w:szCs w:val="28"/>
          <w:lang w:val="zh-CN" w:eastAsia="zh-CN"/>
        </w:rPr>
        <w:t>年</w:t>
      </w: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lang w:val="zh-CN" w:eastAsia="zh-CN"/>
        </w:rPr>
        <w:t>月</w:t>
      </w:r>
      <w:r>
        <w:rPr>
          <w:rFonts w:hint="eastAsia" w:asciiTheme="minorEastAsia" w:hAnsiTheme="minorEastAsia" w:cstheme="minorEastAsia"/>
          <w:sz w:val="28"/>
          <w:szCs w:val="28"/>
          <w:lang w:val="zh-CN" w:eastAsia="zh-CN"/>
        </w:rPr>
        <w:t>以来任意连续3个月的</w:t>
      </w:r>
      <w:r>
        <w:rPr>
          <w:rFonts w:hint="eastAsia" w:asciiTheme="minorEastAsia" w:hAnsiTheme="minorEastAsia" w:eastAsiaTheme="minorEastAsia" w:cstheme="minorEastAsia"/>
          <w:b w:val="0"/>
          <w:bCs w:val="0"/>
          <w:color w:val="auto"/>
          <w:kern w:val="2"/>
          <w:sz w:val="28"/>
          <w:szCs w:val="28"/>
          <w:lang w:val="zh-CN" w:eastAsia="zh-CN" w:bidi="ar"/>
        </w:rPr>
        <w:t>养老保险</w:t>
      </w:r>
      <w:r>
        <w:rPr>
          <w:rFonts w:hint="eastAsia" w:asciiTheme="minorEastAsia" w:hAnsiTheme="minorEastAsia" w:cstheme="minorEastAsia"/>
          <w:b w:val="0"/>
          <w:bCs w:val="0"/>
          <w:color w:val="auto"/>
          <w:kern w:val="2"/>
          <w:sz w:val="28"/>
          <w:szCs w:val="28"/>
          <w:lang w:val="en-US" w:eastAsia="zh-CN" w:bidi="ar"/>
        </w:rPr>
        <w:t>证明</w:t>
      </w:r>
      <w:r>
        <w:rPr>
          <w:rFonts w:hint="eastAsia" w:asciiTheme="minorEastAsia" w:hAnsiTheme="minorEastAsia" w:cstheme="minorEastAsia"/>
          <w:sz w:val="28"/>
          <w:szCs w:val="28"/>
          <w:lang w:val="zh-CN" w:eastAsia="zh-CN"/>
        </w:rPr>
        <w:t xml:space="preserve">，总监理工程师的社保缴纳单位应当是投标人或者投标人不具备独立法人资格的分支机构）。 </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zh-CN" w:eastAsia="zh-CN"/>
        </w:rPr>
        <w:t>（</w:t>
      </w:r>
      <w:r>
        <w:rPr>
          <w:rFonts w:hint="eastAsia" w:asciiTheme="minorEastAsia" w:hAnsiTheme="minorEastAsia" w:cstheme="minorEastAsia"/>
          <w:sz w:val="28"/>
          <w:szCs w:val="28"/>
          <w:lang w:val="en-US" w:eastAsia="zh-CN"/>
        </w:rPr>
        <w:t>四</w:t>
      </w:r>
      <w:r>
        <w:rPr>
          <w:rFonts w:hint="eastAsia" w:asciiTheme="minorEastAsia" w:hAnsiTheme="minorEastAsia" w:cstheme="minorEastAsia"/>
          <w:sz w:val="28"/>
          <w:szCs w:val="28"/>
          <w:lang w:val="zh-CN" w:eastAsia="zh-CN"/>
        </w:rPr>
        <w:t>）提供</w:t>
      </w:r>
      <w:r>
        <w:rPr>
          <w:rFonts w:hint="eastAsia" w:asciiTheme="minorEastAsia" w:hAnsiTheme="minorEastAsia" w:cstheme="minorEastAsia"/>
          <w:sz w:val="28"/>
          <w:szCs w:val="28"/>
          <w:lang w:val="en-US" w:eastAsia="zh-CN"/>
        </w:rPr>
        <w:t>2020</w:t>
      </w:r>
      <w:r>
        <w:rPr>
          <w:rFonts w:hint="eastAsia" w:asciiTheme="minorEastAsia" w:hAnsiTheme="minorEastAsia" w:cstheme="minorEastAsia"/>
          <w:sz w:val="28"/>
          <w:szCs w:val="28"/>
          <w:lang w:val="zh-CN" w:eastAsia="zh-CN"/>
        </w:rPr>
        <w:t>年至今企业类似项目业绩</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eastAsia="zh-CN"/>
        </w:rPr>
        <w:t>个，以</w:t>
      </w:r>
      <w:r>
        <w:rPr>
          <w:rFonts w:hint="eastAsia" w:asciiTheme="minorEastAsia" w:hAnsiTheme="minorEastAsia" w:cstheme="minorEastAsia"/>
          <w:sz w:val="28"/>
          <w:szCs w:val="28"/>
          <w:lang w:val="en-US" w:eastAsia="zh-CN"/>
        </w:rPr>
        <w:t>合同签订时间</w:t>
      </w:r>
      <w:r>
        <w:rPr>
          <w:rFonts w:hint="eastAsia" w:asciiTheme="minorEastAsia" w:hAnsiTheme="minorEastAsia" w:cstheme="minorEastAsia"/>
          <w:sz w:val="28"/>
          <w:szCs w:val="28"/>
          <w:lang w:val="zh-CN" w:eastAsia="zh-CN"/>
        </w:rPr>
        <w:t>为准。</w:t>
      </w:r>
      <w:r>
        <w:rPr>
          <w:rFonts w:hint="eastAsia" w:asciiTheme="minorEastAsia" w:hAnsiTheme="minorEastAsia" w:cstheme="minorEastAsia"/>
          <w:sz w:val="28"/>
          <w:szCs w:val="28"/>
          <w:lang w:val="en-US" w:eastAsia="zh-CN"/>
        </w:rPr>
        <w:t>类似业绩指光伏项目监理业绩。</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zh-CN" w:eastAsia="zh-CN"/>
        </w:rPr>
        <w:t>注：提供业绩合同、中标通知书复印件或扫描件装订入投标文件中。</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zh-CN" w:eastAsia="zh-CN"/>
        </w:rPr>
        <w:t>五</w:t>
      </w:r>
      <w:r>
        <w:rPr>
          <w:rFonts w:hint="eastAsia" w:asciiTheme="minorEastAsia" w:hAnsiTheme="minorEastAsia" w:cstheme="minorEastAsia"/>
          <w:sz w:val="28"/>
          <w:szCs w:val="28"/>
          <w:lang w:val="zh-CN"/>
        </w:rPr>
        <w:t>）投标人存在以下不良信用记录情形之一的，不得推荐为中标候选人，不得确定为中标人。</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（1）投标人被人民法院列入失信被执行人的。</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（2）投标人被市场监督管理部门列入企业经营异常名录的。</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（3）投标人被税务部门列入重大税收违法案件当事人名单的。</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注：以上情形以“信用中国”（www.creditchina.gov.cn）发布的为准，有限制期限的按规定期限执行（以现场查询为准）。</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zh-CN" w:eastAsia="zh-CN"/>
        </w:rPr>
        <w:t>六</w:t>
      </w:r>
      <w:r>
        <w:rPr>
          <w:rFonts w:hint="eastAsia" w:asciiTheme="minorEastAsia" w:hAnsiTheme="minorEastAsia" w:cstheme="minorEastAsia"/>
          <w:sz w:val="28"/>
          <w:szCs w:val="28"/>
          <w:lang w:val="zh-CN"/>
        </w:rPr>
        <w:t>）投标人如在以往承接交控集团及下属企业项目过程中被记入“黑名单”，不得参加本次招标投标活动。</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zh-CN" w:eastAsia="zh-CN"/>
        </w:rPr>
        <w:t>七</w:t>
      </w:r>
      <w:r>
        <w:rPr>
          <w:rFonts w:hint="eastAsia" w:asciiTheme="minorEastAsia" w:hAnsiTheme="minorEastAsia" w:cstheme="minorEastAsia"/>
          <w:sz w:val="28"/>
          <w:szCs w:val="28"/>
          <w:lang w:val="zh-CN"/>
        </w:rPr>
        <w:t>）本次招标</w:t>
      </w:r>
      <w:r>
        <w:rPr>
          <w:rFonts w:hint="eastAsia" w:asciiTheme="minorEastAsia" w:hAnsiTheme="minorEastAsia" w:cstheme="minorEastAsia"/>
          <w:color w:val="auto"/>
          <w:sz w:val="28"/>
          <w:szCs w:val="28"/>
          <w:lang w:val="zh-CN"/>
        </w:rPr>
        <w:t>不接受</w:t>
      </w:r>
      <w:r>
        <w:rPr>
          <w:rFonts w:hint="eastAsia" w:asciiTheme="minorEastAsia" w:hAnsiTheme="minorEastAsia" w:cstheme="minorEastAsia"/>
          <w:sz w:val="28"/>
          <w:szCs w:val="28"/>
          <w:lang w:val="zh-CN"/>
        </w:rPr>
        <w:t>联合体投标。</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color w:val="auto"/>
          <w:sz w:val="28"/>
          <w:szCs w:val="28"/>
          <w:lang w:val="zh-CN"/>
        </w:rPr>
        <w:t>（</w:t>
      </w:r>
      <w:r>
        <w:rPr>
          <w:rFonts w:hint="eastAsia" w:asciiTheme="minorEastAsia" w:hAnsiTheme="minorEastAsia" w:cstheme="minorEastAsia"/>
          <w:color w:val="auto"/>
          <w:sz w:val="28"/>
          <w:szCs w:val="28"/>
          <w:lang w:val="zh-CN" w:eastAsia="zh-CN"/>
        </w:rPr>
        <w:t>八</w:t>
      </w:r>
      <w:r>
        <w:rPr>
          <w:rFonts w:hint="eastAsia" w:asciiTheme="minorEastAsia" w:hAnsiTheme="minorEastAsia" w:cstheme="minorEastAsia"/>
          <w:color w:val="auto"/>
          <w:sz w:val="28"/>
          <w:szCs w:val="28"/>
          <w:lang w:val="zh-CN"/>
        </w:rPr>
        <w:t>）本项目委托代理人必须是投标单位正式人员，须提供投标单位公司为其缴纳的202</w:t>
      </w:r>
      <w:r>
        <w:rPr>
          <w:rFonts w:hint="eastAsia" w:asciiTheme="minorEastAsia" w:hAnsiTheme="minorEastAsia" w:cstheme="minorEastAsia"/>
          <w:color w:val="auto"/>
          <w:sz w:val="28"/>
          <w:szCs w:val="28"/>
          <w:lang w:val="en-US" w:eastAsia="zh-CN"/>
        </w:rPr>
        <w:t>3</w:t>
      </w:r>
      <w:r>
        <w:rPr>
          <w:rFonts w:hint="eastAsia" w:asciiTheme="minorEastAsia" w:hAnsiTheme="minorEastAsia" w:cstheme="minorEastAsia"/>
          <w:color w:val="auto"/>
          <w:sz w:val="28"/>
          <w:szCs w:val="28"/>
          <w:lang w:val="zh-CN"/>
        </w:rPr>
        <w:t>年</w:t>
      </w: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lang w:val="zh-CN"/>
        </w:rPr>
        <w:t>月起任意3个月及以上</w:t>
      </w:r>
      <w:r>
        <w:rPr>
          <w:rFonts w:hint="eastAsia" w:asciiTheme="minorEastAsia" w:hAnsiTheme="minorEastAsia" w:cstheme="minorEastAsia"/>
          <w:b w:val="0"/>
          <w:bCs w:val="0"/>
          <w:color w:val="auto"/>
          <w:kern w:val="2"/>
          <w:sz w:val="28"/>
          <w:szCs w:val="28"/>
          <w:lang w:val="zh-CN" w:eastAsia="zh-CN" w:bidi="ar"/>
        </w:rPr>
        <w:t>养老保险证明</w:t>
      </w:r>
      <w:r>
        <w:rPr>
          <w:rFonts w:hint="eastAsia" w:asciiTheme="minorEastAsia" w:hAnsiTheme="minorEastAsia" w:cstheme="minorEastAsia"/>
          <w:color w:val="auto"/>
          <w:sz w:val="28"/>
          <w:szCs w:val="28"/>
          <w:lang w:val="zh-CN"/>
        </w:rPr>
        <w:t>，否则按无效投标处理。</w:t>
      </w:r>
    </w:p>
    <w:p>
      <w:pPr>
        <w:wordWrap w:val="0"/>
        <w:spacing w:line="480" w:lineRule="exact"/>
        <w:ind w:firstLine="560" w:firstLineChars="200"/>
        <w:outlineLvl w:val="1"/>
        <w:rPr>
          <w:rFonts w:hint="eastAsia" w:ascii="黑体" w:hAnsi="黑体" w:eastAsia="黑体" w:cs="黑体"/>
          <w:sz w:val="28"/>
          <w:szCs w:val="28"/>
          <w:lang w:val="zh-CN"/>
        </w:rPr>
      </w:pPr>
      <w:r>
        <w:rPr>
          <w:rFonts w:hint="eastAsia" w:ascii="黑体" w:hAnsi="黑体" w:eastAsia="黑体" w:cs="黑体"/>
          <w:sz w:val="28"/>
          <w:szCs w:val="28"/>
          <w:lang w:val="zh-CN"/>
        </w:rPr>
        <w:t>四、招标文件的获取</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outlineLvl w:val="1"/>
        <w:rPr>
          <w:rFonts w:hint="eastAsia" w:ascii="黑体" w:hAnsi="黑体" w:eastAsia="黑体" w:cs="黑体"/>
          <w:sz w:val="28"/>
          <w:szCs w:val="28"/>
          <w:lang w:val="zh-CN"/>
        </w:rPr>
      </w:pPr>
      <w:r>
        <w:rPr>
          <w:rFonts w:hint="eastAsia" w:ascii="黑体" w:hAnsi="黑体" w:eastAsia="黑体" w:cs="黑体"/>
          <w:sz w:val="28"/>
          <w:szCs w:val="28"/>
          <w:lang w:val="zh-CN"/>
        </w:rPr>
        <w:t>五、投标文件的递交</w:t>
      </w:r>
    </w:p>
    <w:p>
      <w:pPr>
        <w:widowControl/>
        <w:wordWrap w:val="0"/>
        <w:spacing w:line="480" w:lineRule="exact"/>
        <w:ind w:firstLine="560" w:firstLineChars="200"/>
        <w:jc w:val="left"/>
        <w:outlineLvl w:val="9"/>
        <w:rPr>
          <w:rFonts w:hint="eastAsia" w:asciiTheme="minorEastAsia" w:hAnsiTheme="minorEastAsia" w:cstheme="minorEastAsia"/>
          <w:color w:val="auto"/>
          <w:sz w:val="28"/>
          <w:szCs w:val="28"/>
          <w:lang w:val="zh-CN"/>
        </w:rPr>
      </w:pPr>
      <w:r>
        <w:rPr>
          <w:rFonts w:hint="eastAsia" w:asciiTheme="minorEastAsia" w:hAnsiTheme="minorEastAsia" w:cstheme="minorEastAsia"/>
          <w:sz w:val="28"/>
          <w:szCs w:val="28"/>
          <w:lang w:val="zh-CN"/>
        </w:rPr>
        <w:t>（一）开标时间（投标截止时间）：</w:t>
      </w:r>
      <w:r>
        <w:rPr>
          <w:rFonts w:hint="eastAsia" w:asciiTheme="minorEastAsia" w:hAnsiTheme="minorEastAsia" w:cstheme="minorEastAsia"/>
          <w:i w:val="0"/>
          <w:iCs w:val="0"/>
          <w:color w:val="auto"/>
          <w:sz w:val="28"/>
          <w:szCs w:val="28"/>
          <w:u w:val="none"/>
          <w:lang w:val="zh-CN" w:eastAsia="zh-CN"/>
        </w:rPr>
        <w:t>2023</w:t>
      </w:r>
      <w:r>
        <w:rPr>
          <w:rFonts w:hint="eastAsia" w:asciiTheme="minorEastAsia" w:hAnsiTheme="minorEastAsia" w:cstheme="minorEastAsia"/>
          <w:color w:val="auto"/>
          <w:sz w:val="28"/>
          <w:szCs w:val="28"/>
          <w:lang w:val="zh-CN"/>
        </w:rPr>
        <w:t>年</w:t>
      </w:r>
      <w:r>
        <w:rPr>
          <w:rFonts w:hint="eastAsia" w:asciiTheme="minorEastAsia" w:hAnsiTheme="minorEastAsia" w:cstheme="minorEastAsia"/>
          <w:i w:val="0"/>
          <w:iCs w:val="0"/>
          <w:color w:val="auto"/>
          <w:sz w:val="28"/>
          <w:szCs w:val="28"/>
          <w:u w:val="none"/>
          <w:lang w:val="en-US" w:eastAsia="zh-CN"/>
        </w:rPr>
        <w:t>6</w:t>
      </w:r>
      <w:r>
        <w:rPr>
          <w:rFonts w:hint="eastAsia" w:asciiTheme="minorEastAsia" w:hAnsiTheme="minorEastAsia" w:cstheme="minorEastAsia"/>
          <w:color w:val="auto"/>
          <w:sz w:val="28"/>
          <w:szCs w:val="28"/>
          <w:lang w:val="zh-CN"/>
        </w:rPr>
        <w:t>月</w:t>
      </w:r>
      <w:r>
        <w:rPr>
          <w:rFonts w:hint="eastAsia" w:asciiTheme="minorEastAsia" w:hAnsiTheme="minorEastAsia" w:cstheme="minorEastAsia"/>
          <w:i w:val="0"/>
          <w:iCs w:val="0"/>
          <w:color w:val="auto"/>
          <w:sz w:val="28"/>
          <w:szCs w:val="28"/>
          <w:u w:val="none"/>
          <w:lang w:val="en-US" w:eastAsia="zh-CN"/>
        </w:rPr>
        <w:t>27</w:t>
      </w:r>
      <w:r>
        <w:rPr>
          <w:rFonts w:hint="eastAsia" w:asciiTheme="minorEastAsia" w:hAnsiTheme="minorEastAsia" w:cstheme="minorEastAsia"/>
          <w:color w:val="auto"/>
          <w:sz w:val="28"/>
          <w:szCs w:val="28"/>
          <w:lang w:val="zh-CN"/>
        </w:rPr>
        <w:t>日</w:t>
      </w:r>
      <w:r>
        <w:rPr>
          <w:rFonts w:hint="eastAsia" w:asciiTheme="minorEastAsia" w:hAnsiTheme="minorEastAsia" w:cstheme="minorEastAsia"/>
          <w:i w:val="0"/>
          <w:iCs w:val="0"/>
          <w:color w:val="auto"/>
          <w:sz w:val="28"/>
          <w:szCs w:val="28"/>
          <w:u w:val="none"/>
          <w:lang w:val="zh-CN" w:eastAsia="zh-CN"/>
        </w:rPr>
        <w:t>9</w:t>
      </w:r>
      <w:r>
        <w:rPr>
          <w:rFonts w:hint="eastAsia" w:asciiTheme="minorEastAsia" w:hAnsiTheme="minorEastAsia" w:cstheme="minorEastAsia"/>
          <w:color w:val="auto"/>
          <w:sz w:val="28"/>
          <w:szCs w:val="28"/>
          <w:lang w:val="zh-CN"/>
        </w:rPr>
        <w:t>时</w:t>
      </w:r>
      <w:r>
        <w:rPr>
          <w:rFonts w:hint="eastAsia" w:asciiTheme="minorEastAsia" w:hAnsiTheme="minorEastAsia" w:cstheme="minorEastAsia"/>
          <w:i w:val="0"/>
          <w:iCs w:val="0"/>
          <w:color w:val="auto"/>
          <w:sz w:val="28"/>
          <w:szCs w:val="28"/>
          <w:u w:val="none"/>
          <w:lang w:val="zh-CN" w:eastAsia="zh-CN"/>
        </w:rPr>
        <w:t>00</w:t>
      </w:r>
      <w:r>
        <w:rPr>
          <w:rFonts w:hint="eastAsia" w:asciiTheme="minorEastAsia" w:hAnsiTheme="minorEastAsia" w:cstheme="minorEastAsia"/>
          <w:color w:val="auto"/>
          <w:sz w:val="28"/>
          <w:szCs w:val="28"/>
          <w:lang w:val="zh-CN"/>
        </w:rPr>
        <w:t>分（北京时间）。</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color w:val="auto"/>
          <w:sz w:val="28"/>
          <w:szCs w:val="28"/>
          <w:lang w:val="zh-CN"/>
        </w:rPr>
        <w:t>（二）开标地点：</w:t>
      </w:r>
      <w:r>
        <w:rPr>
          <w:rFonts w:hint="eastAsia" w:asciiTheme="minorEastAsia" w:hAnsiTheme="minorEastAsia" w:cstheme="minorEastAsia"/>
          <w:color w:val="auto"/>
          <w:sz w:val="28"/>
          <w:szCs w:val="28"/>
          <w:u w:val="none"/>
          <w:lang w:val="zh-CN"/>
        </w:rPr>
        <w:t>亳州交通投资控股集团有限公司15楼开标室（药都大道与希夷大道交叉口东北角15楼）</w:t>
      </w:r>
      <w:r>
        <w:rPr>
          <w:rFonts w:hint="eastAsia" w:asciiTheme="minorEastAsia" w:hAnsiTheme="minorEastAsia" w:cstheme="minorEastAsia"/>
          <w:sz w:val="28"/>
          <w:szCs w:val="28"/>
          <w:lang w:val="zh-CN"/>
        </w:rPr>
        <w:t>。</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（三）逾期送达的、未送达指定地点的或者不按照招标文件要求密封的投标文件，招标人将予以拒收。</w:t>
      </w:r>
    </w:p>
    <w:p>
      <w:pPr>
        <w:widowControl/>
        <w:wordWrap w:val="0"/>
        <w:spacing w:line="480" w:lineRule="exact"/>
        <w:ind w:firstLine="560" w:firstLineChars="200"/>
        <w:jc w:val="left"/>
        <w:outlineLvl w:val="9"/>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（四）本次招标</w:t>
      </w:r>
      <w:r>
        <w:rPr>
          <w:rFonts w:hint="eastAsia" w:asciiTheme="minorEastAsia" w:hAnsiTheme="minorEastAsia" w:cstheme="minorEastAsia"/>
          <w:color w:val="auto"/>
          <w:sz w:val="28"/>
          <w:szCs w:val="28"/>
          <w:u w:val="single"/>
          <w:lang w:val="zh-CN" w:eastAsia="zh-CN"/>
        </w:rPr>
        <w:t>不</w:t>
      </w:r>
      <w:r>
        <w:rPr>
          <w:rFonts w:hint="eastAsia" w:asciiTheme="minorEastAsia" w:hAnsiTheme="minorEastAsia" w:cstheme="minorEastAsia"/>
          <w:color w:val="auto"/>
          <w:sz w:val="28"/>
          <w:szCs w:val="28"/>
          <w:u w:val="single"/>
          <w:lang w:val="zh-CN"/>
        </w:rPr>
        <w:t>允许</w:t>
      </w:r>
      <w:r>
        <w:rPr>
          <w:rFonts w:hint="eastAsia" w:asciiTheme="minorEastAsia" w:hAnsiTheme="minorEastAsia" w:cstheme="minorEastAsia"/>
          <w:sz w:val="28"/>
          <w:szCs w:val="28"/>
          <w:lang w:val="zh-CN"/>
        </w:rPr>
        <w:t>投标人以邮寄方式递交投标文件。</w:t>
      </w:r>
    </w:p>
    <w:p>
      <w:pPr>
        <w:wordWrap w:val="0"/>
        <w:spacing w:line="480" w:lineRule="exact"/>
        <w:ind w:firstLine="560" w:firstLineChars="200"/>
        <w:outlineLvl w:val="1"/>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r>
        <w:rPr>
          <w:rFonts w:hint="eastAsia" w:asciiTheme="minorEastAsia" w:hAnsiTheme="minorEastAsia" w:cstheme="minorEastAsia"/>
          <w:sz w:val="28"/>
          <w:szCs w:val="28"/>
          <w:highlight w:val="yellow"/>
          <w:u w:val="single"/>
          <w:lang w:val="en-US" w:eastAsia="zh-CN"/>
        </w:rPr>
        <w:t>18000</w:t>
      </w:r>
      <w:r>
        <w:rPr>
          <w:rFonts w:hint="eastAsia" w:asciiTheme="minorEastAsia" w:hAnsiTheme="minorEastAsia" w:cstheme="minorEastAsia"/>
          <w:sz w:val="28"/>
          <w:szCs w:val="28"/>
          <w:u w:val="single"/>
        </w:rPr>
        <w:t>元</w:t>
      </w:r>
      <w:r>
        <w:rPr>
          <w:rFonts w:asciiTheme="minorEastAsia" w:hAnsiTheme="minorEastAsia" w:cstheme="minorEastAsia"/>
          <w:sz w:val="28"/>
          <w:szCs w:val="28"/>
        </w:rPr>
        <w:t>（人民币），缴纳方式详见招标文件。</w:t>
      </w:r>
    </w:p>
    <w:p>
      <w:pPr>
        <w:wordWrap w:val="0"/>
        <w:spacing w:line="480" w:lineRule="exact"/>
        <w:ind w:firstLine="560" w:firstLineChars="200"/>
        <w:outlineLvl w:val="1"/>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r>
        <w:rPr>
          <w:rFonts w:hint="eastAsia" w:asciiTheme="minorEastAsia" w:hAnsiTheme="minorEastAsia" w:cstheme="minorEastAsia"/>
          <w:sz w:val="28"/>
          <w:szCs w:val="28"/>
          <w:lang w:val="en-US" w:eastAsia="zh-CN"/>
        </w:rPr>
        <w:t>亳州新能源发展有限公司</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r>
        <w:rPr>
          <w:rFonts w:hint="eastAsia" w:asciiTheme="minorEastAsia" w:hAnsiTheme="minorEastAsia" w:cstheme="minorEastAsia"/>
          <w:sz w:val="28"/>
          <w:szCs w:val="28"/>
          <w:lang w:val="en-US" w:eastAsia="zh-CN"/>
        </w:rPr>
        <w:t>亳州市谯城区药都路1289号15楼新能源公司</w:t>
      </w:r>
      <w:r>
        <w:rPr>
          <w:rFonts w:hint="eastAsia" w:asciiTheme="minorEastAsia" w:hAnsiTheme="minorEastAsia" w:cstheme="minorEastAsia"/>
          <w:sz w:val="28"/>
          <w:szCs w:val="28"/>
        </w:rPr>
        <w:t xml:space="preserve">  </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r>
        <w:rPr>
          <w:rFonts w:hint="eastAsia" w:asciiTheme="minorEastAsia" w:hAnsiTheme="minorEastAsia" w:cstheme="minorEastAsia"/>
          <w:sz w:val="28"/>
          <w:szCs w:val="28"/>
          <w:lang w:val="en-US" w:eastAsia="zh-CN"/>
        </w:rPr>
        <w:t>王贺</w:t>
      </w:r>
      <w:r>
        <w:rPr>
          <w:rFonts w:hint="eastAsia" w:asciiTheme="minorEastAsia" w:hAnsiTheme="minorEastAsia" w:cstheme="minorEastAsia"/>
          <w:sz w:val="28"/>
          <w:szCs w:val="28"/>
        </w:rPr>
        <w:t xml:space="preserve">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r>
        <w:rPr>
          <w:rFonts w:hint="eastAsia" w:asciiTheme="minorEastAsia" w:hAnsiTheme="minorEastAsia" w:cstheme="minorEastAsia"/>
          <w:sz w:val="28"/>
          <w:szCs w:val="28"/>
          <w:lang w:val="en-US" w:eastAsia="zh-CN"/>
        </w:rPr>
        <w:t>13295526600</w:t>
      </w:r>
      <w:r>
        <w:rPr>
          <w:rFonts w:hint="eastAsia" w:asciiTheme="minorEastAsia" w:hAnsiTheme="minorEastAsia" w:cstheme="minorEastAsia"/>
          <w:sz w:val="28"/>
          <w:szCs w:val="28"/>
        </w:rPr>
        <w:t xml:space="preserve">  </w:t>
      </w:r>
    </w:p>
    <w:p>
      <w:pPr>
        <w:wordWrap w:val="0"/>
        <w:spacing w:line="480" w:lineRule="exact"/>
        <w:rPr>
          <w:rFonts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r>
        <w:rPr>
          <w:rFonts w:hint="eastAsia" w:asciiTheme="minorEastAsia" w:hAnsiTheme="minorEastAsia" w:cstheme="minorEastAsia"/>
          <w:sz w:val="28"/>
          <w:szCs w:val="28"/>
          <w:lang w:val="en-US" w:eastAsia="zh-CN"/>
        </w:rPr>
        <w:t>亳州新能源发展有限公司</w:t>
      </w:r>
    </w:p>
    <w:p>
      <w:pPr>
        <w:wordWrap w:val="0"/>
        <w:spacing w:line="480" w:lineRule="exact"/>
        <w:ind w:firstLine="560" w:firstLineChars="200"/>
        <w:jc w:val="center"/>
        <w:rPr>
          <w:rFonts w:ascii="Times New Roman" w:hAnsi="Times New Roman" w:eastAsia="仿宋_GB2312" w:cs="Times New Roman"/>
          <w:kern w:val="0"/>
          <w:sz w:val="32"/>
          <w:szCs w:val="32"/>
        </w:rPr>
      </w:pPr>
      <w:r>
        <w:rPr>
          <w:rFonts w:hint="eastAsia" w:asciiTheme="minorEastAsia" w:hAnsiTheme="minorEastAsia" w:cstheme="minorEastAsia"/>
          <w:color w:val="FF0000"/>
          <w:sz w:val="28"/>
          <w:szCs w:val="28"/>
        </w:rPr>
        <w:t xml:space="preserve">                      </w:t>
      </w:r>
      <w:r>
        <w:rPr>
          <w:rFonts w:hint="eastAsia" w:asciiTheme="minorEastAsia" w:hAnsiTheme="minorEastAsia" w:cstheme="minorEastAsia"/>
          <w:color w:val="auto"/>
          <w:sz w:val="28"/>
          <w:szCs w:val="28"/>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color w:val="auto"/>
          <w:sz w:val="28"/>
          <w:szCs w:val="28"/>
        </w:rPr>
        <w:t xml:space="preserve"> 2023 年 </w:t>
      </w:r>
      <w:r>
        <w:rPr>
          <w:rFonts w:hint="eastAsia" w:asciiTheme="minorEastAsia" w:hAnsiTheme="minorEastAsia" w:cstheme="minorEastAsia"/>
          <w:color w:val="auto"/>
          <w:sz w:val="28"/>
          <w:szCs w:val="28"/>
          <w:lang w:val="en-US" w:eastAsia="zh-CN"/>
        </w:rPr>
        <w:t>6</w:t>
      </w:r>
      <w:r>
        <w:rPr>
          <w:rFonts w:hint="eastAsia" w:asciiTheme="minorEastAsia" w:hAnsiTheme="minorEastAsia" w:cstheme="minorEastAsia"/>
          <w:color w:val="auto"/>
          <w:sz w:val="28"/>
          <w:szCs w:val="28"/>
        </w:rPr>
        <w:t xml:space="preserve"> 月</w:t>
      </w:r>
      <w:r>
        <w:rPr>
          <w:rFonts w:hint="eastAsia" w:asciiTheme="minorEastAsia" w:hAnsiTheme="minorEastAsia" w:cstheme="minorEastAsia"/>
          <w:color w:val="auto"/>
          <w:sz w:val="28"/>
          <w:szCs w:val="28"/>
          <w:lang w:val="en-US" w:eastAsia="zh-CN"/>
        </w:rPr>
        <w:t xml:space="preserve"> 19</w:t>
      </w:r>
      <w:r>
        <w:rPr>
          <w:rFonts w:hint="eastAsia" w:asciiTheme="minorEastAsia" w:hAnsiTheme="minorEastAsia" w:cstheme="minorEastAsia"/>
          <w:color w:val="auto"/>
          <w:sz w:val="28"/>
          <w:szCs w:val="28"/>
        </w:rPr>
        <w:t>日</w:t>
      </w:r>
      <w:r>
        <w:rPr>
          <w:rFonts w:ascii="Times New Roman" w:hAnsi="Times New Roman" w:eastAsia="仿宋_GB2312" w:cs="Times New Roman"/>
          <w:kern w:val="0"/>
          <w:sz w:val="32"/>
          <w:szCs w:val="32"/>
        </w:rPr>
        <w:br w:type="page"/>
      </w:r>
    </w:p>
    <w:p>
      <w:pPr>
        <w:spacing w:line="480" w:lineRule="exact"/>
        <w:jc w:val="center"/>
        <w:outlineLvl w:val="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p>
      <w:pPr>
        <w:spacing w:line="480" w:lineRule="exact"/>
        <w:rPr>
          <w:rFonts w:asciiTheme="majorEastAsia" w:hAnsiTheme="majorEastAsia" w:eastAsiaTheme="majorEastAsia" w:cstheme="majorEastAsia"/>
          <w:b/>
          <w:bCs/>
          <w:sz w:val="28"/>
          <w:szCs w:val="28"/>
        </w:rPr>
      </w:pPr>
    </w:p>
    <w:tbl>
      <w:tblPr>
        <w:tblStyle w:val="16"/>
        <w:tblW w:w="8522" w:type="dxa"/>
        <w:tblInd w:w="0" w:type="dxa"/>
        <w:tblLayout w:type="fixed"/>
        <w:tblCellMar>
          <w:top w:w="0" w:type="dxa"/>
          <w:left w:w="108" w:type="dxa"/>
          <w:bottom w:w="0" w:type="dxa"/>
          <w:right w:w="108" w:type="dxa"/>
        </w:tblCellMar>
      </w:tblPr>
      <w:tblGrid>
        <w:gridCol w:w="1008"/>
        <w:gridCol w:w="2753"/>
        <w:gridCol w:w="4761"/>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项目建设规模</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1.1.7</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项目投资估算</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761"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snapToGrid/>
              <w:spacing w:line="240" w:lineRule="auto"/>
              <w:ind w:firstLine="420" w:firstLineChars="200"/>
              <w:jc w:val="left"/>
              <w:rPr>
                <w:rFonts w:ascii="宋体" w:hAnsi="宋体" w:cs="宋体"/>
                <w:szCs w:val="21"/>
              </w:rPr>
            </w:pPr>
            <w:r>
              <w:rPr>
                <w:rFonts w:hint="eastAsia"/>
                <w:szCs w:val="21"/>
              </w:rPr>
              <w:t>1、投标人资格要求：详见招标公告。</w:t>
            </w:r>
          </w:p>
          <w:p>
            <w:pPr>
              <w:widowControl/>
              <w:autoSpaceDE/>
              <w:autoSpaceDN/>
              <w:adjustRightInd/>
              <w:snapToGrid/>
              <w:spacing w:line="240" w:lineRule="auto"/>
              <w:ind w:firstLine="420" w:firstLineChars="200"/>
              <w:jc w:val="left"/>
              <w:rPr>
                <w:rFonts w:hAnsi="宋体"/>
                <w:color w:val="FF0000"/>
                <w:szCs w:val="21"/>
              </w:rPr>
            </w:pPr>
            <w:r>
              <w:rPr>
                <w:rFonts w:hint="eastAsia" w:hAnsi="宋体"/>
                <w:color w:val="FF0000"/>
                <w:szCs w:val="21"/>
              </w:rPr>
              <w:t>2、财务要求：</w:t>
            </w:r>
          </w:p>
          <w:p>
            <w:pPr>
              <w:widowControl/>
              <w:autoSpaceDE/>
              <w:autoSpaceDN/>
              <w:adjustRightInd/>
              <w:snapToGrid/>
              <w:spacing w:line="240" w:lineRule="auto"/>
              <w:ind w:firstLine="420" w:firstLineChars="200"/>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widowControl/>
              <w:autoSpaceDE/>
              <w:autoSpaceDN/>
              <w:adjustRightInd/>
              <w:snapToGrid/>
              <w:spacing w:line="240" w:lineRule="auto"/>
              <w:ind w:firstLine="420" w:firstLineChars="200"/>
              <w:jc w:val="left"/>
              <w:rPr>
                <w:rFonts w:hAnsi="宋体"/>
                <w:color w:val="FF0000"/>
                <w:szCs w:val="21"/>
              </w:rPr>
            </w:pPr>
            <w:r>
              <w:rPr>
                <w:rFonts w:hint="eastAsia" w:hAnsi="宋体"/>
                <w:color w:val="FF0000"/>
                <w:szCs w:val="21"/>
              </w:rPr>
              <w:t xml:space="preserve">   需  要□，</w:t>
            </w:r>
          </w:p>
          <w:p>
            <w:pPr>
              <w:widowControl/>
              <w:autoSpaceDE/>
              <w:autoSpaceDN/>
              <w:adjustRightInd/>
              <w:snapToGrid/>
              <w:spacing w:line="240" w:lineRule="auto"/>
              <w:ind w:firstLine="420" w:firstLineChars="200"/>
              <w:jc w:val="left"/>
              <w:rPr>
                <w:rFonts w:hAnsi="宋体"/>
                <w:szCs w:val="21"/>
              </w:rPr>
            </w:pPr>
            <w:r>
              <w:rPr>
                <w:rFonts w:hint="eastAsia" w:hAnsi="宋体"/>
                <w:color w:val="FF0000"/>
                <w:szCs w:val="21"/>
              </w:rPr>
              <w:t>提供</w:t>
            </w:r>
            <w:r>
              <w:rPr>
                <w:rFonts w:hint="eastAsia" w:hAnsi="宋体"/>
                <w:snapToGrid w:val="0"/>
                <w:color w:val="FF0000"/>
                <w:spacing w:val="-4"/>
                <w:kern w:val="0"/>
                <w:sz w:val="24"/>
                <w:u w:val="single"/>
              </w:rPr>
              <w:t xml:space="preserve">  </w:t>
            </w:r>
            <w:r>
              <w:rPr>
                <w:rFonts w:hAnsi="宋体"/>
                <w:snapToGrid w:val="0"/>
                <w:color w:val="FF0000"/>
                <w:spacing w:val="-4"/>
                <w:kern w:val="0"/>
                <w:sz w:val="24"/>
                <w:u w:val="single"/>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Ansi="宋体"/>
                <w:snapToGrid w:val="0"/>
                <w:color w:val="FF0000"/>
                <w:spacing w:val="-4"/>
                <w:kern w:val="0"/>
                <w:sz w:val="24"/>
                <w:u w:val="single"/>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pPr>
              <w:widowControl/>
              <w:numPr>
                <w:ilvl w:val="0"/>
                <w:numId w:val="2"/>
              </w:numPr>
              <w:autoSpaceDE/>
              <w:autoSpaceDN/>
              <w:adjustRightInd/>
              <w:snapToGrid/>
              <w:spacing w:line="240" w:lineRule="auto"/>
              <w:ind w:firstLine="420" w:firstLineChars="200"/>
              <w:jc w:val="left"/>
              <w:rPr>
                <w:rFonts w:hint="eastAsia"/>
              </w:rPr>
            </w:pPr>
            <w:r>
              <w:rPr>
                <w:rFonts w:hint="eastAsia"/>
              </w:rPr>
              <w:t>其他要求：</w:t>
            </w:r>
          </w:p>
          <w:p>
            <w:pPr>
              <w:keepNext w:val="0"/>
              <w:keepLines w:val="0"/>
              <w:widowControl/>
              <w:numPr>
                <w:ilvl w:val="-1"/>
                <w:numId w:val="0"/>
              </w:numPr>
              <w:suppressLineNumbers w:val="0"/>
              <w:ind w:leftChars="200" w:firstLine="0" w:firstLineChars="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其他主要人员最低要求：</w:t>
            </w:r>
          </w:p>
          <w:p>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sz w:val="21"/>
                <w:szCs w:val="24"/>
                <w:lang w:val="en-US" w:eastAsia="zh-CN"/>
              </w:rPr>
              <w:t>1</w:t>
            </w:r>
            <w:r>
              <w:rPr>
                <w:rFonts w:hint="eastAsia" w:asciiTheme="minorHAnsi" w:hAnsiTheme="minorHAnsi" w:eastAsiaTheme="minorEastAsia" w:cstheme="minorBidi"/>
                <w:color w:val="FF0000"/>
                <w:kern w:val="2"/>
                <w:sz w:val="21"/>
                <w:szCs w:val="24"/>
                <w:lang w:val="en-US" w:eastAsia="zh-CN" w:bidi="ar-SA"/>
              </w:rPr>
              <w:t>.专业监理工程师</w:t>
            </w: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名，</w:t>
            </w:r>
            <w:r>
              <w:rPr>
                <w:rFonts w:hint="eastAsia" w:cstheme="minorBidi"/>
                <w:color w:val="FF0000"/>
                <w:kern w:val="2"/>
                <w:sz w:val="21"/>
                <w:szCs w:val="24"/>
                <w:lang w:val="en-US" w:eastAsia="zh-CN" w:bidi="ar-SA"/>
              </w:rPr>
              <w:t>电力</w:t>
            </w:r>
            <w:r>
              <w:rPr>
                <w:rFonts w:hint="eastAsia" w:asciiTheme="minorHAnsi" w:hAnsiTheme="minorHAnsi" w:eastAsiaTheme="minorEastAsia" w:cstheme="minorBidi"/>
                <w:color w:val="FF0000"/>
                <w:kern w:val="2"/>
                <w:sz w:val="21"/>
                <w:szCs w:val="24"/>
                <w:lang w:val="en-US" w:eastAsia="zh-CN" w:bidi="ar-SA"/>
              </w:rPr>
              <w:t>工程专业</w:t>
            </w:r>
            <w:r>
              <w:rPr>
                <w:rFonts w:hint="eastAsia" w:cstheme="minorBidi"/>
                <w:color w:val="FF0000"/>
                <w:kern w:val="2"/>
                <w:sz w:val="21"/>
                <w:szCs w:val="24"/>
                <w:lang w:val="en-US" w:eastAsia="zh-CN" w:bidi="ar-SA"/>
              </w:rPr>
              <w:t>、建筑</w:t>
            </w:r>
            <w:r>
              <w:rPr>
                <w:rFonts w:hint="eastAsia" w:asciiTheme="minorHAnsi" w:hAnsiTheme="minorHAnsi" w:eastAsiaTheme="minorEastAsia" w:cstheme="minorBidi"/>
                <w:color w:val="FF0000"/>
                <w:kern w:val="2"/>
                <w:sz w:val="21"/>
                <w:szCs w:val="24"/>
                <w:lang w:val="en-US" w:eastAsia="zh-CN" w:bidi="ar-SA"/>
              </w:rPr>
              <w:t>工程专业</w:t>
            </w:r>
            <w:r>
              <w:rPr>
                <w:rFonts w:hint="eastAsia" w:cstheme="minorBidi"/>
                <w:color w:val="FF0000"/>
                <w:kern w:val="2"/>
                <w:sz w:val="21"/>
                <w:szCs w:val="24"/>
                <w:lang w:val="en-US" w:eastAsia="zh-CN" w:bidi="ar-SA"/>
              </w:rPr>
              <w:t>各1名</w:t>
            </w:r>
            <w:r>
              <w:rPr>
                <w:rFonts w:hint="eastAsia" w:asciiTheme="minorHAnsi" w:hAnsiTheme="minorHAnsi" w:eastAsiaTheme="minorEastAsia" w:cstheme="minorBidi"/>
                <w:color w:val="FF0000"/>
                <w:kern w:val="2"/>
                <w:sz w:val="21"/>
                <w:szCs w:val="24"/>
                <w:lang w:val="en-US" w:eastAsia="zh-CN" w:bidi="ar-SA"/>
              </w:rPr>
              <w:t>。</w:t>
            </w:r>
          </w:p>
          <w:p>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监理员：</w:t>
            </w:r>
            <w:r>
              <w:rPr>
                <w:rFonts w:hint="eastAsia" w:cstheme="minorBidi"/>
                <w:color w:val="FF0000"/>
                <w:kern w:val="2"/>
                <w:sz w:val="21"/>
                <w:szCs w:val="24"/>
                <w:lang w:val="en-US" w:eastAsia="zh-CN" w:bidi="ar-SA"/>
              </w:rPr>
              <w:t>至少</w:t>
            </w:r>
            <w:r>
              <w:rPr>
                <w:rFonts w:hint="eastAsia" w:asciiTheme="minorHAnsi" w:hAnsiTheme="minorHAnsi"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人</w:t>
            </w:r>
            <w:r>
              <w:rPr>
                <w:rFonts w:hint="eastAsia" w:cstheme="minorBidi"/>
                <w:color w:val="FF0000"/>
                <w:kern w:val="2"/>
                <w:sz w:val="21"/>
                <w:szCs w:val="24"/>
                <w:lang w:val="en-US" w:eastAsia="zh-CN" w:bidi="ar-SA"/>
              </w:rPr>
              <w:t>，与开工项目数量保持一致</w:t>
            </w:r>
            <w:r>
              <w:rPr>
                <w:rFonts w:hint="eastAsia" w:asciiTheme="minorHAnsi" w:hAnsiTheme="minorHAnsi" w:eastAsiaTheme="minorEastAsia" w:cstheme="minorBidi"/>
                <w:color w:val="FF0000"/>
                <w:kern w:val="2"/>
                <w:sz w:val="21"/>
                <w:szCs w:val="24"/>
                <w:lang w:val="en-US" w:eastAsia="zh-CN" w:bidi="ar-SA"/>
              </w:rPr>
              <w:t>。</w:t>
            </w:r>
          </w:p>
          <w:p>
            <w:pPr>
              <w:widowControl/>
              <w:topLinePunct/>
              <w:spacing w:line="440" w:lineRule="exact"/>
              <w:ind w:firstLine="402" w:firstLineChars="200"/>
              <w:jc w:val="left"/>
              <w:rPr>
                <w:rFonts w:ascii="Times New Roman" w:hAnsi="Times New Roman" w:cs="Times New Roman"/>
                <w:szCs w:val="21"/>
              </w:rPr>
            </w:pPr>
            <w:r>
              <w:rPr>
                <w:rFonts w:hint="eastAsia" w:ascii="宋体" w:hAnsi="宋体" w:eastAsia="宋体" w:cs="宋体"/>
                <w:b/>
                <w:bCs/>
                <w:color w:val="auto"/>
                <w:kern w:val="0"/>
                <w:sz w:val="20"/>
                <w:szCs w:val="20"/>
                <w:lang w:val="en-US" w:eastAsia="zh-CN" w:bidi="ar"/>
              </w:rPr>
              <w:t>投标人应提供上表中人员的相关证书扫描件，并提供投标人所属社保机构出具的拟委任的人员 2023年1月（含）以来任意连续3个月的养老保险证明，社会保险的缴纳单位应当是投标人或者投标人不具备独立法人资格的分支机构。</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 xml:space="preserve">接受    </w:t>
            </w:r>
            <w:r>
              <w:rPr>
                <w:rFonts w:ascii="Times New Roman" w:hAnsi="Times New Roman" w:eastAsia="仿宋_GB2312" w:cs="Times New Roman"/>
                <w:color w:val="FF0000"/>
                <w:sz w:val="24"/>
              </w:rPr>
              <w:sym w:font="Wingdings" w:char="00A8"/>
            </w:r>
            <w:r>
              <w:rPr>
                <w:rFonts w:hint="eastAsia" w:ascii="Times New Roman" w:hAnsi="Times New Roman" w:cs="Times New Roman"/>
                <w:color w:val="FF0000"/>
                <w:szCs w:val="21"/>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r>
              <w:rPr>
                <w:rFonts w:hint="eastAsia" w:hAnsi="宋体"/>
                <w:szCs w:val="21"/>
              </w:rPr>
              <w:t xml:space="preserve">         </w:t>
            </w:r>
            <w:r>
              <w:rPr>
                <w:rFonts w:hint="eastAsia" w:hAnsi="宋体"/>
                <w:szCs w:val="21"/>
                <w:lang w:val="en-US" w:eastAsia="zh-CN"/>
              </w:rPr>
              <w:t>/</w:t>
            </w:r>
            <w:r>
              <w:rPr>
                <w:rFonts w:hint="eastAsia" w:hAnsi="宋体"/>
                <w:szCs w:val="21"/>
              </w:rPr>
              <w:t xml:space="preserve">          </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21"/>
                <w:szCs w:val="21"/>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6"/>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允许</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A8"/>
            </w:r>
            <w:r>
              <w:rPr>
                <w:rFonts w:hint="eastAsia" w:ascii="Times New Roman" w:hAnsi="Times New Roman" w:cs="Times New Roman"/>
                <w:color w:val="FF0000"/>
                <w:szCs w:val="21"/>
              </w:rPr>
              <w:t>允许，分包内容要求：</w:t>
            </w:r>
          </w:p>
          <w:p>
            <w:pPr>
              <w:wordWrap w:val="0"/>
              <w:spacing w:line="400" w:lineRule="exact"/>
              <w:ind w:firstLine="840" w:firstLineChars="400"/>
              <w:rPr>
                <w:rFonts w:ascii="Times New Roman" w:hAnsi="Times New Roman" w:cs="Times New Roman"/>
                <w:color w:val="FF0000"/>
                <w:szCs w:val="21"/>
              </w:rPr>
            </w:pPr>
            <w:r>
              <w:rPr>
                <w:rFonts w:hint="eastAsia" w:ascii="Times New Roman" w:hAnsi="Times New Roman" w:cs="Times New Roman"/>
                <w:color w:val="FF0000"/>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color w:val="FF0000"/>
                <w:szCs w:val="21"/>
              </w:rPr>
              <w:t>对分包人的资质要求：</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实质性要求和条件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color w:val="FF0000"/>
                <w:szCs w:val="21"/>
              </w:rPr>
              <w:t xml:space="preserve"> / </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3.2.5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投标报价的其他要求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u w:val="single"/>
              </w:rPr>
              <w:t xml:space="preserve"> </w:t>
            </w:r>
            <w:r>
              <w:rPr>
                <w:rFonts w:ascii="Times New Roman" w:hAnsi="Times New Roman" w:cs="Times New Roman"/>
                <w:szCs w:val="21"/>
                <w:u w:val="single"/>
              </w:rPr>
              <w:t>/</w:t>
            </w:r>
            <w:r>
              <w:rPr>
                <w:rFonts w:hint="eastAsia" w:ascii="Times New Roman" w:hAnsi="Times New Roman" w:cs="Times New Roman"/>
                <w:szCs w:val="21"/>
                <w:u w:val="single"/>
              </w:rPr>
              <w:t xml:space="preserve"> </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r>
              <w:rPr>
                <w:rFonts w:hint="eastAsia" w:hAnsi="宋体"/>
                <w:color w:val="FF0000"/>
                <w:szCs w:val="21"/>
              </w:rPr>
              <w:sym w:font="Wingdings 2" w:char="0052"/>
            </w:r>
          </w:p>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ascii="Times New Roman" w:hAnsi="Times New Roman" w:cs="Times New Roman"/>
                <w:color w:val="FF0000"/>
                <w:szCs w:val="21"/>
              </w:rPr>
              <w:t>银行汇款或转账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18000</w:t>
            </w:r>
            <w:r>
              <w:rPr>
                <w:rFonts w:hint="eastAsia" w:ascii="Times New Roman" w:hAnsi="Times New Roman" w:cs="Times New Roman"/>
                <w:szCs w:val="21"/>
                <w:u w:val="single"/>
              </w:rPr>
              <w:t xml:space="preserve">元 </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r>
              <w:rPr>
                <w:rFonts w:hint="eastAsia" w:ascii="Times New Roman" w:hAnsi="Times New Roman" w:cs="Times New Roman"/>
                <w:color w:val="FF0000"/>
                <w:szCs w:val="21"/>
              </w:rPr>
              <w:t>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020</w:t>
            </w:r>
            <w:r>
              <w:rPr>
                <w:rFonts w:hint="eastAsia" w:ascii="Times New Roman" w:hAnsi="Times New Roman" w:cs="Times New Roman"/>
                <w:color w:val="FF0000"/>
                <w:szCs w:val="21"/>
              </w:rPr>
              <w:t>号保证金</w:t>
            </w:r>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w:t>
            </w:r>
            <w:r>
              <w:rPr>
                <w:rFonts w:hint="eastAsia" w:ascii="Times New Roman" w:hAnsi="Times New Roman" w:cs="Times New Roman"/>
                <w:szCs w:val="21"/>
                <w:lang w:eastAsia="zh-CN"/>
              </w:rPr>
              <w:t>。</w:t>
            </w:r>
            <w:r>
              <w:rPr>
                <w:rFonts w:ascii="Times New Roman" w:hAnsi="Times New Roman" w:cs="Times New Roman"/>
                <w:szCs w:val="21"/>
              </w:rPr>
              <w:t>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hint="eastAsia" w:ascii="Times New Roman" w:hAnsi="Times New Roman" w:cs="Times New Roman" w:eastAsiaTheme="minorEastAsia"/>
                <w:szCs w:val="21"/>
                <w:lang w:eastAsia="zh-CN"/>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r>
              <w:rPr>
                <w:rFonts w:hint="eastAsia" w:ascii="Times New Roman" w:hAnsi="Times New Roman" w:cs="Times New Roman"/>
                <w:szCs w:val="21"/>
                <w:lang w:eastAsia="zh-CN"/>
              </w:rPr>
              <w:t>。</w:t>
            </w:r>
          </w:p>
          <w:p>
            <w:pPr>
              <w:wordWrap w:val="0"/>
              <w:spacing w:line="430" w:lineRule="exact"/>
              <w:ind w:firstLine="420" w:firstLineChars="200"/>
              <w:rPr>
                <w:rFonts w:hint="eastAsia" w:ascii="Times New Roman" w:hAnsi="Times New Roman" w:cs="Times New Roman" w:eastAsiaTheme="minorEastAsia"/>
                <w:szCs w:val="21"/>
                <w:lang w:eastAsia="zh-CN"/>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r>
              <w:rPr>
                <w:rFonts w:hint="eastAsia" w:ascii="Times New Roman" w:hAnsi="Times New Roman" w:cs="Times New Roman"/>
                <w:szCs w:val="21"/>
                <w:lang w:eastAsia="zh-CN"/>
              </w:rPr>
              <w:t>。</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3.5.3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是否允许递交备选投标方案</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不允许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允许   </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lang w:eastAsia="zh-CN"/>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lang w:eastAsia="zh-CN"/>
              </w:rPr>
              <w:t>。</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 xml:space="preserve">是否要求述标：          </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要求</w:t>
            </w:r>
          </w:p>
          <w:p>
            <w:pPr>
              <w:wordWrap w:val="0"/>
              <w:spacing w:line="400" w:lineRule="exact"/>
              <w:rPr>
                <w:rFonts w:ascii="Times New Roman" w:hAnsi="Times New Roman" w:cs="Times New Roman"/>
                <w:szCs w:val="21"/>
              </w:rPr>
            </w:pPr>
            <w:r>
              <w:rPr>
                <w:rFonts w:hint="eastAsia" w:ascii="Times New Roman" w:hAnsi="Times New Roman" w:cs="Times New Roman"/>
                <w:color w:val="FF0000"/>
                <w:szCs w:val="21"/>
              </w:rPr>
              <w:t>是否要求提交电子版文件：</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要求 </w:t>
            </w:r>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hint="eastAsia" w:ascii="Times New Roman" w:hAnsi="Times New Roman" w:cs="Times New Roman" w:eastAsiaTheme="minorEastAsia"/>
                <w:szCs w:val="21"/>
                <w:lang w:eastAsia="zh-CN"/>
              </w:rPr>
            </w:pPr>
            <w:r>
              <w:rPr>
                <w:rFonts w:hint="eastAsia" w:ascii="Times New Roman" w:hAnsi="Times New Roman" w:cs="Times New Roman"/>
                <w:szCs w:val="21"/>
              </w:rPr>
              <w:t>（1）所有正本与副本封装在一个密封袋中，且在投标文件封面标明“正本”或“副本”的字样</w:t>
            </w:r>
            <w:r>
              <w:rPr>
                <w:rFonts w:hint="eastAsia" w:ascii="Times New Roman" w:hAnsi="Times New Roman" w:cs="Times New Roman"/>
                <w:szCs w:val="21"/>
                <w:lang w:eastAsia="zh-CN"/>
              </w:rPr>
              <w:t>。</w:t>
            </w:r>
          </w:p>
          <w:p>
            <w:pPr>
              <w:wordWrap w:val="0"/>
              <w:spacing w:line="400" w:lineRule="exact"/>
              <w:rPr>
                <w:rFonts w:hint="eastAsia" w:ascii="Times New Roman" w:hAnsi="Times New Roman" w:cs="Times New Roman" w:eastAsiaTheme="minorEastAsia"/>
                <w:szCs w:val="21"/>
                <w:lang w:eastAsia="zh-CN"/>
              </w:rPr>
            </w:pPr>
            <w:r>
              <w:rPr>
                <w:rFonts w:hint="eastAsia" w:ascii="Times New Roman" w:hAnsi="Times New Roman" w:cs="Times New Roman"/>
                <w:szCs w:val="21"/>
              </w:rPr>
              <w:t>（2）投标文件应按要求密封，密封袋封口加盖投标单位印章</w:t>
            </w:r>
            <w:r>
              <w:rPr>
                <w:rFonts w:hint="eastAsia" w:ascii="Times New Roman" w:hAnsi="Times New Roman" w:cs="Times New Roman"/>
                <w:szCs w:val="21"/>
                <w:lang w:eastAsia="zh-CN"/>
              </w:rPr>
              <w:t>。</w:t>
            </w:r>
          </w:p>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3.7.3A（3）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投标文件是否需分册装订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不需要</w:t>
            </w:r>
          </w:p>
          <w:p>
            <w:pPr>
              <w:wordWrap w:val="0"/>
              <w:spacing w:line="400" w:lineRule="exact"/>
              <w:rPr>
                <w:rFonts w:ascii="Times New Roman" w:hAnsi="Times New Roman" w:eastAsia="仿宋_GB2312" w:cs="Times New Roman"/>
                <w:color w:val="FF0000"/>
                <w:sz w:val="24"/>
              </w:rPr>
            </w:pP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需要，分册装订要求：</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开标地址：</w:t>
            </w:r>
            <w:r>
              <w:rPr>
                <w:rFonts w:hint="eastAsia" w:ascii="宋体" w:hAnsi="宋体"/>
                <w:color w:val="000000"/>
                <w:sz w:val="24"/>
                <w:highlight w:val="yellow"/>
              </w:rPr>
              <w:t>亳州交通投资控股集团有限公司15楼开标室（药都大道与希夷大道交叉口东北角15楼）</w:t>
            </w:r>
          </w:p>
          <w:p>
            <w:pPr>
              <w:wordWrap w:val="0"/>
              <w:spacing w:line="430" w:lineRule="exact"/>
              <w:ind w:firstLine="420" w:firstLineChars="200"/>
              <w:rPr>
                <w:rFonts w:ascii="宋体" w:hAnsi="宋体"/>
                <w:color w:val="000000"/>
                <w:sz w:val="24"/>
                <w:highlight w:val="yellow"/>
              </w:rPr>
            </w:pPr>
            <w:r>
              <w:rPr>
                <w:rFonts w:hint="eastAsia" w:ascii="Times New Roman" w:hAnsi="Times New Roman" w:cs="Times New Roman"/>
                <w:color w:val="FF0000"/>
                <w:szCs w:val="21"/>
              </w:rPr>
              <w:t>招标人：</w:t>
            </w:r>
            <w:r>
              <w:rPr>
                <w:rFonts w:hint="eastAsia" w:ascii="宋体" w:hAnsi="宋体"/>
                <w:color w:val="000000"/>
                <w:sz w:val="24"/>
                <w:highlight w:val="yellow"/>
                <w:lang w:val="en-US" w:eastAsia="zh-CN"/>
              </w:rPr>
              <w:t>亳州新能源发展有限公司</w:t>
            </w:r>
          </w:p>
          <w:p>
            <w:pPr>
              <w:wordWrap w:val="0"/>
              <w:spacing w:line="430" w:lineRule="exact"/>
              <w:ind w:firstLine="480" w:firstLineChars="200"/>
              <w:rPr>
                <w:rFonts w:hint="eastAsia" w:ascii="宋体" w:hAnsi="宋体"/>
                <w:color w:val="000000"/>
                <w:sz w:val="24"/>
                <w:highlight w:val="yellow"/>
                <w:lang w:val="en-US" w:eastAsia="zh-CN"/>
              </w:rPr>
            </w:pPr>
            <w:r>
              <w:rPr>
                <w:rFonts w:hint="eastAsia" w:ascii="宋体" w:hAnsi="宋体"/>
                <w:color w:val="000000"/>
                <w:sz w:val="24"/>
                <w:highlight w:val="yellow"/>
                <w:lang w:val="zh-CN" w:eastAsia="zh-CN"/>
              </w:rPr>
              <w:t>亳州市本级国有资产光伏发电项目监理</w:t>
            </w:r>
            <w:r>
              <w:rPr>
                <w:rFonts w:hint="eastAsia" w:ascii="宋体" w:hAnsi="宋体"/>
                <w:color w:val="FF0000"/>
                <w:sz w:val="24"/>
                <w:highlight w:val="yellow"/>
                <w:lang w:val="en-US" w:eastAsia="zh-CN"/>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020</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分前不得开启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lang w:eastAsia="zh-CN"/>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r>
              <w:rPr>
                <w:rFonts w:hint="eastAsia" w:ascii="Times New Roman" w:hAnsi="Times New Roman" w:cs="Times New Roman"/>
                <w:szCs w:val="21"/>
                <w:lang w:eastAsia="zh-CN"/>
              </w:rPr>
              <w:t>。</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亳州交通投资控股集团有限公司官网（www.bzjkjt.com）、安徽省招标投标信息网（www.ahtba.org.cn）及优质采云采购平台（www.youzhicai.com）</w:t>
            </w:r>
          </w:p>
          <w:p>
            <w:pPr>
              <w:wordWrap w:val="0"/>
              <w:spacing w:line="400" w:lineRule="exact"/>
              <w:rPr>
                <w:rFonts w:ascii="Times New Roman" w:hAnsi="Times New Roman" w:cs="Times New Roman"/>
                <w:sz w:val="32"/>
                <w:szCs w:val="32"/>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技术成果经济补偿</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r>
              <w:rPr>
                <w:rFonts w:hint="eastAsia" w:ascii="Times New Roman" w:hAnsi="Times New Roman" w:cs="Times New Roman"/>
                <w:b/>
                <w:bCs/>
                <w:color w:val="FF0000"/>
                <w:szCs w:val="21"/>
                <w:lang w:val="en-US" w:eastAsia="zh-CN"/>
              </w:rPr>
              <w:t>中标后，投标保证金自动转为履约保证金，履约保证金不足部分由中标人在收到中标通知书后 10 日内从其基本账户开户行银行汇款或提供银行保函（或担保机构担保或保证保险）。</w:t>
            </w:r>
          </w:p>
          <w:p>
            <w:pPr>
              <w:wordWrap w:val="0"/>
              <w:spacing w:line="430" w:lineRule="exact"/>
              <w:rPr>
                <w:rFonts w:hint="default" w:ascii="Times New Roman" w:hAnsi="Times New Roman" w:cs="Times New Roman" w:eastAsiaTheme="minorEastAsia"/>
                <w:szCs w:val="21"/>
                <w:highlight w:val="yellow"/>
                <w:lang w:val="en-US" w:eastAsia="zh-CN"/>
              </w:rPr>
            </w:pPr>
            <w:r>
              <w:rPr>
                <w:rFonts w:ascii="Times New Roman" w:hAnsi="Times New Roman" w:cs="Times New Roman"/>
                <w:szCs w:val="21"/>
              </w:rPr>
              <w:t>履约担保的金额：</w:t>
            </w:r>
            <w:r>
              <w:rPr>
                <w:rFonts w:hint="eastAsia" w:ascii="Times New Roman" w:hAnsi="Times New Roman" w:cs="Times New Roman"/>
                <w:b/>
                <w:bCs/>
                <w:color w:val="FF0000"/>
                <w:szCs w:val="21"/>
                <w:highlight w:val="yellow"/>
                <w:lang w:val="en-US" w:eastAsia="zh-CN"/>
              </w:rPr>
              <w:t>50000元。</w:t>
            </w:r>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服务期满</w:t>
            </w:r>
            <w:r>
              <w:rPr>
                <w:rFonts w:ascii="Times New Roman" w:hAnsi="Times New Roman" w:cs="Times New Roman"/>
                <w:color w:val="FF0000"/>
                <w:szCs w:val="21"/>
              </w:rPr>
              <w:t>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300" w:lineRule="exact"/>
              <w:ind w:firstLine="4620" w:firstLineChars="2200"/>
              <w:rPr>
                <w:rFonts w:ascii="Times New Roman" w:hAnsi="Times New Roman" w:cs="Times New Roman"/>
                <w:szCs w:val="21"/>
              </w:rPr>
            </w:pPr>
            <w:r>
              <w:rPr>
                <w:rFonts w:ascii="Times New Roman" w:hAnsi="Times New Roman" w:cs="Times New Roman"/>
                <w:szCs w:val="21"/>
              </w:rPr>
              <w:t>构成本招标文件的各个组成文件应互为解释，互为说明</w:t>
            </w:r>
            <w:r>
              <w:rPr>
                <w:rFonts w:hint="eastAsia" w:ascii="Times New Roman" w:hAnsi="Times New Roman" w:cs="Times New Roman"/>
                <w:szCs w:val="21"/>
                <w:lang w:eastAsia="zh-CN"/>
              </w:rPr>
              <w:t>。</w:t>
            </w:r>
            <w:r>
              <w:rPr>
                <w:rFonts w:ascii="Times New Roman" w:hAnsi="Times New Roman" w:cs="Times New Roman"/>
                <w:szCs w:val="21"/>
              </w:rPr>
              <w:t>如有不明确或不一致，构成合同文件组成内容的，以合同文件约定内容为准，且以专用合同条款约定的合同文件优先顺序解释</w:t>
            </w:r>
            <w:r>
              <w:rPr>
                <w:rFonts w:hint="eastAsia" w:ascii="Times New Roman" w:hAnsi="Times New Roman" w:cs="Times New Roman"/>
                <w:szCs w:val="21"/>
                <w:lang w:eastAsia="zh-CN"/>
              </w:rPr>
              <w:t>。</w:t>
            </w:r>
            <w:r>
              <w:rPr>
                <w:rFonts w:ascii="Times New Roman" w:hAnsi="Times New Roman" w:cs="Times New Roman"/>
                <w:szCs w:val="21"/>
              </w:rPr>
              <w:t>除招标文件中有特别规定外，仅适用于招标投标阶段的规定，按招标公告、投标人须知、评标办法、投标文件格式的先后顺序解释</w:t>
            </w:r>
            <w:r>
              <w:rPr>
                <w:rFonts w:hint="eastAsia" w:ascii="Times New Roman" w:hAnsi="Times New Roman" w:cs="Times New Roman"/>
                <w:szCs w:val="21"/>
                <w:lang w:eastAsia="zh-CN"/>
              </w:rPr>
              <w:t>。</w:t>
            </w:r>
            <w:r>
              <w:rPr>
                <w:rFonts w:ascii="Times New Roman" w:hAnsi="Times New Roman" w:cs="Times New Roman"/>
                <w:szCs w:val="21"/>
              </w:rPr>
              <w:t>同一组成文件中就同一事项的规定或约定不一致的，以编排顺序在后者为准</w:t>
            </w:r>
            <w:r>
              <w:rPr>
                <w:rFonts w:hint="eastAsia" w:ascii="Times New Roman" w:hAnsi="Times New Roman" w:cs="Times New Roman"/>
                <w:szCs w:val="21"/>
                <w:lang w:eastAsia="zh-CN"/>
              </w:rPr>
              <w:t>。</w:t>
            </w:r>
            <w:r>
              <w:rPr>
                <w:rFonts w:ascii="Times New Roman" w:hAnsi="Times New Roman" w:cs="Times New Roman"/>
                <w:szCs w:val="21"/>
              </w:rPr>
              <w:t>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300" w:lineRule="exact"/>
              <w:ind w:firstLine="4620" w:firstLineChars="2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rPr>
                <w:rFonts w:ascii="Times New Roman" w:hAnsi="Times New Roman" w:cs="Times New Roman"/>
                <w:szCs w:val="21"/>
              </w:rPr>
            </w:pPr>
            <w:r>
              <w:rPr>
                <w:rFonts w:ascii="Times New Roman" w:hAnsi="Times New Roman" w:cs="Times New Roman"/>
                <w:szCs w:val="21"/>
              </w:rPr>
              <w:t>常见的供应商不良行为有：</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（一）无正当理由放弃中标、成交、入围的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（二）在法定或约定期限内拒绝签订采购合同的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（三）非不可抗力原因不能履行采购合同的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（四）不按照招标文件、谈判文件、询价通知书要求提供履约担保的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（五）违法转包、分包的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（六）克扣、无故拖欠农民工工资报酬的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（七）提供虚假材料谋取中标、成交、入围的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（八）采取不正当手段诋毁、排挤其他供应商的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（九）与其他采购参加人恶意串通的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（十）向集团工作人员及其他采购参加人行贿或者提供其他不正当利益的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（十一）在签订采购合同时提出附加条件的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eastAsiaTheme="minorEastAsia"/>
                <w:szCs w:val="21"/>
                <w:lang w:eastAsia="zh-CN"/>
              </w:rPr>
            </w:pPr>
            <w:r>
              <w:rPr>
                <w:rFonts w:ascii="Times New Roman" w:hAnsi="Times New Roman" w:cs="Times New Roman"/>
                <w:szCs w:val="21"/>
              </w:rPr>
              <w:t>（十二）进行虚假、恶意投诉的</w:t>
            </w:r>
            <w:r>
              <w:rPr>
                <w:rFonts w:hint="eastAsia" w:ascii="Times New Roman" w:hAnsi="Times New Roman" w:cs="Times New Roman"/>
                <w:szCs w:val="21"/>
                <w:lang w:eastAsia="zh-CN"/>
              </w:rPr>
              <w:t>。</w:t>
            </w:r>
          </w:p>
          <w:p>
            <w:pPr>
              <w:wordWrap w:val="0"/>
              <w:spacing w:line="240" w:lineRule="exact"/>
              <w:rPr>
                <w:rFonts w:hint="eastAsia" w:ascii="Times New Roman" w:hAnsi="Times New Roman" w:cs="Times New Roman"/>
                <w:szCs w:val="21"/>
                <w:lang w:eastAsia="zh-CN"/>
              </w:rPr>
            </w:pPr>
            <w:r>
              <w:rPr>
                <w:rFonts w:ascii="Times New Roman" w:hAnsi="Times New Roman" w:cs="Times New Roman"/>
                <w:szCs w:val="21"/>
              </w:rPr>
              <w:t>（十三）在有关部门、子公司实施争议处理、监督检查、审计监督过程中拒绝配合、提供虚假情况或隐瞒真实情况的</w:t>
            </w:r>
            <w:r>
              <w:rPr>
                <w:rFonts w:hint="eastAsia" w:ascii="Times New Roman" w:hAnsi="Times New Roman" w:cs="Times New Roman"/>
                <w:szCs w:val="21"/>
                <w:lang w:eastAsia="zh-CN"/>
              </w:rPr>
              <w:t>。</w:t>
            </w:r>
          </w:p>
          <w:p>
            <w:pPr>
              <w:wordWrap w:val="0"/>
              <w:spacing w:line="240" w:lineRule="exact"/>
              <w:rPr>
                <w:rFonts w:ascii="Times New Roman" w:hAnsi="Times New Roman" w:cs="Times New Roman"/>
                <w:szCs w:val="21"/>
              </w:rPr>
            </w:pPr>
            <w:r>
              <w:rPr>
                <w:rFonts w:hint="eastAsia" w:ascii="Times New Roman" w:hAnsi="Times New Roman" w:cs="Times New Roman"/>
                <w:szCs w:val="21"/>
                <w:lang w:eastAsia="zh-CN"/>
              </w:rPr>
              <w:t>（</w:t>
            </w:r>
            <w:r>
              <w:rPr>
                <w:rFonts w:ascii="Times New Roman" w:hAnsi="Times New Roman" w:cs="Times New Roman"/>
                <w:szCs w:val="21"/>
              </w:rPr>
              <w:t>十四</w:t>
            </w:r>
            <w:r>
              <w:rPr>
                <w:rFonts w:hint="eastAsia" w:ascii="Times New Roman" w:hAnsi="Times New Roman" w:cs="Times New Roman"/>
                <w:szCs w:val="21"/>
                <w:lang w:eastAsia="zh-CN"/>
              </w:rPr>
              <w:t>）</w:t>
            </w:r>
            <w:r>
              <w:rPr>
                <w:rFonts w:ascii="Times New Roman" w:hAnsi="Times New Roman" w:cs="Times New Roman"/>
                <w:szCs w:val="21"/>
              </w:rPr>
              <w:t>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
        </w:tc>
      </w:tr>
    </w:tbl>
    <w:p>
      <w:pPr>
        <w:rPr>
          <w:rFonts w:asciiTheme="majorEastAsia" w:hAnsiTheme="majorEastAsia" w:eastAsiaTheme="majorEastAsia" w:cstheme="majorEastAsia"/>
          <w:b/>
          <w:bCs/>
          <w:sz w:val="32"/>
          <w:szCs w:val="32"/>
        </w:rPr>
      </w:pPr>
      <w:r>
        <w:rPr>
          <w:rFonts w:hint="eastAsia" w:ascii="黑体" w:hAnsi="黑体" w:eastAsia="黑体" w:cs="黑体"/>
          <w:color w:val="000000"/>
        </w:rPr>
        <w:t>说明：</w:t>
      </w:r>
      <w:r>
        <w:rPr>
          <w:rFonts w:hint="eastAsia" w:ascii="Times New Roman" w:hAnsi="Times New Roman" w:cs="Times New Roman"/>
          <w:color w:val="000000"/>
        </w:rPr>
        <w:t>投标人须知正文部分直接引用国家发改委等九部委于2017年9月4日联合印发的《中华人民共和国标准</w:t>
      </w:r>
      <w:r>
        <w:rPr>
          <w:rFonts w:hint="eastAsia" w:ascii="Times New Roman" w:hAnsi="Times New Roman" w:cs="Times New Roman"/>
          <w:color w:val="000000"/>
          <w:lang w:val="en-US" w:eastAsia="zh-CN"/>
        </w:rPr>
        <w:t>监理</w:t>
      </w:r>
      <w:r>
        <w:rPr>
          <w:rFonts w:hint="eastAsia" w:ascii="Times New Roman" w:hAnsi="Times New Roman" w:cs="Times New Roman"/>
          <w:color w:val="000000"/>
        </w:rPr>
        <w:t>招标文件》（2017年版）。</w:t>
      </w:r>
      <w:r>
        <w:rPr>
          <w:rFonts w:asciiTheme="majorEastAsia" w:hAnsiTheme="majorEastAsia" w:eastAsiaTheme="majorEastAsia" w:cstheme="majorEastAsia"/>
          <w:b/>
          <w:bCs/>
          <w:sz w:val="32"/>
          <w:szCs w:val="32"/>
        </w:rPr>
        <w:br w:type="page"/>
      </w:r>
    </w:p>
    <w:p>
      <w:pPr>
        <w:spacing w:line="480" w:lineRule="exact"/>
        <w:jc w:val="center"/>
        <w:outlineLvl w:val="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3"/>
        <w:gridCol w:w="850"/>
        <w:gridCol w:w="37"/>
        <w:gridCol w:w="177"/>
        <w:gridCol w:w="1770"/>
        <w:gridCol w:w="3970"/>
        <w:gridCol w:w="8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lang w:val="en-US" w:eastAsia="zh-CN"/>
              </w:rPr>
              <w:t>五</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服务期限</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服务标准</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w:t>
            </w:r>
            <w:r>
              <w:rPr>
                <w:rFonts w:hint="eastAsia" w:ascii="Times New Roman" w:hAnsi="Times New Roman" w:cs="Times New Roman"/>
                <w:kern w:val="0"/>
                <w:sz w:val="24"/>
                <w:lang w:val="en-US" w:eastAsia="zh-CN"/>
              </w:rPr>
              <w:t>利</w:t>
            </w:r>
            <w:r>
              <w:rPr>
                <w:rFonts w:hint="eastAsia" w:ascii="Times New Roman" w:hAnsi="Times New Roman" w:cs="Times New Roman"/>
                <w:kern w:val="0"/>
                <w:sz w:val="24"/>
              </w:rPr>
              <w:t>义务</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服务方案</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16" w:name="_Toc152045589"/>
            <w:bookmarkStart w:id="17" w:name="_Toc247085747"/>
            <w:bookmarkStart w:id="18" w:name="_Toc144974556"/>
            <w:bookmarkStart w:id="19" w:name="_Toc152042366"/>
            <w:bookmarkStart w:id="20" w:name="_Toc246996975"/>
            <w:bookmarkStart w:id="21" w:name="_Toc246996232"/>
            <w:bookmarkStart w:id="22" w:name="_Toc179632607"/>
            <w:bookmarkStart w:id="23" w:name="_Toc296602477"/>
            <w:r>
              <w:rPr>
                <w:rFonts w:ascii="Times New Roman" w:hAnsi="Times New Roman" w:cs="Times New Roman"/>
                <w:b/>
                <w:bCs/>
                <w:kern w:val="0"/>
                <w:sz w:val="24"/>
              </w:rPr>
              <w:t>条款号</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2.2.1</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wordWrap w:val="0"/>
              <w:spacing w:line="440" w:lineRule="exact"/>
              <w:jc w:val="left"/>
              <w:rPr>
                <w:rFonts w:ascii="Times New Roman" w:hAnsi="Times New Roman" w:cs="Times New Roman"/>
                <w:kern w:val="0"/>
                <w:sz w:val="24"/>
              </w:rPr>
            </w:pPr>
            <w:r>
              <w:rPr>
                <w:rFonts w:hint="default" w:ascii="Times New Roman" w:hAnsi="Times New Roman" w:cs="Times New Roman" w:eastAsiaTheme="minorEastAsia"/>
                <w:color w:val="auto"/>
                <w:kern w:val="0"/>
                <w:sz w:val="24"/>
                <w:szCs w:val="24"/>
                <w:lang w:val="en-US" w:eastAsia="zh-CN" w:bidi="ar"/>
              </w:rPr>
              <w:t>监理大纲评审</w:t>
            </w:r>
            <w:r>
              <w:rPr>
                <w:rFonts w:hint="eastAsia" w:ascii="Times New Roman" w:hAnsi="Times New Roman" w:cs="Times New Roman"/>
                <w:kern w:val="0"/>
                <w:sz w:val="24"/>
              </w:rPr>
              <w:t>：</w:t>
            </w:r>
            <w:r>
              <w:rPr>
                <w:rFonts w:hint="default" w:ascii="Times New Roman" w:hAnsi="Times New Roman" w:cs="Times New Roman"/>
                <w:kern w:val="0"/>
                <w:sz w:val="24"/>
                <w:u w:val="none"/>
                <w:lang w:val="en-US" w:eastAsia="zh-CN"/>
              </w:rPr>
              <w:t>20</w:t>
            </w:r>
            <w:r>
              <w:rPr>
                <w:rFonts w:ascii="Times New Roman" w:hAnsi="Times New Roman" w:cs="Times New Roman"/>
                <w:kern w:val="0"/>
                <w:sz w:val="24"/>
              </w:rPr>
              <w:t>分</w:t>
            </w:r>
          </w:p>
          <w:p>
            <w:pPr>
              <w:wordWrap w:val="0"/>
              <w:spacing w:line="440" w:lineRule="exact"/>
              <w:jc w:val="left"/>
              <w:rPr>
                <w:rFonts w:hint="eastAsia" w:ascii="Times New Roman" w:hAnsi="Times New Roman" w:cs="Times New Roman"/>
                <w:kern w:val="0"/>
                <w:sz w:val="24"/>
              </w:rPr>
            </w:pPr>
            <w:r>
              <w:rPr>
                <w:rFonts w:hint="default" w:ascii="Times New Roman" w:hAnsi="Times New Roman" w:cs="Times New Roman"/>
                <w:kern w:val="0"/>
                <w:sz w:val="24"/>
                <w:szCs w:val="24"/>
              </w:rPr>
              <w:t>企业荣誉</w:t>
            </w:r>
            <w:r>
              <w:rPr>
                <w:rFonts w:hint="eastAsia" w:ascii="Times New Roman" w:hAnsi="Times New Roman" w:cs="Times New Roman"/>
                <w:kern w:val="0"/>
                <w:sz w:val="24"/>
              </w:rPr>
              <w:t>：</w:t>
            </w:r>
            <w:r>
              <w:rPr>
                <w:rFonts w:hint="default" w:ascii="Times New Roman" w:hAnsi="Times New Roman" w:cs="Times New Roman"/>
                <w:kern w:val="0"/>
                <w:sz w:val="24"/>
                <w:u w:val="none"/>
                <w:lang w:val="en-US" w:eastAsia="zh-CN"/>
              </w:rPr>
              <w:t>20</w:t>
            </w:r>
            <w:r>
              <w:rPr>
                <w:rFonts w:hint="eastAsia" w:ascii="Times New Roman" w:hAnsi="Times New Roman" w:cs="Times New Roman"/>
                <w:kern w:val="0"/>
                <w:sz w:val="24"/>
              </w:rPr>
              <w:t>分</w:t>
            </w:r>
          </w:p>
          <w:p>
            <w:pPr>
              <w:wordWrap w:val="0"/>
              <w:spacing w:line="440" w:lineRule="exact"/>
              <w:jc w:val="left"/>
              <w:rPr>
                <w:rFonts w:hint="eastAsia"/>
                <w:highlight w:val="yellow"/>
              </w:rPr>
            </w:pPr>
            <w:r>
              <w:rPr>
                <w:rFonts w:hint="eastAsia" w:ascii="Times New Roman" w:hAnsi="Times New Roman" w:cs="Times New Roman"/>
                <w:kern w:val="0"/>
                <w:sz w:val="24"/>
              </w:rPr>
              <w:t>价格分：</w:t>
            </w:r>
            <w:r>
              <w:rPr>
                <w:rFonts w:hint="default" w:ascii="Times New Roman" w:hAnsi="Times New Roman" w:cs="Times New Roman"/>
                <w:kern w:val="0"/>
                <w:sz w:val="24"/>
                <w:u w:val="none"/>
                <w:lang w:val="en-US" w:eastAsia="zh-CN"/>
              </w:rPr>
              <w:t>60</w:t>
            </w:r>
            <w:r>
              <w:rPr>
                <w:rFonts w:hint="eastAsia" w:ascii="Times New Roman" w:hAnsi="Times New Roman" w:cs="Times New Roman"/>
                <w:kern w:val="0"/>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2.2.2</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评标基准价为各有效报价经计算后的算术平均值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lang w:val="en-US" w:eastAsia="zh-CN"/>
              </w:rPr>
              <w:t xml:space="preserve">偏差率=100%*（投标人报价-评标基准价)/评标基准价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序号</w:t>
            </w:r>
          </w:p>
        </w:tc>
        <w:tc>
          <w:tcPr>
            <w:tcW w:w="109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评分项目</w:t>
            </w:r>
          </w:p>
        </w:tc>
        <w:tc>
          <w:tcPr>
            <w:tcW w:w="57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评审参考说明</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20"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一、</w:t>
            </w:r>
            <w:r>
              <w:rPr>
                <w:rFonts w:hint="eastAsia" w:ascii="宋体" w:hAnsi="宋体" w:eastAsia="宋体" w:cs="宋体"/>
                <w:b/>
                <w:bCs/>
                <w:color w:val="000000" w:themeColor="text1"/>
                <w:spacing w:val="10"/>
                <w:sz w:val="24"/>
                <w:lang w:val="en-US" w:eastAsia="zh-CN"/>
                <w14:textFill>
                  <w14:solidFill>
                    <w14:schemeClr w14:val="tx1"/>
                  </w14:solidFill>
                </w14:textFill>
              </w:rPr>
              <w:t>监理大纲</w:t>
            </w:r>
            <w:r>
              <w:rPr>
                <w:rFonts w:hint="eastAsia" w:ascii="宋体" w:hAnsi="宋体" w:eastAsia="宋体" w:cs="宋体"/>
                <w:b/>
                <w:bCs/>
                <w:color w:val="000000" w:themeColor="text1"/>
                <w:spacing w:val="10"/>
                <w:sz w:val="24"/>
                <w14:textFill>
                  <w14:solidFill>
                    <w14:schemeClr w14:val="tx1"/>
                  </w14:solidFill>
                </w14:textFill>
              </w:rPr>
              <w:t>标准（</w:t>
            </w:r>
            <w:r>
              <w:rPr>
                <w:rFonts w:hint="eastAsia" w:ascii="宋体" w:hAnsi="宋体" w:eastAsia="宋体" w:cs="宋体"/>
                <w:b/>
                <w:bCs/>
                <w:color w:val="000000" w:themeColor="text1"/>
                <w:spacing w:val="10"/>
                <w:sz w:val="24"/>
                <w:lang w:val="en-US" w:eastAsia="zh-CN"/>
                <w14:textFill>
                  <w14:solidFill>
                    <w14:schemeClr w14:val="tx1"/>
                  </w14:solidFill>
                </w14:textFill>
              </w:rPr>
              <w:t>20</w:t>
            </w:r>
            <w:r>
              <w:rPr>
                <w:rFonts w:hint="eastAsia" w:ascii="宋体" w:hAnsi="宋体" w:eastAsia="宋体" w:cs="宋体"/>
                <w:b/>
                <w:bCs/>
                <w:color w:val="000000" w:themeColor="text1"/>
                <w:spacing w:val="10"/>
                <w:sz w:val="24"/>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tcBorders>
              <w:top w:val="single" w:color="auto" w:sz="4" w:space="0"/>
              <w:left w:val="single" w:color="auto" w:sz="4" w:space="0"/>
              <w:right w:val="single" w:color="auto" w:sz="4" w:space="0"/>
            </w:tcBorders>
            <w:vAlign w:val="center"/>
          </w:tcPr>
          <w:p>
            <w:pPr>
              <w:spacing w:line="500" w:lineRule="exact"/>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p>
          <w:p>
            <w:pPr>
              <w:spacing w:line="500" w:lineRule="exact"/>
              <w:jc w:val="center"/>
              <w:rPr>
                <w:rFonts w:ascii="宋体" w:hAnsi="宋体" w:eastAsia="宋体" w:cs="宋体"/>
                <w:b/>
                <w:bCs/>
                <w:color w:val="000000" w:themeColor="text1"/>
                <w14:textFill>
                  <w14:solidFill>
                    <w14:schemeClr w14:val="tx1"/>
                  </w14:solidFill>
                </w14:textFill>
              </w:rPr>
            </w:pPr>
          </w:p>
        </w:tc>
        <w:tc>
          <w:tcPr>
            <w:tcW w:w="1097" w:type="dxa"/>
            <w:gridSpan w:val="4"/>
            <w:tcBorders>
              <w:top w:val="single" w:color="auto" w:sz="4" w:space="0"/>
              <w:left w:val="single" w:color="auto" w:sz="4" w:space="0"/>
              <w:right w:val="single" w:color="auto" w:sz="4" w:space="0"/>
            </w:tcBorders>
            <w:vAlign w:val="center"/>
          </w:tcPr>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监理大纲标准 （满分 </w:t>
            </w:r>
            <w:r>
              <w:rPr>
                <w:rFonts w:hint="eastAsia" w:ascii="Times New Roman" w:hAnsi="Times New Roman" w:eastAsia="宋体" w:cs="Times New Roman"/>
                <w:color w:val="000000"/>
                <w:kern w:val="0"/>
                <w:sz w:val="21"/>
                <w:szCs w:val="21"/>
                <w:lang w:val="en-US" w:eastAsia="zh-CN" w:bidi="ar"/>
              </w:rPr>
              <w:t>20</w:t>
            </w:r>
            <w:r>
              <w:rPr>
                <w:rFonts w:hint="eastAsia" w:ascii="宋体" w:hAnsi="宋体" w:eastAsia="宋体" w:cs="宋体"/>
                <w:color w:val="000000"/>
                <w:kern w:val="0"/>
                <w:sz w:val="21"/>
                <w:szCs w:val="21"/>
                <w:lang w:val="en-US" w:eastAsia="zh-CN" w:bidi="ar"/>
              </w:rPr>
              <w:t>分）</w:t>
            </w:r>
          </w:p>
          <w:p>
            <w:pPr>
              <w:jc w:val="center"/>
              <w:rPr>
                <w:rFonts w:ascii="宋体" w:hAnsi="宋体" w:eastAsia="宋体" w:cs="宋体"/>
                <w:color w:val="000000" w:themeColor="text1"/>
                <w14:textFill>
                  <w14:solidFill>
                    <w14:schemeClr w14:val="tx1"/>
                  </w14:solidFill>
                </w14:textFill>
              </w:rPr>
            </w:pPr>
          </w:p>
        </w:tc>
        <w:tc>
          <w:tcPr>
            <w:tcW w:w="5740" w:type="dxa"/>
            <w:gridSpan w:val="2"/>
            <w:tcBorders>
              <w:top w:val="single" w:color="auto" w:sz="4" w:space="0"/>
              <w:left w:val="single" w:color="auto" w:sz="4" w:space="0"/>
              <w:bottom w:val="single" w:color="auto" w:sz="4" w:space="0"/>
              <w:right w:val="single" w:color="auto" w:sz="4" w:space="0"/>
            </w:tcBorders>
            <w:vAlign w:val="center"/>
          </w:tcPr>
          <w:p>
            <w:pPr>
              <w:pStyle w:val="19"/>
              <w:ind w:firstLine="0" w:firstLineChars="0"/>
            </w:pPr>
            <w:r>
              <w:t>根据投标文件中提供的监理大纲针对本项目特点合理设置情况，由评委会进行综合评分，评分细则如下：</w:t>
            </w:r>
          </w:p>
          <w:p>
            <w:pPr>
              <w:keepNext w:val="0"/>
              <w:keepLines w:val="0"/>
              <w:widowControl/>
              <w:suppressLineNumbers w:val="0"/>
              <w:jc w:val="left"/>
              <w:rPr>
                <w:b/>
                <w:bCs/>
              </w:rPr>
            </w:pPr>
            <w:r>
              <w:rPr>
                <w:rFonts w:hint="eastAsia"/>
                <w:b/>
                <w:bCs/>
              </w:rPr>
              <w:t>1、</w:t>
            </w:r>
            <w:r>
              <w:rPr>
                <w:rFonts w:hint="eastAsia" w:ascii="宋体" w:hAnsi="宋体" w:eastAsia="宋体" w:cs="宋体"/>
                <w:b/>
                <w:bCs/>
                <w:color w:val="000000"/>
                <w:kern w:val="0"/>
                <w:sz w:val="21"/>
                <w:szCs w:val="21"/>
                <w:lang w:val="en-US" w:eastAsia="zh-CN" w:bidi="ar"/>
              </w:rPr>
              <w:t>监理工程概况、范围、监理内容（0-2分）</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监理工程概况、范围、监理内容表述清晰明确，完整，具有较强的针对性，符合招标文件要求。</w:t>
            </w:r>
          </w:p>
          <w:p>
            <w:pPr>
              <w:keepNext w:val="0"/>
              <w:keepLines w:val="0"/>
              <w:widowControl/>
              <w:suppressLineNumbers w:val="0"/>
              <w:jc w:val="left"/>
              <w:rPr>
                <w:b/>
                <w:bCs/>
              </w:rPr>
            </w:pPr>
            <w:r>
              <w:rPr>
                <w:rFonts w:hint="eastAsia"/>
                <w:b/>
                <w:bCs/>
              </w:rPr>
              <w:t>2、</w:t>
            </w:r>
            <w:r>
              <w:rPr>
                <w:rFonts w:hint="eastAsia" w:ascii="宋体" w:hAnsi="宋体" w:eastAsia="宋体" w:cs="宋体"/>
                <w:b/>
                <w:bCs/>
                <w:color w:val="000000"/>
                <w:kern w:val="0"/>
                <w:sz w:val="21"/>
                <w:szCs w:val="21"/>
                <w:lang w:val="en-US" w:eastAsia="zh-CN" w:bidi="ar"/>
              </w:rPr>
              <w:t>监理依据、监理工作目标 （0-2分）</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监理依据符合国家行业规范要求，监理工作目标明确，符合招标文件要求。 </w:t>
            </w:r>
          </w:p>
          <w:p>
            <w:pPr>
              <w:keepNext w:val="0"/>
              <w:keepLines w:val="0"/>
              <w:widowControl/>
              <w:suppressLineNumbers w:val="0"/>
              <w:jc w:val="left"/>
              <w:rPr>
                <w:b/>
                <w:bCs/>
              </w:rPr>
            </w:pPr>
            <w:r>
              <w:rPr>
                <w:rFonts w:hint="eastAsia"/>
                <w:b/>
                <w:bCs/>
              </w:rPr>
              <w:t>3、</w:t>
            </w:r>
            <w:r>
              <w:rPr>
                <w:rFonts w:hint="eastAsia" w:ascii="宋体" w:hAnsi="宋体" w:eastAsia="宋体" w:cs="宋体"/>
                <w:b/>
                <w:bCs/>
                <w:color w:val="000000"/>
                <w:kern w:val="0"/>
                <w:sz w:val="21"/>
                <w:szCs w:val="21"/>
                <w:lang w:val="en-US" w:eastAsia="zh-CN" w:bidi="ar"/>
              </w:rPr>
              <w:t>监理机构设置和岗位职责 （0-2分）</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有明确的组织形式、项目监理班子人员结构、岗位职责任务明确。</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b/>
                <w:bCs/>
              </w:rPr>
              <w:t>4、</w:t>
            </w:r>
            <w:r>
              <w:rPr>
                <w:rFonts w:hint="eastAsia" w:ascii="宋体" w:hAnsi="宋体" w:eastAsia="宋体" w:cs="宋体"/>
                <w:b/>
                <w:bCs/>
                <w:color w:val="000000"/>
                <w:kern w:val="0"/>
                <w:sz w:val="21"/>
                <w:szCs w:val="21"/>
                <w:lang w:val="en-US" w:eastAsia="zh-CN" w:bidi="ar"/>
              </w:rPr>
              <w:t>监理程序、方法和制度 （0-2分）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监理程序、方法得当可行，监理工作制度完善。</w:t>
            </w:r>
          </w:p>
          <w:p>
            <w:pPr>
              <w:keepNext w:val="0"/>
              <w:keepLines w:val="0"/>
              <w:widowControl/>
              <w:suppressLineNumbers w:val="0"/>
              <w:jc w:val="left"/>
              <w:rPr>
                <w:b/>
                <w:bCs/>
              </w:rPr>
            </w:pPr>
            <w:r>
              <w:rPr>
                <w:rFonts w:hint="eastAsia"/>
                <w:b/>
                <w:bCs/>
              </w:rPr>
              <w:t>5、</w:t>
            </w:r>
            <w:r>
              <w:rPr>
                <w:rFonts w:hint="eastAsia" w:ascii="宋体" w:hAnsi="宋体" w:eastAsia="宋体" w:cs="宋体"/>
                <w:b/>
                <w:bCs/>
                <w:color w:val="000000"/>
                <w:kern w:val="0"/>
                <w:sz w:val="21"/>
                <w:szCs w:val="21"/>
                <w:lang w:val="en-US" w:eastAsia="zh-CN" w:bidi="ar"/>
              </w:rPr>
              <w:t>拟投入的监理人员、试验检测仪器设备 （0-2分）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监理人员、测量、试验检测仪器设备配备齐全、合理。</w:t>
            </w:r>
          </w:p>
          <w:p>
            <w:pPr>
              <w:keepNext w:val="0"/>
              <w:keepLines w:val="0"/>
              <w:widowControl/>
              <w:suppressLineNumbers w:val="0"/>
              <w:jc w:val="left"/>
              <w:rPr>
                <w:b/>
                <w:bCs/>
              </w:rPr>
            </w:pPr>
            <w:r>
              <w:rPr>
                <w:rFonts w:hint="eastAsia"/>
                <w:b/>
                <w:bCs/>
              </w:rPr>
              <w:t>6、</w:t>
            </w:r>
            <w:r>
              <w:rPr>
                <w:rFonts w:hint="eastAsia" w:ascii="宋体" w:hAnsi="宋体" w:eastAsia="宋体" w:cs="宋体"/>
                <w:b/>
                <w:bCs/>
                <w:color w:val="000000"/>
                <w:kern w:val="0"/>
                <w:sz w:val="21"/>
                <w:szCs w:val="21"/>
                <w:lang w:val="en-US" w:eastAsia="zh-CN" w:bidi="ar"/>
              </w:rPr>
              <w:t>质量、进度、造价控制措施（0-2分）</w:t>
            </w:r>
          </w:p>
          <w:p>
            <w:pPr>
              <w:keepNext w:val="0"/>
              <w:keepLines w:val="0"/>
              <w:widowControl/>
              <w:suppressLineNumbers w:val="0"/>
              <w:ind w:firstLine="0" w:firstLineChars="0"/>
              <w:jc w:val="left"/>
            </w:pPr>
            <w:r>
              <w:rPr>
                <w:rFonts w:hint="eastAsia" w:ascii="宋体" w:hAnsi="宋体" w:eastAsia="宋体" w:cs="宋体"/>
                <w:color w:val="000000"/>
                <w:kern w:val="0"/>
                <w:sz w:val="21"/>
                <w:szCs w:val="21"/>
                <w:lang w:val="en-US" w:eastAsia="zh-CN" w:bidi="ar"/>
              </w:rPr>
              <w:t xml:space="preserve">质量、进度、造价控制措施具体有效，目标明确，关键部位考虑周到细致，预控措施、方法切实可行。 </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7、安全、环保监理措施（0-2分）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安全、环保监理措施具体有效，方法切实可行。</w:t>
            </w:r>
          </w:p>
          <w:p>
            <w:pPr>
              <w:keepNext w:val="0"/>
              <w:keepLines w:val="0"/>
              <w:widowControl/>
              <w:suppressLineNumbers w:val="0"/>
              <w:jc w:val="left"/>
              <w:rPr>
                <w:b/>
                <w:bCs/>
              </w:rPr>
            </w:pPr>
            <w:r>
              <w:rPr>
                <w:rFonts w:hint="eastAsia"/>
                <w:b/>
                <w:bCs/>
                <w:lang w:val="en-US" w:eastAsia="zh-CN"/>
              </w:rPr>
              <w:t>8、</w:t>
            </w:r>
            <w:r>
              <w:rPr>
                <w:rFonts w:hint="eastAsia" w:ascii="宋体" w:hAnsi="宋体" w:eastAsia="宋体" w:cs="宋体"/>
                <w:b/>
                <w:bCs/>
                <w:color w:val="000000"/>
                <w:kern w:val="0"/>
                <w:sz w:val="21"/>
                <w:szCs w:val="21"/>
                <w:lang w:val="en-US" w:eastAsia="zh-CN" w:bidi="ar"/>
              </w:rPr>
              <w:t>合同、信息管理方案 （0-2分）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合同、信息管理的措施详细合理齐全、针对性强。</w:t>
            </w:r>
          </w:p>
          <w:p>
            <w:pPr>
              <w:keepNext w:val="0"/>
              <w:keepLines w:val="0"/>
              <w:widowControl/>
              <w:numPr>
                <w:ilvl w:val="-1"/>
                <w:numId w:val="0"/>
              </w:numPr>
              <w:suppressLineNumbers w:val="0"/>
              <w:jc w:val="left"/>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9.组织协调内容及措施 （0-2分）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组织沟通、协调措施详细可行。</w:t>
            </w:r>
          </w:p>
          <w:p>
            <w:pPr>
              <w:keepNext w:val="0"/>
              <w:keepLines w:val="0"/>
              <w:widowControl/>
              <w:numPr>
                <w:ilvl w:val="-1"/>
                <w:numId w:val="0"/>
              </w:numPr>
              <w:suppressLineNumbers w:val="0"/>
              <w:ind w:left="0" w:leftChars="0" w:firstLine="0" w:firstLineChars="0"/>
              <w:jc w:val="left"/>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10监理工作重点、难点分析、合理化建议 （0-2分）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pPr>
              <w:keepNext w:val="0"/>
              <w:keepLines w:val="0"/>
              <w:widowControl/>
              <w:suppressLineNumbers w:val="0"/>
              <w:ind w:firstLine="420" w:firstLineChars="200"/>
              <w:jc w:val="left"/>
              <w:rPr>
                <w:rFonts w:hint="default" w:eastAsiaTheme="minorEastAsia"/>
                <w:lang w:val="en-US" w:eastAsia="zh-CN"/>
              </w:rPr>
            </w:pPr>
            <w:r>
              <w:rPr>
                <w:rFonts w:hint="eastAsia"/>
                <w:lang w:val="en-US" w:eastAsia="zh-CN"/>
              </w:rPr>
              <w:t>以上根据要求打分。</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20</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654" w:type="dxa"/>
            <w:gridSpan w:val="7"/>
            <w:tcBorders>
              <w:top w:val="single" w:color="auto" w:sz="4" w:space="0"/>
              <w:left w:val="single" w:color="auto" w:sz="4" w:space="0"/>
              <w:right w:val="single" w:color="auto" w:sz="4" w:space="0"/>
            </w:tcBorders>
            <w:vAlign w:val="center"/>
          </w:tcPr>
          <w:p>
            <w:pPr>
              <w:spacing w:line="500" w:lineRule="exact"/>
              <w:ind w:firstLine="48" w:firstLineChars="16"/>
              <w:jc w:val="center"/>
              <w:rPr>
                <w:rFonts w:hint="default" w:ascii="宋体" w:hAnsi="宋体" w:eastAsia="宋体" w:cs="宋体"/>
                <w:b/>
                <w:bCs/>
                <w:color w:val="000000" w:themeColor="text1"/>
                <w:lang w:val="en-US" w:eastAsia="zh-CN"/>
                <w14:textFill>
                  <w14:solidFill>
                    <w14:schemeClr w14:val="tx1"/>
                  </w14:solidFill>
                </w14:textFill>
              </w:rPr>
            </w:pPr>
            <w:r>
              <w:rPr>
                <w:rFonts w:hint="default" w:ascii="宋体" w:hAnsi="宋体" w:eastAsia="宋体" w:cs="宋体"/>
                <w:b/>
                <w:bCs/>
                <w:color w:val="000000" w:themeColor="text1"/>
                <w:spacing w:val="10"/>
                <w:sz w:val="28"/>
                <w:szCs w:val="28"/>
                <w:lang w:val="en-US" w:eastAsia="zh-CN"/>
                <w14:textFill>
                  <w14:solidFill>
                    <w14:schemeClr w14:val="tx1"/>
                  </w14:solidFill>
                </w14:textFill>
              </w:rPr>
              <w:t>二、企业</w:t>
            </w:r>
            <w:r>
              <w:rPr>
                <w:rFonts w:hint="eastAsia" w:ascii="宋体" w:hAnsi="宋体" w:eastAsia="宋体" w:cs="宋体"/>
                <w:b/>
                <w:bCs/>
                <w:color w:val="000000" w:themeColor="text1"/>
                <w:spacing w:val="10"/>
                <w:sz w:val="28"/>
                <w:szCs w:val="28"/>
                <w:lang w:val="en-US" w:eastAsia="zh-CN"/>
                <w14:textFill>
                  <w14:solidFill>
                    <w14:schemeClr w14:val="tx1"/>
                  </w14:solidFill>
                </w14:textFill>
              </w:rPr>
              <w:t>荣誉</w:t>
            </w:r>
            <w:r>
              <w:rPr>
                <w:rFonts w:hint="default" w:ascii="宋体" w:hAnsi="宋体" w:eastAsia="宋体" w:cs="宋体"/>
                <w:b/>
                <w:bCs/>
                <w:color w:val="000000" w:themeColor="text1"/>
                <w:spacing w:val="10"/>
                <w:sz w:val="28"/>
                <w:szCs w:val="28"/>
                <w:lang w:val="en-US" w:eastAsia="zh-CN"/>
                <w14:textFill>
                  <w14:solidFill>
                    <w14:schemeClr w14:val="tx1"/>
                  </w14:solidFill>
                </w14:textFill>
              </w:rPr>
              <w:t>（20）</w:t>
            </w:r>
          </w:p>
        </w:tc>
        <w:tc>
          <w:tcPr>
            <w:tcW w:w="866" w:type="dxa"/>
            <w:tcBorders>
              <w:top w:val="single" w:color="auto" w:sz="4" w:space="0"/>
              <w:left w:val="single" w:color="auto" w:sz="4" w:space="0"/>
              <w:right w:val="single" w:color="auto" w:sz="4" w:space="0"/>
            </w:tcBorders>
            <w:vAlign w:val="center"/>
          </w:tcPr>
          <w:p>
            <w:pPr>
              <w:spacing w:line="500" w:lineRule="exact"/>
              <w:ind w:firstLine="0" w:firstLineChars="0"/>
              <w:jc w:val="both"/>
              <w:rPr>
                <w:rFonts w:hint="eastAsia" w:ascii="宋体" w:hAnsi="宋体" w:eastAsia="宋体" w:cs="宋体"/>
                <w:b/>
                <w:bCs/>
                <w:color w:val="000000" w:themeColor="text1"/>
                <w:lang w:val="en-US" w:eastAsia="zh-CN"/>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7" w:hRule="atLeast"/>
        </w:trPr>
        <w:tc>
          <w:tcPr>
            <w:tcW w:w="817" w:type="dxa"/>
            <w:vMerge w:val="restart"/>
            <w:tcBorders>
              <w:left w:val="single" w:color="auto" w:sz="4" w:space="0"/>
              <w:right w:val="single" w:color="auto" w:sz="4" w:space="0"/>
            </w:tcBorders>
            <w:vAlign w:val="center"/>
          </w:tcPr>
          <w:p>
            <w:pPr>
              <w:spacing w:line="500" w:lineRule="exact"/>
              <w:jc w:val="center"/>
              <w:rPr>
                <w:rFonts w:hint="eastAsia"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2</w:t>
            </w:r>
          </w:p>
        </w:tc>
        <w:tc>
          <w:tcPr>
            <w:tcW w:w="920" w:type="dxa"/>
            <w:gridSpan w:val="3"/>
            <w:vMerge w:val="restart"/>
            <w:tcBorders>
              <w:left w:val="single" w:color="auto" w:sz="4" w:space="0"/>
              <w:right w:val="single" w:color="auto" w:sz="4" w:space="0"/>
            </w:tcBorders>
            <w:vAlign w:val="center"/>
          </w:tcPr>
          <w:p>
            <w:pPr>
              <w:jc w:val="center"/>
              <w:rPr>
                <w:rFonts w:hint="eastAsia" w:ascii="宋体" w:hAnsi="宋体" w:eastAsiaTheme="minorEastAsia"/>
                <w:color w:val="000000" w:themeColor="text1"/>
                <w:szCs w:val="21"/>
                <w:lang w:val="en-US" w:eastAsia="zh-CN"/>
                <w14:textFill>
                  <w14:solidFill>
                    <w14:schemeClr w14:val="tx1"/>
                  </w14:solidFill>
                </w14:textFill>
              </w:rPr>
            </w:pPr>
            <w:r>
              <w:rPr>
                <w:rFonts w:hint="eastAsia"/>
                <w:szCs w:val="21"/>
              </w:rPr>
              <w:t>企业</w:t>
            </w:r>
            <w:r>
              <w:rPr>
                <w:rFonts w:hint="eastAsia"/>
                <w:szCs w:val="21"/>
                <w:lang w:val="en-US" w:eastAsia="zh-CN"/>
              </w:rPr>
              <w:t>荣誉</w:t>
            </w:r>
            <w:r>
              <w:rPr>
                <w:rFonts w:hint="eastAsia"/>
              </w:rPr>
              <w:t>（满分</w:t>
            </w:r>
            <w:r>
              <w:rPr>
                <w:rFonts w:hint="eastAsia"/>
                <w:lang w:val="en-US" w:eastAsia="zh-CN"/>
              </w:rPr>
              <w:t>20</w:t>
            </w:r>
            <w:r>
              <w:rPr>
                <w:rFonts w:hint="eastAsia"/>
              </w:rPr>
              <w:t>分</w:t>
            </w:r>
            <w:r>
              <w:rPr>
                <w:rFonts w:hint="eastAsia"/>
                <w:lang w:eastAsia="zh-CN"/>
              </w:rPr>
              <w:t>）</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pPr>
            <w:r>
              <w:rPr>
                <w:rFonts w:hint="eastAsia" w:ascii="宋体" w:hAnsi="宋体" w:eastAsia="宋体" w:cs="宋体"/>
                <w:b/>
                <w:bCs/>
                <w:color w:val="000000"/>
                <w:kern w:val="0"/>
                <w:sz w:val="20"/>
                <w:szCs w:val="20"/>
                <w:lang w:val="en-US" w:eastAsia="zh-CN" w:bidi="ar"/>
              </w:rPr>
              <w:t>投标人业绩和荣誉（满分16分）：</w:t>
            </w:r>
            <w:r>
              <w:rPr>
                <w:rFonts w:hint="eastAsia" w:ascii="宋体" w:hAnsi="宋体" w:eastAsia="宋体" w:cs="宋体"/>
                <w:color w:val="000000"/>
                <w:kern w:val="0"/>
                <w:sz w:val="20"/>
                <w:szCs w:val="20"/>
                <w:lang w:val="en-US" w:eastAsia="zh-CN" w:bidi="ar"/>
              </w:rPr>
              <w:t xml:space="preserve"> </w:t>
            </w:r>
          </w:p>
          <w:p>
            <w:pPr>
              <w:ind w:firstLine="420" w:firstLineChars="200"/>
              <w:jc w:val="left"/>
              <w:rPr>
                <w:rFonts w:hint="eastAsia"/>
                <w:szCs w:val="21"/>
              </w:rPr>
            </w:pPr>
          </w:p>
          <w:p>
            <w:pPr>
              <w:ind w:firstLine="420" w:firstLineChars="200"/>
              <w:jc w:val="left"/>
              <w:rPr>
                <w:rFonts w:hint="eastAsia"/>
                <w:szCs w:val="21"/>
              </w:rPr>
            </w:pPr>
            <w:r>
              <w:rPr>
                <w:rFonts w:hint="eastAsia"/>
                <w:szCs w:val="21"/>
              </w:rPr>
              <w:t>1、2020年1月1日以来，投标人具有</w:t>
            </w:r>
            <w:r>
              <w:rPr>
                <w:rFonts w:hint="eastAsia"/>
                <w:szCs w:val="21"/>
                <w:lang w:val="en-US" w:eastAsia="zh-CN"/>
              </w:rPr>
              <w:t>单个业绩5MWp</w:t>
            </w:r>
            <w:r>
              <w:rPr>
                <w:rFonts w:hint="eastAsia"/>
                <w:szCs w:val="21"/>
              </w:rPr>
              <w:t>及以上光伏发电工程监理业绩的每项得</w:t>
            </w:r>
            <w:r>
              <w:rPr>
                <w:rFonts w:hint="eastAsia"/>
                <w:szCs w:val="21"/>
                <w:lang w:val="en-US" w:eastAsia="zh-CN"/>
              </w:rPr>
              <w:t>3</w:t>
            </w:r>
            <w:r>
              <w:rPr>
                <w:rFonts w:hint="eastAsia"/>
                <w:szCs w:val="21"/>
              </w:rPr>
              <w:t>分，</w:t>
            </w:r>
            <w:r>
              <w:rPr>
                <w:rFonts w:hint="eastAsia"/>
                <w:szCs w:val="21"/>
                <w:lang w:val="en-US" w:eastAsia="zh-CN"/>
              </w:rPr>
              <w:t>满分6</w:t>
            </w:r>
            <w:r>
              <w:rPr>
                <w:rFonts w:hint="eastAsia"/>
                <w:szCs w:val="21"/>
              </w:rPr>
              <w:t>分。（业绩证明需提供中标通知书、监理合同，时间以合同签订日期为准。）</w:t>
            </w:r>
          </w:p>
          <w:p>
            <w:pPr>
              <w:jc w:val="left"/>
              <w:rPr>
                <w:rFonts w:hint="eastAsia"/>
                <w:szCs w:val="21"/>
                <w:lang w:val="en-US" w:eastAsia="zh-CN"/>
              </w:rPr>
            </w:pPr>
          </w:p>
          <w:p>
            <w:pPr>
              <w:ind w:firstLine="420" w:firstLineChars="200"/>
              <w:jc w:val="left"/>
              <w:rPr>
                <w:rFonts w:hint="eastAsia"/>
                <w:szCs w:val="21"/>
              </w:rPr>
            </w:pPr>
            <w:r>
              <w:rPr>
                <w:rFonts w:hint="eastAsia"/>
                <w:szCs w:val="21"/>
                <w:lang w:val="en-US" w:eastAsia="zh-CN"/>
              </w:rPr>
              <w:t>2</w:t>
            </w:r>
            <w:r>
              <w:rPr>
                <w:rFonts w:hint="eastAsia"/>
                <w:szCs w:val="21"/>
              </w:rPr>
              <w:t>、20</w:t>
            </w:r>
            <w:r>
              <w:rPr>
                <w:rFonts w:hint="eastAsia"/>
                <w:szCs w:val="21"/>
                <w:lang w:val="en-US" w:eastAsia="zh-CN"/>
              </w:rPr>
              <w:t>19</w:t>
            </w:r>
            <w:r>
              <w:rPr>
                <w:rFonts w:hint="eastAsia"/>
                <w:szCs w:val="21"/>
              </w:rPr>
              <w:t>年1月1日以来投标人所监理的工程获得 “中国电力优质工程”的得</w:t>
            </w:r>
            <w:r>
              <w:rPr>
                <w:rFonts w:hint="eastAsia"/>
                <w:szCs w:val="21"/>
                <w:lang w:val="en-US" w:eastAsia="zh-CN"/>
              </w:rPr>
              <w:t>6</w:t>
            </w:r>
            <w:r>
              <w:rPr>
                <w:rFonts w:hint="eastAsia"/>
                <w:szCs w:val="21"/>
              </w:rPr>
              <w:t>分</w:t>
            </w:r>
            <w:r>
              <w:rPr>
                <w:rFonts w:hint="eastAsia"/>
                <w:szCs w:val="21"/>
                <w:lang w:eastAsia="zh-CN"/>
              </w:rPr>
              <w:t>，</w:t>
            </w:r>
            <w:r>
              <w:rPr>
                <w:rFonts w:hint="eastAsia"/>
                <w:szCs w:val="21"/>
                <w:lang w:val="en-US" w:eastAsia="zh-CN"/>
              </w:rPr>
              <w:t>满分6</w:t>
            </w:r>
            <w:r>
              <w:rPr>
                <w:rFonts w:hint="eastAsia"/>
                <w:szCs w:val="21"/>
              </w:rPr>
              <w:t>分（提供获奖证书或文件，以证书或文件时间为准）</w:t>
            </w:r>
          </w:p>
          <w:p>
            <w:pPr>
              <w:jc w:val="left"/>
              <w:rPr>
                <w:rFonts w:hint="eastAsia"/>
                <w:szCs w:val="21"/>
                <w:lang w:val="en-US" w:eastAsia="zh-CN"/>
              </w:rPr>
            </w:pPr>
          </w:p>
          <w:p>
            <w:pPr>
              <w:jc w:val="left"/>
              <w:rPr>
                <w:rFonts w:ascii="宋体" w:hAnsi="宋体" w:eastAsia="宋体"/>
                <w:b/>
                <w:bCs/>
                <w:color w:val="000000" w:themeColor="text1"/>
                <w14:textFill>
                  <w14:solidFill>
                    <w14:schemeClr w14:val="tx1"/>
                  </w14:solidFill>
                </w14:textFill>
              </w:rPr>
            </w:pPr>
            <w:r>
              <w:rPr>
                <w:rFonts w:hint="eastAsia"/>
                <w:szCs w:val="21"/>
                <w:lang w:val="en-US" w:eastAsia="zh-CN"/>
              </w:rPr>
              <w:t xml:space="preserve">    3</w:t>
            </w:r>
            <w:r>
              <w:rPr>
                <w:rFonts w:hint="eastAsia"/>
                <w:szCs w:val="21"/>
              </w:rPr>
              <w:t>、20</w:t>
            </w:r>
            <w:r>
              <w:rPr>
                <w:rFonts w:hint="eastAsia"/>
                <w:szCs w:val="21"/>
                <w:lang w:val="en-US" w:eastAsia="zh-CN"/>
              </w:rPr>
              <w:t>19</w:t>
            </w:r>
            <w:r>
              <w:rPr>
                <w:rFonts w:hint="eastAsia"/>
                <w:szCs w:val="21"/>
              </w:rPr>
              <w:t>年1月1日以来投标人获得省级</w:t>
            </w:r>
            <w:r>
              <w:rPr>
                <w:rFonts w:hint="eastAsia"/>
                <w:szCs w:val="21"/>
                <w:lang w:val="en-US" w:eastAsia="zh-CN"/>
              </w:rPr>
              <w:t>及以上</w:t>
            </w:r>
            <w:r>
              <w:rPr>
                <w:rFonts w:hint="eastAsia"/>
                <w:szCs w:val="21"/>
              </w:rPr>
              <w:t>优秀工程监理企业的得</w:t>
            </w:r>
            <w:r>
              <w:rPr>
                <w:rFonts w:hint="eastAsia"/>
                <w:szCs w:val="21"/>
                <w:lang w:val="en-US" w:eastAsia="zh-CN"/>
              </w:rPr>
              <w:t>4</w:t>
            </w:r>
            <w:r>
              <w:rPr>
                <w:rFonts w:hint="eastAsia"/>
                <w:szCs w:val="21"/>
              </w:rPr>
              <w:t>分，</w:t>
            </w:r>
            <w:r>
              <w:rPr>
                <w:rFonts w:hint="eastAsia"/>
                <w:szCs w:val="21"/>
                <w:lang w:val="en-US" w:eastAsia="zh-CN"/>
              </w:rPr>
              <w:t>满分4</w:t>
            </w:r>
            <w:r>
              <w:rPr>
                <w:rFonts w:hint="eastAsia"/>
                <w:szCs w:val="21"/>
              </w:rPr>
              <w:t>分。（提供监理行业协会颁发的荣誉证书或文件，以荣誉证书或文件颁发日期为准）</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16</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817" w:type="dxa"/>
            <w:vMerge w:val="continue"/>
            <w:tcBorders>
              <w:left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920" w:type="dxa"/>
            <w:gridSpan w:val="3"/>
            <w:vMerge w:val="continue"/>
            <w:tcBorders>
              <w:left w:val="single" w:color="auto" w:sz="4" w:space="0"/>
              <w:right w:val="single" w:color="auto" w:sz="4" w:space="0"/>
            </w:tcBorders>
            <w:vAlign w:val="center"/>
          </w:tcPr>
          <w:p>
            <w:pPr>
              <w:jc w:val="center"/>
              <w:rPr>
                <w:rFonts w:hint="default" w:ascii="宋体" w:hAnsi="宋体" w:eastAsia="宋体" w:cs="宋体"/>
                <w:color w:val="000000" w:themeColor="text1"/>
                <w:szCs w:val="21"/>
                <w:lang w:val="en-US" w:eastAsia="zh-CN"/>
                <w14:textFill>
                  <w14:solidFill>
                    <w14:schemeClr w14:val="tx1"/>
                  </w14:solidFill>
                </w14:textFill>
              </w:rPr>
            </w:pPr>
          </w:p>
        </w:tc>
        <w:tc>
          <w:tcPr>
            <w:tcW w:w="5917" w:type="dxa"/>
            <w:gridSpan w:val="3"/>
            <w:tcBorders>
              <w:top w:val="single" w:color="auto" w:sz="4" w:space="0"/>
              <w:left w:val="single" w:color="auto" w:sz="4" w:space="0"/>
              <w:right w:val="single" w:color="auto" w:sz="4" w:space="0"/>
            </w:tcBorders>
            <w:vAlign w:val="center"/>
          </w:tcPr>
          <w:p>
            <w:pPr>
              <w:keepNext w:val="0"/>
              <w:keepLines w:val="0"/>
              <w:widowControl/>
              <w:suppressLineNumbers w:val="0"/>
              <w:ind w:firstLine="420" w:firstLineChars="200"/>
              <w:jc w:val="left"/>
            </w:pPr>
            <w:r>
              <w:rPr>
                <w:rFonts w:hint="eastAsia"/>
                <w:lang w:val="en-US" w:eastAsia="zh-CN"/>
              </w:rPr>
              <w:t>拟任总监业绩（满分4分）：</w:t>
            </w:r>
          </w:p>
          <w:p>
            <w:pPr>
              <w:keepNext w:val="0"/>
              <w:keepLines w:val="0"/>
              <w:widowControl/>
              <w:suppressLineNumbers w:val="0"/>
              <w:ind w:firstLine="420" w:firstLineChars="200"/>
              <w:jc w:val="left"/>
              <w:rPr>
                <w:rFonts w:hint="eastAsia"/>
                <w:lang w:val="en-US" w:eastAsia="zh-CN"/>
              </w:rPr>
            </w:pPr>
            <w:r>
              <w:rPr>
                <w:rFonts w:hint="eastAsia"/>
                <w:lang w:val="en-US" w:eastAsia="zh-CN"/>
              </w:rPr>
              <w:t>拟派总监理工程师电力工程监理业绩，以总监理工程师身份所监理的工程总投资规模不低于</w:t>
            </w:r>
            <w:r>
              <w:rPr>
                <w:rFonts w:hint="eastAsia"/>
                <w:color w:val="FF0000"/>
                <w:lang w:val="en-US" w:eastAsia="zh-CN"/>
              </w:rPr>
              <w:t>5MWp</w:t>
            </w:r>
            <w:r>
              <w:rPr>
                <w:rFonts w:hint="eastAsia"/>
              </w:rPr>
              <w:t>及以上光伏发电工程监理</w:t>
            </w:r>
            <w:r>
              <w:rPr>
                <w:rFonts w:hint="eastAsia"/>
                <w:lang w:val="en-US" w:eastAsia="zh-CN"/>
              </w:rPr>
              <w:t xml:space="preserve">及以上业绩，每提供1个得4分。满分4分。 </w:t>
            </w:r>
          </w:p>
          <w:p>
            <w:pPr>
              <w:pStyle w:val="2"/>
            </w:pP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hint="default" w:ascii="宋体" w:hAnsi="宋体" w:eastAsia="宋体" w:cs="宋体"/>
                <w:b/>
                <w:bCs/>
                <w:color w:val="000000" w:themeColor="text1"/>
                <w:lang w:val="en-US" w:eastAsia="zh-CN"/>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8520" w:type="dxa"/>
            <w:gridSpan w:val="8"/>
            <w:tcBorders>
              <w:left w:val="single" w:color="auto" w:sz="4" w:space="0"/>
              <w:bottom w:val="single" w:color="auto" w:sz="4" w:space="0"/>
              <w:right w:val="single" w:color="auto" w:sz="4" w:space="0"/>
            </w:tcBorders>
            <w:vAlign w:val="center"/>
          </w:tcPr>
          <w:p>
            <w:pPr>
              <w:keepNext w:val="0"/>
              <w:keepLines w:val="0"/>
              <w:widowControl/>
              <w:suppressLineNumbers w:val="0"/>
              <w:jc w:val="left"/>
              <w:rPr>
                <w:rFonts w:hint="default"/>
                <w:lang w:val="en-US"/>
              </w:rPr>
            </w:pPr>
            <w:r>
              <w:rPr>
                <w:rFonts w:hint="eastAsia" w:ascii="宋体" w:hAnsi="宋体" w:eastAsia="宋体" w:cs="宋体"/>
                <w:b/>
                <w:bCs/>
                <w:color w:val="000000"/>
                <w:kern w:val="0"/>
                <w:sz w:val="20"/>
                <w:szCs w:val="20"/>
                <w:lang w:val="en-US" w:eastAsia="zh-CN" w:bidi="ar"/>
              </w:rPr>
              <w:t>注</w:t>
            </w:r>
            <w:r>
              <w:rPr>
                <w:rFonts w:hint="eastAsia" w:ascii="宋体" w:hAnsi="宋体" w:eastAsia="宋体" w:cs="宋体"/>
                <w:color w:val="000000"/>
                <w:kern w:val="0"/>
                <w:sz w:val="20"/>
                <w:szCs w:val="20"/>
                <w:lang w:val="en-US" w:eastAsia="zh-CN" w:bidi="ar"/>
              </w:rPr>
              <w:t>：①企业、拟派总监理工程师</w:t>
            </w:r>
            <w:r>
              <w:rPr>
                <w:rFonts w:hint="eastAsia" w:ascii="宋体" w:hAnsi="宋体" w:eastAsia="宋体" w:cs="宋体"/>
                <w:b/>
                <w:bCs/>
                <w:color w:val="000000"/>
                <w:kern w:val="0"/>
                <w:sz w:val="20"/>
                <w:szCs w:val="20"/>
                <w:lang w:val="en-US" w:eastAsia="zh-CN" w:bidi="ar"/>
              </w:rPr>
              <w:t>类似项目业绩</w:t>
            </w:r>
            <w:r>
              <w:rPr>
                <w:rFonts w:hint="eastAsia" w:ascii="宋体" w:hAnsi="宋体" w:eastAsia="宋体" w:cs="宋体"/>
                <w:color w:val="000000"/>
                <w:kern w:val="0"/>
                <w:sz w:val="20"/>
                <w:szCs w:val="20"/>
                <w:lang w:val="en-US" w:eastAsia="zh-CN" w:bidi="ar"/>
              </w:rPr>
              <w:t xml:space="preserve">：投标文件中须提供中标通知书、合同协议书，否则不加分。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②以</w:t>
            </w:r>
            <w:r>
              <w:rPr>
                <w:rFonts w:hint="eastAsia" w:ascii="宋体" w:hAnsi="宋体" w:eastAsia="宋体" w:cs="宋体"/>
                <w:b/>
                <w:bCs/>
                <w:color w:val="000000"/>
                <w:kern w:val="0"/>
                <w:sz w:val="20"/>
                <w:szCs w:val="20"/>
                <w:lang w:val="en-US" w:eastAsia="zh-CN" w:bidi="ar"/>
              </w:rPr>
              <w:t>上类似项目业绩是</w:t>
            </w:r>
            <w:r>
              <w:rPr>
                <w:rFonts w:hint="eastAsia" w:ascii="宋体" w:hAnsi="宋体" w:eastAsia="宋体" w:cs="宋体"/>
                <w:color w:val="000000"/>
                <w:kern w:val="0"/>
                <w:sz w:val="20"/>
                <w:szCs w:val="20"/>
                <w:lang w:val="en-US" w:eastAsia="zh-CN" w:bidi="ar"/>
              </w:rPr>
              <w:t>指所监理的光伏发电工程</w:t>
            </w:r>
            <w:r>
              <w:rPr>
                <w:rFonts w:hint="eastAsia" w:ascii="宋体" w:hAnsi="宋体" w:eastAsia="宋体" w:cs="宋体"/>
                <w:b/>
                <w:bCs/>
                <w:color w:val="000000"/>
                <w:kern w:val="0"/>
                <w:sz w:val="20"/>
                <w:szCs w:val="20"/>
                <w:lang w:val="en-US" w:eastAsia="zh-CN" w:bidi="ar"/>
              </w:rPr>
              <w:t>业绩是指自 2020 年1月1日起至今。奖项以获奖证书颁发时间为准，类似业绩以合同签订时间为准。</w:t>
            </w:r>
          </w:p>
          <w:p>
            <w:pPr>
              <w:keepNext w:val="0"/>
              <w:keepLines w:val="0"/>
              <w:widowControl/>
              <w:suppressLineNumbers w:val="0"/>
              <w:jc w:val="left"/>
              <w:rPr>
                <w:rFonts w:hint="default" w:eastAsiaTheme="minorEastAsia"/>
                <w:lang w:val="en-US" w:eastAsia="zh-CN"/>
              </w:rPr>
            </w:pPr>
            <w:r>
              <w:rPr>
                <w:rFonts w:hint="default" w:ascii="Calibri" w:hAnsi="Calibri" w:cs="Calibri"/>
                <w:sz w:val="15"/>
                <w:szCs w:val="15"/>
              </w:rPr>
              <w:t>③</w:t>
            </w:r>
            <w:r>
              <w:rPr>
                <w:rFonts w:hint="eastAsia" w:ascii="宋体" w:hAnsi="宋体" w:eastAsia="宋体" w:cs="宋体"/>
                <w:color w:val="000000"/>
                <w:kern w:val="0"/>
                <w:sz w:val="20"/>
                <w:szCs w:val="20"/>
                <w:lang w:val="en-US" w:eastAsia="zh-CN" w:bidi="ar"/>
              </w:rPr>
              <w:t>企业与拟派总监理工程师、拟派</w:t>
            </w:r>
            <w:r>
              <w:rPr>
                <w:rFonts w:hint="eastAsia" w:ascii="宋体" w:hAnsi="宋体" w:eastAsia="宋体" w:cs="宋体"/>
                <w:b/>
                <w:bCs/>
                <w:color w:val="000000"/>
                <w:kern w:val="0"/>
                <w:sz w:val="20"/>
                <w:szCs w:val="20"/>
                <w:lang w:val="en-US" w:eastAsia="zh-CN" w:bidi="ar"/>
              </w:rPr>
              <w:t>类似项目业绩可以重复使用。</w:t>
            </w:r>
          </w:p>
          <w:p>
            <w:pPr>
              <w:spacing w:line="500" w:lineRule="exact"/>
              <w:ind w:firstLine="34" w:firstLineChars="16"/>
              <w:jc w:val="both"/>
              <w:rPr>
                <w:rFonts w:ascii="宋体" w:hAnsi="宋体" w:eastAsia="宋体" w:cs="宋体"/>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654" w:type="dxa"/>
            <w:gridSpan w:val="7"/>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lang w:val="en-US" w:eastAsia="zh-CN"/>
                <w14:textFill>
                  <w14:solidFill>
                    <w14:schemeClr w14:val="tx1"/>
                  </w14:solidFill>
                </w14:textFill>
              </w:rPr>
              <w:t>三</w:t>
            </w:r>
            <w:r>
              <w:rPr>
                <w:rFonts w:hint="eastAsia" w:ascii="宋体" w:hAnsi="宋体" w:eastAsia="宋体" w:cs="宋体"/>
                <w:b/>
                <w:bCs/>
                <w:color w:val="000000" w:themeColor="text1"/>
                <w:spacing w:val="10"/>
                <w:sz w:val="24"/>
                <w14:textFill>
                  <w14:solidFill>
                    <w14:schemeClr w14:val="tx1"/>
                  </w14:solidFill>
                </w14:textFill>
              </w:rPr>
              <w:t>、价格分标准（</w:t>
            </w:r>
            <w:r>
              <w:rPr>
                <w:rFonts w:hint="eastAsia" w:ascii="宋体" w:hAnsi="宋体" w:eastAsia="宋体" w:cs="宋体"/>
                <w:b/>
                <w:bCs/>
                <w:color w:val="000000" w:themeColor="text1"/>
                <w:spacing w:val="10"/>
                <w:sz w:val="24"/>
                <w:lang w:val="en-US" w:eastAsia="zh-CN"/>
                <w14:textFill>
                  <w14:solidFill>
                    <w14:schemeClr w14:val="tx1"/>
                  </w14:solidFill>
                </w14:textFill>
              </w:rPr>
              <w:t>60</w:t>
            </w:r>
            <w:r>
              <w:rPr>
                <w:rFonts w:hint="eastAsia" w:ascii="宋体" w:hAnsi="宋体" w:eastAsia="宋体" w:cs="宋体"/>
                <w:b/>
                <w:bCs/>
                <w:color w:val="000000" w:themeColor="text1"/>
                <w:spacing w:val="10"/>
                <w:sz w:val="24"/>
                <w14:textFill>
                  <w14:solidFill>
                    <w14:schemeClr w14:val="tx1"/>
                  </w14:solidFill>
                </w14:textFill>
              </w:rPr>
              <w:t>分）</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eastAsia="宋体" w:cs="宋体"/>
                <w:b/>
                <w:bCs/>
                <w:color w:val="000000" w:themeColor="text1"/>
                <w:spacing w:val="10"/>
                <w:sz w:val="24"/>
                <w:lang w:val="en-US" w:eastAsia="zh-CN"/>
                <w14:textFill>
                  <w14:solidFill>
                    <w14:schemeClr w14:val="tx1"/>
                  </w14:solidFill>
                </w14:textFill>
              </w:rPr>
            </w:pPr>
            <w:r>
              <w:rPr>
                <w:rFonts w:hint="eastAsia" w:ascii="宋体" w:hAnsi="宋体" w:eastAsia="宋体" w:cs="宋体"/>
                <w:b/>
                <w:bCs/>
                <w:color w:val="000000" w:themeColor="text1"/>
                <w:spacing w:val="10"/>
                <w:sz w:val="24"/>
                <w:lang w:val="en-US" w:eastAsia="zh-CN"/>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3</w:t>
            </w:r>
          </w:p>
        </w:tc>
        <w:tc>
          <w:tcPr>
            <w:tcW w:w="92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14:textFill>
                  <w14:solidFill>
                    <w14:schemeClr w14:val="tx1"/>
                  </w14:solidFill>
                </w14:textFill>
              </w:rPr>
              <w:t>价格</w:t>
            </w:r>
            <w:r>
              <w:rPr>
                <w:rFonts w:hint="eastAsia" w:ascii="宋体" w:hAnsi="宋体" w:eastAsia="宋体"/>
                <w:color w:val="000000" w:themeColor="text1"/>
                <w:lang w:val="en-US" w:eastAsia="zh-CN"/>
                <w14:textFill>
                  <w14:solidFill>
                    <w14:schemeClr w14:val="tx1"/>
                  </w14:solidFill>
                </w14:textFill>
              </w:rPr>
              <w:t>分</w:t>
            </w:r>
          </w:p>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r>
              <w:rPr>
                <w:rFonts w:hint="eastAsia" w:ascii="宋体" w:hAnsi="宋体" w:eastAsia="宋体"/>
                <w:color w:val="000000" w:themeColor="text1"/>
                <w:lang w:val="en-US" w:eastAsia="zh-CN"/>
                <w14:textFill>
                  <w14:solidFill>
                    <w14:schemeClr w14:val="tx1"/>
                  </w14:solidFill>
                </w14:textFill>
              </w:rPr>
              <w:t>60</w:t>
            </w:r>
            <w:r>
              <w:rPr>
                <w:rFonts w:hint="eastAsia" w:ascii="宋体" w:hAnsi="宋体" w:eastAsia="宋体"/>
                <w:color w:val="000000" w:themeColor="text1"/>
                <w14:textFill>
                  <w14:solidFill>
                    <w14:schemeClr w14:val="tx1"/>
                  </w14:solidFill>
                </w14:textFill>
              </w:rPr>
              <w:t>分）</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pPr>
              <w:pStyle w:val="5"/>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家（含）时，去掉</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基准价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平均值</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偏差率</w:t>
            </w:r>
            <w:r>
              <w:rPr>
                <w:rFonts w:hint="default" w:ascii="宋体" w:hAnsi="宋体" w:eastAsia="宋体" w:cs="宋体"/>
                <w:b/>
                <w:bCs/>
                <w:color w:val="000000"/>
                <w:kern w:val="0"/>
                <w:sz w:val="20"/>
                <w:szCs w:val="20"/>
                <w:lang w:val="en-US" w:eastAsia="zh-CN" w:bidi="ar"/>
              </w:rPr>
              <w:t>=100%</w:t>
            </w: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有效投标报价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评标基准值</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 xml:space="preserve">评标基准值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 xml:space="preserve">计算各有效投标人的报价得分： </w:t>
            </w:r>
          </w:p>
          <w:p>
            <w:pPr>
              <w:keepNext w:val="0"/>
              <w:keepLines w:val="0"/>
              <w:widowControl/>
              <w:suppressLineNumbers w:val="0"/>
              <w:jc w:val="left"/>
            </w:pPr>
            <w:r>
              <w:rPr>
                <w:rFonts w:hint="eastAsia" w:ascii="宋体" w:hAnsi="宋体" w:eastAsia="宋体" w:cs="宋体"/>
                <w:b/>
                <w:bCs/>
                <w:color w:val="000000"/>
                <w:kern w:val="0"/>
                <w:sz w:val="20"/>
                <w:szCs w:val="20"/>
                <w:lang w:val="en-US" w:eastAsia="zh-CN" w:bidi="ar"/>
              </w:rPr>
              <w:t xml:space="preserve">报价得分评审以评标基准价为评分依据。偏差率为 </w:t>
            </w:r>
            <w:r>
              <w:rPr>
                <w:rFonts w:hint="default" w:ascii="宋体" w:hAnsi="宋体" w:eastAsia="宋体" w:cs="宋体"/>
                <w:b/>
                <w:bCs/>
                <w:color w:val="000000"/>
                <w:kern w:val="0"/>
                <w:sz w:val="20"/>
                <w:szCs w:val="20"/>
                <w:lang w:val="en-US" w:eastAsia="zh-CN" w:bidi="ar"/>
              </w:rPr>
              <w:t xml:space="preserve">0 </w:t>
            </w:r>
            <w:r>
              <w:rPr>
                <w:rFonts w:hint="eastAsia" w:ascii="宋体" w:hAnsi="宋体" w:eastAsia="宋体" w:cs="宋体"/>
                <w:b/>
                <w:bCs/>
                <w:color w:val="000000"/>
                <w:kern w:val="0"/>
                <w:sz w:val="20"/>
                <w:szCs w:val="20"/>
                <w:lang w:val="en-US" w:eastAsia="zh-CN" w:bidi="ar"/>
              </w:rPr>
              <w:t xml:space="preserve">的，得分为60分。投标人报价每低于评标基准价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0.5 </w:t>
            </w:r>
            <w:r>
              <w:rPr>
                <w:rFonts w:hint="eastAsia" w:ascii="宋体" w:hAnsi="宋体" w:eastAsia="宋体" w:cs="宋体"/>
                <w:b/>
                <w:bCs/>
                <w:color w:val="000000"/>
                <w:kern w:val="0"/>
                <w:sz w:val="20"/>
                <w:szCs w:val="20"/>
                <w:lang w:val="en-US" w:eastAsia="zh-CN" w:bidi="ar"/>
              </w:rPr>
              <w:t xml:space="preserve">分。每高于评标基准价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分。不足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％的按插入值计算，小数点后保留两位小数（第三位四舍五入）</w:t>
            </w:r>
          </w:p>
          <w:p>
            <w:pPr>
              <w:pStyle w:val="15"/>
              <w:ind w:left="0" w:leftChars="0"/>
              <w:rPr>
                <w:rFonts w:ascii="宋体" w:hAnsi="宋体" w:eastAsia="宋体" w:cs="仿宋"/>
                <w:color w:val="000000" w:themeColor="text1"/>
                <w:szCs w:val="21"/>
                <w14:textFill>
                  <w14:solidFill>
                    <w14:schemeClr w14:val="tx1"/>
                  </w14:solidFill>
                </w14:textFill>
              </w:rPr>
            </w:pP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60</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9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合计</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themeColor="text1"/>
                <w14:textFill>
                  <w14:solidFill>
                    <w14:schemeClr w14:val="tx1"/>
                  </w14:solidFill>
                </w14:textFill>
              </w:rPr>
            </w:pP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ascii="宋体" w:hAnsi="宋体" w:eastAsia="宋体" w:cs="宋体"/>
                <w:b/>
                <w:bCs/>
                <w:color w:val="000000" w:themeColor="text1"/>
                <w14:textFill>
                  <w14:solidFill>
                    <w14:schemeClr w14:val="tx1"/>
                  </w14:solidFill>
                </w14:textFill>
              </w:rPr>
              <w:t>00</w:t>
            </w:r>
            <w:r>
              <w:rPr>
                <w:rFonts w:hint="eastAsia" w:ascii="宋体" w:hAnsi="宋体" w:eastAsia="宋体" w:cs="宋体"/>
                <w:b/>
                <w:bCs/>
                <w:color w:val="000000" w:themeColor="text1"/>
                <w14:textFill>
                  <w14:solidFill>
                    <w14:schemeClr w14:val="tx1"/>
                  </w14:solidFill>
                </w14:textFill>
              </w:rPr>
              <w:t>分</w:t>
            </w:r>
          </w:p>
        </w:tc>
      </w:tr>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outlineLvl w:val="1"/>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w:t>
      </w:r>
      <w:r>
        <w:rPr>
          <w:rFonts w:hint="eastAsia" w:ascii="Times New Roman" w:hAnsi="Times New Roman" w:cs="Times New Roman"/>
          <w:kern w:val="0"/>
          <w:sz w:val="24"/>
          <w:lang w:eastAsia="zh-CN"/>
        </w:rPr>
        <w:t>。</w:t>
      </w:r>
      <w:r>
        <w:rPr>
          <w:rFonts w:hint="eastAsia" w:ascii="Times New Roman" w:hAnsi="Times New Roman" w:cs="Times New Roman"/>
          <w:kern w:val="0"/>
          <w:sz w:val="24"/>
        </w:rPr>
        <w:t>投标报价也相等的，由招标人或其授权的评标委员会自行确定。</w:t>
      </w:r>
    </w:p>
    <w:p>
      <w:pPr>
        <w:wordWrap w:val="0"/>
        <w:spacing w:line="440" w:lineRule="exact"/>
        <w:outlineLvl w:val="1"/>
        <w:rPr>
          <w:rFonts w:ascii="Times New Roman" w:hAnsi="Times New Roman" w:cs="Times New Roman"/>
          <w:b/>
          <w:bCs/>
          <w:kern w:val="0"/>
          <w:sz w:val="28"/>
          <w:szCs w:val="28"/>
        </w:rPr>
      </w:pPr>
      <w:bookmarkStart w:id="24" w:name="_Toc152045590"/>
      <w:bookmarkStart w:id="25" w:name="_Toc247085748"/>
      <w:bookmarkStart w:id="26" w:name="_Toc246996976"/>
      <w:bookmarkStart w:id="27" w:name="_Toc246996233"/>
      <w:bookmarkStart w:id="28" w:name="_Toc144974557"/>
      <w:bookmarkStart w:id="29" w:name="_Toc152042367"/>
      <w:bookmarkStart w:id="30" w:name="_Toc296602478"/>
      <w:bookmarkStart w:id="31" w:name="_Toc179632608"/>
      <w:r>
        <w:rPr>
          <w:rFonts w:ascii="Times New Roman" w:hAnsi="Times New Roman" w:cs="Times New Roman"/>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outlineLvl w:val="2"/>
        <w:rPr>
          <w:rFonts w:ascii="Times New Roman" w:hAnsi="Times New Roman" w:cs="Times New Roman"/>
          <w:b/>
          <w:bCs/>
          <w:kern w:val="0"/>
          <w:sz w:val="28"/>
          <w:szCs w:val="28"/>
        </w:rPr>
      </w:pPr>
      <w:bookmarkStart w:id="32" w:name="_Toc179632609"/>
      <w:bookmarkStart w:id="33" w:name="_Toc152042368"/>
      <w:bookmarkStart w:id="34" w:name="_Toc152045591"/>
      <w:bookmarkStart w:id="35" w:name="_Toc247085749"/>
      <w:bookmarkStart w:id="36" w:name="_Toc296602479"/>
      <w:bookmarkStart w:id="37" w:name="_Toc246996977"/>
      <w:bookmarkStart w:id="38" w:name="_Toc246996234"/>
      <w:bookmarkStart w:id="39" w:name="_Toc144974558"/>
      <w:r>
        <w:rPr>
          <w:rFonts w:ascii="Times New Roman" w:hAnsi="Times New Roman" w:cs="Times New Roman"/>
          <w:b/>
          <w:bCs/>
          <w:kern w:val="0"/>
          <w:sz w:val="28"/>
          <w:szCs w:val="28"/>
        </w:rPr>
        <w:t>2.1 初步评审标准</w:t>
      </w:r>
      <w:bookmarkEnd w:id="32"/>
      <w:bookmarkEnd w:id="33"/>
      <w:bookmarkEnd w:id="34"/>
      <w:bookmarkEnd w:id="35"/>
      <w:bookmarkEnd w:id="36"/>
      <w:bookmarkEnd w:id="37"/>
      <w:bookmarkEnd w:id="38"/>
      <w:bookmarkEnd w:id="3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outlineLvl w:val="2"/>
        <w:rPr>
          <w:rFonts w:ascii="Times New Roman" w:hAnsi="Times New Roman" w:cs="Times New Roman"/>
          <w:b/>
          <w:bCs/>
          <w:kern w:val="0"/>
          <w:sz w:val="28"/>
          <w:szCs w:val="28"/>
        </w:rPr>
      </w:pPr>
      <w:bookmarkStart w:id="40" w:name="_Toc246996979"/>
      <w:bookmarkStart w:id="41" w:name="_Toc247085751"/>
      <w:bookmarkStart w:id="42" w:name="_Toc144974560"/>
      <w:bookmarkStart w:id="43" w:name="_Toc179632611"/>
      <w:bookmarkStart w:id="44" w:name="_Toc152042370"/>
      <w:bookmarkStart w:id="45" w:name="_Toc246996236"/>
      <w:bookmarkStart w:id="46" w:name="_Toc296602481"/>
      <w:bookmarkStart w:id="47" w:name="_Toc152045593"/>
      <w:r>
        <w:rPr>
          <w:rFonts w:ascii="Times New Roman" w:hAnsi="Times New Roman" w:cs="Times New Roman"/>
          <w:b/>
          <w:bCs/>
          <w:kern w:val="0"/>
          <w:sz w:val="28"/>
          <w:szCs w:val="28"/>
        </w:rPr>
        <w:t>2.2 分值构成与评分标准</w:t>
      </w:r>
    </w:p>
    <w:p>
      <w:pPr>
        <w:wordWrap w:val="0"/>
        <w:spacing w:line="420" w:lineRule="exact"/>
        <w:ind w:firstLine="480" w:firstLineChars="200"/>
        <w:outlineLvl w:val="3"/>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40" w:lineRule="exact"/>
        <w:ind w:firstLine="480" w:firstLineChars="200"/>
        <w:rPr>
          <w:rFonts w:hint="eastAsia" w:ascii="Times New Roman" w:hAnsi="Times New Roman" w:cs="Times New Roman"/>
          <w:kern w:val="0"/>
          <w:sz w:val="24"/>
          <w:lang w:val="en-US" w:eastAsia="zh-CN"/>
        </w:rPr>
      </w:pPr>
      <w:r>
        <w:rPr>
          <w:rFonts w:ascii="Times New Roman" w:hAnsi="Times New Roman" w:cs="Times New Roman"/>
          <w:kern w:val="0"/>
          <w:sz w:val="24"/>
        </w:rPr>
        <w:t>（</w:t>
      </w:r>
      <w:r>
        <w:rPr>
          <w:rFonts w:hint="eastAsia" w:ascii="Times New Roman" w:hAnsi="Times New Roman" w:cs="Times New Roman"/>
          <w:kern w:val="0"/>
          <w:sz w:val="24"/>
          <w:lang w:val="en-US" w:eastAsia="zh-CN"/>
        </w:rPr>
        <w:t>1）监理大纲评审：见评标办法前附表。</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（2）企业荣誉：见评标办法前附表。</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（3）价格分：见评标办法前附表。</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w:t>
      </w:r>
      <w:r>
        <w:rPr>
          <w:rFonts w:hint="eastAsia" w:ascii="Times New Roman" w:hAnsi="Times New Roman" w:cs="Times New Roman"/>
          <w:kern w:val="0"/>
          <w:sz w:val="24"/>
          <w:lang w:val="en-US" w:eastAsia="zh-CN"/>
        </w:rPr>
        <w:t>/</w:t>
      </w:r>
      <w:r>
        <w:rPr>
          <w:rFonts w:ascii="Times New Roman" w:hAnsi="Times New Roman" w:cs="Times New Roman"/>
          <w:kern w:val="0"/>
          <w:sz w:val="24"/>
        </w:rPr>
        <w:t>。</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hint="eastAsia" w:ascii="Times New Roman" w:hAnsi="Times New Roman" w:cs="Times New Roman" w:eastAsiaTheme="minorEastAsia"/>
          <w:color w:val="auto"/>
          <w:kern w:val="0"/>
          <w:sz w:val="24"/>
          <w:lang w:eastAsia="zh-CN"/>
        </w:rPr>
      </w:pPr>
      <w:r>
        <w:rPr>
          <w:rFonts w:ascii="Times New Roman" w:hAnsi="Times New Roman" w:cs="Times New Roman"/>
          <w:color w:val="auto"/>
          <w:kern w:val="0"/>
          <w:sz w:val="24"/>
        </w:rPr>
        <w:t>（1）</w:t>
      </w:r>
      <w:r>
        <w:rPr>
          <w:rFonts w:hint="eastAsia" w:ascii="Times New Roman" w:hAnsi="Times New Roman" w:cs="Times New Roman"/>
          <w:color w:val="auto"/>
          <w:kern w:val="0"/>
          <w:sz w:val="24"/>
          <w:lang w:val="en-US" w:eastAsia="zh-CN"/>
        </w:rPr>
        <w:t>监理大纲评审</w:t>
      </w:r>
      <w:r>
        <w:rPr>
          <w:rFonts w:ascii="Times New Roman" w:hAnsi="Times New Roman" w:cs="Times New Roman"/>
          <w:color w:val="auto"/>
          <w:kern w:val="0"/>
          <w:sz w:val="24"/>
        </w:rPr>
        <w:t>：见评标办法前附表</w:t>
      </w:r>
      <w:r>
        <w:rPr>
          <w:rFonts w:hint="eastAsia" w:ascii="Times New Roman" w:hAnsi="Times New Roman" w:cs="Times New Roman"/>
          <w:color w:val="auto"/>
          <w:kern w:val="0"/>
          <w:sz w:val="24"/>
          <w:lang w:eastAsia="zh-CN"/>
        </w:rPr>
        <w:t>。</w:t>
      </w:r>
    </w:p>
    <w:p>
      <w:pPr>
        <w:wordWrap w:val="0"/>
        <w:spacing w:line="420" w:lineRule="exact"/>
        <w:ind w:firstLine="480" w:firstLineChars="200"/>
        <w:rPr>
          <w:rFonts w:hint="eastAsia" w:ascii="Times New Roman" w:hAnsi="Times New Roman" w:cs="Times New Roman"/>
          <w:color w:val="auto"/>
          <w:kern w:val="0"/>
          <w:sz w:val="24"/>
          <w:lang w:val="en-US" w:eastAsia="zh-CN"/>
        </w:rPr>
      </w:pPr>
      <w:r>
        <w:rPr>
          <w:rFonts w:ascii="Times New Roman" w:hAnsi="Times New Roman" w:cs="Times New Roman"/>
          <w:color w:val="auto"/>
          <w:kern w:val="0"/>
          <w:sz w:val="24"/>
        </w:rPr>
        <w:t>（2）</w:t>
      </w:r>
      <w:r>
        <w:rPr>
          <w:rFonts w:hint="eastAsia" w:ascii="Times New Roman" w:hAnsi="Times New Roman" w:cs="Times New Roman"/>
          <w:color w:val="auto"/>
          <w:kern w:val="0"/>
          <w:sz w:val="24"/>
          <w:lang w:val="en-US" w:eastAsia="zh-CN"/>
        </w:rPr>
        <w:t>企业荣誉：见评标办法前附表。</w:t>
      </w:r>
    </w:p>
    <w:p>
      <w:pPr>
        <w:wordWrap w:val="0"/>
        <w:spacing w:line="420" w:lineRule="exact"/>
        <w:ind w:firstLine="480" w:firstLineChars="200"/>
        <w:rPr>
          <w:rFonts w:hint="eastAsia" w:ascii="Times New Roman" w:hAnsi="Times New Roman" w:cs="Times New Roman"/>
          <w:color w:val="auto"/>
          <w:kern w:val="0"/>
          <w:sz w:val="24"/>
          <w:lang w:val="en-US" w:eastAsia="zh-CN"/>
        </w:rPr>
      </w:pPr>
      <w:r>
        <w:rPr>
          <w:rFonts w:hint="eastAsia" w:ascii="Times New Roman" w:hAnsi="Times New Roman" w:cs="Times New Roman"/>
          <w:color w:val="auto"/>
          <w:kern w:val="0"/>
          <w:sz w:val="24"/>
          <w:lang w:val="en-US" w:eastAsia="zh-CN"/>
        </w:rPr>
        <w:t>（3）价格分：见评标办法前附表。</w:t>
      </w:r>
    </w:p>
    <w:p>
      <w:pPr>
        <w:wordWrap w:val="0"/>
        <w:spacing w:line="440" w:lineRule="exact"/>
        <w:outlineLvl w:val="1"/>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outlineLvl w:val="2"/>
        <w:rPr>
          <w:rFonts w:ascii="Times New Roman" w:hAnsi="Times New Roman" w:cs="Times New Roman"/>
          <w:b/>
          <w:bCs/>
          <w:kern w:val="0"/>
          <w:sz w:val="28"/>
          <w:szCs w:val="28"/>
        </w:rPr>
      </w:pPr>
      <w:bookmarkStart w:id="48" w:name="_Toc246996980"/>
      <w:bookmarkStart w:id="49" w:name="_Toc296602482"/>
      <w:bookmarkStart w:id="50" w:name="_Toc246996237"/>
      <w:bookmarkStart w:id="51" w:name="_Toc247085752"/>
      <w:bookmarkStart w:id="52" w:name="_Toc152045594"/>
      <w:bookmarkStart w:id="53" w:name="_Toc152042371"/>
      <w:bookmarkStart w:id="54" w:name="_Toc144974561"/>
      <w:bookmarkStart w:id="55" w:name="_Toc179632612"/>
      <w:r>
        <w:rPr>
          <w:rFonts w:ascii="Times New Roman" w:hAnsi="Times New Roman" w:cs="Times New Roman"/>
          <w:b/>
          <w:bCs/>
          <w:kern w:val="0"/>
          <w:sz w:val="28"/>
          <w:szCs w:val="28"/>
        </w:rPr>
        <w:t>3.1 初步评审</w:t>
      </w:r>
      <w:bookmarkEnd w:id="48"/>
      <w:bookmarkEnd w:id="49"/>
      <w:bookmarkEnd w:id="50"/>
      <w:bookmarkEnd w:id="51"/>
      <w:bookmarkEnd w:id="52"/>
      <w:bookmarkEnd w:id="53"/>
      <w:bookmarkEnd w:id="54"/>
      <w:bookmarkEnd w:id="5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r>
        <w:rPr>
          <w:rFonts w:hint="eastAsia" w:ascii="Times New Roman" w:hAnsi="Times New Roman" w:cs="Times New Roman"/>
          <w:kern w:val="0"/>
          <w:sz w:val="24"/>
          <w:lang w:eastAsia="zh-CN"/>
        </w:rPr>
        <w:t>。</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（2）串通投标或弄虚作假或有其他违法行为的</w:t>
      </w:r>
      <w:r>
        <w:rPr>
          <w:rFonts w:hint="eastAsia" w:ascii="Times New Roman" w:hAnsi="Times New Roman" w:cs="Times New Roman"/>
          <w:kern w:val="0"/>
          <w:sz w:val="24"/>
          <w:lang w:eastAsia="zh-CN"/>
        </w:rPr>
        <w:t>。</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ascii="Times New Roman" w:hAnsi="Times New Roman" w:cs="Times New Roman"/>
          <w:kern w:val="0"/>
          <w:sz w:val="24"/>
        </w:rPr>
        <w:t>（1）投标文件中的大写金额与小写金额不一致的，以大写金额为准</w:t>
      </w:r>
      <w:r>
        <w:rPr>
          <w:rFonts w:hint="eastAsia" w:ascii="Times New Roman" w:hAnsi="Times New Roman" w:cs="Times New Roman"/>
          <w:kern w:val="0"/>
          <w:sz w:val="24"/>
          <w:lang w:eastAsia="zh-CN"/>
        </w:rPr>
        <w:t>。</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outlineLvl w:val="2"/>
        <w:rPr>
          <w:rFonts w:ascii="Times New Roman" w:hAnsi="Times New Roman" w:cs="Times New Roman"/>
          <w:b/>
          <w:bCs/>
          <w:kern w:val="0"/>
          <w:sz w:val="28"/>
          <w:szCs w:val="28"/>
        </w:rPr>
      </w:pPr>
      <w:bookmarkStart w:id="56" w:name="_Toc144974562"/>
      <w:bookmarkStart w:id="57" w:name="_Toc152042372"/>
      <w:bookmarkStart w:id="58" w:name="_Toc152045595"/>
      <w:bookmarkStart w:id="59" w:name="_Toc247085753"/>
      <w:bookmarkStart w:id="60" w:name="_Toc246996981"/>
      <w:bookmarkStart w:id="61" w:name="_Toc179632613"/>
      <w:bookmarkStart w:id="62" w:name="_Toc246996238"/>
      <w:bookmarkStart w:id="63" w:name="_Toc296602483"/>
      <w:r>
        <w:rPr>
          <w:rFonts w:ascii="Times New Roman" w:hAnsi="Times New Roman" w:cs="Times New Roman"/>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480" w:firstLineChars="200"/>
        <w:rPr>
          <w:rFonts w:ascii="Times New Roman" w:hAnsi="Times New Roman" w:cs="Times New Roman"/>
          <w:kern w:val="0"/>
          <w:sz w:val="24"/>
        </w:rPr>
      </w:pPr>
      <w:bookmarkStart w:id="64" w:name="_Toc144974563"/>
      <w:bookmarkStart w:id="65" w:name="_Toc296602484"/>
      <w:bookmarkStart w:id="66" w:name="_Toc247085754"/>
      <w:bookmarkStart w:id="67" w:name="_Toc246996239"/>
      <w:bookmarkStart w:id="68" w:name="_Toc152045596"/>
      <w:bookmarkStart w:id="69" w:name="_Toc246996982"/>
      <w:bookmarkStart w:id="70" w:name="_Toc179632614"/>
      <w:bookmarkStart w:id="71" w:name="_Toc152042373"/>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hint="eastAsia" w:ascii="Times New Roman" w:hAnsi="Times New Roman" w:cs="Times New Roman" w:eastAsiaTheme="minorEastAsia"/>
          <w:color w:val="auto"/>
          <w:kern w:val="0"/>
          <w:sz w:val="24"/>
          <w:lang w:eastAsia="zh-CN"/>
        </w:rPr>
      </w:pPr>
      <w:r>
        <w:rPr>
          <w:rFonts w:ascii="Times New Roman" w:hAnsi="Times New Roman" w:cs="Times New Roman"/>
          <w:color w:val="auto"/>
          <w:kern w:val="0"/>
          <w:sz w:val="24"/>
        </w:rPr>
        <w:t>（1）按本章</w:t>
      </w:r>
      <w:r>
        <w:rPr>
          <w:rFonts w:hint="default" w:ascii="Times New Roman" w:hAnsi="Times New Roman" w:cs="Times New Roman"/>
          <w:color w:val="auto"/>
          <w:kern w:val="0"/>
          <w:sz w:val="24"/>
        </w:rPr>
        <w:t>第2.2.4（1）目规定的评审因素和分值对</w:t>
      </w:r>
      <w:r>
        <w:rPr>
          <w:rFonts w:hint="default" w:ascii="Times New Roman" w:hAnsi="Times New Roman" w:cs="Times New Roman" w:eastAsiaTheme="minorEastAsia"/>
          <w:color w:val="auto"/>
          <w:kern w:val="0"/>
          <w:sz w:val="24"/>
          <w:szCs w:val="24"/>
          <w:lang w:val="en-US" w:eastAsia="zh-CN" w:bidi="ar"/>
        </w:rPr>
        <w:t>监理大纲评审</w:t>
      </w:r>
      <w:r>
        <w:rPr>
          <w:rFonts w:hint="default" w:ascii="Times New Roman" w:hAnsi="Times New Roman" w:cs="Times New Roman"/>
          <w:color w:val="auto"/>
          <w:kern w:val="0"/>
          <w:sz w:val="24"/>
        </w:rPr>
        <w:t>计算出得分A</w:t>
      </w:r>
      <w:r>
        <w:rPr>
          <w:rFonts w:hint="eastAsia" w:ascii="Times New Roman" w:hAnsi="Times New Roman" w:cs="Times New Roman"/>
          <w:color w:val="auto"/>
          <w:kern w:val="0"/>
          <w:sz w:val="24"/>
          <w:lang w:eastAsia="zh-CN"/>
        </w:rPr>
        <w:t>。</w:t>
      </w:r>
    </w:p>
    <w:p>
      <w:pPr>
        <w:wordWrap w:val="0"/>
        <w:spacing w:line="420" w:lineRule="exact"/>
        <w:ind w:firstLine="480" w:firstLineChars="200"/>
        <w:rPr>
          <w:rFonts w:hint="eastAsia" w:ascii="Times New Roman" w:hAnsi="Times New Roman" w:cs="Times New Roman" w:eastAsiaTheme="minorEastAsia"/>
          <w:color w:val="auto"/>
          <w:kern w:val="0"/>
          <w:sz w:val="24"/>
          <w:lang w:eastAsia="zh-CN"/>
        </w:rPr>
      </w:pPr>
      <w:r>
        <w:rPr>
          <w:rFonts w:ascii="Times New Roman" w:hAnsi="Times New Roman" w:cs="Times New Roman"/>
          <w:color w:val="auto"/>
          <w:kern w:val="0"/>
          <w:sz w:val="24"/>
        </w:rPr>
        <w:t>（</w:t>
      </w:r>
      <w:r>
        <w:rPr>
          <w:rFonts w:hint="default" w:ascii="Times New Roman" w:hAnsi="Times New Roman" w:cs="Times New Roman"/>
          <w:color w:val="auto"/>
          <w:kern w:val="0"/>
          <w:sz w:val="24"/>
        </w:rPr>
        <w:t>2</w:t>
      </w:r>
      <w:r>
        <w:rPr>
          <w:rFonts w:ascii="Times New Roman" w:hAnsi="Times New Roman" w:cs="Times New Roman"/>
          <w:color w:val="auto"/>
          <w:kern w:val="0"/>
          <w:sz w:val="24"/>
        </w:rPr>
        <w:t>）按本章</w:t>
      </w:r>
      <w:r>
        <w:rPr>
          <w:rFonts w:hint="default" w:ascii="Times New Roman" w:hAnsi="Times New Roman" w:cs="Times New Roman"/>
          <w:color w:val="auto"/>
          <w:kern w:val="0"/>
          <w:sz w:val="24"/>
        </w:rPr>
        <w:t>第2.2.4（2）目规定的评审因素和分值对</w:t>
      </w:r>
      <w:r>
        <w:rPr>
          <w:rFonts w:hint="default" w:ascii="Times New Roman" w:hAnsi="Times New Roman" w:cs="Times New Roman"/>
          <w:color w:val="auto"/>
          <w:kern w:val="0"/>
          <w:sz w:val="24"/>
          <w:szCs w:val="24"/>
        </w:rPr>
        <w:t>企业</w:t>
      </w:r>
      <w:r>
        <w:rPr>
          <w:rFonts w:hint="default" w:ascii="Times New Roman" w:hAnsi="Times New Roman" w:cs="Times New Roman"/>
          <w:color w:val="auto"/>
          <w:kern w:val="0"/>
          <w:sz w:val="24"/>
        </w:rPr>
        <w:t>荣誉计算出得分B</w:t>
      </w:r>
      <w:r>
        <w:rPr>
          <w:rFonts w:hint="eastAsia" w:ascii="Times New Roman" w:hAnsi="Times New Roman" w:cs="Times New Roman"/>
          <w:color w:val="auto"/>
          <w:kern w:val="0"/>
          <w:sz w:val="24"/>
          <w:lang w:eastAsia="zh-CN"/>
        </w:rPr>
        <w:t>。</w:t>
      </w:r>
    </w:p>
    <w:p>
      <w:pPr>
        <w:wordWrap w:val="0"/>
        <w:spacing w:line="420" w:lineRule="exact"/>
        <w:ind w:firstLine="480" w:firstLineChars="200"/>
        <w:rPr>
          <w:rFonts w:ascii="Times New Roman" w:hAnsi="Times New Roman" w:cs="Times New Roman"/>
          <w:color w:val="auto"/>
          <w:kern w:val="0"/>
          <w:sz w:val="24"/>
        </w:rPr>
      </w:pPr>
      <w:r>
        <w:rPr>
          <w:rFonts w:ascii="Times New Roman" w:hAnsi="Times New Roman" w:cs="Times New Roman"/>
          <w:color w:val="auto"/>
          <w:kern w:val="0"/>
          <w:sz w:val="24"/>
        </w:rPr>
        <w:t>（</w:t>
      </w:r>
      <w:r>
        <w:rPr>
          <w:rFonts w:hint="default" w:ascii="Times New Roman" w:hAnsi="Times New Roman" w:cs="Times New Roman"/>
          <w:color w:val="auto"/>
          <w:kern w:val="0"/>
          <w:sz w:val="24"/>
          <w:lang w:val="en-US" w:eastAsia="zh-CN"/>
        </w:rPr>
        <w:t>3</w:t>
      </w:r>
      <w:r>
        <w:rPr>
          <w:rFonts w:ascii="Times New Roman" w:hAnsi="Times New Roman" w:cs="Times New Roman"/>
          <w:color w:val="auto"/>
          <w:kern w:val="0"/>
          <w:sz w:val="24"/>
        </w:rPr>
        <w:t>）按本章</w:t>
      </w:r>
      <w:r>
        <w:rPr>
          <w:rFonts w:hint="default" w:ascii="Times New Roman" w:hAnsi="Times New Roman" w:cs="Times New Roman"/>
          <w:color w:val="auto"/>
          <w:kern w:val="0"/>
          <w:sz w:val="24"/>
        </w:rPr>
        <w:t>第2.2.4（</w:t>
      </w:r>
      <w:r>
        <w:rPr>
          <w:rFonts w:hint="default" w:ascii="Times New Roman" w:hAnsi="Times New Roman" w:cs="Times New Roman"/>
          <w:color w:val="auto"/>
          <w:kern w:val="0"/>
          <w:sz w:val="24"/>
          <w:lang w:val="en-US" w:eastAsia="zh-CN"/>
        </w:rPr>
        <w:t>3</w:t>
      </w:r>
      <w:r>
        <w:rPr>
          <w:rFonts w:hint="default" w:ascii="Times New Roman" w:hAnsi="Times New Roman" w:cs="Times New Roman"/>
          <w:color w:val="auto"/>
          <w:kern w:val="0"/>
          <w:sz w:val="24"/>
        </w:rPr>
        <w:t>）目规定的评审因素和分值对</w:t>
      </w:r>
      <w:r>
        <w:rPr>
          <w:rFonts w:hint="default" w:ascii="Times New Roman" w:hAnsi="Times New Roman" w:cs="Times New Roman"/>
          <w:color w:val="auto"/>
          <w:kern w:val="0"/>
          <w:sz w:val="24"/>
          <w:lang w:val="en-US" w:eastAsia="zh-CN"/>
        </w:rPr>
        <w:t>价格分</w:t>
      </w:r>
      <w:r>
        <w:rPr>
          <w:rFonts w:hint="default" w:ascii="Times New Roman" w:hAnsi="Times New Roman" w:cs="Times New Roman"/>
          <w:color w:val="auto"/>
          <w:kern w:val="0"/>
          <w:sz w:val="24"/>
        </w:rPr>
        <w:t>计算出得分</w:t>
      </w:r>
      <w:r>
        <w:rPr>
          <w:rFonts w:hint="default" w:ascii="Times New Roman" w:hAnsi="Times New Roman" w:cs="Times New Roman"/>
          <w:color w:val="auto"/>
          <w:kern w:val="0"/>
          <w:sz w:val="24"/>
          <w:lang w:val="en-US" w:eastAsia="zh-CN"/>
        </w:rPr>
        <w:t>C</w:t>
      </w:r>
      <w:r>
        <w:rPr>
          <w:rFonts w:hint="default" w:ascii="Times New Roman" w:hAnsi="Times New Roman" w:cs="Times New Roman"/>
          <w:color w:val="auto"/>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outlineLvl w:val="2"/>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64"/>
      <w:r>
        <w:rPr>
          <w:rFonts w:ascii="Times New Roman" w:hAnsi="Times New Roman" w:cs="Times New Roman"/>
          <w:b/>
          <w:bCs/>
          <w:kern w:val="0"/>
          <w:sz w:val="28"/>
          <w:szCs w:val="28"/>
        </w:rPr>
        <w:t>和补正</w:t>
      </w:r>
      <w:bookmarkEnd w:id="65"/>
      <w:bookmarkEnd w:id="66"/>
      <w:bookmarkEnd w:id="67"/>
      <w:bookmarkEnd w:id="68"/>
      <w:bookmarkEnd w:id="69"/>
      <w:bookmarkEnd w:id="70"/>
      <w:bookmarkEnd w:id="7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outlineLvl w:val="2"/>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w:t>
      </w:r>
      <w:r>
        <w:rPr>
          <w:rFonts w:hint="eastAsia" w:ascii="Times New Roman" w:hAnsi="Times New Roman" w:cs="Times New Roman"/>
          <w:kern w:val="0"/>
          <w:sz w:val="24"/>
          <w:lang w:eastAsia="zh-CN"/>
        </w:rPr>
        <w:t>。</w:t>
      </w:r>
      <w:r>
        <w:rPr>
          <w:rFonts w:hint="eastAsia" w:ascii="Times New Roman" w:hAnsi="Times New Roman" w:cs="Times New Roman"/>
          <w:kern w:val="0"/>
          <w:sz w:val="24"/>
        </w:rPr>
        <w:t>当有效投标不足 3 个，但所有有效投标报价低于招标控制价，且具备以下条件之一的，视为投标具有竞争性，可以继续评标：</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（一）房屋建筑（装饰装修）、水利、交通工程项目：所有有效投标报价低于招标控制价的95%</w:t>
      </w:r>
      <w:r>
        <w:rPr>
          <w:rFonts w:hint="eastAsia" w:ascii="Times New Roman" w:hAnsi="Times New Roman" w:cs="Times New Roman"/>
          <w:kern w:val="0"/>
          <w:sz w:val="24"/>
          <w:lang w:eastAsia="zh-CN"/>
        </w:rPr>
        <w:t>。</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r>
        <w:rPr>
          <w:rFonts w:hint="eastAsia" w:ascii="Times New Roman" w:hAnsi="Times New Roman" w:cs="Times New Roman"/>
          <w:kern w:val="0"/>
          <w:sz w:val="24"/>
          <w:lang w:eastAsia="zh-CN"/>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outlineLvl w:val="2"/>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before="156" w:beforeLines="50" w:after="156" w:afterLines="50" w:line="480" w:lineRule="exact"/>
        <w:ind w:firstLine="1928" w:firstLineChars="600"/>
        <w:outlineLvl w:val="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第四章 合同条款及格式</w:t>
      </w:r>
    </w:p>
    <w:p>
      <w:pPr>
        <w:spacing w:before="156" w:beforeLines="50" w:after="156" w:afterLines="50" w:line="480" w:lineRule="exact"/>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本项目使用《建设工程监理合同(示范文本) 》 (GF-2012-0202)。</w:t>
      </w: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w:t>
      </w:r>
      <w:r>
        <w:rPr>
          <w:rFonts w:hint="eastAsia" w:asciiTheme="majorEastAsia" w:hAnsiTheme="majorEastAsia" w:eastAsiaTheme="majorEastAsia" w:cstheme="majorEastAsia"/>
          <w:b/>
          <w:bCs/>
          <w:color w:val="0000FF"/>
          <w:sz w:val="32"/>
          <w:szCs w:val="32"/>
        </w:rPr>
        <w:t>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560" w:firstLineChars="200"/>
              <w:rPr>
                <w:rFonts w:ascii="Times New Roman" w:hAnsi="Times New Roman" w:cs="Times New Roman"/>
                <w:kern w:val="0"/>
                <w:sz w:val="24"/>
              </w:rPr>
            </w:pPr>
            <w:r>
              <w:rPr>
                <w:rFonts w:hint="eastAsia" w:asciiTheme="minorEastAsia" w:hAnsiTheme="minorEastAsia" w:cstheme="minorEastAsia"/>
                <w:sz w:val="28"/>
                <w:szCs w:val="28"/>
                <w:lang w:val="en-US" w:eastAsia="zh-CN"/>
              </w:rPr>
              <w:t>亳州新能源发展有限公司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idowControl/>
              <w:wordWrap/>
              <w:spacing w:line="240" w:lineRule="auto"/>
              <w:ind w:firstLine="0" w:firstLineChars="0"/>
              <w:jc w:val="both"/>
              <w:rPr>
                <w:rFonts w:hint="eastAsia" w:ascii="仿宋" w:hAnsi="仿宋" w:eastAsia="仿宋" w:cs="仿宋"/>
                <w:i w:val="0"/>
                <w:iCs w:val="0"/>
                <w:color w:val="000000"/>
                <w:kern w:val="0"/>
                <w:sz w:val="30"/>
                <w:szCs w:val="30"/>
                <w:u w:val="none"/>
                <w:lang w:bidi="ar"/>
              </w:rPr>
            </w:pPr>
            <w:r>
              <w:rPr>
                <w:rFonts w:hint="default" w:ascii="Times New Roman" w:hAnsi="Times New Roman" w:cs="Times New Roman" w:eastAsiaTheme="minorEastAsia"/>
                <w:color w:val="auto"/>
                <w:spacing w:val="0"/>
                <w:kern w:val="0"/>
                <w:sz w:val="24"/>
                <w:szCs w:val="24"/>
                <w:highlight w:val="yellow"/>
                <w:lang w:bidi="ar"/>
              </w:rPr>
              <w:t>付款方式</w:t>
            </w:r>
            <w:r>
              <w:rPr>
                <w:rFonts w:hint="eastAsia" w:ascii="Times New Roman" w:hAnsi="Times New Roman" w:cs="Times New Roman"/>
                <w:color w:val="auto"/>
                <w:spacing w:val="0"/>
                <w:kern w:val="0"/>
                <w:sz w:val="24"/>
                <w:szCs w:val="24"/>
                <w:highlight w:val="yellow"/>
                <w:lang w:eastAsia="zh-CN" w:bidi="ar"/>
              </w:rPr>
              <w:t>：</w:t>
            </w:r>
            <w:r>
              <w:rPr>
                <w:rFonts w:hint="default" w:ascii="Times New Roman" w:hAnsi="Times New Roman" w:cs="Times New Roman" w:eastAsiaTheme="minorEastAsia"/>
                <w:color w:val="auto"/>
                <w:kern w:val="0"/>
                <w:sz w:val="24"/>
                <w:szCs w:val="24"/>
                <w:highlight w:val="yellow"/>
                <w:lang w:val="en-US" w:eastAsia="zh-CN" w:bidi="ar"/>
              </w:rPr>
              <w:t>单个项目并网且验收合格后付至</w:t>
            </w:r>
            <w:r>
              <w:rPr>
                <w:rFonts w:hint="eastAsia" w:ascii="Times New Roman" w:hAnsi="Times New Roman" w:cs="Times New Roman" w:eastAsiaTheme="minorEastAsia"/>
                <w:color w:val="auto"/>
                <w:kern w:val="0"/>
                <w:sz w:val="24"/>
                <w:szCs w:val="24"/>
                <w:highlight w:val="yellow"/>
                <w:lang w:val="en-US" w:eastAsia="zh-CN" w:bidi="ar"/>
              </w:rPr>
              <w:t>单个项目</w:t>
            </w:r>
            <w:r>
              <w:rPr>
                <w:rFonts w:hint="default" w:ascii="Times New Roman" w:hAnsi="Times New Roman" w:cs="Times New Roman" w:eastAsiaTheme="minorEastAsia"/>
                <w:color w:val="auto"/>
                <w:kern w:val="0"/>
                <w:sz w:val="24"/>
                <w:szCs w:val="24"/>
                <w:highlight w:val="yellow"/>
                <w:lang w:val="en-US" w:eastAsia="zh-CN" w:bidi="ar"/>
              </w:rPr>
              <w:t>合同价款的85%，审计审定后付至</w:t>
            </w:r>
            <w:r>
              <w:rPr>
                <w:rFonts w:hint="eastAsia" w:ascii="Times New Roman" w:hAnsi="Times New Roman" w:cs="Times New Roman"/>
                <w:color w:val="auto"/>
                <w:kern w:val="0"/>
                <w:sz w:val="24"/>
                <w:szCs w:val="24"/>
                <w:highlight w:val="yellow"/>
                <w:lang w:val="en-US" w:eastAsia="zh-CN" w:bidi="ar"/>
              </w:rPr>
              <w:t>最终监理费用</w:t>
            </w:r>
            <w:r>
              <w:rPr>
                <w:rFonts w:hint="default" w:ascii="Times New Roman" w:hAnsi="Times New Roman" w:cs="Times New Roman" w:eastAsiaTheme="minorEastAsia"/>
                <w:color w:val="auto"/>
                <w:kern w:val="0"/>
                <w:sz w:val="24"/>
                <w:szCs w:val="24"/>
                <w:highlight w:val="yellow"/>
                <w:lang w:val="en-US" w:eastAsia="zh-CN" w:bidi="ar"/>
              </w:rPr>
              <w:t>的97%(工程竣工</w:t>
            </w:r>
            <w:r>
              <w:rPr>
                <w:rFonts w:hint="eastAsia" w:ascii="Times New Roman" w:hAnsi="Times New Roman" w:cs="Times New Roman"/>
                <w:color w:val="auto"/>
                <w:kern w:val="0"/>
                <w:sz w:val="24"/>
                <w:szCs w:val="24"/>
                <w:highlight w:val="yellow"/>
                <w:lang w:val="en-US" w:eastAsia="zh-CN" w:bidi="ar"/>
              </w:rPr>
              <w:t>结算</w:t>
            </w:r>
            <w:r>
              <w:rPr>
                <w:rFonts w:hint="default" w:ascii="Times New Roman" w:hAnsi="Times New Roman" w:cs="Times New Roman" w:eastAsiaTheme="minorEastAsia"/>
                <w:color w:val="auto"/>
                <w:kern w:val="0"/>
                <w:sz w:val="24"/>
                <w:szCs w:val="24"/>
                <w:highlight w:val="yellow"/>
                <w:lang w:val="en-US" w:eastAsia="zh-CN" w:bidi="ar"/>
              </w:rPr>
              <w:t>审定</w:t>
            </w:r>
            <w:r>
              <w:rPr>
                <w:rFonts w:hint="eastAsia" w:ascii="Times New Roman" w:hAnsi="Times New Roman" w:cs="Times New Roman" w:eastAsiaTheme="minorEastAsia"/>
                <w:color w:val="auto"/>
                <w:kern w:val="0"/>
                <w:sz w:val="24"/>
                <w:szCs w:val="24"/>
                <w:highlight w:val="yellow"/>
                <w:lang w:val="en-US" w:eastAsia="zh-CN" w:bidi="ar"/>
              </w:rPr>
              <w:t>金额</w:t>
            </w:r>
            <w:r>
              <w:rPr>
                <w:rFonts w:hint="default" w:ascii="Times New Roman" w:hAnsi="Times New Roman" w:cs="Times New Roman" w:eastAsiaTheme="minorEastAsia"/>
                <w:color w:val="auto"/>
                <w:kern w:val="0"/>
                <w:sz w:val="24"/>
                <w:szCs w:val="24"/>
                <w:highlight w:val="yellow"/>
                <w:lang w:val="en-US" w:eastAsia="zh-CN" w:bidi="ar"/>
              </w:rPr>
              <w:t>乘以中标费率)，余款作为质量保证金，工程质保期满，按合同约定无息</w:t>
            </w:r>
            <w:r>
              <w:rPr>
                <w:rFonts w:hint="eastAsia" w:ascii="Times New Roman" w:hAnsi="Times New Roman" w:cs="Times New Roman" w:eastAsiaTheme="minorEastAsia"/>
                <w:color w:val="auto"/>
                <w:kern w:val="0"/>
                <w:sz w:val="24"/>
                <w:szCs w:val="24"/>
                <w:highlight w:val="yellow"/>
                <w:lang w:val="en-US" w:eastAsia="zh-CN" w:bidi="ar"/>
              </w:rPr>
              <w:t>支付</w:t>
            </w:r>
            <w:r>
              <w:rPr>
                <w:rFonts w:hint="default"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FF0000"/>
                <w:spacing w:val="0"/>
                <w:kern w:val="0"/>
                <w:sz w:val="24"/>
                <w:szCs w:val="24"/>
                <w:u w:val="none" w:color="auto"/>
                <w:lang w:bidi="ar"/>
              </w:rPr>
              <w:t xml:space="preserve">  </w:t>
            </w:r>
          </w:p>
          <w:p>
            <w:pPr>
              <w:keepNext w:val="0"/>
              <w:keepLines w:val="0"/>
              <w:widowControl/>
              <w:suppressLineNumbers w:val="0"/>
              <w:jc w:val="both"/>
              <w:rPr>
                <w:rFonts w:ascii="Times New Roman" w:hAnsi="Times New Roman" w:cs="Times New Roman"/>
                <w:kern w:val="0"/>
                <w:sz w:val="24"/>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1）工程款凭正式增值税专用发票结算。</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应在每次付款前向</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提交一份付款申请、税务发票，并附工程进度及</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按合同约定履行义务的有关证明。</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审核</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的付款申请资料无误后履行付款手续。监理费付至</w:t>
            </w:r>
            <w:r>
              <w:rPr>
                <w:rFonts w:hint="eastAsia" w:ascii="Times New Roman" w:hAnsi="Times New Roman" w:cs="Times New Roman"/>
                <w:color w:val="auto"/>
                <w:kern w:val="0"/>
                <w:sz w:val="24"/>
                <w:szCs w:val="24"/>
                <w:highlight w:val="yellow"/>
                <w:lang w:val="en-US" w:eastAsia="zh-CN" w:bidi="ar"/>
              </w:rPr>
              <w:t>最终监理费用</w:t>
            </w:r>
            <w:r>
              <w:rPr>
                <w:rFonts w:hint="default" w:ascii="Times New Roman" w:hAnsi="Times New Roman" w:cs="Times New Roman" w:eastAsiaTheme="minorEastAsia"/>
                <w:color w:val="auto"/>
                <w:kern w:val="0"/>
                <w:sz w:val="24"/>
                <w:szCs w:val="24"/>
                <w:lang w:val="en-US" w:eastAsia="zh-CN" w:bidi="ar"/>
              </w:rPr>
              <w:t>的97%时，</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需提供全额增值税专用发票，否则</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有权暂停付款。（施工工期顺延时，服务费不予调整）。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color w:val="FF0000"/>
                <w:kern w:val="0"/>
                <w:sz w:val="24"/>
              </w:rPr>
              <w:t>/</w:t>
            </w:r>
            <w:r>
              <w:rPr>
                <w:rFonts w:ascii="Times New Roman" w:hAnsi="Times New Roman" w:cs="Times New Roman"/>
                <w:color w:val="FF0000"/>
                <w:kern w:val="0"/>
                <w:sz w:val="24"/>
              </w:rPr>
              <w:t xml:space="preserve"> </w:t>
            </w:r>
          </w:p>
        </w:tc>
      </w:tr>
    </w:tbl>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spacing w:before="156" w:beforeLines="50" w:after="156" w:afterLines="50" w:line="480" w:lineRule="exact"/>
        <w:rPr>
          <w:rFonts w:hint="eastAsia" w:asciiTheme="majorEastAsia" w:hAnsiTheme="majorEastAsia" w:eastAsiaTheme="majorEastAsia" w:cstheme="majorEastAsia"/>
          <w:b w:val="0"/>
          <w:bCs w:val="0"/>
          <w:sz w:val="32"/>
          <w:szCs w:val="32"/>
          <w:lang w:val="en-US" w:eastAsia="zh-CN"/>
        </w:rPr>
      </w:pPr>
    </w:p>
    <w:p>
      <w:pPr>
        <w:spacing w:before="156" w:beforeLines="50" w:after="156" w:afterLines="50" w:line="480" w:lineRule="exact"/>
        <w:rPr>
          <w:rFonts w:hint="eastAsia" w:asciiTheme="majorEastAsia" w:hAnsiTheme="majorEastAsia" w:eastAsiaTheme="majorEastAsia" w:cstheme="majorEastAsia"/>
          <w:b/>
          <w:bCs/>
          <w:sz w:val="32"/>
          <w:szCs w:val="32"/>
          <w:lang w:val="en-US" w:eastAsia="zh-CN"/>
        </w:rPr>
      </w:pPr>
    </w:p>
    <w:p>
      <w:pPr>
        <w:pStyle w:val="2"/>
        <w:rPr>
          <w:rFonts w:hint="eastAsia" w:asciiTheme="majorEastAsia" w:hAnsiTheme="majorEastAsia" w:eastAsiaTheme="majorEastAsia" w:cstheme="majorEastAsia"/>
          <w:b/>
          <w:bCs/>
          <w:sz w:val="32"/>
          <w:szCs w:val="32"/>
          <w:lang w:val="en-US" w:eastAsia="zh-CN"/>
        </w:rPr>
      </w:pPr>
    </w:p>
    <w:p>
      <w:pPr>
        <w:rPr>
          <w:rFonts w:hint="eastAsia" w:asciiTheme="majorEastAsia" w:hAnsiTheme="majorEastAsia" w:eastAsiaTheme="majorEastAsia" w:cstheme="majorEastAsia"/>
          <w:b/>
          <w:bCs/>
          <w:sz w:val="32"/>
          <w:szCs w:val="32"/>
          <w:lang w:val="en-US" w:eastAsia="zh-CN"/>
        </w:rPr>
      </w:pPr>
    </w:p>
    <w:p>
      <w:pPr>
        <w:pStyle w:val="2"/>
        <w:rPr>
          <w:rFonts w:hint="eastAsia" w:asciiTheme="majorEastAsia" w:hAnsiTheme="majorEastAsia" w:eastAsiaTheme="majorEastAsia" w:cstheme="majorEastAsia"/>
          <w:b/>
          <w:bCs/>
          <w:sz w:val="32"/>
          <w:szCs w:val="32"/>
          <w:lang w:val="en-US" w:eastAsia="zh-CN"/>
        </w:rPr>
      </w:pPr>
    </w:p>
    <w:p>
      <w:pPr>
        <w:rPr>
          <w:rFonts w:hint="eastAsia" w:asciiTheme="majorEastAsia" w:hAnsiTheme="majorEastAsia" w:eastAsiaTheme="majorEastAsia" w:cstheme="majorEastAsia"/>
          <w:b/>
          <w:bCs/>
          <w:sz w:val="32"/>
          <w:szCs w:val="32"/>
          <w:lang w:val="en-US" w:eastAsia="zh-CN"/>
        </w:rPr>
      </w:pPr>
    </w:p>
    <w:p>
      <w:pPr>
        <w:pStyle w:val="2"/>
        <w:rPr>
          <w:rFonts w:hint="eastAsia" w:asciiTheme="majorEastAsia" w:hAnsiTheme="majorEastAsia" w:eastAsiaTheme="majorEastAsia" w:cstheme="majorEastAsia"/>
          <w:b/>
          <w:bCs/>
          <w:sz w:val="32"/>
          <w:szCs w:val="32"/>
          <w:lang w:val="en-US" w:eastAsia="zh-CN"/>
        </w:rPr>
      </w:pPr>
    </w:p>
    <w:p>
      <w:pPr>
        <w:rPr>
          <w:rFonts w:hint="eastAsia" w:asciiTheme="majorEastAsia" w:hAnsiTheme="majorEastAsia" w:eastAsiaTheme="majorEastAsia" w:cstheme="majorEastAsia"/>
          <w:b/>
          <w:bCs/>
          <w:sz w:val="32"/>
          <w:szCs w:val="32"/>
          <w:lang w:val="en-US" w:eastAsia="zh-CN"/>
        </w:rPr>
      </w:pPr>
    </w:p>
    <w:p/>
    <w:bookmarkEnd w:id="16"/>
    <w:bookmarkEnd w:id="17"/>
    <w:bookmarkEnd w:id="18"/>
    <w:bookmarkEnd w:id="19"/>
    <w:bookmarkEnd w:id="20"/>
    <w:bookmarkEnd w:id="21"/>
    <w:bookmarkEnd w:id="22"/>
    <w:bookmarkEnd w:id="23"/>
    <w:p>
      <w:pPr>
        <w:spacing w:line="480" w:lineRule="exact"/>
        <w:jc w:val="center"/>
        <w:outlineLvl w:val="0"/>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lang w:val="en-US" w:eastAsia="zh-CN"/>
        </w:rPr>
        <w:t>五</w:t>
      </w:r>
      <w:r>
        <w:rPr>
          <w:rFonts w:ascii="Times New Roman" w:hAnsi="Times New Roman" w:cs="Times New Roman" w:eastAsiaTheme="majorEastAsia"/>
          <w:b/>
          <w:bCs/>
          <w:sz w:val="32"/>
          <w:szCs w:val="32"/>
        </w:rPr>
        <w:t>章 投标文件格式</w:t>
      </w:r>
    </w:p>
    <w:p>
      <w:pPr>
        <w:wordWrap w:val="0"/>
        <w:spacing w:line="520" w:lineRule="exact"/>
        <w:jc w:val="both"/>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outlineLvl w:val="1"/>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72" w:name="_Toc300835209"/>
      <w:bookmarkStart w:id="73" w:name="_Toc152042576"/>
      <w:bookmarkStart w:id="74" w:name="_Toc144974856"/>
      <w:bookmarkStart w:id="75" w:name="_Toc247514246"/>
      <w:bookmarkStart w:id="76" w:name="_Toc247527827"/>
      <w:bookmarkStart w:id="77" w:name="_Toc152045787"/>
      <w:r>
        <w:rPr>
          <w:rFonts w:ascii="Times New Roman" w:hAnsi="Times New Roman" w:cs="Times New Roman"/>
        </w:rPr>
        <w:t>目    录</w:t>
      </w:r>
      <w:bookmarkEnd w:id="72"/>
      <w:bookmarkEnd w:id="73"/>
      <w:bookmarkEnd w:id="74"/>
      <w:bookmarkEnd w:id="75"/>
      <w:bookmarkEnd w:id="76"/>
      <w:bookmarkEnd w:id="77"/>
    </w:p>
    <w:p>
      <w:pPr>
        <w:spacing w:line="540" w:lineRule="exact"/>
        <w:rPr>
          <w:rFonts w:ascii="Times New Roman" w:hAnsi="Times New Roman" w:cs="Times New Roman"/>
        </w:rPr>
      </w:pPr>
    </w:p>
    <w:p>
      <w:pPr>
        <w:spacing w:line="540" w:lineRule="exact"/>
        <w:rPr>
          <w:rFonts w:ascii="Times New Roman" w:hAnsi="Times New Roman" w:cs="Times New Roman"/>
          <w:color w:val="0000FF"/>
        </w:rPr>
      </w:pPr>
      <w:r>
        <w:rPr>
          <w:rFonts w:ascii="Times New Roman" w:hAnsi="Times New Roman" w:cs="Times New Roman"/>
        </w:rPr>
        <w:t>一</w:t>
      </w:r>
      <w:r>
        <w:rPr>
          <w:rFonts w:ascii="Times New Roman" w:hAnsi="Times New Roman" w:cs="Times New Roman"/>
          <w:color w:val="0000FF"/>
        </w:rPr>
        <w:t>、投标函</w:t>
      </w:r>
      <w:r>
        <w:rPr>
          <w:rFonts w:hint="eastAsia" w:ascii="Times New Roman" w:hAnsi="Times New Roman" w:cs="Times New Roman"/>
          <w:color w:val="0000FF"/>
        </w:rPr>
        <w:t>及投标函附录</w:t>
      </w:r>
    </w:p>
    <w:p>
      <w:pPr>
        <w:spacing w:line="540" w:lineRule="exact"/>
        <w:rPr>
          <w:rFonts w:ascii="Times New Roman" w:hAnsi="Times New Roman" w:cs="Times New Roman"/>
          <w:color w:val="0000FF"/>
        </w:rPr>
      </w:pPr>
      <w:r>
        <w:rPr>
          <w:rFonts w:ascii="Times New Roman" w:hAnsi="Times New Roman" w:cs="Times New Roman"/>
          <w:color w:val="0000FF"/>
        </w:rPr>
        <w:t>二、法定代表人</w:t>
      </w:r>
      <w:r>
        <w:rPr>
          <w:rFonts w:hint="eastAsia" w:ascii="Times New Roman" w:hAnsi="Times New Roman" w:cs="Times New Roman"/>
          <w:color w:val="0000FF"/>
        </w:rPr>
        <w:t>身份证明（适用于无委托代理人的情况）</w:t>
      </w:r>
    </w:p>
    <w:p>
      <w:pPr>
        <w:spacing w:line="540" w:lineRule="exact"/>
        <w:rPr>
          <w:rFonts w:ascii="Times New Roman" w:hAnsi="Times New Roman" w:cs="Times New Roman"/>
          <w:color w:val="0000FF"/>
        </w:rPr>
      </w:pPr>
      <w:r>
        <w:rPr>
          <w:rFonts w:hint="eastAsia" w:ascii="Times New Roman" w:hAnsi="Times New Roman" w:cs="Times New Roman"/>
          <w:color w:val="0000FF"/>
        </w:rPr>
        <w:t>二、</w:t>
      </w:r>
      <w:r>
        <w:rPr>
          <w:rFonts w:ascii="Times New Roman" w:hAnsi="Times New Roman" w:cs="Times New Roman"/>
          <w:color w:val="0000FF"/>
        </w:rPr>
        <w:t>授权委托书</w:t>
      </w:r>
      <w:r>
        <w:rPr>
          <w:rFonts w:hint="eastAsia" w:ascii="Times New Roman" w:hAnsi="Times New Roman" w:cs="Times New Roman"/>
          <w:color w:val="0000FF"/>
        </w:rPr>
        <w:t>（适用于有委托代理人的情况）</w:t>
      </w:r>
    </w:p>
    <w:p>
      <w:pPr>
        <w:spacing w:line="540" w:lineRule="exact"/>
        <w:rPr>
          <w:rFonts w:ascii="Times New Roman" w:hAnsi="Times New Roman" w:cs="Times New Roman"/>
          <w:color w:val="0000FF"/>
        </w:rPr>
      </w:pPr>
      <w:r>
        <w:rPr>
          <w:rFonts w:hint="eastAsia" w:ascii="Times New Roman" w:hAnsi="Times New Roman" w:cs="Times New Roman"/>
          <w:color w:val="0000FF"/>
        </w:rPr>
        <w:t>三</w:t>
      </w:r>
      <w:r>
        <w:rPr>
          <w:rFonts w:ascii="Times New Roman" w:hAnsi="Times New Roman" w:cs="Times New Roman"/>
          <w:color w:val="0000FF"/>
        </w:rPr>
        <w:t xml:space="preserve">、投标保证金 </w:t>
      </w:r>
    </w:p>
    <w:p>
      <w:pPr>
        <w:spacing w:line="540" w:lineRule="exact"/>
        <w:rPr>
          <w:rFonts w:ascii="Times New Roman" w:hAnsi="Times New Roman" w:cs="Times New Roman"/>
          <w:color w:val="0000FF"/>
        </w:rPr>
      </w:pPr>
      <w:r>
        <w:rPr>
          <w:rFonts w:hint="eastAsia" w:ascii="Times New Roman" w:hAnsi="Times New Roman" w:cs="Times New Roman"/>
          <w:color w:val="0000FF"/>
        </w:rPr>
        <w:t>四、服务费用清单</w:t>
      </w:r>
    </w:p>
    <w:p>
      <w:pPr>
        <w:spacing w:line="540" w:lineRule="exact"/>
        <w:rPr>
          <w:rFonts w:ascii="Times New Roman" w:hAnsi="Times New Roman" w:cs="Times New Roman"/>
          <w:color w:val="0000FF"/>
        </w:rPr>
      </w:pPr>
      <w:r>
        <w:rPr>
          <w:rFonts w:hint="eastAsia" w:ascii="Times New Roman" w:hAnsi="Times New Roman" w:cs="Times New Roman"/>
          <w:color w:val="0000FF"/>
        </w:rPr>
        <w:t>五、资格审查资料</w:t>
      </w:r>
    </w:p>
    <w:p>
      <w:pPr>
        <w:spacing w:line="540" w:lineRule="exact"/>
        <w:rPr>
          <w:rFonts w:ascii="Times New Roman" w:hAnsi="Times New Roman" w:cs="Times New Roman"/>
          <w:color w:val="0000FF"/>
        </w:rPr>
      </w:pPr>
      <w:r>
        <w:rPr>
          <w:rFonts w:hint="eastAsia" w:ascii="Times New Roman" w:hAnsi="Times New Roman" w:cs="Times New Roman"/>
          <w:color w:val="0000FF"/>
        </w:rPr>
        <w:t>六、服务方案</w:t>
      </w:r>
    </w:p>
    <w:p>
      <w:pPr>
        <w:spacing w:line="540" w:lineRule="exact"/>
        <w:rPr>
          <w:rFonts w:ascii="Times New Roman" w:hAnsi="Times New Roman" w:cs="Times New Roman"/>
          <w:color w:val="0000FF"/>
        </w:rPr>
      </w:pPr>
      <w:r>
        <w:rPr>
          <w:rFonts w:hint="eastAsia" w:ascii="Times New Roman" w:hAnsi="Times New Roman" w:cs="Times New Roman"/>
          <w:color w:val="0000FF"/>
        </w:rPr>
        <w:t>七</w:t>
      </w:r>
      <w:r>
        <w:rPr>
          <w:rFonts w:ascii="Times New Roman" w:hAnsi="Times New Roman" w:cs="Times New Roman"/>
          <w:color w:val="0000FF"/>
        </w:rPr>
        <w:t>、</w:t>
      </w:r>
      <w:r>
        <w:rPr>
          <w:rFonts w:hint="eastAsia" w:ascii="Times New Roman" w:hAnsi="Times New Roman" w:cs="Times New Roman"/>
          <w:color w:val="0000FF"/>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rPr>
          <w:rFonts w:ascii="Times New Roman" w:hAnsi="Times New Roman" w:cs="Times New Roman"/>
          <w:sz w:val="20"/>
          <w:szCs w:val="20"/>
        </w:rPr>
      </w:pPr>
      <w:bookmarkStart w:id="78" w:name="_Toc247527828"/>
      <w:bookmarkStart w:id="79" w:name="_Toc152042577"/>
      <w:bookmarkStart w:id="80" w:name="_Toc247514247"/>
      <w:bookmarkStart w:id="81" w:name="_Toc152045788"/>
      <w:bookmarkStart w:id="82" w:name="_Toc144974857"/>
      <w:bookmarkStart w:id="83" w:name="_Toc300835210"/>
      <w:r>
        <w:rPr>
          <w:rFonts w:ascii="Times New Roman" w:hAnsi="Times New Roman" w:cs="Times New Roman"/>
        </w:rPr>
        <w:t>一、投标函及投标函附录</w:t>
      </w:r>
      <w:bookmarkEnd w:id="78"/>
      <w:bookmarkEnd w:id="79"/>
      <w:bookmarkEnd w:id="80"/>
      <w:bookmarkEnd w:id="81"/>
      <w:bookmarkEnd w:id="82"/>
      <w:bookmarkEnd w:id="83"/>
    </w:p>
    <w:p>
      <w:pPr>
        <w:spacing w:line="440" w:lineRule="exact"/>
        <w:outlineLvl w:val="2"/>
        <w:rPr>
          <w:rFonts w:ascii="Times New Roman" w:hAnsi="Times New Roman" w:cs="Times New Roman"/>
          <w:sz w:val="20"/>
          <w:szCs w:val="20"/>
        </w:rPr>
      </w:pPr>
      <w:bookmarkStart w:id="84" w:name="_Toc144974859"/>
      <w:bookmarkStart w:id="85" w:name="_Toc152042579"/>
      <w:bookmarkStart w:id="86" w:name="_Toc247527830"/>
      <w:bookmarkStart w:id="87" w:name="_Toc300835212"/>
      <w:bookmarkStart w:id="88" w:name="_Toc152045790"/>
      <w:bookmarkStart w:id="89" w:name="_Toc247514249"/>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服务</w:t>
      </w:r>
      <w:r>
        <w:rPr>
          <w:rFonts w:ascii="Times New Roman" w:hAnsi="Times New Roman" w:cs="Times New Roman"/>
          <w:szCs w:val="21"/>
        </w:rPr>
        <w:t>名称）</w:t>
      </w:r>
      <w:r>
        <w:rPr>
          <w:rFonts w:hint="eastAsia" w:ascii="Times New Roman" w:hAnsi="Times New Roman" w:cs="Times New Roman"/>
          <w:szCs w:val="21"/>
        </w:rPr>
        <w:t>招标项目招标文件的全部内容，</w:t>
      </w:r>
      <w:r>
        <w:rPr>
          <w:rFonts w:hint="eastAsia" w:ascii="Times New Roman" w:hAnsi="Times New Roman" w:cs="Times New Roman"/>
          <w:szCs w:val="21"/>
          <w:lang w:val="en-US" w:eastAsia="zh-CN"/>
        </w:rPr>
        <w:t>愿意以光伏项目施工总承包竣工结算审定金额为基数：</w:t>
      </w:r>
      <w:r>
        <w:rPr>
          <w:rFonts w:ascii="Times New Roman" w:hAnsi="Times New Roman" w:cs="Times New Roman"/>
          <w:szCs w:val="21"/>
          <w:u w:val="single"/>
        </w:rPr>
        <w:t xml:space="preserve">    </w:t>
      </w:r>
      <w:r>
        <w:rPr>
          <w:rFonts w:hint="eastAsia" w:ascii="Times New Roman" w:hAnsi="Times New Roman" w:cs="Times New Roman"/>
          <w:szCs w:val="21"/>
          <w:u w:val="single"/>
          <w:lang w:eastAsia="zh-CN"/>
        </w:rPr>
        <w:t>（</w:t>
      </w:r>
      <w:r>
        <w:rPr>
          <w:rFonts w:hint="eastAsia" w:ascii="Times New Roman" w:hAnsi="Times New Roman" w:cs="Times New Roman"/>
          <w:szCs w:val="21"/>
          <w:u w:val="single"/>
          <w:lang w:val="en-US" w:eastAsia="zh-CN"/>
        </w:rPr>
        <w:t>费率</w:t>
      </w:r>
      <w:r>
        <w:rPr>
          <w:rFonts w:hint="eastAsia" w:ascii="Times New Roman" w:hAnsi="Times New Roman" w:cs="Times New Roman"/>
          <w:szCs w:val="21"/>
          <w:u w:val="single"/>
          <w:lang w:eastAsia="zh-CN"/>
        </w:rPr>
        <w:t>）</w:t>
      </w:r>
      <w:r>
        <w:rPr>
          <w:rFonts w:hint="eastAsia" w:ascii="Times New Roman" w:hAnsi="Times New Roman" w:cs="Times New Roman"/>
          <w:szCs w:val="21"/>
        </w:rPr>
        <w:t>的投标总报价</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eastAsia="zh-CN"/>
        </w:rPr>
        <w:t>）</w:t>
      </w:r>
      <w:r>
        <w:rPr>
          <w:rFonts w:hint="eastAsia" w:ascii="Times New Roman" w:hAnsi="Times New Roman" w:cs="Times New Roman"/>
          <w:szCs w:val="21"/>
        </w:rPr>
        <w:t>，服务期限：自签订工程建设监理合同之日起至工程保修期满。按合同约定完成本项全部工作。</w:t>
      </w:r>
    </w:p>
    <w:p>
      <w:pPr>
        <w:spacing w:line="440" w:lineRule="exact"/>
        <w:ind w:firstLine="420" w:firstLineChars="200"/>
        <w:outlineLvl w:val="3"/>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w:t>
      </w:r>
      <w:r>
        <w:rPr>
          <w:rFonts w:hint="eastAsia" w:ascii="Times New Roman" w:hAnsi="Times New Roman" w:cs="Times New Roman"/>
          <w:szCs w:val="21"/>
          <w:lang w:eastAsia="zh-CN"/>
        </w:rPr>
        <w:t>。</w:t>
      </w:r>
      <w:r>
        <w:rPr>
          <w:rFonts w:hint="eastAsia" w:ascii="Times New Roman" w:hAnsi="Times New Roman" w:cs="Times New Roman"/>
          <w:szCs w:val="21"/>
        </w:rPr>
        <w:t>（2）法定代表人身份证明或授权委托书</w:t>
      </w:r>
      <w:r>
        <w:rPr>
          <w:rFonts w:hint="eastAsia" w:ascii="Times New Roman" w:hAnsi="Times New Roman" w:cs="Times New Roman"/>
          <w:szCs w:val="21"/>
          <w:lang w:eastAsia="zh-CN"/>
        </w:rPr>
        <w:t>。</w:t>
      </w:r>
      <w:r>
        <w:rPr>
          <w:rFonts w:hint="eastAsia" w:ascii="Times New Roman" w:hAnsi="Times New Roman" w:cs="Times New Roman"/>
          <w:szCs w:val="21"/>
        </w:rPr>
        <w:t>（3）联合体协议书（如有）</w:t>
      </w:r>
      <w:r>
        <w:rPr>
          <w:rFonts w:hint="eastAsia" w:ascii="Times New Roman" w:hAnsi="Times New Roman" w:cs="Times New Roman"/>
          <w:szCs w:val="21"/>
          <w:lang w:eastAsia="zh-CN"/>
        </w:rPr>
        <w:t>。</w:t>
      </w:r>
      <w:r>
        <w:rPr>
          <w:rFonts w:hint="eastAsia" w:ascii="Times New Roman" w:hAnsi="Times New Roman" w:cs="Times New Roman"/>
          <w:szCs w:val="21"/>
        </w:rPr>
        <w:t>（4）投标保证金（如有）</w:t>
      </w:r>
      <w:r>
        <w:rPr>
          <w:rFonts w:hint="eastAsia" w:ascii="Times New Roman" w:hAnsi="Times New Roman" w:cs="Times New Roman"/>
          <w:szCs w:val="21"/>
          <w:lang w:eastAsia="zh-CN"/>
        </w:rPr>
        <w:t>。</w:t>
      </w:r>
      <w:r>
        <w:rPr>
          <w:rFonts w:hint="eastAsia" w:ascii="Times New Roman" w:hAnsi="Times New Roman" w:cs="Times New Roman"/>
          <w:szCs w:val="21"/>
        </w:rPr>
        <w:t>（5）服务费用清单</w:t>
      </w:r>
      <w:r>
        <w:rPr>
          <w:rFonts w:hint="eastAsia" w:ascii="Times New Roman" w:hAnsi="Times New Roman" w:cs="Times New Roman"/>
          <w:szCs w:val="21"/>
          <w:lang w:eastAsia="zh-CN"/>
        </w:rPr>
        <w:t>。</w:t>
      </w:r>
      <w:r>
        <w:rPr>
          <w:rFonts w:hint="eastAsia" w:ascii="Times New Roman" w:hAnsi="Times New Roman" w:cs="Times New Roman"/>
          <w:szCs w:val="21"/>
        </w:rPr>
        <w:t>（6）资格审查资料</w:t>
      </w:r>
      <w:r>
        <w:rPr>
          <w:rFonts w:hint="eastAsia" w:ascii="Times New Roman" w:hAnsi="Times New Roman" w:cs="Times New Roman"/>
          <w:szCs w:val="21"/>
          <w:lang w:eastAsia="zh-CN"/>
        </w:rPr>
        <w:t>。</w:t>
      </w:r>
      <w:r>
        <w:rPr>
          <w:rFonts w:hint="eastAsia" w:ascii="Times New Roman" w:hAnsi="Times New Roman" w:cs="Times New Roman"/>
          <w:szCs w:val="21"/>
        </w:rPr>
        <w:t>（7）服务方案</w:t>
      </w:r>
      <w:r>
        <w:rPr>
          <w:rFonts w:hint="eastAsia" w:ascii="Times New Roman" w:hAnsi="Times New Roman" w:cs="Times New Roman"/>
          <w:szCs w:val="21"/>
          <w:lang w:eastAsia="zh-CN"/>
        </w:rPr>
        <w:t>。</w:t>
      </w:r>
      <w:r>
        <w:rPr>
          <w:rFonts w:hint="eastAsia" w:ascii="Times New Roman" w:hAnsi="Times New Roman" w:cs="Times New Roman"/>
          <w:szCs w:val="21"/>
        </w:rPr>
        <w:t>（8）其他资料</w:t>
      </w:r>
      <w:r>
        <w:rPr>
          <w:rFonts w:hint="eastAsia" w:ascii="Times New Roman" w:hAnsi="Times New Roman" w:cs="Times New Roman"/>
          <w:szCs w:val="21"/>
          <w:lang w:eastAsia="zh-CN"/>
        </w:rPr>
        <w:t>。</w:t>
      </w:r>
      <w:r>
        <w:rPr>
          <w:rFonts w:hint="eastAsia"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eastAsiaTheme="minorEastAsia"/>
          <w:szCs w:val="21"/>
          <w:lang w:eastAsia="zh-CN"/>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eastAsiaTheme="minorEastAsia"/>
          <w:szCs w:val="21"/>
          <w:lang w:eastAsia="zh-CN"/>
        </w:rPr>
      </w:pPr>
      <w:r>
        <w:rPr>
          <w:rFonts w:hint="eastAsia" w:ascii="Times New Roman" w:hAnsi="Times New Roman" w:cs="Times New Roman"/>
          <w:szCs w:val="21"/>
        </w:rPr>
        <w:t>（3）按照招标文件要求提交履约保证金</w:t>
      </w:r>
      <w:r>
        <w:rPr>
          <w:rFonts w:hint="eastAsia" w:ascii="Times New Roman" w:hAnsi="Times New Roman" w:cs="Times New Roman"/>
          <w:szCs w:val="21"/>
          <w:lang w:eastAsia="zh-CN"/>
        </w:rPr>
        <w:t>。</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84"/>
    <w:bookmarkEnd w:id="85"/>
    <w:bookmarkEnd w:id="86"/>
    <w:bookmarkEnd w:id="87"/>
    <w:bookmarkEnd w:id="88"/>
    <w:bookmarkEnd w:id="89"/>
    <w:p>
      <w:pPr>
        <w:spacing w:line="440" w:lineRule="exact"/>
        <w:outlineLvl w:val="2"/>
        <w:rPr>
          <w:rFonts w:hint="eastAsia" w:ascii="黑体" w:hAnsi="黑体" w:eastAsia="黑体" w:cs="黑体"/>
          <w:sz w:val="28"/>
          <w:szCs w:val="28"/>
        </w:rPr>
      </w:pPr>
    </w:p>
    <w:p>
      <w:pPr>
        <w:spacing w:line="440" w:lineRule="exact"/>
        <w:outlineLvl w:val="2"/>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3702"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姓名：</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服务期限</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日历天</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3</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合同价款确定方式</w:t>
            </w:r>
          </w:p>
        </w:tc>
        <w:tc>
          <w:tcPr>
            <w:tcW w:w="1984" w:type="dxa"/>
            <w:vAlign w:val="center"/>
          </w:tcPr>
          <w:p>
            <w:pPr>
              <w:spacing w:line="440" w:lineRule="exact"/>
              <w:rPr>
                <w:rFonts w:ascii="Times New Roman" w:hAnsi="Times New Roman" w:cs="Times New Roman"/>
                <w:sz w:val="20"/>
                <w:szCs w:val="20"/>
              </w:rPr>
            </w:pP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90" w:name="_Toc247514283"/>
      <w:bookmarkStart w:id="91" w:name="_Toc152042580"/>
      <w:bookmarkStart w:id="92" w:name="_Toc144974860"/>
      <w:bookmarkStart w:id="93" w:name="_Toc247527831"/>
      <w:bookmarkStart w:id="94" w:name="_Toc152045791"/>
      <w:bookmarkStart w:id="95" w:name="_Toc300835213"/>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二、法定代表人身份证明</w:t>
      </w:r>
      <w:bookmarkEnd w:id="90"/>
      <w:bookmarkEnd w:id="91"/>
      <w:bookmarkEnd w:id="92"/>
      <w:bookmarkEnd w:id="93"/>
      <w:bookmarkEnd w:id="94"/>
      <w:bookmarkEnd w:id="9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96" w:name="_Toc152045792"/>
      <w:bookmarkStart w:id="97" w:name="_Toc152042581"/>
      <w:bookmarkStart w:id="98" w:name="_Toc300835214"/>
      <w:bookmarkStart w:id="99" w:name="_Toc247527832"/>
      <w:bookmarkStart w:id="100" w:name="_Toc144974861"/>
      <w:bookmarkStart w:id="101" w:name="_Toc247514284"/>
      <w:r>
        <w:rPr>
          <w:rFonts w:ascii="Times New Roman" w:hAnsi="Times New Roman" w:cs="Times New Roman"/>
        </w:rPr>
        <w:t>二、授权委托书</w:t>
      </w:r>
      <w:bookmarkEnd w:id="96"/>
      <w:bookmarkEnd w:id="97"/>
      <w:bookmarkEnd w:id="98"/>
      <w:bookmarkEnd w:id="99"/>
      <w:bookmarkEnd w:id="100"/>
      <w:bookmarkEnd w:id="101"/>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w:t>
      </w:r>
      <w:r>
        <w:rPr>
          <w:rFonts w:hint="eastAsia" w:ascii="Times New Roman" w:hAnsi="Times New Roman" w:cs="Times New Roman"/>
          <w:szCs w:val="21"/>
        </w:rPr>
        <w:t>证复印件及委托代理人身份证复印件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102" w:name="_Toc144974862"/>
      <w:bookmarkStart w:id="103" w:name="_Toc300835216"/>
      <w:bookmarkStart w:id="104" w:name="_Toc152042583"/>
      <w:bookmarkStart w:id="105" w:name="_Toc247527834"/>
      <w:bookmarkStart w:id="106" w:name="_Toc152045794"/>
      <w:bookmarkStart w:id="107" w:name="_Toc247514286"/>
      <w:r>
        <w:rPr>
          <w:rFonts w:ascii="Times New Roman" w:hAnsi="Times New Roman" w:cs="Times New Roman"/>
        </w:rPr>
        <w:t>三、投标保证金</w:t>
      </w:r>
      <w:bookmarkEnd w:id="102"/>
      <w:bookmarkEnd w:id="103"/>
      <w:bookmarkEnd w:id="104"/>
      <w:bookmarkEnd w:id="105"/>
      <w:bookmarkEnd w:id="106"/>
      <w:bookmarkEnd w:id="107"/>
    </w:p>
    <w:p>
      <w:pPr>
        <w:wordWrap w:val="0"/>
        <w:snapToGrid w:val="0"/>
        <w:spacing w:line="520" w:lineRule="exact"/>
        <w:ind w:firstLine="460" w:firstLineChars="192"/>
        <w:rPr>
          <w:rFonts w:ascii="Times New Roman" w:hAnsi="Times New Roman" w:cs="Times New Roman"/>
          <w:bCs/>
          <w:color w:val="000000"/>
          <w:kern w:val="0"/>
          <w:sz w:val="24"/>
        </w:rPr>
      </w:pPr>
      <w:bookmarkStart w:id="108"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outlineLvl w:val="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108"/>
    <w:p>
      <w:pPr>
        <w:rPr>
          <w:rFonts w:ascii="Times New Roman" w:hAnsi="Times New Roman" w:cs="Times New Roman"/>
        </w:rPr>
      </w:pPr>
      <w:bookmarkStart w:id="109" w:name="_Toc300835218"/>
      <w:bookmarkStart w:id="110" w:name="_Toc144974863"/>
      <w:bookmarkStart w:id="111" w:name="_Toc247514287"/>
      <w:bookmarkStart w:id="112" w:name="_Toc152042584"/>
      <w:bookmarkStart w:id="113" w:name="_Toc247527835"/>
      <w:bookmarkStart w:id="114" w:name="_Toc152045795"/>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rPr>
        <w:t>服务费用清单</w:t>
      </w:r>
    </w:p>
    <w:p>
      <w:pPr>
        <w:ind w:firstLine="420" w:firstLineChars="200"/>
        <w:rPr>
          <w:rFonts w:ascii="Times New Roman" w:hAnsi="Times New Roman" w:cs="Times New Roman"/>
        </w:rPr>
      </w:pPr>
      <w:r>
        <w:rPr>
          <w:rFonts w:hint="eastAsia" w:ascii="Times New Roman" w:hAnsi="Times New Roman" w:cs="Times New Roman"/>
        </w:rPr>
        <w:t>1.服务费用清单说明</w:t>
      </w:r>
    </w:p>
    <w:p>
      <w:pPr>
        <w:rPr>
          <w:rFonts w:ascii="Times New Roman" w:hAnsi="Times New Roman" w:cs="Times New Roman"/>
        </w:rPr>
      </w:pPr>
    </w:p>
    <w:p>
      <w:pPr>
        <w:ind w:firstLine="420" w:firstLineChars="200"/>
        <w:rPr>
          <w:rFonts w:ascii="Times New Roman" w:hAnsi="Times New Roman" w:cs="Times New Roman"/>
        </w:rPr>
      </w:pPr>
      <w:r>
        <w:rPr>
          <w:rFonts w:hint="eastAsia" w:ascii="Times New Roman" w:hAnsi="Times New Roman" w:cs="Times New Roman"/>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115" w:name="_Toc247514288"/>
            <w:bookmarkStart w:id="116" w:name="_Toc152042585"/>
            <w:bookmarkStart w:id="117" w:name="_Toc247527836"/>
            <w:bookmarkStart w:id="118" w:name="_Toc152045796"/>
            <w:bookmarkStart w:id="119" w:name="_Toc144974864"/>
            <w:bookmarkStart w:id="120" w:name="_Toc300835221"/>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t>注：投标人可根据行业具体情况及招标项目特点对上表格式进行调整。</w:t>
      </w:r>
      <w:r>
        <w:rPr>
          <w:rFonts w:ascii="Times New Roman" w:hAnsi="Times New Roman" w:cs="Times New Roman"/>
        </w:rPr>
        <w:br w:type="page"/>
      </w:r>
    </w:p>
    <w:bookmarkEnd w:id="115"/>
    <w:bookmarkEnd w:id="116"/>
    <w:bookmarkEnd w:id="117"/>
    <w:bookmarkEnd w:id="118"/>
    <w:bookmarkEnd w:id="119"/>
    <w:bookmarkEnd w:id="120"/>
    <w:p>
      <w:pPr>
        <w:pStyle w:val="3"/>
        <w:jc w:val="center"/>
      </w:pPr>
      <w:bookmarkStart w:id="121" w:name="_Toc296602614"/>
      <w:bookmarkStart w:id="122" w:name="_Toc246997112"/>
      <w:bookmarkStart w:id="123" w:name="_Toc300835224"/>
      <w:bookmarkStart w:id="124" w:name="_Toc179632823"/>
      <w:bookmarkStart w:id="125" w:name="_Toc152045808"/>
      <w:bookmarkStart w:id="126" w:name="_Toc247514300"/>
      <w:bookmarkStart w:id="127" w:name="_Toc247527848"/>
      <w:bookmarkStart w:id="128" w:name="_Toc246996369"/>
      <w:bookmarkStart w:id="129" w:name="_Toc152045803"/>
      <w:bookmarkStart w:id="130" w:name="_Toc144974876"/>
      <w:bookmarkStart w:id="131" w:name="_Toc152042597"/>
      <w:bookmarkStart w:id="132" w:name="_Toc247085887"/>
      <w:bookmarkStart w:id="133" w:name="_Toc144974871"/>
      <w:bookmarkStart w:id="134" w:name="_Toc152042592"/>
      <w:r>
        <w:rPr>
          <w:rFonts w:hint="eastAsia"/>
        </w:rPr>
        <w:t>五</w:t>
      </w:r>
      <w:r>
        <w:t>、资格审查资料</w:t>
      </w:r>
    </w:p>
    <w:p>
      <w:pPr>
        <w:pStyle w:val="4"/>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26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hint="eastAsia"/>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r>
        <w:rPr>
          <w:rFonts w:hint="eastAsia"/>
        </w:rPr>
        <w:br w:type="page"/>
      </w:r>
    </w:p>
    <w:p>
      <w:pPr>
        <w:pStyle w:val="4"/>
        <w:rPr>
          <w:rFonts w:ascii="Times New Roman" w:hAnsi="Times New Roman" w:cs="Times New Roman"/>
        </w:rPr>
      </w:pPr>
      <w:r>
        <w:rPr>
          <w:rFonts w:ascii="Times New Roman" w:hAnsi="Times New Roman" w:cs="Times New Roman"/>
        </w:rPr>
        <w:t>（</w:t>
      </w:r>
      <w:r>
        <w:rPr>
          <w:rFonts w:hint="eastAsia" w:ascii="Times New Roman" w:hAnsi="Times New Roman" w:cs="Times New Roman"/>
          <w:lang w:val="en-US" w:eastAsia="zh-CN"/>
        </w:rPr>
        <w:t>二</w:t>
      </w:r>
      <w:r>
        <w:rPr>
          <w:rFonts w:ascii="Times New Roman" w:hAnsi="Times New Roman" w:cs="Times New Roman"/>
        </w:rPr>
        <w:t>）近年完成的类似项目情况表</w:t>
      </w:r>
    </w:p>
    <w:p>
      <w:pPr>
        <w:spacing w:line="440" w:lineRule="exact"/>
        <w:jc w:val="center"/>
        <w:rPr>
          <w:rFonts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hint="eastAsia" w:ascii="Times New Roman" w:hAnsi="Times New Roman" w:cs="Times New Roman" w:eastAsiaTheme="minorEastAsia"/>
          <w:lang w:eastAsia="zh-CN"/>
        </w:rPr>
      </w:pPr>
      <w:r>
        <w:rPr>
          <w:rFonts w:ascii="Times New Roman" w:hAnsi="Times New Roman" w:cs="Times New Roman"/>
        </w:rPr>
        <w:t>注：投标人应根据投标人须知第3.5.3项的要求在本表后附相关证明材料</w:t>
      </w:r>
      <w:r>
        <w:rPr>
          <w:rFonts w:hint="eastAsia" w:ascii="Times New Roman" w:hAnsi="Times New Roman" w:cs="Times New Roman"/>
          <w:lang w:eastAsia="zh-CN"/>
        </w:rPr>
        <w:t>。</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“近年完成的类似项目情况表”应附中标通知书或合同协议书或发包人出具的证明文件</w:t>
      </w:r>
      <w:r>
        <w:rPr>
          <w:rFonts w:hint="eastAsia" w:ascii="Times New Roman" w:hAnsi="Times New Roman" w:cs="Times New Roman"/>
          <w:lang w:eastAsia="zh-CN"/>
        </w:rPr>
        <w:t>。</w:t>
      </w:r>
      <w:r>
        <w:rPr>
          <w:rFonts w:hint="eastAsia" w:ascii="Times New Roman" w:hAnsi="Times New Roman" w:cs="Times New Roman"/>
        </w:rPr>
        <w:t>具体时间要求见投标人须知前附表，每张表格只填写一个项目，并标明序号。</w:t>
      </w:r>
    </w:p>
    <w:p>
      <w:r>
        <w:rPr>
          <w:rFonts w:hint="eastAsia"/>
        </w:rPr>
        <w:br w:type="page"/>
      </w: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w:t>
      </w:r>
      <w:r>
        <w:rPr>
          <w:rFonts w:hint="eastAsia" w:ascii="Times New Roman" w:hAnsi="Times New Roman" w:cs="Times New Roman"/>
          <w:lang w:val="en-US" w:eastAsia="zh-CN"/>
        </w:rPr>
        <w:t>三</w:t>
      </w:r>
      <w:r>
        <w:rPr>
          <w:rFonts w:hint="eastAsia" w:ascii="Times New Roman" w:hAnsi="Times New Roman" w:cs="Times New Roman"/>
        </w:rPr>
        <w:t>）拟委任的主要人员汇总表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48"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rPr>
            </w:pPr>
          </w:p>
        </w:tc>
        <w:tc>
          <w:tcPr>
            <w:tcW w:w="948"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1"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rPr>
          <w:i/>
          <w:iCs/>
          <w:color w:val="FF0000"/>
          <w:u w:val="single"/>
        </w:rPr>
      </w:pP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w:t>
      </w:r>
      <w:r>
        <w:rPr>
          <w:rFonts w:hint="eastAsia" w:ascii="Times New Roman" w:hAnsi="Times New Roman" w:cs="Times New Roman"/>
          <w:lang w:val="en-US" w:eastAsia="zh-CN"/>
        </w:rPr>
        <w:t>四</w:t>
      </w:r>
      <w:r>
        <w:rPr>
          <w:rFonts w:hint="eastAsia" w:ascii="Times New Roman" w:hAnsi="Times New Roman" w:cs="Times New Roman"/>
        </w:rPr>
        <w:t>）主要人员简历表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w:t>
      </w:r>
    </w:p>
    <w:p>
      <w:pPr>
        <w:rPr>
          <w:i/>
          <w:iCs/>
          <w:color w:val="FF0000"/>
          <w:u w:val="single"/>
        </w:rPr>
      </w:pPr>
      <w:r>
        <w:rPr>
          <w:rFonts w:hint="eastAsia"/>
          <w:i/>
          <w:iCs/>
          <w:color w:val="FF0000"/>
          <w:u w:val="single"/>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3"/>
        <w:jc w:val="center"/>
      </w:pPr>
      <w:r>
        <w:rPr>
          <w:rFonts w:hint="eastAsia"/>
        </w:rPr>
        <w:t>六</w:t>
      </w:r>
      <w:r>
        <w:t>、</w:t>
      </w:r>
      <w:r>
        <w:rPr>
          <w:rFonts w:hint="eastAsia"/>
        </w:rPr>
        <w:t>服务方案</w:t>
      </w:r>
    </w:p>
    <w:p>
      <w:pPr>
        <w:spacing w:line="440" w:lineRule="exact"/>
        <w:rPr>
          <w:rFonts w:ascii="Times New Roman" w:hAnsi="Times New Roman" w:cs="Times New Roman"/>
        </w:rPr>
      </w:pPr>
      <w:r>
        <w:rPr>
          <w:rFonts w:hint="eastAsia" w:ascii="Times New Roman" w:hAnsi="Times New Roman" w:cs="Times New Roman"/>
          <w:lang w:val="en-US" w:eastAsia="zh-CN"/>
        </w:rPr>
        <w:t>监理</w:t>
      </w:r>
      <w:r>
        <w:rPr>
          <w:rFonts w:hint="eastAsia" w:ascii="Times New Roman" w:hAnsi="Times New Roman" w:cs="Times New Roman"/>
        </w:rPr>
        <w:t>方案应包括（但不限于）下列内容：</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一、项目概况</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二、服务范围、服务内容</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三、工作依据、工作目标</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四、机构设置（框图）、岗位职责</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五、服务说明和服务方案</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六、拟投入的主要人员</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七、质量、进度、保密等保证措施</w:t>
      </w:r>
      <w:r>
        <w:rPr>
          <w:rFonts w:hint="eastAsia" w:ascii="Times New Roman" w:hAnsi="Times New Roman" w:cs="Times New Roman"/>
          <w:lang w:eastAsia="zh-CN"/>
        </w:rPr>
        <w:t>。</w:t>
      </w:r>
    </w:p>
    <w:p>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八、安全保证措施</w:t>
      </w:r>
      <w:r>
        <w:rPr>
          <w:rFonts w:hint="eastAsia" w:ascii="Times New Roman" w:hAnsi="Times New Roman" w:cs="Times New Roman"/>
          <w:lang w:eastAsia="zh-CN"/>
        </w:rPr>
        <w:t>。</w:t>
      </w:r>
    </w:p>
    <w:p>
      <w:pPr>
        <w:spacing w:line="440" w:lineRule="exact"/>
        <w:rPr>
          <w:rFonts w:ascii="Times New Roman" w:hAnsi="Times New Roman" w:cs="Times New Roman"/>
        </w:rPr>
      </w:pPr>
      <w:r>
        <w:rPr>
          <w:rFonts w:hint="eastAsia" w:ascii="Times New Roman" w:hAnsi="Times New Roman" w:cs="Times New Roman"/>
        </w:rPr>
        <w:t>九、工作重点、难点分析</w:t>
      </w:r>
    </w:p>
    <w:p>
      <w:pPr>
        <w:spacing w:line="440" w:lineRule="exact"/>
        <w:rPr>
          <w:rFonts w:ascii="Times New Roman" w:hAnsi="Times New Roman" w:cs="Times New Roman"/>
        </w:rPr>
      </w:pPr>
      <w:r>
        <w:rPr>
          <w:rFonts w:hint="eastAsia" w:ascii="Times New Roman" w:hAnsi="Times New Roman" w:cs="Times New Roman"/>
        </w:rPr>
        <w:t>十、对本项目的合理化建议。</w:t>
      </w:r>
    </w:p>
    <w:p>
      <w:pPr>
        <w:rPr>
          <w:rFonts w:ascii="Times New Roman" w:hAnsi="Times New Roman" w:cs="Times New Roman"/>
        </w:rPr>
      </w:pPr>
      <w:r>
        <w:rPr>
          <w:rFonts w:ascii="Times New Roman" w:hAnsi="Times New Roman" w:cs="Times New Roman"/>
        </w:rPr>
        <w:br w:type="page"/>
      </w:r>
    </w:p>
    <w:p>
      <w:pPr>
        <w:pStyle w:val="3"/>
        <w:jc w:val="center"/>
        <w:rPr>
          <w:rFonts w:ascii="Times New Roman" w:hAnsi="Times New Roman" w:cs="Times New Roman"/>
        </w:rPr>
      </w:pPr>
      <w:bookmarkStart w:id="135" w:name="_Toc300835233"/>
      <w:bookmarkStart w:id="136" w:name="_Toc271821942"/>
      <w:r>
        <w:rPr>
          <w:rFonts w:hint="eastAsia" w:ascii="Times New Roman" w:hAnsi="Times New Roman" w:cs="Times New Roman"/>
        </w:rPr>
        <w:t>七</w:t>
      </w:r>
      <w:r>
        <w:rPr>
          <w:rFonts w:ascii="Times New Roman" w:hAnsi="Times New Roman" w:cs="Times New Roman"/>
        </w:rPr>
        <w:t>、其他资料</w:t>
      </w:r>
      <w:bookmarkEnd w:id="135"/>
      <w:bookmarkEnd w:id="136"/>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rPr>
          <w:rFonts w:ascii="Times New Roman" w:hAnsi="Times New Roman" w:eastAsia="宋体" w:cs="Times New Roman"/>
          <w:kern w:val="0"/>
          <w:sz w:val="24"/>
        </w:rPr>
      </w:pPr>
    </w:p>
    <w:p/>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473E29"/>
    <w:multiLevelType w:val="singleLevel"/>
    <w:tmpl w:val="1D473E29"/>
    <w:lvl w:ilvl="0" w:tentative="0">
      <w:start w:val="3"/>
      <w:numFmt w:val="decimal"/>
      <w:suff w:val="nothing"/>
      <w:lvlText w:val="%1、"/>
      <w:lvlJc w:val="left"/>
    </w:lvl>
  </w:abstractNum>
  <w:abstractNum w:abstractNumId="1">
    <w:nsid w:val="3D6CF14A"/>
    <w:multiLevelType w:val="singleLevel"/>
    <w:tmpl w:val="3D6CF14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442B17CE"/>
    <w:rsid w:val="00311558"/>
    <w:rsid w:val="003D19D4"/>
    <w:rsid w:val="00410355"/>
    <w:rsid w:val="00CB51BD"/>
    <w:rsid w:val="01C54D1A"/>
    <w:rsid w:val="026C3B4B"/>
    <w:rsid w:val="026D3223"/>
    <w:rsid w:val="02D212D8"/>
    <w:rsid w:val="03393105"/>
    <w:rsid w:val="040A2CF3"/>
    <w:rsid w:val="04920975"/>
    <w:rsid w:val="04A96068"/>
    <w:rsid w:val="05FE23E4"/>
    <w:rsid w:val="067F3525"/>
    <w:rsid w:val="072C7501"/>
    <w:rsid w:val="078B1060"/>
    <w:rsid w:val="080D2DB2"/>
    <w:rsid w:val="08D107D5"/>
    <w:rsid w:val="098B02A0"/>
    <w:rsid w:val="09B554AF"/>
    <w:rsid w:val="0A287A2F"/>
    <w:rsid w:val="0AE37FA3"/>
    <w:rsid w:val="0AEB708B"/>
    <w:rsid w:val="0B70168E"/>
    <w:rsid w:val="0BC11EE9"/>
    <w:rsid w:val="0BFE4EEC"/>
    <w:rsid w:val="0C9475FE"/>
    <w:rsid w:val="0CCA74C4"/>
    <w:rsid w:val="0DA37A17"/>
    <w:rsid w:val="0DBF68FD"/>
    <w:rsid w:val="0EBF1620"/>
    <w:rsid w:val="0F8B118C"/>
    <w:rsid w:val="105A27E6"/>
    <w:rsid w:val="10797237"/>
    <w:rsid w:val="118C2F9A"/>
    <w:rsid w:val="121F5BBC"/>
    <w:rsid w:val="12CD5618"/>
    <w:rsid w:val="154F3251"/>
    <w:rsid w:val="157D1577"/>
    <w:rsid w:val="15E56733"/>
    <w:rsid w:val="171E6442"/>
    <w:rsid w:val="177B3E6B"/>
    <w:rsid w:val="1883222F"/>
    <w:rsid w:val="190B6E9A"/>
    <w:rsid w:val="197C1B46"/>
    <w:rsid w:val="1AF61C18"/>
    <w:rsid w:val="1B0B3181"/>
    <w:rsid w:val="1BAD4238"/>
    <w:rsid w:val="1BE676D6"/>
    <w:rsid w:val="1CF53848"/>
    <w:rsid w:val="1E1C7EAE"/>
    <w:rsid w:val="1E641DBE"/>
    <w:rsid w:val="1F4E188E"/>
    <w:rsid w:val="218F03EF"/>
    <w:rsid w:val="21FA7AAB"/>
    <w:rsid w:val="22947F00"/>
    <w:rsid w:val="229B303C"/>
    <w:rsid w:val="23256DAA"/>
    <w:rsid w:val="240115C5"/>
    <w:rsid w:val="24B44889"/>
    <w:rsid w:val="24FF6042"/>
    <w:rsid w:val="251946ED"/>
    <w:rsid w:val="265C2666"/>
    <w:rsid w:val="26CA2142"/>
    <w:rsid w:val="28034EF9"/>
    <w:rsid w:val="28757E8C"/>
    <w:rsid w:val="28ED7470"/>
    <w:rsid w:val="298760C9"/>
    <w:rsid w:val="2CEB4BC0"/>
    <w:rsid w:val="2D662499"/>
    <w:rsid w:val="2D76763C"/>
    <w:rsid w:val="2F234AE5"/>
    <w:rsid w:val="2F3F11F4"/>
    <w:rsid w:val="2F713AA3"/>
    <w:rsid w:val="303643A5"/>
    <w:rsid w:val="311E5564"/>
    <w:rsid w:val="313C1E8F"/>
    <w:rsid w:val="31FF5F57"/>
    <w:rsid w:val="320C7AB3"/>
    <w:rsid w:val="322956AB"/>
    <w:rsid w:val="324D32EC"/>
    <w:rsid w:val="329F0927"/>
    <w:rsid w:val="32B83797"/>
    <w:rsid w:val="32CB477E"/>
    <w:rsid w:val="32E20814"/>
    <w:rsid w:val="332826CA"/>
    <w:rsid w:val="335C4122"/>
    <w:rsid w:val="343E7CCC"/>
    <w:rsid w:val="35074561"/>
    <w:rsid w:val="35904557"/>
    <w:rsid w:val="35BE09FB"/>
    <w:rsid w:val="360B0081"/>
    <w:rsid w:val="360F1920"/>
    <w:rsid w:val="36321AB2"/>
    <w:rsid w:val="36590DED"/>
    <w:rsid w:val="36D93CDC"/>
    <w:rsid w:val="3710594F"/>
    <w:rsid w:val="386436F9"/>
    <w:rsid w:val="38A10829"/>
    <w:rsid w:val="38B844F1"/>
    <w:rsid w:val="39202096"/>
    <w:rsid w:val="395064D7"/>
    <w:rsid w:val="3A192D6D"/>
    <w:rsid w:val="3BB23479"/>
    <w:rsid w:val="3C535A76"/>
    <w:rsid w:val="3C86449E"/>
    <w:rsid w:val="3DD516A1"/>
    <w:rsid w:val="3DE47CE0"/>
    <w:rsid w:val="3E636CAD"/>
    <w:rsid w:val="3E66054B"/>
    <w:rsid w:val="3FF60466"/>
    <w:rsid w:val="40181D19"/>
    <w:rsid w:val="40890521"/>
    <w:rsid w:val="425863FC"/>
    <w:rsid w:val="42A96C58"/>
    <w:rsid w:val="42E3216A"/>
    <w:rsid w:val="442B17CE"/>
    <w:rsid w:val="44B00772"/>
    <w:rsid w:val="452A7F58"/>
    <w:rsid w:val="46965745"/>
    <w:rsid w:val="46B92722"/>
    <w:rsid w:val="475816C8"/>
    <w:rsid w:val="482E032B"/>
    <w:rsid w:val="488B2930"/>
    <w:rsid w:val="48CA15A1"/>
    <w:rsid w:val="493279A7"/>
    <w:rsid w:val="4AC42881"/>
    <w:rsid w:val="4B1650A7"/>
    <w:rsid w:val="4C2C2250"/>
    <w:rsid w:val="4C8F5111"/>
    <w:rsid w:val="4D6E11CA"/>
    <w:rsid w:val="4DED4962"/>
    <w:rsid w:val="4E2B70BB"/>
    <w:rsid w:val="50744D49"/>
    <w:rsid w:val="50AD2009"/>
    <w:rsid w:val="51FB017D"/>
    <w:rsid w:val="525C5A95"/>
    <w:rsid w:val="52BF7DD2"/>
    <w:rsid w:val="53B8765E"/>
    <w:rsid w:val="555C7B5A"/>
    <w:rsid w:val="56691A07"/>
    <w:rsid w:val="57081D47"/>
    <w:rsid w:val="573214BA"/>
    <w:rsid w:val="57A75A04"/>
    <w:rsid w:val="57A852D8"/>
    <w:rsid w:val="5825174F"/>
    <w:rsid w:val="582E1C82"/>
    <w:rsid w:val="58733B38"/>
    <w:rsid w:val="59832B94"/>
    <w:rsid w:val="59C83A10"/>
    <w:rsid w:val="59D2488F"/>
    <w:rsid w:val="59FD190B"/>
    <w:rsid w:val="5ABC17C7"/>
    <w:rsid w:val="5ACE308F"/>
    <w:rsid w:val="5B352817"/>
    <w:rsid w:val="5B3F7BDF"/>
    <w:rsid w:val="5C010D1F"/>
    <w:rsid w:val="5CB851BF"/>
    <w:rsid w:val="5CE62B2B"/>
    <w:rsid w:val="5DB06C95"/>
    <w:rsid w:val="5DBC1ADE"/>
    <w:rsid w:val="5DE80B25"/>
    <w:rsid w:val="5E304AF2"/>
    <w:rsid w:val="5EB97DCB"/>
    <w:rsid w:val="5ED076F9"/>
    <w:rsid w:val="5EF534F9"/>
    <w:rsid w:val="5EF62DCD"/>
    <w:rsid w:val="5F5F4E16"/>
    <w:rsid w:val="603B318E"/>
    <w:rsid w:val="618047EF"/>
    <w:rsid w:val="628C7CD0"/>
    <w:rsid w:val="63604CB9"/>
    <w:rsid w:val="63C5778C"/>
    <w:rsid w:val="64662CCF"/>
    <w:rsid w:val="649B069F"/>
    <w:rsid w:val="64BC23C3"/>
    <w:rsid w:val="6530528B"/>
    <w:rsid w:val="65711400"/>
    <w:rsid w:val="657D7DA4"/>
    <w:rsid w:val="664B39FF"/>
    <w:rsid w:val="673F5EBD"/>
    <w:rsid w:val="68ED6FEF"/>
    <w:rsid w:val="691722BE"/>
    <w:rsid w:val="6922138F"/>
    <w:rsid w:val="69252C2D"/>
    <w:rsid w:val="6A753740"/>
    <w:rsid w:val="6B00125C"/>
    <w:rsid w:val="6BB753AB"/>
    <w:rsid w:val="6BCC55E2"/>
    <w:rsid w:val="6C904861"/>
    <w:rsid w:val="6D2762B9"/>
    <w:rsid w:val="6F2B6AC3"/>
    <w:rsid w:val="71791D68"/>
    <w:rsid w:val="726F1340"/>
    <w:rsid w:val="73245D03"/>
    <w:rsid w:val="73922BF0"/>
    <w:rsid w:val="73F751C6"/>
    <w:rsid w:val="740578E3"/>
    <w:rsid w:val="740A314B"/>
    <w:rsid w:val="74913B1E"/>
    <w:rsid w:val="74B17A6A"/>
    <w:rsid w:val="74E90FB2"/>
    <w:rsid w:val="75734D20"/>
    <w:rsid w:val="758807CB"/>
    <w:rsid w:val="772C162A"/>
    <w:rsid w:val="78A31478"/>
    <w:rsid w:val="7BC61286"/>
    <w:rsid w:val="7C1A5EF5"/>
    <w:rsid w:val="7D7564C5"/>
    <w:rsid w:val="7DCE76CA"/>
    <w:rsid w:val="7E883224"/>
    <w:rsid w:val="7F0D0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style4"/>
    <w:basedOn w:val="1"/>
    <w:next w:val="9"/>
    <w:qFormat/>
    <w:uiPriority w:val="0"/>
    <w:pPr>
      <w:widowControl/>
      <w:spacing w:before="280" w:after="280"/>
    </w:pPr>
    <w:rPr>
      <w:rFonts w:ascii="宋体" w:eastAsia="宋体"/>
      <w:sz w:val="18"/>
    </w:rPr>
  </w:style>
  <w:style w:type="paragraph" w:customStyle="1" w:styleId="9">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10">
    <w:name w:val="Body Text Indent"/>
    <w:basedOn w:val="1"/>
    <w:next w:val="11"/>
    <w:qFormat/>
    <w:uiPriority w:val="0"/>
    <w:pPr>
      <w:spacing w:after="120"/>
      <w:ind w:left="420" w:leftChars="200"/>
    </w:pPr>
  </w:style>
  <w:style w:type="paragraph" w:customStyle="1" w:styleId="11">
    <w:name w:val="font5"/>
    <w:basedOn w:val="1"/>
    <w:qFormat/>
    <w:uiPriority w:val="0"/>
    <w:pPr>
      <w:widowControl/>
      <w:spacing w:before="100" w:beforeAutospacing="1" w:after="100" w:afterAutospacing="1"/>
      <w:jc w:val="left"/>
    </w:pPr>
    <w:rPr>
      <w:rFonts w:hint="eastAsia" w:ascii="宋体" w:hAnsi="宋体"/>
      <w:kern w:val="0"/>
      <w:sz w:val="24"/>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First Indent"/>
    <w:basedOn w:val="7"/>
    <w:next w:val="1"/>
    <w:qFormat/>
    <w:uiPriority w:val="0"/>
    <w:pPr>
      <w:ind w:firstLine="420" w:firstLineChars="100"/>
    </w:pPr>
  </w:style>
  <w:style w:type="paragraph" w:styleId="15">
    <w:name w:val="Body Text First Indent 2"/>
    <w:basedOn w:val="10"/>
    <w:next w:val="14"/>
    <w:unhideWhenUsed/>
    <w:qFormat/>
    <w:uiPriority w:val="0"/>
    <w:pPr>
      <w:ind w:firstLine="420" w:firstLine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列出段落1"/>
    <w:basedOn w:val="1"/>
    <w:qFormat/>
    <w:uiPriority w:val="34"/>
    <w:pPr>
      <w:ind w:firstLine="420" w:firstLineChars="200"/>
    </w:pPr>
  </w:style>
  <w:style w:type="table" w:customStyle="1" w:styleId="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11867</Words>
  <Characters>13299</Characters>
  <Lines>0</Lines>
  <Paragraphs>0</Paragraphs>
  <TotalTime>36</TotalTime>
  <ScaleCrop>false</ScaleCrop>
  <LinksUpToDate>false</LinksUpToDate>
  <CharactersWithSpaces>14752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2023-06-07T10:03:00Z</dcterms:created>
  <dc:creator>毛延安</dc:creator>
  <cp:lastModifiedBy>TiMe</cp:lastModifiedBy>
  <dcterms:modified xsi:type="dcterms:W3CDTF">2023-06-19T02:49:21Z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E1EE712C69494735A47D1A5F2571C4B3_13</vt:lpwstr>
  </property>
</Properties>
</file>