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2023年-2024年非公开发行公司债券主承销商库项目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15</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 xml:space="preserve">亳州交通投资控股集团有限公司 </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2023年4</w:t>
      </w:r>
      <w:r>
        <w:rPr>
          <w:rFonts w:hint="eastAsia" w:ascii="Times New Roman" w:hAnsi="Times New Roman" w:eastAsia="楷体" w:cs="Times New Roman"/>
          <w:kern w:val="0"/>
          <w:sz w:val="32"/>
          <w:szCs w:val="32"/>
          <w:highlight w:val="none"/>
          <w:u w:val="none"/>
          <w:shd w:val="clear" w:color="auto" w:fill="auto"/>
          <w:lang w:val="en-US" w:eastAsia="zh-CN"/>
        </w:rPr>
        <w:t>月25日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bookmarkStart w:id="117" w:name="_GoBack"/>
      <w:bookmarkEnd w:id="117"/>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color w:val="auto"/>
          <w:sz w:val="28"/>
          <w:szCs w:val="28"/>
          <w:highlight w:val="none"/>
          <w:u w:val="single"/>
          <w:lang w:val="en-US" w:eastAsia="zh-CN"/>
        </w:rPr>
      </w:pPr>
      <w:r>
        <w:rPr>
          <w:rFonts w:hint="eastAsia" w:ascii="Times New Roman" w:hAnsi="Times New Roman" w:eastAsia="黑体" w:cs="Times New Roman"/>
          <w:color w:val="auto"/>
          <w:sz w:val="28"/>
          <w:szCs w:val="28"/>
          <w:highlight w:val="none"/>
          <w:u w:val="singl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color w:val="auto"/>
          <w:sz w:val="28"/>
          <w:szCs w:val="28"/>
          <w:highlight w:val="none"/>
          <w:lang w:val="en-US" w:eastAsia="zh-CN"/>
        </w:rPr>
      </w:pPr>
      <w:r>
        <w:rPr>
          <w:rFonts w:hint="eastAsia" w:ascii="Times New Roman" w:hAnsi="Times New Roman" w:eastAsia="黑体" w:cs="Times New Roman"/>
          <w:color w:val="auto"/>
          <w:sz w:val="28"/>
          <w:szCs w:val="28"/>
          <w:highlight w:val="none"/>
          <w:u w:val="single"/>
          <w:lang w:val="en-US" w:eastAsia="zh-CN"/>
        </w:rPr>
        <w:t>2023年-2024年非公开发行公司债券主承销商库项目</w:t>
      </w:r>
      <w:r>
        <w:rPr>
          <w:rFonts w:hint="eastAsia" w:ascii="Times New Roman" w:hAnsi="Times New Roman" w:eastAsia="黑体" w:cs="Times New Roman"/>
          <w:color w:val="auto"/>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FF0000"/>
          <w:sz w:val="28"/>
          <w:szCs w:val="28"/>
          <w:highlight w:val="none"/>
          <w:lang w:val="en-US" w:eastAsia="zh-CN"/>
        </w:rPr>
      </w:pPr>
      <w:bookmarkStart w:id="0" w:name="_Toc152042295"/>
      <w:bookmarkStart w:id="1" w:name="_Toc246996166"/>
      <w:bookmarkStart w:id="2" w:name="_Toc247085680"/>
      <w:bookmarkStart w:id="3" w:name="_Toc296602410"/>
      <w:bookmarkStart w:id="4" w:name="_Toc246996909"/>
      <w:bookmarkStart w:id="5" w:name="_Toc144974487"/>
      <w:bookmarkStart w:id="6" w:name="_Toc179632536"/>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color w:val="auto"/>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8" w:name="_Toc152042296"/>
      <w:bookmarkStart w:id="9" w:name="_Toc179632537"/>
      <w:bookmarkStart w:id="10" w:name="_Toc246996167"/>
      <w:bookmarkStart w:id="11" w:name="_Toc296602411"/>
      <w:bookmarkStart w:id="12" w:name="_Toc247085681"/>
      <w:bookmarkStart w:id="13" w:name="_Toc246996910"/>
      <w:bookmarkStart w:id="14" w:name="_Toc144974488"/>
      <w:bookmarkStart w:id="15" w:name="_Toc152045520"/>
      <w:r>
        <w:rPr>
          <w:rFonts w:hint="default" w:ascii="Times New Roman" w:hAnsi="Times New Roman" w:eastAsia="仿宋_GB2312" w:cs="Times New Roman"/>
          <w:color w:val="auto"/>
          <w:sz w:val="28"/>
          <w:szCs w:val="28"/>
          <w:highlight w:val="none"/>
          <w:lang w:val="en-US" w:eastAsia="zh-CN"/>
        </w:rPr>
        <w:t>本招标项目为</w:t>
      </w:r>
      <w:r>
        <w:rPr>
          <w:rFonts w:hint="default" w:ascii="Times New Roman" w:hAnsi="Times New Roman" w:eastAsia="仿宋_GB2312" w:cs="Times New Roman"/>
          <w:color w:val="auto"/>
          <w:sz w:val="28"/>
          <w:szCs w:val="28"/>
          <w:highlight w:val="none"/>
          <w:u w:val="single"/>
          <w:lang w:val="en-US" w:eastAsia="zh-CN"/>
        </w:rPr>
        <w:t>亳州交通投资控股集团有限公司2023年-2024年非公开发行公司债</w:t>
      </w:r>
      <w:r>
        <w:rPr>
          <w:rFonts w:hint="eastAsia" w:ascii="Times New Roman" w:hAnsi="Times New Roman" w:eastAsia="仿宋_GB2312" w:cs="Times New Roman"/>
          <w:color w:val="auto"/>
          <w:sz w:val="28"/>
          <w:szCs w:val="28"/>
          <w:highlight w:val="none"/>
          <w:u w:val="single"/>
          <w:lang w:val="en-US" w:eastAsia="zh-CN"/>
        </w:rPr>
        <w:t>券</w:t>
      </w:r>
      <w:r>
        <w:rPr>
          <w:rFonts w:hint="default" w:ascii="Times New Roman" w:hAnsi="Times New Roman" w:eastAsia="仿宋_GB2312" w:cs="Times New Roman"/>
          <w:color w:val="auto"/>
          <w:sz w:val="28"/>
          <w:szCs w:val="28"/>
          <w:highlight w:val="none"/>
          <w:u w:val="single"/>
          <w:lang w:val="en-US" w:eastAsia="zh-CN"/>
        </w:rPr>
        <w:t>主承销商库</w:t>
      </w:r>
      <w:r>
        <w:rPr>
          <w:rFonts w:hint="default" w:ascii="Times New Roman" w:hAnsi="Times New Roman" w:eastAsia="仿宋_GB2312" w:cs="Times New Roman"/>
          <w:color w:val="auto"/>
          <w:sz w:val="28"/>
          <w:szCs w:val="28"/>
          <w:highlight w:val="none"/>
          <w:lang w:val="en-US" w:eastAsia="zh-CN"/>
        </w:rPr>
        <w:t>，项目编号为</w:t>
      </w:r>
      <w:r>
        <w:rPr>
          <w:rFonts w:hint="default" w:ascii="Times New Roman" w:hAnsi="Times New Roman" w:eastAsia="仿宋_GB2312" w:cs="Times New Roman"/>
          <w:color w:val="auto"/>
          <w:sz w:val="28"/>
          <w:szCs w:val="28"/>
          <w:highlight w:val="none"/>
          <w:u w:val="single"/>
          <w:lang w:val="en-US" w:eastAsia="zh-CN"/>
        </w:rPr>
        <w:t>BZJK-2023-</w:t>
      </w:r>
      <w:r>
        <w:rPr>
          <w:rFonts w:hint="eastAsia" w:ascii="Times New Roman" w:hAnsi="Times New Roman" w:eastAsia="仿宋_GB2312" w:cs="Times New Roman"/>
          <w:color w:val="auto"/>
          <w:sz w:val="28"/>
          <w:szCs w:val="28"/>
          <w:highlight w:val="none"/>
          <w:u w:val="single"/>
          <w:lang w:val="en-US" w:eastAsia="zh-CN"/>
        </w:rPr>
        <w:t>15</w:t>
      </w:r>
      <w:r>
        <w:rPr>
          <w:rFonts w:hint="default" w:ascii="Times New Roman" w:hAnsi="Times New Roman" w:eastAsia="仿宋_GB2312" w:cs="Times New Roman"/>
          <w:color w:val="auto"/>
          <w:sz w:val="28"/>
          <w:szCs w:val="28"/>
          <w:highlight w:val="none"/>
          <w:u w:val="single"/>
          <w:lang w:val="en-US" w:eastAsia="zh-CN"/>
        </w:rPr>
        <w:t>号</w:t>
      </w:r>
      <w:r>
        <w:rPr>
          <w:rFonts w:hint="default" w:ascii="Times New Roman" w:hAnsi="Times New Roman" w:eastAsia="仿宋_GB2312" w:cs="Times New Roman"/>
          <w:color w:val="auto"/>
          <w:sz w:val="28"/>
          <w:szCs w:val="28"/>
          <w:highlight w:val="none"/>
          <w:lang w:val="en-US" w:eastAsia="zh-CN"/>
        </w:rPr>
        <w:t>，招标人为</w:t>
      </w:r>
      <w:r>
        <w:rPr>
          <w:rFonts w:hint="default" w:ascii="Times New Roman" w:hAnsi="Times New Roman" w:eastAsia="仿宋_GB2312" w:cs="Times New Roman"/>
          <w:color w:val="auto"/>
          <w:sz w:val="28"/>
          <w:szCs w:val="28"/>
          <w:highlight w:val="none"/>
          <w:u w:val="single"/>
          <w:lang w:val="en-US" w:eastAsia="zh-CN"/>
        </w:rPr>
        <w:t>亳州交通投资控股集团有限公司</w:t>
      </w:r>
      <w:r>
        <w:rPr>
          <w:rFonts w:hint="default" w:ascii="Times New Roman" w:hAnsi="Times New Roman" w:eastAsia="仿宋_GB2312" w:cs="Times New Roman"/>
          <w:color w:val="auto"/>
          <w:sz w:val="28"/>
          <w:szCs w:val="28"/>
          <w:highlight w:val="none"/>
          <w:lang w:val="en-US" w:eastAsia="zh-CN"/>
        </w:rPr>
        <w:t>，项目资金来自</w:t>
      </w:r>
      <w:r>
        <w:rPr>
          <w:rFonts w:hint="default" w:ascii="Times New Roman" w:hAnsi="Times New Roman" w:eastAsia="仿宋_GB2312" w:cs="Times New Roman"/>
          <w:color w:val="auto"/>
          <w:sz w:val="28"/>
          <w:szCs w:val="28"/>
          <w:highlight w:val="none"/>
          <w:u w:val="single"/>
          <w:lang w:val="en-US" w:eastAsia="zh-CN"/>
        </w:rPr>
        <w:t>业主自筹</w:t>
      </w:r>
      <w:r>
        <w:rPr>
          <w:rFonts w:hint="default" w:ascii="Times New Roman" w:hAnsi="Times New Roman" w:eastAsia="仿宋_GB2312" w:cs="Times New Roman"/>
          <w:color w:val="auto"/>
          <w:sz w:val="28"/>
          <w:szCs w:val="28"/>
          <w:highlight w:val="none"/>
          <w:lang w:val="en-US" w:eastAsia="zh-CN"/>
        </w:rPr>
        <w:t>，出资比例为</w:t>
      </w:r>
      <w:r>
        <w:rPr>
          <w:rFonts w:hint="default" w:ascii="Times New Roman" w:hAnsi="Times New Roman" w:eastAsia="仿宋_GB2312" w:cs="Times New Roman"/>
          <w:color w:val="auto"/>
          <w:sz w:val="28"/>
          <w:szCs w:val="28"/>
          <w:highlight w:val="none"/>
          <w:u w:val="single"/>
          <w:lang w:val="en-US" w:eastAsia="zh-CN"/>
        </w:rPr>
        <w:t>100%</w:t>
      </w:r>
      <w:r>
        <w:rPr>
          <w:rFonts w:hint="default" w:ascii="Times New Roman" w:hAnsi="Times New Roman" w:eastAsia="仿宋_GB2312" w:cs="Times New Roman"/>
          <w:color w:val="auto"/>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default" w:ascii="黑体" w:hAnsi="黑体" w:eastAsia="黑体" w:cs="黑体"/>
          <w:color w:val="auto"/>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招标人预计分两期申请注册发行总额不超过10亿元的公司债券，每期注册发行额度不超过5亿元，每期发行期限不超过3年（含），分别用于偿还招标人2024年1月和2025年3月到期的公司债券。</w:t>
      </w:r>
      <w:r>
        <w:rPr>
          <w:rFonts w:hint="default" w:ascii="Times New Roman" w:hAnsi="Times New Roman" w:eastAsia="仿宋_GB2312" w:cs="Times New Roman"/>
          <w:sz w:val="28"/>
          <w:szCs w:val="28"/>
          <w:highlight w:val="none"/>
          <w:lang w:val="en-US" w:eastAsia="zh-CN"/>
        </w:rPr>
        <w:t>经招标入库的单位，将作为交控集团</w:t>
      </w:r>
      <w:r>
        <w:rPr>
          <w:rFonts w:hint="eastAsia" w:ascii="Times New Roman" w:hAnsi="Times New Roman" w:eastAsia="仿宋_GB2312" w:cs="Times New Roman"/>
          <w:sz w:val="28"/>
          <w:szCs w:val="28"/>
          <w:highlight w:val="none"/>
          <w:lang w:val="en-US" w:eastAsia="zh-CN"/>
        </w:rPr>
        <w:t>以上两期</w:t>
      </w:r>
      <w:r>
        <w:rPr>
          <w:rFonts w:hint="default" w:ascii="Times New Roman" w:hAnsi="Times New Roman" w:eastAsia="仿宋_GB2312" w:cs="Times New Roman"/>
          <w:sz w:val="28"/>
          <w:szCs w:val="28"/>
          <w:highlight w:val="none"/>
          <w:lang w:val="en-US" w:eastAsia="zh-CN"/>
        </w:rPr>
        <w:t>公司债券承销服务的优先合作对象，负责债券的牵头承销及发行工</w:t>
      </w:r>
      <w:r>
        <w:rPr>
          <w:rFonts w:hint="default" w:ascii="Times New Roman" w:hAnsi="Times New Roman" w:eastAsia="仿宋_GB2312" w:cs="Times New Roman"/>
          <w:color w:val="auto"/>
          <w:sz w:val="28"/>
          <w:szCs w:val="28"/>
          <w:highlight w:val="none"/>
          <w:lang w:val="en-US" w:eastAsia="zh-CN"/>
        </w:rPr>
        <w:t>作</w:t>
      </w:r>
      <w:r>
        <w:rPr>
          <w:rFonts w:hint="eastAsia" w:ascii="Times New Roman" w:hAnsi="Times New Roman" w:eastAsia="仿宋_GB2312" w:cs="Times New Roman"/>
          <w:color w:val="auto"/>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并就具体业务与</w:t>
      </w:r>
      <w:r>
        <w:rPr>
          <w:rFonts w:hint="eastAsia" w:ascii="Times New Roman" w:hAnsi="Times New Roman" w:eastAsia="仿宋_GB2312" w:cs="Times New Roman"/>
          <w:sz w:val="28"/>
          <w:szCs w:val="28"/>
          <w:highlight w:val="none"/>
          <w:lang w:val="en-US" w:eastAsia="zh-CN"/>
        </w:rPr>
        <w:t>被选中单位</w:t>
      </w:r>
      <w:r>
        <w:rPr>
          <w:rFonts w:hint="default" w:ascii="Times New Roman" w:hAnsi="Times New Roman" w:eastAsia="仿宋_GB2312" w:cs="Times New Roman"/>
          <w:sz w:val="28"/>
          <w:szCs w:val="28"/>
          <w:highlight w:val="none"/>
          <w:lang w:val="en-US" w:eastAsia="zh-CN"/>
        </w:rPr>
        <w:t>签订单项</w:t>
      </w:r>
      <w:r>
        <w:rPr>
          <w:rFonts w:hint="eastAsia" w:ascii="Times New Roman" w:hAnsi="Times New Roman" w:eastAsia="仿宋_GB2312" w:cs="Times New Roman"/>
          <w:sz w:val="28"/>
          <w:szCs w:val="28"/>
          <w:highlight w:val="none"/>
          <w:lang w:val="en-US" w:eastAsia="zh-CN"/>
        </w:rPr>
        <w:t>承销</w:t>
      </w:r>
      <w:r>
        <w:rPr>
          <w:rFonts w:hint="default" w:ascii="Times New Roman" w:hAnsi="Times New Roman" w:eastAsia="仿宋_GB2312" w:cs="Times New Roman"/>
          <w:sz w:val="28"/>
          <w:szCs w:val="28"/>
          <w:highlight w:val="none"/>
          <w:lang w:val="en-US" w:eastAsia="zh-CN"/>
        </w:rPr>
        <w:t>协议</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不承诺每家入围证券公司均参与申报发行工作。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（二）招标范围：负责设计发行方案、制作申报材料、推进公司债券的注册、组织承销团承销，负责组织和协调与发行有关的评级、律师、会计等中介机构，并配合发行人完成公司债券的发行及后续管理等工作。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（三）拟入库单位数量：</w:t>
      </w:r>
      <w:r>
        <w:rPr>
          <w:rFonts w:hint="eastAsia" w:ascii="Times New Roman" w:hAnsi="Times New Roman" w:eastAsia="仿宋_GB2312" w:cs="Times New Roman"/>
          <w:sz w:val="28"/>
          <w:szCs w:val="28"/>
          <w:highlight w:val="none"/>
          <w:lang w:val="en-US" w:eastAsia="zh-CN"/>
        </w:rPr>
        <w:t>按中标候选人排名确定</w:t>
      </w:r>
      <w:r>
        <w:rPr>
          <w:rFonts w:hint="default" w:ascii="Times New Roman" w:hAnsi="Times New Roman" w:eastAsia="仿宋_GB2312" w:cs="Times New Roman"/>
          <w:sz w:val="28"/>
          <w:szCs w:val="28"/>
          <w:highlight w:val="none"/>
          <w:lang w:val="en-US" w:eastAsia="zh-CN"/>
        </w:rPr>
        <w:t>3家债券主承销商入库。</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FF0000"/>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（四）服务期限：自</w:t>
      </w:r>
      <w:r>
        <w:rPr>
          <w:rFonts w:hint="eastAsia" w:ascii="Times New Roman" w:hAnsi="Times New Roman" w:eastAsia="仿宋_GB2312" w:cs="Times New Roman"/>
          <w:sz w:val="28"/>
          <w:szCs w:val="28"/>
          <w:highlight w:val="none"/>
          <w:lang w:val="en-US" w:eastAsia="zh-CN"/>
        </w:rPr>
        <w:t>发放入库通知</w:t>
      </w:r>
      <w:r>
        <w:rPr>
          <w:rFonts w:hint="default" w:ascii="Times New Roman" w:hAnsi="Times New Roman" w:eastAsia="仿宋_GB2312" w:cs="Times New Roman"/>
          <w:sz w:val="28"/>
          <w:szCs w:val="28"/>
          <w:highlight w:val="none"/>
          <w:lang w:val="en-US" w:eastAsia="zh-CN"/>
        </w:rPr>
        <w:t>之日起2年</w:t>
      </w:r>
      <w:r>
        <w:rPr>
          <w:rFonts w:hint="eastAsia" w:ascii="Times New Roman" w:hAnsi="Times New Roman" w:eastAsia="仿宋_GB2312" w:cs="Times New Roman"/>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（五）服务标准：符合国家、行业、地方现行相关规范合格标准。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（六）最高投标限价（含税）：以当期非公开发行公司债券最终实际发行金额为基准 ，按固定费率报价，最高投标限价为基准价的1‰每年。投标报价超出限价或低于成本价的，按无效投标处理；投标报价应包括为完成本项目招标范围内各阶段工作内容所需的全部费用，不包含律师事务所、会计师事务所、评级机构等中介机构服务费用，中标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具有独立法人资格，营业执照经营范围与本项目招标范围相符，并在人员、设备、资金等方面具有承担本项目的能力；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（二）具有中国证券监督管理委员会颁发的《经营证券期货业务许可证》（或《经营证券业务许可证》），且证券期货业务范围与本项目招标范围相符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（1）投标人在开标日近三年内存在骗取中标或严重违规、违约问题的；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w:t>
      </w:r>
      <w:r>
        <w:rPr>
          <w:rFonts w:hint="default" w:ascii="Times New Roman" w:hAnsi="Times New Roman" w:eastAsia="仿宋_GB2312" w:cs="Times New Roman"/>
          <w:sz w:val="28"/>
          <w:szCs w:val="28"/>
          <w:highlight w:val="none"/>
          <w:lang w:val="en-US" w:eastAsia="zh-CN"/>
        </w:rPr>
        <w:t>投标人被人民法院列入失信被执行人</w:t>
      </w:r>
      <w:r>
        <w:rPr>
          <w:rFonts w:hint="eastAsia" w:ascii="Times New Roman" w:hAnsi="Times New Roman" w:eastAsia="仿宋_GB2312" w:cs="Times New Roman"/>
          <w:sz w:val="28"/>
          <w:szCs w:val="28"/>
          <w:highlight w:val="none"/>
          <w:lang w:val="en-US" w:eastAsia="zh-CN"/>
        </w:rPr>
        <w:t>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w:t>
      </w:r>
      <w:r>
        <w:rPr>
          <w:rFonts w:hint="default" w:ascii="Times New Roman" w:hAnsi="Times New Roman" w:eastAsia="仿宋_GB2312" w:cs="Times New Roman"/>
          <w:sz w:val="28"/>
          <w:szCs w:val="28"/>
          <w:highlight w:val="none"/>
          <w:lang w:val="en-US" w:eastAsia="zh-CN"/>
        </w:rPr>
        <w:t>投标人被税务部门列入重大税收违法案件当事人名单的</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（5）投标人处于被责令停业、财产被冻结、接管、破产状态的；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注：以上情形以“信用中国”（www.creditchina.gov.cn）发布的为准，有限制期限的按规定期限执行（以现场查询为准）。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（五）本项目不接受联合体投标。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（一）开标时间（投标截止时间）：2023年5月17日9时00分（北京时间）；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（二）开标地点：亳州交通投资控股集团有限公司15楼开标室（药都大道与希夷大道交叉口东北角15楼）；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凡有意参加投标人，请于投标截止时间前，由法定代表人或拟派的授权委托人至亳州交通投资控股集团有限公司开标室现场投标，逾期送达的、未送达指定地点的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本项目投标保证金：人民币（大写）</w:t>
      </w:r>
      <w:r>
        <w:rPr>
          <w:rFonts w:hint="default" w:ascii="Times New Roman" w:hAnsi="Times New Roman" w:eastAsia="仿宋_GB2312" w:cs="Times New Roman"/>
          <w:sz w:val="28"/>
          <w:szCs w:val="28"/>
          <w:highlight w:val="none"/>
          <w:u w:val="single"/>
          <w:lang w:val="en-US" w:eastAsia="zh-CN"/>
        </w:rPr>
        <w:t>贰万元整</w:t>
      </w:r>
      <w:r>
        <w:rPr>
          <w:rFonts w:hint="default" w:ascii="Times New Roman" w:hAnsi="Times New Roman" w:eastAsia="仿宋_GB2312" w:cs="Times New Roman"/>
          <w:sz w:val="28"/>
          <w:szCs w:val="28"/>
          <w:highlight w:val="none"/>
          <w:lang w:val="en-US" w:eastAsia="zh-CN"/>
        </w:rPr>
        <w:t>，（小写）</w:t>
      </w:r>
      <w:r>
        <w:rPr>
          <w:rFonts w:hint="default" w:ascii="Times New Roman" w:hAnsi="Times New Roman" w:eastAsia="仿宋_GB2312" w:cs="Times New Roman"/>
          <w:sz w:val="28"/>
          <w:szCs w:val="28"/>
          <w:highlight w:val="none"/>
          <w:u w:val="single"/>
          <w:lang w:val="en-US" w:eastAsia="zh-CN"/>
        </w:rPr>
        <w:t>20000元</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 标 人： 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地    址： 亳州市谯城区药都路1289号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 xml:space="preserve"> 邓经理、常经理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0558-5196776</w:t>
      </w:r>
      <w:r>
        <w:rPr>
          <w:rFonts w:hint="eastAsia" w:ascii="Times New Roman" w:hAnsi="Times New Roman" w:eastAsia="仿宋_GB2312" w:cs="Times New Roman"/>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2023年4月25日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招标</w:t>
            </w:r>
            <w:r>
              <w:rPr>
                <w:rFonts w:hint="default" w:ascii="Times New Roman" w:hAnsi="Times New Roman" w:cs="Times New Roman" w:eastAsiaTheme="minorEastAsia"/>
                <w:color w:val="auto"/>
                <w:sz w:val="21"/>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项目概况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资金来源</w:t>
            </w:r>
            <w:r>
              <w:rPr>
                <w:rFonts w:hint="default" w:ascii="Times New Roman" w:hAnsi="Times New Roman" w:cs="Times New Roman" w:eastAsiaTheme="minorEastAsia"/>
                <w:color w:val="auto"/>
                <w:sz w:val="21"/>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1.2.</w:t>
            </w:r>
            <w:r>
              <w:rPr>
                <w:rFonts w:hint="default" w:ascii="Times New Roman" w:hAnsi="Times New Roman" w:cs="Times New Roman" w:eastAsiaTheme="minorEastAsia"/>
                <w:color w:val="auto"/>
                <w:sz w:val="21"/>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质量</w:t>
            </w:r>
            <w:r>
              <w:rPr>
                <w:rFonts w:hint="default" w:ascii="Times New Roman" w:hAnsi="Times New Roman" w:cs="Times New Roman" w:eastAsiaTheme="minorEastAsia"/>
                <w:color w:val="auto"/>
                <w:sz w:val="21"/>
                <w:szCs w:val="21"/>
                <w:highlight w:val="none"/>
                <w:lang w:val="en-US" w:eastAsia="zh-CN"/>
              </w:rPr>
              <w:t>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bidi="ar-SA"/>
              </w:rPr>
              <w:t>投标人资质、能力、信誉</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kinsoku/>
              <w:overflowPunct/>
              <w:topLinePunct/>
              <w:bidi w:val="0"/>
              <w:adjustRightInd/>
              <w:snapToGrid/>
              <w:spacing w:line="440" w:lineRule="exact"/>
              <w:ind w:left="0"/>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kern w:val="2"/>
                <w:sz w:val="21"/>
                <w:szCs w:val="21"/>
                <w:highlight w:val="none"/>
                <w:lang w:val="en-US" w:eastAsia="zh-CN" w:bidi="ar-SA"/>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sym w:font="Wingdings" w:char="00FE"/>
            </w:r>
            <w:r>
              <w:rPr>
                <w:rFonts w:hint="default" w:ascii="Times New Roman" w:hAnsi="Times New Roman" w:cs="Times New Roman" w:eastAsiaTheme="minorEastAsia"/>
                <w:color w:val="auto"/>
                <w:sz w:val="21"/>
                <w:szCs w:val="21"/>
                <w:highlight w:val="none"/>
              </w:rPr>
              <w:t>不</w:t>
            </w:r>
            <w:r>
              <w:rPr>
                <w:rFonts w:hint="default" w:ascii="Times New Roman" w:hAnsi="Times New Roman" w:cs="Times New Roman" w:eastAsiaTheme="minorEastAsia"/>
                <w:color w:val="auto"/>
                <w:sz w:val="21"/>
                <w:szCs w:val="21"/>
                <w:highlight w:val="none"/>
                <w:lang w:val="en-US" w:eastAsia="zh-CN"/>
              </w:rPr>
              <w:t xml:space="preserve">接受    </w:t>
            </w:r>
            <w:r>
              <w:rPr>
                <w:rFonts w:hint="default" w:ascii="Times New Roman" w:hAnsi="Times New Roman" w:cs="Times New Roman" w:eastAsiaTheme="minorEastAsia"/>
                <w:color w:val="auto"/>
                <w:sz w:val="21"/>
                <w:szCs w:val="21"/>
                <w:lang w:val="en-US" w:eastAsia="zh-CN"/>
              </w:rPr>
              <w:sym w:font="Wingdings" w:char="00A8"/>
            </w:r>
            <w:r>
              <w:rPr>
                <w:rFonts w:hint="default" w:ascii="Times New Roman" w:hAnsi="Times New Roman" w:cs="Times New Roman" w:eastAsiaTheme="minorEastAsia"/>
                <w:color w:val="auto"/>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jc w:val="left"/>
              <w:textAlignment w:val="auto"/>
              <w:rPr>
                <w:rFonts w:hint="eastAsia" w:hAnsi="宋体"/>
                <w:color w:val="auto"/>
                <w:sz w:val="21"/>
                <w:szCs w:val="21"/>
                <w:lang w:val="en-US" w:eastAsia="zh-CN"/>
              </w:rPr>
            </w:pPr>
            <w:r>
              <w:rPr>
                <w:rFonts w:hint="default" w:ascii="Times New Roman" w:hAnsi="Times New Roman" w:cs="Times New Roman" w:eastAsiaTheme="minorEastAsia"/>
                <w:color w:val="auto"/>
                <w:sz w:val="21"/>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pPr>
              <w:pStyle w:val="9"/>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不召开</w:t>
            </w: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，在国家法律法规规定的范围内履行主承销商职责。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详见第一章招标公告</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第四章合同条款及格式。</w:t>
            </w:r>
            <w:r>
              <w:rPr>
                <w:rFonts w:hint="eastAsia" w:ascii="Times New Roman" w:hAnsi="Times New Roman" w:cs="Times New Roman"/>
                <w:color w:val="auto"/>
                <w:sz w:val="21"/>
                <w:szCs w:val="21"/>
                <w:highlight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1.12.3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Cs w:val="21"/>
                <w:highlight w:val="none"/>
                <w:lang w:val="en-US" w:eastAsia="zh-CN"/>
              </w:rPr>
              <w:t>偏差</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投标截止时间前，招标文件的澄清将在亳州交通投资控股集团有限公司官网（www.bzjkjt.com）、安徽省招标投标信息网（www.ahtba.org.cn）及优质采云采购平台（www.youzhicai.com）上进行发布。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时间：招标文件的澄清在亳州交通投资控股集团有限公司官网（www.bzjkjt.com）、安徽省招标投标信息网（www.ahtba.org.cn）及优质采云采购平台（www.youzhicai.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形式：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投标截止时间前，招标文件的修改将在亳州交通投资控股集团有限公司官网（www.bzjkjt.com）、安徽省招标投标信息网（www.ahtba.org.cn）及优质采云采购平台（www.youzhicai.com）上进行发布。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上的发布时间，视为投标人确认收到招标文件</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none"/>
                <w:lang w:val="en-US" w:eastAsia="zh-CN"/>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kern w:val="2"/>
                <w:sz w:val="21"/>
                <w:szCs w:val="21"/>
                <w:highlight w:val="none"/>
                <w:u w:val="none"/>
                <w:lang w:val="en-US" w:eastAsia="zh-CN" w:bidi="ar-SA"/>
              </w:rPr>
              <w:t xml:space="preserve">详见第一章招标公告。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color w:val="auto"/>
                <w:szCs w:val="21"/>
                <w:highlight w:val="none"/>
              </w:rPr>
              <w:t>投标截止之日起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递交投标保证金</w:t>
            </w:r>
          </w:p>
          <w:p>
            <w:pPr>
              <w:keepNext w:val="0"/>
              <w:keepLines w:val="0"/>
              <w:pageBreakBefore w:val="0"/>
              <w:kinsoku/>
              <w:overflowPunct/>
              <w:autoSpaceDE w:val="0"/>
              <w:autoSpaceDN w:val="0"/>
              <w:bidi w:val="0"/>
              <w:adjustRightInd/>
              <w:snapToGrid/>
              <w:spacing w:line="440" w:lineRule="exact"/>
              <w:ind w:left="0"/>
              <w:jc w:val="left"/>
              <w:textAlignment w:val="auto"/>
              <w:rPr>
                <w:rFonts w:hint="default" w:ascii="Times New Roman" w:hAnsi="Times New Roman" w:cs="Times New Roman"/>
                <w:color w:val="auto"/>
                <w:szCs w:val="21"/>
                <w:highlight w:val="none"/>
              </w:rPr>
            </w:pPr>
            <w:r>
              <w:rPr>
                <w:rFonts w:hint="eastAsia" w:hAnsi="宋体"/>
                <w:color w:val="auto"/>
                <w:szCs w:val="21"/>
              </w:rPr>
              <w:t>不需要</w:t>
            </w:r>
            <w:r>
              <w:rPr>
                <w:rFonts w:hint="default" w:ascii="Times New Roman" w:hAnsi="Times New Roman" w:eastAsia="仿宋_GB2312" w:cs="Times New Roman"/>
                <w:color w:val="auto"/>
                <w:sz w:val="24"/>
                <w:szCs w:val="24"/>
                <w:lang w:val="en-US" w:eastAsia="zh-CN"/>
              </w:rPr>
              <w:sym w:font="Wingdings" w:char="00A8"/>
            </w:r>
            <w:r>
              <w:rPr>
                <w:rFonts w:hint="eastAsia" w:hAnsi="宋体"/>
                <w:color w:val="auto"/>
                <w:szCs w:val="21"/>
                <w:lang w:val="en-US" w:eastAsia="zh-CN"/>
              </w:rPr>
              <w:t xml:space="preserve">      </w:t>
            </w:r>
            <w:r>
              <w:rPr>
                <w:rFonts w:hint="eastAsia" w:hAnsi="宋体"/>
                <w:color w:val="auto"/>
                <w:szCs w:val="21"/>
              </w:rPr>
              <w:t>需 要</w:t>
            </w:r>
            <w:r>
              <w:rPr>
                <w:rFonts w:hint="default" w:ascii="Times New Roman" w:hAnsi="Times New Roman" w:eastAsia="仿宋_GB2312" w:cs="Times New Roman"/>
                <w:color w:val="auto"/>
                <w:sz w:val="24"/>
                <w:szCs w:val="24"/>
                <w:lang w:val="en-US" w:eastAsia="zh-CN"/>
              </w:rPr>
              <w:sym w:font="Wingdings" w:char="00FE"/>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ind w:left="0" w:hanging="210" w:hangingChars="1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投标保证金的金额：</w:t>
            </w:r>
            <w:r>
              <w:rPr>
                <w:rFonts w:hint="eastAsia" w:ascii="Times New Roman" w:hAnsi="Times New Roman" w:cs="Times New Roman"/>
                <w:color w:val="auto"/>
                <w:szCs w:val="21"/>
                <w:highlight w:val="none"/>
                <w:u w:val="none"/>
                <w:lang w:val="en-US" w:eastAsia="zh-CN"/>
              </w:rPr>
              <w:t>人民币（大写）</w:t>
            </w:r>
            <w:r>
              <w:rPr>
                <w:rFonts w:hint="eastAsia" w:ascii="Times New Roman" w:hAnsi="Times New Roman" w:cs="Times New Roman"/>
                <w:color w:val="auto"/>
                <w:szCs w:val="21"/>
                <w:highlight w:val="none"/>
                <w:u w:val="single"/>
                <w:lang w:val="en-US" w:eastAsia="zh-CN"/>
              </w:rPr>
              <w:t>贰万元整</w:t>
            </w:r>
            <w:r>
              <w:rPr>
                <w:rFonts w:hint="eastAsia" w:ascii="Times New Roman" w:hAnsi="Times New Roman" w:cs="Times New Roman"/>
                <w:color w:val="auto"/>
                <w:szCs w:val="21"/>
                <w:highlight w:val="none"/>
                <w:u w:val="none"/>
                <w:lang w:val="en-US" w:eastAsia="zh-CN"/>
              </w:rPr>
              <w:t>，（小写）</w:t>
            </w:r>
            <w:r>
              <w:rPr>
                <w:rFonts w:hint="eastAsia" w:ascii="Times New Roman" w:hAnsi="Times New Roman" w:cs="Times New Roman"/>
                <w:color w:val="auto"/>
                <w:szCs w:val="21"/>
                <w:highlight w:val="none"/>
                <w:u w:val="single"/>
                <w:lang w:val="en-US" w:eastAsia="zh-CN"/>
              </w:rPr>
              <w:t>20000元</w:t>
            </w:r>
            <w:r>
              <w:rPr>
                <w:rFonts w:hint="eastAsia" w:ascii="Times New Roman" w:hAnsi="Times New Roman" w:cs="Times New Roman"/>
                <w:color w:val="auto"/>
                <w:szCs w:val="21"/>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BZJK-2023-15号保证金”</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投标保证金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（1）招标不成功（或开标现场拒收投标文件）的，</w:t>
            </w:r>
            <w:r>
              <w:rPr>
                <w:rFonts w:hint="eastAsia" w:ascii="Times New Roman" w:hAnsi="Times New Roman" w:cs="Times New Roman"/>
                <w:color w:val="auto"/>
                <w:szCs w:val="21"/>
                <w:highlight w:val="none"/>
                <w:lang w:val="en-US" w:eastAsia="zh-CN"/>
              </w:rPr>
              <w:t>10</w:t>
            </w:r>
            <w:r>
              <w:rPr>
                <w:rFonts w:hint="default" w:ascii="Times New Roman" w:hAnsi="Times New Roman" w:cs="Times New Roman"/>
                <w:color w:val="auto"/>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（2）中标侯选人公示期满且确定中标人后，未中标人的投标保证金</w:t>
            </w:r>
            <w:r>
              <w:rPr>
                <w:rFonts w:hint="eastAsia" w:ascii="Times New Roman" w:hAnsi="Times New Roman" w:cs="Times New Roman"/>
                <w:color w:val="auto"/>
                <w:szCs w:val="21"/>
                <w:highlight w:val="none"/>
                <w:lang w:val="en-US" w:eastAsia="zh-CN"/>
              </w:rPr>
              <w:t>在10</w:t>
            </w:r>
            <w:r>
              <w:rPr>
                <w:rFonts w:hint="default" w:ascii="Times New Roman" w:hAnsi="Times New Roman" w:cs="Times New Roman"/>
                <w:color w:val="auto"/>
                <w:szCs w:val="21"/>
                <w:highlight w:val="none"/>
              </w:rPr>
              <w:t>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（1）中标人无正当理由不与招标人订立合同，在签订合同时向招标人提出附加条件，或者不按照招标文件要求提交履约保证金的，取消其中标资格，投标保证金不予退还；</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（2）投标人采用不正当手段（串通投标、弄虚作假、行贿等）骗取中标的；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（3）投标人经评标委员会认定为异常低价竞标或不以中标为目的的投标的；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（4）投标人在投标有效期内撤回投标文件的；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u w:val="none"/>
                <w:lang w:val="en-US" w:eastAsia="zh-CN"/>
              </w:rPr>
              <w:t>（5）国家法律法规规定的其他情形。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2022年1月1日至2022年12月31日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2022</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1</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1</w:t>
            </w:r>
            <w:r>
              <w:rPr>
                <w:rFonts w:hint="eastAsia" w:ascii="Times New Roman" w:hAnsi="Times New Roman" w:cs="Times New Roman"/>
                <w:color w:val="auto"/>
                <w:szCs w:val="21"/>
                <w:highlight w:val="none"/>
                <w:u w:val="none"/>
                <w:lang w:val="en-US" w:eastAsia="zh-CN"/>
              </w:rPr>
              <w:t>日至</w:t>
            </w:r>
            <w:r>
              <w:rPr>
                <w:rFonts w:hint="eastAsia" w:ascii="Times New Roman" w:hAnsi="Times New Roman" w:cs="Times New Roman"/>
                <w:color w:val="auto"/>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lang w:val="en-US"/>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不允许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允许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heme="minorEastAsia" w:hAnsiTheme="minorEastAsia" w:cstheme="minorEastAsia"/>
                <w:i/>
                <w:iCs/>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3.7.3（B）</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投标文件所附证书证件要求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证书的复印件，加盖投标单位公章，装订入投标文件中。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3.</w:t>
            </w:r>
            <w:r>
              <w:rPr>
                <w:rFonts w:hint="eastAsia" w:ascii="Times New Roman" w:hAnsi="Times New Roman" w:cs="Times New Roman"/>
                <w:color w:val="auto"/>
                <w:szCs w:val="21"/>
                <w:highlight w:val="none"/>
                <w:lang w:val="en-US" w:eastAsia="zh-CN"/>
              </w:rPr>
              <w:t>7</w:t>
            </w:r>
            <w:r>
              <w:rPr>
                <w:rFonts w:hint="default" w:ascii="Times New Roman" w:hAnsi="Times New Roman" w:cs="Times New Roman"/>
                <w:color w:val="auto"/>
                <w:szCs w:val="21"/>
                <w:highlight w:val="none"/>
              </w:rPr>
              <w:t>.3</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B</w:t>
            </w:r>
            <w:r>
              <w:rPr>
                <w:rFonts w:hint="eastAsia" w:ascii="Times New Roman" w:hAnsi="Times New Roman" w:cs="Times New Roman"/>
                <w:color w:val="auto"/>
                <w:szCs w:val="21"/>
                <w:highlight w:val="none"/>
                <w:lang w:eastAsia="zh-CN"/>
              </w:rPr>
              <w:t>）</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w:t>
            </w:r>
            <w:r>
              <w:rPr>
                <w:rFonts w:hint="default" w:ascii="Times New Roman" w:hAnsi="Times New Roman" w:cs="Times New Roman"/>
                <w:color w:val="auto"/>
                <w:szCs w:val="21"/>
                <w:highlight w:val="none"/>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亳州交通投资控股集团有限公司2023年-2024年非公开发行公司债券主承销商库项目</w:t>
            </w:r>
            <w:r>
              <w:rPr>
                <w:rFonts w:hint="eastAsia" w:ascii="Times New Roman" w:hAnsi="Times New Roman" w:cs="Times New Roman"/>
                <w:color w:val="auto"/>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项目编号：BZJK-2023-15</w:t>
            </w:r>
            <w:r>
              <w:rPr>
                <w:rFonts w:hint="eastAsia" w:ascii="Times New Roman" w:hAnsi="Times New Roman" w:cs="Times New Roman"/>
                <w:color w:val="auto"/>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2023</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5</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17</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开标地点：</w:t>
            </w:r>
            <w:r>
              <w:rPr>
                <w:rFonts w:hint="eastAsia" w:ascii="Times New Roman" w:hAnsi="Times New Roman" w:cs="Times New Roman"/>
                <w:color w:val="auto"/>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left="0" w:firstLine="422"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b/>
                <w:bCs/>
                <w:color w:val="auto"/>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2"/>
              <w:keepNext w:val="0"/>
              <w:keepLines w:val="0"/>
              <w:pageBreakBefore w:val="0"/>
              <w:widowControl w:val="0"/>
              <w:kinsoku/>
              <w:wordWrap w:val="0"/>
              <w:overflowPunct/>
              <w:topLinePunct w:val="0"/>
              <w:autoSpaceDE/>
              <w:autoSpaceDN/>
              <w:bidi w:val="0"/>
              <w:adjustRightInd/>
              <w:snapToGrid/>
              <w:spacing w:after="0" w:afterLines="0" w:line="440" w:lineRule="exact"/>
              <w:ind w:left="0" w:leftChars="0" w:firstLine="420" w:firstLineChars="200"/>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密封情况检</w:t>
            </w:r>
            <w:r>
              <w:rPr>
                <w:rFonts w:hint="default" w:ascii="Times New Roman" w:hAnsi="Times New Roman" w:cs="Times New Roman"/>
                <w:color w:val="auto"/>
                <w:szCs w:val="21"/>
                <w:highlight w:val="none"/>
                <w:lang w:val="en-US" w:eastAsia="zh-CN"/>
              </w:rPr>
              <w:t>查：</w:t>
            </w:r>
            <w:r>
              <w:rPr>
                <w:rFonts w:hint="eastAsia" w:ascii="Times New Roman" w:hAnsi="Times New Roman" w:cs="Times New Roman"/>
                <w:color w:val="auto"/>
                <w:szCs w:val="21"/>
                <w:highlight w:val="none"/>
                <w:lang w:val="en-US" w:eastAsia="zh-CN"/>
              </w:rPr>
              <w:t>由投标人代表、招标平台工作人员、监标人共同检查确认。</w:t>
            </w:r>
          </w:p>
          <w:p>
            <w:pPr>
              <w:pStyle w:val="2"/>
              <w:keepNext w:val="0"/>
              <w:keepLines w:val="0"/>
              <w:pageBreakBefore w:val="0"/>
              <w:widowControl w:val="0"/>
              <w:kinsoku/>
              <w:wordWrap w:val="0"/>
              <w:overflowPunct/>
              <w:topLinePunct w:val="0"/>
              <w:autoSpaceDE/>
              <w:autoSpaceDN/>
              <w:bidi w:val="0"/>
              <w:adjustRightInd/>
              <w:snapToGrid/>
              <w:spacing w:after="0" w:afterLines="0" w:line="440" w:lineRule="exact"/>
              <w:ind w:left="0" w:leftChars="0" w:firstLine="420" w:firstLineChars="200"/>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开标顺序：按签到正顺序开标。</w:t>
            </w:r>
          </w:p>
          <w:p>
            <w:pPr>
              <w:pStyle w:val="5"/>
              <w:keepNext w:val="0"/>
              <w:keepLines w:val="0"/>
              <w:pageBreakBefore w:val="0"/>
              <w:widowControl w:val="0"/>
              <w:kinsoku/>
              <w:overflowPunct/>
              <w:topLinePunct w:val="0"/>
              <w:autoSpaceDE/>
              <w:autoSpaceDN/>
              <w:bidi w:val="0"/>
              <w:adjustRightInd/>
              <w:snapToGrid/>
              <w:spacing w:line="440" w:lineRule="exact"/>
              <w:ind w:left="0"/>
              <w:textAlignment w:val="auto"/>
              <w:rPr>
                <w:rFonts w:hint="default"/>
                <w:b/>
                <w:bCs/>
                <w:lang w:val="en-US" w:eastAsia="zh-CN"/>
              </w:rPr>
            </w:pPr>
            <w:r>
              <w:rPr>
                <w:rFonts w:hint="eastAsia"/>
                <w:b/>
                <w:bCs/>
                <w:lang w:val="en-US" w:eastAsia="zh-CN"/>
              </w:rPr>
              <w:t>述标要求：</w:t>
            </w:r>
          </w:p>
          <w:p>
            <w:pPr>
              <w:pStyle w:val="2"/>
              <w:keepNext w:val="0"/>
              <w:keepLines w:val="0"/>
              <w:pageBreakBefore w:val="0"/>
              <w:widowControl w:val="0"/>
              <w:kinsoku/>
              <w:wordWrap w:val="0"/>
              <w:overflowPunct/>
              <w:topLinePunct w:val="0"/>
              <w:autoSpaceDE/>
              <w:autoSpaceDN/>
              <w:bidi w:val="0"/>
              <w:adjustRightInd/>
              <w:snapToGrid/>
              <w:spacing w:after="0" w:afterLines="0" w:line="440" w:lineRule="exact"/>
              <w:ind w:left="0" w:leftChars="0"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投标人对各自投标文件中的承销方案向评标委员会进行PPT演示与讲解（投标人自带</w:t>
            </w:r>
            <w:r>
              <w:rPr>
                <w:rFonts w:hint="eastAsia"/>
                <w:color w:val="auto"/>
                <w:lang w:val="en-US" w:eastAsia="zh-CN"/>
              </w:rPr>
              <w:t>PPT演示所需的U盘和其他相关的物品及资料，招标人提供笔记本电脑、投影仪等设备）；每家投标人PPT演示和现场答辩时间原则上不超过20分钟。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评标委员会构成：</w:t>
            </w:r>
            <w:r>
              <w:rPr>
                <w:rFonts w:hint="eastAsia" w:ascii="Times New Roman" w:hAnsi="Times New Roman" w:cs="Times New Roman"/>
                <w:color w:val="auto"/>
                <w:szCs w:val="21"/>
                <w:highlight w:val="none"/>
                <w:u w:val="single"/>
                <w:lang w:val="en-US" w:eastAsia="zh-CN"/>
              </w:rPr>
              <w:t>5</w:t>
            </w:r>
            <w:r>
              <w:rPr>
                <w:rFonts w:hint="default" w:ascii="Times New Roman" w:hAnsi="Times New Roman" w:cs="Times New Roman"/>
                <w:color w:val="auto"/>
                <w:szCs w:val="21"/>
                <w:highlight w:val="none"/>
              </w:rPr>
              <w:t>人，其中招标人代表</w:t>
            </w:r>
            <w:r>
              <w:rPr>
                <w:rFonts w:hint="eastAsia" w:ascii="Times New Roman" w:hAnsi="Times New Roman" w:cs="Times New Roman"/>
                <w:color w:val="auto"/>
                <w:szCs w:val="21"/>
                <w:highlight w:val="none"/>
                <w:u w:val="single"/>
                <w:lang w:val="en-US" w:eastAsia="zh-CN"/>
              </w:rPr>
              <w:t>1</w:t>
            </w:r>
            <w:r>
              <w:rPr>
                <w:rFonts w:hint="default" w:ascii="Times New Roman" w:hAnsi="Times New Roman" w:cs="Times New Roman"/>
                <w:color w:val="auto"/>
                <w:szCs w:val="21"/>
                <w:highlight w:val="none"/>
              </w:rPr>
              <w:t>人，专家</w:t>
            </w:r>
            <w:r>
              <w:rPr>
                <w:rFonts w:hint="eastAsia" w:ascii="Times New Roman" w:hAnsi="Times New Roman" w:cs="Times New Roman"/>
                <w:color w:val="auto"/>
                <w:szCs w:val="21"/>
                <w:highlight w:val="none"/>
                <w:u w:val="single"/>
                <w:lang w:val="en-US" w:eastAsia="zh-CN"/>
              </w:rPr>
              <w:t>4</w:t>
            </w:r>
            <w:r>
              <w:rPr>
                <w:rFonts w:hint="default" w:ascii="Times New Roman" w:hAnsi="Times New Roman" w:cs="Times New Roman"/>
                <w:color w:val="auto"/>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评标专家确定方式：</w:t>
            </w:r>
            <w:r>
              <w:rPr>
                <w:rFonts w:hint="eastAsia" w:ascii="Times New Roman" w:hAnsi="Times New Roman" w:cs="Times New Roman"/>
                <w:color w:val="auto"/>
                <w:szCs w:val="21"/>
                <w:highlight w:val="none"/>
                <w:lang w:val="en-US" w:eastAsia="zh-CN"/>
              </w:rPr>
              <w:t>按有关规定抽取</w:t>
            </w:r>
            <w:r>
              <w:rPr>
                <w:rFonts w:hint="default" w:ascii="Times New Roman" w:hAnsi="Times New Roman" w:cs="Times New Roman"/>
                <w:color w:val="auto"/>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履约担保的金额：</w:t>
            </w:r>
            <w:r>
              <w:rPr>
                <w:rFonts w:hint="eastAsia" w:ascii="Times New Roman" w:hAnsi="Times New Roman" w:cs="Times New Roman"/>
                <w:color w:val="auto"/>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履约保证金的退还：无违约行为发生或违约行为已处理的情况下，</w:t>
            </w:r>
            <w:r>
              <w:rPr>
                <w:rFonts w:hint="eastAsia" w:ascii="Times New Roman" w:hAnsi="Times New Roman" w:cs="Times New Roman"/>
                <w:color w:val="auto"/>
                <w:szCs w:val="21"/>
                <w:highlight w:val="none"/>
                <w:lang w:val="en-US" w:eastAsia="zh-CN"/>
              </w:rPr>
              <w:t>服务期限届满</w:t>
            </w:r>
            <w:r>
              <w:rPr>
                <w:rFonts w:hint="default" w:ascii="Times New Roman" w:hAnsi="Times New Roman" w:cs="Times New Roman"/>
                <w:color w:val="auto"/>
                <w:szCs w:val="21"/>
                <w:highlight w:val="none"/>
              </w:rPr>
              <w:t>后10个工作日内退还全部履约保证金（无息）；如在履约过程中，发现入库单位存在严重违约行为的，招标人有权单方面解除合同，并没收其全部履约保证金，且无需承担任何法律责任。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both"/>
              <w:textAlignment w:val="auto"/>
              <w:rPr>
                <w:rFonts w:hint="default" w:ascii="Times New Roman" w:hAnsi="Times New Roman" w:cs="Times New Roman"/>
                <w:color w:val="auto"/>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left="0" w:firstLine="420" w:firstLineChars="200"/>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投标人须知正文部分直接引用国家发改委等九部委于2017年9月4日联合印发的《中华人民共和国标准设计招标文件》（2017年版）。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2"/>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第3.2.3项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46996232"/>
            <w:bookmarkStart w:id="17" w:name="_Toc296602477"/>
            <w:bookmarkStart w:id="18" w:name="_Toc152045589"/>
            <w:bookmarkStart w:id="19" w:name="_Toc247085747"/>
            <w:bookmarkStart w:id="20" w:name="_Toc246996975"/>
            <w:bookmarkStart w:id="21" w:name="_Toc179632607"/>
            <w:bookmarkStart w:id="22" w:name="_Toc144974556"/>
            <w:bookmarkStart w:id="23" w:name="_Toc15204236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综合金融服务：</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服务方案设计：</w:t>
            </w:r>
            <w:r>
              <w:rPr>
                <w:rFonts w:hint="eastAsia" w:ascii="Times New Roman" w:hAnsi="Times New Roman" w:cs="Times New Roman"/>
                <w:i w:val="0"/>
                <w:iCs w:val="0"/>
                <w:color w:val="auto"/>
                <w:kern w:val="0"/>
                <w:sz w:val="24"/>
                <w:szCs w:val="24"/>
                <w:highlight w:val="none"/>
                <w:u w:val="single"/>
                <w:lang w:val="en-US" w:eastAsia="zh-CN"/>
              </w:rPr>
              <w:t xml:space="preserve"> 25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项目团队：</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承销业绩</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15 </w:t>
            </w:r>
            <w:r>
              <w:rPr>
                <w:rFonts w:hint="default" w:ascii="Times New Roman" w:hAnsi="Times New Roman" w:cs="Times New Roman" w:eastAsiaTheme="minorEastAsia"/>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从所有通过初步评审的投标人投标报价中，分别去除1个最高值和1个最低值，取剩下投标人投标报价的算术平均值作为评标基准价。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综合金融服务</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i w:val="0"/>
                <w:iCs w:val="0"/>
                <w:color w:val="auto"/>
                <w:kern w:val="0"/>
                <w:sz w:val="24"/>
                <w:szCs w:val="24"/>
                <w:highlight w:val="none"/>
                <w:u w:val="single"/>
                <w:lang w:val="en-US" w:eastAsia="zh-CN"/>
              </w:rPr>
              <w:t>综合金融服务</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根据招标人转型发展情况及最新政策导向，对其业务进行全面梳理，提供综合金融服务。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1.投标人简介及竞争优势</w:t>
            </w:r>
            <w:r>
              <w:rPr>
                <w:rFonts w:hint="eastAsia" w:ascii="Times New Roman" w:hAnsi="Times New Roman" w:cs="Times New Roman"/>
                <w:color w:val="auto"/>
                <w:kern w:val="0"/>
                <w:sz w:val="24"/>
                <w:szCs w:val="24"/>
                <w:highlight w:val="none"/>
                <w:lang w:val="en-US" w:eastAsia="zh-CN"/>
              </w:rPr>
              <w:t>（0-5分）；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2.证监会及交易所对平台公司最新监管政策分析解读</w:t>
            </w:r>
            <w:r>
              <w:rPr>
                <w:rFonts w:hint="eastAsia" w:ascii="Times New Roman" w:hAnsi="Times New Roman" w:cs="Times New Roman"/>
                <w:color w:val="auto"/>
                <w:kern w:val="0"/>
                <w:sz w:val="24"/>
                <w:szCs w:val="24"/>
                <w:highlight w:val="none"/>
                <w:lang w:val="en-US" w:eastAsia="zh-CN"/>
              </w:rPr>
              <w:t>（0-5分）；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3.招标人各业务板块分析及后续发展方向</w:t>
            </w:r>
            <w:r>
              <w:rPr>
                <w:rFonts w:hint="eastAsia" w:ascii="Times New Roman" w:hAnsi="Times New Roman" w:cs="Times New Roman"/>
                <w:color w:val="auto"/>
                <w:kern w:val="0"/>
                <w:sz w:val="24"/>
                <w:szCs w:val="24"/>
                <w:highlight w:val="none"/>
                <w:lang w:val="en-US" w:eastAsia="zh-CN"/>
              </w:rPr>
              <w:t>（0-5分）；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4.招标人融资</w:t>
            </w:r>
            <w:r>
              <w:rPr>
                <w:rFonts w:hint="eastAsia" w:ascii="Times New Roman" w:hAnsi="Times New Roman" w:cs="Times New Roman"/>
                <w:color w:val="auto"/>
                <w:kern w:val="0"/>
                <w:sz w:val="24"/>
                <w:szCs w:val="24"/>
                <w:highlight w:val="none"/>
                <w:lang w:val="en-US" w:eastAsia="zh-CN"/>
              </w:rPr>
              <w:t>重点、难点分析</w:t>
            </w:r>
            <w:r>
              <w:rPr>
                <w:rFonts w:hint="default" w:ascii="Times New Roman" w:hAnsi="Times New Roman" w:cs="Times New Roman"/>
                <w:color w:val="auto"/>
                <w:kern w:val="0"/>
                <w:sz w:val="24"/>
                <w:szCs w:val="24"/>
                <w:highlight w:val="none"/>
                <w:lang w:val="en-US" w:eastAsia="zh-CN"/>
              </w:rPr>
              <w:t>及对招标人未来融资的建议</w:t>
            </w:r>
            <w:r>
              <w:rPr>
                <w:rFonts w:hint="eastAsia" w:ascii="Times New Roman" w:hAnsi="Times New Roman" w:cs="Times New Roman"/>
                <w:color w:val="auto"/>
                <w:kern w:val="0"/>
                <w:sz w:val="24"/>
                <w:szCs w:val="24"/>
                <w:highlight w:val="none"/>
                <w:lang w:val="en-US" w:eastAsia="zh-CN"/>
              </w:rPr>
              <w:t>（0-5分）。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以上4项，评委酌情给分。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25 </w:t>
            </w:r>
            <w:r>
              <w:rPr>
                <w:rFonts w:hint="default" w:ascii="Times New Roman" w:hAnsi="Times New Roman" w:cs="Times New Roman"/>
                <w:i/>
                <w:iCs/>
                <w:color w:val="FF0000"/>
                <w:kern w:val="0"/>
                <w:sz w:val="24"/>
                <w:szCs w:val="24"/>
                <w:highlight w:val="none"/>
                <w:u w:val="single"/>
                <w:lang w:val="en-US" w:eastAsia="zh-CN"/>
              </w:rPr>
              <w:t>分）</w:t>
            </w:r>
          </w:p>
        </w:tc>
        <w:tc>
          <w:tcPr>
            <w:tcW w:w="1984"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服务方案设计</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申报节点、注册发行金额、期限结构、发行方式、承销方式和中介机构的组织等（0-10分）。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lang w:val="en-US" w:eastAsia="zh-CN"/>
              </w:rPr>
            </w:pPr>
            <w:r>
              <w:rPr>
                <w:rFonts w:hint="eastAsia" w:ascii="Times New Roman" w:hAnsi="Times New Roman" w:cs="Times New Roman"/>
                <w:color w:val="auto"/>
                <w:kern w:val="0"/>
                <w:sz w:val="24"/>
                <w:szCs w:val="24"/>
                <w:highlight w:val="none"/>
                <w:lang w:val="en-US" w:eastAsia="zh-CN"/>
              </w:rPr>
              <w:t>评委酌情给分。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重点关注注册申报效率和发行时间进度安排，该部分请以表格形式列示，包括时间节点、工作内容和责任主体三项，时间采用T+N格式（0-5分）。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lang w:val="en-US" w:eastAsia="zh-CN"/>
              </w:rPr>
            </w:pPr>
            <w:r>
              <w:rPr>
                <w:rFonts w:hint="eastAsia" w:ascii="Times New Roman" w:hAnsi="Times New Roman" w:cs="Times New Roman"/>
                <w:color w:val="auto"/>
                <w:kern w:val="0"/>
                <w:sz w:val="24"/>
                <w:szCs w:val="24"/>
                <w:highlight w:val="none"/>
                <w:lang w:val="en-US" w:eastAsia="zh-CN"/>
              </w:rPr>
              <w:t>评委酌情给分。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债券取得批复后，自身债券购买比例介绍；发行销售设计及沟通能力；发行利率区间预判等（0-10分）。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lang w:val="en-US" w:eastAsia="zh-CN"/>
              </w:rPr>
            </w:pPr>
            <w:r>
              <w:rPr>
                <w:rFonts w:hint="eastAsia" w:ascii="Times New Roman" w:hAnsi="Times New Roman" w:cs="Times New Roman"/>
                <w:color w:val="auto"/>
                <w:kern w:val="0"/>
                <w:sz w:val="24"/>
                <w:szCs w:val="24"/>
                <w:highlight w:val="none"/>
                <w:lang w:val="en-US" w:eastAsia="zh-CN"/>
              </w:rPr>
              <w:t>评委酌情给分。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项目</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团队评分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iCs/>
                <w:color w:val="FF0000"/>
                <w:kern w:val="0"/>
                <w:sz w:val="24"/>
                <w:szCs w:val="24"/>
                <w:highlight w:val="none"/>
                <w:u w:val="single"/>
                <w:lang w:val="en-US" w:eastAsia="zh-CN"/>
              </w:rPr>
              <w:t>（20分）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项目团队</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iCs/>
                <w:color w:val="FF0000"/>
                <w:kern w:val="0"/>
                <w:sz w:val="24"/>
                <w:szCs w:val="24"/>
                <w:highlight w:val="none"/>
                <w:u w:val="singl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主要包括项目重视程度、项目团队人员配备情况（姓名、职务、学历、项目经历等）、项目负责人、现场进驻人员、进驻时间、人员借调情况（该部分请详细列举人员信息及借调时间）、销售团队介绍等。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本项（0-20分），评委酌情给分。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承销业绩评分标准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承销私募公司债券总金额</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投标人自2022年1月1日至2022年12月31日，承销私募公司债券的总金额，保留到小数点后两位。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得分计算公示如下：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得分=（投标人主承销金额－最低主承销金额）/（最高主承销金额－最低主承销金额）×10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注：投标人联主承销的，按照联主家数平均计算承销金额。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承销政府投融资平台公司债券主体评级AA的私募公司债券总金额</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投标人自2022年1月1日至2022年12月31日，承销政府投融资平台公司债券主体评级AA私募债券的总金额，保留到小数点后两位。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得分计算公示如下：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得分=（投标人主承销金额－最低主承销金额）/（最高主承销金额－最低主承销金额）×10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注：投标人联主承销的，按照联主家数平均计算承销金额。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2.2.5</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15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报价得分=15－|（投标报价－评标基准价）×10000×a|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如投标人投标报价大于评标基准价，则a取3；</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如投标人投标报价小于或等于评标基准价，则a取1。</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本项满分15分，最低得0分。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pStyle w:val="2"/>
        <w:rPr>
          <w:rFonts w:hint="default" w:ascii="Times New Roman" w:hAnsi="Times New Roman" w:cs="Times New Roman" w:eastAsiaTheme="minorEastAsia"/>
          <w:b/>
          <w:bCs/>
          <w:kern w:val="0"/>
          <w:sz w:val="28"/>
          <w:szCs w:val="28"/>
          <w:highlight w:val="none"/>
        </w:rPr>
      </w:pPr>
    </w:p>
    <w:p>
      <w:pPr>
        <w:pStyle w:val="5"/>
        <w:rPr>
          <w:rFonts w:hint="default" w:ascii="Times New Roman" w:hAnsi="Times New Roman" w:cs="Times New Roman" w:eastAsiaTheme="minorEastAsia"/>
          <w:b/>
          <w:bCs/>
          <w:kern w:val="0"/>
          <w:sz w:val="28"/>
          <w:szCs w:val="28"/>
          <w:highlight w:val="none"/>
        </w:rPr>
      </w:pPr>
    </w:p>
    <w:p>
      <w:pPr>
        <w:pStyle w:val="5"/>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79632608"/>
      <w:bookmarkStart w:id="25" w:name="_Toc152045590"/>
      <w:bookmarkStart w:id="26" w:name="_Toc152042367"/>
      <w:bookmarkStart w:id="27" w:name="_Toc247085748"/>
      <w:bookmarkStart w:id="28" w:name="_Toc246996233"/>
      <w:bookmarkStart w:id="29" w:name="_Toc246996976"/>
      <w:bookmarkStart w:id="30" w:name="_Toc296602478"/>
      <w:bookmarkStart w:id="31" w:name="_Toc144974557"/>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79632609"/>
      <w:bookmarkStart w:id="33" w:name="_Toc247085749"/>
      <w:bookmarkStart w:id="34" w:name="_Toc246996234"/>
      <w:bookmarkStart w:id="35" w:name="_Toc152045591"/>
      <w:bookmarkStart w:id="36" w:name="_Toc144974558"/>
      <w:bookmarkStart w:id="37" w:name="_Toc296602479"/>
      <w:bookmarkStart w:id="38" w:name="_Toc246996977"/>
      <w:bookmarkStart w:id="39"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96602481"/>
      <w:bookmarkStart w:id="41" w:name="_Toc152042370"/>
      <w:bookmarkStart w:id="42" w:name="_Toc247085751"/>
      <w:bookmarkStart w:id="43" w:name="_Toc246996236"/>
      <w:bookmarkStart w:id="44" w:name="_Toc246996979"/>
      <w:bookmarkStart w:id="45" w:name="_Toc144974560"/>
      <w:bookmarkStart w:id="46" w:name="_Toc179632611"/>
      <w:bookmarkStart w:id="47" w:name="_Toc152045593"/>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综合金融服务</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服务方案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项目团队</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kern w:val="0"/>
          <w:sz w:val="24"/>
          <w:szCs w:val="24"/>
          <w:highlight w:val="none"/>
          <w:lang w:val="en-US" w:eastAsia="zh-CN"/>
        </w:rPr>
        <w:t>承销业绩</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（5）投标报价：见评标办法前附表。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综合金融服务</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项目团队</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承销业绩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5</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79632612"/>
      <w:bookmarkStart w:id="49" w:name="_Toc152045594"/>
      <w:bookmarkStart w:id="50" w:name="_Toc152042371"/>
      <w:bookmarkStart w:id="51" w:name="_Toc246996237"/>
      <w:bookmarkStart w:id="52" w:name="_Toc246996980"/>
      <w:bookmarkStart w:id="53" w:name="_Toc144974561"/>
      <w:bookmarkStart w:id="54" w:name="_Toc296602482"/>
      <w:bookmarkStart w:id="55" w:name="_Toc24708575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2"/>
      <w:bookmarkStart w:id="57" w:name="_Toc296602483"/>
      <w:bookmarkStart w:id="58" w:name="_Toc246996238"/>
      <w:bookmarkStart w:id="59" w:name="_Toc152045595"/>
      <w:bookmarkStart w:id="60" w:name="_Toc246996981"/>
      <w:bookmarkStart w:id="61" w:name="_Toc247085753"/>
      <w:bookmarkStart w:id="62" w:name="_Toc179632613"/>
      <w:bookmarkStart w:id="63" w:name="_Toc144974562"/>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152045596"/>
      <w:bookmarkStart w:id="66" w:name="_Toc179632614"/>
      <w:bookmarkStart w:id="67" w:name="_Toc246996239"/>
      <w:bookmarkStart w:id="68" w:name="_Toc296602484"/>
      <w:bookmarkStart w:id="69" w:name="_Toc152042373"/>
      <w:bookmarkStart w:id="70" w:name="_Toc247085754"/>
      <w:bookmarkStart w:id="71"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综合金融服务</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第2.2.4（3）目规定的评审因素和分值对项目团队计算出得分C；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第2.2.4（4）目规定的评审因素和分值对承销业绩</w:t>
      </w:r>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5</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第2.2.4（5）目规定的评审因素和分值对投标报价</w:t>
      </w:r>
      <w:r>
        <w:rPr>
          <w:rFonts w:hint="eastAsia" w:ascii="Times New Roman" w:hAnsi="Times New Roman" w:cs="Times New Roman"/>
          <w:kern w:val="0"/>
          <w:sz w:val="24"/>
          <w:szCs w:val="24"/>
          <w:highlight w:val="none"/>
          <w:lang w:val="en-US" w:eastAsia="zh-CN"/>
        </w:rPr>
        <w:t>计算出得分E。</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D+E</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亳州交通投资控股集团有限公司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auto"/>
                <w:kern w:val="0"/>
                <w:sz w:val="24"/>
                <w:szCs w:val="24"/>
                <w:highlight w:val="none"/>
                <w:u w:val="singl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由具体承接交控集团发行公司债券承销业务的主承销商从募集款项中扣收。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招标人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16"/>
      <w:bookmarkEnd w:id="17"/>
      <w:bookmarkEnd w:id="18"/>
      <w:bookmarkEnd w:id="19"/>
      <w:bookmarkEnd w:id="20"/>
      <w:bookmarkEnd w:id="21"/>
      <w:bookmarkEnd w:id="22"/>
      <w:bookmarkEnd w:id="23"/>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发包人要求包括但不限于以下内容：</w:t>
      </w:r>
    </w:p>
    <w:p>
      <w:pPr>
        <w:wordWrap w:val="0"/>
        <w:spacing w:line="440" w:lineRule="exact"/>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一、项目概况：</w:t>
      </w:r>
    </w:p>
    <w:p>
      <w:pPr>
        <w:wordWrap w:val="0"/>
        <w:spacing w:line="440" w:lineRule="exact"/>
        <w:ind w:firstLine="480" w:firstLineChars="200"/>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lang w:val="en-US" w:eastAsia="zh-CN"/>
        </w:rPr>
        <w:t>招标人预计分两期申请注册发行总额不超过10亿元的公司债券，每期注册发行额度不超过5亿元，每期发行期限不超过3年（含），分别用于偿还招标人2024年1月和2025年3月到期的公司债券。经招标入库的单位，将作为交控集团以上两期公司债券承销服务的优先合作对象，负责债券的牵头承销及发行工作，并就具体业务与被选中单位签订单项承销协议，不承诺每家入围证券公司均参与申报发行工作。</w:t>
      </w:r>
    </w:p>
    <w:p>
      <w:pPr>
        <w:numPr>
          <w:ilvl w:val="0"/>
          <w:numId w:val="1"/>
        </w:numPr>
        <w:wordWrap w:val="0"/>
        <w:spacing w:line="440" w:lineRule="exact"/>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服务内容</w:t>
      </w:r>
    </w:p>
    <w:p>
      <w:pPr>
        <w:wordWrap w:val="0"/>
        <w:spacing w:before="0" w:line="440" w:lineRule="exact"/>
        <w:ind w:left="0" w:right="0" w:firstLine="480" w:firstLineChars="200"/>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spacing w:val="0"/>
          <w:kern w:val="0"/>
          <w:sz w:val="24"/>
          <w:szCs w:val="24"/>
          <w:highlight w:val="none"/>
          <w:shd w:val="clear"/>
        </w:rPr>
        <w:t>1.制定详细的承销服务方案，内容包含但不限于人员与工作安排、销售与推广等。</w:t>
      </w:r>
    </w:p>
    <w:p>
      <w:pPr>
        <w:numPr>
          <w:ilvl w:val="-1"/>
          <w:numId w:val="0"/>
        </w:numPr>
        <w:wordWrap w:val="0"/>
        <w:spacing w:before="0" w:line="440" w:lineRule="exact"/>
        <w:ind w:left="0" w:leftChars="0" w:firstLine="480" w:firstLineChars="200"/>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spacing w:val="0"/>
          <w:kern w:val="0"/>
          <w:sz w:val="24"/>
          <w:szCs w:val="24"/>
          <w:highlight w:val="none"/>
          <w:shd w:val="clear"/>
        </w:rPr>
        <w:t>2.制作申报材料、推进招标人单位公司债的注册、组织承销等</w:t>
      </w:r>
      <w:r>
        <w:rPr>
          <w:rFonts w:hint="eastAsia" w:ascii="Times New Roman" w:hAnsi="Times New Roman" w:cs="Times New Roman" w:eastAsiaTheme="minorEastAsia"/>
          <w:color w:val="auto"/>
          <w:kern w:val="0"/>
          <w:sz w:val="24"/>
          <w:szCs w:val="24"/>
          <w:highlight w:val="none"/>
          <w:shd w:val="clear"/>
        </w:rPr>
        <w:t>。</w:t>
      </w:r>
    </w:p>
    <w:p>
      <w:pPr>
        <w:numPr>
          <w:ilvl w:val="-1"/>
          <w:numId w:val="0"/>
        </w:numPr>
        <w:wordWrap w:val="0"/>
        <w:spacing w:before="0" w:line="440" w:lineRule="exact"/>
        <w:ind w:left="0" w:leftChars="0" w:right="0" w:firstLine="480" w:firstLineChars="200"/>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spacing w:val="0"/>
          <w:kern w:val="0"/>
          <w:sz w:val="24"/>
          <w:szCs w:val="24"/>
          <w:highlight w:val="none"/>
          <w:shd w:val="clear"/>
        </w:rPr>
        <w:t>3.负责协调相关中介机构，按方案确定的时间完成评级</w:t>
      </w:r>
      <w:r>
        <w:rPr>
          <w:rFonts w:hint="eastAsia" w:ascii="Times New Roman" w:hAnsi="Times New Roman" w:cs="Times New Roman" w:eastAsiaTheme="minorEastAsia"/>
          <w:color w:val="auto"/>
          <w:kern w:val="0"/>
          <w:sz w:val="24"/>
          <w:szCs w:val="24"/>
          <w:highlight w:val="none"/>
          <w:shd w:val="clear"/>
        </w:rPr>
        <w:t>、尽职调查、法律意见</w:t>
      </w:r>
      <w:r>
        <w:rPr>
          <w:rFonts w:hint="eastAsia" w:ascii="Times New Roman" w:hAnsi="Times New Roman" w:cs="Times New Roman" w:eastAsiaTheme="minorEastAsia"/>
          <w:color w:val="auto"/>
          <w:spacing w:val="0"/>
          <w:kern w:val="0"/>
          <w:sz w:val="24"/>
          <w:szCs w:val="24"/>
          <w:highlight w:val="none"/>
          <w:shd w:val="clear"/>
        </w:rPr>
        <w:t>书和申请材料的编制等</w:t>
      </w:r>
      <w:r>
        <w:rPr>
          <w:rFonts w:hint="eastAsia" w:ascii="Times New Roman" w:hAnsi="Times New Roman" w:cs="Times New Roman" w:eastAsiaTheme="minorEastAsia"/>
          <w:color w:val="auto"/>
          <w:kern w:val="0"/>
          <w:sz w:val="24"/>
          <w:szCs w:val="24"/>
          <w:highlight w:val="none"/>
          <w:shd w:val="clear"/>
        </w:rPr>
        <w:t>相关工作。</w:t>
      </w:r>
    </w:p>
    <w:p>
      <w:pPr>
        <w:numPr>
          <w:ilvl w:val="-1"/>
          <w:numId w:val="0"/>
        </w:numPr>
        <w:wordWrap w:val="0"/>
        <w:spacing w:line="440" w:lineRule="exact"/>
        <w:ind w:firstLine="480" w:firstLineChars="200"/>
        <w:rPr>
          <w:rFonts w:hint="eastAsia" w:ascii="Times New Roman" w:hAnsi="Times New Roman" w:cs="Times New Roman" w:eastAsiaTheme="minorEastAsia"/>
          <w:color w:val="auto"/>
          <w:spacing w:val="0"/>
          <w:kern w:val="0"/>
          <w:sz w:val="24"/>
          <w:szCs w:val="24"/>
          <w:highlight w:val="none"/>
          <w:shd w:val="clear"/>
        </w:rPr>
      </w:pPr>
      <w:r>
        <w:rPr>
          <w:rFonts w:hint="eastAsia" w:ascii="Times New Roman" w:hAnsi="Times New Roman" w:cs="Times New Roman" w:eastAsiaTheme="minorEastAsia"/>
          <w:color w:val="auto"/>
          <w:spacing w:val="0"/>
          <w:kern w:val="0"/>
          <w:sz w:val="24"/>
          <w:szCs w:val="24"/>
          <w:highlight w:val="none"/>
          <w:shd w:val="clear"/>
        </w:rPr>
        <w:t>4.负责上报申报材料至交易所，负责与交易所沟通，完成反馈意见。</w:t>
      </w:r>
    </w:p>
    <w:p>
      <w:pPr>
        <w:wordWrap w:val="0"/>
        <w:spacing w:before="0" w:line="440" w:lineRule="exact"/>
        <w:ind w:left="0" w:leftChars="0" w:right="0" w:firstLine="480" w:firstLineChars="200"/>
        <w:rPr>
          <w:rFonts w:hint="eastAsia" w:ascii="Times New Roman" w:hAnsi="Times New Roman" w:cs="Times New Roman" w:eastAsiaTheme="minorEastAsia"/>
          <w:color w:val="auto"/>
          <w:spacing w:val="0"/>
          <w:kern w:val="0"/>
          <w:sz w:val="24"/>
          <w:szCs w:val="24"/>
          <w:highlight w:val="none"/>
          <w:shd w:val="clear"/>
        </w:rPr>
      </w:pPr>
      <w:r>
        <w:rPr>
          <w:rFonts w:hint="eastAsia" w:ascii="Times New Roman" w:hAnsi="Times New Roman" w:cs="Times New Roman" w:eastAsiaTheme="minorEastAsia"/>
          <w:color w:val="auto"/>
          <w:spacing w:val="0"/>
          <w:kern w:val="0"/>
          <w:sz w:val="24"/>
          <w:szCs w:val="24"/>
          <w:highlight w:val="none"/>
          <w:shd w:val="clear" w:fill="auto"/>
        </w:rPr>
        <w:t>5.</w:t>
      </w:r>
      <w:r>
        <w:rPr>
          <w:rFonts w:hint="eastAsia" w:ascii="Times New Roman" w:hAnsi="Times New Roman" w:cs="Times New Roman"/>
          <w:color w:val="auto"/>
          <w:spacing w:val="0"/>
          <w:kern w:val="0"/>
          <w:sz w:val="24"/>
          <w:szCs w:val="24"/>
          <w:highlight w:val="none"/>
          <w:shd w:val="clear"/>
          <w:lang w:val="en-US" w:eastAsia="zh-CN"/>
        </w:rPr>
        <w:t>需要</w:t>
      </w:r>
      <w:r>
        <w:rPr>
          <w:rFonts w:hint="eastAsia" w:ascii="Times New Roman" w:hAnsi="Times New Roman" w:cs="Times New Roman" w:eastAsiaTheme="minorEastAsia"/>
          <w:color w:val="auto"/>
          <w:spacing w:val="0"/>
          <w:kern w:val="0"/>
          <w:sz w:val="24"/>
          <w:szCs w:val="24"/>
          <w:highlight w:val="none"/>
          <w:shd w:val="clear" w:fill="auto"/>
        </w:rPr>
        <w:t>策划债券宣传方案，安排路演推介工作，确保债券的顺利发行；</w:t>
      </w:r>
    </w:p>
    <w:p>
      <w:pPr>
        <w:wordWrap w:val="0"/>
        <w:spacing w:before="0" w:line="440" w:lineRule="exact"/>
        <w:ind w:left="0" w:leftChars="0" w:right="0" w:firstLine="480" w:firstLineChars="200"/>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spacing w:val="0"/>
          <w:kern w:val="0"/>
          <w:sz w:val="24"/>
          <w:szCs w:val="24"/>
          <w:highlight w:val="none"/>
          <w:shd w:val="clear" w:fill="auto"/>
        </w:rPr>
        <w:t>6.</w:t>
      </w:r>
      <w:r>
        <w:rPr>
          <w:rFonts w:hint="eastAsia" w:ascii="Times New Roman" w:hAnsi="Times New Roman" w:cs="Times New Roman"/>
          <w:color w:val="auto"/>
          <w:spacing w:val="0"/>
          <w:kern w:val="0"/>
          <w:sz w:val="24"/>
          <w:szCs w:val="24"/>
          <w:highlight w:val="none"/>
          <w:shd w:val="clear"/>
          <w:lang w:val="en-US" w:eastAsia="zh-CN"/>
        </w:rPr>
        <w:t>需要</w:t>
      </w:r>
      <w:r>
        <w:rPr>
          <w:rFonts w:hint="eastAsia" w:ascii="Times New Roman" w:hAnsi="Times New Roman" w:cs="Times New Roman" w:eastAsiaTheme="minorEastAsia"/>
          <w:color w:val="auto"/>
          <w:spacing w:val="0"/>
          <w:kern w:val="0"/>
          <w:sz w:val="24"/>
          <w:szCs w:val="24"/>
          <w:highlight w:val="none"/>
          <w:shd w:val="clear" w:fill="auto"/>
        </w:rPr>
        <w:t>协助沟通相关投资者，力争发行利率低，尽可能降低发债成本；</w:t>
      </w:r>
    </w:p>
    <w:p>
      <w:pPr>
        <w:wordWrap w:val="0"/>
        <w:spacing w:before="0" w:line="440" w:lineRule="exact"/>
        <w:ind w:left="479" w:leftChars="228" w:right="0" w:firstLine="0" w:firstLineChars="0"/>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spacing w:val="0"/>
          <w:kern w:val="0"/>
          <w:sz w:val="24"/>
          <w:szCs w:val="24"/>
          <w:highlight w:val="none"/>
          <w:shd w:val="clear" w:fill="auto"/>
        </w:rPr>
        <w:t>7.</w:t>
      </w:r>
      <w:r>
        <w:rPr>
          <w:rFonts w:hint="eastAsia" w:ascii="Times New Roman" w:hAnsi="Times New Roman" w:cs="Times New Roman"/>
          <w:color w:val="auto"/>
          <w:spacing w:val="0"/>
          <w:kern w:val="0"/>
          <w:sz w:val="24"/>
          <w:szCs w:val="24"/>
          <w:highlight w:val="none"/>
          <w:shd w:val="clear"/>
          <w:lang w:val="en-US" w:eastAsia="zh-CN"/>
        </w:rPr>
        <w:t>需要</w:t>
      </w:r>
      <w:r>
        <w:rPr>
          <w:rFonts w:hint="eastAsia" w:ascii="Times New Roman" w:hAnsi="Times New Roman" w:cs="Times New Roman" w:eastAsiaTheme="minorEastAsia"/>
          <w:color w:val="auto"/>
          <w:spacing w:val="0"/>
          <w:kern w:val="0"/>
          <w:sz w:val="24"/>
          <w:szCs w:val="24"/>
          <w:highlight w:val="none"/>
          <w:shd w:val="clear" w:fill="auto"/>
        </w:rPr>
        <w:t>协助发行人做好本次发行公司债相关信息披露工作</w:t>
      </w:r>
      <w:r>
        <w:rPr>
          <w:rFonts w:hint="eastAsia" w:ascii="Times New Roman" w:hAnsi="Times New Roman" w:cs="Times New Roman"/>
          <w:color w:val="auto"/>
          <w:spacing w:val="0"/>
          <w:kern w:val="0"/>
          <w:sz w:val="24"/>
          <w:szCs w:val="24"/>
          <w:highlight w:val="none"/>
          <w:shd w:val="clear"/>
          <w:lang w:eastAsia="zh-CN"/>
        </w:rPr>
        <w:t>；</w:t>
      </w:r>
    </w:p>
    <w:p>
      <w:pPr>
        <w:wordWrap w:val="0"/>
        <w:spacing w:before="0" w:line="440" w:lineRule="exact"/>
        <w:ind w:left="479" w:leftChars="228" w:right="0" w:firstLine="0" w:firstLineChars="0"/>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spacing w:val="0"/>
          <w:kern w:val="0"/>
          <w:sz w:val="24"/>
          <w:szCs w:val="24"/>
          <w:highlight w:val="none"/>
          <w:shd w:val="clear" w:fill="auto"/>
        </w:rPr>
        <w:t>8.需要协助发行人做好公司债资金结算及后期还本付息等相关事宜</w:t>
      </w:r>
      <w:r>
        <w:rPr>
          <w:rFonts w:hint="eastAsia" w:ascii="Times New Roman" w:hAnsi="Times New Roman" w:cs="Times New Roman"/>
          <w:color w:val="auto"/>
          <w:spacing w:val="0"/>
          <w:kern w:val="0"/>
          <w:sz w:val="24"/>
          <w:szCs w:val="24"/>
          <w:highlight w:val="none"/>
          <w:shd w:val="clear"/>
          <w:lang w:eastAsia="zh-CN"/>
        </w:rPr>
        <w:t>；</w:t>
      </w:r>
    </w:p>
    <w:p>
      <w:pPr>
        <w:wordWrap w:val="0"/>
        <w:spacing w:before="0" w:line="440" w:lineRule="exact"/>
        <w:ind w:left="0" w:right="0" w:firstLine="480" w:firstLineChars="200"/>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spacing w:val="0"/>
          <w:kern w:val="0"/>
          <w:sz w:val="24"/>
          <w:szCs w:val="24"/>
          <w:highlight w:val="none"/>
          <w:shd w:val="clear" w:fill="auto"/>
        </w:rPr>
        <w:t>9.需要按照承销协议相关条款的约定，对本次注册额度内承销的</w:t>
      </w:r>
      <w:r>
        <w:rPr>
          <w:rFonts w:hint="eastAsia" w:ascii="Times New Roman" w:hAnsi="Times New Roman" w:cs="Times New Roman" w:eastAsiaTheme="minorEastAsia"/>
          <w:color w:val="auto"/>
          <w:spacing w:val="0"/>
          <w:kern w:val="0"/>
          <w:sz w:val="24"/>
          <w:szCs w:val="24"/>
          <w:highlight w:val="none"/>
          <w:shd w:val="clear" w:fill="auto"/>
          <w:lang w:val="en-US" w:eastAsia="zh-CN"/>
        </w:rPr>
        <w:t>公司债券</w:t>
      </w:r>
      <w:r>
        <w:rPr>
          <w:rFonts w:hint="eastAsia" w:ascii="Times New Roman" w:hAnsi="Times New Roman" w:cs="Times New Roman" w:eastAsiaTheme="minorEastAsia"/>
          <w:color w:val="auto"/>
          <w:kern w:val="0"/>
          <w:sz w:val="24"/>
          <w:szCs w:val="24"/>
          <w:highlight w:val="none"/>
          <w:shd w:val="clear" w:fill="auto"/>
        </w:rPr>
        <w:t>按照</w:t>
      </w:r>
      <w:r>
        <w:rPr>
          <w:rFonts w:hint="eastAsia" w:ascii="Times New Roman" w:hAnsi="Times New Roman" w:cs="Times New Roman" w:eastAsiaTheme="minorEastAsia"/>
          <w:color w:val="auto"/>
          <w:spacing w:val="0"/>
          <w:kern w:val="0"/>
          <w:sz w:val="24"/>
          <w:szCs w:val="24"/>
          <w:highlight w:val="none"/>
          <w:shd w:val="clear" w:fill="auto"/>
        </w:rPr>
        <w:t>余额包销方式进行承销，承担余额包销责任及相应的发行风险</w:t>
      </w:r>
      <w:r>
        <w:rPr>
          <w:rFonts w:hint="eastAsia" w:ascii="Times New Roman" w:hAnsi="Times New Roman" w:cs="Times New Roman"/>
          <w:color w:val="auto"/>
          <w:spacing w:val="0"/>
          <w:kern w:val="0"/>
          <w:sz w:val="24"/>
          <w:szCs w:val="24"/>
          <w:highlight w:val="none"/>
          <w:shd w:val="clear"/>
          <w:lang w:eastAsia="zh-CN"/>
        </w:rPr>
        <w:t>；</w:t>
      </w:r>
    </w:p>
    <w:p>
      <w:pPr>
        <w:wordWrap w:val="0"/>
        <w:spacing w:line="440" w:lineRule="exact"/>
        <w:ind w:left="0" w:firstLine="480" w:firstLineChars="200"/>
        <w:rPr>
          <w:rFonts w:hint="eastAsia"/>
          <w:lang w:val="en-US" w:eastAsia="zh-CN"/>
        </w:rPr>
      </w:pPr>
      <w:r>
        <w:rPr>
          <w:rFonts w:hint="eastAsia" w:ascii="Times New Roman" w:hAnsi="Times New Roman" w:cs="Times New Roman" w:eastAsiaTheme="minorEastAsia"/>
          <w:color w:val="auto"/>
          <w:spacing w:val="0"/>
          <w:kern w:val="0"/>
          <w:sz w:val="24"/>
          <w:szCs w:val="24"/>
          <w:highlight w:val="none"/>
        </w:rPr>
        <w:t>10.承销方案须按照投标文件中的响应内容执行，否则招标人有权拒绝</w:t>
      </w:r>
      <w:r>
        <w:rPr>
          <w:rFonts w:hint="eastAsia" w:ascii="Times New Roman" w:hAnsi="Times New Roman" w:cs="Times New Roman" w:eastAsiaTheme="minorEastAsia"/>
          <w:color w:val="auto"/>
          <w:kern w:val="0"/>
          <w:sz w:val="24"/>
          <w:szCs w:val="24"/>
          <w:highlight w:val="none"/>
        </w:rPr>
        <w:t>支</w:t>
      </w:r>
      <w:r>
        <w:rPr>
          <w:rFonts w:hint="eastAsia" w:ascii="Times New Roman" w:hAnsi="Times New Roman" w:cs="Times New Roman" w:eastAsiaTheme="minorEastAsia"/>
          <w:color w:val="auto"/>
          <w:spacing w:val="0"/>
          <w:kern w:val="0"/>
          <w:sz w:val="24"/>
          <w:szCs w:val="24"/>
          <w:highlight w:val="none"/>
        </w:rPr>
        <w:t>付承销费用</w:t>
      </w:r>
      <w:r>
        <w:rPr>
          <w:rFonts w:hint="eastAsia" w:ascii="Times New Roman" w:hAnsi="Times New Roman" w:cs="Times New Roman" w:eastAsiaTheme="minorEastAsia"/>
          <w:color w:val="auto"/>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color w:val="auto"/>
          <w:kern w:val="0"/>
          <w:sz w:val="28"/>
          <w:szCs w:val="28"/>
          <w:highlight w:val="none"/>
          <w:lang w:val="en-US" w:eastAsia="zh-CN"/>
        </w:rPr>
        <w:t>三、服务要求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1.服务质量要求：</w:t>
      </w:r>
      <w:r>
        <w:rPr>
          <w:rFonts w:hint="eastAsia" w:ascii="Times New Roman" w:hAnsi="Times New Roman" w:cs="Times New Roman" w:eastAsiaTheme="minorEastAsia"/>
          <w:bCs w:val="0"/>
          <w:color w:val="auto"/>
          <w:kern w:val="0"/>
          <w:sz w:val="24"/>
          <w:szCs w:val="24"/>
          <w:highlight w:val="none"/>
        </w:rPr>
        <w:t>应采取积极必要地措施</w:t>
      </w:r>
      <w:r>
        <w:rPr>
          <w:rFonts w:hint="eastAsia" w:ascii="Times New Roman" w:hAnsi="Times New Roman" w:cs="Times New Roman"/>
          <w:bCs w:val="0"/>
          <w:color w:val="auto"/>
          <w:kern w:val="0"/>
          <w:sz w:val="24"/>
          <w:szCs w:val="24"/>
          <w:highlight w:val="none"/>
          <w:lang w:eastAsia="zh-CN"/>
        </w:rPr>
        <w:t>，</w:t>
      </w:r>
      <w:r>
        <w:rPr>
          <w:rFonts w:hint="eastAsia" w:ascii="Times New Roman" w:hAnsi="Times New Roman" w:cs="Times New Roman" w:eastAsiaTheme="minorEastAsia"/>
          <w:bCs w:val="0"/>
          <w:color w:val="auto"/>
          <w:kern w:val="0"/>
          <w:sz w:val="24"/>
          <w:szCs w:val="24"/>
          <w:highlight w:val="none"/>
        </w:rPr>
        <w:t>确保</w:t>
      </w:r>
      <w:r>
        <w:rPr>
          <w:rFonts w:hint="eastAsia" w:ascii="Times New Roman" w:hAnsi="Times New Roman" w:cs="Times New Roman"/>
          <w:bCs w:val="0"/>
          <w:color w:val="auto"/>
          <w:kern w:val="0"/>
          <w:sz w:val="24"/>
          <w:szCs w:val="24"/>
          <w:highlight w:val="none"/>
          <w:lang w:val="en-US" w:eastAsia="zh-CN"/>
        </w:rPr>
        <w:t>招标人公司</w:t>
      </w:r>
      <w:r>
        <w:rPr>
          <w:rFonts w:hint="eastAsia" w:ascii="Times New Roman" w:hAnsi="Times New Roman" w:cs="Times New Roman" w:eastAsiaTheme="minorEastAsia"/>
          <w:bCs w:val="0"/>
          <w:color w:val="auto"/>
          <w:kern w:val="0"/>
          <w:sz w:val="24"/>
          <w:szCs w:val="24"/>
          <w:highlight w:val="none"/>
        </w:rPr>
        <w:t>债按时、按质</w:t>
      </w:r>
      <w:r>
        <w:rPr>
          <w:rFonts w:hint="eastAsia" w:ascii="Times New Roman" w:hAnsi="Times New Roman" w:cs="Times New Roman"/>
          <w:bCs w:val="0"/>
          <w:color w:val="auto"/>
          <w:kern w:val="0"/>
          <w:sz w:val="24"/>
          <w:szCs w:val="24"/>
          <w:highlight w:val="none"/>
          <w:lang w:eastAsia="zh-CN"/>
        </w:rPr>
        <w:t>、</w:t>
      </w:r>
      <w:r>
        <w:rPr>
          <w:rFonts w:hint="eastAsia" w:ascii="Times New Roman" w:hAnsi="Times New Roman" w:cs="Times New Roman"/>
          <w:bCs w:val="0"/>
          <w:color w:val="auto"/>
          <w:kern w:val="0"/>
          <w:sz w:val="24"/>
          <w:szCs w:val="24"/>
          <w:highlight w:val="none"/>
          <w:lang w:val="en-US" w:eastAsia="zh-CN"/>
        </w:rPr>
        <w:t>按量地</w:t>
      </w:r>
      <w:r>
        <w:rPr>
          <w:rFonts w:hint="eastAsia" w:ascii="Times New Roman" w:hAnsi="Times New Roman" w:cs="Times New Roman" w:eastAsiaTheme="minorEastAsia"/>
          <w:bCs w:val="0"/>
          <w:color w:val="auto"/>
          <w:kern w:val="0"/>
          <w:sz w:val="24"/>
          <w:szCs w:val="24"/>
          <w:highlight w:val="none"/>
        </w:rPr>
        <w:t>顺利发行</w:t>
      </w:r>
      <w:r>
        <w:rPr>
          <w:rFonts w:hint="eastAsia" w:ascii="Times New Roman" w:hAnsi="Times New Roman" w:cs="Times New Roman"/>
          <w:bCs w:val="0"/>
          <w:color w:val="auto"/>
          <w:kern w:val="0"/>
          <w:sz w:val="24"/>
          <w:szCs w:val="24"/>
          <w:highlight w:val="none"/>
          <w:lang w:eastAsia="zh-CN"/>
        </w:rPr>
        <w:t>；</w:t>
      </w:r>
      <w:r>
        <w:rPr>
          <w:rFonts w:hint="eastAsia" w:ascii="Times New Roman" w:hAnsi="Times New Roman" w:cs="Times New Roman" w:eastAsiaTheme="minorEastAsia"/>
          <w:bCs w:val="0"/>
          <w:color w:val="auto"/>
          <w:kern w:val="0"/>
          <w:sz w:val="24"/>
          <w:szCs w:val="24"/>
          <w:highlight w:val="none"/>
        </w:rPr>
        <w:t>发行利率、发行期限合理，尽可能降低</w:t>
      </w:r>
      <w:r>
        <w:rPr>
          <w:rFonts w:hint="eastAsia" w:ascii="Times New Roman" w:hAnsi="Times New Roman" w:cs="Times New Roman"/>
          <w:bCs w:val="0"/>
          <w:color w:val="auto"/>
          <w:kern w:val="0"/>
          <w:sz w:val="24"/>
          <w:szCs w:val="24"/>
          <w:highlight w:val="none"/>
          <w:lang w:val="en-US" w:eastAsia="zh-CN"/>
        </w:rPr>
        <w:t>招标人</w:t>
      </w:r>
      <w:r>
        <w:rPr>
          <w:rFonts w:hint="eastAsia" w:ascii="Times New Roman" w:hAnsi="Times New Roman" w:cs="Times New Roman" w:eastAsiaTheme="minorEastAsia"/>
          <w:bCs w:val="0"/>
          <w:color w:val="auto"/>
          <w:kern w:val="0"/>
          <w:sz w:val="24"/>
          <w:szCs w:val="24"/>
          <w:highlight w:val="none"/>
        </w:rPr>
        <w:t>发债成本</w:t>
      </w:r>
      <w:r>
        <w:rPr>
          <w:rFonts w:hint="eastAsia" w:ascii="Times New Roman" w:hAnsi="Times New Roman" w:cs="Times New Roman"/>
          <w:bCs w:val="0"/>
          <w:color w:val="auto"/>
          <w:kern w:val="0"/>
          <w:sz w:val="24"/>
          <w:szCs w:val="24"/>
          <w:highlight w:val="none"/>
          <w:lang w:eastAsia="zh-CN"/>
        </w:rPr>
        <w:t>；</w:t>
      </w:r>
      <w:r>
        <w:rPr>
          <w:rFonts w:hint="eastAsia" w:ascii="Times New Roman" w:hAnsi="Times New Roman" w:cs="Times New Roman" w:eastAsiaTheme="minorEastAsia"/>
          <w:bCs w:val="0"/>
          <w:color w:val="auto"/>
          <w:kern w:val="0"/>
          <w:sz w:val="24"/>
          <w:szCs w:val="24"/>
          <w:highlight w:val="none"/>
        </w:rPr>
        <w:t>及时、准确、充分的完成申报材料及申报方案并主动反馈相关信息意见的回复</w:t>
      </w:r>
      <w:r>
        <w:rPr>
          <w:rFonts w:hint="eastAsia" w:ascii="Times New Roman" w:hAnsi="Times New Roman" w:cs="Times New Roman"/>
          <w:bCs w:val="0"/>
          <w:color w:val="auto"/>
          <w:kern w:val="0"/>
          <w:sz w:val="24"/>
          <w:szCs w:val="24"/>
          <w:highlight w:val="none"/>
          <w:lang w:eastAsia="zh-CN"/>
        </w:rPr>
        <w:t>；</w:t>
      </w:r>
      <w:r>
        <w:rPr>
          <w:rFonts w:hint="eastAsia" w:ascii="Times New Roman" w:hAnsi="Times New Roman" w:cs="Times New Roman" w:eastAsiaTheme="minorEastAsia"/>
          <w:bCs w:val="0"/>
          <w:color w:val="auto"/>
          <w:kern w:val="0"/>
          <w:sz w:val="24"/>
          <w:szCs w:val="24"/>
          <w:highlight w:val="none"/>
        </w:rPr>
        <w:t>服务期限内，无条件积极配合采购人的相关发债工作，组织专业团队，专人负责完成</w:t>
      </w:r>
      <w:r>
        <w:rPr>
          <w:rFonts w:hint="eastAsia" w:ascii="Times New Roman" w:hAnsi="Times New Roman" w:cs="Times New Roman"/>
          <w:bCs w:val="0"/>
          <w:color w:val="auto"/>
          <w:kern w:val="0"/>
          <w:sz w:val="24"/>
          <w:szCs w:val="24"/>
          <w:highlight w:val="none"/>
          <w:lang w:val="en-US" w:eastAsia="zh-CN"/>
        </w:rPr>
        <w:t>承接</w:t>
      </w:r>
      <w:r>
        <w:rPr>
          <w:rFonts w:hint="eastAsia" w:ascii="Times New Roman" w:hAnsi="Times New Roman" w:cs="Times New Roman" w:eastAsiaTheme="minorEastAsia"/>
          <w:bCs w:val="0"/>
          <w:color w:val="auto"/>
          <w:kern w:val="0"/>
          <w:sz w:val="24"/>
          <w:szCs w:val="24"/>
          <w:highlight w:val="none"/>
        </w:rPr>
        <w:t>项目。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highlight w:val="none"/>
        </w:rPr>
      </w:pPr>
      <w:r>
        <w:rPr>
          <w:rFonts w:hint="eastAsia" w:ascii="Times New Roman" w:hAnsi="Times New Roman" w:cs="Times New Roman"/>
          <w:color w:val="auto"/>
          <w:kern w:val="0"/>
          <w:sz w:val="24"/>
          <w:szCs w:val="24"/>
          <w:highlight w:val="none"/>
          <w:lang w:val="en-US" w:eastAsia="zh-CN"/>
        </w:rPr>
        <w:t>2.其他要求：</w:t>
      </w:r>
      <w:r>
        <w:rPr>
          <w:rFonts w:hint="eastAsia" w:ascii="Times New Roman" w:hAnsi="Times New Roman" w:cs="Times New Roman" w:eastAsiaTheme="minorEastAsia"/>
          <w:color w:val="auto"/>
          <w:kern w:val="0"/>
          <w:sz w:val="24"/>
          <w:szCs w:val="24"/>
          <w:highlight w:val="none"/>
          <w:lang w:val="en-US" w:eastAsia="zh-CN"/>
        </w:rPr>
        <w:t>服务期内交控集团将每年对入库承销商履约及服务情况进行综合评价</w:t>
      </w:r>
      <w:r>
        <w:rPr>
          <w:rFonts w:hint="eastAsia" w:ascii="Times New Roman" w:hAnsi="Times New Roman" w:cs="Times New Roman"/>
          <w:color w:val="auto"/>
          <w:kern w:val="0"/>
          <w:sz w:val="24"/>
          <w:szCs w:val="24"/>
          <w:highlight w:val="none"/>
          <w:lang w:val="en-US" w:eastAsia="zh-CN"/>
        </w:rPr>
        <w:t>，</w:t>
      </w:r>
      <w:r>
        <w:rPr>
          <w:rFonts w:hint="eastAsia" w:ascii="Times New Roman" w:hAnsi="Times New Roman" w:cs="Times New Roman" w:eastAsiaTheme="minorEastAsia"/>
          <w:color w:val="auto"/>
          <w:kern w:val="0"/>
          <w:sz w:val="24"/>
          <w:szCs w:val="24"/>
          <w:highlight w:val="none"/>
          <w:lang w:val="en-US" w:eastAsia="zh-CN"/>
        </w:rPr>
        <w:t>在承接项目</w:t>
      </w:r>
      <w:r>
        <w:rPr>
          <w:rFonts w:hint="eastAsia" w:ascii="Times New Roman" w:hAnsi="Times New Roman" w:cs="Times New Roman"/>
          <w:color w:val="auto"/>
          <w:kern w:val="0"/>
          <w:sz w:val="24"/>
          <w:szCs w:val="24"/>
          <w:highlight w:val="none"/>
          <w:lang w:val="en-US" w:eastAsia="zh-CN"/>
        </w:rPr>
        <w:t>过程</w:t>
      </w:r>
      <w:r>
        <w:rPr>
          <w:rFonts w:hint="eastAsia" w:ascii="Times New Roman" w:hAnsi="Times New Roman" w:cs="Times New Roman" w:eastAsiaTheme="minorEastAsia"/>
          <w:color w:val="auto"/>
          <w:kern w:val="0"/>
          <w:sz w:val="24"/>
          <w:szCs w:val="24"/>
          <w:highlight w:val="none"/>
          <w:lang w:val="en-US" w:eastAsia="zh-CN"/>
        </w:rPr>
        <w:t>中，如工作对接散慢和责任心差、项目团队能力一般和人员变动频繁等，则随时更换此项目承销商的资格</w:t>
      </w:r>
      <w:r>
        <w:rPr>
          <w:rFonts w:hint="eastAsia" w:ascii="Times New Roman" w:hAnsi="Times New Roman" w:cs="Times New Roman"/>
          <w:color w:val="auto"/>
          <w:kern w:val="0"/>
          <w:sz w:val="24"/>
          <w:szCs w:val="24"/>
          <w:highlight w:val="none"/>
          <w:lang w:val="en-US" w:eastAsia="zh-CN"/>
        </w:rPr>
        <w:t>；</w:t>
      </w:r>
      <w:r>
        <w:rPr>
          <w:rFonts w:hint="eastAsia" w:ascii="Times New Roman" w:hAnsi="Times New Roman" w:cs="Times New Roman" w:eastAsiaTheme="minorEastAsia"/>
          <w:color w:val="auto"/>
          <w:kern w:val="0"/>
          <w:sz w:val="24"/>
          <w:szCs w:val="24"/>
          <w:highlight w:val="none"/>
          <w:lang w:val="en-US" w:eastAsia="zh-CN"/>
        </w:rPr>
        <w:t>如债券发行未能全额募集、票面利率大幅高于前期预期的利率，则清退出库。具体的履约</w:t>
      </w:r>
      <w:r>
        <w:rPr>
          <w:rFonts w:hint="eastAsia" w:ascii="Times New Roman" w:hAnsi="Times New Roman" w:cs="Times New Roman"/>
          <w:color w:val="auto"/>
          <w:kern w:val="0"/>
          <w:sz w:val="24"/>
          <w:szCs w:val="24"/>
          <w:highlight w:val="none"/>
          <w:lang w:val="en-US" w:eastAsia="zh-CN"/>
        </w:rPr>
        <w:t>评价</w:t>
      </w:r>
      <w:r>
        <w:rPr>
          <w:rFonts w:hint="eastAsia" w:ascii="Times New Roman" w:hAnsi="Times New Roman" w:cs="Times New Roman" w:eastAsiaTheme="minorEastAsia"/>
          <w:color w:val="auto"/>
          <w:kern w:val="0"/>
          <w:sz w:val="24"/>
          <w:szCs w:val="24"/>
          <w:highlight w:val="none"/>
          <w:lang w:val="en-US" w:eastAsia="zh-CN"/>
        </w:rPr>
        <w:t>标准按照招标人内部管理办法（含后续修订版）执行。</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color w:val="auto"/>
          <w:kern w:val="0"/>
          <w:sz w:val="28"/>
          <w:szCs w:val="28"/>
          <w:highlight w:val="none"/>
          <w:lang w:val="en-US" w:eastAsia="zh-CN"/>
        </w:rPr>
        <w:t>四、合同授予方式</w:t>
      </w:r>
    </w:p>
    <w:p>
      <w:pPr>
        <w:wordWrap w:val="0"/>
        <w:spacing w:line="440" w:lineRule="exact"/>
        <w:ind w:firstLine="480" w:firstLineChars="200"/>
        <w:jc w:val="left"/>
        <w:rPr>
          <w:rFonts w:hint="eastAsia" w:ascii="Times New Roman" w:hAnsi="Times New Roman" w:cs="Times New Roman"/>
          <w:bCs w:val="0"/>
          <w:color w:val="auto"/>
          <w:kern w:val="0"/>
          <w:sz w:val="24"/>
          <w:szCs w:val="24"/>
          <w:highlight w:val="none"/>
          <w:lang w:val="en-US" w:eastAsia="zh-CN"/>
        </w:rPr>
      </w:pPr>
      <w:r>
        <w:rPr>
          <w:rFonts w:hint="eastAsia" w:ascii="Times New Roman" w:hAnsi="Times New Roman" w:cs="Times New Roman" w:eastAsiaTheme="minorEastAsia"/>
          <w:color w:val="auto"/>
          <w:kern w:val="0"/>
          <w:sz w:val="24"/>
          <w:szCs w:val="24"/>
          <w:highlight w:val="none"/>
          <w:lang w:val="en-US" w:eastAsia="zh-CN"/>
        </w:rPr>
        <w:t>本次招标评选首先确定入围候选人，中标人入库后视招标人债券发行需要采用</w:t>
      </w:r>
      <w:r>
        <w:rPr>
          <w:rFonts w:hint="eastAsia" w:ascii="Times New Roman" w:hAnsi="Times New Roman" w:cs="Times New Roman"/>
          <w:color w:val="auto"/>
          <w:kern w:val="0"/>
          <w:sz w:val="24"/>
          <w:szCs w:val="24"/>
          <w:highlight w:val="none"/>
          <w:lang w:val="en-US" w:eastAsia="zh-CN"/>
        </w:rPr>
        <w:t>如下方式确定具体债券发行主承销商：</w:t>
      </w:r>
      <w:r>
        <w:rPr>
          <w:rFonts w:hint="eastAsia" w:ascii="Times New Roman" w:hAnsi="Times New Roman" w:cs="Times New Roman" w:eastAsiaTheme="minorEastAsia"/>
          <w:color w:val="auto"/>
          <w:kern w:val="0"/>
          <w:sz w:val="24"/>
          <w:szCs w:val="24"/>
          <w:highlight w:val="none"/>
          <w:u w:val="none"/>
          <w:lang w:val="en-US" w:eastAsia="zh-CN"/>
        </w:rPr>
        <w:t>按照</w:t>
      </w:r>
      <w:r>
        <w:rPr>
          <w:rFonts w:hint="eastAsia" w:ascii="Times New Roman" w:hAnsi="Times New Roman" w:cs="Times New Roman"/>
          <w:color w:val="auto"/>
          <w:kern w:val="0"/>
          <w:sz w:val="24"/>
          <w:szCs w:val="24"/>
          <w:highlight w:val="none"/>
          <w:u w:val="none"/>
          <w:lang w:val="en-US" w:eastAsia="zh-CN"/>
        </w:rPr>
        <w:t>中标候选人</w:t>
      </w:r>
      <w:r>
        <w:rPr>
          <w:rFonts w:hint="eastAsia" w:ascii="Times New Roman" w:hAnsi="Times New Roman" w:cs="Times New Roman" w:eastAsiaTheme="minorEastAsia"/>
          <w:color w:val="auto"/>
          <w:kern w:val="0"/>
          <w:sz w:val="24"/>
          <w:szCs w:val="24"/>
          <w:highlight w:val="none"/>
          <w:u w:val="none"/>
          <w:lang w:val="en-US" w:eastAsia="zh-CN"/>
        </w:rPr>
        <w:t>排名</w:t>
      </w:r>
      <w:r>
        <w:rPr>
          <w:rFonts w:hint="eastAsia" w:ascii="Times New Roman" w:hAnsi="Times New Roman" w:cs="Times New Roman"/>
          <w:color w:val="auto"/>
          <w:kern w:val="0"/>
          <w:sz w:val="24"/>
          <w:szCs w:val="24"/>
          <w:highlight w:val="none"/>
          <w:u w:val="none"/>
          <w:lang w:val="en-US" w:eastAsia="zh-CN"/>
        </w:rPr>
        <w:t>确定第一期公司债券发行主承销商，</w:t>
      </w:r>
      <w:r>
        <w:rPr>
          <w:rFonts w:hint="eastAsia" w:ascii="Times New Roman" w:hAnsi="Times New Roman" w:cs="Times New Roman"/>
          <w:color w:val="auto"/>
          <w:kern w:val="0"/>
          <w:sz w:val="24"/>
          <w:highlight w:val="none"/>
          <w:lang w:val="en-US" w:eastAsia="zh-CN"/>
        </w:rPr>
        <w:t>根据</w:t>
      </w:r>
      <w:r>
        <w:rPr>
          <w:rFonts w:hint="eastAsia" w:ascii="Times New Roman" w:hAnsi="Times New Roman" w:cs="Times New Roman" w:eastAsiaTheme="minorEastAsia"/>
          <w:color w:val="auto"/>
          <w:kern w:val="0"/>
          <w:sz w:val="24"/>
          <w:szCs w:val="24"/>
          <w:highlight w:val="none"/>
          <w:u w:val="none"/>
          <w:lang w:val="en-US" w:eastAsia="zh-CN"/>
        </w:rPr>
        <w:t>服务期内履约情况综合评价</w:t>
      </w:r>
      <w:r>
        <w:rPr>
          <w:rFonts w:hint="eastAsia" w:ascii="Times New Roman" w:hAnsi="Times New Roman" w:cs="Times New Roman" w:eastAsiaTheme="minorEastAsia"/>
          <w:color w:val="auto"/>
          <w:kern w:val="0"/>
          <w:sz w:val="24"/>
          <w:szCs w:val="24"/>
          <w:highlight w:val="none"/>
          <w:lang w:val="en-US" w:eastAsia="zh-CN"/>
        </w:rPr>
        <w:t>，确定</w:t>
      </w:r>
      <w:r>
        <w:rPr>
          <w:rFonts w:hint="eastAsia" w:ascii="Times New Roman" w:hAnsi="Times New Roman" w:cs="Times New Roman"/>
          <w:color w:val="auto"/>
          <w:kern w:val="0"/>
          <w:sz w:val="24"/>
          <w:szCs w:val="24"/>
          <w:highlight w:val="none"/>
          <w:lang w:val="en-US" w:eastAsia="zh-CN"/>
        </w:rPr>
        <w:t>第二</w:t>
      </w:r>
      <w:r>
        <w:rPr>
          <w:rFonts w:hint="eastAsia" w:ascii="Times New Roman" w:hAnsi="Times New Roman" w:cs="Times New Roman" w:eastAsiaTheme="minorEastAsia"/>
          <w:color w:val="auto"/>
          <w:kern w:val="0"/>
          <w:sz w:val="24"/>
          <w:szCs w:val="24"/>
          <w:highlight w:val="none"/>
          <w:lang w:val="en-US" w:eastAsia="zh-CN"/>
        </w:rPr>
        <w:t>期</w:t>
      </w:r>
      <w:r>
        <w:rPr>
          <w:rFonts w:hint="eastAsia" w:ascii="Times New Roman" w:hAnsi="Times New Roman" w:cs="Times New Roman"/>
          <w:color w:val="auto"/>
          <w:kern w:val="0"/>
          <w:sz w:val="24"/>
          <w:szCs w:val="24"/>
          <w:highlight w:val="none"/>
          <w:lang w:val="en-US" w:eastAsia="zh-CN"/>
        </w:rPr>
        <w:t>公司</w:t>
      </w:r>
      <w:r>
        <w:rPr>
          <w:rFonts w:hint="eastAsia" w:ascii="Times New Roman" w:hAnsi="Times New Roman" w:cs="Times New Roman" w:eastAsiaTheme="minorEastAsia"/>
          <w:color w:val="auto"/>
          <w:kern w:val="0"/>
          <w:sz w:val="24"/>
          <w:szCs w:val="24"/>
          <w:highlight w:val="none"/>
          <w:lang w:val="en-US" w:eastAsia="zh-CN"/>
        </w:rPr>
        <w:t>债券发行主承销商</w:t>
      </w:r>
      <w:r>
        <w:rPr>
          <w:rFonts w:hint="eastAsia" w:ascii="Times New Roman" w:hAnsi="Times New Roman" w:cs="Times New Roman"/>
          <w:color w:val="auto"/>
          <w:kern w:val="0"/>
          <w:sz w:val="24"/>
          <w:szCs w:val="24"/>
          <w:highlight w:val="none"/>
          <w:lang w:val="en-US" w:eastAsia="zh-CN"/>
        </w:rPr>
        <w:t>，</w:t>
      </w:r>
      <w:r>
        <w:rPr>
          <w:rFonts w:hint="eastAsia" w:ascii="Times New Roman" w:hAnsi="Times New Roman" w:cs="Times New Roman" w:eastAsiaTheme="minorEastAsia"/>
          <w:color w:val="auto"/>
          <w:kern w:val="0"/>
          <w:sz w:val="24"/>
          <w:szCs w:val="24"/>
          <w:highlight w:val="none"/>
          <w:lang w:val="en-US" w:eastAsia="zh-CN"/>
        </w:rPr>
        <w:t>并就具体业务与被选中单位签订单项承销协议。</w:t>
      </w:r>
    </w:p>
    <w:p>
      <w:pPr>
        <w:wordWrap w:val="0"/>
        <w:spacing w:line="440" w:lineRule="exact"/>
        <w:ind w:firstLine="480" w:firstLineChars="200"/>
        <w:jc w:val="left"/>
        <w:rPr>
          <w:rFonts w:hint="default" w:ascii="Times New Roman" w:hAnsi="Times New Roman" w:cs="Times New Roman"/>
          <w:bCs w:val="0"/>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pStyle w:val="2"/>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pStyle w:val="5"/>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wordWrap/>
        <w:spacing w:line="240" w:lineRule="auto"/>
        <w:ind w:firstLine="1920" w:firstLineChars="600"/>
        <w:jc w:val="left"/>
        <w:outlineLvl w:val="9"/>
        <w:rPr>
          <w:rFonts w:hint="default" w:ascii="Times New Roman" w:hAnsi="Times New Roman" w:cs="Times New Roma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bookmarkStart w:id="72" w:name="_Toc247514246"/>
      <w:bookmarkStart w:id="73" w:name="_Toc300835209"/>
      <w:bookmarkStart w:id="74" w:name="_Toc152042576"/>
      <w:bookmarkStart w:id="75" w:name="_Toc247527827"/>
      <w:bookmarkStart w:id="76" w:name="_Toc144974856"/>
      <w:bookmarkStart w:id="77" w:name="_Toc152045787"/>
    </w:p>
    <w:p>
      <w:pPr>
        <w:pStyle w:val="6"/>
        <w:wordWrap w:val="0"/>
        <w:jc w:val="center"/>
        <w:rPr>
          <w:rFonts w:hint="default" w:ascii="Times New Roman" w:hAnsi="Times New Roman" w:cs="Times New Roman"/>
        </w:rPr>
      </w:pPr>
      <w:r>
        <w:rPr>
          <w:rFonts w:hint="default" w:ascii="Times New Roman" w:hAnsi="Times New Roman" w:cs="Times New Roman"/>
        </w:rPr>
        <w:t>目    录</w:t>
      </w:r>
      <w:bookmarkEnd w:id="72"/>
      <w:bookmarkEnd w:id="73"/>
      <w:bookmarkEnd w:id="74"/>
      <w:bookmarkEnd w:id="75"/>
      <w:bookmarkEnd w:id="76"/>
      <w:bookmarkEnd w:id="77"/>
    </w:p>
    <w:p>
      <w:pPr>
        <w:wordWrap w:val="0"/>
        <w:spacing w:line="540" w:lineRule="exact"/>
        <w:rPr>
          <w:rFonts w:hint="default" w:ascii="Times New Roman" w:hAnsi="Times New Roman" w:cs="Times New Roman"/>
        </w:rPr>
      </w:pPr>
    </w:p>
    <w:p>
      <w:pPr>
        <w:wordWrap w:val="0"/>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wordWrap w:val="0"/>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wordWrap w:val="0"/>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wordWrap w:val="0"/>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wordWrap w:val="0"/>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wordWrap w:val="0"/>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五、服务方案</w:t>
      </w:r>
    </w:p>
    <w:p>
      <w:pPr>
        <w:wordWrap w:val="0"/>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wordWrap w:val="0"/>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6"/>
        <w:jc w:val="center"/>
        <w:rPr>
          <w:rFonts w:hint="default" w:ascii="Times New Roman" w:hAnsi="Times New Roman" w:eastAsia="黑体" w:cs="Times New Roman"/>
          <w:color w:val="auto"/>
          <w:sz w:val="20"/>
          <w:szCs w:val="20"/>
        </w:rPr>
      </w:pPr>
      <w:bookmarkStart w:id="78" w:name="_Toc247514247"/>
      <w:bookmarkStart w:id="79" w:name="_Toc152042577"/>
      <w:bookmarkStart w:id="80" w:name="_Toc144974857"/>
      <w:bookmarkStart w:id="81" w:name="_Toc300835210"/>
      <w:bookmarkStart w:id="82" w:name="_Toc247527828"/>
      <w:bookmarkStart w:id="83" w:name="_Toc152045788"/>
      <w:r>
        <w:rPr>
          <w:rFonts w:hint="default" w:ascii="Times New Roman" w:hAnsi="Times New Roman" w:cs="Times New Roman"/>
          <w:color w:val="auto"/>
        </w:rPr>
        <w:t>一、投标函及投标函附录</w:t>
      </w:r>
      <w:bookmarkEnd w:id="78"/>
      <w:bookmarkEnd w:id="79"/>
      <w:bookmarkEnd w:id="80"/>
      <w:bookmarkEnd w:id="81"/>
      <w:bookmarkEnd w:id="82"/>
      <w:bookmarkEnd w:id="83"/>
    </w:p>
    <w:p>
      <w:pPr>
        <w:spacing w:line="440" w:lineRule="exact"/>
        <w:rPr>
          <w:rFonts w:hint="default" w:ascii="Times New Roman" w:hAnsi="Times New Roman" w:cs="Times New Roman" w:eastAsiaTheme="minorEastAsia"/>
          <w:color w:val="auto"/>
          <w:sz w:val="20"/>
          <w:szCs w:val="20"/>
          <w:lang w:val="en-US" w:eastAsia="zh-CN"/>
        </w:rPr>
      </w:pPr>
      <w:bookmarkStart w:id="84" w:name="_Toc152045790"/>
      <w:bookmarkStart w:id="85" w:name="_Toc300835212"/>
      <w:bookmarkStart w:id="86" w:name="_Toc144974859"/>
      <w:bookmarkStart w:id="87" w:name="_Toc152042579"/>
      <w:bookmarkStart w:id="88" w:name="_Toc247527830"/>
      <w:bookmarkStart w:id="89" w:name="_Toc247514249"/>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一</w:t>
      </w:r>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投标函</w:t>
      </w:r>
    </w:p>
    <w:p>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（招标人名称）：</w:t>
      </w:r>
    </w:p>
    <w:p>
      <w:pPr>
        <w:spacing w:line="440" w:lineRule="exact"/>
        <w:ind w:firstLine="420" w:firstLineChars="200"/>
        <w:rPr>
          <w:rFonts w:hint="default" w:ascii="Times New Roman" w:hAnsi="Times New Roman" w:cs="Times New Roman" w:eastAsiaTheme="minorEastAsia"/>
          <w:color w:val="auto"/>
          <w:szCs w:val="21"/>
          <w:u w:val="none"/>
          <w:lang w:val="en-US" w:eastAsia="zh-CN"/>
        </w:rPr>
      </w:pPr>
      <w:r>
        <w:rPr>
          <w:rFonts w:hint="default" w:ascii="Times New Roman" w:hAnsi="Times New Roman" w:cs="Times New Roman"/>
          <w:color w:val="auto"/>
          <w:szCs w:val="21"/>
        </w:rPr>
        <w:t>1</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rPr>
        <w:t>我方已仔细研究了</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（项目名称）</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服务</w:t>
      </w:r>
      <w:r>
        <w:rPr>
          <w:rFonts w:hint="default" w:ascii="Times New Roman" w:hAnsi="Times New Roman" w:cs="Times New Roman"/>
          <w:color w:val="auto"/>
          <w:szCs w:val="21"/>
        </w:rPr>
        <w:t>名称）</w:t>
      </w:r>
      <w:r>
        <w:rPr>
          <w:rFonts w:hint="eastAsia" w:ascii="Times New Roman" w:hAnsi="Times New Roman" w:cs="Times New Roman"/>
          <w:color w:val="auto"/>
          <w:szCs w:val="21"/>
          <w:lang w:val="en-US" w:eastAsia="zh-CN"/>
        </w:rPr>
        <w:t>招标项目招标文件的全部内容，愿意以承销费率</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none"/>
          <w:lang w:val="en-US" w:eastAsia="zh-CN"/>
        </w:rPr>
        <w:t>每年</w:t>
      </w:r>
      <w:r>
        <w:rPr>
          <w:rFonts w:hint="eastAsia" w:ascii="Times New Roman" w:hAnsi="Times New Roman" w:cs="Times New Roman"/>
          <w:color w:val="auto"/>
          <w:szCs w:val="21"/>
          <w:lang w:val="en-US" w:eastAsia="zh-CN"/>
        </w:rPr>
        <w:t>（其中，增值税税率为</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lang w:val="en-US" w:eastAsia="zh-CN"/>
        </w:rPr>
        <w:t>）的投标报价（其中，增值税税率为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lang w:val="en-US" w:eastAsia="zh-CN"/>
        </w:rPr>
        <w:t>），服务期限：</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none"/>
          <w:lang w:val="en-US" w:eastAsia="zh-CN"/>
        </w:rPr>
        <w:t>，按合同约定完成本项目全部工作，并严格遵守招标人内部有关制度及其后来可能发生的修订版本。</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（1）投标函及投标函附录；（2）法定代表人身份证明或授权委托书；（3）投标保证；（4）资格审查资料；（5）服务方案；（6）其他资料；.......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eastAsia" w:ascii="黑体" w:hAnsi="黑体" w:eastAsia="黑体" w:cs="黑体"/>
          <w:b w:val="0"/>
          <w:bCs w:val="0"/>
          <w:sz w:val="28"/>
          <w:szCs w:val="28"/>
          <w:lang w:eastAsia="zh-CN"/>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bookmarkEnd w:id="84"/>
      <w:bookmarkEnd w:id="85"/>
      <w:bookmarkEnd w:id="86"/>
      <w:bookmarkEnd w:id="87"/>
      <w:bookmarkEnd w:id="88"/>
      <w:bookmarkEnd w:id="89"/>
    </w:p>
    <w:p>
      <w:pPr>
        <w:spacing w:line="440" w:lineRule="exact"/>
        <w:rPr>
          <w:rFonts w:hint="eastAsia" w:ascii="黑体" w:hAnsi="黑体" w:eastAsia="黑体" w:cs="黑体"/>
          <w:b w:val="0"/>
          <w:bCs w:val="0"/>
          <w:sz w:val="28"/>
          <w:szCs w:val="28"/>
          <w:lang w:eastAsia="zh-CN"/>
        </w:rPr>
      </w:pP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color w:val="auto"/>
          <w:sz w:val="20"/>
          <w:szCs w:val="20"/>
          <w:lang w:eastAsia="zh-CN"/>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color w:val="auto"/>
                <w:sz w:val="20"/>
                <w:szCs w:val="20"/>
                <w:u w:val="none"/>
                <w:vertAlign w:val="baseline"/>
                <w:lang w:val="en-US" w:eastAsia="zh-CN"/>
              </w:rPr>
            </w:pPr>
          </w:p>
        </w:tc>
        <w:tc>
          <w:tcPr>
            <w:tcW w:w="3702" w:type="dxa"/>
            <w:vAlign w:val="center"/>
          </w:tcPr>
          <w:p>
            <w:pPr>
              <w:spacing w:line="440" w:lineRule="exact"/>
              <w:jc w:val="center"/>
              <w:rPr>
                <w:rFonts w:hint="eastAsia" w:ascii="Times New Roman" w:hAnsi="Times New Roman" w:cs="Times New Roman" w:eastAsiaTheme="minorEastAsia"/>
                <w:color w:val="auto"/>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2</w:t>
            </w:r>
          </w:p>
        </w:tc>
        <w:tc>
          <w:tcPr>
            <w:tcW w:w="1984" w:type="dxa"/>
            <w:vAlign w:val="center"/>
          </w:tcPr>
          <w:p>
            <w:pPr>
              <w:spacing w:line="440" w:lineRule="exact"/>
              <w:jc w:val="center"/>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承销方式</w:t>
            </w:r>
          </w:p>
        </w:tc>
        <w:tc>
          <w:tcPr>
            <w:tcW w:w="1984" w:type="dxa"/>
            <w:vAlign w:val="center"/>
          </w:tcPr>
          <w:p>
            <w:pPr>
              <w:spacing w:line="440" w:lineRule="exact"/>
              <w:jc w:val="both"/>
              <w:rPr>
                <w:rFonts w:hint="eastAsia" w:ascii="Times New Roman" w:hAnsi="Times New Roman" w:cs="Times New Roman" w:eastAsiaTheme="minorEastAsia"/>
                <w:color w:val="auto"/>
                <w:sz w:val="20"/>
                <w:szCs w:val="20"/>
                <w:vertAlign w:val="baseline"/>
                <w:lang w:eastAsia="zh-CN"/>
              </w:rPr>
            </w:pPr>
          </w:p>
        </w:tc>
        <w:tc>
          <w:tcPr>
            <w:tcW w:w="3702" w:type="dxa"/>
            <w:vAlign w:val="center"/>
          </w:tcPr>
          <w:p>
            <w:pPr>
              <w:spacing w:line="440" w:lineRule="exact"/>
              <w:jc w:val="center"/>
              <w:rPr>
                <w:rFonts w:hint="eastAsia" w:ascii="Times New Roman" w:hAnsi="Times New Roman" w:cs="Times New Roman" w:eastAsiaTheme="minorEastAsia"/>
                <w:color w:val="auto"/>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3</w:t>
            </w:r>
          </w:p>
        </w:tc>
        <w:tc>
          <w:tcPr>
            <w:tcW w:w="1984" w:type="dxa"/>
            <w:vAlign w:val="center"/>
          </w:tcPr>
          <w:p>
            <w:pPr>
              <w:spacing w:line="440" w:lineRule="exact"/>
              <w:jc w:val="center"/>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预期的发行利率</w:t>
            </w:r>
          </w:p>
        </w:tc>
        <w:tc>
          <w:tcPr>
            <w:tcW w:w="1984" w:type="dxa"/>
            <w:vAlign w:val="center"/>
          </w:tcPr>
          <w:p>
            <w:pPr>
              <w:spacing w:line="440" w:lineRule="exact"/>
              <w:jc w:val="both"/>
              <w:rPr>
                <w:rFonts w:hint="eastAsia" w:ascii="Times New Roman" w:hAnsi="Times New Roman" w:cs="Times New Roman"/>
                <w:color w:val="auto"/>
                <w:sz w:val="20"/>
                <w:szCs w:val="20"/>
                <w:vertAlign w:val="baseline"/>
                <w:lang w:val="en-US" w:eastAsia="zh-CN"/>
              </w:rPr>
            </w:pPr>
          </w:p>
        </w:tc>
        <w:tc>
          <w:tcPr>
            <w:tcW w:w="3702" w:type="dxa"/>
            <w:vAlign w:val="center"/>
          </w:tcPr>
          <w:p>
            <w:pPr>
              <w:spacing w:line="440" w:lineRule="exact"/>
              <w:jc w:val="center"/>
              <w:rPr>
                <w:rFonts w:hint="eastAsia" w:ascii="Times New Roman" w:hAnsi="Times New Roman" w:cs="Times New Roman" w:eastAsiaTheme="minorEastAsia"/>
                <w:color w:val="auto"/>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4</w:t>
            </w:r>
          </w:p>
        </w:tc>
        <w:tc>
          <w:tcPr>
            <w:tcW w:w="1984" w:type="dxa"/>
            <w:vAlign w:val="center"/>
          </w:tcPr>
          <w:p>
            <w:pPr>
              <w:spacing w:line="440" w:lineRule="exact"/>
              <w:jc w:val="center"/>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承销费率</w:t>
            </w:r>
          </w:p>
        </w:tc>
        <w:tc>
          <w:tcPr>
            <w:tcW w:w="1984" w:type="dxa"/>
            <w:vAlign w:val="center"/>
          </w:tcPr>
          <w:p>
            <w:pPr>
              <w:spacing w:line="440" w:lineRule="exact"/>
              <w:jc w:val="both"/>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u w:val="single"/>
                <w:vertAlign w:val="baseline"/>
                <w:lang w:val="en-US" w:eastAsia="zh-CN"/>
              </w:rPr>
              <w:t xml:space="preserve">       </w:t>
            </w:r>
            <w:r>
              <w:rPr>
                <w:rFonts w:hint="eastAsia" w:ascii="Times New Roman" w:hAnsi="Times New Roman" w:cs="Times New Roman"/>
                <w:color w:val="auto"/>
                <w:sz w:val="20"/>
                <w:szCs w:val="20"/>
                <w:u w:val="none"/>
                <w:vertAlign w:val="baseline"/>
                <w:lang w:val="en-US" w:eastAsia="zh-CN"/>
              </w:rPr>
              <w:t>每年</w:t>
            </w:r>
          </w:p>
        </w:tc>
        <w:tc>
          <w:tcPr>
            <w:tcW w:w="3702" w:type="dxa"/>
            <w:vAlign w:val="center"/>
          </w:tcPr>
          <w:p>
            <w:pPr>
              <w:spacing w:line="440" w:lineRule="exact"/>
              <w:jc w:val="center"/>
              <w:rPr>
                <w:rFonts w:hint="eastAsia" w:ascii="Times New Roman" w:hAnsi="Times New Roman" w:cs="Times New Roman" w:eastAsiaTheme="minorEastAsia"/>
                <w:color w:val="auto"/>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5</w:t>
            </w:r>
          </w:p>
        </w:tc>
        <w:tc>
          <w:tcPr>
            <w:tcW w:w="1984" w:type="dxa"/>
            <w:vAlign w:val="center"/>
          </w:tcPr>
          <w:p>
            <w:pPr>
              <w:spacing w:line="440" w:lineRule="exact"/>
              <w:jc w:val="center"/>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项目负责人</w:t>
            </w:r>
          </w:p>
        </w:tc>
        <w:tc>
          <w:tcPr>
            <w:tcW w:w="1984" w:type="dxa"/>
            <w:vAlign w:val="center"/>
          </w:tcPr>
          <w:p>
            <w:pPr>
              <w:spacing w:line="440" w:lineRule="exact"/>
              <w:jc w:val="both"/>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姓名：</w:t>
            </w:r>
          </w:p>
          <w:p>
            <w:pPr>
              <w:spacing w:line="440" w:lineRule="exact"/>
              <w:jc w:val="both"/>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身份证号：</w:t>
            </w:r>
          </w:p>
        </w:tc>
        <w:tc>
          <w:tcPr>
            <w:tcW w:w="3702" w:type="dxa"/>
            <w:vAlign w:val="center"/>
          </w:tcPr>
          <w:p>
            <w:pPr>
              <w:spacing w:line="440" w:lineRule="exact"/>
              <w:jc w:val="center"/>
              <w:rPr>
                <w:rFonts w:hint="eastAsia" w:ascii="Times New Roman" w:hAnsi="Times New Roman" w:cs="Times New Roman" w:eastAsiaTheme="minorEastAsia"/>
                <w:color w:val="auto"/>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6</w:t>
            </w:r>
          </w:p>
        </w:tc>
        <w:tc>
          <w:tcPr>
            <w:tcW w:w="1984" w:type="dxa"/>
            <w:vAlign w:val="center"/>
          </w:tcPr>
          <w:p>
            <w:pPr>
              <w:spacing w:line="440" w:lineRule="exact"/>
              <w:jc w:val="center"/>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项目具办人</w:t>
            </w:r>
          </w:p>
        </w:tc>
        <w:tc>
          <w:tcPr>
            <w:tcW w:w="1984" w:type="dxa"/>
            <w:vAlign w:val="center"/>
          </w:tcPr>
          <w:p>
            <w:pPr>
              <w:spacing w:line="440" w:lineRule="exact"/>
              <w:jc w:val="both"/>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姓名：</w:t>
            </w:r>
          </w:p>
          <w:p>
            <w:pPr>
              <w:spacing w:line="440" w:lineRule="exact"/>
              <w:jc w:val="both"/>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身份证号：</w:t>
            </w:r>
          </w:p>
        </w:tc>
        <w:tc>
          <w:tcPr>
            <w:tcW w:w="3702" w:type="dxa"/>
            <w:vAlign w:val="center"/>
          </w:tcPr>
          <w:p>
            <w:pPr>
              <w:spacing w:line="440" w:lineRule="exact"/>
              <w:ind w:firstLine="400" w:firstLineChars="200"/>
              <w:jc w:val="both"/>
              <w:rPr>
                <w:rFonts w:hint="eastAsia" w:ascii="Times New Roman" w:hAnsi="Times New Roman" w:cs="Times New Roman" w:eastAsiaTheme="minorEastAsia"/>
                <w:color w:val="auto"/>
                <w:sz w:val="20"/>
                <w:szCs w:val="20"/>
                <w:vertAlign w:val="baseline"/>
                <w:lang w:eastAsia="zh-CN"/>
              </w:rPr>
            </w:pPr>
            <w:r>
              <w:rPr>
                <w:rFonts w:hint="eastAsia" w:ascii="Times New Roman" w:hAnsi="Times New Roman" w:cs="Times New Roman" w:eastAsiaTheme="minorEastAsia"/>
                <w:color w:val="auto"/>
                <w:sz w:val="20"/>
                <w:szCs w:val="20"/>
                <w:vertAlign w:val="baseline"/>
                <w:lang w:eastAsia="zh-CN"/>
              </w:rPr>
              <w:t>项目具办人是指</w:t>
            </w:r>
            <w:r>
              <w:rPr>
                <w:rFonts w:hint="eastAsia" w:ascii="Times New Roman" w:hAnsi="Times New Roman" w:cs="Times New Roman"/>
                <w:color w:val="auto"/>
                <w:sz w:val="20"/>
                <w:szCs w:val="20"/>
                <w:vertAlign w:val="baseline"/>
                <w:lang w:val="en-US" w:eastAsia="zh-CN"/>
              </w:rPr>
              <w:t>投标人单位</w:t>
            </w:r>
            <w:r>
              <w:rPr>
                <w:rFonts w:hint="eastAsia" w:ascii="Times New Roman" w:hAnsi="Times New Roman" w:cs="Times New Roman" w:eastAsiaTheme="minorEastAsia"/>
                <w:color w:val="auto"/>
                <w:sz w:val="20"/>
                <w:szCs w:val="20"/>
                <w:vertAlign w:val="baseline"/>
                <w:lang w:eastAsia="zh-CN"/>
              </w:rPr>
              <w:t>与</w:t>
            </w:r>
            <w:r>
              <w:rPr>
                <w:rFonts w:hint="eastAsia" w:ascii="Times New Roman" w:hAnsi="Times New Roman" w:cs="Times New Roman"/>
                <w:color w:val="auto"/>
                <w:sz w:val="20"/>
                <w:szCs w:val="20"/>
                <w:vertAlign w:val="baseline"/>
                <w:lang w:val="en-US" w:eastAsia="zh-CN"/>
              </w:rPr>
              <w:t>招标人</w:t>
            </w:r>
            <w:r>
              <w:rPr>
                <w:rFonts w:hint="eastAsia" w:ascii="Times New Roman" w:hAnsi="Times New Roman" w:cs="Times New Roman" w:eastAsiaTheme="minorEastAsia"/>
                <w:color w:val="auto"/>
                <w:sz w:val="20"/>
                <w:szCs w:val="20"/>
                <w:vertAlign w:val="baseline"/>
                <w:lang w:eastAsia="zh-CN"/>
              </w:rPr>
              <w:t>就本项目具体业务（合同签订、业务咨询、进度跟进等）的对接人员，至少填写1人。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highlight w:val="none"/>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highlight w:val="none"/>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highlight w:val="none"/>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0" w:name="_Toc152042580"/>
      <w:bookmarkStart w:id="91" w:name="_Toc300835213"/>
      <w:bookmarkStart w:id="92" w:name="_Toc144974860"/>
      <w:bookmarkStart w:id="93" w:name="_Toc152045791"/>
      <w:bookmarkStart w:id="94" w:name="_Toc247527831"/>
      <w:bookmarkStart w:id="95" w:name="_Toc247514283"/>
      <w:r>
        <w:rPr>
          <w:rFonts w:hint="default" w:ascii="Times New Roman" w:hAnsi="Times New Roman" w:cs="Times New Roman"/>
        </w:rPr>
        <w:br w:type="page"/>
      </w:r>
    </w:p>
    <w:p>
      <w:pPr>
        <w:pStyle w:val="6"/>
        <w:jc w:val="center"/>
        <w:rPr>
          <w:rFonts w:hint="default" w:ascii="Times New Roman" w:hAnsi="Times New Roman" w:cs="Times New Roman"/>
        </w:rPr>
      </w:pPr>
      <w:r>
        <w:rPr>
          <w:rFonts w:hint="default" w:ascii="Times New Roman" w:hAnsi="Times New Roman" w:cs="Times New Roman"/>
        </w:rPr>
        <w:t>二、法定代表人身份证明</w:t>
      </w:r>
      <w:bookmarkEnd w:id="90"/>
      <w:bookmarkEnd w:id="91"/>
      <w:bookmarkEnd w:id="92"/>
      <w:bookmarkEnd w:id="93"/>
      <w:bookmarkEnd w:id="94"/>
      <w:bookmarkEnd w:id="9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rPr>
      </w:pPr>
      <w:bookmarkStart w:id="96" w:name="_Toc144974861"/>
      <w:bookmarkStart w:id="97" w:name="_Toc152042581"/>
      <w:bookmarkStart w:id="98" w:name="_Toc247514284"/>
      <w:bookmarkStart w:id="99" w:name="_Toc152045792"/>
      <w:bookmarkStart w:id="100" w:name="_Toc300835214"/>
      <w:bookmarkStart w:id="101" w:name="_Toc247527832"/>
      <w:r>
        <w:rPr>
          <w:rFonts w:hint="default" w:ascii="Times New Roman" w:hAnsi="Times New Roman" w:cs="Times New Roman"/>
        </w:rPr>
        <w:t>二、授权委托书</w:t>
      </w:r>
      <w:bookmarkEnd w:id="96"/>
      <w:bookmarkEnd w:id="97"/>
      <w:bookmarkEnd w:id="98"/>
      <w:bookmarkEnd w:id="99"/>
      <w:bookmarkEnd w:id="100"/>
      <w:bookmarkEnd w:id="101"/>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highlight w:val="none"/>
        </w:rPr>
      </w:pPr>
      <w:bookmarkStart w:id="102" w:name="_Toc247514286"/>
      <w:bookmarkStart w:id="103" w:name="_Toc300835216"/>
      <w:bookmarkStart w:id="104" w:name="_Toc247527834"/>
      <w:bookmarkStart w:id="105" w:name="_Toc152042583"/>
      <w:bookmarkStart w:id="106" w:name="_Toc144974862"/>
      <w:bookmarkStart w:id="107"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2"/>
      <w:bookmarkEnd w:id="103"/>
      <w:bookmarkEnd w:id="104"/>
      <w:bookmarkEnd w:id="105"/>
      <w:bookmarkEnd w:id="106"/>
      <w:bookmarkEnd w:id="107"/>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08"/>
    <w:p>
      <w:pPr>
        <w:rPr>
          <w:rFonts w:hint="default" w:ascii="Times New Roman" w:hAnsi="Times New Roman" w:cs="Times New Roman"/>
        </w:rPr>
      </w:pPr>
      <w:bookmarkStart w:id="109" w:name="_Toc152042584"/>
      <w:bookmarkStart w:id="110" w:name="_Toc247514287"/>
      <w:bookmarkStart w:id="111" w:name="_Toc247527835"/>
      <w:bookmarkStart w:id="112" w:name="_Toc152045795"/>
      <w:bookmarkStart w:id="113" w:name="_Toc144974863"/>
      <w:bookmarkStart w:id="114" w:name="_Toc300835218"/>
      <w:r>
        <w:rPr>
          <w:rFonts w:hint="default" w:ascii="Times New Roman" w:hAnsi="Times New Roman" w:cs="Times New Roman"/>
        </w:rPr>
        <w:br w:type="page"/>
      </w:r>
    </w:p>
    <w:bookmarkEnd w:id="109"/>
    <w:bookmarkEnd w:id="110"/>
    <w:bookmarkEnd w:id="111"/>
    <w:bookmarkEnd w:id="112"/>
    <w:bookmarkEnd w:id="113"/>
    <w:bookmarkEnd w:id="114"/>
    <w:p>
      <w:pPr>
        <w:pStyle w:val="6"/>
        <w:jc w:val="center"/>
        <w:rPr>
          <w:rFonts w:hint="eastAsia"/>
          <w:highlight w:val="none"/>
        </w:rPr>
      </w:pPr>
      <w:r>
        <w:rPr>
          <w:rFonts w:hint="eastAsia"/>
          <w:highlight w:val="none"/>
          <w:lang w:val="en-US" w:eastAsia="zh-CN"/>
        </w:rPr>
        <w:t>四</w:t>
      </w:r>
      <w:r>
        <w:rPr>
          <w:highlight w:val="none"/>
        </w:rPr>
        <w:t>、资格审查资料</w:t>
      </w:r>
    </w:p>
    <w:p>
      <w:pPr>
        <w:pStyle w:val="7"/>
        <w:jc w:val="both"/>
        <w:rPr>
          <w:rFonts w:hint="eastAsia"/>
        </w:rPr>
      </w:pPr>
      <w:r>
        <w:t>（一）基本情况表</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7"/>
        <w:rPr>
          <w:rFonts w:hint="default" w:asciiTheme="minorHAnsi" w:hAnsiTheme="minorHAnsi" w:cstheme="minorBidi"/>
        </w:rPr>
      </w:pPr>
      <w:r>
        <w:rPr>
          <w:rFonts w:hint="default" w:asciiTheme="minorHAnsi" w:hAnsiTheme="minorHAnsi" w:cstheme="minorBidi"/>
        </w:rPr>
        <w:t>（</w:t>
      </w:r>
      <w:r>
        <w:rPr>
          <w:rFonts w:hint="default" w:asciiTheme="minorHAnsi" w:hAnsiTheme="minorHAnsi" w:cstheme="minorBidi"/>
          <w:lang w:val="en-US" w:eastAsia="zh-CN"/>
        </w:rPr>
        <w:t>二</w:t>
      </w:r>
      <w:r>
        <w:rPr>
          <w:rFonts w:hint="default" w:asciiTheme="minorHAnsi" w:hAnsiTheme="minorHAnsi" w:cstheme="minorBidi"/>
        </w:rPr>
        <w:t>）近年完成的类似项目情况表</w:t>
      </w:r>
    </w:p>
    <w:p>
      <w:pPr>
        <w:spacing w:line="440" w:lineRule="exact"/>
        <w:jc w:val="center"/>
        <w:rPr>
          <w:rFonts w:hint="default" w:ascii="Times New Roman" w:hAnsi="Times New Roman" w:eastAsia="黑体" w:cs="Times New Roman"/>
          <w:sz w:val="23"/>
          <w:szCs w:val="23"/>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5669"/>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承销业绩</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wind查询结果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投标人自202</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年1月1日至202</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年12月31日，承销私募公司债券的总金额，保留到小数点后两位</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wind查询路径</w:t>
            </w:r>
            <w:r>
              <w:rPr>
                <w:rFonts w:hint="eastAsia" w:ascii="Times New Roman" w:hAnsi="Times New Roman" w:eastAsia="黑体" w:cs="Times New Roman"/>
                <w:kern w:val="0"/>
                <w:sz w:val="24"/>
                <w:szCs w:val="24"/>
                <w:highlight w:val="none"/>
                <w:lang w:val="en-US" w:eastAsia="zh-CN"/>
              </w:rPr>
              <w:t>及要求</w:t>
            </w:r>
            <w:r>
              <w:rPr>
                <w:rFonts w:hint="default" w:ascii="Times New Roman" w:hAnsi="Times New Roman" w:eastAsia="黑体" w:cs="Times New Roman"/>
                <w:kern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ind数据库—债券—专题统计—一级市场—承销统计—债券承销排名(wind口径)—筛选时间为2022年1月1日至2022年12月31日—机构类型为证券—债券分类为私募债—勾选联主实际比例，不包括自主自办发行，查看合并母子公司。</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投标人自202</w:t>
            </w:r>
            <w:r>
              <w:rPr>
                <w:rFonts w:hint="eastAsia" w:ascii="Times New Roman" w:hAnsi="Times New Roman" w:cs="Times New Roman"/>
                <w:kern w:val="0"/>
                <w:sz w:val="24"/>
                <w:szCs w:val="24"/>
                <w:highlight w:val="none"/>
                <w:vertAlign w:val="baseline"/>
                <w:lang w:val="en-US" w:eastAsia="zh-CN"/>
              </w:rPr>
              <w:t>2</w:t>
            </w:r>
            <w:r>
              <w:rPr>
                <w:rFonts w:hint="default" w:ascii="Times New Roman" w:hAnsi="Times New Roman" w:cs="Times New Roman"/>
                <w:kern w:val="0"/>
                <w:sz w:val="24"/>
                <w:szCs w:val="24"/>
                <w:highlight w:val="none"/>
                <w:vertAlign w:val="baseline"/>
                <w:lang w:val="en-US" w:eastAsia="zh-CN"/>
              </w:rPr>
              <w:t>年1月1日至202</w:t>
            </w:r>
            <w:r>
              <w:rPr>
                <w:rFonts w:hint="eastAsia" w:ascii="Times New Roman" w:hAnsi="Times New Roman" w:cs="Times New Roman"/>
                <w:kern w:val="0"/>
                <w:sz w:val="24"/>
                <w:szCs w:val="24"/>
                <w:highlight w:val="none"/>
                <w:vertAlign w:val="baseline"/>
                <w:lang w:val="en-US" w:eastAsia="zh-CN"/>
              </w:rPr>
              <w:t>2</w:t>
            </w:r>
            <w:r>
              <w:rPr>
                <w:rFonts w:hint="default" w:ascii="Times New Roman" w:hAnsi="Times New Roman" w:cs="Times New Roman"/>
                <w:kern w:val="0"/>
                <w:sz w:val="24"/>
                <w:szCs w:val="24"/>
                <w:highlight w:val="none"/>
                <w:vertAlign w:val="baseline"/>
                <w:lang w:val="en-US" w:eastAsia="zh-CN"/>
              </w:rPr>
              <w:t>年12月31日，承销政府投融资平台公司债券主体评级AA私募债券的总金额，保留到小数点后两位。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黑体" w:cs="Times New Roman"/>
                <w:kern w:val="0"/>
                <w:sz w:val="24"/>
                <w:szCs w:val="24"/>
                <w:highlight w:val="none"/>
                <w:vertAlign w:val="baseline"/>
                <w:lang w:val="en-US" w:eastAsia="zh-CN"/>
              </w:rPr>
            </w:pPr>
            <w:r>
              <w:rPr>
                <w:rFonts w:hint="default" w:ascii="Times New Roman" w:hAnsi="Times New Roman" w:eastAsia="黑体" w:cs="Times New Roman"/>
                <w:kern w:val="0"/>
                <w:sz w:val="24"/>
                <w:szCs w:val="24"/>
                <w:highlight w:val="none"/>
                <w:vertAlign w:val="baseline"/>
                <w:lang w:val="en-US" w:eastAsia="zh-CN"/>
              </w:rPr>
              <w:t>wind查询路径</w:t>
            </w:r>
            <w:r>
              <w:rPr>
                <w:rFonts w:hint="eastAsia" w:ascii="Times New Roman" w:hAnsi="Times New Roman" w:eastAsia="黑体" w:cs="Times New Roman"/>
                <w:kern w:val="0"/>
                <w:sz w:val="24"/>
                <w:szCs w:val="24"/>
                <w:highlight w:val="none"/>
                <w:vertAlign w:val="baseline"/>
                <w:lang w:val="en-US" w:eastAsia="zh-CN"/>
              </w:rPr>
              <w:t>及要求</w:t>
            </w:r>
            <w:r>
              <w:rPr>
                <w:rFonts w:hint="default" w:ascii="Times New Roman" w:hAnsi="Times New Roman" w:eastAsia="黑体" w:cs="Times New Roman"/>
                <w:kern w:val="0"/>
                <w:sz w:val="24"/>
                <w:szCs w:val="24"/>
                <w:highlight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wind数据库—债券—专题统计—一级市场—新债发行—新发行债券—筛选时间202</w:t>
            </w:r>
            <w:r>
              <w:rPr>
                <w:rFonts w:hint="eastAsia" w:ascii="Times New Roman" w:hAnsi="Times New Roman" w:cs="Times New Roman"/>
                <w:kern w:val="0"/>
                <w:sz w:val="24"/>
                <w:szCs w:val="24"/>
                <w:highlight w:val="none"/>
                <w:vertAlign w:val="baseline"/>
                <w:lang w:val="en-US" w:eastAsia="zh-CN"/>
              </w:rPr>
              <w:t>2</w:t>
            </w:r>
            <w:r>
              <w:rPr>
                <w:rFonts w:hint="default" w:ascii="Times New Roman" w:hAnsi="Times New Roman" w:cs="Times New Roman"/>
                <w:kern w:val="0"/>
                <w:sz w:val="24"/>
                <w:szCs w:val="24"/>
                <w:highlight w:val="none"/>
                <w:vertAlign w:val="baseline"/>
                <w:lang w:val="en-US" w:eastAsia="zh-CN"/>
              </w:rPr>
              <w:t>年1月1日至202</w:t>
            </w:r>
            <w:r>
              <w:rPr>
                <w:rFonts w:hint="eastAsia" w:ascii="Times New Roman" w:hAnsi="Times New Roman" w:cs="Times New Roman"/>
                <w:kern w:val="0"/>
                <w:sz w:val="24"/>
                <w:szCs w:val="24"/>
                <w:highlight w:val="none"/>
                <w:vertAlign w:val="baseline"/>
                <w:lang w:val="en-US" w:eastAsia="zh-CN"/>
              </w:rPr>
              <w:t>2</w:t>
            </w:r>
            <w:r>
              <w:rPr>
                <w:rFonts w:hint="default" w:ascii="Times New Roman" w:hAnsi="Times New Roman" w:cs="Times New Roman"/>
                <w:kern w:val="0"/>
                <w:sz w:val="24"/>
                <w:szCs w:val="24"/>
                <w:highlight w:val="none"/>
                <w:vertAlign w:val="baseline"/>
                <w:lang w:val="en-US" w:eastAsia="zh-CN"/>
              </w:rPr>
              <w:t>年12月31日—债券类型选私募债—主体评级AA—导出表格后进行筛选，在“是否城投债”中选“是”，</w:t>
            </w:r>
            <w:r>
              <w:rPr>
                <w:rFonts w:hint="default" w:ascii="Times New Roman" w:hAnsi="Times New Roman" w:cs="Times New Roman"/>
                <w:color w:val="auto"/>
                <w:kern w:val="0"/>
                <w:sz w:val="24"/>
                <w:szCs w:val="24"/>
                <w:highlight w:val="none"/>
                <w:vertAlign w:val="baseline"/>
                <w:lang w:val="en-US" w:eastAsia="zh-CN"/>
              </w:rPr>
              <w:t>联主承销的按照联主家数平均分配承销金额。</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注：所有业绩</w:t>
      </w:r>
      <w:r>
        <w:rPr>
          <w:rFonts w:hint="eastAsia" w:ascii="Times New Roman" w:hAnsi="Times New Roman" w:cs="Times New Roman"/>
          <w:highlight w:val="none"/>
          <w:lang w:val="en-US" w:eastAsia="zh-CN"/>
        </w:rPr>
        <w:t>均</w:t>
      </w:r>
      <w:r>
        <w:rPr>
          <w:rFonts w:hint="default" w:ascii="Times New Roman" w:hAnsi="Times New Roman" w:cs="Times New Roman"/>
          <w:highlight w:val="none"/>
          <w:lang w:val="en-US" w:eastAsia="zh-CN"/>
        </w:rPr>
        <w:t>以wind系统查询数据为准，</w:t>
      </w:r>
      <w:r>
        <w:rPr>
          <w:rFonts w:hint="eastAsia" w:ascii="Times New Roman" w:hAnsi="Times New Roman" w:cs="Times New Roman"/>
          <w:highlight w:val="none"/>
          <w:lang w:val="en-US" w:eastAsia="zh-CN"/>
        </w:rPr>
        <w:t>投标人不得弄虚作假虚报查询结果，否则其投标无效。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p>
    <w:p>
      <w:pPr>
        <w:rPr>
          <w:rFonts w:hint="eastAsia"/>
        </w:rPr>
      </w:pPr>
      <w:r>
        <w:rPr>
          <w:rFonts w:hint="eastAsia"/>
        </w:rPr>
        <w:br w:type="page"/>
      </w:r>
    </w:p>
    <w:p>
      <w:pPr>
        <w:pStyle w:val="7"/>
        <w:rPr>
          <w:rFonts w:hint="default" w:ascii="Times New Roman" w:hAnsi="Times New Roman" w:cs="Times New Roman"/>
          <w:highlight w:val="none"/>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）近年发生的诉讼及仲裁情况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Theme="minorEastAsia"/>
          <w:highlight w:val="none"/>
          <w:lang w:val="en-US" w:eastAsia="zh-CN"/>
        </w:rPr>
      </w:pPr>
      <w:r>
        <w:rPr>
          <w:rFonts w:ascii="Times New Roman" w:hAnsi="Times New Roman"/>
          <w:highlight w:val="none"/>
        </w:rPr>
        <w:t>注：</w:t>
      </w:r>
      <w:r>
        <w:rPr>
          <w:rFonts w:hint="eastAsia" w:ascii="Times New Roman" w:hAnsi="Times New Roman"/>
          <w:highlight w:val="none"/>
          <w:lang w:val="en-US" w:eastAsia="zh-CN"/>
        </w:rPr>
        <w:t>投标人应根据投标人须知第3.5.5项的要求附相关证明材料。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highlight w:val="none"/>
          <w:lang w:val="en-US" w:eastAsia="zh-CN"/>
        </w:rPr>
      </w:pPr>
      <w:r>
        <w:rPr>
          <w:rFonts w:hint="eastAsia" w:ascii="Times New Roman" w:hAnsi="Times New Roman"/>
          <w:highlight w:val="none"/>
          <w:lang w:val="en-US" w:eastAsia="zh-CN"/>
        </w:rPr>
        <w:t>附：3.5.5 “近年</w:t>
      </w:r>
      <w:r>
        <w:rPr>
          <w:rFonts w:hint="eastAsia" w:ascii="Times New Roman" w:hAnsi="Times New Roman" w:cs="Times New Roman"/>
          <w:highlight w:val="none"/>
          <w:lang w:val="en-US" w:eastAsia="zh-CN"/>
        </w:rPr>
        <w:t>发生</w:t>
      </w:r>
      <w:r>
        <w:rPr>
          <w:rFonts w:hint="eastAsia" w:ascii="Times New Roman" w:hAnsi="Times New Roman"/>
          <w:highlight w:val="none"/>
          <w:lang w:val="en-US" w:eastAsia="zh-CN"/>
        </w:rPr>
        <w:t>的诉讼及仲裁情况”应说明投标人</w:t>
      </w:r>
      <w:r>
        <w:rPr>
          <w:rFonts w:hint="eastAsia" w:ascii="Times New Roman" w:hAnsi="Times New Roman"/>
          <w:highlight w:val="none"/>
          <w:u w:val="single"/>
          <w:lang w:val="en-US" w:eastAsia="zh-CN"/>
        </w:rPr>
        <w:t>败诉的债券承销合同</w:t>
      </w:r>
      <w:r>
        <w:rPr>
          <w:rFonts w:hint="eastAsia" w:ascii="Times New Roman" w:hAnsi="Times New Roman"/>
          <w:highlight w:val="none"/>
          <w:lang w:val="en-US" w:eastAsia="zh-CN"/>
        </w:rPr>
        <w:t>的相关情况，并附法院或仲裁机构作出的判决、裁决等有关法律文书复印件，具体时间要求见投标人须知前附表。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highlight w:val="none"/>
          <w:lang w:val="en-US" w:eastAsia="zh-CN"/>
        </w:rPr>
      </w:pPr>
    </w:p>
    <w:p>
      <w:pPr>
        <w:pStyle w:val="2"/>
        <w:rPr>
          <w:rFonts w:hint="eastAsia" w:ascii="Times New Roman" w:hAnsi="Times New Roman"/>
          <w:highlight w:val="none"/>
          <w:lang w:val="en-US" w:eastAsia="zh-CN"/>
        </w:rPr>
      </w:pPr>
    </w:p>
    <w:p>
      <w:pPr>
        <w:pStyle w:val="5"/>
        <w:rPr>
          <w:rFonts w:hint="eastAsia"/>
          <w:lang w:val="en-US" w:eastAsia="zh-CN"/>
        </w:rPr>
      </w:pPr>
    </w:p>
    <w:p>
      <w:pPr>
        <w:pStyle w:val="5"/>
        <w:rPr>
          <w:rFonts w:hint="eastAsia"/>
          <w:lang w:val="en-US" w:eastAsia="zh-CN"/>
        </w:rPr>
      </w:pPr>
    </w:p>
    <w:p>
      <w:pPr>
        <w:pStyle w:val="7"/>
        <w:keepNext/>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3"/>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613"/>
        <w:gridCol w:w="794"/>
        <w:gridCol w:w="794"/>
        <w:gridCol w:w="794"/>
        <w:gridCol w:w="1341"/>
        <w:gridCol w:w="794"/>
        <w:gridCol w:w="808"/>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Merge w:val="restar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7" w:type="pct"/>
            <w:vMerge w:val="restar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7" w:type="pct"/>
            <w:gridSpan w:val="3"/>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Merge w:val="continue"/>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Merge w:val="continue"/>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pStyle w:val="7"/>
        <w:keepNext/>
        <w:keepLines/>
        <w:pageBreakBefore w:val="0"/>
        <w:widowControl w:val="0"/>
        <w:tabs>
          <w:tab w:val="left" w:pos="1795"/>
        </w:tabs>
        <w:kinsoku/>
        <w:wordWrap w:val="0"/>
        <w:overflowPunct/>
        <w:topLinePunct w:val="0"/>
        <w:autoSpaceDE/>
        <w:autoSpaceDN/>
        <w:bidi w:val="0"/>
        <w:adjustRightInd/>
        <w:snapToGrid/>
        <w:spacing w:before="0" w:after="0" w:line="120" w:lineRule="auto"/>
        <w:textAlignment w:val="auto"/>
        <w:rPr>
          <w:rFonts w:hint="eastAsia" w:ascii="Times New Roman" w:hAnsi="Times New Roman" w:cs="Times New Roman"/>
          <w:lang w:val="en-US" w:eastAsia="zh-CN"/>
        </w:rPr>
      </w:pPr>
    </w:p>
    <w:p>
      <w:pPr>
        <w:pStyle w:val="7"/>
        <w:keepNext/>
        <w:keepLines/>
        <w:pageBreakBefore w:val="0"/>
        <w:widowControl w:val="0"/>
        <w:kinsoku/>
        <w:wordWrap w:val="0"/>
        <w:overflowPunct/>
        <w:topLinePunct w:val="0"/>
        <w:autoSpaceDE/>
        <w:autoSpaceDN/>
        <w:bidi w:val="0"/>
        <w:adjustRightInd/>
        <w:snapToGrid/>
        <w:spacing w:before="0" w:after="0" w:line="120" w:lineRule="auto"/>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widowControl/>
        <w:spacing w:line="300" w:lineRule="auto"/>
        <w:jc w:val="left"/>
        <w:rPr>
          <w:rFonts w:hint="eastAsia" w:ascii="宋体" w:hAnsi="宋体"/>
          <w:sz w:val="18"/>
          <w:szCs w:val="18"/>
        </w:rPr>
      </w:pPr>
      <w:r>
        <w:rPr>
          <w:rFonts w:hint="default" w:ascii="Times New Roman" w:hAnsi="Times New Roman" w:eastAsia="宋体" w:cs="Times New Roman"/>
          <w:i w:val="0"/>
          <w:iCs w:val="0"/>
          <w:color w:val="auto"/>
          <w:sz w:val="18"/>
          <w:szCs w:val="18"/>
          <w:u w:val="none"/>
          <w:lang w:val="en-US" w:eastAsia="zh-CN"/>
        </w:rPr>
        <w:t>注：</w:t>
      </w:r>
      <w:r>
        <w:rPr>
          <w:rFonts w:hint="eastAsia" w:ascii="宋体" w:hAnsi="宋体"/>
          <w:sz w:val="18"/>
          <w:szCs w:val="18"/>
        </w:rPr>
        <w:t>1、按表“</w:t>
      </w:r>
      <w:r>
        <w:rPr>
          <w:rFonts w:hint="eastAsia" w:ascii="宋体" w:hAnsi="宋体"/>
          <w:sz w:val="18"/>
          <w:szCs w:val="18"/>
          <w:lang w:eastAsia="zh-CN"/>
        </w:rPr>
        <w:t>（</w:t>
      </w:r>
      <w:r>
        <w:rPr>
          <w:rFonts w:hint="eastAsia" w:ascii="宋体" w:hAnsi="宋体"/>
          <w:sz w:val="18"/>
          <w:szCs w:val="18"/>
          <w:lang w:val="en-US" w:eastAsia="zh-CN"/>
        </w:rPr>
        <w:t>四</w:t>
      </w:r>
      <w:r>
        <w:rPr>
          <w:rFonts w:hint="eastAsia" w:ascii="宋体" w:hAnsi="宋体"/>
          <w:sz w:val="18"/>
          <w:szCs w:val="18"/>
          <w:lang w:eastAsia="zh-CN"/>
        </w:rPr>
        <w:t>）</w:t>
      </w:r>
      <w:r>
        <w:rPr>
          <w:rFonts w:hint="eastAsia" w:ascii="宋体" w:hAnsi="宋体"/>
          <w:sz w:val="18"/>
          <w:szCs w:val="18"/>
        </w:rPr>
        <w:t>拟</w:t>
      </w:r>
      <w:r>
        <w:rPr>
          <w:rFonts w:hint="eastAsia" w:ascii="宋体" w:hAnsi="宋体"/>
          <w:sz w:val="18"/>
          <w:szCs w:val="18"/>
          <w:lang w:val="en-US" w:eastAsia="zh-CN"/>
        </w:rPr>
        <w:t>委任的主要</w:t>
      </w:r>
      <w:r>
        <w:rPr>
          <w:rFonts w:hint="eastAsia" w:ascii="宋体" w:hAnsi="宋体"/>
          <w:sz w:val="18"/>
          <w:szCs w:val="18"/>
        </w:rPr>
        <w:t>人员汇总表”所填报人员，每人一张。</w:t>
      </w:r>
    </w:p>
    <w:p>
      <w:pPr>
        <w:widowControl/>
        <w:numPr>
          <w:ilvl w:val="0"/>
          <w:numId w:val="2"/>
        </w:numPr>
        <w:spacing w:line="300" w:lineRule="auto"/>
        <w:ind w:firstLine="360" w:firstLineChars="200"/>
        <w:jc w:val="left"/>
        <w:rPr>
          <w:rFonts w:hint="eastAsia" w:ascii="宋体" w:hAnsi="宋体"/>
          <w:sz w:val="18"/>
          <w:szCs w:val="18"/>
        </w:rPr>
      </w:pPr>
      <w:r>
        <w:rPr>
          <w:rFonts w:hint="eastAsia" w:ascii="宋体" w:hAnsi="宋体"/>
          <w:sz w:val="18"/>
          <w:szCs w:val="18"/>
        </w:rPr>
        <w:t>“主要人员简历表”中项目负责人应附身份证、学历证、职称证（如有）、执业资格证书（如有）和202</w:t>
      </w:r>
      <w:r>
        <w:rPr>
          <w:rFonts w:hint="eastAsia" w:ascii="宋体" w:hAnsi="宋体"/>
          <w:sz w:val="18"/>
          <w:szCs w:val="18"/>
          <w:lang w:val="en-US" w:eastAsia="zh-CN"/>
        </w:rPr>
        <w:t>2</w:t>
      </w:r>
      <w:r>
        <w:rPr>
          <w:rFonts w:hint="eastAsia" w:ascii="宋体" w:hAnsi="宋体"/>
          <w:sz w:val="18"/>
          <w:szCs w:val="18"/>
        </w:rPr>
        <w:t>年6月以来任意连续3个月的社保缴费证明复印件，管理过的项目业绩须附合同协议书复印件；其他主要人员应附身份证、学历证、职称证（如有）、有关证书（如有）和202</w:t>
      </w:r>
      <w:r>
        <w:rPr>
          <w:rFonts w:hint="eastAsia" w:ascii="宋体" w:hAnsi="宋体"/>
          <w:sz w:val="18"/>
          <w:szCs w:val="18"/>
          <w:lang w:val="en-US" w:eastAsia="zh-CN"/>
        </w:rPr>
        <w:t>2</w:t>
      </w:r>
      <w:r>
        <w:rPr>
          <w:rFonts w:hint="eastAsia" w:ascii="宋体" w:hAnsi="宋体"/>
          <w:sz w:val="18"/>
          <w:szCs w:val="18"/>
        </w:rPr>
        <w:t>年6月以来任意连续3个月的社保缴费证明复印件。</w:t>
      </w:r>
    </w:p>
    <w:p>
      <w:pPr>
        <w:widowControl/>
        <w:numPr>
          <w:ilvl w:val="0"/>
          <w:numId w:val="2"/>
        </w:numPr>
        <w:spacing w:line="300" w:lineRule="auto"/>
        <w:ind w:firstLine="360" w:firstLineChars="200"/>
        <w:jc w:val="left"/>
        <w:rPr>
          <w:rFonts w:hint="eastAsia" w:ascii="宋体" w:hAnsi="宋体"/>
          <w:sz w:val="18"/>
          <w:szCs w:val="18"/>
          <w:lang w:val="en-US" w:eastAsia="zh-CN"/>
        </w:rPr>
      </w:pPr>
      <w:r>
        <w:rPr>
          <w:rFonts w:hint="eastAsia" w:ascii="宋体" w:hAnsi="宋体"/>
          <w:sz w:val="18"/>
          <w:szCs w:val="18"/>
          <w:lang w:val="en-US" w:eastAsia="zh-CN"/>
        </w:rPr>
        <w:t>中标后或履约期间，中标人除因不可抗力外，不得变更项目负责人；确需变更的，须经招标人同意。变更后的项目负责人，不得低于被变更人员的资质及业绩。</w:t>
      </w:r>
    </w:p>
    <w:p>
      <w:pPr>
        <w:pStyle w:val="2"/>
        <w:rPr>
          <w:rFonts w:hint="eastAsia" w:ascii="宋体" w:hAnsi="宋体"/>
          <w:sz w:val="18"/>
          <w:szCs w:val="18"/>
          <w:lang w:val="en-US" w:eastAsia="zh-CN"/>
        </w:rPr>
      </w:pPr>
    </w:p>
    <w:p>
      <w:pPr>
        <w:pStyle w:val="5"/>
        <w:rPr>
          <w:rFonts w:hint="eastAsia" w:ascii="宋体" w:hAnsi="宋体"/>
          <w:sz w:val="18"/>
          <w:szCs w:val="18"/>
          <w:lang w:val="en-US" w:eastAsia="zh-CN"/>
        </w:rPr>
      </w:pPr>
    </w:p>
    <w:p>
      <w:pPr>
        <w:widowControl/>
        <w:numPr>
          <w:ilvl w:val="-1"/>
          <w:numId w:val="0"/>
        </w:numPr>
        <w:spacing w:line="300" w:lineRule="auto"/>
        <w:ind w:firstLine="0" w:firstLineChars="0"/>
        <w:jc w:val="left"/>
        <w:rPr>
          <w:rFonts w:hint="eastAsia" w:ascii="Times New Roman" w:hAnsi="Times New Roman" w:cs="Times New Roman"/>
          <w:lang w:val="en-US" w:eastAsia="zh-CN"/>
        </w:rPr>
      </w:pPr>
    </w:p>
    <w:p>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五、服务方案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十、对本项目的合理化建议。</w:t>
      </w:r>
    </w:p>
    <w:p>
      <w:pPr>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注：投标人请结合招标文件第三章评标办法规定的评分因素和评分标准编制服务方案，并重点介绍以下内容：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一、</w:t>
      </w:r>
      <w:r>
        <w:rPr>
          <w:rFonts w:hint="default" w:ascii="Times New Roman" w:hAnsi="Times New Roman" w:cs="Times New Roman"/>
          <w:b/>
          <w:bCs/>
          <w:color w:val="auto"/>
          <w:highlight w:val="none"/>
          <w:lang w:val="en-US" w:eastAsia="zh-CN"/>
        </w:rPr>
        <w:t>综合金融服务方案</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二、发行方案设计</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三、</w:t>
      </w:r>
      <w:r>
        <w:rPr>
          <w:rFonts w:hint="default" w:ascii="Times New Roman" w:hAnsi="Times New Roman" w:cs="Times New Roman"/>
          <w:b/>
          <w:bCs/>
          <w:color w:val="auto"/>
          <w:highlight w:val="none"/>
          <w:lang w:val="en-US" w:eastAsia="zh-CN"/>
        </w:rPr>
        <w:t>公司债券承销业务实力说明</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四、</w:t>
      </w:r>
      <w:r>
        <w:rPr>
          <w:rFonts w:hint="default" w:ascii="Times New Roman" w:hAnsi="Times New Roman" w:cs="Times New Roman"/>
          <w:b/>
          <w:bCs/>
          <w:color w:val="auto"/>
          <w:highlight w:val="none"/>
          <w:lang w:val="en-US" w:eastAsia="zh-CN"/>
        </w:rPr>
        <w:t>政府投融资平台公司债券业务经验介绍及项目人员配备情况</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五、</w:t>
      </w:r>
      <w:r>
        <w:rPr>
          <w:rFonts w:hint="default" w:ascii="Times New Roman" w:hAnsi="Times New Roman" w:cs="Times New Roman"/>
          <w:b/>
          <w:bCs/>
          <w:color w:val="auto"/>
          <w:highlight w:val="none"/>
          <w:lang w:val="en-US" w:eastAsia="zh-CN"/>
        </w:rPr>
        <w:t>其他有助于完成</w:t>
      </w:r>
      <w:r>
        <w:rPr>
          <w:rFonts w:hint="eastAsia" w:ascii="Times New Roman" w:hAnsi="Times New Roman" w:cs="Times New Roman"/>
          <w:b/>
          <w:bCs/>
          <w:color w:val="auto"/>
          <w:highlight w:val="none"/>
          <w:lang w:val="en-US" w:eastAsia="zh-CN"/>
        </w:rPr>
        <w:t>招标人</w:t>
      </w:r>
      <w:r>
        <w:rPr>
          <w:rFonts w:hint="default" w:ascii="Times New Roman" w:hAnsi="Times New Roman" w:cs="Times New Roman"/>
          <w:b/>
          <w:bCs/>
          <w:color w:val="auto"/>
          <w:highlight w:val="none"/>
          <w:lang w:val="en-US" w:eastAsia="zh-CN"/>
        </w:rPr>
        <w:t>公司债券顺利发行的安排</w:t>
      </w:r>
    </w:p>
    <w:p>
      <w:pPr>
        <w:rPr>
          <w:rFonts w:hint="default" w:ascii="Times New Roman" w:hAnsi="Times New Roman" w:cs="Times New Roman"/>
          <w:color w:val="auto"/>
        </w:rPr>
      </w:pPr>
      <w:r>
        <w:rPr>
          <w:rFonts w:hint="default" w:ascii="Times New Roman" w:hAnsi="Times New Roman" w:cs="Times New Roman"/>
          <w:color w:val="auto"/>
        </w:rPr>
        <w:br w:type="page"/>
      </w:r>
    </w:p>
    <w:p>
      <w:pPr>
        <w:pStyle w:val="6"/>
        <w:jc w:val="center"/>
        <w:rPr>
          <w:rFonts w:hint="default" w:ascii="Times New Roman" w:hAnsi="Times New Roman" w:cs="Times New Roman"/>
        </w:rPr>
      </w:pPr>
      <w:bookmarkStart w:id="115" w:name="_Toc300835233"/>
      <w:bookmarkStart w:id="116" w:name="_Toc271821942"/>
      <w:r>
        <w:rPr>
          <w:rFonts w:hint="eastAsia" w:ascii="Times New Roman" w:hAnsi="Times New Roman" w:cs="Times New Roman"/>
          <w:lang w:val="en-US" w:eastAsia="zh-CN"/>
        </w:rPr>
        <w:t>六</w:t>
      </w:r>
      <w:r>
        <w:rPr>
          <w:rFonts w:hint="default" w:ascii="Times New Roman" w:hAnsi="Times New Roman" w:cs="Times New Roman"/>
        </w:rPr>
        <w:t>、其他资料</w:t>
      </w:r>
      <w:bookmarkEnd w:id="115"/>
      <w:bookmarkEnd w:id="116"/>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4" w:lineRule="auto"/>
      <w:ind w:right="107"/>
      <w:jc w:val="right"/>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6A0A23"/>
    <w:multiLevelType w:val="singleLevel"/>
    <w:tmpl w:val="9C6A0A23"/>
    <w:lvl w:ilvl="0" w:tentative="0">
      <w:start w:val="2"/>
      <w:numFmt w:val="decimal"/>
      <w:suff w:val="space"/>
      <w:lvlText w:val="%1、"/>
      <w:lvlJc w:val="left"/>
    </w:lvl>
  </w:abstractNum>
  <w:abstractNum w:abstractNumId="1">
    <w:nsid w:val="6F996373"/>
    <w:multiLevelType w:val="singleLevel"/>
    <w:tmpl w:val="6F996373"/>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24A94"/>
    <w:rsid w:val="006E177F"/>
    <w:rsid w:val="01400FB5"/>
    <w:rsid w:val="017C4810"/>
    <w:rsid w:val="01CA216C"/>
    <w:rsid w:val="04CA107E"/>
    <w:rsid w:val="078A2A11"/>
    <w:rsid w:val="09514445"/>
    <w:rsid w:val="0A3B428C"/>
    <w:rsid w:val="0AAF0151"/>
    <w:rsid w:val="0BE95FA7"/>
    <w:rsid w:val="11AA423C"/>
    <w:rsid w:val="11FE3E97"/>
    <w:rsid w:val="12DE6D4C"/>
    <w:rsid w:val="15737023"/>
    <w:rsid w:val="16247C45"/>
    <w:rsid w:val="17A76437"/>
    <w:rsid w:val="18F558C8"/>
    <w:rsid w:val="19687905"/>
    <w:rsid w:val="1A597CBE"/>
    <w:rsid w:val="1B3A1251"/>
    <w:rsid w:val="1C642CD0"/>
    <w:rsid w:val="1D1502E7"/>
    <w:rsid w:val="1D205DE2"/>
    <w:rsid w:val="1E210366"/>
    <w:rsid w:val="1FCF29CF"/>
    <w:rsid w:val="225C1876"/>
    <w:rsid w:val="234E4553"/>
    <w:rsid w:val="26413EFB"/>
    <w:rsid w:val="28155F15"/>
    <w:rsid w:val="28B23358"/>
    <w:rsid w:val="2BBD2276"/>
    <w:rsid w:val="2D932E8C"/>
    <w:rsid w:val="2EBD51B1"/>
    <w:rsid w:val="2FDE27BA"/>
    <w:rsid w:val="305C10BF"/>
    <w:rsid w:val="31215055"/>
    <w:rsid w:val="34CD598D"/>
    <w:rsid w:val="36402B77"/>
    <w:rsid w:val="392C3BB8"/>
    <w:rsid w:val="3A804B9A"/>
    <w:rsid w:val="3BB70A8F"/>
    <w:rsid w:val="3BEC1F5E"/>
    <w:rsid w:val="3D1A34D6"/>
    <w:rsid w:val="3DA66A57"/>
    <w:rsid w:val="3DF9573C"/>
    <w:rsid w:val="40306371"/>
    <w:rsid w:val="40532637"/>
    <w:rsid w:val="43171E14"/>
    <w:rsid w:val="460D46AD"/>
    <w:rsid w:val="47284D59"/>
    <w:rsid w:val="474B5845"/>
    <w:rsid w:val="47A9027D"/>
    <w:rsid w:val="4EC244BE"/>
    <w:rsid w:val="509B1125"/>
    <w:rsid w:val="52B92FE7"/>
    <w:rsid w:val="5662258B"/>
    <w:rsid w:val="591A3FB4"/>
    <w:rsid w:val="5BB10BFF"/>
    <w:rsid w:val="5C4A4FB9"/>
    <w:rsid w:val="5C4C090E"/>
    <w:rsid w:val="5D997CE6"/>
    <w:rsid w:val="62FF0253"/>
    <w:rsid w:val="637F7835"/>
    <w:rsid w:val="64AC01BB"/>
    <w:rsid w:val="65717652"/>
    <w:rsid w:val="661B5D73"/>
    <w:rsid w:val="676B7D4B"/>
    <w:rsid w:val="68EE1D6B"/>
    <w:rsid w:val="69AE5876"/>
    <w:rsid w:val="69C02B47"/>
    <w:rsid w:val="6BD27614"/>
    <w:rsid w:val="6BE26BB3"/>
    <w:rsid w:val="6F796A75"/>
    <w:rsid w:val="6FE211DA"/>
    <w:rsid w:val="717A163C"/>
    <w:rsid w:val="71B33558"/>
    <w:rsid w:val="76655658"/>
    <w:rsid w:val="78B05A6F"/>
    <w:rsid w:val="79300271"/>
    <w:rsid w:val="79EA6789"/>
    <w:rsid w:val="7BD25E13"/>
    <w:rsid w:val="7D91104F"/>
    <w:rsid w:val="7F013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5">
    <w:name w:val="List"/>
    <w:basedOn w:val="1"/>
    <w:qFormat/>
    <w:uiPriority w:val="0"/>
    <w:pPr>
      <w:ind w:left="420" w:hanging="420"/>
    </w:pPr>
    <w:rPr>
      <w:szCs w:val="20"/>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
    <w:name w:val="Table Normal"/>
    <w:semiHidden/>
    <w:unhideWhenUsed/>
    <w:qFormat/>
    <w:uiPriority w:val="0"/>
    <w:tblPr>
      <w:tblCellMar>
        <w:top w:w="0" w:type="dxa"/>
        <w:left w:w="0" w:type="dxa"/>
        <w:bottom w:w="0" w:type="dxa"/>
        <w:right w:w="0" w:type="dxa"/>
      </w:tblCellMar>
    </w:tblPr>
  </w:style>
  <w:style w:type="paragraph" w:customStyle="1" w:styleId="16">
    <w:name w:val="正文首行缩进 21"/>
    <w:basedOn w:val="3"/>
    <w:next w:val="1"/>
    <w:qFormat/>
    <w:uiPriority w:val="0"/>
    <w:pPr>
      <w:spacing w:before="100" w:beforeAutospacing="1" w:after="0" w:line="360" w:lineRule="auto"/>
      <w:ind w:left="900" w:leftChars="0" w:firstLine="420"/>
    </w:pPr>
    <w:rPr>
      <w:rFonts w:cs="Times New Roman"/>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13311</Words>
  <Characters>14923</Characters>
  <Lines>0</Lines>
  <Paragraphs>0</Paragraphs>
  <TotalTime>16</TotalTime>
  <ScaleCrop>false</ScaleCrop>
  <LinksUpToDate>false</LinksUpToDate>
  <CharactersWithSpaces>16278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2023-02-06T09:12:00Z</dcterms:created>
  <dc:creator>123</dc:creator>
  <cp:lastModifiedBy>宅喵</cp:lastModifiedBy>
  <cp:lastPrinted>2023-04-23T07:56:00Z</cp:lastPrinted>
  <dcterms:modified xsi:type="dcterms:W3CDTF">2023-04-25T00:34:00Z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176C628AEE894AC184267FEA5FEBABE8</vt:lpwstr>
  </property>
</Properties>
</file>