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sz w:val="72"/>
          <w:szCs w:val="72"/>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sz w:val="30"/>
          <w:szCs w:val="30"/>
          <w:lang w:val="en-US" w:eastAsia="zh-CN"/>
        </w:rPr>
      </w:pPr>
      <w:r>
        <w:rPr>
          <w:rFonts w:hint="eastAsia" w:ascii="Times New Roman" w:hAnsi="Times New Roman" w:eastAsia="黑体" w:cs="Times New Roman"/>
          <w:sz w:val="30"/>
          <w:szCs w:val="30"/>
          <w:highlight w:val="none"/>
          <w:u w:val="single"/>
          <w:lang w:val="en-US" w:eastAsia="zh-CN"/>
        </w:rPr>
        <w:t>文采路综合能源服务站建设项目设计及全过程工程咨询服务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013</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 xml:space="preserve"> </w:t>
      </w:r>
      <w:r>
        <w:rPr>
          <w:rFonts w:hint="eastAsia" w:asciiTheme="minorEastAsia" w:hAnsiTheme="minorEastAsia" w:cstheme="minorEastAsia"/>
          <w:sz w:val="28"/>
          <w:szCs w:val="28"/>
          <w:highlight w:val="none"/>
          <w:lang w:val="en-US" w:eastAsia="zh-CN"/>
        </w:rPr>
        <w:t>安徽交赢新能源有限公司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 xml:space="preserve"> 二〇二三年四</w:t>
      </w:r>
      <w:r>
        <w:rPr>
          <w:rFonts w:hint="eastAsia" w:ascii="Times New Roman" w:hAnsi="Times New Roman" w:eastAsia="楷体" w:cs="Times New Roman"/>
          <w:kern w:val="0"/>
          <w:sz w:val="32"/>
          <w:szCs w:val="32"/>
          <w:highlight w:val="none"/>
          <w:u w:val="none"/>
          <w:shd w:val="clear" w:color="auto" w:fill="auto"/>
          <w:lang w:val="en-US" w:eastAsia="zh-CN"/>
        </w:rPr>
        <w:t>月十九日</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72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autoSpaceDE w:val="0"/>
        <w:spacing w:line="560" w:lineRule="exact"/>
        <w:ind w:left="3599" w:leftChars="171" w:hanging="3240" w:hangingChars="900"/>
        <w:jc w:val="left"/>
        <w:rPr>
          <w:rFonts w:hint="default" w:ascii="Times New Roman" w:hAnsi="Times New Roman" w:eastAsia="仿宋_GB2312" w:cs="Times New Roman"/>
          <w:sz w:val="28"/>
          <w:szCs w:val="28"/>
          <w:highlight w:val="none"/>
          <w:lang w:val="en-US" w:eastAsia="zh-CN"/>
        </w:rPr>
      </w:pPr>
      <w:r>
        <w:rPr>
          <w:rFonts w:hint="eastAsia" w:ascii="黑体" w:hAnsi="黑体" w:eastAsia="黑体" w:cs="黑体"/>
          <w:kern w:val="0"/>
          <w:sz w:val="36"/>
          <w:szCs w:val="36"/>
          <w:lang w:val="en-US" w:eastAsia="zh-CN"/>
        </w:rPr>
        <w:t>文采路综合能源服务站建设项目设计及全过程工程咨询服务</w:t>
      </w:r>
      <w:r>
        <w:rPr>
          <w:rFonts w:hint="eastAsia" w:ascii="Times New Roman" w:hAnsi="Times New Roman" w:eastAsia="黑体" w:cs="Times New Roman"/>
          <w:sz w:val="36"/>
          <w:szCs w:val="36"/>
          <w:highlight w:val="none"/>
          <w:lang w:val="en-US" w:eastAsia="zh-CN"/>
        </w:rPr>
        <w:t>招标公告</w:t>
      </w:r>
      <w:bookmarkStart w:id="0" w:name="_Toc179632536"/>
      <w:bookmarkStart w:id="1" w:name="_Toc144974487"/>
      <w:bookmarkStart w:id="2" w:name="_Toc246996909"/>
      <w:bookmarkStart w:id="3" w:name="_Toc296602410"/>
      <w:bookmarkStart w:id="4" w:name="_Toc247085680"/>
      <w:bookmarkStart w:id="5" w:name="_Toc246996166"/>
      <w:bookmarkStart w:id="6" w:name="_Toc152042295"/>
      <w:bookmarkStart w:id="7" w:name="_Toc15204551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wordWrap w:val="0"/>
        <w:autoSpaceDE/>
        <w:spacing w:line="480" w:lineRule="exact"/>
        <w:ind w:left="0" w:leftChars="0" w:firstLine="560" w:firstLineChars="200"/>
        <w:jc w:val="left"/>
        <w:rPr>
          <w:rFonts w:hint="eastAsia" w:ascii="宋体" w:hAnsi="宋体" w:cs="宋体"/>
          <w:kern w:val="2"/>
          <w:sz w:val="28"/>
          <w:szCs w:val="28"/>
          <w:highlight w:val="none"/>
          <w:lang w:val="en-US" w:eastAsia="zh-CN"/>
        </w:rPr>
      </w:pPr>
      <w:bookmarkStart w:id="8" w:name="_Toc144974488"/>
      <w:bookmarkStart w:id="9" w:name="_Toc152045520"/>
      <w:bookmarkStart w:id="10" w:name="_Toc152042296"/>
      <w:bookmarkStart w:id="11" w:name="_Toc247085681"/>
      <w:bookmarkStart w:id="12" w:name="_Toc179632537"/>
      <w:bookmarkStart w:id="13" w:name="_Toc246996167"/>
      <w:bookmarkStart w:id="14" w:name="_Toc246996910"/>
      <w:bookmarkStart w:id="15" w:name="_Toc296602411"/>
      <w:r>
        <w:rPr>
          <w:rFonts w:hint="eastAsia" w:ascii="宋体" w:hAnsi="宋体" w:cs="宋体"/>
          <w:sz w:val="28"/>
          <w:szCs w:val="28"/>
          <w:highlight w:val="none"/>
          <w:lang w:val="en-US" w:eastAsia="zh-CN"/>
        </w:rPr>
        <w:t>（一）</w:t>
      </w:r>
      <w:r>
        <w:rPr>
          <w:rFonts w:hint="eastAsia" w:ascii="宋体" w:hAnsi="宋体" w:eastAsia="宋体" w:cs="宋体"/>
          <w:sz w:val="28"/>
          <w:szCs w:val="28"/>
          <w:highlight w:val="none"/>
          <w:lang w:val="en-US" w:eastAsia="zh-CN"/>
        </w:rPr>
        <w:t>项目名称：</w:t>
      </w:r>
      <w:r>
        <w:rPr>
          <w:rFonts w:hint="eastAsia" w:ascii="宋体" w:hAnsi="宋体" w:eastAsia="宋体" w:cs="宋体"/>
          <w:kern w:val="2"/>
          <w:sz w:val="28"/>
          <w:szCs w:val="28"/>
          <w:highlight w:val="none"/>
          <w:lang w:val="en-US" w:eastAsia="zh-CN"/>
        </w:rPr>
        <w:t>文采路综合能源服务站建设项目设计及全过程工程咨询服务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（二）</w:t>
      </w:r>
      <w:r>
        <w:rPr>
          <w:rFonts w:hint="eastAsia" w:ascii="宋体" w:hAnsi="宋体" w:eastAsia="宋体" w:cs="宋体"/>
          <w:sz w:val="28"/>
          <w:szCs w:val="28"/>
          <w:highlight w:val="none"/>
          <w:lang w:val="en-US" w:eastAsia="zh-CN"/>
        </w:rPr>
        <w:t>资金来源：</w:t>
      </w:r>
      <w:r>
        <w:rPr>
          <w:rFonts w:hint="eastAsia" w:ascii="宋体" w:hAnsi="宋体" w:cs="宋体"/>
          <w:sz w:val="28"/>
          <w:szCs w:val="28"/>
          <w:highlight w:val="none"/>
          <w:lang w:val="en-US" w:eastAsia="zh-CN"/>
        </w:rPr>
        <w:t>企业自筹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（三）</w:t>
      </w:r>
      <w:r>
        <w:rPr>
          <w:rFonts w:hint="eastAsia" w:ascii="宋体" w:hAnsi="宋体" w:eastAsia="宋体" w:cs="宋体"/>
          <w:sz w:val="28"/>
          <w:szCs w:val="28"/>
          <w:highlight w:val="none"/>
          <w:lang w:val="en-US" w:eastAsia="zh-CN"/>
        </w:rPr>
        <w:t>招标人：</w:t>
      </w:r>
      <w:r>
        <w:rPr>
          <w:rFonts w:hint="eastAsia" w:ascii="宋体" w:hAnsi="宋体" w:cs="宋体"/>
          <w:sz w:val="28"/>
          <w:szCs w:val="28"/>
          <w:highlight w:val="none"/>
          <w:lang w:val="en-US" w:eastAsia="zh-CN"/>
        </w:rPr>
        <w:t>安徽交赢新能源有限公司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left="0" w:leftChars="0" w:firstLine="560" w:firstLineChars="200"/>
        <w:textAlignment w:val="auto"/>
        <w:rPr>
          <w:rFonts w:hint="eastAsia" w:ascii="宋体" w:hAnsi="宋体" w:eastAsia="宋体" w:cs="宋体"/>
          <w:sz w:val="28"/>
          <w:szCs w:val="28"/>
          <w:highlight w:val="none"/>
          <w:u w:val="none"/>
          <w:lang w:val="en-US" w:eastAsia="zh-CN"/>
        </w:rPr>
      </w:pPr>
      <w:r>
        <w:rPr>
          <w:rFonts w:hint="eastAsia" w:ascii="宋体" w:hAnsi="宋体" w:cs="宋体"/>
          <w:sz w:val="28"/>
          <w:szCs w:val="28"/>
          <w:highlight w:val="none"/>
          <w:u w:val="none"/>
          <w:lang w:val="en-US" w:eastAsia="zh-CN"/>
        </w:rPr>
        <w:t>（一）项目概况：建设地点位于</w:t>
      </w:r>
      <w:r>
        <w:rPr>
          <w:rFonts w:hint="eastAsia" w:ascii="宋体" w:hAnsi="宋体" w:eastAsia="宋体" w:cs="宋体"/>
          <w:sz w:val="28"/>
          <w:szCs w:val="28"/>
          <w:highlight w:val="none"/>
          <w:u w:val="none"/>
          <w:lang w:val="en-US" w:eastAsia="zh-CN"/>
        </w:rPr>
        <w:t>亳芜产业园区亳芜大道以北、文采路以西。</w:t>
      </w:r>
      <w:r>
        <w:rPr>
          <w:rFonts w:hint="eastAsia" w:ascii="宋体" w:hAnsi="宋体" w:cs="宋体"/>
          <w:sz w:val="28"/>
          <w:szCs w:val="28"/>
          <w:highlight w:val="none"/>
          <w:u w:val="none"/>
          <w:lang w:val="en-US" w:eastAsia="zh-CN"/>
        </w:rPr>
        <w:t>建筑面积约</w:t>
      </w:r>
      <w:r>
        <w:rPr>
          <w:rFonts w:hint="eastAsia" w:ascii="宋体" w:hAnsi="宋体" w:eastAsia="宋体" w:cs="宋体"/>
          <w:sz w:val="28"/>
          <w:szCs w:val="28"/>
          <w:highlight w:val="none"/>
          <w:u w:val="none"/>
          <w:lang w:val="en-US" w:eastAsia="zh-CN"/>
        </w:rPr>
        <w:t>6666.67平方（10亩）</w:t>
      </w:r>
      <w:r>
        <w:rPr>
          <w:rFonts w:hint="eastAsia" w:ascii="宋体" w:hAnsi="宋体" w:cs="宋体"/>
          <w:sz w:val="28"/>
          <w:szCs w:val="28"/>
          <w:highlight w:val="none"/>
          <w:u w:val="none"/>
          <w:lang w:val="en-US" w:eastAsia="zh-CN"/>
        </w:rPr>
        <w:t>。项目建设投资约800万元。</w:t>
      </w:r>
      <w:r>
        <w:rPr>
          <w:rFonts w:hint="eastAsia" w:ascii="宋体" w:hAnsi="宋体" w:eastAsia="宋体" w:cs="宋体"/>
          <w:sz w:val="28"/>
          <w:szCs w:val="28"/>
          <w:highlight w:val="none"/>
          <w:u w:val="none"/>
          <w:lang w:val="en-US" w:eastAsia="zh-CN"/>
        </w:rPr>
        <w:t>规划要求为二级站，容积率不大于1.0，建筑密度不大于40%，绿地率不小于20%，主要用于建设加油、加气、加氢、充换电站</w:t>
      </w:r>
      <w:r>
        <w:rPr>
          <w:rFonts w:hint="eastAsia" w:ascii="宋体" w:hAnsi="宋体" w:cs="宋体"/>
          <w:sz w:val="28"/>
          <w:szCs w:val="28"/>
          <w:highlight w:val="none"/>
          <w:u w:val="none"/>
          <w:lang w:val="en-US" w:eastAsia="zh-CN"/>
        </w:rPr>
        <w:t>。</w:t>
      </w:r>
      <w:r>
        <w:rPr>
          <w:rFonts w:hint="eastAsia" w:ascii="宋体" w:hAnsi="宋体" w:eastAsia="宋体" w:cs="宋体"/>
          <w:sz w:val="28"/>
          <w:szCs w:val="28"/>
          <w:highlight w:val="none"/>
          <w:u w:val="none"/>
          <w:lang w:val="en-US" w:eastAsia="zh-CN"/>
        </w:rPr>
        <w:t>包括站房楼、加油罩棚、储油罐、光伏设备及其他配套附属设施</w:t>
      </w:r>
      <w:r>
        <w:rPr>
          <w:rFonts w:hint="eastAsia" w:ascii="宋体" w:hAnsi="宋体" w:cs="宋体"/>
          <w:sz w:val="28"/>
          <w:szCs w:val="28"/>
          <w:highlight w:val="none"/>
          <w:u w:val="none"/>
          <w:lang w:val="en-US" w:eastAsia="zh-CN"/>
        </w:rPr>
        <w:t>。具备有加油、加气、充电、换电[预留]、加氢[预留]，光伏设备安装，司机之家、餐饮、汽车维修保养、地磅等功能</w:t>
      </w:r>
      <w:r>
        <w:rPr>
          <w:rFonts w:hint="eastAsia" w:ascii="宋体" w:hAnsi="宋体" w:eastAsia="宋体" w:cs="宋体"/>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u w:val="none"/>
          <w:lang w:val="en-US" w:eastAsia="zh-CN"/>
        </w:rPr>
        <w:t>（二）招标范围：具体包括但不限于：1.项目所在地地质勘察、工程修建性详细规划（含建筑单体方案）、初步设计、设计概算、施工图设计（含房屋设计、形象设计、外立面装饰设计、室内装饰设计、强弱电设计、给排水设计、暖通设计、消防设计和所有室外配套工程及绿化景观设计等）、设计方案报批、施工图审查及施工阶段技术服务等；2.全过程工程咨询服务包括但不限于本项目的</w:t>
      </w:r>
      <w:r>
        <w:rPr>
          <w:rFonts w:hint="eastAsia"/>
          <w:sz w:val="28"/>
          <w:szCs w:val="28"/>
          <w:lang w:val="en-US" w:eastAsia="zh-CN"/>
        </w:rPr>
        <w:t>包括编制可行性研究报告，</w:t>
      </w:r>
      <w:r>
        <w:rPr>
          <w:rFonts w:hint="eastAsia" w:ascii="宋体" w:hAnsi="宋体" w:eastAsia="宋体" w:cs="宋体"/>
          <w:sz w:val="28"/>
          <w:szCs w:val="28"/>
          <w:highlight w:val="none"/>
          <w:u w:val="none"/>
          <w:lang w:val="en-US" w:eastAsia="zh-CN"/>
        </w:rPr>
        <w:t>环评报告编制及评审、安全评价、消防评价及验收、职业病危害评价、交通影响评价报告编制及评审等专项方案的编制及评审。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（三）</w:t>
      </w:r>
      <w:r>
        <w:rPr>
          <w:rFonts w:hint="eastAsia" w:ascii="宋体" w:hAnsi="宋体" w:cs="宋体"/>
          <w:sz w:val="28"/>
          <w:szCs w:val="28"/>
          <w:highlight w:val="none"/>
          <w:lang w:val="en-US" w:eastAsia="zh-CN"/>
        </w:rPr>
        <w:t>服务</w:t>
      </w:r>
      <w:r>
        <w:rPr>
          <w:rFonts w:hint="eastAsia" w:ascii="宋体" w:hAnsi="宋体" w:eastAsia="宋体" w:cs="宋体"/>
          <w:sz w:val="28"/>
          <w:szCs w:val="28"/>
          <w:highlight w:val="none"/>
          <w:lang w:val="en-US" w:eastAsia="zh-CN"/>
        </w:rPr>
        <w:t>标准：符合国家、地方、行业现行相关规范合格标准</w:t>
      </w:r>
      <w:r>
        <w:rPr>
          <w:rFonts w:hint="eastAsia" w:ascii="宋体" w:hAnsi="宋体" w:cs="宋体"/>
          <w:sz w:val="28"/>
          <w:szCs w:val="28"/>
          <w:highlight w:val="none"/>
          <w:lang w:val="en-US" w:eastAsia="zh-CN"/>
        </w:rPr>
        <w:t>，符合招标文件第五章发包人要求。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（四）</w:t>
      </w:r>
      <w:r>
        <w:rPr>
          <w:rFonts w:hint="eastAsia" w:ascii="宋体" w:hAnsi="宋体" w:cs="宋体"/>
          <w:sz w:val="28"/>
          <w:szCs w:val="28"/>
          <w:highlight w:val="none"/>
          <w:lang w:val="en-US" w:eastAsia="zh-CN"/>
        </w:rPr>
        <w:t>服务期限</w:t>
      </w:r>
      <w:r>
        <w:rPr>
          <w:rFonts w:hint="eastAsia" w:ascii="宋体" w:hAnsi="宋体" w:eastAsia="宋体" w:cs="宋体"/>
          <w:sz w:val="28"/>
          <w:szCs w:val="28"/>
          <w:highlight w:val="none"/>
          <w:lang w:val="en-US" w:eastAsia="zh-CN"/>
        </w:rPr>
        <w:t>：</w:t>
      </w:r>
      <w:r>
        <w:rPr>
          <w:rFonts w:hint="eastAsia" w:ascii="宋体" w:hAnsi="宋体" w:eastAsia="宋体" w:cs="宋体"/>
          <w:sz w:val="28"/>
          <w:szCs w:val="28"/>
          <w:highlight w:val="none"/>
          <w:u w:val="none"/>
          <w:lang w:val="en-US" w:eastAsia="zh-CN"/>
        </w:rPr>
        <w:t>自合同签订之日起</w:t>
      </w:r>
      <w:r>
        <w:rPr>
          <w:rFonts w:hint="eastAsia" w:ascii="宋体" w:hAnsi="宋体" w:cs="宋体"/>
          <w:sz w:val="28"/>
          <w:szCs w:val="28"/>
          <w:highlight w:val="none"/>
          <w:u w:val="none"/>
          <w:lang w:val="en-US" w:eastAsia="zh-CN"/>
        </w:rPr>
        <w:t>40</w:t>
      </w:r>
      <w:r>
        <w:rPr>
          <w:rFonts w:hint="eastAsia" w:ascii="宋体" w:hAnsi="宋体" w:eastAsia="宋体" w:cs="宋体"/>
          <w:sz w:val="28"/>
          <w:szCs w:val="28"/>
          <w:highlight w:val="none"/>
          <w:u w:val="none"/>
          <w:lang w:val="en-US" w:eastAsia="zh-CN"/>
        </w:rPr>
        <w:t>日天内完成施工图设计、施工图审查以及各专项方案编制报批工作。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w:t>
      </w:r>
      <w:r>
        <w:rPr>
          <w:rFonts w:hint="eastAsia" w:ascii="宋体" w:hAnsi="宋体" w:eastAsia="宋体" w:cs="宋体"/>
          <w:sz w:val="28"/>
          <w:szCs w:val="28"/>
          <w:highlight w:val="none"/>
          <w:lang w:val="en-US" w:eastAsia="zh-CN"/>
        </w:rPr>
        <w:t>五）最高投标限价</w:t>
      </w:r>
      <w:r>
        <w:rPr>
          <w:rFonts w:hint="eastAsia" w:ascii="宋体" w:hAnsi="宋体" w:cs="宋体"/>
          <w:color w:val="FF0000"/>
          <w:sz w:val="28"/>
          <w:szCs w:val="28"/>
          <w:highlight w:val="none"/>
          <w:lang w:val="en-US" w:eastAsia="zh-CN"/>
        </w:rPr>
        <w:t>（含税）</w:t>
      </w:r>
      <w:r>
        <w:rPr>
          <w:rFonts w:hint="eastAsia" w:ascii="宋体" w:hAnsi="宋体" w:eastAsia="宋体" w:cs="宋体"/>
          <w:sz w:val="28"/>
          <w:szCs w:val="28"/>
          <w:highlight w:val="none"/>
          <w:lang w:val="en-US" w:eastAsia="zh-CN"/>
        </w:rPr>
        <w:t>：</w:t>
      </w:r>
      <w:r>
        <w:rPr>
          <w:rFonts w:hint="eastAsia" w:ascii="宋体" w:hAnsi="宋体" w:cs="宋体"/>
          <w:sz w:val="28"/>
          <w:szCs w:val="28"/>
          <w:highlight w:val="none"/>
          <w:lang w:val="en-US" w:eastAsia="zh-CN"/>
        </w:rPr>
        <w:t>60</w:t>
      </w:r>
      <w:r>
        <w:rPr>
          <w:rFonts w:hint="eastAsia" w:ascii="宋体" w:hAnsi="宋体" w:cs="宋体"/>
          <w:sz w:val="28"/>
          <w:szCs w:val="28"/>
          <w:highlight w:val="none"/>
          <w:u w:val="single"/>
          <w:lang w:val="en-US" w:eastAsia="zh-CN"/>
        </w:rPr>
        <w:t>万元整</w:t>
      </w:r>
      <w:r>
        <w:rPr>
          <w:rFonts w:hint="eastAsia" w:ascii="宋体" w:hAnsi="宋体" w:cs="宋体"/>
          <w:sz w:val="28"/>
          <w:szCs w:val="28"/>
          <w:highlight w:val="none"/>
          <w:lang w:val="en-US" w:eastAsia="zh-CN"/>
        </w:rPr>
        <w:t>，</w:t>
      </w:r>
      <w:r>
        <w:rPr>
          <w:rFonts w:hint="eastAsia" w:ascii="宋体" w:hAnsi="宋体" w:eastAsia="宋体" w:cs="宋体"/>
          <w:sz w:val="28"/>
          <w:szCs w:val="28"/>
          <w:highlight w:val="none"/>
          <w:lang w:val="en-US" w:eastAsia="zh-CN"/>
        </w:rPr>
        <w:t>按</w:t>
      </w:r>
      <w:r>
        <w:rPr>
          <w:rFonts w:hint="eastAsia" w:ascii="宋体" w:hAnsi="宋体" w:eastAsia="宋体" w:cs="宋体"/>
          <w:color w:val="FF0000"/>
          <w:sz w:val="28"/>
          <w:szCs w:val="28"/>
          <w:highlight w:val="none"/>
          <w:u w:val="single"/>
          <w:lang w:val="en-US" w:eastAsia="zh-CN"/>
        </w:rPr>
        <w:t>固定总价</w:t>
      </w:r>
      <w:r>
        <w:rPr>
          <w:rFonts w:hint="eastAsia" w:ascii="宋体" w:hAnsi="宋体" w:eastAsia="宋体" w:cs="宋体"/>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宋体" w:hAnsi="宋体" w:cs="宋体"/>
          <w:sz w:val="28"/>
          <w:szCs w:val="28"/>
          <w:highlight w:val="none"/>
          <w:lang w:val="en-US" w:eastAsia="zh-CN"/>
        </w:rPr>
        <w:t>，中标后不予调整，其他未尽事宜应统一考虑在报价内</w:t>
      </w:r>
      <w:r>
        <w:rPr>
          <w:rFonts w:hint="eastAsia" w:ascii="宋体" w:hAnsi="宋体" w:eastAsia="宋体" w:cs="宋体"/>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（一）</w:t>
      </w:r>
      <w:r>
        <w:rPr>
          <w:rFonts w:hint="eastAsia" w:ascii="宋体" w:hAnsi="宋体" w:eastAsia="宋体" w:cs="宋体"/>
          <w:sz w:val="28"/>
          <w:szCs w:val="28"/>
          <w:highlight w:val="none"/>
          <w:lang w:val="en-US" w:eastAsia="zh-CN"/>
        </w:rPr>
        <w:t>具有独立法人资格，并在人员、设备、资金等方面具有承担本</w:t>
      </w:r>
      <w:r>
        <w:rPr>
          <w:rFonts w:hint="eastAsia" w:ascii="宋体" w:hAnsi="宋体" w:cs="宋体"/>
          <w:sz w:val="28"/>
          <w:szCs w:val="28"/>
          <w:highlight w:val="none"/>
          <w:lang w:val="en-US" w:eastAsia="zh-CN"/>
        </w:rPr>
        <w:t>项目</w:t>
      </w:r>
      <w:r>
        <w:rPr>
          <w:rFonts w:hint="eastAsia" w:ascii="宋体" w:hAnsi="宋体" w:eastAsia="宋体" w:cs="宋体"/>
          <w:sz w:val="28"/>
          <w:szCs w:val="28"/>
          <w:highlight w:val="none"/>
          <w:lang w:val="en-US" w:eastAsia="zh-CN"/>
        </w:rPr>
        <w:t>的能力；</w:t>
      </w:r>
    </w:p>
    <w:p>
      <w:pPr>
        <w:wordWrap w:val="0"/>
        <w:spacing w:line="460" w:lineRule="exact"/>
        <w:ind w:firstLine="560" w:firstLineChars="200"/>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（二）投标人应具备以下资质：</w:t>
      </w:r>
    </w:p>
    <w:p>
      <w:pPr>
        <w:wordWrap w:val="0"/>
        <w:spacing w:line="460" w:lineRule="exact"/>
        <w:ind w:firstLine="560" w:firstLineChars="200"/>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（1）加油站工程设计资质，具备其一：</w:t>
      </w:r>
    </w:p>
    <w:p>
      <w:pPr>
        <w:wordWrap w:val="0"/>
        <w:spacing w:line="460" w:lineRule="exact"/>
        <w:ind w:firstLineChars="200"/>
        <w:rPr>
          <w:rFonts w:hint="eastAsia" w:ascii="宋体" w:hAnsi="宋体" w:cs="宋体"/>
          <w:sz w:val="28"/>
          <w:szCs w:val="28"/>
          <w:highlight w:val="none"/>
        </w:rPr>
      </w:pPr>
      <w:r>
        <w:rPr>
          <w:rFonts w:hint="eastAsia" w:ascii="宋体" w:hAnsi="宋体" w:cs="宋体"/>
          <w:sz w:val="28"/>
          <w:szCs w:val="28"/>
          <w:highlight w:val="none"/>
        </w:rPr>
        <w:t>1.工程设计综合资质</w:t>
      </w:r>
      <w:r>
        <w:rPr>
          <w:rFonts w:hint="eastAsia" w:ascii="宋体" w:hAnsi="宋体" w:cs="宋体"/>
          <w:sz w:val="28"/>
          <w:szCs w:val="28"/>
          <w:highlight w:val="none"/>
          <w:lang w:val="en-US" w:eastAsia="zh-CN"/>
        </w:rPr>
        <w:t>甲级</w:t>
      </w:r>
      <w:r>
        <w:rPr>
          <w:rFonts w:hint="eastAsia" w:ascii="宋体" w:hAnsi="宋体" w:cs="宋体"/>
          <w:sz w:val="28"/>
          <w:szCs w:val="28"/>
          <w:highlight w:val="none"/>
        </w:rPr>
        <w:t>；</w:t>
      </w:r>
    </w:p>
    <w:p>
      <w:pPr>
        <w:wordWrap w:val="0"/>
        <w:spacing w:line="460" w:lineRule="exact"/>
        <w:ind w:firstLineChars="200"/>
        <w:rPr>
          <w:rFonts w:hint="eastAsia" w:ascii="宋体" w:hAnsi="宋体" w:cs="宋体"/>
          <w:sz w:val="28"/>
          <w:szCs w:val="28"/>
          <w:highlight w:val="none"/>
        </w:rPr>
      </w:pPr>
      <w:r>
        <w:rPr>
          <w:rFonts w:hint="eastAsia" w:ascii="宋体" w:hAnsi="宋体" w:cs="宋体"/>
          <w:sz w:val="28"/>
          <w:szCs w:val="28"/>
          <w:highlight w:val="none"/>
        </w:rPr>
        <w:t>2.工程设计化工石化医药行业乙级及以上资质；</w:t>
      </w:r>
    </w:p>
    <w:p>
      <w:pPr>
        <w:wordWrap w:val="0"/>
        <w:spacing w:line="460" w:lineRule="exact"/>
        <w:ind w:firstLineChars="200"/>
        <w:rPr>
          <w:rFonts w:hint="eastAsia" w:ascii="宋体" w:hAnsi="宋体" w:cs="宋体"/>
          <w:sz w:val="28"/>
          <w:szCs w:val="28"/>
          <w:highlight w:val="none"/>
        </w:rPr>
      </w:pPr>
      <w:r>
        <w:rPr>
          <w:rFonts w:hint="eastAsia" w:ascii="宋体" w:hAnsi="宋体" w:cs="宋体"/>
          <w:sz w:val="28"/>
          <w:szCs w:val="28"/>
          <w:highlight w:val="none"/>
        </w:rPr>
        <w:t>3.工程设计石油天燃气（海洋石油）行业乙级及以上资质；</w:t>
      </w:r>
    </w:p>
    <w:p>
      <w:pPr>
        <w:wordWrap w:val="0"/>
        <w:spacing w:line="460" w:lineRule="exact"/>
        <w:ind w:firstLineChars="200"/>
        <w:rPr>
          <w:rFonts w:hint="eastAsia" w:ascii="宋体" w:hAnsi="宋体" w:cs="宋体"/>
          <w:sz w:val="28"/>
          <w:szCs w:val="28"/>
          <w:highlight w:val="none"/>
        </w:rPr>
      </w:pPr>
      <w:r>
        <w:rPr>
          <w:rFonts w:hint="eastAsia" w:ascii="宋体" w:hAnsi="宋体" w:cs="宋体"/>
          <w:sz w:val="28"/>
          <w:szCs w:val="28"/>
          <w:highlight w:val="none"/>
        </w:rPr>
        <w:t>4.工程设计化工石化医药行业石油及化工产品储运专业乙级及以上资质；</w:t>
      </w:r>
    </w:p>
    <w:p>
      <w:pPr>
        <w:wordWrap w:val="0"/>
        <w:spacing w:line="460" w:lineRule="exact"/>
        <w:ind w:firstLineChars="200"/>
        <w:rPr>
          <w:rFonts w:hint="eastAsia" w:ascii="宋体" w:hAnsi="宋体" w:cs="宋体"/>
          <w:sz w:val="28"/>
          <w:szCs w:val="28"/>
          <w:highlight w:val="none"/>
        </w:rPr>
      </w:pPr>
      <w:r>
        <w:rPr>
          <w:rFonts w:hint="eastAsia" w:ascii="宋体" w:hAnsi="宋体" w:cs="宋体"/>
          <w:sz w:val="28"/>
          <w:szCs w:val="28"/>
          <w:highlight w:val="none"/>
        </w:rPr>
        <w:t>5.工程设计石油天燃气（海洋石油）行业油气库专业乙级及以上资质。</w:t>
      </w:r>
    </w:p>
    <w:p>
      <w:pPr>
        <w:wordWrap w:val="0"/>
        <w:spacing w:line="460" w:lineRule="exact"/>
        <w:ind w:firstLineChars="200"/>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（2）加气站工程设计资质，具备其一：</w:t>
      </w:r>
    </w:p>
    <w:p>
      <w:pPr>
        <w:wordWrap w:val="0"/>
        <w:spacing w:line="460" w:lineRule="exact"/>
        <w:ind w:firstLineChars="200"/>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1.工程设计综合资质甲级；</w:t>
      </w:r>
    </w:p>
    <w:p>
      <w:pPr>
        <w:wordWrap w:val="0"/>
        <w:spacing w:line="460" w:lineRule="exact"/>
        <w:ind w:firstLineChars="200"/>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2.工程设计市政公用行业乙级及以上资质；</w:t>
      </w:r>
    </w:p>
    <w:p>
      <w:pPr>
        <w:wordWrap w:val="0"/>
        <w:spacing w:line="460" w:lineRule="exact"/>
        <w:ind w:firstLineChars="200"/>
        <w:rPr>
          <w:rFonts w:hint="eastAsia" w:ascii="宋体" w:hAnsi="宋体" w:cs="宋体"/>
          <w:sz w:val="28"/>
          <w:szCs w:val="28"/>
          <w:highlight w:val="none"/>
        </w:rPr>
      </w:pPr>
      <w:r>
        <w:rPr>
          <w:rFonts w:hint="eastAsia" w:ascii="宋体" w:hAnsi="宋体" w:cs="宋体"/>
          <w:sz w:val="28"/>
          <w:szCs w:val="28"/>
          <w:highlight w:val="none"/>
          <w:lang w:val="en-US" w:eastAsia="zh-CN"/>
        </w:rPr>
        <w:t>3.工程设计市政公用行业城镇燃气工程乙级及以上资质。</w:t>
      </w:r>
    </w:p>
    <w:p>
      <w:pPr>
        <w:wordWrap w:val="0"/>
        <w:spacing w:line="460" w:lineRule="exact"/>
        <w:ind w:firstLineChars="200"/>
        <w:rPr>
          <w:rFonts w:hint="eastAsia" w:ascii="宋体" w:hAnsi="宋体" w:cs="宋体"/>
          <w:sz w:val="28"/>
          <w:szCs w:val="28"/>
          <w:highlight w:val="none"/>
          <w:lang w:val="en-US" w:eastAsia="zh-CN"/>
        </w:rPr>
      </w:pPr>
      <w:r>
        <w:rPr>
          <w:rFonts w:hint="eastAsia" w:ascii="宋体" w:hAnsi="宋体" w:cs="宋体"/>
          <w:sz w:val="28"/>
          <w:szCs w:val="28"/>
          <w:highlight w:val="none"/>
          <w:lang w:val="en-US" w:eastAsia="zh-CN"/>
        </w:rPr>
        <w:t>（三）特种设备许可：</w:t>
      </w:r>
    </w:p>
    <w:p>
      <w:pPr>
        <w:wordWrap w:val="0"/>
        <w:spacing w:line="460" w:lineRule="exact"/>
        <w:ind w:firstLineChars="200"/>
        <w:rPr>
          <w:rFonts w:hint="eastAsia" w:ascii="宋体" w:hAnsi="宋体" w:cs="宋体"/>
          <w:sz w:val="28"/>
          <w:szCs w:val="28"/>
          <w:highlight w:val="none"/>
        </w:rPr>
      </w:pPr>
      <w:r>
        <w:rPr>
          <w:rFonts w:hint="eastAsia" w:ascii="宋体" w:hAnsi="宋体" w:cs="宋体"/>
          <w:sz w:val="28"/>
          <w:szCs w:val="28"/>
          <w:highlight w:val="none"/>
          <w:lang w:val="en-US" w:eastAsia="zh-CN"/>
        </w:rPr>
        <w:t>具备特种设备生产许可证（压力管道设计）或特种设备设计许可证（压力管道），级别包含GB1、GC1、GC2。</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cs="宋体"/>
          <w:sz w:val="28"/>
          <w:szCs w:val="28"/>
          <w:highlight w:val="none"/>
          <w:lang w:val="en-US" w:eastAsia="zh-CN"/>
        </w:rPr>
      </w:pPr>
      <w:r>
        <w:rPr>
          <w:rFonts w:hint="eastAsia" w:ascii="宋体" w:hAnsi="宋体" w:eastAsia="宋体" w:cs="宋体"/>
          <w:sz w:val="28"/>
          <w:szCs w:val="28"/>
          <w:highlight w:val="none"/>
          <w:lang w:val="en-US" w:eastAsia="zh-CN"/>
        </w:rPr>
        <w:t>（</w:t>
      </w:r>
      <w:r>
        <w:rPr>
          <w:rFonts w:hint="eastAsia" w:ascii="宋体" w:hAnsi="宋体" w:cs="宋体"/>
          <w:sz w:val="28"/>
          <w:szCs w:val="28"/>
          <w:highlight w:val="none"/>
          <w:lang w:val="en-US" w:eastAsia="zh-CN"/>
        </w:rPr>
        <w:t>四</w:t>
      </w:r>
      <w:r>
        <w:rPr>
          <w:rFonts w:hint="eastAsia" w:ascii="宋体" w:hAnsi="宋体" w:eastAsia="宋体" w:cs="宋体"/>
          <w:sz w:val="28"/>
          <w:szCs w:val="28"/>
          <w:highlight w:val="none"/>
          <w:lang w:val="en-US" w:eastAsia="zh-CN"/>
        </w:rPr>
        <w:t>）项目</w:t>
      </w:r>
      <w:r>
        <w:rPr>
          <w:rFonts w:hint="eastAsia" w:ascii="宋体" w:hAnsi="宋体" w:cs="宋体"/>
          <w:sz w:val="28"/>
          <w:szCs w:val="28"/>
          <w:highlight w:val="none"/>
          <w:lang w:val="en-US" w:eastAsia="zh-CN"/>
        </w:rPr>
        <w:t>负责人</w:t>
      </w:r>
      <w:r>
        <w:rPr>
          <w:rFonts w:hint="eastAsia" w:ascii="宋体" w:hAnsi="宋体" w:eastAsia="宋体" w:cs="宋体"/>
          <w:sz w:val="28"/>
          <w:szCs w:val="28"/>
          <w:highlight w:val="none"/>
          <w:lang w:val="en-US" w:eastAsia="zh-CN"/>
        </w:rPr>
        <w:t>具备</w:t>
      </w:r>
      <w:r>
        <w:rPr>
          <w:rFonts w:hint="eastAsia" w:ascii="宋体" w:hAnsi="宋体" w:cs="宋体"/>
          <w:sz w:val="28"/>
          <w:szCs w:val="28"/>
          <w:highlight w:val="none"/>
          <w:u w:val="single"/>
          <w:lang w:val="en-US" w:eastAsia="zh-CN"/>
        </w:rPr>
        <w:t>注册化工工程师</w:t>
      </w:r>
      <w:r>
        <w:rPr>
          <w:rFonts w:hint="eastAsia" w:ascii="宋体" w:hAnsi="宋体" w:eastAsia="宋体" w:cs="宋体"/>
          <w:sz w:val="28"/>
          <w:szCs w:val="28"/>
          <w:highlight w:val="none"/>
          <w:lang w:val="en-US" w:eastAsia="zh-CN"/>
        </w:rPr>
        <w:t>执业资格</w:t>
      </w:r>
      <w:r>
        <w:rPr>
          <w:rFonts w:hint="eastAsia" w:ascii="宋体" w:hAnsi="宋体" w:cs="宋体"/>
          <w:sz w:val="28"/>
          <w:szCs w:val="28"/>
          <w:highlight w:val="none"/>
          <w:lang w:val="en-US" w:eastAsia="zh-CN"/>
        </w:rPr>
        <w:t>以及相关专业中级及以上专业技术资格，设计团队中应至少有1人具备注册电气工程师（发输变电）执业资格证书；</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（五）</w:t>
      </w:r>
      <w:r>
        <w:rPr>
          <w:rFonts w:hint="eastAsia" w:ascii="宋体" w:hAnsi="宋体" w:eastAsia="宋体" w:cs="宋体"/>
          <w:sz w:val="28"/>
          <w:szCs w:val="28"/>
          <w:highlight w:val="none"/>
          <w:lang w:val="en-US" w:eastAsia="zh-CN"/>
        </w:rPr>
        <w:t>投标人须提供201</w:t>
      </w:r>
      <w:r>
        <w:rPr>
          <w:rFonts w:hint="eastAsia" w:ascii="宋体" w:hAnsi="宋体" w:cs="宋体"/>
          <w:sz w:val="28"/>
          <w:szCs w:val="28"/>
          <w:highlight w:val="none"/>
          <w:lang w:val="en-US" w:eastAsia="zh-CN"/>
        </w:rPr>
        <w:t>9</w:t>
      </w:r>
      <w:r>
        <w:rPr>
          <w:rFonts w:hint="eastAsia" w:ascii="宋体" w:hAnsi="宋体" w:eastAsia="宋体" w:cs="宋体"/>
          <w:sz w:val="28"/>
          <w:szCs w:val="28"/>
          <w:highlight w:val="none"/>
          <w:lang w:val="en-US" w:eastAsia="zh-CN"/>
        </w:rPr>
        <w:t>年1月1日至今企业类似项目业绩至少2个，企业类似项目业绩是指投标人承担过单项合同金额在40万元及以上的新建</w:t>
      </w:r>
      <w:r>
        <w:rPr>
          <w:rFonts w:hint="eastAsia" w:ascii="宋体" w:hAnsi="宋体" w:cs="宋体"/>
          <w:sz w:val="28"/>
          <w:szCs w:val="28"/>
          <w:highlight w:val="none"/>
          <w:lang w:val="en-US" w:eastAsia="zh-CN"/>
        </w:rPr>
        <w:t>加油站</w:t>
      </w:r>
      <w:r>
        <w:rPr>
          <w:rFonts w:hint="eastAsia" w:ascii="宋体" w:hAnsi="宋体" w:eastAsia="宋体" w:cs="宋体"/>
          <w:sz w:val="28"/>
          <w:szCs w:val="28"/>
          <w:highlight w:val="none"/>
          <w:lang w:val="en-US" w:eastAsia="zh-CN"/>
        </w:rPr>
        <w:t>项目设计</w:t>
      </w:r>
      <w:r>
        <w:rPr>
          <w:rFonts w:hint="eastAsia" w:ascii="宋体" w:hAnsi="宋体" w:cs="宋体"/>
          <w:sz w:val="28"/>
          <w:szCs w:val="28"/>
          <w:highlight w:val="none"/>
          <w:lang w:val="en-US" w:eastAsia="zh-CN"/>
        </w:rPr>
        <w:t>业绩</w:t>
      </w:r>
      <w:r>
        <w:rPr>
          <w:rFonts w:hint="eastAsia" w:ascii="宋体" w:hAnsi="宋体" w:eastAsia="宋体" w:cs="宋体"/>
          <w:sz w:val="28"/>
          <w:szCs w:val="28"/>
          <w:highlight w:val="none"/>
          <w:lang w:val="en-US" w:eastAsia="zh-CN"/>
        </w:rPr>
        <w:t>，业绩时间以</w:t>
      </w:r>
      <w:r>
        <w:rPr>
          <w:rFonts w:hint="eastAsia" w:ascii="宋体" w:hAnsi="宋体" w:cs="宋体"/>
          <w:sz w:val="28"/>
          <w:szCs w:val="28"/>
          <w:highlight w:val="none"/>
          <w:lang w:val="en-US" w:eastAsia="zh-CN"/>
        </w:rPr>
        <w:t>合同签订</w:t>
      </w:r>
      <w:r>
        <w:rPr>
          <w:rFonts w:hint="eastAsia" w:ascii="宋体" w:hAnsi="宋体" w:eastAsia="宋体" w:cs="宋体"/>
          <w:sz w:val="28"/>
          <w:szCs w:val="28"/>
          <w:highlight w:val="none"/>
          <w:lang w:val="en-US" w:eastAsia="zh-CN"/>
        </w:rPr>
        <w:t>时间为准</w:t>
      </w:r>
      <w:r>
        <w:rPr>
          <w:rFonts w:hint="eastAsia" w:ascii="宋体" w:hAnsi="宋体" w:cs="宋体"/>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（六）</w:t>
      </w:r>
      <w:r>
        <w:rPr>
          <w:rFonts w:hint="eastAsia" w:ascii="宋体" w:hAnsi="宋体" w:eastAsia="宋体" w:cs="宋体"/>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注：</w:t>
      </w:r>
      <w:r>
        <w:rPr>
          <w:rFonts w:hint="eastAsia" w:ascii="宋体" w:hAnsi="宋体" w:cs="宋体"/>
          <w:sz w:val="28"/>
          <w:szCs w:val="28"/>
          <w:highlight w:val="none"/>
          <w:lang w:val="en-US" w:eastAsia="zh-CN"/>
        </w:rPr>
        <w:t>以上情形以“信用中国”（www.creditchina.gov.cn）发布的为准，有限制期限的按规定期限执行（以现场查询为准）</w:t>
      </w:r>
      <w:r>
        <w:rPr>
          <w:rFonts w:hint="eastAsia" w:ascii="宋体" w:hAnsi="宋体" w:eastAsia="宋体" w:cs="宋体"/>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（七）</w:t>
      </w:r>
      <w:r>
        <w:rPr>
          <w:rFonts w:hint="eastAsia" w:ascii="宋体" w:hAnsi="宋体" w:eastAsia="宋体" w:cs="宋体"/>
          <w:sz w:val="28"/>
          <w:szCs w:val="28"/>
          <w:highlight w:val="none"/>
          <w:lang w:val="en-US" w:eastAsia="zh-CN"/>
        </w:rPr>
        <w:t>投标人如在以往承接</w:t>
      </w:r>
      <w:r>
        <w:rPr>
          <w:rFonts w:hint="eastAsia" w:ascii="宋体" w:hAnsi="宋体" w:cs="宋体"/>
          <w:sz w:val="28"/>
          <w:szCs w:val="28"/>
          <w:highlight w:val="none"/>
          <w:lang w:val="en-US" w:eastAsia="zh-CN"/>
        </w:rPr>
        <w:t>交控集团及下属企业</w:t>
      </w:r>
      <w:r>
        <w:rPr>
          <w:rFonts w:hint="eastAsia" w:ascii="宋体" w:hAnsi="宋体" w:eastAsia="宋体" w:cs="宋体"/>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cs="宋体"/>
          <w:sz w:val="28"/>
          <w:szCs w:val="28"/>
          <w:highlight w:val="none"/>
          <w:lang w:val="en-US" w:eastAsia="zh-CN"/>
        </w:rPr>
      </w:pPr>
      <w:r>
        <w:rPr>
          <w:rFonts w:hint="eastAsia" w:ascii="宋体" w:hAnsi="宋体" w:eastAsia="宋体" w:cs="宋体"/>
          <w:sz w:val="28"/>
          <w:szCs w:val="28"/>
          <w:highlight w:val="none"/>
          <w:lang w:val="en-US" w:eastAsia="zh-CN"/>
        </w:rPr>
        <w:t>（</w:t>
      </w:r>
      <w:r>
        <w:rPr>
          <w:rFonts w:hint="eastAsia" w:ascii="宋体" w:hAnsi="宋体" w:cs="宋体"/>
          <w:sz w:val="28"/>
          <w:szCs w:val="28"/>
          <w:highlight w:val="none"/>
          <w:lang w:val="en-US" w:eastAsia="zh-CN"/>
        </w:rPr>
        <w:t>八</w:t>
      </w:r>
      <w:r>
        <w:rPr>
          <w:rFonts w:hint="eastAsia" w:ascii="宋体" w:hAnsi="宋体" w:eastAsia="宋体" w:cs="宋体"/>
          <w:sz w:val="28"/>
          <w:szCs w:val="28"/>
          <w:highlight w:val="none"/>
          <w:lang w:val="en-US" w:eastAsia="zh-CN"/>
        </w:rPr>
        <w:t>）本次招标</w:t>
      </w:r>
      <w:r>
        <w:rPr>
          <w:rFonts w:hint="eastAsia" w:ascii="宋体" w:hAnsi="宋体" w:cs="宋体"/>
          <w:sz w:val="28"/>
          <w:szCs w:val="28"/>
          <w:highlight w:val="none"/>
          <w:lang w:val="en-US" w:eastAsia="zh-CN"/>
        </w:rPr>
        <w:t>不</w:t>
      </w:r>
      <w:r>
        <w:rPr>
          <w:rFonts w:hint="eastAsia" w:ascii="宋体" w:hAnsi="宋体" w:cs="宋体"/>
          <w:color w:val="auto"/>
          <w:sz w:val="28"/>
          <w:szCs w:val="28"/>
          <w:highlight w:val="none"/>
          <w:lang w:val="en-US" w:eastAsia="zh-CN"/>
        </w:rPr>
        <w:t>接受</w:t>
      </w:r>
      <w:r>
        <w:rPr>
          <w:rFonts w:hint="eastAsia" w:ascii="宋体" w:hAnsi="宋体" w:eastAsia="宋体" w:cs="宋体"/>
          <w:sz w:val="28"/>
          <w:szCs w:val="28"/>
          <w:highlight w:val="none"/>
          <w:lang w:val="en-US" w:eastAsia="zh-CN"/>
        </w:rPr>
        <w:t>联合体投标</w:t>
      </w:r>
      <w:r>
        <w:rPr>
          <w:rFonts w:hint="eastAsia" w:ascii="宋体" w:hAnsi="宋体" w:cs="宋体"/>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color w:val="000000"/>
          <w:sz w:val="28"/>
          <w:szCs w:val="28"/>
          <w:highlight w:val="none"/>
          <w:lang w:val="en-US" w:eastAsia="zh-CN"/>
        </w:rPr>
        <w:t>（</w:t>
      </w:r>
      <w:r>
        <w:rPr>
          <w:rFonts w:hint="eastAsia" w:ascii="宋体" w:hAnsi="宋体" w:cs="宋体"/>
          <w:color w:val="000000"/>
          <w:sz w:val="28"/>
          <w:szCs w:val="28"/>
          <w:highlight w:val="none"/>
          <w:lang w:val="en-US" w:eastAsia="zh-CN"/>
        </w:rPr>
        <w:t>九</w:t>
      </w:r>
      <w:r>
        <w:rPr>
          <w:rFonts w:hint="eastAsia" w:ascii="宋体" w:hAnsi="宋体" w:eastAsia="宋体" w:cs="宋体"/>
          <w:color w:val="000000"/>
          <w:sz w:val="28"/>
          <w:szCs w:val="28"/>
          <w:highlight w:val="none"/>
          <w:lang w:val="en-US" w:eastAsia="zh-CN"/>
        </w:rPr>
        <w:t>）本项目委托代理人必须是投标单位正式人员，须提供投标单位公司为其缴纳的</w:t>
      </w:r>
      <w:r>
        <w:rPr>
          <w:rFonts w:hint="eastAsia" w:ascii="宋体" w:hAnsi="宋体" w:cs="宋体"/>
          <w:color w:val="000000"/>
          <w:sz w:val="28"/>
          <w:szCs w:val="28"/>
          <w:highlight w:val="none"/>
          <w:lang w:val="en-US" w:eastAsia="zh-CN"/>
        </w:rPr>
        <w:t>2022</w:t>
      </w:r>
      <w:r>
        <w:rPr>
          <w:rFonts w:hint="eastAsia" w:ascii="宋体" w:hAnsi="宋体" w:eastAsia="宋体" w:cs="宋体"/>
          <w:color w:val="FF0000"/>
          <w:sz w:val="28"/>
          <w:szCs w:val="28"/>
          <w:highlight w:val="none"/>
          <w:lang w:val="en-US" w:eastAsia="zh-CN"/>
        </w:rPr>
        <w:t>年</w:t>
      </w:r>
      <w:r>
        <w:rPr>
          <w:rFonts w:hint="eastAsia" w:ascii="宋体" w:hAnsi="宋体" w:cs="宋体"/>
          <w:color w:val="FF0000"/>
          <w:sz w:val="28"/>
          <w:szCs w:val="28"/>
          <w:highlight w:val="none"/>
          <w:lang w:val="en-US" w:eastAsia="zh-CN"/>
        </w:rPr>
        <w:t>10</w:t>
      </w:r>
      <w:r>
        <w:rPr>
          <w:rFonts w:hint="eastAsia" w:ascii="宋体" w:hAnsi="宋体" w:eastAsia="宋体" w:cs="宋体"/>
          <w:color w:val="FF0000"/>
          <w:sz w:val="28"/>
          <w:szCs w:val="28"/>
          <w:highlight w:val="none"/>
          <w:lang w:val="en-US" w:eastAsia="zh-CN"/>
        </w:rPr>
        <w:t>月</w:t>
      </w:r>
      <w:r>
        <w:rPr>
          <w:rFonts w:hint="eastAsia" w:ascii="宋体" w:hAnsi="宋体" w:eastAsia="宋体" w:cs="宋体"/>
          <w:color w:val="000000"/>
          <w:sz w:val="28"/>
          <w:szCs w:val="28"/>
          <w:highlight w:val="none"/>
          <w:lang w:val="en-US" w:eastAsia="zh-CN"/>
        </w:rPr>
        <w:t>起</w:t>
      </w:r>
      <w:r>
        <w:rPr>
          <w:rFonts w:hint="eastAsia" w:ascii="宋体" w:hAnsi="宋体" w:cs="宋体"/>
          <w:color w:val="000000"/>
          <w:sz w:val="28"/>
          <w:szCs w:val="28"/>
          <w:highlight w:val="none"/>
          <w:lang w:val="en-US" w:eastAsia="zh-CN"/>
        </w:rPr>
        <w:t>任意连续三个月</w:t>
      </w:r>
      <w:r>
        <w:rPr>
          <w:rFonts w:hint="eastAsia" w:ascii="宋体" w:hAnsi="宋体" w:eastAsia="宋体" w:cs="宋体"/>
          <w:color w:val="000000"/>
          <w:sz w:val="28"/>
          <w:szCs w:val="28"/>
          <w:highlight w:val="none"/>
          <w:lang w:val="en-US" w:eastAsia="zh-CN"/>
        </w:rPr>
        <w:t>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i w:val="0"/>
          <w:iCs w:val="0"/>
          <w:color w:val="000000"/>
          <w:sz w:val="28"/>
          <w:szCs w:val="28"/>
          <w:highlight w:val="none"/>
          <w:lang w:val="en-US" w:eastAsia="zh-CN"/>
        </w:rPr>
      </w:pPr>
      <w:r>
        <w:rPr>
          <w:rFonts w:hint="eastAsia" w:ascii="宋体" w:hAnsi="宋体" w:eastAsia="宋体" w:cs="宋体"/>
          <w:sz w:val="28"/>
          <w:szCs w:val="28"/>
          <w:highlight w:val="none"/>
          <w:lang w:val="en-US" w:eastAsia="zh-CN"/>
        </w:rPr>
        <w:t>（一）开标时间（投标截止时间）</w:t>
      </w:r>
      <w:r>
        <w:rPr>
          <w:rFonts w:hint="eastAsia" w:ascii="宋体" w:hAnsi="宋体" w:cs="宋体"/>
          <w:sz w:val="28"/>
          <w:szCs w:val="28"/>
          <w:highlight w:val="none"/>
          <w:lang w:val="en-US" w:eastAsia="zh-CN"/>
        </w:rPr>
        <w:t>：</w:t>
      </w:r>
      <w:r>
        <w:rPr>
          <w:rFonts w:hint="eastAsia" w:ascii="宋体" w:hAnsi="宋体" w:cs="宋体"/>
          <w:i w:val="0"/>
          <w:iCs w:val="0"/>
          <w:color w:val="000000"/>
          <w:sz w:val="28"/>
          <w:szCs w:val="28"/>
          <w:highlight w:val="none"/>
          <w:u w:val="single"/>
          <w:lang w:val="en-US" w:eastAsia="zh-CN"/>
        </w:rPr>
        <w:t>2023</w:t>
      </w:r>
      <w:r>
        <w:rPr>
          <w:rFonts w:hint="eastAsia" w:ascii="宋体" w:hAnsi="宋体" w:eastAsia="宋体" w:cs="宋体"/>
          <w:color w:val="000000"/>
          <w:sz w:val="28"/>
          <w:szCs w:val="28"/>
          <w:highlight w:val="none"/>
          <w:lang w:val="en-US" w:eastAsia="zh-CN"/>
        </w:rPr>
        <w:t>年</w:t>
      </w:r>
      <w:r>
        <w:rPr>
          <w:rFonts w:hint="eastAsia" w:ascii="宋体" w:hAnsi="宋体" w:cs="宋体"/>
          <w:color w:val="000000"/>
          <w:sz w:val="28"/>
          <w:szCs w:val="28"/>
          <w:highlight w:val="none"/>
          <w:lang w:val="en-US" w:eastAsia="zh-CN"/>
        </w:rPr>
        <w:t>4</w:t>
      </w:r>
      <w:r>
        <w:rPr>
          <w:rFonts w:hint="eastAsia" w:ascii="宋体" w:hAnsi="宋体" w:eastAsia="宋体" w:cs="宋体"/>
          <w:color w:val="000000"/>
          <w:sz w:val="28"/>
          <w:szCs w:val="28"/>
          <w:highlight w:val="none"/>
          <w:lang w:val="en-US" w:eastAsia="zh-CN"/>
        </w:rPr>
        <w:t>月</w:t>
      </w:r>
      <w:r>
        <w:rPr>
          <w:rFonts w:hint="eastAsia" w:ascii="宋体" w:hAnsi="宋体" w:cs="宋体"/>
          <w:color w:val="000000"/>
          <w:sz w:val="28"/>
          <w:szCs w:val="28"/>
          <w:highlight w:val="none"/>
          <w:lang w:val="en-US" w:eastAsia="zh-CN"/>
        </w:rPr>
        <w:t>27</w:t>
      </w:r>
      <w:r>
        <w:rPr>
          <w:rFonts w:hint="eastAsia" w:ascii="宋体" w:hAnsi="宋体" w:eastAsia="宋体" w:cs="宋体"/>
          <w:color w:val="000000"/>
          <w:sz w:val="28"/>
          <w:szCs w:val="28"/>
          <w:highlight w:val="none"/>
          <w:lang w:val="en-US" w:eastAsia="zh-CN"/>
        </w:rPr>
        <w:t>日</w:t>
      </w:r>
      <w:r>
        <w:rPr>
          <w:rFonts w:hint="eastAsia" w:ascii="宋体" w:hAnsi="宋体" w:cs="宋体"/>
          <w:color w:val="000000"/>
          <w:sz w:val="28"/>
          <w:szCs w:val="28"/>
          <w:highlight w:val="none"/>
          <w:lang w:val="en-US" w:eastAsia="zh-CN"/>
        </w:rPr>
        <w:t>09</w:t>
      </w:r>
      <w:r>
        <w:rPr>
          <w:rFonts w:hint="eastAsia" w:ascii="宋体" w:hAnsi="宋体" w:eastAsia="宋体" w:cs="宋体"/>
          <w:i w:val="0"/>
          <w:iCs w:val="0"/>
          <w:color w:val="000000"/>
          <w:sz w:val="28"/>
          <w:szCs w:val="28"/>
          <w:highlight w:val="none"/>
          <w:u w:val="none"/>
          <w:lang w:val="en-US" w:eastAsia="zh-CN"/>
        </w:rPr>
        <w:t>时</w:t>
      </w:r>
      <w:r>
        <w:rPr>
          <w:rFonts w:hint="eastAsia" w:ascii="宋体" w:hAnsi="宋体" w:cs="宋体"/>
          <w:i w:val="0"/>
          <w:iCs w:val="0"/>
          <w:color w:val="000000"/>
          <w:sz w:val="28"/>
          <w:szCs w:val="28"/>
          <w:highlight w:val="none"/>
          <w:u w:val="none"/>
          <w:lang w:val="en-US" w:eastAsia="zh-CN"/>
        </w:rPr>
        <w:t>00</w:t>
      </w:r>
      <w:r>
        <w:rPr>
          <w:rFonts w:hint="eastAsia" w:ascii="宋体" w:hAnsi="宋体" w:eastAsia="宋体" w:cs="宋体"/>
          <w:i w:val="0"/>
          <w:iCs w:val="0"/>
          <w:color w:val="000000"/>
          <w:sz w:val="28"/>
          <w:szCs w:val="28"/>
          <w:highlight w:val="none"/>
          <w:u w:val="none"/>
          <w:lang w:val="en-US" w:eastAsia="zh-CN"/>
        </w:rPr>
        <w:t>分</w:t>
      </w:r>
      <w:r>
        <w:rPr>
          <w:rFonts w:hint="eastAsia" w:ascii="宋体" w:hAnsi="宋体" w:cs="宋体"/>
          <w:i w:val="0"/>
          <w:iCs w:val="0"/>
          <w:color w:val="000000"/>
          <w:sz w:val="28"/>
          <w:szCs w:val="28"/>
          <w:highlight w:val="none"/>
          <w:u w:val="none"/>
          <w:lang w:val="en-US" w:eastAsia="zh-CN"/>
        </w:rPr>
        <w:t>（北京时间）</w:t>
      </w:r>
      <w:r>
        <w:rPr>
          <w:rFonts w:hint="eastAsia" w:ascii="宋体" w:hAnsi="宋体" w:cs="宋体"/>
          <w:i w:val="0"/>
          <w:iCs w:val="0"/>
          <w:color w:val="000000"/>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cs="宋体"/>
          <w:i w:val="0"/>
          <w:iCs w:val="0"/>
          <w:color w:val="000000"/>
          <w:sz w:val="28"/>
          <w:szCs w:val="28"/>
          <w:highlight w:val="none"/>
          <w:lang w:val="en-US" w:eastAsia="zh-CN"/>
        </w:rPr>
        <w:t>（二）开标</w:t>
      </w:r>
      <w:r>
        <w:rPr>
          <w:rFonts w:hint="eastAsia" w:ascii="宋体" w:hAnsi="宋体" w:eastAsia="宋体" w:cs="宋体"/>
          <w:i w:val="0"/>
          <w:iCs w:val="0"/>
          <w:color w:val="000000"/>
          <w:sz w:val="28"/>
          <w:szCs w:val="28"/>
          <w:highlight w:val="none"/>
          <w:lang w:val="en-US" w:eastAsia="zh-CN"/>
        </w:rPr>
        <w:t>地点</w:t>
      </w:r>
      <w:r>
        <w:rPr>
          <w:rFonts w:hint="eastAsia" w:ascii="宋体" w:hAnsi="宋体" w:cs="宋体"/>
          <w:i w:val="0"/>
          <w:iCs w:val="0"/>
          <w:color w:val="000000"/>
          <w:sz w:val="28"/>
          <w:szCs w:val="28"/>
          <w:highlight w:val="none"/>
          <w:lang w:val="en-US" w:eastAsia="zh-CN"/>
        </w:rPr>
        <w:t>：</w:t>
      </w:r>
      <w:r>
        <w:rPr>
          <w:rFonts w:hint="eastAsia" w:ascii="宋体" w:hAnsi="宋体" w:eastAsia="宋体" w:cs="宋体"/>
          <w:i w:val="0"/>
          <w:iCs w:val="0"/>
          <w:color w:val="000000"/>
          <w:sz w:val="28"/>
          <w:szCs w:val="28"/>
          <w:highlight w:val="none"/>
          <w:u w:val="single"/>
          <w:lang w:val="en-US" w:eastAsia="zh-CN"/>
        </w:rPr>
        <w:t>亳州交通投资控股集团有限公司</w:t>
      </w:r>
      <w:r>
        <w:rPr>
          <w:rFonts w:hint="eastAsia" w:ascii="宋体" w:hAnsi="宋体" w:cs="宋体"/>
          <w:i w:val="0"/>
          <w:iCs w:val="0"/>
          <w:color w:val="000000"/>
          <w:sz w:val="28"/>
          <w:szCs w:val="28"/>
          <w:highlight w:val="none"/>
          <w:u w:val="single"/>
          <w:lang w:val="en-US" w:eastAsia="zh-CN"/>
        </w:rPr>
        <w:t>15</w:t>
      </w:r>
      <w:r>
        <w:rPr>
          <w:rFonts w:hint="eastAsia" w:ascii="宋体" w:hAnsi="宋体" w:eastAsia="宋体" w:cs="宋体"/>
          <w:i w:val="0"/>
          <w:iCs w:val="0"/>
          <w:color w:val="000000"/>
          <w:sz w:val="28"/>
          <w:szCs w:val="28"/>
          <w:highlight w:val="none"/>
          <w:u w:val="single"/>
          <w:lang w:val="en-US" w:eastAsia="zh-CN"/>
        </w:rPr>
        <w:t>楼</w:t>
      </w:r>
      <w:r>
        <w:rPr>
          <w:rFonts w:hint="eastAsia" w:ascii="宋体" w:hAnsi="宋体" w:cs="宋体"/>
          <w:i w:val="0"/>
          <w:iCs w:val="0"/>
          <w:color w:val="000000"/>
          <w:sz w:val="28"/>
          <w:szCs w:val="28"/>
          <w:highlight w:val="none"/>
          <w:u w:val="single"/>
          <w:lang w:val="en-US" w:eastAsia="zh-CN"/>
        </w:rPr>
        <w:t>开标</w:t>
      </w:r>
      <w:r>
        <w:rPr>
          <w:rFonts w:hint="eastAsia" w:ascii="宋体" w:hAnsi="宋体" w:eastAsia="宋体" w:cs="宋体"/>
          <w:i w:val="0"/>
          <w:iCs w:val="0"/>
          <w:color w:val="000000"/>
          <w:sz w:val="28"/>
          <w:szCs w:val="28"/>
          <w:highlight w:val="none"/>
          <w:u w:val="single"/>
          <w:lang w:val="en-US" w:eastAsia="zh-CN"/>
        </w:rPr>
        <w:t>室（药都大道与希夷大道交叉口东北角</w:t>
      </w:r>
      <w:r>
        <w:rPr>
          <w:rFonts w:hint="eastAsia" w:ascii="宋体" w:hAnsi="宋体" w:cs="宋体"/>
          <w:i w:val="0"/>
          <w:iCs w:val="0"/>
          <w:color w:val="000000"/>
          <w:sz w:val="28"/>
          <w:szCs w:val="28"/>
          <w:highlight w:val="none"/>
          <w:u w:val="single"/>
          <w:lang w:val="en-US" w:eastAsia="zh-CN"/>
        </w:rPr>
        <w:t>15</w:t>
      </w:r>
      <w:r>
        <w:rPr>
          <w:rFonts w:hint="eastAsia" w:ascii="宋体" w:hAnsi="宋体" w:eastAsia="宋体" w:cs="宋体"/>
          <w:i w:val="0"/>
          <w:iCs w:val="0"/>
          <w:color w:val="000000"/>
          <w:sz w:val="28"/>
          <w:szCs w:val="28"/>
          <w:highlight w:val="none"/>
          <w:u w:val="single"/>
          <w:lang w:val="en-US" w:eastAsia="zh-CN"/>
        </w:rPr>
        <w:t>楼）</w:t>
      </w:r>
      <w:r>
        <w:rPr>
          <w:rFonts w:hint="eastAsia" w:ascii="宋体" w:hAnsi="宋体" w:cs="宋体"/>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w:t>
      </w:r>
      <w:r>
        <w:rPr>
          <w:rFonts w:hint="eastAsia" w:ascii="宋体" w:hAnsi="宋体" w:cs="宋体"/>
          <w:sz w:val="28"/>
          <w:szCs w:val="28"/>
          <w:highlight w:val="none"/>
          <w:lang w:val="en-US" w:eastAsia="zh-CN"/>
        </w:rPr>
        <w:t>三</w:t>
      </w:r>
      <w:r>
        <w:rPr>
          <w:rFonts w:hint="eastAsia" w:ascii="宋体" w:hAnsi="宋体" w:eastAsia="宋体" w:cs="宋体"/>
          <w:sz w:val="28"/>
          <w:szCs w:val="28"/>
          <w:highlight w:val="none"/>
          <w:lang w:val="en-US" w:eastAsia="zh-CN"/>
        </w:rPr>
        <w:t>）逾期送达的、未送达指定地点的或者不按照招标文件要求密封的投标文件，招标人将予以拒收</w:t>
      </w:r>
      <w:r>
        <w:rPr>
          <w:rFonts w:hint="eastAsia" w:ascii="宋体" w:hAnsi="宋体" w:cs="宋体"/>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cs="宋体"/>
          <w:sz w:val="28"/>
          <w:szCs w:val="28"/>
          <w:highlight w:val="none"/>
          <w:lang w:val="en-US" w:eastAsia="zh-CN"/>
        </w:rPr>
        <w:t>（四）</w:t>
      </w:r>
      <w:r>
        <w:rPr>
          <w:rFonts w:hint="default" w:ascii="宋体" w:hAnsi="宋体" w:eastAsia="宋体" w:cs="宋体"/>
          <w:sz w:val="28"/>
          <w:szCs w:val="28"/>
          <w:highlight w:val="none"/>
          <w:lang w:val="en-US" w:eastAsia="zh-CN"/>
        </w:rPr>
        <w:t>本次招标</w:t>
      </w:r>
      <w:r>
        <w:rPr>
          <w:rFonts w:hint="eastAsia" w:ascii="宋体" w:hAnsi="宋体" w:cs="宋体"/>
          <w:color w:val="FF0000"/>
          <w:sz w:val="28"/>
          <w:szCs w:val="28"/>
          <w:highlight w:val="none"/>
          <w:lang w:val="en-US" w:eastAsia="zh-CN"/>
        </w:rPr>
        <w:t>不允许</w:t>
      </w:r>
      <w:r>
        <w:rPr>
          <w:rFonts w:hint="default" w:ascii="宋体" w:hAnsi="宋体" w:eastAsia="宋体" w:cs="宋体"/>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宋体" w:hAnsi="宋体" w:eastAsia="宋体" w:cs="宋体"/>
          <w:sz w:val="28"/>
          <w:szCs w:val="28"/>
          <w:highlight w:val="none"/>
          <w:lang w:val="en-US" w:eastAsia="zh-CN"/>
        </w:rPr>
        <w:t>本项目投标保证金：</w:t>
      </w:r>
      <w:r>
        <w:rPr>
          <w:rFonts w:hint="eastAsia" w:ascii="宋体" w:hAnsi="宋体" w:cs="宋体"/>
          <w:sz w:val="28"/>
          <w:szCs w:val="28"/>
          <w:highlight w:val="none"/>
          <w:u w:val="single"/>
          <w:lang w:val="en-US" w:eastAsia="zh-CN"/>
        </w:rPr>
        <w:t>壹万元整</w:t>
      </w:r>
      <w:r>
        <w:rPr>
          <w:rFonts w:hint="default" w:ascii="宋体" w:hAnsi="宋体" w:eastAsia="宋体" w:cs="宋体"/>
          <w:sz w:val="28"/>
          <w:szCs w:val="28"/>
          <w:highlight w:val="none"/>
          <w:lang w:val="en-US" w:eastAsia="zh-CN"/>
        </w:rPr>
        <w:t>人民币，缴纳方式详见招标文件。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招</w:t>
      </w:r>
      <w:r>
        <w:rPr>
          <w:rFonts w:hint="eastAsia" w:ascii="宋体" w:hAnsi="宋体" w:eastAsia="宋体" w:cs="宋体"/>
          <w:sz w:val="28"/>
          <w:szCs w:val="28"/>
          <w:highlight w:val="none"/>
          <w:lang w:val="en-US" w:eastAsia="zh-CN"/>
        </w:rPr>
        <w:t xml:space="preserve"> </w:t>
      </w:r>
      <w:r>
        <w:rPr>
          <w:rFonts w:hint="default" w:ascii="宋体" w:hAnsi="宋体" w:eastAsia="宋体" w:cs="宋体"/>
          <w:sz w:val="28"/>
          <w:szCs w:val="28"/>
          <w:highlight w:val="none"/>
          <w:lang w:val="en-US" w:eastAsia="zh-CN"/>
        </w:rPr>
        <w:t>标</w:t>
      </w:r>
      <w:r>
        <w:rPr>
          <w:rFonts w:hint="eastAsia" w:ascii="宋体" w:hAnsi="宋体" w:eastAsia="宋体" w:cs="宋体"/>
          <w:sz w:val="28"/>
          <w:szCs w:val="28"/>
          <w:highlight w:val="none"/>
          <w:lang w:val="en-US" w:eastAsia="zh-CN"/>
        </w:rPr>
        <w:t xml:space="preserve"> </w:t>
      </w:r>
      <w:r>
        <w:rPr>
          <w:rFonts w:hint="default" w:ascii="宋体" w:hAnsi="宋体" w:eastAsia="宋体" w:cs="宋体"/>
          <w:sz w:val="28"/>
          <w:szCs w:val="28"/>
          <w:highlight w:val="none"/>
          <w:lang w:val="en-US" w:eastAsia="zh-CN"/>
        </w:rPr>
        <w:t>人：</w:t>
      </w:r>
      <w:r>
        <w:rPr>
          <w:rFonts w:hint="eastAsia" w:asciiTheme="minorEastAsia" w:hAnsiTheme="minorEastAsia" w:cstheme="minorEastAsia"/>
          <w:sz w:val="28"/>
          <w:szCs w:val="28"/>
          <w:highlight w:val="none"/>
          <w:lang w:val="en-US" w:eastAsia="zh-CN"/>
        </w:rPr>
        <w:t>安徽交赢新能源有限公司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地</w:t>
      </w:r>
      <w:r>
        <w:rPr>
          <w:rFonts w:hint="eastAsia" w:ascii="宋体" w:hAnsi="宋体" w:eastAsia="宋体" w:cs="宋体"/>
          <w:sz w:val="28"/>
          <w:szCs w:val="28"/>
          <w:highlight w:val="none"/>
          <w:lang w:val="en-US" w:eastAsia="zh-CN"/>
        </w:rPr>
        <w:t xml:space="preserve">    </w:t>
      </w:r>
      <w:r>
        <w:rPr>
          <w:rFonts w:hint="default" w:ascii="宋体" w:hAnsi="宋体" w:eastAsia="宋体" w:cs="宋体"/>
          <w:sz w:val="28"/>
          <w:szCs w:val="28"/>
          <w:highlight w:val="none"/>
          <w:lang w:val="en-US" w:eastAsia="zh-CN"/>
        </w:rPr>
        <w:t>址：</w:t>
      </w:r>
      <w:r>
        <w:rPr>
          <w:rFonts w:hint="eastAsia" w:ascii="宋体" w:hAnsi="宋体" w:cs="宋体"/>
          <w:sz w:val="28"/>
          <w:szCs w:val="28"/>
          <w:highlight w:val="none"/>
          <w:lang w:val="en-US" w:eastAsia="zh-CN"/>
        </w:rPr>
        <w:t>亳州市汽车南站西办公楼二楼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default" w:ascii="宋体" w:hAnsi="宋体" w:eastAsia="宋体" w:cs="宋体"/>
          <w:sz w:val="28"/>
          <w:szCs w:val="28"/>
          <w:highlight w:val="none"/>
          <w:lang w:val="en-US" w:eastAsia="zh-CN"/>
        </w:rPr>
        <w:t>联</w:t>
      </w:r>
      <w:r>
        <w:rPr>
          <w:rFonts w:hint="eastAsia" w:ascii="宋体" w:hAnsi="宋体" w:eastAsia="宋体" w:cs="宋体"/>
          <w:sz w:val="28"/>
          <w:szCs w:val="28"/>
          <w:highlight w:val="none"/>
          <w:lang w:val="en-US" w:eastAsia="zh-CN"/>
        </w:rPr>
        <w:t xml:space="preserve"> </w:t>
      </w:r>
      <w:r>
        <w:rPr>
          <w:rFonts w:hint="default" w:ascii="宋体" w:hAnsi="宋体" w:eastAsia="宋体" w:cs="宋体"/>
          <w:sz w:val="28"/>
          <w:szCs w:val="28"/>
          <w:highlight w:val="none"/>
          <w:lang w:val="en-US" w:eastAsia="zh-CN"/>
        </w:rPr>
        <w:t>系</w:t>
      </w:r>
      <w:r>
        <w:rPr>
          <w:rFonts w:hint="eastAsia" w:ascii="宋体" w:hAnsi="宋体" w:eastAsia="宋体" w:cs="宋体"/>
          <w:sz w:val="28"/>
          <w:szCs w:val="28"/>
          <w:highlight w:val="none"/>
          <w:lang w:val="en-US" w:eastAsia="zh-CN"/>
        </w:rPr>
        <w:t xml:space="preserve"> </w:t>
      </w:r>
      <w:r>
        <w:rPr>
          <w:rFonts w:hint="default" w:ascii="宋体" w:hAnsi="宋体" w:eastAsia="宋体" w:cs="宋体"/>
          <w:sz w:val="28"/>
          <w:szCs w:val="28"/>
          <w:highlight w:val="none"/>
          <w:lang w:val="en-US" w:eastAsia="zh-CN"/>
        </w:rPr>
        <w:t>人：</w:t>
      </w:r>
      <w:r>
        <w:rPr>
          <w:rFonts w:hint="eastAsia" w:ascii="宋体" w:hAnsi="宋体" w:cs="宋体"/>
          <w:sz w:val="28"/>
          <w:szCs w:val="28"/>
          <w:highlight w:val="none"/>
          <w:lang w:val="en-US" w:eastAsia="zh-CN"/>
        </w:rPr>
        <w:t>梁炜</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电    话</w:t>
      </w:r>
      <w:r>
        <w:rPr>
          <w:rFonts w:hint="default" w:ascii="宋体" w:hAnsi="宋体" w:eastAsia="宋体" w:cs="宋体"/>
          <w:sz w:val="28"/>
          <w:szCs w:val="28"/>
          <w:highlight w:val="none"/>
          <w:lang w:val="en-US" w:eastAsia="zh-CN"/>
        </w:rPr>
        <w:t>：</w:t>
      </w:r>
      <w:r>
        <w:rPr>
          <w:rFonts w:hint="eastAsia" w:ascii="宋体" w:hAnsi="宋体" w:cs="宋体"/>
          <w:sz w:val="28"/>
          <w:szCs w:val="28"/>
          <w:highlight w:val="none"/>
          <w:lang w:val="en-US" w:eastAsia="zh-CN"/>
        </w:rPr>
        <w:t>13309670999</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宋体" w:hAnsi="宋体" w:eastAsia="宋体" w:cs="宋体"/>
          <w:color w:val="FF0000"/>
          <w:sz w:val="28"/>
          <w:szCs w:val="28"/>
          <w:highlight w:val="none"/>
          <w:lang w:val="en-US" w:eastAsia="zh-CN"/>
        </w:rPr>
      </w:pPr>
      <w:r>
        <w:rPr>
          <w:rFonts w:hint="eastAsia" w:ascii="宋体" w:hAnsi="宋体" w:eastAsia="宋体" w:cs="宋体"/>
          <w:sz w:val="28"/>
          <w:szCs w:val="28"/>
          <w:highlight w:val="none"/>
          <w:lang w:val="en-US" w:eastAsia="zh-CN"/>
        </w:rPr>
        <w:t xml:space="preserve">    </w:t>
      </w:r>
      <w:r>
        <w:rPr>
          <w:rFonts w:hint="eastAsia" w:ascii="宋体" w:hAnsi="宋体" w:eastAsia="宋体" w:cs="宋体"/>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安徽交赢新能源有限公司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宋体" w:hAnsi="宋体" w:cs="宋体"/>
          <w:color w:val="FF0000"/>
          <w:sz w:val="28"/>
          <w:szCs w:val="28"/>
          <w:highlight w:val="none"/>
          <w:lang w:val="en-US" w:eastAsia="zh-CN"/>
        </w:rPr>
        <w:t>2023</w:t>
      </w:r>
      <w:r>
        <w:rPr>
          <w:rFonts w:hint="eastAsia" w:ascii="宋体" w:hAnsi="宋体" w:eastAsia="宋体" w:cs="宋体"/>
          <w:color w:val="FF0000"/>
          <w:sz w:val="28"/>
          <w:szCs w:val="28"/>
          <w:highlight w:val="none"/>
          <w:lang w:val="en-US" w:eastAsia="zh-CN"/>
        </w:rPr>
        <w:t>年</w:t>
      </w:r>
      <w:r>
        <w:rPr>
          <w:rFonts w:hint="eastAsia" w:ascii="宋体" w:hAnsi="宋体" w:cs="宋体"/>
          <w:color w:val="FF0000"/>
          <w:sz w:val="28"/>
          <w:szCs w:val="28"/>
          <w:highlight w:val="none"/>
          <w:lang w:val="en-US" w:eastAsia="zh-CN"/>
        </w:rPr>
        <w:t>4</w:t>
      </w:r>
      <w:r>
        <w:rPr>
          <w:rFonts w:hint="eastAsia" w:ascii="宋体" w:hAnsi="宋体" w:eastAsia="宋体" w:cs="宋体"/>
          <w:color w:val="FF0000"/>
          <w:sz w:val="28"/>
          <w:szCs w:val="28"/>
          <w:highlight w:val="none"/>
          <w:lang w:val="en-US" w:eastAsia="zh-CN"/>
        </w:rPr>
        <w:t>月</w:t>
      </w:r>
      <w:r>
        <w:rPr>
          <w:rFonts w:hint="eastAsia" w:ascii="宋体" w:hAnsi="宋体" w:cs="宋体"/>
          <w:color w:val="FF0000"/>
          <w:sz w:val="28"/>
          <w:szCs w:val="28"/>
          <w:highlight w:val="none"/>
          <w:lang w:val="en-US" w:eastAsia="zh-CN"/>
        </w:rPr>
        <w:t>19</w:t>
      </w:r>
      <w:r>
        <w:rPr>
          <w:rFonts w:hint="eastAsia" w:ascii="宋体" w:hAnsi="宋体" w:eastAsia="宋体" w:cs="宋体"/>
          <w:color w:val="FF0000"/>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default" w:ascii="宋体" w:hAnsi="宋体" w:eastAsia="宋体" w:cs="宋体"/>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宋体"/>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pStyle w:val="8"/>
              <w:topLinePunct/>
              <w:spacing w:line="440" w:lineRule="exact"/>
              <w:ind w:firstLine="420" w:firstLineChars="200"/>
              <w:rPr>
                <w:rFonts w:hint="default" w:ascii="Times New Roman" w:hAnsi="Times New Roman" w:cs="Times New Roman"/>
                <w:szCs w:val="21"/>
                <w:highlight w:val="none"/>
              </w:rPr>
            </w:pPr>
            <w:r>
              <w:rPr>
                <w:rFonts w:hint="eastAsia" w:hAnsi="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r>
              <w:rPr>
                <w:rFonts w:hint="eastAsia" w:hAnsi="宋体"/>
                <w:sz w:val="21"/>
                <w:szCs w:val="21"/>
                <w:lang w:val="en-US" w:eastAsia="zh-CN"/>
              </w:rPr>
              <w:t xml:space="preserve">详见第一章招标公告。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宋体"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eastAsia="宋体"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 xml:space="preserve">分包内容要求：设计主体不允许分包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kern w:val="2"/>
                <w:sz w:val="21"/>
                <w:szCs w:val="21"/>
                <w:highlight w:val="none"/>
                <w:lang w:val="en-US" w:eastAsia="zh-CN" w:bidi="ar-SA"/>
              </w:rPr>
              <w:t>详见招标文件第一章招标公告、第四章合同格式及条款、第五章发包人要求。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招标文件的澄清在亳州交通投资控股集团有限公司官网（www.bzjkjt.com）上的发布时间，视为投标人确认收到招标文件澄清的时间。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在亳州交通投资控股集团有限公司官网（www.bzjkjt.com）上的发布时间，视为投标人确认收到招标文件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eastAsia="宋体" w:cs="Times New Roman"/>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kern w:val="2"/>
                <w:sz w:val="21"/>
                <w:szCs w:val="21"/>
                <w:highlight w:val="none"/>
                <w:u w:val="single"/>
                <w:lang w:val="en-US" w:eastAsia="zh-CN" w:bidi="ar-SA"/>
              </w:rPr>
            </w:pPr>
            <w:r>
              <w:rPr>
                <w:rFonts w:hint="eastAsia" w:ascii="Times New Roman" w:hAnsi="Times New Roman" w:cs="Times New Roman"/>
                <w:kern w:val="2"/>
                <w:sz w:val="21"/>
                <w:szCs w:val="21"/>
                <w:highlight w:val="none"/>
                <w:u w:val="single"/>
                <w:lang w:val="en-US" w:eastAsia="zh-CN" w:bidi="ar-SA"/>
              </w:rPr>
              <w:t xml:space="preserve"> </w:t>
            </w:r>
            <w:r>
              <w:rPr>
                <w:rFonts w:hint="eastAsia"/>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eastAsia="宋体" w:cs="Times New Roman"/>
                <w:color w:val="FF0000"/>
                <w:szCs w:val="21"/>
                <w:highlight w:val="none"/>
                <w:lang w:eastAsia="zh-CN"/>
              </w:rPr>
            </w:pPr>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r>
              <w:rPr>
                <w:rFonts w:hint="default" w:ascii="Times New Roman" w:hAnsi="Times New Roman" w:cs="Times New Roman"/>
                <w:color w:val="FF0000"/>
                <w:szCs w:val="21"/>
                <w:highlight w:val="none"/>
              </w:rPr>
              <w:t>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color w:val="auto"/>
                <w:szCs w:val="21"/>
                <w:highlight w:val="none"/>
                <w:u w:val="single"/>
                <w:lang w:val="en-US" w:eastAsia="zh-CN"/>
              </w:rPr>
              <w:t>壹万元整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BZJK-2023-013号保证金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FE"/>
            </w:r>
            <w:r>
              <w:rPr>
                <w:rFonts w:hint="eastAsia" w:ascii="宋体" w:hAnsi="宋体" w:cs="宋体"/>
                <w:color w:val="FF0000"/>
                <w:szCs w:val="21"/>
                <w:highlight w:val="none"/>
                <w:lang w:val="en-US" w:eastAsia="zh-CN"/>
              </w:rPr>
              <w:t xml:space="preserve">不允许         </w:t>
            </w:r>
            <w:r>
              <w:rPr>
                <w:rFonts w:hint="default" w:ascii="Times New Roman" w:hAnsi="Times New Roman" w:eastAsia="仿宋_GB2312" w:cs="Times New Roman"/>
                <w:color w:val="FF0000"/>
                <w:sz w:val="24"/>
                <w:szCs w:val="24"/>
                <w:lang w:val="en-US" w:eastAsia="zh-CN"/>
              </w:rPr>
              <w:sym w:font="Wingdings" w:char="00A8"/>
            </w:r>
            <w:r>
              <w:rPr>
                <w:rFonts w:hint="eastAsia" w:ascii="宋体" w:hAnsi="宋体" w:cs="宋体"/>
                <w:color w:val="FF0000"/>
                <w:szCs w:val="21"/>
                <w:highlight w:val="none"/>
                <w:lang w:val="en-US" w:eastAsia="zh-CN"/>
              </w:rPr>
              <w:t xml:space="preserve">允许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A8"/>
            </w:r>
            <w:r>
              <w:rPr>
                <w:rFonts w:hint="eastAsia" w:ascii="宋体" w:hAnsi="宋体" w:cs="宋体"/>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宋体" w:hAnsi="宋体" w:cs="宋体"/>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宋体" w:hAnsi="宋体" w:cs="宋体"/>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宋体" w:hAnsi="宋体" w:cs="宋体"/>
                <w:color w:val="FF0000"/>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宋体" w:hAnsi="宋体" w:cs="宋体"/>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宋体" w:hAnsi="宋体" w:cs="宋体"/>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宋体" w:hAnsi="宋体" w:cs="宋体"/>
                <w:color w:val="FF0000"/>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开标地址：</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eastAsia="宋体" w:cs="Times New Roman"/>
                <w:sz w:val="21"/>
                <w:szCs w:val="21"/>
                <w:highlight w:val="none"/>
                <w:u w:val="none"/>
                <w:lang w:val="en-US" w:eastAsia="zh-CN"/>
              </w:rPr>
              <w:t>文采路综合能源服务站建设项目设计及全过程工程咨询服务</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013</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color w:val="auto"/>
                <w:szCs w:val="21"/>
                <w:highlight w:val="none"/>
              </w:rPr>
              <w:t>公示媒介：</w:t>
            </w:r>
            <w:r>
              <w:rPr>
                <w:rFonts w:hint="default" w:ascii="Times New Roman" w:hAnsi="Times New Roman" w:cs="Times New Roman"/>
                <w:szCs w:val="21"/>
                <w:highlight w:val="none"/>
                <w:lang w:val="en-US" w:eastAsia="zh-CN"/>
              </w:rPr>
              <w:t>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宋体" w:cs="Times New Roman"/>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中标价款的10%</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投标人须知正文部分直接引用国家发改委等九部委于2017年9月4日联合印发的《中华人民共和国标准设计招标文件》（2017年版）。</w:t>
      </w:r>
    </w:p>
    <w:p>
      <w:pPr>
        <w:rPr>
          <w:rFonts w:hint="default" w:ascii="宋体" w:hAnsi="宋体" w:eastAsia="宋体" w:cs="宋体"/>
          <w:b/>
          <w:bCs/>
          <w:sz w:val="32"/>
          <w:szCs w:val="32"/>
          <w:highlight w:val="none"/>
          <w:lang w:val="en-US" w:eastAsia="zh-CN"/>
        </w:rPr>
      </w:pPr>
      <w:r>
        <w:rPr>
          <w:rFonts w:hint="default" w:ascii="宋体" w:hAnsi="宋体" w:eastAsia="宋体" w:cs="宋体"/>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default" w:ascii="宋体" w:hAnsi="宋体" w:eastAsia="宋体" w:cs="宋体"/>
          <w:b/>
          <w:bCs/>
          <w:sz w:val="32"/>
          <w:szCs w:val="32"/>
          <w:highlight w:val="none"/>
          <w:lang w:val="en-US" w:eastAsia="zh-CN"/>
        </w:rPr>
        <w:t>第三章 评标办法</w:t>
      </w:r>
      <w:r>
        <w:rPr>
          <w:rFonts w:hint="eastAsia" w:ascii="宋体" w:hAnsi="宋体" w:eastAsia="宋体" w:cs="宋体"/>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宋体" w:hAnsi="宋体" w:eastAsia="宋体" w:cs="宋体"/>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kern w:val="0"/>
                <w:sz w:val="24"/>
                <w:szCs w:val="24"/>
                <w:highlight w:val="none"/>
              </w:rPr>
            </w:pPr>
            <w:r>
              <w:rPr>
                <w:rFonts w:hint="default" w:ascii="Times New Roman" w:hAnsi="Times New Roman" w:eastAsia="宋体" w:cs="Times New Roman"/>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eastAsia="宋体" w:cs="Times New Roman"/>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eastAsia="宋体" w:cs="Times New Roman"/>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rPr>
              <w:t>符合</w:t>
            </w:r>
            <w:r>
              <w:rPr>
                <w:rFonts w:hint="default" w:ascii="Times New Roman" w:hAnsi="Times New Roman" w:eastAsia="宋体" w:cs="Times New Roman"/>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eastAsia="宋体" w:cs="Times New Roman"/>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eastAsia="宋体" w:cs="Times New Roman"/>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eastAsia="宋体" w:cs="Times New Roman"/>
                <w:kern w:val="0"/>
                <w:sz w:val="24"/>
                <w:szCs w:val="24"/>
                <w:highlight w:val="none"/>
                <w:lang w:eastAsia="zh-CN"/>
              </w:rPr>
            </w:pPr>
            <w:r>
              <w:rPr>
                <w:rFonts w:hint="default" w:ascii="Times New Roman" w:hAnsi="Times New Roman" w:eastAsia="宋体" w:cs="Times New Roman"/>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eastAsia="宋体" w:cs="Times New Roman"/>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bCs/>
                <w:kern w:val="0"/>
                <w:sz w:val="24"/>
                <w:szCs w:val="24"/>
                <w:highlight w:val="none"/>
                <w:lang w:val="en-US" w:eastAsia="zh-CN"/>
              </w:rPr>
            </w:pPr>
            <w:bookmarkStart w:id="16" w:name="_Toc152045589"/>
            <w:bookmarkStart w:id="17" w:name="_Toc152042366"/>
            <w:bookmarkStart w:id="18" w:name="_Toc247085747"/>
            <w:bookmarkStart w:id="19" w:name="_Toc246996232"/>
            <w:bookmarkStart w:id="20" w:name="_Toc246996975"/>
            <w:bookmarkStart w:id="21" w:name="_Toc296602477"/>
            <w:bookmarkStart w:id="22" w:name="_Toc179632607"/>
            <w:bookmarkStart w:id="23" w:name="_Toc14497455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eastAsia="宋体" w:cs="Times New Roman"/>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eastAsia="宋体" w:cs="Times New Roman"/>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eastAsia="宋体" w:cs="Times New Roman"/>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eastAsia="宋体" w:cs="Times New Roman"/>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30  </w:t>
            </w:r>
            <w:r>
              <w:rPr>
                <w:rFonts w:hint="default" w:ascii="Times New Roman" w:hAnsi="Times New Roman" w:eastAsia="宋体" w:cs="Times New Roman"/>
                <w:color w:val="auto"/>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1"/>
                <w:numId w:val="0"/>
              </w:numPr>
              <w:kinsoku/>
              <w:wordWrap w:val="0"/>
              <w:overflowPunct/>
              <w:topLinePunct w:val="0"/>
              <w:autoSpaceDE/>
              <w:autoSpaceDN/>
              <w:bidi w:val="0"/>
              <w:adjustRightInd/>
              <w:snapToGrid/>
              <w:spacing w:line="400" w:lineRule="exact"/>
              <w:jc w:val="left"/>
              <w:textAlignment w:val="auto"/>
              <w:rPr>
                <w:rFonts w:hint="default" w:ascii="Times New Roman" w:hAnsi="Times New Roman" w:eastAsia="宋体" w:cs="Times New Roman"/>
                <w:i w:val="0"/>
                <w:iCs w:val="0"/>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取所有有效投标人报价的算术平均数作为评标基准价。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eastAsia="宋体"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资信业绩评分标准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 xml:space="preserve"> 企业实力    </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1.投标人具备中国工程咨询协会颁发的在有效期内的《工程咨询单位甲级资信证书》，资信类别为专业资信或综合资信，业务包含石化、化工。得2分；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2.投标人具有经中国国家认证认可监督管理委员会认证机构颁发的ISO9001质量管理体系认证证书、ISO14001环境管理体系认证证书以及ISO45001职业健康安全管理体系认证证书的，每提供1项得1分，满分3分。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3.投标人近五年内（2019年1月1日至今）获得省级及以上勘察设计奖项的，每项得1分，最多得3分；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lang w:val="en-US" w:eastAsia="zh-CN"/>
              </w:rPr>
            </w:pPr>
            <w:r>
              <w:rPr>
                <w:rFonts w:hint="eastAsia" w:ascii="Times New Roman" w:hAnsi="Times New Roman" w:cs="Times New Roman"/>
                <w:kern w:val="0"/>
                <w:sz w:val="24"/>
                <w:szCs w:val="24"/>
                <w:highlight w:val="none"/>
                <w:lang w:val="en-US" w:eastAsia="zh-CN"/>
              </w:rPr>
              <w:t>4.投标人拟派项目负责人具备石化、化工相关专业高级专业技术资格证书的得2分。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color w:val="FF0000"/>
                <w:kern w:val="0"/>
                <w:sz w:val="24"/>
                <w:szCs w:val="24"/>
                <w:highlight w:val="yellow"/>
                <w:lang w:val="en-US" w:eastAsia="zh-CN" w:bidi="ar-SA"/>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kern w:val="0"/>
                <w:sz w:val="24"/>
                <w:highlight w:val="none"/>
              </w:rPr>
              <w:t>除招标公告投标人资格要求规定的业绩外</w:t>
            </w:r>
            <w:r>
              <w:rPr>
                <w:rFonts w:hint="eastAsia" w:ascii="Times New Roman" w:hAnsi="Times New Roman"/>
                <w:kern w:val="0"/>
                <w:sz w:val="24"/>
                <w:highlight w:val="none"/>
                <w:lang w:eastAsia="zh-CN"/>
              </w:rPr>
              <w:t>，</w:t>
            </w:r>
            <w:r>
              <w:rPr>
                <w:rFonts w:hint="eastAsia" w:ascii="Times New Roman" w:hAnsi="Times New Roman" w:cs="Times New Roman"/>
                <w:kern w:val="0"/>
                <w:sz w:val="24"/>
                <w:szCs w:val="24"/>
                <w:highlight w:val="none"/>
                <w:lang w:val="en-US" w:eastAsia="zh-CN"/>
              </w:rPr>
              <w:t>自2019年1月1日至开标截止之日，投标人承担过加油（气）站或油库类或新能源（电、氢等）项目的施工图设计业绩，每多提供一项得2分，最高得10分。</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（1）提供合同原件扫描件并加盖公章，时间以合同的签订时间为准；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eastAsia" w:ascii="Times New Roman" w:hAnsi="Times New Roman" w:eastAsia="宋体" w:cs="Times New Roman"/>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（2）同一项目只计分一次。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项目组人员配备</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项目组人员配备：工艺、建筑、结构、电气、造价专业负责人各1人，且各专业负责人具有相应高级及以上的职称，每提供一个得2分，满分10分。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注：同一人不可担任多个岗位，相同证书不重复计分。须在投标文件中附证书扫描件并加盖公章。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w:t>
            </w:r>
            <w:r>
              <w:rPr>
                <w:rFonts w:hint="eastAsia"/>
                <w:lang w:val="en-US" w:eastAsia="zh-CN"/>
              </w:rPr>
              <w:t>40</w:t>
            </w:r>
            <w:r>
              <w:rPr>
                <w:rFonts w:hint="eastAsia" w:ascii="Times New Roman" w:hAnsi="Times New Roman" w:cs="Times New Roman"/>
                <w:i/>
                <w:iCs/>
                <w:color w:val="FF0000"/>
                <w:kern w:val="0"/>
                <w:sz w:val="24"/>
                <w:szCs w:val="24"/>
                <w:highlight w:val="none"/>
                <w:u w:val="single"/>
                <w:lang w:val="en-US" w:eastAsia="zh-CN"/>
              </w:rPr>
              <w:t xml:space="preserve">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现场方案陈述</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投标人自行对本项目进行踏勘，编制设计方案，并形成汇报材料，现场陈述，时间控制在五分钟之内。</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优秀的得7＜F≤10分；良好的得4＜F≤7分；一般的得0＜F≤4分，差得0分。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投标人对项目认识、设计思路、对工作主要内容的理解</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投标人对本项目认识、现状情况、相关规划的理解是否到位，工作主要内容、设计思路是否清晰透彻</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优秀的得7＜F≤10分；良好的得4＜F≤7分；一般的得0＜F≤4分，差得0分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设计全过程工作的质量保证措施</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质量、分工、职责明确，不同专业协调有序；制定向招标人提供优质服务的组织保证措施；评审制度完整，设计期间遇到的问题，能及时解决、保障措施强等。</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优秀的得3＜F≤5分；良好的得1＜F≤3分；一般的得0＜F≤2分，差得0分。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项目进度计划安排、关键问题的认识及其对策措施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对本项目设计进度计划、关键点、难点认识；保证措施是否科学、可靠；对本工程设计提出的合理化建议是否可行。</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优秀的得3＜F≤5分；良好的得1＜F≤3分；一般的得0＜F≤1分，差得0分。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设计造价控制措施</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投标人对本项目进行投资分析，根据地块性质、位置及相关规划，保障工程总投资概算准确、合理，节约工程总投资的措施及理由合理、可信、可行。</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优秀的得4＜F≤5分；良好的得2＜F≤4分；一般的得0＜F≤2分，差得0分。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后续服务方案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至少应包含以下四项内容：①工可、相关专题服务、规划建筑设计方案、初步设计及施工图设计等要求在招标人规定时间内完成，各类技术审查会及图纸审查机构审查确保通过；②项目负责人在关键节点必须到场；③项目组各专业人员在招标人需要时提供驻场服务；④中标后，如不能按承诺书的条款履行合同，接受包括但不限于被没收履约保证金和终止合同等一切后果。</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满足以上内容的得基础分2分。根据投标人后续服务安排及措施的其他内容酌情予以加分，本项满分5分。未作出承诺或承诺中不含以上四点，本小项作0分处理。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取所有有效投标人报价的算术平均数作为评标基准价。</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企业报价等于评标基准价的得满分；投标企业报价与评标基准价相比，每高于评标基准价1%扣1分，每低于评标基准价1%扣0.5分，扣完为止。四舍五入计算得分（得分保留小数点后面两位，第三位四舍五入）。偏差率取正数 ×（投标人报价－评标基准价）/评标基准价</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宋体" w:cs="Times New Roman"/>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eastAsia="宋体" w:cs="Times New Roman"/>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br w:type="page"/>
      </w:r>
    </w:p>
    <w:p>
      <w:pPr>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bookmarkStart w:id="24" w:name="_Toc246996976"/>
      <w:bookmarkStart w:id="25" w:name="_Toc246996233"/>
      <w:bookmarkStart w:id="26" w:name="_Toc296602478"/>
      <w:bookmarkStart w:id="27" w:name="_Toc179632608"/>
      <w:bookmarkStart w:id="28" w:name="_Toc152042367"/>
      <w:bookmarkStart w:id="29" w:name="_Toc144974557"/>
      <w:bookmarkStart w:id="30" w:name="_Toc247085748"/>
      <w:bookmarkStart w:id="31" w:name="_Toc152045590"/>
      <w:r>
        <w:rPr>
          <w:rFonts w:hint="default" w:ascii="Times New Roman" w:hAnsi="Times New Roman" w:eastAsia="宋体" w:cs="Times New Roman"/>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bookmarkStart w:id="32" w:name="_Toc246996977"/>
      <w:bookmarkStart w:id="33" w:name="_Toc144974558"/>
      <w:bookmarkStart w:id="34" w:name="_Toc296602479"/>
      <w:bookmarkStart w:id="35" w:name="_Toc152045591"/>
      <w:bookmarkStart w:id="36" w:name="_Toc179632609"/>
      <w:bookmarkStart w:id="37" w:name="_Toc152042368"/>
      <w:bookmarkStart w:id="38" w:name="_Toc247085749"/>
      <w:bookmarkStart w:id="39" w:name="_Toc246996234"/>
      <w:r>
        <w:rPr>
          <w:rFonts w:hint="default" w:ascii="Times New Roman" w:hAnsi="Times New Roman" w:eastAsia="宋体" w:cs="Times New Roman"/>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eastAsia="宋体" w:cs="Times New Roman"/>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lang w:val="en-US"/>
        </w:rPr>
      </w:pPr>
      <w:bookmarkStart w:id="40" w:name="_Toc296602481"/>
      <w:bookmarkStart w:id="41" w:name="_Toc246996236"/>
      <w:bookmarkStart w:id="42" w:name="_Toc246996979"/>
      <w:bookmarkStart w:id="43" w:name="_Toc179632611"/>
      <w:bookmarkStart w:id="44" w:name="_Toc152045593"/>
      <w:bookmarkStart w:id="45" w:name="_Toc152042370"/>
      <w:bookmarkStart w:id="46" w:name="_Toc144974560"/>
      <w:bookmarkStart w:id="47" w:name="_Toc247085751"/>
      <w:r>
        <w:rPr>
          <w:rFonts w:hint="default" w:ascii="Times New Roman" w:hAnsi="Times New Roman" w:eastAsia="宋体" w:cs="Times New Roman"/>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eastAsia="宋体" w:cs="Times New Roman"/>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yellow"/>
        </w:rPr>
      </w:pPr>
      <w:r>
        <w:rPr>
          <w:rFonts w:hint="default" w:ascii="Times New Roman" w:hAnsi="Times New Roman" w:eastAsia="宋体" w:cs="Times New Roman"/>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（1）</w:t>
      </w:r>
      <w:r>
        <w:rPr>
          <w:rFonts w:hint="eastAsia" w:ascii="Times New Roman" w:hAnsi="Times New Roman" w:cs="Times New Roman"/>
          <w:kern w:val="0"/>
          <w:sz w:val="24"/>
          <w:szCs w:val="24"/>
          <w:highlight w:val="none"/>
          <w:lang w:val="en-US" w:eastAsia="zh-CN"/>
        </w:rPr>
        <w:t>资信业绩</w:t>
      </w:r>
      <w:r>
        <w:rPr>
          <w:rFonts w:hint="default" w:ascii="Times New Roman" w:hAnsi="Times New Roman" w:eastAsia="宋体" w:cs="Times New Roman"/>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w:t>
      </w:r>
      <w:r>
        <w:rPr>
          <w:rFonts w:hint="eastAsia" w:ascii="Times New Roman" w:hAnsi="Times New Roman" w:cs="Times New Roman"/>
          <w:kern w:val="0"/>
          <w:sz w:val="24"/>
          <w:szCs w:val="24"/>
          <w:highlight w:val="none"/>
          <w:lang w:val="en-US" w:eastAsia="zh-CN"/>
        </w:rPr>
        <w:t>服务方案</w:t>
      </w:r>
      <w:r>
        <w:rPr>
          <w:rFonts w:hint="default" w:ascii="Times New Roman" w:hAnsi="Times New Roman" w:eastAsia="宋体" w:cs="Times New Roman"/>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w:t>
      </w:r>
      <w:r>
        <w:rPr>
          <w:rFonts w:hint="eastAsia" w:ascii="Times New Roman" w:hAnsi="Times New Roman" w:eastAsia="宋体" w:cs="Times New Roman"/>
          <w:kern w:val="0"/>
          <w:sz w:val="24"/>
          <w:szCs w:val="24"/>
          <w:highlight w:val="none"/>
          <w:lang w:val="en-US" w:eastAsia="zh-CN"/>
        </w:rPr>
        <w:t>3</w:t>
      </w:r>
      <w:r>
        <w:rPr>
          <w:rFonts w:hint="default" w:ascii="Times New Roman" w:hAnsi="Times New Roman" w:eastAsia="宋体" w:cs="Times New Roman"/>
          <w:kern w:val="0"/>
          <w:sz w:val="24"/>
          <w:szCs w:val="24"/>
          <w:highlight w:val="none"/>
        </w:rPr>
        <w:t>）</w:t>
      </w:r>
      <w:r>
        <w:rPr>
          <w:rFonts w:hint="eastAsia" w:ascii="Times New Roman" w:hAnsi="Times New Roman" w:eastAsia="宋体" w:cs="Times New Roman"/>
          <w:kern w:val="0"/>
          <w:sz w:val="24"/>
          <w:szCs w:val="24"/>
          <w:highlight w:val="none"/>
          <w:lang w:val="en-US" w:eastAsia="zh-CN"/>
        </w:rPr>
        <w:t>投标报价</w:t>
      </w:r>
      <w:r>
        <w:rPr>
          <w:rFonts w:hint="default" w:ascii="Times New Roman" w:hAnsi="Times New Roman" w:eastAsia="宋体" w:cs="Times New Roman"/>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eastAsia="宋体" w:cs="Times New Roman"/>
          <w:kern w:val="0"/>
          <w:sz w:val="24"/>
          <w:szCs w:val="24"/>
          <w:highlight w:val="yellow"/>
          <w:lang w:val="en-US" w:eastAsia="zh-CN"/>
        </w:rPr>
      </w:pPr>
      <w:r>
        <w:rPr>
          <w:rFonts w:hint="eastAsia" w:ascii="Times New Roman" w:hAnsi="Times New Roman" w:eastAsia="宋体" w:cs="Times New Roman"/>
          <w:kern w:val="0"/>
          <w:sz w:val="24"/>
          <w:szCs w:val="24"/>
          <w:highlight w:val="none"/>
          <w:lang w:eastAsia="zh-CN"/>
        </w:rPr>
        <w:t>（</w:t>
      </w:r>
      <w:r>
        <w:rPr>
          <w:rFonts w:hint="eastAsia" w:ascii="Times New Roman" w:hAnsi="Times New Roman" w:eastAsia="宋体" w:cs="Times New Roman"/>
          <w:kern w:val="0"/>
          <w:sz w:val="24"/>
          <w:szCs w:val="24"/>
          <w:highlight w:val="none"/>
          <w:lang w:val="en-US" w:eastAsia="zh-CN"/>
        </w:rPr>
        <w:t>4</w:t>
      </w:r>
      <w:r>
        <w:rPr>
          <w:rFonts w:hint="eastAsia" w:ascii="Times New Roman" w:hAnsi="Times New Roman" w:eastAsia="宋体" w:cs="Times New Roman"/>
          <w:kern w:val="0"/>
          <w:sz w:val="24"/>
          <w:szCs w:val="24"/>
          <w:highlight w:val="none"/>
          <w:lang w:eastAsia="zh-CN"/>
        </w:rPr>
        <w:t>）</w:t>
      </w:r>
      <w:r>
        <w:rPr>
          <w:rFonts w:hint="eastAsia" w:ascii="Times New Roman" w:hAnsi="Times New Roman" w:eastAsia="宋体" w:cs="Times New Roman"/>
          <w:kern w:val="0"/>
          <w:sz w:val="24"/>
          <w:szCs w:val="24"/>
          <w:highlight w:val="none"/>
          <w:lang w:val="en-US" w:eastAsia="zh-CN"/>
        </w:rPr>
        <w:t>其他评分因素</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eastAsia="宋体"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kern w:val="0"/>
          <w:sz w:val="24"/>
          <w:szCs w:val="24"/>
          <w:highlight w:val="none"/>
        </w:rPr>
        <w:t>（1）</w:t>
      </w:r>
      <w:r>
        <w:rPr>
          <w:rFonts w:hint="eastAsia" w:ascii="Times New Roman" w:hAnsi="Times New Roman" w:cs="Times New Roman"/>
          <w:color w:val="000000"/>
          <w:kern w:val="0"/>
          <w:sz w:val="24"/>
          <w:szCs w:val="24"/>
          <w:highlight w:val="none"/>
          <w:lang w:val="en-US" w:eastAsia="zh-CN"/>
        </w:rPr>
        <w:t>资信业绩</w:t>
      </w:r>
      <w:r>
        <w:rPr>
          <w:rFonts w:hint="eastAsia" w:ascii="Times New Roman" w:hAnsi="Times New Roman" w:eastAsia="宋体" w:cs="Times New Roman"/>
          <w:color w:val="000000"/>
          <w:kern w:val="0"/>
          <w:sz w:val="24"/>
          <w:szCs w:val="24"/>
          <w:highlight w:val="none"/>
          <w:lang w:val="en-US" w:eastAsia="zh-CN"/>
        </w:rPr>
        <w:t>评分标准</w:t>
      </w:r>
      <w:r>
        <w:rPr>
          <w:rFonts w:hint="default" w:ascii="Times New Roman" w:hAnsi="Times New Roman" w:eastAsia="宋体" w:cs="Times New Roman"/>
          <w:color w:val="000000"/>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rPr>
        <w:t>（2）</w:t>
      </w:r>
      <w:r>
        <w:rPr>
          <w:rFonts w:hint="eastAsia" w:ascii="Times New Roman" w:hAnsi="Times New Roman" w:cs="Times New Roman"/>
          <w:color w:val="000000"/>
          <w:kern w:val="0"/>
          <w:sz w:val="24"/>
          <w:szCs w:val="24"/>
          <w:highlight w:val="none"/>
          <w:lang w:val="en-US" w:eastAsia="zh-CN"/>
        </w:rPr>
        <w:t>服务方案</w:t>
      </w:r>
      <w:r>
        <w:rPr>
          <w:rFonts w:hint="eastAsia" w:ascii="Times New Roman" w:hAnsi="Times New Roman" w:eastAsia="宋体" w:cs="Times New Roman"/>
          <w:color w:val="000000"/>
          <w:kern w:val="0"/>
          <w:sz w:val="24"/>
          <w:szCs w:val="24"/>
          <w:highlight w:val="none"/>
          <w:lang w:val="en-US" w:eastAsia="zh-CN"/>
        </w:rPr>
        <w:t>评分标准</w:t>
      </w:r>
      <w:r>
        <w:rPr>
          <w:rFonts w:hint="default" w:ascii="Times New Roman" w:hAnsi="Times New Roman" w:eastAsia="宋体" w:cs="Times New Roman"/>
          <w:color w:val="000000"/>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rPr>
        <w:t>（</w:t>
      </w:r>
      <w:r>
        <w:rPr>
          <w:rFonts w:hint="eastAsia" w:ascii="Times New Roman" w:hAnsi="Times New Roman" w:eastAsia="宋体" w:cs="Times New Roman"/>
          <w:color w:val="000000"/>
          <w:kern w:val="0"/>
          <w:sz w:val="24"/>
          <w:szCs w:val="24"/>
          <w:highlight w:val="none"/>
          <w:lang w:val="en-US" w:eastAsia="zh-CN"/>
        </w:rPr>
        <w:t>3</w:t>
      </w:r>
      <w:r>
        <w:rPr>
          <w:rFonts w:hint="default" w:ascii="Times New Roman" w:hAnsi="Times New Roman" w:eastAsia="宋体" w:cs="Times New Roman"/>
          <w:color w:val="000000"/>
          <w:kern w:val="0"/>
          <w:sz w:val="24"/>
          <w:szCs w:val="24"/>
          <w:highlight w:val="none"/>
        </w:rPr>
        <w:t>）</w:t>
      </w:r>
      <w:r>
        <w:rPr>
          <w:rFonts w:hint="eastAsia" w:ascii="Times New Roman" w:hAnsi="Times New Roman" w:eastAsia="宋体" w:cs="Times New Roman"/>
          <w:color w:val="000000"/>
          <w:kern w:val="0"/>
          <w:sz w:val="24"/>
          <w:szCs w:val="24"/>
          <w:highlight w:val="none"/>
          <w:lang w:val="en-US" w:eastAsia="zh-CN"/>
        </w:rPr>
        <w:t>投标报价评分标准</w:t>
      </w:r>
      <w:r>
        <w:rPr>
          <w:rFonts w:hint="default" w:ascii="Times New Roman" w:hAnsi="Times New Roman" w:eastAsia="宋体" w:cs="Times New Roman"/>
          <w:color w:val="000000"/>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yellow"/>
        </w:rPr>
      </w:pPr>
      <w:r>
        <w:rPr>
          <w:rFonts w:hint="eastAsia" w:ascii="Times New Roman" w:hAnsi="Times New Roman" w:eastAsia="宋体" w:cs="Times New Roman"/>
          <w:color w:val="000000"/>
          <w:kern w:val="0"/>
          <w:sz w:val="24"/>
          <w:szCs w:val="24"/>
          <w:highlight w:val="none"/>
          <w:lang w:eastAsia="zh-CN"/>
        </w:rPr>
        <w:t>（</w:t>
      </w:r>
      <w:r>
        <w:rPr>
          <w:rFonts w:hint="eastAsia" w:ascii="Times New Roman" w:hAnsi="Times New Roman" w:eastAsia="宋体" w:cs="Times New Roman"/>
          <w:color w:val="000000"/>
          <w:kern w:val="0"/>
          <w:sz w:val="24"/>
          <w:szCs w:val="24"/>
          <w:highlight w:val="none"/>
          <w:lang w:val="en-US" w:eastAsia="zh-CN"/>
        </w:rPr>
        <w:t>4</w:t>
      </w:r>
      <w:r>
        <w:rPr>
          <w:rFonts w:hint="eastAsia" w:ascii="Times New Roman" w:hAnsi="Times New Roman" w:eastAsia="宋体" w:cs="Times New Roman"/>
          <w:color w:val="000000"/>
          <w:kern w:val="0"/>
          <w:sz w:val="24"/>
          <w:szCs w:val="24"/>
          <w:highlight w:val="none"/>
          <w:lang w:eastAsia="zh-CN"/>
        </w:rPr>
        <w:t>）</w:t>
      </w:r>
      <w:r>
        <w:rPr>
          <w:rFonts w:hint="eastAsia" w:ascii="Times New Roman" w:hAnsi="Times New Roman" w:eastAsia="宋体" w:cs="Times New Roman"/>
          <w:color w:val="000000"/>
          <w:kern w:val="0"/>
          <w:sz w:val="24"/>
          <w:szCs w:val="24"/>
          <w:highlight w:val="none"/>
          <w:lang w:val="en-US" w:eastAsia="zh-CN"/>
        </w:rPr>
        <w:t>其他因素评分标准</w:t>
      </w:r>
      <w:r>
        <w:rPr>
          <w:rFonts w:hint="default" w:ascii="Times New Roman" w:hAnsi="Times New Roman" w:eastAsia="宋体" w:cs="Times New Roman"/>
          <w:kern w:val="0"/>
          <w:sz w:val="24"/>
          <w:szCs w:val="24"/>
          <w:highlight w:val="none"/>
        </w:rPr>
        <w:t>：见评标办法前附表</w:t>
      </w:r>
      <w:r>
        <w:rPr>
          <w:rFonts w:hint="eastAsia" w:ascii="Times New Roman" w:hAnsi="Times New Roman" w:eastAsia="宋体"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bookmarkStart w:id="48" w:name="_Toc296602482"/>
      <w:bookmarkStart w:id="49" w:name="_Toc247085752"/>
      <w:bookmarkStart w:id="50" w:name="_Toc179632612"/>
      <w:bookmarkStart w:id="51" w:name="_Toc152045594"/>
      <w:bookmarkStart w:id="52" w:name="_Toc246996237"/>
      <w:bookmarkStart w:id="53" w:name="_Toc152042371"/>
      <w:bookmarkStart w:id="54" w:name="_Toc144974561"/>
      <w:bookmarkStart w:id="55" w:name="_Toc246996980"/>
      <w:r>
        <w:rPr>
          <w:rFonts w:hint="default" w:ascii="Times New Roman" w:hAnsi="Times New Roman" w:eastAsia="宋体" w:cs="Times New Roman"/>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eastAsia="宋体" w:cs="Times New Roman"/>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eastAsia="宋体" w:cs="Times New Roman"/>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eastAsia="宋体" w:cs="Times New Roman"/>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bookmarkStart w:id="56" w:name="_Toc179632613"/>
      <w:bookmarkStart w:id="57" w:name="_Toc247085753"/>
      <w:bookmarkStart w:id="58" w:name="_Toc144974562"/>
      <w:bookmarkStart w:id="59" w:name="_Toc296602483"/>
      <w:bookmarkStart w:id="60" w:name="_Toc246996981"/>
      <w:bookmarkStart w:id="61" w:name="_Toc246996238"/>
      <w:bookmarkStart w:id="62" w:name="_Toc152042372"/>
      <w:bookmarkStart w:id="63" w:name="_Toc152045595"/>
      <w:r>
        <w:rPr>
          <w:rFonts w:hint="default" w:ascii="Times New Roman" w:hAnsi="Times New Roman" w:eastAsia="宋体" w:cs="Times New Roman"/>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bookmarkStart w:id="64" w:name="_Toc144974563"/>
      <w:bookmarkStart w:id="65" w:name="_Toc246996239"/>
      <w:bookmarkStart w:id="66" w:name="_Toc152042373"/>
      <w:bookmarkStart w:id="67" w:name="_Toc179632614"/>
      <w:bookmarkStart w:id="68" w:name="_Toc247085754"/>
      <w:bookmarkStart w:id="69" w:name="_Toc152045596"/>
      <w:bookmarkStart w:id="70" w:name="_Toc246996982"/>
      <w:bookmarkStart w:id="71" w:name="_Toc296602484"/>
      <w:r>
        <w:rPr>
          <w:rFonts w:hint="default" w:ascii="Times New Roman" w:hAnsi="Times New Roman" w:eastAsia="宋体" w:cs="Times New Roman"/>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eastAsia="宋体" w:cs="Times New Roman"/>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bookmarkStart w:id="137" w:name="_GoBack"/>
      <w:r>
        <w:rPr>
          <w:rFonts w:hint="eastAsia" w:ascii="Times New Roman" w:hAnsi="Times New Roman" w:cs="Times New Roman"/>
          <w:color w:val="000000"/>
          <w:kern w:val="0"/>
          <w:sz w:val="24"/>
          <w:szCs w:val="24"/>
          <w:highlight w:val="none"/>
          <w:lang w:val="en-US" w:eastAsia="zh-CN"/>
        </w:rPr>
        <w:t>资信业</w:t>
      </w:r>
      <w:bookmarkEnd w:id="137"/>
      <w:r>
        <w:rPr>
          <w:rFonts w:hint="eastAsia" w:ascii="Times New Roman" w:hAnsi="Times New Roman" w:cs="Times New Roman"/>
          <w:color w:val="000000"/>
          <w:kern w:val="0"/>
          <w:sz w:val="24"/>
          <w:szCs w:val="24"/>
          <w:highlight w:val="none"/>
          <w:lang w:val="en-US" w:eastAsia="zh-CN"/>
        </w:rPr>
        <w:t>绩</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color w:val="000000"/>
          <w:kern w:val="0"/>
          <w:sz w:val="24"/>
          <w:szCs w:val="24"/>
          <w:highlight w:val="none"/>
          <w:lang w:val="en-US" w:eastAsia="zh-CN"/>
        </w:rPr>
        <w:t>服务方案计算出得分B；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color w:val="000000"/>
          <w:kern w:val="0"/>
          <w:sz w:val="24"/>
          <w:szCs w:val="24"/>
          <w:highlight w:val="none"/>
          <w:lang w:val="en-US" w:eastAsia="zh-CN"/>
        </w:rPr>
        <w:t>（</w:t>
      </w:r>
      <w:r>
        <w:rPr>
          <w:rFonts w:hint="eastAsia" w:ascii="Times New Roman" w:hAnsi="Times New Roman" w:cs="Times New Roman"/>
          <w:color w:val="000000"/>
          <w:kern w:val="0"/>
          <w:sz w:val="24"/>
          <w:szCs w:val="24"/>
          <w:highlight w:val="none"/>
          <w:lang w:val="en-US" w:eastAsia="zh-CN"/>
        </w:rPr>
        <w:t>3</w:t>
      </w:r>
      <w:r>
        <w:rPr>
          <w:rFonts w:hint="default" w:ascii="Times New Roman" w:hAnsi="Times New Roman" w:cs="Times New Roman"/>
          <w:color w:val="000000"/>
          <w:kern w:val="0"/>
          <w:sz w:val="24"/>
          <w:szCs w:val="24"/>
          <w:highlight w:val="none"/>
          <w:lang w:val="en-US" w:eastAsia="zh-CN"/>
        </w:rPr>
        <w:t>）按本章</w:t>
      </w:r>
      <w:r>
        <w:rPr>
          <w:rFonts w:hint="eastAsia" w:ascii="Times New Roman" w:hAnsi="Times New Roman" w:cs="Times New Roman"/>
          <w:color w:val="000000"/>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kern w:val="0"/>
          <w:sz w:val="24"/>
          <w:szCs w:val="24"/>
          <w:highlight w:val="none"/>
          <w:lang w:val="en-US" w:eastAsia="zh-CN"/>
        </w:rPr>
        <w:t>（</w:t>
      </w:r>
      <w:r>
        <w:rPr>
          <w:rFonts w:hint="eastAsia" w:ascii="Times New Roman" w:hAnsi="Times New Roman" w:cs="Times New Roman"/>
          <w:color w:val="000000"/>
          <w:kern w:val="0"/>
          <w:sz w:val="24"/>
          <w:szCs w:val="24"/>
          <w:highlight w:val="none"/>
          <w:lang w:val="en-US" w:eastAsia="zh-CN"/>
        </w:rPr>
        <w:t>4</w:t>
      </w:r>
      <w:r>
        <w:rPr>
          <w:rFonts w:hint="default" w:ascii="Times New Roman" w:hAnsi="Times New Roman" w:cs="Times New Roman"/>
          <w:color w:val="000000"/>
          <w:kern w:val="0"/>
          <w:sz w:val="24"/>
          <w:szCs w:val="24"/>
          <w:highlight w:val="none"/>
          <w:lang w:val="en-US" w:eastAsia="zh-CN"/>
        </w:rPr>
        <w:t>）按本章</w:t>
      </w:r>
      <w:r>
        <w:rPr>
          <w:rFonts w:hint="eastAsia" w:ascii="Times New Roman" w:hAnsi="Times New Roman" w:cs="Times New Roman"/>
          <w:color w:val="000000"/>
          <w:kern w:val="0"/>
          <w:sz w:val="24"/>
          <w:szCs w:val="24"/>
          <w:highlight w:val="none"/>
          <w:lang w:val="en-US" w:eastAsia="zh-CN"/>
        </w:rPr>
        <w:t>第2.2.4（4）目规定的评审因素和分值对其他部分</w:t>
      </w:r>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eastAsia="宋体" w:cs="Times New Roman"/>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3.3 投标文件的澄清</w:t>
      </w:r>
      <w:bookmarkEnd w:id="64"/>
      <w:r>
        <w:rPr>
          <w:rFonts w:hint="default" w:ascii="Times New Roman" w:hAnsi="Times New Roman" w:eastAsia="宋体" w:cs="Times New Roman"/>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eastAsia="宋体" w:cs="Times New Roman"/>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default" w:ascii="Times New Roman" w:hAnsi="Times New Roman" w:eastAsia="宋体" w:cs="Times New Roman"/>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lang w:val="en-US" w:eastAsia="zh-CN"/>
        </w:rPr>
      </w:pPr>
      <w:r>
        <w:rPr>
          <w:rFonts w:hint="eastAsia" w:ascii="Times New Roman" w:hAnsi="Times New Roman" w:eastAsia="宋体" w:cs="Times New Roman"/>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bCs/>
          <w:kern w:val="0"/>
          <w:sz w:val="28"/>
          <w:szCs w:val="28"/>
          <w:highlight w:val="none"/>
        </w:rPr>
      </w:pPr>
      <w:r>
        <w:rPr>
          <w:rFonts w:hint="default" w:ascii="Times New Roman" w:hAnsi="Times New Roman" w:eastAsia="宋体" w:cs="Times New Roman"/>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eastAsia="宋体" w:cs="Times New Roman"/>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宋体" w:cs="Times New Roman"/>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eastAsia="宋体" w:cs="Times New Roman"/>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eastAsia="宋体" w:cs="Times New Roman"/>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宋体" w:cs="Times New Roman"/>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 xml:space="preserve">第四章 </w:t>
      </w:r>
      <w:r>
        <w:rPr>
          <w:rFonts w:hint="default" w:ascii="宋体" w:hAnsi="宋体" w:eastAsia="宋体" w:cs="宋体"/>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sz w:val="24"/>
                <w:szCs w:val="24"/>
                <w:lang w:val="en-US" w:eastAsia="zh-CN"/>
              </w:rPr>
              <w:t>安徽交赢新能源有限公司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noWrap w:val="0"/>
            <w:vAlign w:val="center"/>
          </w:tcPr>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合同签订后10日内招标人向中标人支付合同总价款的10%;规委会通过后，招标人向中标人支付至合同总价款的30％;施工图审查合格后，招标人向中标人支付至合同总价款的90％;所有工程竣工验收合格后，招标人向中标人至支付合同总价款的100％。</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sz w:val="24"/>
                <w:szCs w:val="24"/>
                <w:lang w:val="en-US" w:eastAsia="zh-CN"/>
              </w:rPr>
              <w:t>注：</w:t>
            </w:r>
            <w:r>
              <w:rPr>
                <w:rFonts w:hint="eastAsia" w:ascii="Times New Roman" w:hAnsi="Times New Roman" w:cs="Times New Roman"/>
                <w:sz w:val="24"/>
                <w:szCs w:val="24"/>
                <w:lang w:val="en-US" w:eastAsia="zh-CN"/>
              </w:rPr>
              <w:t>招标人</w:t>
            </w:r>
            <w:r>
              <w:rPr>
                <w:rFonts w:hint="default" w:ascii="Times New Roman" w:hAnsi="Times New Roman" w:cs="Times New Roman"/>
                <w:sz w:val="24"/>
                <w:szCs w:val="24"/>
                <w:lang w:val="en-US" w:eastAsia="zh-CN"/>
              </w:rPr>
              <w:t>付款前，</w:t>
            </w:r>
            <w:r>
              <w:rPr>
                <w:rFonts w:hint="eastAsia" w:ascii="Times New Roman" w:hAnsi="Times New Roman" w:cs="Times New Roman"/>
                <w:sz w:val="24"/>
                <w:szCs w:val="24"/>
                <w:lang w:val="en-US" w:eastAsia="zh-CN"/>
              </w:rPr>
              <w:t>中标人</w:t>
            </w:r>
            <w:r>
              <w:rPr>
                <w:rFonts w:hint="default" w:ascii="Times New Roman" w:hAnsi="Times New Roman" w:cs="Times New Roman"/>
                <w:sz w:val="24"/>
                <w:szCs w:val="24"/>
                <w:lang w:val="en-US" w:eastAsia="zh-CN"/>
              </w:rPr>
              <w:t>应按照国家税收有关规定开具等额增值税专用发票</w:t>
            </w:r>
            <w:r>
              <w:rPr>
                <w:rFonts w:hint="eastAsia" w:ascii="Times New Roman" w:hAnsi="Times New Roman" w:cs="Times New Roman"/>
                <w:sz w:val="24"/>
                <w:szCs w:val="24"/>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noWrap w:val="0"/>
            <w:vAlign w:val="center"/>
          </w:tcPr>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一、中标人义务</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1.</w:t>
            </w:r>
            <w:r>
              <w:rPr>
                <w:rFonts w:hint="default" w:ascii="Times New Roman" w:hAnsi="Times New Roman" w:cs="Times New Roman"/>
                <w:sz w:val="24"/>
                <w:szCs w:val="24"/>
              </w:rPr>
              <w:t>按国家规定和约定的设计标准、规范、规程、定额进行工程设计，严格审核设计文件，并按约定的进度、质量交付设计文件；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2</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不得超越设计资质证书规定的等级和业务范围承接业务；</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3</w:t>
            </w:r>
            <w:r>
              <w:rPr>
                <w:rFonts w:hint="default" w:ascii="Times New Roman" w:hAnsi="Times New Roman" w:cs="Times New Roman"/>
                <w:sz w:val="24"/>
                <w:szCs w:val="24"/>
                <w:lang w:eastAsia="zh-CN"/>
              </w:rPr>
              <w:t>.</w:t>
            </w:r>
            <w:r>
              <w:rPr>
                <w:rFonts w:hint="default" w:ascii="Times New Roman" w:hAnsi="Times New Roman" w:cs="Times New Roman"/>
                <w:sz w:val="24"/>
                <w:szCs w:val="24"/>
              </w:rPr>
              <w:t>根据</w:t>
            </w:r>
            <w:r>
              <w:rPr>
                <w:rFonts w:hint="default" w:ascii="Times New Roman" w:hAnsi="Times New Roman" w:cs="Times New Roman"/>
                <w:sz w:val="24"/>
                <w:szCs w:val="24"/>
                <w:lang w:val="en-US" w:eastAsia="zh-CN"/>
              </w:rPr>
              <w:t>招标人</w:t>
            </w:r>
            <w:r>
              <w:rPr>
                <w:rFonts w:hint="default" w:ascii="Times New Roman" w:hAnsi="Times New Roman" w:cs="Times New Roman"/>
                <w:sz w:val="24"/>
                <w:szCs w:val="24"/>
              </w:rPr>
              <w:t>要求进行设计交底，配合解决施工过程中有关设计问题；</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4</w:t>
            </w:r>
            <w:r>
              <w:rPr>
                <w:rFonts w:hint="default" w:ascii="Times New Roman" w:hAnsi="Times New Roman" w:cs="Times New Roman"/>
                <w:sz w:val="24"/>
                <w:szCs w:val="24"/>
                <w:lang w:eastAsia="zh-CN"/>
              </w:rPr>
              <w:t>.</w:t>
            </w:r>
            <w:r>
              <w:rPr>
                <w:rFonts w:hint="default" w:ascii="Times New Roman" w:hAnsi="Times New Roman" w:cs="Times New Roman"/>
                <w:sz w:val="24"/>
                <w:szCs w:val="24"/>
              </w:rPr>
              <w:t>委派相关专业的设计人员参加工程设计各个阶段的审查、协调会议以及工程验收工作，并及时完善和优化设计方案；</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5</w:t>
            </w:r>
            <w:r>
              <w:rPr>
                <w:rFonts w:hint="default" w:ascii="Times New Roman" w:hAnsi="Times New Roman" w:cs="Times New Roman"/>
                <w:sz w:val="24"/>
                <w:szCs w:val="24"/>
                <w:lang w:eastAsia="zh-CN"/>
              </w:rPr>
              <w:t>.</w:t>
            </w:r>
            <w:r>
              <w:rPr>
                <w:rFonts w:hint="default" w:ascii="Times New Roman" w:hAnsi="Times New Roman" w:cs="Times New Roman"/>
                <w:sz w:val="24"/>
                <w:szCs w:val="24"/>
              </w:rPr>
              <w:t>按照设计内容和深度进行设计，不得随意更改设计内容和另立项目重复收费。不得将重新描晒或只改换图标的设计按新项目收费；</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6</w:t>
            </w:r>
            <w:r>
              <w:rPr>
                <w:rFonts w:hint="default" w:ascii="Times New Roman" w:hAnsi="Times New Roman" w:cs="Times New Roman"/>
                <w:sz w:val="24"/>
                <w:szCs w:val="24"/>
                <w:lang w:eastAsia="zh-CN"/>
              </w:rPr>
              <w:t>.</w:t>
            </w:r>
            <w:r>
              <w:rPr>
                <w:rFonts w:hint="default" w:ascii="Times New Roman" w:hAnsi="Times New Roman" w:cs="Times New Roman"/>
                <w:sz w:val="24"/>
                <w:szCs w:val="24"/>
              </w:rPr>
              <w:t>对</w:t>
            </w:r>
            <w:r>
              <w:rPr>
                <w:rFonts w:hint="default" w:ascii="Times New Roman" w:hAnsi="Times New Roman" w:cs="Times New Roman"/>
                <w:sz w:val="24"/>
                <w:szCs w:val="24"/>
                <w:lang w:val="en-US" w:eastAsia="zh-CN"/>
              </w:rPr>
              <w:t>招标人</w:t>
            </w:r>
            <w:r>
              <w:rPr>
                <w:rFonts w:hint="default" w:ascii="Times New Roman" w:hAnsi="Times New Roman" w:cs="Times New Roman"/>
                <w:sz w:val="24"/>
                <w:szCs w:val="24"/>
              </w:rPr>
              <w:t>、施工单位、监理单位提出的工程设计文件中存在的问题，应及时提出处理意见或解决方案；</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7</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除有特殊要求的建筑材料、专用设备和工艺生产线外，</w:t>
            </w:r>
            <w:r>
              <w:rPr>
                <w:rFonts w:hint="default" w:ascii="Times New Roman" w:hAnsi="Times New Roman" w:cs="Times New Roman"/>
                <w:sz w:val="24"/>
                <w:szCs w:val="24"/>
                <w:lang w:val="en-US" w:eastAsia="zh-CN"/>
              </w:rPr>
              <w:t>中标人</w:t>
            </w:r>
            <w:r>
              <w:rPr>
                <w:rFonts w:hint="default" w:ascii="Times New Roman" w:hAnsi="Times New Roman" w:cs="Times New Roman"/>
                <w:sz w:val="24"/>
                <w:szCs w:val="24"/>
              </w:rPr>
              <w:t>在设计文件中不得指定生产厂、供应商；</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8</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工程设计应保证工程的安全性能,满足施工安全操作和防护的需要，采用有利于环境保护、提高能效的设计方案；</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rPr>
              <w:t>9</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未经</w:t>
            </w:r>
            <w:r>
              <w:rPr>
                <w:rFonts w:hint="default" w:ascii="Times New Roman" w:hAnsi="Times New Roman" w:cs="Times New Roman"/>
                <w:sz w:val="24"/>
                <w:szCs w:val="24"/>
                <w:lang w:val="en-US" w:eastAsia="zh-CN"/>
              </w:rPr>
              <w:t>招标人</w:t>
            </w:r>
            <w:r>
              <w:rPr>
                <w:rFonts w:hint="default" w:ascii="Times New Roman" w:hAnsi="Times New Roman" w:cs="Times New Roman"/>
                <w:sz w:val="24"/>
                <w:szCs w:val="24"/>
              </w:rPr>
              <w:t>书面同意，不得擅自将合同项下的设计业务转委托。</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二、违约责任</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1.中标人</w:t>
            </w:r>
            <w:r>
              <w:rPr>
                <w:rFonts w:hint="default" w:ascii="Times New Roman" w:hAnsi="Times New Roman" w:cs="Times New Roman"/>
                <w:sz w:val="24"/>
                <w:szCs w:val="24"/>
              </w:rPr>
              <w:t>未按期交付设计文件及有关资料的，每逾期一日，</w:t>
            </w:r>
            <w:r>
              <w:rPr>
                <w:rFonts w:hint="default" w:ascii="Times New Roman" w:hAnsi="Times New Roman" w:cs="Times New Roman"/>
                <w:sz w:val="24"/>
                <w:szCs w:val="24"/>
                <w:lang w:val="en-US" w:eastAsia="zh-CN"/>
              </w:rPr>
              <w:t>中标人</w:t>
            </w:r>
            <w:r>
              <w:rPr>
                <w:rFonts w:hint="default" w:ascii="Times New Roman" w:hAnsi="Times New Roman" w:cs="Times New Roman"/>
                <w:sz w:val="24"/>
                <w:szCs w:val="24"/>
              </w:rPr>
              <w:t>应向</w:t>
            </w:r>
            <w:r>
              <w:rPr>
                <w:rFonts w:hint="default" w:ascii="Times New Roman" w:hAnsi="Times New Roman" w:cs="Times New Roman"/>
                <w:sz w:val="24"/>
                <w:szCs w:val="24"/>
                <w:lang w:val="en-US" w:eastAsia="zh-CN"/>
              </w:rPr>
              <w:t>招标人</w:t>
            </w:r>
            <w:r>
              <w:rPr>
                <w:rFonts w:hint="default" w:ascii="Times New Roman" w:hAnsi="Times New Roman" w:cs="Times New Roman"/>
                <w:sz w:val="24"/>
                <w:szCs w:val="24"/>
              </w:rPr>
              <w:t>支付设计费</w:t>
            </w: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‰的违约金(</w:t>
            </w:r>
            <w:r>
              <w:rPr>
                <w:rFonts w:hint="default" w:ascii="Times New Roman" w:hAnsi="Times New Roman" w:cs="Times New Roman"/>
                <w:sz w:val="24"/>
                <w:szCs w:val="24"/>
                <w:lang w:val="en-US" w:eastAsia="zh-CN"/>
              </w:rPr>
              <w:t>招标人</w:t>
            </w:r>
            <w:r>
              <w:rPr>
                <w:rFonts w:hint="default" w:ascii="Times New Roman" w:hAnsi="Times New Roman" w:cs="Times New Roman"/>
                <w:sz w:val="24"/>
                <w:szCs w:val="24"/>
              </w:rPr>
              <w:t>可在设计费中扣除)；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2.中标人</w:t>
            </w:r>
            <w:r>
              <w:rPr>
                <w:rFonts w:hint="default" w:ascii="Times New Roman" w:hAnsi="Times New Roman" w:cs="Times New Roman"/>
                <w:sz w:val="24"/>
                <w:szCs w:val="24"/>
              </w:rPr>
              <w:t>交付的设计文件不符合约定质量和规范要求的，</w:t>
            </w:r>
            <w:r>
              <w:rPr>
                <w:rFonts w:hint="default" w:ascii="Times New Roman" w:hAnsi="Times New Roman" w:cs="Times New Roman"/>
                <w:sz w:val="24"/>
                <w:szCs w:val="24"/>
                <w:lang w:val="en-US" w:eastAsia="zh-CN"/>
              </w:rPr>
              <w:t>招标人责令中标人限期整改，期限内没有整改好的中标人</w:t>
            </w:r>
            <w:r>
              <w:rPr>
                <w:rFonts w:hint="default" w:ascii="Times New Roman" w:hAnsi="Times New Roman" w:cs="Times New Roman"/>
                <w:sz w:val="24"/>
                <w:szCs w:val="24"/>
              </w:rPr>
              <w:t>应向</w:t>
            </w:r>
            <w:r>
              <w:rPr>
                <w:rFonts w:hint="default" w:ascii="Times New Roman" w:hAnsi="Times New Roman" w:cs="Times New Roman"/>
                <w:sz w:val="24"/>
                <w:szCs w:val="24"/>
                <w:lang w:val="en-US" w:eastAsia="zh-CN"/>
              </w:rPr>
              <w:t>招标人</w:t>
            </w:r>
            <w:r>
              <w:rPr>
                <w:rFonts w:hint="default" w:ascii="Times New Roman" w:hAnsi="Times New Roman" w:cs="Times New Roman"/>
                <w:sz w:val="24"/>
                <w:szCs w:val="24"/>
              </w:rPr>
              <w:t>支付设计费</w:t>
            </w:r>
            <w:r>
              <w:rPr>
                <w:rFonts w:hint="default" w:ascii="Times New Roman" w:hAnsi="Times New Roman" w:cs="Times New Roman"/>
                <w:sz w:val="24"/>
                <w:szCs w:val="24"/>
                <w:lang w:val="en-US" w:eastAsia="zh-CN"/>
              </w:rPr>
              <w:t>5</w:t>
            </w:r>
            <w:r>
              <w:rPr>
                <w:rFonts w:hint="default" w:ascii="Times New Roman" w:hAnsi="Times New Roman" w:cs="Times New Roman"/>
                <w:sz w:val="24"/>
                <w:szCs w:val="24"/>
              </w:rPr>
              <w:t>%的违约金(</w:t>
            </w:r>
            <w:r>
              <w:rPr>
                <w:rFonts w:hint="default" w:ascii="Times New Roman" w:hAnsi="Times New Roman" w:cs="Times New Roman"/>
                <w:sz w:val="24"/>
                <w:szCs w:val="24"/>
                <w:lang w:val="en-US" w:eastAsia="zh-CN"/>
              </w:rPr>
              <w:t>招标人</w:t>
            </w:r>
            <w:r>
              <w:rPr>
                <w:rFonts w:hint="default" w:ascii="Times New Roman" w:hAnsi="Times New Roman" w:cs="Times New Roman"/>
                <w:sz w:val="24"/>
                <w:szCs w:val="24"/>
              </w:rPr>
              <w:t>可在设计费中扣除)；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由于设计遗漏、错误等原因使工程出现质量问题，给</w:t>
            </w:r>
            <w:r>
              <w:rPr>
                <w:rFonts w:hint="default" w:ascii="Times New Roman" w:hAnsi="Times New Roman" w:cs="Times New Roman"/>
                <w:sz w:val="24"/>
                <w:szCs w:val="24"/>
                <w:lang w:val="en-US" w:eastAsia="zh-CN"/>
              </w:rPr>
              <w:t>招标人</w:t>
            </w:r>
            <w:r>
              <w:rPr>
                <w:rFonts w:hint="default" w:ascii="Times New Roman" w:hAnsi="Times New Roman" w:cs="Times New Roman"/>
                <w:sz w:val="24"/>
                <w:szCs w:val="24"/>
              </w:rPr>
              <w:t>或第三人造成损失的，由</w:t>
            </w:r>
            <w:r>
              <w:rPr>
                <w:rFonts w:hint="default" w:ascii="Times New Roman" w:hAnsi="Times New Roman" w:cs="Times New Roman"/>
                <w:sz w:val="24"/>
                <w:szCs w:val="24"/>
                <w:lang w:val="en-US" w:eastAsia="zh-CN"/>
              </w:rPr>
              <w:t>中标人</w:t>
            </w:r>
            <w:r>
              <w:rPr>
                <w:rFonts w:hint="default" w:ascii="Times New Roman" w:hAnsi="Times New Roman" w:cs="Times New Roman"/>
                <w:sz w:val="24"/>
                <w:szCs w:val="24"/>
              </w:rPr>
              <w:t>承担责任。</w:t>
            </w:r>
            <w:r>
              <w:rPr>
                <w:rFonts w:hint="default" w:ascii="Times New Roman" w:hAnsi="Times New Roman" w:cs="Times New Roman"/>
                <w:sz w:val="24"/>
                <w:szCs w:val="24"/>
                <w:lang w:val="en-US" w:eastAsia="zh-CN"/>
              </w:rPr>
              <w:t>中标人</w:t>
            </w:r>
            <w:r>
              <w:rPr>
                <w:rFonts w:hint="default" w:ascii="Times New Roman" w:hAnsi="Times New Roman" w:cs="Times New Roman"/>
                <w:sz w:val="24"/>
                <w:szCs w:val="24"/>
              </w:rPr>
              <w:t>应赔偿</w:t>
            </w:r>
            <w:r>
              <w:rPr>
                <w:rFonts w:hint="default" w:ascii="Times New Roman" w:hAnsi="Times New Roman" w:cs="Times New Roman"/>
                <w:sz w:val="24"/>
                <w:szCs w:val="24"/>
                <w:lang w:val="en-US" w:eastAsia="zh-CN"/>
              </w:rPr>
              <w:t>招标人</w:t>
            </w:r>
            <w:r>
              <w:rPr>
                <w:rFonts w:hint="default" w:ascii="Times New Roman" w:hAnsi="Times New Roman" w:cs="Times New Roman"/>
                <w:sz w:val="24"/>
                <w:szCs w:val="24"/>
              </w:rPr>
              <w:t>或第三方因此遭受的损失。</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sz w:val="24"/>
                <w:szCs w:val="24"/>
                <w:lang w:val="en-US" w:eastAsia="zh-CN"/>
              </w:rPr>
              <w:t>4.中标人</w:t>
            </w:r>
            <w:r>
              <w:rPr>
                <w:rFonts w:hint="default" w:ascii="Times New Roman" w:hAnsi="Times New Roman" w:cs="Times New Roman"/>
                <w:sz w:val="24"/>
                <w:szCs w:val="24"/>
              </w:rPr>
              <w:t>未履行合同其他义务或履行义务不符合约定的，应承担继续履行、采取补救措施或者赔偿损失等违约责任。</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宋体" w:hAnsi="宋体" w:eastAsia="宋体" w:cs="宋体"/>
          <w:b/>
          <w:bCs/>
          <w:sz w:val="32"/>
          <w:szCs w:val="32"/>
          <w:highlight w:val="none"/>
          <w:lang w:val="en-US" w:eastAsia="zh-CN"/>
        </w:rPr>
      </w:pPr>
      <w:r>
        <w:rPr>
          <w:rFonts w:hint="eastAsia" w:ascii="宋体" w:hAnsi="宋体" w:eastAsia="宋体" w:cs="宋体"/>
          <w:b/>
          <w:bCs/>
          <w:sz w:val="32"/>
          <w:szCs w:val="32"/>
          <w:highlight w:val="none"/>
          <w:lang w:val="en-US" w:eastAsia="zh-CN"/>
        </w:rPr>
        <w:t xml:space="preserve">第五章 </w:t>
      </w:r>
      <w:bookmarkEnd w:id="16"/>
      <w:bookmarkEnd w:id="17"/>
      <w:bookmarkEnd w:id="18"/>
      <w:bookmarkEnd w:id="19"/>
      <w:bookmarkEnd w:id="20"/>
      <w:bookmarkEnd w:id="21"/>
      <w:bookmarkEnd w:id="22"/>
      <w:bookmarkEnd w:id="23"/>
      <w:r>
        <w:rPr>
          <w:rFonts w:hint="eastAsia" w:ascii="宋体" w:hAnsi="宋体" w:eastAsia="宋体" w:cs="宋体"/>
          <w:b/>
          <w:bCs/>
          <w:sz w:val="32"/>
          <w:szCs w:val="32"/>
          <w:highlight w:val="none"/>
          <w:lang w:val="en-US" w:eastAsia="zh-CN"/>
        </w:rPr>
        <w:t>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要求应尽可能清晰准确，对于可以进行定量评估的工作，发包人要求不仅应明确规定其功能、用途、质量、环境、安全，并且要规定偏差的范围和计算方法，以及检验、试验、试运行的具体要求。对于承包人负责提供的有关服务，在发包人要求中应一并明确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kern w:val="0"/>
          <w:sz w:val="24"/>
          <w:szCs w:val="24"/>
          <w:highlight w:val="none"/>
          <w:lang w:val="en-US" w:eastAsia="zh-CN"/>
        </w:rPr>
        <w:t>发包人要求通常包括但不限于以下内容：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招标人应当根据项目情况在本章中明确相应的设计要求，一般应包括以下内容：</w:t>
      </w:r>
    </w:p>
    <w:p>
      <w:pPr>
        <w:keepNext w:val="0"/>
        <w:keepLines w:val="0"/>
        <w:pageBreakBefore w:val="0"/>
        <w:widowControl w:val="0"/>
        <w:numPr>
          <w:ilvl w:val="0"/>
          <w:numId w:val="0"/>
        </w:numPr>
        <w:kinsoku/>
        <w:wordWrap w:val="0"/>
        <w:overflowPunct/>
        <w:topLinePunct w:val="0"/>
        <w:autoSpaceDE/>
        <w:autoSpaceDN/>
        <w:bidi w:val="0"/>
        <w:adjustRightInd/>
        <w:snapToGrid/>
        <w:spacing w:line="460" w:lineRule="exact"/>
        <w:ind w:left="0" w:leftChars="0" w:firstLine="560" w:firstLineChars="200"/>
        <w:textAlignment w:val="auto"/>
        <w:rPr>
          <w:rFonts w:hint="default" w:asciiTheme="minorEastAsia" w:hAnsiTheme="minorEastAsia" w:eastAsiaTheme="minorEastAsia" w:cstheme="minorEastAsia"/>
          <w:b w:val="0"/>
          <w:bCs w:val="0"/>
          <w:sz w:val="24"/>
          <w:szCs w:val="24"/>
          <w:lang w:val="en-US" w:eastAsia="zh-CN"/>
        </w:rPr>
      </w:pPr>
      <w:r>
        <w:rPr>
          <w:rFonts w:hint="eastAsia" w:ascii="宋体" w:hAnsi="宋体" w:eastAsia="宋体" w:cs="宋体"/>
          <w:kern w:val="0"/>
          <w:sz w:val="28"/>
          <w:szCs w:val="28"/>
          <w:highlight w:val="none"/>
          <w:lang w:val="en-US" w:eastAsia="zh-CN"/>
        </w:rPr>
        <w:t>1.项目概况</w:t>
      </w:r>
      <w:r>
        <w:rPr>
          <w:rFonts w:hint="eastAsia" w:ascii="Times New Roman" w:hAnsi="Times New Roman" w:cs="Times New Roman"/>
          <w:kern w:val="0"/>
          <w:sz w:val="24"/>
          <w:szCs w:val="24"/>
          <w:highlight w:val="none"/>
          <w:lang w:val="en-US" w:eastAsia="zh-CN"/>
        </w:rPr>
        <w:t>：</w:t>
      </w:r>
      <w:r>
        <w:rPr>
          <w:rFonts w:hint="eastAsia" w:asciiTheme="minorEastAsia" w:hAnsiTheme="minorEastAsia" w:eastAsiaTheme="minorEastAsia" w:cstheme="minorEastAsia"/>
          <w:sz w:val="24"/>
          <w:szCs w:val="24"/>
          <w:highlight w:val="none"/>
          <w:lang w:val="en-US" w:eastAsia="zh-CN"/>
        </w:rPr>
        <w:t>建设地点位于亳芜产业园区亳芜</w:t>
      </w:r>
      <w:r>
        <w:rPr>
          <w:rFonts w:hint="eastAsia" w:asciiTheme="minorEastAsia" w:hAnsiTheme="minorEastAsia" w:eastAsiaTheme="minorEastAsia" w:cstheme="minorEastAsia"/>
          <w:color w:val="auto"/>
          <w:sz w:val="24"/>
          <w:szCs w:val="24"/>
          <w:highlight w:val="none"/>
          <w:lang w:val="en-US" w:eastAsia="zh-CN"/>
        </w:rPr>
        <w:t>大</w:t>
      </w:r>
      <w:r>
        <w:rPr>
          <w:rFonts w:hint="eastAsia" w:asciiTheme="minorEastAsia" w:hAnsiTheme="minorEastAsia" w:eastAsiaTheme="minorEastAsia" w:cstheme="minorEastAsia"/>
          <w:sz w:val="24"/>
          <w:szCs w:val="24"/>
          <w:highlight w:val="none"/>
          <w:lang w:val="en-US" w:eastAsia="zh-CN"/>
        </w:rPr>
        <w:t>道以北、文采路以西。建筑面积约6666.67平方（10亩）。项目建设投资约800万元。</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项目规划要求及建设内容：规划要求为二级站，容积率不大于1.0，建筑密度不大于40%，绿地率不小于20%，主要用于建设加油、加气、加氢、充换电站（包括站房楼、加油罩棚、储油罐、光伏设备及其他配套附属设施）。</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宋体" w:hAnsi="宋体" w:eastAsia="宋体" w:cs="宋体"/>
          <w:kern w:val="0"/>
          <w:sz w:val="28"/>
          <w:szCs w:val="28"/>
          <w:highlight w:val="none"/>
          <w:lang w:val="en-US" w:eastAsia="zh-CN"/>
        </w:rPr>
        <w:t>2.服务范围及内容</w:t>
      </w:r>
      <w:r>
        <w:rPr>
          <w:rFonts w:hint="eastAsia" w:ascii="Times New Roman" w:hAnsi="Times New Roman" w:cs="Times New Roman"/>
          <w:kern w:val="0"/>
          <w:sz w:val="24"/>
          <w:szCs w:val="24"/>
          <w:highlight w:val="none"/>
          <w:lang w:val="en-US" w:eastAsia="zh-CN"/>
        </w:rPr>
        <w:t>;</w:t>
      </w:r>
      <w:r>
        <w:rPr>
          <w:rFonts w:hint="eastAsia" w:asciiTheme="minorEastAsia" w:hAnsiTheme="minorEastAsia" w:eastAsiaTheme="minorEastAsia" w:cstheme="minorEastAsia"/>
          <w:sz w:val="24"/>
          <w:szCs w:val="24"/>
          <w:highlight w:val="none"/>
          <w:lang w:val="en-US" w:eastAsia="zh-CN"/>
        </w:rPr>
        <w:t>具体包括但不限于：1.项目所在地地质勘察、工程修建性详细规划（含建筑单体方案）、初步设计、设计概算、施工图设计（含房屋设计、形象设计、外立面装饰设计、室内装饰设计、强弱电设计、给排水设计、暖通设计、消防设计和所有室外配套工程及绿化景观设计等）、设计方案报批、施工图审查及施工阶段技术服务等；2.全过程工程咨询服务包括但不限于本项目的环评报告编制及评审、安全评价、消防评价及验收、职业病危害评价、交通影响评价报告编制及评审等专项方案的编制及评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宋体" w:hAnsi="宋体" w:eastAsia="宋体" w:cs="宋体"/>
          <w:kern w:val="0"/>
          <w:sz w:val="28"/>
          <w:szCs w:val="28"/>
          <w:highlight w:val="none"/>
          <w:lang w:val="en-US" w:eastAsia="zh-CN"/>
        </w:rPr>
        <w:t>3.服务依据</w:t>
      </w:r>
      <w:r>
        <w:rPr>
          <w:rFonts w:hint="eastAsia" w:ascii="Times New Roman" w:hAnsi="Times New Roman" w:cs="Times New Roman"/>
          <w:kern w:val="0"/>
          <w:sz w:val="24"/>
          <w:szCs w:val="24"/>
          <w:highlight w:val="none"/>
          <w:lang w:val="en-US" w:eastAsia="zh-CN"/>
        </w:rPr>
        <w:t>:</w:t>
      </w:r>
      <w:r>
        <w:rPr>
          <w:rFonts w:hint="eastAsia" w:asciiTheme="minorEastAsia" w:hAnsiTheme="minorEastAsia" w:eastAsiaTheme="minorEastAsia" w:cstheme="minorEastAsia"/>
          <w:sz w:val="24"/>
          <w:szCs w:val="24"/>
          <w:highlight w:val="none"/>
          <w:lang w:val="en-US" w:eastAsia="zh-CN"/>
        </w:rPr>
        <w:t>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Theme="majorEastAsia" w:hAnsiTheme="majorEastAsia" w:eastAsiaTheme="majorEastAsia" w:cstheme="majorEastAsia"/>
          <w:kern w:val="0"/>
          <w:sz w:val="28"/>
          <w:szCs w:val="28"/>
          <w:highlight w:val="none"/>
          <w:lang w:val="en-US" w:eastAsia="zh-CN"/>
        </w:rPr>
        <w:t>4.具体人员要求</w:t>
      </w:r>
      <w:r>
        <w:rPr>
          <w:rFonts w:hint="eastAsia" w:asciiTheme="minorEastAsia" w:hAnsiTheme="minorEastAsia" w:eastAsiaTheme="minorEastAsia" w:cstheme="minorEastAsia"/>
          <w:kern w:val="0"/>
          <w:sz w:val="24"/>
          <w:szCs w:val="24"/>
          <w:highlight w:val="none"/>
          <w:lang w:val="en-US" w:eastAsia="zh-CN"/>
        </w:rPr>
        <w:t>:要具有相关资质的人员</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二、适用规范标准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eastAsia="仿宋_GB2312" w:cs="Times New Roman"/>
          <w:sz w:val="28"/>
          <w:szCs w:val="28"/>
          <w:lang w:val="en-US" w:eastAsia="zh-CN"/>
        </w:rPr>
        <w:t>设计质量要求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工程设计质量须达到国家现行设计规范以及中国石油天然气股份有限公司颁布的《加油站建设标准》（2017版及补充版）与《加油站建设标准设计》（2017版及补充版）的深度要求，并须确保设计成果资料须通过招标人与相关行政审批部门的审核[含：第三方施工图审查机构（包括：施工图消防审查机构）的审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仿宋_GB2312" w:cs="Times New Roman"/>
          <w:sz w:val="28"/>
          <w:szCs w:val="28"/>
          <w:lang w:val="en-US" w:eastAsia="zh-CN"/>
        </w:rPr>
        <w:t>设计方案需能够实现加油站场景“无感支付”智慧加油等功能。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eastAsia="仿宋_GB2312" w:cs="Times New Roman"/>
          <w:sz w:val="28"/>
          <w:szCs w:val="28"/>
          <w:lang w:val="en-US" w:eastAsia="zh-CN"/>
        </w:rPr>
        <w:t>符合国家现行设计规范及依据（包括但不限于）</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《民用建筑设计通则》GB50352-2005；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《建筑设计防火规范》GB50016-2014；</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《建筑内部装修设计防火规范》GB50222-95（2001年修订版）；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《汽车加油加气站设计与施工规范》GB50156-2012（2014年版）；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《加油站大气污染物排放标准》GB20952-2007；</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《工业金属管道工程施工规范》GB50235-2010；</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《现场设备、工业管道焊接工程施工规范》 GB50236-2011；</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《石油化工有毒、可燃介质钢制管道工程施工及验收规范》SH3501-2011；</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《石油化工厂区竖向工程施工及验收规范》SH3529-2005；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《建筑设计防火规范》GB50016-2014；</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《供配电系统设计规范》GB50052-2009；</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《建筑物防雷设计规范》GB50057-2010；</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《石油化工静电接地设计规范》SH3097-2000；</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《爆炸危险环境电力装置设计规范》GB50058-2014；</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《电力工程电缆设计规范》GB50217-2007；</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《建筑给水排水设计规范》GB50015-2003（2009年版）；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《建筑排水塑料管道工程技术规程》CJJ/T29-2010；</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《室外排水设计规范》GB50014-2006（2014年版）；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《室外给水设计规范》GB50013-2006；</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《消防给水及消火栓系统技术规范》GB50974-2014；</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《自动喷水灭火系统设计规范》GB50084-2001（2005年版）；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《民用建筑供暖通风与空气调节设计规范》GB50736-2012；</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《加油站用埋地钢-玻璃纤维增强塑料双层油罐工程技术规范》SH/T3178-2015；</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中国石油天然气股份有限公司《加油站建设标准设计》（2017版）；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《混凝土结构设计规范》GB50010-2010；</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《砌体结构设计规范》GB50003-2011；</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《建筑地基基础设计规范》GB50007-2011；</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《建筑抗震设计规范》GB50011-2010（2016年版）；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《建筑结构荷载规范》GB50009-2012；</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《屋面工程技术规范》GB50345-2012；</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《钢结构设计规范》GB50017-2003；</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《汽车加油加气站设计与施工规范》GB50156-2012（2014年版）；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《碳钢焊条》GB/T5117或《低合金钢焊条》GB/T5118；</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lef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仿宋_GB2312" w:cs="Times New Roman"/>
          <w:sz w:val="28"/>
          <w:szCs w:val="28"/>
          <w:lang w:val="en-US" w:eastAsia="zh-CN"/>
        </w:rPr>
        <w:t>《公共建筑节能（绿色建筑）设计标准》（DBJ50-052-2013）。</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eastAsia="仿宋_GB2312" w:cs="Times New Roman"/>
          <w:sz w:val="28"/>
          <w:szCs w:val="28"/>
          <w:lang w:val="en-US" w:eastAsia="zh-CN"/>
        </w:rPr>
        <w:t>设计工期要求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lef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仿宋_GB2312" w:cs="Times New Roman"/>
          <w:sz w:val="28"/>
          <w:szCs w:val="28"/>
          <w:lang w:val="en-US" w:eastAsia="zh-CN"/>
        </w:rPr>
        <w:t>自合同签订之日起</w:t>
      </w:r>
      <w:r>
        <w:rPr>
          <w:rFonts w:hint="eastAsia"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lang w:val="en-US" w:eastAsia="zh-CN"/>
        </w:rPr>
        <w:t>0日历天内完成施工图设计、施工图审查以及各专项方案编制报批工作。</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三、成果要求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发包人的成果要求。</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成果文件的组成：</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可研文本、报批文本、消防专篇、安全意见书、安全专篇、环评报告、地勘报告、施工图等。</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成果文件的深度：</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设计成果须满足业主及相关规范要求，确保通过具备法定资质的审图机构审查通过，提供图审合格证。</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成果文件的格式要求：</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设计成果文件格式须满足业主及相关规范要求，确保通过具备法定资质的审图机构审查通过，提供图审合格证。</w:t>
      </w:r>
    </w:p>
    <w:p>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成果文件的份数要求：</w:t>
      </w:r>
    </w:p>
    <w:p>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eastAsia="仿宋_GB2312" w:cs="Times New Roman"/>
          <w:sz w:val="28"/>
          <w:szCs w:val="28"/>
          <w:lang w:val="en-US" w:eastAsia="zh-CN"/>
        </w:rPr>
        <w:t>审定的施工图设计成果资料一式</w:t>
      </w:r>
      <w:r>
        <w:rPr>
          <w:rFonts w:hint="eastAsia" w:ascii="Times New Roman" w:hAnsi="Times New Roman" w:eastAsia="仿宋_GB2312" w:cs="Times New Roman"/>
          <w:sz w:val="28"/>
          <w:szCs w:val="28"/>
          <w:lang w:val="en-US" w:eastAsia="zh-CN"/>
        </w:rPr>
        <w:t>十</w:t>
      </w:r>
      <w:r>
        <w:rPr>
          <w:rFonts w:hint="default" w:ascii="Times New Roman" w:hAnsi="Times New Roman" w:eastAsia="仿宋_GB2312" w:cs="Times New Roman"/>
          <w:sz w:val="28"/>
          <w:szCs w:val="28"/>
          <w:lang w:val="en-US" w:eastAsia="zh-CN"/>
        </w:rPr>
        <w:t>份（含电子版）其他类型报告文件每样</w:t>
      </w:r>
      <w:r>
        <w:rPr>
          <w:rFonts w:hint="eastAsia" w:ascii="Times New Roman" w:hAnsi="Times New Roman" w:eastAsia="仿宋_GB2312" w:cs="Times New Roman"/>
          <w:sz w:val="28"/>
          <w:szCs w:val="28"/>
          <w:lang w:val="en-US" w:eastAsia="zh-CN"/>
        </w:rPr>
        <w:t>八</w:t>
      </w:r>
      <w:r>
        <w:rPr>
          <w:rFonts w:hint="default" w:ascii="Times New Roman" w:hAnsi="Times New Roman" w:eastAsia="仿宋_GB2312" w:cs="Times New Roman"/>
          <w:sz w:val="28"/>
          <w:szCs w:val="28"/>
          <w:lang w:val="en-US" w:eastAsia="zh-CN"/>
        </w:rPr>
        <w:t>份</w:t>
      </w:r>
      <w:r>
        <w:rPr>
          <w:rFonts w:hint="eastAsia" w:ascii="Times New Roman" w:hAnsi="Times New Roman" w:eastAsia="仿宋_GB2312" w:cs="Times New Roman"/>
          <w:sz w:val="28"/>
          <w:szCs w:val="28"/>
          <w:lang w:val="en-US" w:eastAsia="zh-CN"/>
        </w:rPr>
        <w:t>（含电子版）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5.成果文件的载体要求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（1）纸质版的要求：须满足业主、主管部门、施工现场及相关规范要求；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（2）电子版的要求：刻录光盘2份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（3）其他要求：</w:t>
      </w:r>
      <w:r>
        <w:rPr>
          <w:rFonts w:hint="default" w:ascii="Times New Roman" w:hAnsi="Times New Roman" w:eastAsia="仿宋_GB2312" w:cs="Times New Roman"/>
          <w:sz w:val="28"/>
          <w:szCs w:val="28"/>
          <w:lang w:val="en-US" w:eastAsia="zh-CN"/>
        </w:rPr>
        <w:t>为避免过度设计，承包人必须接收招标人在设计及施工阶段提出的设计优化，以达到投资控制的效果</w:t>
      </w:r>
      <w:r>
        <w:rPr>
          <w:rFonts w:hint="eastAsia" w:ascii="Times New Roman" w:hAnsi="Times New Roman" w:eastAsia="仿宋_GB2312" w:cs="Times New Roman"/>
          <w:sz w:val="28"/>
          <w:szCs w:val="28"/>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6.成果文件的其他要求：无</w:t>
      </w: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sz w:val="32"/>
          <w:szCs w:val="32"/>
          <w:highlight w:val="none"/>
          <w:lang w:val="en-US" w:eastAsia="zh-CN"/>
        </w:rPr>
      </w:pPr>
      <w:r>
        <w:rPr>
          <w:rFonts w:hint="default" w:ascii="Times New Roman" w:hAnsi="Times New Roman" w:eastAsia="宋体" w:cs="Times New Roman"/>
          <w:b/>
          <w:bCs/>
          <w:sz w:val="32"/>
          <w:szCs w:val="32"/>
          <w:highlight w:val="none"/>
          <w:lang w:val="en-US" w:eastAsia="zh-CN"/>
        </w:rPr>
        <w:t>第</w:t>
      </w:r>
      <w:r>
        <w:rPr>
          <w:rFonts w:hint="eastAsia" w:ascii="Times New Roman" w:hAnsi="Times New Roman" w:eastAsia="宋体" w:cs="Times New Roman"/>
          <w:b/>
          <w:bCs/>
          <w:sz w:val="32"/>
          <w:szCs w:val="32"/>
          <w:highlight w:val="none"/>
          <w:lang w:val="en-US" w:eastAsia="zh-CN"/>
        </w:rPr>
        <w:t>六</w:t>
      </w:r>
      <w:r>
        <w:rPr>
          <w:rFonts w:hint="default" w:ascii="Times New Roman" w:hAnsi="Times New Roman" w:eastAsia="宋体" w:cs="Times New Roman"/>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5"/>
        <w:jc w:val="center"/>
        <w:rPr>
          <w:rFonts w:hint="default" w:ascii="Times New Roman" w:hAnsi="Times New Roman" w:cs="Times New Roman"/>
        </w:rPr>
      </w:pPr>
      <w:bookmarkStart w:id="72" w:name="_Toc247514246"/>
      <w:bookmarkStart w:id="73" w:name="_Toc152045787"/>
      <w:bookmarkStart w:id="74" w:name="_Toc247527827"/>
      <w:bookmarkStart w:id="75" w:name="_Toc152042576"/>
      <w:bookmarkStart w:id="76" w:name="_Toc144974856"/>
      <w:bookmarkStart w:id="77" w:name="_Toc300835209"/>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eastAsia="宋体" w:cs="Times New Roman"/>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eastAsia="宋体"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5"/>
        <w:jc w:val="center"/>
        <w:rPr>
          <w:rFonts w:hint="default" w:ascii="Times New Roman" w:hAnsi="Times New Roman" w:eastAsia="黑体" w:cs="Times New Roman"/>
          <w:sz w:val="20"/>
          <w:szCs w:val="20"/>
        </w:rPr>
      </w:pPr>
      <w:bookmarkStart w:id="78" w:name="_Toc300835210"/>
      <w:bookmarkStart w:id="79" w:name="_Toc144974857"/>
      <w:bookmarkStart w:id="80" w:name="_Toc247527828"/>
      <w:bookmarkStart w:id="81" w:name="_Toc152045788"/>
      <w:bookmarkStart w:id="82" w:name="_Toc152042577"/>
      <w:bookmarkStart w:id="83" w:name="_Toc247514247"/>
      <w:r>
        <w:rPr>
          <w:rFonts w:hint="default" w:ascii="Times New Roman" w:hAnsi="Times New Roman" w:cs="Times New Roman"/>
        </w:rPr>
        <w:t>一、投标函及投标函附录</w:t>
      </w:r>
      <w:bookmarkEnd w:id="78"/>
      <w:bookmarkEnd w:id="79"/>
      <w:bookmarkEnd w:id="80"/>
      <w:bookmarkEnd w:id="81"/>
      <w:bookmarkEnd w:id="82"/>
      <w:bookmarkEnd w:id="83"/>
    </w:p>
    <w:p>
      <w:pPr>
        <w:spacing w:line="440" w:lineRule="exact"/>
        <w:rPr>
          <w:rFonts w:hint="default" w:ascii="Times New Roman" w:hAnsi="Times New Roman" w:eastAsia="宋体" w:cs="Times New Roman"/>
          <w:sz w:val="20"/>
          <w:szCs w:val="20"/>
          <w:lang w:val="en-US" w:eastAsia="zh-CN"/>
        </w:rPr>
      </w:pPr>
      <w:bookmarkStart w:id="84" w:name="_Toc152045790"/>
      <w:bookmarkStart w:id="85" w:name="_Toc247527830"/>
      <w:bookmarkStart w:id="86" w:name="_Toc247514249"/>
      <w:bookmarkStart w:id="87" w:name="_Toc152042579"/>
      <w:bookmarkStart w:id="88" w:name="_Toc144974859"/>
      <w:bookmarkStart w:id="89" w:name="_Toc300835212"/>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eastAsia="宋体" w:cs="Times New Roman"/>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服务</w:t>
      </w:r>
      <w:r>
        <w:rPr>
          <w:rFonts w:hint="default" w:ascii="Times New Roman" w:hAnsi="Times New Roman" w:cs="Times New Roman"/>
          <w:szCs w:val="21"/>
        </w:rPr>
        <w:t>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），服务期限：</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日历天，按合同约定完成本项全部工作。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eastAsia="宋体" w:cs="Times New Roman"/>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84"/>
    <w:bookmarkEnd w:id="85"/>
    <w:bookmarkEnd w:id="86"/>
    <w:bookmarkEnd w:id="87"/>
    <w:bookmarkEnd w:id="88"/>
    <w:bookmarkEnd w:id="89"/>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eastAsia="宋体" w:cs="Times New Roman"/>
          <w:sz w:val="20"/>
          <w:szCs w:val="20"/>
          <w:lang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spacing w:line="440" w:lineRule="exact"/>
              <w:jc w:val="center"/>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noWrap w:val="0"/>
            <w:vAlign w:val="center"/>
          </w:tcPr>
          <w:p>
            <w:pPr>
              <w:spacing w:line="440" w:lineRule="exact"/>
              <w:jc w:val="center"/>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noWrap w:val="0"/>
            <w:vAlign w:val="center"/>
          </w:tcPr>
          <w:p>
            <w:pPr>
              <w:spacing w:line="440" w:lineRule="exact"/>
              <w:jc w:val="center"/>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noWrap w:val="0"/>
            <w:vAlign w:val="center"/>
          </w:tcPr>
          <w:p>
            <w:pPr>
              <w:spacing w:line="440" w:lineRule="exact"/>
              <w:jc w:val="center"/>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spacing w:line="440" w:lineRule="exact"/>
              <w:jc w:val="center"/>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noWrap w:val="0"/>
            <w:vAlign w:val="center"/>
          </w:tcPr>
          <w:p>
            <w:pPr>
              <w:spacing w:line="440" w:lineRule="exact"/>
              <w:jc w:val="center"/>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noWrap w:val="0"/>
            <w:vAlign w:val="center"/>
          </w:tcPr>
          <w:p>
            <w:pPr>
              <w:spacing w:line="440" w:lineRule="exact"/>
              <w:jc w:val="both"/>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tc>
        <w:tc>
          <w:tcPr>
            <w:tcW w:w="3702" w:type="dxa"/>
            <w:noWrap w:val="0"/>
            <w:vAlign w:val="center"/>
          </w:tcPr>
          <w:p>
            <w:pPr>
              <w:spacing w:line="440" w:lineRule="exact"/>
              <w:jc w:val="center"/>
              <w:rPr>
                <w:rFonts w:hint="eastAsia" w:ascii="Times New Roman" w:hAnsi="Times New Roman" w:eastAsia="宋体" w:cs="Times New Roman"/>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spacing w:line="440" w:lineRule="exact"/>
              <w:jc w:val="center"/>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noWrap w:val="0"/>
            <w:vAlign w:val="center"/>
          </w:tcPr>
          <w:p>
            <w:pPr>
              <w:spacing w:line="440" w:lineRule="exact"/>
              <w:jc w:val="center"/>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noWrap w:val="0"/>
            <w:vAlign w:val="center"/>
          </w:tcPr>
          <w:p>
            <w:pPr>
              <w:spacing w:line="440" w:lineRule="exact"/>
              <w:jc w:val="both"/>
              <w:rPr>
                <w:rFonts w:hint="default" w:ascii="Times New Roman" w:hAnsi="Times New Roman" w:eastAsia="宋体" w:cs="Times New Roman"/>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 xml:space="preserve">      </w:t>
            </w:r>
            <w:r>
              <w:rPr>
                <w:rFonts w:hint="eastAsia" w:ascii="Times New Roman" w:hAnsi="Times New Roman" w:cs="Times New Roman"/>
                <w:sz w:val="20"/>
                <w:szCs w:val="20"/>
                <w:u w:val="none"/>
                <w:vertAlign w:val="baseline"/>
                <w:lang w:val="en-US" w:eastAsia="zh-CN"/>
              </w:rPr>
              <w:t>日历天</w:t>
            </w:r>
          </w:p>
        </w:tc>
        <w:tc>
          <w:tcPr>
            <w:tcW w:w="3702" w:type="dxa"/>
            <w:noWrap w:val="0"/>
            <w:vAlign w:val="center"/>
          </w:tcPr>
          <w:p>
            <w:pPr>
              <w:spacing w:line="440" w:lineRule="exact"/>
              <w:jc w:val="center"/>
              <w:rPr>
                <w:rFonts w:hint="eastAsia" w:ascii="Times New Roman" w:hAnsi="Times New Roman" w:eastAsia="宋体" w:cs="Times New Roman"/>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spacing w:line="440" w:lineRule="exact"/>
              <w:jc w:val="center"/>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noWrap w:val="0"/>
            <w:vAlign w:val="center"/>
          </w:tcPr>
          <w:p>
            <w:pPr>
              <w:spacing w:line="440" w:lineRule="exact"/>
              <w:jc w:val="center"/>
              <w:rPr>
                <w:rFonts w:hint="default" w:ascii="Times New Roman" w:hAnsi="Times New Roman" w:eastAsia="宋体"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合同价款确定方式</w:t>
            </w:r>
          </w:p>
        </w:tc>
        <w:tc>
          <w:tcPr>
            <w:tcW w:w="1984" w:type="dxa"/>
            <w:noWrap w:val="0"/>
            <w:vAlign w:val="center"/>
          </w:tcPr>
          <w:p>
            <w:pPr>
              <w:spacing w:line="440" w:lineRule="exact"/>
              <w:jc w:val="both"/>
              <w:rPr>
                <w:rFonts w:hint="eastAsia" w:ascii="Times New Roman" w:hAnsi="Times New Roman" w:eastAsia="宋体" w:cs="Times New Roman"/>
                <w:sz w:val="20"/>
                <w:szCs w:val="20"/>
                <w:vertAlign w:val="baseline"/>
                <w:lang w:eastAsia="zh-CN"/>
              </w:rPr>
            </w:pPr>
          </w:p>
        </w:tc>
        <w:tc>
          <w:tcPr>
            <w:tcW w:w="3702" w:type="dxa"/>
            <w:noWrap w:val="0"/>
            <w:vAlign w:val="center"/>
          </w:tcPr>
          <w:p>
            <w:pPr>
              <w:spacing w:line="440" w:lineRule="exact"/>
              <w:jc w:val="center"/>
              <w:rPr>
                <w:rFonts w:hint="eastAsia" w:ascii="Times New Roman" w:hAnsi="Times New Roman" w:eastAsia="宋体" w:cs="Times New Roman"/>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noWrap w:val="0"/>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noWrap w:val="0"/>
            <w:vAlign w:val="center"/>
          </w:tcPr>
          <w:p>
            <w:pPr>
              <w:spacing w:line="440" w:lineRule="exact"/>
              <w:jc w:val="center"/>
              <w:rPr>
                <w:rFonts w:hint="eastAsia" w:ascii="Times New Roman" w:hAnsi="Times New Roman" w:eastAsia="宋体" w:cs="Times New Roman"/>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noWrap w:val="0"/>
            <w:vAlign w:val="center"/>
          </w:tcPr>
          <w:p>
            <w:pPr>
              <w:spacing w:line="440" w:lineRule="exact"/>
              <w:jc w:val="center"/>
              <w:rPr>
                <w:rFonts w:hint="eastAsia" w:ascii="Times New Roman" w:hAnsi="Times New Roman" w:eastAsia="宋体" w:cs="Times New Roman"/>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noWrap w:val="0"/>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noWrap w:val="0"/>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noWrap w:val="0"/>
            <w:vAlign w:val="center"/>
          </w:tcPr>
          <w:p>
            <w:pPr>
              <w:spacing w:line="440" w:lineRule="exact"/>
              <w:jc w:val="center"/>
              <w:rPr>
                <w:rFonts w:hint="eastAsia" w:ascii="Times New Roman" w:hAnsi="Times New Roman" w:eastAsia="宋体" w:cs="Times New Roman"/>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noWrap w:val="0"/>
            <w:vAlign w:val="center"/>
          </w:tcPr>
          <w:p>
            <w:pPr>
              <w:spacing w:line="440" w:lineRule="exact"/>
              <w:jc w:val="center"/>
              <w:rPr>
                <w:rFonts w:hint="eastAsia" w:ascii="Times New Roman" w:hAnsi="Times New Roman" w:eastAsia="宋体" w:cs="Times New Roman"/>
                <w:sz w:val="20"/>
                <w:szCs w:val="20"/>
                <w:vertAlign w:val="baseline"/>
                <w:lang w:eastAsia="zh-CN"/>
              </w:rPr>
            </w:pPr>
          </w:p>
        </w:tc>
      </w:tr>
    </w:tbl>
    <w:p>
      <w:pPr>
        <w:spacing w:line="440" w:lineRule="exact"/>
        <w:rPr>
          <w:rFonts w:hint="eastAsia" w:ascii="Times New Roman" w:hAnsi="Times New Roman" w:eastAsia="宋体" w:cs="Times New Roman"/>
          <w:sz w:val="20"/>
          <w:szCs w:val="20"/>
          <w:lang w:eastAsia="zh-CN"/>
        </w:rPr>
      </w:pPr>
    </w:p>
    <w:p>
      <w:pPr>
        <w:spacing w:line="440" w:lineRule="exact"/>
        <w:rPr>
          <w:rFonts w:hint="eastAsia" w:ascii="Times New Roman" w:hAnsi="Times New Roman" w:eastAsia="宋体" w:cs="Times New Roman"/>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eastAsia="宋体" w:cs="Times New Roman"/>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0" w:name="_Toc300835213"/>
      <w:bookmarkStart w:id="91" w:name="_Toc144974860"/>
      <w:bookmarkStart w:id="92" w:name="_Toc152045791"/>
      <w:bookmarkStart w:id="93" w:name="_Toc247514283"/>
      <w:bookmarkStart w:id="94" w:name="_Toc247527831"/>
      <w:bookmarkStart w:id="95" w:name="_Toc152042580"/>
      <w:r>
        <w:rPr>
          <w:rFonts w:hint="default" w:ascii="Times New Roman" w:hAnsi="Times New Roman" w:cs="Times New Roman"/>
        </w:rPr>
        <w:br w:type="page"/>
      </w:r>
    </w:p>
    <w:p>
      <w:pPr>
        <w:pStyle w:val="5"/>
        <w:jc w:val="center"/>
        <w:rPr>
          <w:rFonts w:hint="default" w:ascii="Times New Roman" w:hAnsi="Times New Roman" w:cs="Times New Roman"/>
        </w:rPr>
      </w:pPr>
      <w:r>
        <w:rPr>
          <w:rFonts w:hint="default" w:ascii="Times New Roman" w:hAnsi="Times New Roman" w:cs="Times New Roman"/>
        </w:rPr>
        <w:t>二、法定代表人身份证明</w:t>
      </w:r>
      <w:bookmarkEnd w:id="90"/>
      <w:bookmarkEnd w:id="91"/>
      <w:bookmarkEnd w:id="92"/>
      <w:bookmarkEnd w:id="93"/>
      <w:bookmarkEnd w:id="94"/>
      <w:bookmarkEnd w:id="9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5"/>
        <w:jc w:val="center"/>
        <w:rPr>
          <w:rFonts w:hint="default" w:ascii="Times New Roman" w:hAnsi="Times New Roman" w:cs="Times New Roman"/>
        </w:rPr>
      </w:pPr>
      <w:bookmarkStart w:id="96" w:name="_Toc247514284"/>
      <w:bookmarkStart w:id="97" w:name="_Toc152042581"/>
      <w:bookmarkStart w:id="98" w:name="_Toc144974861"/>
      <w:bookmarkStart w:id="99" w:name="_Toc247527832"/>
      <w:bookmarkStart w:id="100" w:name="_Toc300835214"/>
      <w:bookmarkStart w:id="101" w:name="_Toc152045792"/>
      <w:r>
        <w:rPr>
          <w:rFonts w:hint="default" w:ascii="Times New Roman" w:hAnsi="Times New Roman" w:cs="Times New Roman"/>
        </w:rPr>
        <w:t>二、授权委托书</w:t>
      </w:r>
      <w:bookmarkEnd w:id="96"/>
      <w:bookmarkEnd w:id="97"/>
      <w:bookmarkEnd w:id="98"/>
      <w:bookmarkEnd w:id="99"/>
      <w:bookmarkEnd w:id="100"/>
      <w:bookmarkEnd w:id="101"/>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5"/>
        <w:jc w:val="center"/>
        <w:rPr>
          <w:rFonts w:hint="default" w:ascii="Times New Roman" w:hAnsi="Times New Roman" w:cs="Times New Roman"/>
          <w:highlight w:val="none"/>
        </w:rPr>
      </w:pPr>
      <w:bookmarkStart w:id="102" w:name="_Toc247514286"/>
      <w:bookmarkStart w:id="103" w:name="_Toc247527834"/>
      <w:bookmarkStart w:id="104" w:name="_Toc152045794"/>
      <w:bookmarkStart w:id="105" w:name="_Toc152042583"/>
      <w:bookmarkStart w:id="106" w:name="_Toc300835216"/>
      <w:bookmarkStart w:id="107"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2"/>
      <w:bookmarkEnd w:id="103"/>
      <w:bookmarkEnd w:id="104"/>
      <w:bookmarkEnd w:id="105"/>
      <w:bookmarkEnd w:id="106"/>
      <w:bookmarkEnd w:id="107"/>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bookmarkStart w:id="108" w:name="_Toc296602998"/>
      <w:r>
        <w:rPr>
          <w:rFonts w:hint="default" w:ascii="Times New Roman" w:hAnsi="Times New Roman" w:eastAsia="宋体" w:cs="Times New Roman"/>
          <w:b w:val="0"/>
          <w:bCs/>
          <w:color w:val="000000"/>
          <w:kern w:val="0"/>
          <w:sz w:val="24"/>
          <w:szCs w:val="24"/>
          <w:highlight w:val="none"/>
        </w:rPr>
        <w:t>1</w:t>
      </w:r>
      <w:r>
        <w:rPr>
          <w:rFonts w:hint="default" w:ascii="Times New Roman" w:hAnsi="Times New Roman" w:eastAsia="宋体" w:cs="Times New Roman"/>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eastAsia="宋体" w:cs="Times New Roman"/>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eastAsia="宋体" w:cs="Times New Roman"/>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r>
        <w:rPr>
          <w:rFonts w:hint="default" w:ascii="Times New Roman" w:hAnsi="Times New Roman" w:eastAsia="宋体" w:cs="Times New Roman"/>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eastAsia="宋体" w:cs="Times New Roman"/>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eastAsia="宋体" w:cs="Times New Roman"/>
          <w:b/>
          <w:color w:val="000000"/>
          <w:kern w:val="0"/>
          <w:sz w:val="24"/>
          <w:szCs w:val="24"/>
          <w:highlight w:val="none"/>
        </w:rPr>
        <w:t>备注：</w:t>
      </w:r>
      <w:r>
        <w:rPr>
          <w:rFonts w:hint="default" w:ascii="Times New Roman" w:hAnsi="Times New Roman" w:eastAsia="宋体" w:cs="Times New Roman"/>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08"/>
    <w:p>
      <w:pPr>
        <w:rPr>
          <w:rFonts w:hint="default" w:ascii="Times New Roman" w:hAnsi="Times New Roman" w:cs="Times New Roman"/>
        </w:rPr>
      </w:pPr>
      <w:bookmarkStart w:id="109" w:name="_Toc247514287"/>
      <w:bookmarkStart w:id="110" w:name="_Toc152042584"/>
      <w:bookmarkStart w:id="111" w:name="_Toc144974863"/>
      <w:bookmarkStart w:id="112" w:name="_Toc300835218"/>
      <w:bookmarkStart w:id="113" w:name="_Toc247527835"/>
      <w:bookmarkStart w:id="114" w:name="_Toc152045795"/>
      <w:r>
        <w:rPr>
          <w:rFonts w:hint="default" w:ascii="Times New Roman" w:hAnsi="Times New Roman" w:cs="Times New Roman"/>
        </w:rPr>
        <w:br w:type="page"/>
      </w:r>
    </w:p>
    <w:p>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09"/>
      <w:bookmarkEnd w:id="110"/>
      <w:bookmarkEnd w:id="111"/>
      <w:bookmarkEnd w:id="112"/>
      <w:bookmarkEnd w:id="113"/>
      <w:bookmarkEnd w:id="114"/>
      <w:r>
        <w:rPr>
          <w:rFonts w:hint="eastAsia" w:ascii="Times New Roman" w:hAnsi="Times New Roman" w:cs="Times New Roman"/>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b/>
                <w:bCs/>
                <w:vertAlign w:val="baseline"/>
                <w:lang w:val="en-US" w:eastAsia="zh-CN"/>
              </w:rPr>
            </w:pPr>
            <w:bookmarkStart w:id="115" w:name="_Toc247514288"/>
            <w:bookmarkStart w:id="116" w:name="_Toc152045796"/>
            <w:bookmarkStart w:id="117" w:name="_Toc152042585"/>
            <w:bookmarkStart w:id="118" w:name="_Toc300835221"/>
            <w:bookmarkStart w:id="119" w:name="_Toc247527836"/>
            <w:bookmarkStart w:id="120" w:name="_Toc144974864"/>
            <w:r>
              <w:rPr>
                <w:rFonts w:hint="eastAsia" w:ascii="Times New Roman" w:hAnsi="Times New Roman" w:cs="Times New Roman"/>
                <w:b/>
                <w:bCs/>
                <w:vertAlign w:val="baseline"/>
                <w:lang w:val="en-US" w:eastAsia="zh-CN"/>
              </w:rPr>
              <w:t>序号</w:t>
            </w:r>
          </w:p>
        </w:tc>
        <w:tc>
          <w:tcPr>
            <w:tcW w:w="2268"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noWrap w:val="0"/>
            <w:vAlign w:val="center"/>
          </w:tcPr>
          <w:p>
            <w:pPr>
              <w:jc w:val="center"/>
              <w:rPr>
                <w:rFonts w:hint="default" w:ascii="Times New Roman" w:hAnsi="Times New Roman" w:eastAsia="宋体" w:cs="Times New Roman"/>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noWrap w:val="0"/>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1</w:t>
            </w:r>
          </w:p>
        </w:tc>
        <w:tc>
          <w:tcPr>
            <w:tcW w:w="2268" w:type="dxa"/>
            <w:noWrap w:val="0"/>
            <w:vAlign w:val="center"/>
          </w:tcPr>
          <w:p>
            <w:pPr>
              <w:jc w:val="center"/>
              <w:rPr>
                <w:rFonts w:hint="default" w:ascii="Times New Roman" w:hAnsi="Times New Roman" w:cs="Times New Roman"/>
                <w:vertAlign w:val="baseline"/>
              </w:rPr>
            </w:pPr>
          </w:p>
        </w:tc>
        <w:tc>
          <w:tcPr>
            <w:tcW w:w="2268" w:type="dxa"/>
            <w:noWrap w:val="0"/>
            <w:vAlign w:val="center"/>
          </w:tcPr>
          <w:p>
            <w:pPr>
              <w:jc w:val="center"/>
              <w:rPr>
                <w:rFonts w:hint="default" w:ascii="Times New Roman" w:hAnsi="Times New Roman" w:cs="Times New Roman"/>
                <w:vertAlign w:val="baseline"/>
              </w:rPr>
            </w:pPr>
          </w:p>
        </w:tc>
        <w:tc>
          <w:tcPr>
            <w:tcW w:w="1134"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2</w:t>
            </w:r>
          </w:p>
        </w:tc>
        <w:tc>
          <w:tcPr>
            <w:tcW w:w="2268" w:type="dxa"/>
            <w:noWrap w:val="0"/>
            <w:vAlign w:val="center"/>
          </w:tcPr>
          <w:p>
            <w:pPr>
              <w:jc w:val="center"/>
              <w:rPr>
                <w:rFonts w:hint="default" w:ascii="Times New Roman" w:hAnsi="Times New Roman" w:cs="Times New Roman"/>
                <w:vertAlign w:val="baseline"/>
              </w:rPr>
            </w:pPr>
          </w:p>
        </w:tc>
        <w:tc>
          <w:tcPr>
            <w:tcW w:w="2268" w:type="dxa"/>
            <w:noWrap w:val="0"/>
            <w:vAlign w:val="center"/>
          </w:tcPr>
          <w:p>
            <w:pPr>
              <w:jc w:val="center"/>
              <w:rPr>
                <w:rFonts w:hint="default" w:ascii="Times New Roman" w:hAnsi="Times New Roman" w:cs="Times New Roman"/>
                <w:vertAlign w:val="baseline"/>
              </w:rPr>
            </w:pPr>
          </w:p>
        </w:tc>
        <w:tc>
          <w:tcPr>
            <w:tcW w:w="1134"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3</w:t>
            </w:r>
          </w:p>
        </w:tc>
        <w:tc>
          <w:tcPr>
            <w:tcW w:w="2268" w:type="dxa"/>
            <w:noWrap w:val="0"/>
            <w:vAlign w:val="center"/>
          </w:tcPr>
          <w:p>
            <w:pPr>
              <w:jc w:val="center"/>
              <w:rPr>
                <w:rFonts w:hint="default" w:ascii="Times New Roman" w:hAnsi="Times New Roman" w:cs="Times New Roman"/>
                <w:vertAlign w:val="baseline"/>
              </w:rPr>
            </w:pPr>
          </w:p>
        </w:tc>
        <w:tc>
          <w:tcPr>
            <w:tcW w:w="2268" w:type="dxa"/>
            <w:noWrap w:val="0"/>
            <w:vAlign w:val="center"/>
          </w:tcPr>
          <w:p>
            <w:pPr>
              <w:jc w:val="center"/>
              <w:rPr>
                <w:rFonts w:hint="default" w:ascii="Times New Roman" w:hAnsi="Times New Roman" w:cs="Times New Roman"/>
                <w:vertAlign w:val="baseline"/>
              </w:rPr>
            </w:pPr>
          </w:p>
        </w:tc>
        <w:tc>
          <w:tcPr>
            <w:tcW w:w="1134"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noWrap w:val="0"/>
            <w:vAlign w:val="center"/>
          </w:tcPr>
          <w:p>
            <w:pPr>
              <w:jc w:val="center"/>
              <w:rPr>
                <w:rFonts w:hint="default" w:ascii="Times New Roman" w:hAnsi="Times New Roman" w:cs="Times New Roman"/>
                <w:vertAlign w:val="baseline"/>
              </w:rPr>
            </w:pPr>
          </w:p>
        </w:tc>
        <w:tc>
          <w:tcPr>
            <w:tcW w:w="2268" w:type="dxa"/>
            <w:noWrap w:val="0"/>
            <w:vAlign w:val="center"/>
          </w:tcPr>
          <w:p>
            <w:pPr>
              <w:jc w:val="center"/>
              <w:rPr>
                <w:rFonts w:hint="default" w:ascii="Times New Roman" w:hAnsi="Times New Roman" w:cs="Times New Roman"/>
                <w:vertAlign w:val="baseline"/>
              </w:rPr>
            </w:pPr>
          </w:p>
        </w:tc>
        <w:tc>
          <w:tcPr>
            <w:tcW w:w="1134"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noWrap w:val="0"/>
            <w:vAlign w:val="center"/>
          </w:tcPr>
          <w:p>
            <w:pPr>
              <w:jc w:val="center"/>
              <w:rPr>
                <w:rFonts w:hint="default" w:ascii="Times New Roman" w:hAnsi="Times New Roman" w:cs="Times New Roman"/>
                <w:vertAlign w:val="baseline"/>
              </w:rPr>
            </w:pPr>
          </w:p>
        </w:tc>
        <w:tc>
          <w:tcPr>
            <w:tcW w:w="2268" w:type="dxa"/>
            <w:noWrap w:val="0"/>
            <w:vAlign w:val="center"/>
          </w:tcPr>
          <w:p>
            <w:pPr>
              <w:jc w:val="center"/>
              <w:rPr>
                <w:rFonts w:hint="default" w:ascii="Times New Roman" w:hAnsi="Times New Roman" w:cs="Times New Roman"/>
                <w:vertAlign w:val="baseline"/>
              </w:rPr>
            </w:pPr>
          </w:p>
        </w:tc>
        <w:tc>
          <w:tcPr>
            <w:tcW w:w="1134"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noWrap w:val="0"/>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noWrap w:val="0"/>
            <w:vAlign w:val="center"/>
          </w:tcPr>
          <w:p>
            <w:pPr>
              <w:jc w:val="center"/>
              <w:rPr>
                <w:rFonts w:hint="default" w:ascii="Times New Roman" w:hAnsi="Times New Roman" w:cs="Times New Roman"/>
                <w:vertAlign w:val="baseline"/>
              </w:rPr>
            </w:pPr>
          </w:p>
        </w:tc>
        <w:tc>
          <w:tcPr>
            <w:tcW w:w="2268" w:type="dxa"/>
            <w:noWrap w:val="0"/>
            <w:vAlign w:val="center"/>
          </w:tcPr>
          <w:p>
            <w:pPr>
              <w:jc w:val="center"/>
              <w:rPr>
                <w:rFonts w:hint="default" w:ascii="Times New Roman" w:hAnsi="Times New Roman" w:cs="Times New Roman"/>
                <w:vertAlign w:val="baseline"/>
              </w:rPr>
            </w:pPr>
          </w:p>
        </w:tc>
        <w:tc>
          <w:tcPr>
            <w:tcW w:w="1134"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noWrap w:val="0"/>
            <w:vAlign w:val="center"/>
          </w:tcPr>
          <w:p>
            <w:pPr>
              <w:jc w:val="center"/>
              <w:rPr>
                <w:rFonts w:hint="default" w:ascii="Times New Roman" w:hAnsi="Times New Roman" w:eastAsia="宋体" w:cs="Times New Roman"/>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noWrap w:val="0"/>
            <w:vAlign w:val="center"/>
          </w:tcPr>
          <w:p>
            <w:pPr>
              <w:jc w:val="center"/>
              <w:rPr>
                <w:rFonts w:hint="default" w:ascii="Times New Roman" w:hAnsi="Times New Roman" w:cs="Times New Roman"/>
                <w:vertAlign w:val="baseline"/>
              </w:rPr>
            </w:pPr>
          </w:p>
        </w:tc>
        <w:tc>
          <w:tcPr>
            <w:tcW w:w="2001" w:type="dxa"/>
            <w:noWrap w:val="0"/>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rPr>
      </w:pPr>
    </w:p>
    <w:p>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115"/>
    <w:bookmarkEnd w:id="116"/>
    <w:bookmarkEnd w:id="117"/>
    <w:bookmarkEnd w:id="118"/>
    <w:bookmarkEnd w:id="119"/>
    <w:bookmarkEnd w:id="120"/>
    <w:p>
      <w:pPr>
        <w:pStyle w:val="5"/>
        <w:jc w:val="center"/>
        <w:rPr>
          <w:rFonts w:hint="eastAsia"/>
          <w:highlight w:val="none"/>
        </w:rPr>
      </w:pPr>
      <w:bookmarkStart w:id="121" w:name="_Toc246997112"/>
      <w:bookmarkStart w:id="122" w:name="_Toc300835224"/>
      <w:bookmarkStart w:id="123" w:name="_Toc144974876"/>
      <w:bookmarkStart w:id="124" w:name="_Toc247514300"/>
      <w:bookmarkStart w:id="125" w:name="_Toc144974871"/>
      <w:bookmarkStart w:id="126" w:name="_Toc296602614"/>
      <w:bookmarkStart w:id="127" w:name="_Toc152045803"/>
      <w:bookmarkStart w:id="128" w:name="_Toc247527848"/>
      <w:bookmarkStart w:id="129" w:name="_Toc246996369"/>
      <w:bookmarkStart w:id="130" w:name="_Toc152042592"/>
      <w:bookmarkStart w:id="131" w:name="_Toc152042597"/>
      <w:bookmarkStart w:id="132" w:name="_Toc247085887"/>
      <w:bookmarkStart w:id="133" w:name="_Toc179632823"/>
      <w:bookmarkStart w:id="134" w:name="_Toc152045808"/>
      <w:r>
        <w:rPr>
          <w:rFonts w:hint="eastAsia"/>
          <w:highlight w:val="none"/>
          <w:lang w:val="en-US" w:eastAsia="zh-CN"/>
        </w:rPr>
        <w:t>五</w:t>
      </w:r>
      <w:r>
        <w:rPr>
          <w:highlight w:val="none"/>
        </w:rPr>
        <w:t>、资格审查资料</w:t>
      </w:r>
    </w:p>
    <w:p>
      <w:pPr>
        <w:pStyle w:val="6"/>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宋体"/>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宋体"/>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6"/>
        <w:jc w:val="both"/>
        <w:rPr>
          <w:rFonts w:hint="default" w:eastAsia="宋体"/>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rPr>
          <w:rFonts w:hint="eastAsia"/>
        </w:rPr>
      </w:pPr>
      <w:r>
        <w:rPr>
          <w:rFonts w:hint="eastAsia"/>
        </w:rPr>
        <w:br w:type="page"/>
      </w:r>
    </w:p>
    <w:p>
      <w:pPr>
        <w:pStyle w:val="6"/>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eastAsia="宋体" w:cs="Times New Roman"/>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eastAsia="宋体" w:cs="Times New Roman"/>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6"/>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7"/>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noWrap w:val="0"/>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6"/>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noWrap w:val="0"/>
            <w:vAlign w:val="center"/>
          </w:tcPr>
          <w:p>
            <w:pPr>
              <w:jc w:val="center"/>
              <w:rPr>
                <w:rFonts w:hint="eastAsia"/>
                <w:i w:val="0"/>
                <w:iCs w:val="0"/>
                <w:color w:val="auto"/>
                <w:u w:val="none"/>
                <w:vertAlign w:val="baseline"/>
                <w:lang w:val="en-US" w:eastAsia="zh-CN"/>
              </w:rPr>
            </w:pPr>
          </w:p>
        </w:tc>
        <w:tc>
          <w:tcPr>
            <w:tcW w:w="1134"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noWrap w:val="0"/>
            <w:vAlign w:val="center"/>
          </w:tcPr>
          <w:p>
            <w:pPr>
              <w:jc w:val="center"/>
              <w:rPr>
                <w:rFonts w:hint="eastAsia"/>
                <w:i w:val="0"/>
                <w:iCs w:val="0"/>
                <w:color w:val="auto"/>
                <w:u w:val="none"/>
                <w:vertAlign w:val="baseline"/>
                <w:lang w:val="en-US" w:eastAsia="zh-CN"/>
              </w:rPr>
            </w:pPr>
          </w:p>
        </w:tc>
        <w:tc>
          <w:tcPr>
            <w:tcW w:w="1701"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noWrap w:val="0"/>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noWrap w:val="0"/>
            <w:vAlign w:val="center"/>
          </w:tcPr>
          <w:p>
            <w:pPr>
              <w:jc w:val="center"/>
              <w:rPr>
                <w:rFonts w:hint="eastAsia"/>
                <w:i w:val="0"/>
                <w:iCs w:val="0"/>
                <w:color w:val="auto"/>
                <w:u w:val="none"/>
                <w:vertAlign w:val="baseline"/>
                <w:lang w:val="en-US" w:eastAsia="zh-CN"/>
              </w:rPr>
            </w:pPr>
          </w:p>
        </w:tc>
        <w:tc>
          <w:tcPr>
            <w:tcW w:w="1134"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noWrap w:val="0"/>
            <w:vAlign w:val="center"/>
          </w:tcPr>
          <w:p>
            <w:pPr>
              <w:jc w:val="center"/>
              <w:rPr>
                <w:rFonts w:hint="eastAsia"/>
                <w:i w:val="0"/>
                <w:iCs w:val="0"/>
                <w:color w:val="auto"/>
                <w:u w:val="none"/>
                <w:vertAlign w:val="baseline"/>
                <w:lang w:val="en-US" w:eastAsia="zh-CN"/>
              </w:rPr>
            </w:pPr>
          </w:p>
        </w:tc>
        <w:tc>
          <w:tcPr>
            <w:tcW w:w="1701"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noWrap w:val="0"/>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noWrap w:val="0"/>
            <w:vAlign w:val="center"/>
          </w:tcPr>
          <w:p>
            <w:pPr>
              <w:jc w:val="center"/>
              <w:rPr>
                <w:rFonts w:hint="eastAsia"/>
                <w:i w:val="0"/>
                <w:iCs w:val="0"/>
                <w:color w:val="auto"/>
                <w:u w:val="none"/>
                <w:vertAlign w:val="baseline"/>
                <w:lang w:val="en-US" w:eastAsia="zh-CN"/>
              </w:rPr>
            </w:pPr>
          </w:p>
        </w:tc>
        <w:tc>
          <w:tcPr>
            <w:tcW w:w="1701"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noWrap w:val="0"/>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noWrap w:val="0"/>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noWrap w:val="0"/>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noWrap w:val="0"/>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i w:val="0"/>
                <w:iCs w:val="0"/>
                <w:color w:val="auto"/>
                <w:u w:val="none"/>
                <w:vertAlign w:val="baseline"/>
                <w:lang w:val="en-US" w:eastAsia="zh-CN"/>
              </w:rPr>
            </w:pPr>
          </w:p>
        </w:tc>
        <w:tc>
          <w:tcPr>
            <w:tcW w:w="3402" w:type="dxa"/>
            <w:gridSpan w:val="3"/>
            <w:noWrap w:val="0"/>
            <w:vAlign w:val="center"/>
          </w:tcPr>
          <w:p>
            <w:pPr>
              <w:jc w:val="center"/>
              <w:rPr>
                <w:rFonts w:hint="eastAsia"/>
                <w:i w:val="0"/>
                <w:iCs w:val="0"/>
                <w:color w:val="auto"/>
                <w:u w:val="none"/>
                <w:vertAlign w:val="baseline"/>
                <w:lang w:val="en-US" w:eastAsia="zh-CN"/>
              </w:rPr>
            </w:pPr>
          </w:p>
        </w:tc>
        <w:tc>
          <w:tcPr>
            <w:tcW w:w="1701" w:type="dxa"/>
            <w:noWrap w:val="0"/>
            <w:vAlign w:val="center"/>
          </w:tcPr>
          <w:p>
            <w:pPr>
              <w:jc w:val="center"/>
              <w:rPr>
                <w:rFonts w:hint="eastAsia"/>
                <w:i w:val="0"/>
                <w:iCs w:val="0"/>
                <w:color w:val="auto"/>
                <w:u w:val="none"/>
                <w:vertAlign w:val="baseline"/>
                <w:lang w:val="en-US" w:eastAsia="zh-CN"/>
              </w:rPr>
            </w:pPr>
          </w:p>
        </w:tc>
        <w:tc>
          <w:tcPr>
            <w:tcW w:w="2285" w:type="dxa"/>
            <w:noWrap w:val="0"/>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i w:val="0"/>
                <w:iCs w:val="0"/>
                <w:color w:val="auto"/>
                <w:u w:val="none"/>
                <w:vertAlign w:val="baseline"/>
                <w:lang w:val="en-US" w:eastAsia="zh-CN"/>
              </w:rPr>
            </w:pPr>
          </w:p>
        </w:tc>
        <w:tc>
          <w:tcPr>
            <w:tcW w:w="3402" w:type="dxa"/>
            <w:gridSpan w:val="3"/>
            <w:noWrap w:val="0"/>
            <w:vAlign w:val="center"/>
          </w:tcPr>
          <w:p>
            <w:pPr>
              <w:jc w:val="center"/>
              <w:rPr>
                <w:rFonts w:hint="eastAsia"/>
                <w:i w:val="0"/>
                <w:iCs w:val="0"/>
                <w:color w:val="auto"/>
                <w:u w:val="none"/>
                <w:vertAlign w:val="baseline"/>
                <w:lang w:val="en-US" w:eastAsia="zh-CN"/>
              </w:rPr>
            </w:pPr>
          </w:p>
        </w:tc>
        <w:tc>
          <w:tcPr>
            <w:tcW w:w="1701" w:type="dxa"/>
            <w:noWrap w:val="0"/>
            <w:vAlign w:val="center"/>
          </w:tcPr>
          <w:p>
            <w:pPr>
              <w:jc w:val="center"/>
              <w:rPr>
                <w:rFonts w:hint="eastAsia"/>
                <w:i w:val="0"/>
                <w:iCs w:val="0"/>
                <w:color w:val="auto"/>
                <w:u w:val="none"/>
                <w:vertAlign w:val="baseline"/>
                <w:lang w:val="en-US" w:eastAsia="zh-CN"/>
              </w:rPr>
            </w:pPr>
          </w:p>
        </w:tc>
        <w:tc>
          <w:tcPr>
            <w:tcW w:w="2285" w:type="dxa"/>
            <w:noWrap w:val="0"/>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i w:val="0"/>
                <w:iCs w:val="0"/>
                <w:color w:val="auto"/>
                <w:u w:val="none"/>
                <w:vertAlign w:val="baseline"/>
                <w:lang w:val="en-US" w:eastAsia="zh-CN"/>
              </w:rPr>
            </w:pPr>
          </w:p>
        </w:tc>
        <w:tc>
          <w:tcPr>
            <w:tcW w:w="3402" w:type="dxa"/>
            <w:gridSpan w:val="3"/>
            <w:noWrap w:val="0"/>
            <w:vAlign w:val="center"/>
          </w:tcPr>
          <w:p>
            <w:pPr>
              <w:jc w:val="center"/>
              <w:rPr>
                <w:rFonts w:hint="eastAsia"/>
                <w:i w:val="0"/>
                <w:iCs w:val="0"/>
                <w:color w:val="auto"/>
                <w:u w:val="none"/>
                <w:vertAlign w:val="baseline"/>
                <w:lang w:val="en-US" w:eastAsia="zh-CN"/>
              </w:rPr>
            </w:pPr>
          </w:p>
        </w:tc>
        <w:tc>
          <w:tcPr>
            <w:tcW w:w="1701" w:type="dxa"/>
            <w:noWrap w:val="0"/>
            <w:vAlign w:val="center"/>
          </w:tcPr>
          <w:p>
            <w:pPr>
              <w:jc w:val="center"/>
              <w:rPr>
                <w:rFonts w:hint="eastAsia"/>
                <w:i w:val="0"/>
                <w:iCs w:val="0"/>
                <w:color w:val="auto"/>
                <w:u w:val="none"/>
                <w:vertAlign w:val="baseline"/>
                <w:lang w:val="en-US" w:eastAsia="zh-CN"/>
              </w:rPr>
            </w:pPr>
          </w:p>
        </w:tc>
        <w:tc>
          <w:tcPr>
            <w:tcW w:w="2285" w:type="dxa"/>
            <w:noWrap w:val="0"/>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i w:val="0"/>
                <w:iCs w:val="0"/>
                <w:color w:val="auto"/>
                <w:u w:val="none"/>
                <w:vertAlign w:val="baseline"/>
                <w:lang w:val="en-US" w:eastAsia="zh-CN"/>
              </w:rPr>
            </w:pPr>
          </w:p>
        </w:tc>
        <w:tc>
          <w:tcPr>
            <w:tcW w:w="3402" w:type="dxa"/>
            <w:gridSpan w:val="3"/>
            <w:noWrap w:val="0"/>
            <w:vAlign w:val="center"/>
          </w:tcPr>
          <w:p>
            <w:pPr>
              <w:jc w:val="center"/>
              <w:rPr>
                <w:rFonts w:hint="eastAsia"/>
                <w:i w:val="0"/>
                <w:iCs w:val="0"/>
                <w:color w:val="auto"/>
                <w:u w:val="none"/>
                <w:vertAlign w:val="baseline"/>
                <w:lang w:val="en-US" w:eastAsia="zh-CN"/>
              </w:rPr>
            </w:pPr>
          </w:p>
        </w:tc>
        <w:tc>
          <w:tcPr>
            <w:tcW w:w="1701" w:type="dxa"/>
            <w:noWrap w:val="0"/>
            <w:vAlign w:val="center"/>
          </w:tcPr>
          <w:p>
            <w:pPr>
              <w:jc w:val="center"/>
              <w:rPr>
                <w:rFonts w:hint="eastAsia"/>
                <w:i w:val="0"/>
                <w:iCs w:val="0"/>
                <w:color w:val="auto"/>
                <w:u w:val="none"/>
                <w:vertAlign w:val="baseline"/>
                <w:lang w:val="en-US" w:eastAsia="zh-CN"/>
              </w:rPr>
            </w:pPr>
          </w:p>
        </w:tc>
        <w:tc>
          <w:tcPr>
            <w:tcW w:w="2285" w:type="dxa"/>
            <w:noWrap w:val="0"/>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i w:val="0"/>
                <w:iCs w:val="0"/>
                <w:color w:val="auto"/>
                <w:u w:val="none"/>
                <w:vertAlign w:val="baseline"/>
                <w:lang w:val="en-US" w:eastAsia="zh-CN"/>
              </w:rPr>
            </w:pPr>
          </w:p>
        </w:tc>
        <w:tc>
          <w:tcPr>
            <w:tcW w:w="3402" w:type="dxa"/>
            <w:gridSpan w:val="3"/>
            <w:noWrap w:val="0"/>
            <w:vAlign w:val="center"/>
          </w:tcPr>
          <w:p>
            <w:pPr>
              <w:jc w:val="center"/>
              <w:rPr>
                <w:rFonts w:hint="eastAsia"/>
                <w:i w:val="0"/>
                <w:iCs w:val="0"/>
                <w:color w:val="auto"/>
                <w:u w:val="none"/>
                <w:vertAlign w:val="baseline"/>
                <w:lang w:val="en-US" w:eastAsia="zh-CN"/>
              </w:rPr>
            </w:pPr>
          </w:p>
        </w:tc>
        <w:tc>
          <w:tcPr>
            <w:tcW w:w="1701" w:type="dxa"/>
            <w:noWrap w:val="0"/>
            <w:vAlign w:val="center"/>
          </w:tcPr>
          <w:p>
            <w:pPr>
              <w:jc w:val="center"/>
              <w:rPr>
                <w:rFonts w:hint="eastAsia"/>
                <w:i w:val="0"/>
                <w:iCs w:val="0"/>
                <w:color w:val="auto"/>
                <w:u w:val="none"/>
                <w:vertAlign w:val="baseline"/>
                <w:lang w:val="en-US" w:eastAsia="zh-CN"/>
              </w:rPr>
            </w:pPr>
          </w:p>
        </w:tc>
        <w:tc>
          <w:tcPr>
            <w:tcW w:w="2285" w:type="dxa"/>
            <w:noWrap w:val="0"/>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i w:val="0"/>
                <w:iCs w:val="0"/>
                <w:color w:val="auto"/>
                <w:u w:val="none"/>
                <w:vertAlign w:val="baseline"/>
                <w:lang w:val="en-US" w:eastAsia="zh-CN"/>
              </w:rPr>
            </w:pPr>
          </w:p>
        </w:tc>
        <w:tc>
          <w:tcPr>
            <w:tcW w:w="3402" w:type="dxa"/>
            <w:gridSpan w:val="3"/>
            <w:noWrap w:val="0"/>
            <w:vAlign w:val="center"/>
          </w:tcPr>
          <w:p>
            <w:pPr>
              <w:jc w:val="center"/>
              <w:rPr>
                <w:rFonts w:hint="eastAsia"/>
                <w:i w:val="0"/>
                <w:iCs w:val="0"/>
                <w:color w:val="auto"/>
                <w:u w:val="none"/>
                <w:vertAlign w:val="baseline"/>
                <w:lang w:val="en-US" w:eastAsia="zh-CN"/>
              </w:rPr>
            </w:pPr>
          </w:p>
        </w:tc>
        <w:tc>
          <w:tcPr>
            <w:tcW w:w="1701" w:type="dxa"/>
            <w:noWrap w:val="0"/>
            <w:vAlign w:val="center"/>
          </w:tcPr>
          <w:p>
            <w:pPr>
              <w:jc w:val="center"/>
              <w:rPr>
                <w:rFonts w:hint="eastAsia"/>
                <w:i w:val="0"/>
                <w:iCs w:val="0"/>
                <w:color w:val="auto"/>
                <w:u w:val="none"/>
                <w:vertAlign w:val="baseline"/>
                <w:lang w:val="en-US" w:eastAsia="zh-CN"/>
              </w:rPr>
            </w:pPr>
          </w:p>
        </w:tc>
        <w:tc>
          <w:tcPr>
            <w:tcW w:w="2285" w:type="dxa"/>
            <w:noWrap w:val="0"/>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noWrap w:val="0"/>
            <w:vAlign w:val="center"/>
          </w:tcPr>
          <w:p>
            <w:pPr>
              <w:jc w:val="center"/>
              <w:rPr>
                <w:rFonts w:hint="eastAsia"/>
                <w:i w:val="0"/>
                <w:iCs w:val="0"/>
                <w:color w:val="auto"/>
                <w:u w:val="none"/>
                <w:vertAlign w:val="baseline"/>
                <w:lang w:val="en-US" w:eastAsia="zh-CN"/>
              </w:rPr>
            </w:pPr>
          </w:p>
        </w:tc>
        <w:tc>
          <w:tcPr>
            <w:tcW w:w="3402" w:type="dxa"/>
            <w:gridSpan w:val="3"/>
            <w:noWrap w:val="0"/>
            <w:vAlign w:val="center"/>
          </w:tcPr>
          <w:p>
            <w:pPr>
              <w:jc w:val="center"/>
              <w:rPr>
                <w:rFonts w:hint="eastAsia"/>
                <w:i w:val="0"/>
                <w:iCs w:val="0"/>
                <w:color w:val="auto"/>
                <w:u w:val="none"/>
                <w:vertAlign w:val="baseline"/>
                <w:lang w:val="en-US" w:eastAsia="zh-CN"/>
              </w:rPr>
            </w:pPr>
          </w:p>
        </w:tc>
        <w:tc>
          <w:tcPr>
            <w:tcW w:w="1701" w:type="dxa"/>
            <w:noWrap w:val="0"/>
            <w:vAlign w:val="center"/>
          </w:tcPr>
          <w:p>
            <w:pPr>
              <w:jc w:val="center"/>
              <w:rPr>
                <w:rFonts w:hint="eastAsia"/>
                <w:i w:val="0"/>
                <w:iCs w:val="0"/>
                <w:color w:val="auto"/>
                <w:u w:val="none"/>
                <w:vertAlign w:val="baseline"/>
                <w:lang w:val="en-US" w:eastAsia="zh-CN"/>
              </w:rPr>
            </w:pPr>
          </w:p>
        </w:tc>
        <w:tc>
          <w:tcPr>
            <w:tcW w:w="2285" w:type="dxa"/>
            <w:noWrap w:val="0"/>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pPr>
        <w:rPr>
          <w:rFonts w:hint="eastAsia"/>
          <w:i/>
          <w:iCs/>
          <w:color w:val="FF0000"/>
          <w:u w:val="single"/>
          <w:lang w:val="en-US" w:eastAsia="zh-CN"/>
        </w:rPr>
      </w:pPr>
      <w:r>
        <w:rPr>
          <w:rFonts w:hint="eastAsia"/>
          <w:i/>
          <w:iCs/>
          <w:color w:val="FF0000"/>
          <w:u w:val="single"/>
          <w:lang w:val="en-US" w:eastAsia="zh-CN"/>
        </w:rPr>
        <w:br w:type="page"/>
      </w:r>
    </w:p>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Pr>
        <w:pStyle w:val="5"/>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设计方案应包括（但不限于）下列内容：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5"/>
        <w:jc w:val="center"/>
        <w:rPr>
          <w:rFonts w:hint="default" w:ascii="Times New Roman" w:hAnsi="Times New Roman" w:cs="Times New Roman"/>
        </w:rPr>
      </w:pPr>
      <w:bookmarkStart w:id="135" w:name="_Toc300835233"/>
      <w:bookmarkStart w:id="136"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135"/>
      <w:bookmarkEnd w:id="136"/>
    </w:p>
    <w:p>
      <w:pPr>
        <w:ind w:firstLine="420" w:firstLineChars="200"/>
        <w:rPr>
          <w:rFonts w:hint="eastAsia" w:ascii="Times New Roman" w:hAnsi="Times New Roman" w:eastAsia="宋体"/>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1"/>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CA6CD3"/>
    <w:multiLevelType w:val="singleLevel"/>
    <w:tmpl w:val="13CA6CD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39634841"/>
    <w:rsid w:val="000A4B92"/>
    <w:rsid w:val="002609D3"/>
    <w:rsid w:val="002C069E"/>
    <w:rsid w:val="0040224D"/>
    <w:rsid w:val="00733B0B"/>
    <w:rsid w:val="00764376"/>
    <w:rsid w:val="00796B76"/>
    <w:rsid w:val="00850CC0"/>
    <w:rsid w:val="00B00F2F"/>
    <w:rsid w:val="00CF1606"/>
    <w:rsid w:val="00DD5B16"/>
    <w:rsid w:val="00FF308E"/>
    <w:rsid w:val="011E6004"/>
    <w:rsid w:val="0145105E"/>
    <w:rsid w:val="018C519F"/>
    <w:rsid w:val="019846E3"/>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BE3A7E"/>
    <w:rsid w:val="02F4317E"/>
    <w:rsid w:val="0324584F"/>
    <w:rsid w:val="032652C7"/>
    <w:rsid w:val="033964DC"/>
    <w:rsid w:val="034877EC"/>
    <w:rsid w:val="035021B2"/>
    <w:rsid w:val="03633AA8"/>
    <w:rsid w:val="03696450"/>
    <w:rsid w:val="038E65F9"/>
    <w:rsid w:val="03C10800"/>
    <w:rsid w:val="03C96DCC"/>
    <w:rsid w:val="03F73CA2"/>
    <w:rsid w:val="03FB71CD"/>
    <w:rsid w:val="04127BBC"/>
    <w:rsid w:val="041515CF"/>
    <w:rsid w:val="04210376"/>
    <w:rsid w:val="04212D24"/>
    <w:rsid w:val="042C575E"/>
    <w:rsid w:val="04382327"/>
    <w:rsid w:val="043A6EF6"/>
    <w:rsid w:val="043E2194"/>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20561C"/>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13E13"/>
    <w:rsid w:val="08ED571D"/>
    <w:rsid w:val="08F53A28"/>
    <w:rsid w:val="0922447E"/>
    <w:rsid w:val="0926237D"/>
    <w:rsid w:val="092D0C4C"/>
    <w:rsid w:val="096213E6"/>
    <w:rsid w:val="09641BD1"/>
    <w:rsid w:val="0967298A"/>
    <w:rsid w:val="097A0903"/>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773477"/>
    <w:rsid w:val="0C9F113B"/>
    <w:rsid w:val="0CA05EF5"/>
    <w:rsid w:val="0CD3448B"/>
    <w:rsid w:val="0CF072F3"/>
    <w:rsid w:val="0D2466BD"/>
    <w:rsid w:val="0D3A1668"/>
    <w:rsid w:val="0D5C2246"/>
    <w:rsid w:val="0D6A3C45"/>
    <w:rsid w:val="0D7F3B4D"/>
    <w:rsid w:val="0D84383E"/>
    <w:rsid w:val="0DA13B17"/>
    <w:rsid w:val="0DA277FF"/>
    <w:rsid w:val="0DB22432"/>
    <w:rsid w:val="0DB618D1"/>
    <w:rsid w:val="0DB8057F"/>
    <w:rsid w:val="0DC57869"/>
    <w:rsid w:val="0DD331D8"/>
    <w:rsid w:val="0DDB677F"/>
    <w:rsid w:val="0E093A81"/>
    <w:rsid w:val="0E1201C4"/>
    <w:rsid w:val="0E35096D"/>
    <w:rsid w:val="0E3C08A3"/>
    <w:rsid w:val="0E4868F2"/>
    <w:rsid w:val="0E4A0A8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BD0C1A"/>
    <w:rsid w:val="0FCA08C0"/>
    <w:rsid w:val="0FCA14B6"/>
    <w:rsid w:val="0FE42DE8"/>
    <w:rsid w:val="0FFA6EBC"/>
    <w:rsid w:val="101038A7"/>
    <w:rsid w:val="101E2D38"/>
    <w:rsid w:val="10446D2F"/>
    <w:rsid w:val="104957CA"/>
    <w:rsid w:val="104D6EF3"/>
    <w:rsid w:val="105C0433"/>
    <w:rsid w:val="1069417C"/>
    <w:rsid w:val="106C1E4B"/>
    <w:rsid w:val="108A23D3"/>
    <w:rsid w:val="1095135B"/>
    <w:rsid w:val="10997B3A"/>
    <w:rsid w:val="109C21F0"/>
    <w:rsid w:val="10D35E97"/>
    <w:rsid w:val="11114551"/>
    <w:rsid w:val="112269D1"/>
    <w:rsid w:val="11356135"/>
    <w:rsid w:val="11800917"/>
    <w:rsid w:val="118955AD"/>
    <w:rsid w:val="118C4D48"/>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30A80"/>
    <w:rsid w:val="14CD31B9"/>
    <w:rsid w:val="14D233B9"/>
    <w:rsid w:val="14DA6BBE"/>
    <w:rsid w:val="14E67563"/>
    <w:rsid w:val="14F926F4"/>
    <w:rsid w:val="15021B62"/>
    <w:rsid w:val="150A21BA"/>
    <w:rsid w:val="151779D1"/>
    <w:rsid w:val="1522437E"/>
    <w:rsid w:val="15283931"/>
    <w:rsid w:val="15382F40"/>
    <w:rsid w:val="15735E35"/>
    <w:rsid w:val="158374C1"/>
    <w:rsid w:val="15A62ECC"/>
    <w:rsid w:val="15B14179"/>
    <w:rsid w:val="15C516BD"/>
    <w:rsid w:val="161B48EC"/>
    <w:rsid w:val="166266B1"/>
    <w:rsid w:val="169528F0"/>
    <w:rsid w:val="16C724D4"/>
    <w:rsid w:val="16D411E7"/>
    <w:rsid w:val="16ED0036"/>
    <w:rsid w:val="170756D4"/>
    <w:rsid w:val="170F4587"/>
    <w:rsid w:val="173677DC"/>
    <w:rsid w:val="17485BB5"/>
    <w:rsid w:val="176115DC"/>
    <w:rsid w:val="176D7525"/>
    <w:rsid w:val="17824660"/>
    <w:rsid w:val="178F2FF8"/>
    <w:rsid w:val="179121FE"/>
    <w:rsid w:val="17915931"/>
    <w:rsid w:val="17A0779F"/>
    <w:rsid w:val="17C41ABF"/>
    <w:rsid w:val="18175D56"/>
    <w:rsid w:val="18276B10"/>
    <w:rsid w:val="188E16C2"/>
    <w:rsid w:val="18930C59"/>
    <w:rsid w:val="189B5F22"/>
    <w:rsid w:val="18A70256"/>
    <w:rsid w:val="18A944F8"/>
    <w:rsid w:val="18B73074"/>
    <w:rsid w:val="18DA76F1"/>
    <w:rsid w:val="19034C2D"/>
    <w:rsid w:val="1916127C"/>
    <w:rsid w:val="193D465D"/>
    <w:rsid w:val="193D4E12"/>
    <w:rsid w:val="194270CA"/>
    <w:rsid w:val="1944353C"/>
    <w:rsid w:val="195E6FCA"/>
    <w:rsid w:val="196C6238"/>
    <w:rsid w:val="198A59D6"/>
    <w:rsid w:val="199724DC"/>
    <w:rsid w:val="19A73D74"/>
    <w:rsid w:val="19A869BA"/>
    <w:rsid w:val="19AA5416"/>
    <w:rsid w:val="19CE7FF6"/>
    <w:rsid w:val="19D70C6D"/>
    <w:rsid w:val="19E2271F"/>
    <w:rsid w:val="1A075570"/>
    <w:rsid w:val="1A1C623A"/>
    <w:rsid w:val="1A270D5F"/>
    <w:rsid w:val="1A290AA2"/>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0F5E8B"/>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80FE4"/>
    <w:rsid w:val="1EA573D8"/>
    <w:rsid w:val="1EA77665"/>
    <w:rsid w:val="1EB0513B"/>
    <w:rsid w:val="1EB72F76"/>
    <w:rsid w:val="1EC10726"/>
    <w:rsid w:val="1EE36B2C"/>
    <w:rsid w:val="1EF342CB"/>
    <w:rsid w:val="1F020A44"/>
    <w:rsid w:val="1F041BC7"/>
    <w:rsid w:val="1F127B09"/>
    <w:rsid w:val="1F2354C8"/>
    <w:rsid w:val="1F36160E"/>
    <w:rsid w:val="1F3F33F9"/>
    <w:rsid w:val="1F5D00BF"/>
    <w:rsid w:val="1F640255"/>
    <w:rsid w:val="1F640BE6"/>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6B72AC"/>
    <w:rsid w:val="217422B6"/>
    <w:rsid w:val="2188758A"/>
    <w:rsid w:val="21910C81"/>
    <w:rsid w:val="21A61686"/>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6557EB"/>
    <w:rsid w:val="24691193"/>
    <w:rsid w:val="246C3A46"/>
    <w:rsid w:val="247152E7"/>
    <w:rsid w:val="24825899"/>
    <w:rsid w:val="24A751D4"/>
    <w:rsid w:val="24FF7718"/>
    <w:rsid w:val="251A7612"/>
    <w:rsid w:val="25237A22"/>
    <w:rsid w:val="252E0774"/>
    <w:rsid w:val="25481BCE"/>
    <w:rsid w:val="256E1E26"/>
    <w:rsid w:val="25812F8D"/>
    <w:rsid w:val="25814DB7"/>
    <w:rsid w:val="25824959"/>
    <w:rsid w:val="25987A23"/>
    <w:rsid w:val="25AF6E6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92A9C"/>
    <w:rsid w:val="27EC553C"/>
    <w:rsid w:val="280C4BFC"/>
    <w:rsid w:val="2813394B"/>
    <w:rsid w:val="281C1F63"/>
    <w:rsid w:val="281C54D8"/>
    <w:rsid w:val="283610D5"/>
    <w:rsid w:val="285F5293"/>
    <w:rsid w:val="28622D71"/>
    <w:rsid w:val="286E69FD"/>
    <w:rsid w:val="28783D0A"/>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892A30"/>
    <w:rsid w:val="2A9154D8"/>
    <w:rsid w:val="2AA04C57"/>
    <w:rsid w:val="2AD750C3"/>
    <w:rsid w:val="2AE77D08"/>
    <w:rsid w:val="2AEA3011"/>
    <w:rsid w:val="2AFA0B1C"/>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91421D"/>
    <w:rsid w:val="2DAB1C25"/>
    <w:rsid w:val="2DCC12FC"/>
    <w:rsid w:val="2DD66E3A"/>
    <w:rsid w:val="2DF17D73"/>
    <w:rsid w:val="2E2A477B"/>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E63F6"/>
    <w:rsid w:val="2F6F3C93"/>
    <w:rsid w:val="2F754A27"/>
    <w:rsid w:val="2FB1448A"/>
    <w:rsid w:val="2FC802AE"/>
    <w:rsid w:val="2FDC2C0D"/>
    <w:rsid w:val="301C41BF"/>
    <w:rsid w:val="302369A0"/>
    <w:rsid w:val="303474C0"/>
    <w:rsid w:val="305C41A9"/>
    <w:rsid w:val="307C26FF"/>
    <w:rsid w:val="30820205"/>
    <w:rsid w:val="308E41B5"/>
    <w:rsid w:val="30952C59"/>
    <w:rsid w:val="30FF4D69"/>
    <w:rsid w:val="310E5321"/>
    <w:rsid w:val="3113559B"/>
    <w:rsid w:val="311978DB"/>
    <w:rsid w:val="312421F6"/>
    <w:rsid w:val="3127420C"/>
    <w:rsid w:val="31477BEB"/>
    <w:rsid w:val="315523B1"/>
    <w:rsid w:val="3198056E"/>
    <w:rsid w:val="31CD31BF"/>
    <w:rsid w:val="31D72AD0"/>
    <w:rsid w:val="31E10F55"/>
    <w:rsid w:val="320B7F80"/>
    <w:rsid w:val="3219008D"/>
    <w:rsid w:val="32215B79"/>
    <w:rsid w:val="322241F2"/>
    <w:rsid w:val="3229379D"/>
    <w:rsid w:val="32294133"/>
    <w:rsid w:val="322D5AFA"/>
    <w:rsid w:val="32514C44"/>
    <w:rsid w:val="328916BE"/>
    <w:rsid w:val="32955203"/>
    <w:rsid w:val="32974C7A"/>
    <w:rsid w:val="32BB4ABE"/>
    <w:rsid w:val="32C8549C"/>
    <w:rsid w:val="32CA16D9"/>
    <w:rsid w:val="32E83928"/>
    <w:rsid w:val="32F45590"/>
    <w:rsid w:val="331C19F3"/>
    <w:rsid w:val="33380434"/>
    <w:rsid w:val="33577373"/>
    <w:rsid w:val="33773188"/>
    <w:rsid w:val="337E77C9"/>
    <w:rsid w:val="338F53C2"/>
    <w:rsid w:val="33925662"/>
    <w:rsid w:val="339B7AA1"/>
    <w:rsid w:val="33B7637D"/>
    <w:rsid w:val="33D4661F"/>
    <w:rsid w:val="33ED39C2"/>
    <w:rsid w:val="340F56DE"/>
    <w:rsid w:val="3425597D"/>
    <w:rsid w:val="342A5DF5"/>
    <w:rsid w:val="344851FD"/>
    <w:rsid w:val="349B5E0E"/>
    <w:rsid w:val="349D5ACD"/>
    <w:rsid w:val="34A432B6"/>
    <w:rsid w:val="34AA020B"/>
    <w:rsid w:val="34BC17DA"/>
    <w:rsid w:val="34D015E3"/>
    <w:rsid w:val="34F85DA8"/>
    <w:rsid w:val="3509398E"/>
    <w:rsid w:val="353461CA"/>
    <w:rsid w:val="3547266B"/>
    <w:rsid w:val="3554479E"/>
    <w:rsid w:val="357D63E5"/>
    <w:rsid w:val="357F00D0"/>
    <w:rsid w:val="35894506"/>
    <w:rsid w:val="35A377DB"/>
    <w:rsid w:val="35E7387F"/>
    <w:rsid w:val="35E81F7A"/>
    <w:rsid w:val="35EF4AF5"/>
    <w:rsid w:val="35F52BF3"/>
    <w:rsid w:val="360530D8"/>
    <w:rsid w:val="3605698A"/>
    <w:rsid w:val="36162F1C"/>
    <w:rsid w:val="363277D2"/>
    <w:rsid w:val="36372C24"/>
    <w:rsid w:val="366244D5"/>
    <w:rsid w:val="36A82C1D"/>
    <w:rsid w:val="36AD0C04"/>
    <w:rsid w:val="36B34449"/>
    <w:rsid w:val="36C342D9"/>
    <w:rsid w:val="370F2E93"/>
    <w:rsid w:val="370F32ED"/>
    <w:rsid w:val="374E35E0"/>
    <w:rsid w:val="37560CC6"/>
    <w:rsid w:val="378D0CEB"/>
    <w:rsid w:val="379A026D"/>
    <w:rsid w:val="37A2207E"/>
    <w:rsid w:val="37A2434F"/>
    <w:rsid w:val="37AB248B"/>
    <w:rsid w:val="37ED6D6E"/>
    <w:rsid w:val="380C3B20"/>
    <w:rsid w:val="381039F4"/>
    <w:rsid w:val="381B27FE"/>
    <w:rsid w:val="38422CE2"/>
    <w:rsid w:val="38464281"/>
    <w:rsid w:val="386E21B0"/>
    <w:rsid w:val="38AE496C"/>
    <w:rsid w:val="38B54D45"/>
    <w:rsid w:val="38CC1C5C"/>
    <w:rsid w:val="38D242CD"/>
    <w:rsid w:val="393E0C7A"/>
    <w:rsid w:val="39470BCD"/>
    <w:rsid w:val="39634841"/>
    <w:rsid w:val="39821F75"/>
    <w:rsid w:val="398B5520"/>
    <w:rsid w:val="398C3DB7"/>
    <w:rsid w:val="39A66134"/>
    <w:rsid w:val="39AB6275"/>
    <w:rsid w:val="39BE6D8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667011"/>
    <w:rsid w:val="3B79226F"/>
    <w:rsid w:val="3B7B3EEC"/>
    <w:rsid w:val="3B8F1138"/>
    <w:rsid w:val="3B904834"/>
    <w:rsid w:val="3B932344"/>
    <w:rsid w:val="3B9D20F5"/>
    <w:rsid w:val="3BB33F88"/>
    <w:rsid w:val="3BC15D34"/>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2571D3"/>
    <w:rsid w:val="3D7A2818"/>
    <w:rsid w:val="3D8106EA"/>
    <w:rsid w:val="3D834DF8"/>
    <w:rsid w:val="3DA352B1"/>
    <w:rsid w:val="3DBA61E7"/>
    <w:rsid w:val="3DC14624"/>
    <w:rsid w:val="3DD55956"/>
    <w:rsid w:val="3DE07138"/>
    <w:rsid w:val="3E100FFC"/>
    <w:rsid w:val="3E201534"/>
    <w:rsid w:val="3E651EE9"/>
    <w:rsid w:val="3E784A78"/>
    <w:rsid w:val="3E8554F5"/>
    <w:rsid w:val="3EB65E71"/>
    <w:rsid w:val="3EC33032"/>
    <w:rsid w:val="3EC61DB3"/>
    <w:rsid w:val="3EF62661"/>
    <w:rsid w:val="3F180E14"/>
    <w:rsid w:val="3F3C595E"/>
    <w:rsid w:val="3F45222C"/>
    <w:rsid w:val="3F59346C"/>
    <w:rsid w:val="3F657308"/>
    <w:rsid w:val="3F7846C7"/>
    <w:rsid w:val="3F7856B5"/>
    <w:rsid w:val="3F7970EE"/>
    <w:rsid w:val="3F8003ED"/>
    <w:rsid w:val="3F8B5F41"/>
    <w:rsid w:val="3FC519F7"/>
    <w:rsid w:val="3FD0326B"/>
    <w:rsid w:val="3FD34D1A"/>
    <w:rsid w:val="3FED63B1"/>
    <w:rsid w:val="40031733"/>
    <w:rsid w:val="40076D3D"/>
    <w:rsid w:val="401F65F0"/>
    <w:rsid w:val="40427C6E"/>
    <w:rsid w:val="404470DB"/>
    <w:rsid w:val="404C2292"/>
    <w:rsid w:val="405D572D"/>
    <w:rsid w:val="408D12A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B51AA1"/>
    <w:rsid w:val="42E61C5A"/>
    <w:rsid w:val="42FA6BD0"/>
    <w:rsid w:val="42FB4E01"/>
    <w:rsid w:val="4301585B"/>
    <w:rsid w:val="431B31A4"/>
    <w:rsid w:val="43325808"/>
    <w:rsid w:val="433E1CAF"/>
    <w:rsid w:val="43412297"/>
    <w:rsid w:val="43413ED4"/>
    <w:rsid w:val="43594499"/>
    <w:rsid w:val="43636C3F"/>
    <w:rsid w:val="436E5353"/>
    <w:rsid w:val="438073DF"/>
    <w:rsid w:val="43980E0E"/>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7090BF6"/>
    <w:rsid w:val="47191F43"/>
    <w:rsid w:val="471B210D"/>
    <w:rsid w:val="47330BB1"/>
    <w:rsid w:val="474340E1"/>
    <w:rsid w:val="4754737E"/>
    <w:rsid w:val="476E5DEA"/>
    <w:rsid w:val="478D50EB"/>
    <w:rsid w:val="47914A33"/>
    <w:rsid w:val="479B0044"/>
    <w:rsid w:val="479C10BC"/>
    <w:rsid w:val="47A4380D"/>
    <w:rsid w:val="47A6297A"/>
    <w:rsid w:val="47AD4553"/>
    <w:rsid w:val="47B35BF8"/>
    <w:rsid w:val="47C01A50"/>
    <w:rsid w:val="47C041C7"/>
    <w:rsid w:val="47CB4E60"/>
    <w:rsid w:val="47CD1E0C"/>
    <w:rsid w:val="47D964DB"/>
    <w:rsid w:val="47FC33A5"/>
    <w:rsid w:val="48012A31"/>
    <w:rsid w:val="481D4366"/>
    <w:rsid w:val="485803F1"/>
    <w:rsid w:val="485E2C28"/>
    <w:rsid w:val="4865215C"/>
    <w:rsid w:val="486942C4"/>
    <w:rsid w:val="487B552A"/>
    <w:rsid w:val="48842F37"/>
    <w:rsid w:val="48A34F21"/>
    <w:rsid w:val="48B05292"/>
    <w:rsid w:val="48B971DC"/>
    <w:rsid w:val="48C22893"/>
    <w:rsid w:val="48F556EA"/>
    <w:rsid w:val="491946D3"/>
    <w:rsid w:val="4924047E"/>
    <w:rsid w:val="49276380"/>
    <w:rsid w:val="493D0413"/>
    <w:rsid w:val="49441489"/>
    <w:rsid w:val="4948117F"/>
    <w:rsid w:val="494B0B0D"/>
    <w:rsid w:val="49593843"/>
    <w:rsid w:val="497E20AD"/>
    <w:rsid w:val="49820EB7"/>
    <w:rsid w:val="499416E9"/>
    <w:rsid w:val="49A63EAD"/>
    <w:rsid w:val="49B4166E"/>
    <w:rsid w:val="49BA2C9E"/>
    <w:rsid w:val="49BC3715"/>
    <w:rsid w:val="49C56A6D"/>
    <w:rsid w:val="49F72310"/>
    <w:rsid w:val="49FD2EE4"/>
    <w:rsid w:val="4A0B4FDE"/>
    <w:rsid w:val="4A343D11"/>
    <w:rsid w:val="4A497D35"/>
    <w:rsid w:val="4A8A37D8"/>
    <w:rsid w:val="4A8B4AB2"/>
    <w:rsid w:val="4AD9595B"/>
    <w:rsid w:val="4AF93EAE"/>
    <w:rsid w:val="4AFC3A3A"/>
    <w:rsid w:val="4B311212"/>
    <w:rsid w:val="4B313A42"/>
    <w:rsid w:val="4B3E6720"/>
    <w:rsid w:val="4B43535A"/>
    <w:rsid w:val="4B476348"/>
    <w:rsid w:val="4B625BF7"/>
    <w:rsid w:val="4BB21AF4"/>
    <w:rsid w:val="4BB54107"/>
    <w:rsid w:val="4BB67EEE"/>
    <w:rsid w:val="4BC923BA"/>
    <w:rsid w:val="4BD17814"/>
    <w:rsid w:val="4BDC5109"/>
    <w:rsid w:val="4BE84FA7"/>
    <w:rsid w:val="4BF70C92"/>
    <w:rsid w:val="4BFD0513"/>
    <w:rsid w:val="4C005E77"/>
    <w:rsid w:val="4C1A02C6"/>
    <w:rsid w:val="4C1C0305"/>
    <w:rsid w:val="4C2B76C1"/>
    <w:rsid w:val="4C5419A1"/>
    <w:rsid w:val="4C5429A3"/>
    <w:rsid w:val="4C645A11"/>
    <w:rsid w:val="4C7F1DD7"/>
    <w:rsid w:val="4C87254B"/>
    <w:rsid w:val="4CDE4416"/>
    <w:rsid w:val="4D004DF6"/>
    <w:rsid w:val="4D1C2C8C"/>
    <w:rsid w:val="4D1E77BE"/>
    <w:rsid w:val="4D245FC5"/>
    <w:rsid w:val="4D2B3B2C"/>
    <w:rsid w:val="4DA943B0"/>
    <w:rsid w:val="4DC515BB"/>
    <w:rsid w:val="4DCB5984"/>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ED0FB9"/>
    <w:rsid w:val="50561719"/>
    <w:rsid w:val="507410D2"/>
    <w:rsid w:val="50A4392E"/>
    <w:rsid w:val="50A97681"/>
    <w:rsid w:val="50AE3B94"/>
    <w:rsid w:val="50AF7418"/>
    <w:rsid w:val="50B61CDD"/>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893E80"/>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9E42FF"/>
    <w:rsid w:val="52B87033"/>
    <w:rsid w:val="52BE5917"/>
    <w:rsid w:val="52ED3633"/>
    <w:rsid w:val="52F766E2"/>
    <w:rsid w:val="53095B48"/>
    <w:rsid w:val="531B72EC"/>
    <w:rsid w:val="531E35FC"/>
    <w:rsid w:val="531E3DBA"/>
    <w:rsid w:val="532B1547"/>
    <w:rsid w:val="532C2C22"/>
    <w:rsid w:val="532E5CFE"/>
    <w:rsid w:val="533E6E17"/>
    <w:rsid w:val="5343182D"/>
    <w:rsid w:val="53552E21"/>
    <w:rsid w:val="535D3886"/>
    <w:rsid w:val="536C4A63"/>
    <w:rsid w:val="539B26A9"/>
    <w:rsid w:val="53A201DA"/>
    <w:rsid w:val="53B22D34"/>
    <w:rsid w:val="53B6236C"/>
    <w:rsid w:val="53BD6F30"/>
    <w:rsid w:val="540540F5"/>
    <w:rsid w:val="54231D7C"/>
    <w:rsid w:val="542913B3"/>
    <w:rsid w:val="543A39C2"/>
    <w:rsid w:val="543F18BA"/>
    <w:rsid w:val="54883400"/>
    <w:rsid w:val="54932F58"/>
    <w:rsid w:val="54A81CB5"/>
    <w:rsid w:val="54C41B11"/>
    <w:rsid w:val="55015AF2"/>
    <w:rsid w:val="550E49C6"/>
    <w:rsid w:val="55A47D96"/>
    <w:rsid w:val="55C94049"/>
    <w:rsid w:val="55DA287E"/>
    <w:rsid w:val="55DD1819"/>
    <w:rsid w:val="55EE6DAD"/>
    <w:rsid w:val="56073162"/>
    <w:rsid w:val="5609127C"/>
    <w:rsid w:val="56127A2D"/>
    <w:rsid w:val="56243B92"/>
    <w:rsid w:val="563A7E9B"/>
    <w:rsid w:val="563D619D"/>
    <w:rsid w:val="56413F2B"/>
    <w:rsid w:val="56537C47"/>
    <w:rsid w:val="565E03F5"/>
    <w:rsid w:val="56821842"/>
    <w:rsid w:val="56A010C0"/>
    <w:rsid w:val="56B96B8E"/>
    <w:rsid w:val="56C747B5"/>
    <w:rsid w:val="56D42684"/>
    <w:rsid w:val="56DD2471"/>
    <w:rsid w:val="571974A0"/>
    <w:rsid w:val="57210A6D"/>
    <w:rsid w:val="5744214A"/>
    <w:rsid w:val="574B480A"/>
    <w:rsid w:val="57543081"/>
    <w:rsid w:val="5789649C"/>
    <w:rsid w:val="57A373F0"/>
    <w:rsid w:val="57C83C57"/>
    <w:rsid w:val="57FB2FB4"/>
    <w:rsid w:val="582028C2"/>
    <w:rsid w:val="582908A2"/>
    <w:rsid w:val="583D07DD"/>
    <w:rsid w:val="585F1862"/>
    <w:rsid w:val="58620D26"/>
    <w:rsid w:val="58706FB1"/>
    <w:rsid w:val="587C5983"/>
    <w:rsid w:val="58E8415E"/>
    <w:rsid w:val="58ED1995"/>
    <w:rsid w:val="58FF1A45"/>
    <w:rsid w:val="591578E8"/>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53486"/>
    <w:rsid w:val="5B3A7E78"/>
    <w:rsid w:val="5B3D442E"/>
    <w:rsid w:val="5B412C22"/>
    <w:rsid w:val="5B4B2EB1"/>
    <w:rsid w:val="5B510D60"/>
    <w:rsid w:val="5B570332"/>
    <w:rsid w:val="5B5F0395"/>
    <w:rsid w:val="5B5F03A4"/>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07506"/>
    <w:rsid w:val="5CF73D69"/>
    <w:rsid w:val="5D202057"/>
    <w:rsid w:val="5D4700C2"/>
    <w:rsid w:val="5D5604AC"/>
    <w:rsid w:val="5D6C4615"/>
    <w:rsid w:val="5D7C5A81"/>
    <w:rsid w:val="5DD31E8F"/>
    <w:rsid w:val="5DDF2196"/>
    <w:rsid w:val="5DF704AE"/>
    <w:rsid w:val="5DF70E4E"/>
    <w:rsid w:val="5DF954B7"/>
    <w:rsid w:val="5DFF05CD"/>
    <w:rsid w:val="5E1672C2"/>
    <w:rsid w:val="5E1B6033"/>
    <w:rsid w:val="5E2612F9"/>
    <w:rsid w:val="5E534129"/>
    <w:rsid w:val="5E6E3C24"/>
    <w:rsid w:val="5E7255BD"/>
    <w:rsid w:val="5E937CCC"/>
    <w:rsid w:val="5ED66F6B"/>
    <w:rsid w:val="5EF83794"/>
    <w:rsid w:val="5F0173CC"/>
    <w:rsid w:val="5F1A1A93"/>
    <w:rsid w:val="5F287F7E"/>
    <w:rsid w:val="5F475677"/>
    <w:rsid w:val="5F484198"/>
    <w:rsid w:val="5F567498"/>
    <w:rsid w:val="5F7D71F9"/>
    <w:rsid w:val="5F8420E2"/>
    <w:rsid w:val="5F887220"/>
    <w:rsid w:val="5F9022AB"/>
    <w:rsid w:val="5FB81E56"/>
    <w:rsid w:val="5FD85FDC"/>
    <w:rsid w:val="5FEB78D3"/>
    <w:rsid w:val="5FEC00EE"/>
    <w:rsid w:val="600951D4"/>
    <w:rsid w:val="600D4872"/>
    <w:rsid w:val="6010358A"/>
    <w:rsid w:val="60145A3F"/>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432D9E"/>
    <w:rsid w:val="61456ACB"/>
    <w:rsid w:val="61683AEB"/>
    <w:rsid w:val="618A70BC"/>
    <w:rsid w:val="618D5E50"/>
    <w:rsid w:val="61963F6D"/>
    <w:rsid w:val="61BD1F9D"/>
    <w:rsid w:val="61DB7E59"/>
    <w:rsid w:val="61EA093B"/>
    <w:rsid w:val="62024DB4"/>
    <w:rsid w:val="62117D72"/>
    <w:rsid w:val="62140656"/>
    <w:rsid w:val="62210A89"/>
    <w:rsid w:val="62285DB7"/>
    <w:rsid w:val="622F759C"/>
    <w:rsid w:val="626857C6"/>
    <w:rsid w:val="626C17E1"/>
    <w:rsid w:val="62747173"/>
    <w:rsid w:val="6277728C"/>
    <w:rsid w:val="62923991"/>
    <w:rsid w:val="62966DA1"/>
    <w:rsid w:val="62B249B4"/>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C41783"/>
    <w:rsid w:val="64D14920"/>
    <w:rsid w:val="64DC3A26"/>
    <w:rsid w:val="64EA382F"/>
    <w:rsid w:val="64ED3306"/>
    <w:rsid w:val="65112EA3"/>
    <w:rsid w:val="6511603A"/>
    <w:rsid w:val="652763A9"/>
    <w:rsid w:val="653B0F51"/>
    <w:rsid w:val="65434194"/>
    <w:rsid w:val="65477730"/>
    <w:rsid w:val="654912E0"/>
    <w:rsid w:val="656A4332"/>
    <w:rsid w:val="65733372"/>
    <w:rsid w:val="65744876"/>
    <w:rsid w:val="657845AE"/>
    <w:rsid w:val="658128F3"/>
    <w:rsid w:val="65991D3E"/>
    <w:rsid w:val="659E280B"/>
    <w:rsid w:val="65B50011"/>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9092B"/>
    <w:rsid w:val="673F01D2"/>
    <w:rsid w:val="676777C3"/>
    <w:rsid w:val="677D4B8A"/>
    <w:rsid w:val="67802ACE"/>
    <w:rsid w:val="67804B33"/>
    <w:rsid w:val="67C40A09"/>
    <w:rsid w:val="67D020A7"/>
    <w:rsid w:val="67D600B8"/>
    <w:rsid w:val="67E4087E"/>
    <w:rsid w:val="67EC2FBF"/>
    <w:rsid w:val="6821192D"/>
    <w:rsid w:val="68337E89"/>
    <w:rsid w:val="68337EE8"/>
    <w:rsid w:val="683A6C76"/>
    <w:rsid w:val="685C5B46"/>
    <w:rsid w:val="686F1486"/>
    <w:rsid w:val="688C0656"/>
    <w:rsid w:val="688D6146"/>
    <w:rsid w:val="68AE1735"/>
    <w:rsid w:val="68B72950"/>
    <w:rsid w:val="68D60630"/>
    <w:rsid w:val="68F00432"/>
    <w:rsid w:val="68F8555D"/>
    <w:rsid w:val="691D712E"/>
    <w:rsid w:val="697E7396"/>
    <w:rsid w:val="69A009FE"/>
    <w:rsid w:val="69A729C5"/>
    <w:rsid w:val="69BE2739"/>
    <w:rsid w:val="69BF206E"/>
    <w:rsid w:val="69D47ED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CB0AD0"/>
    <w:rsid w:val="6AD34458"/>
    <w:rsid w:val="6ADC4801"/>
    <w:rsid w:val="6ADF25FC"/>
    <w:rsid w:val="6B020CD0"/>
    <w:rsid w:val="6B1148AC"/>
    <w:rsid w:val="6B3E0351"/>
    <w:rsid w:val="6B42449D"/>
    <w:rsid w:val="6B4A5562"/>
    <w:rsid w:val="6B565807"/>
    <w:rsid w:val="6B7174EC"/>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C4761A"/>
    <w:rsid w:val="6ED22FAC"/>
    <w:rsid w:val="6ED26905"/>
    <w:rsid w:val="6ED924EF"/>
    <w:rsid w:val="6EE20566"/>
    <w:rsid w:val="6EEB6DD8"/>
    <w:rsid w:val="6EF513F6"/>
    <w:rsid w:val="6F1F0771"/>
    <w:rsid w:val="6F3669E2"/>
    <w:rsid w:val="6F3A0437"/>
    <w:rsid w:val="6F452492"/>
    <w:rsid w:val="6F4E1ABB"/>
    <w:rsid w:val="6F5C03A9"/>
    <w:rsid w:val="6F65489B"/>
    <w:rsid w:val="6F86274A"/>
    <w:rsid w:val="6F8A6B50"/>
    <w:rsid w:val="6F9E4E98"/>
    <w:rsid w:val="6FB536E7"/>
    <w:rsid w:val="6FC169C6"/>
    <w:rsid w:val="6FD20CED"/>
    <w:rsid w:val="700148B1"/>
    <w:rsid w:val="700708F2"/>
    <w:rsid w:val="70262445"/>
    <w:rsid w:val="702E58D6"/>
    <w:rsid w:val="70796EB7"/>
    <w:rsid w:val="70846EFD"/>
    <w:rsid w:val="70891E2B"/>
    <w:rsid w:val="709304FC"/>
    <w:rsid w:val="70B21D55"/>
    <w:rsid w:val="70BA4068"/>
    <w:rsid w:val="70D12748"/>
    <w:rsid w:val="70F06D61"/>
    <w:rsid w:val="70F36F46"/>
    <w:rsid w:val="71231B23"/>
    <w:rsid w:val="713B214A"/>
    <w:rsid w:val="714633CE"/>
    <w:rsid w:val="714A76D4"/>
    <w:rsid w:val="715C3ADF"/>
    <w:rsid w:val="716166CD"/>
    <w:rsid w:val="7164006A"/>
    <w:rsid w:val="7177473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B14265"/>
    <w:rsid w:val="72CD2240"/>
    <w:rsid w:val="72DC19E2"/>
    <w:rsid w:val="72EC4E12"/>
    <w:rsid w:val="731C0851"/>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257746"/>
    <w:rsid w:val="75326EC3"/>
    <w:rsid w:val="75474A77"/>
    <w:rsid w:val="754F06CC"/>
    <w:rsid w:val="7551327B"/>
    <w:rsid w:val="755F3E02"/>
    <w:rsid w:val="755F782E"/>
    <w:rsid w:val="75925BF9"/>
    <w:rsid w:val="75A16A9F"/>
    <w:rsid w:val="75BC6CCF"/>
    <w:rsid w:val="75CB6E85"/>
    <w:rsid w:val="75DF67D4"/>
    <w:rsid w:val="75E27D49"/>
    <w:rsid w:val="761867BE"/>
    <w:rsid w:val="76365AD0"/>
    <w:rsid w:val="765D57EA"/>
    <w:rsid w:val="7688585F"/>
    <w:rsid w:val="76A06714"/>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0713B"/>
    <w:rsid w:val="784117AB"/>
    <w:rsid w:val="78510397"/>
    <w:rsid w:val="78552936"/>
    <w:rsid w:val="7860486D"/>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8C1740"/>
    <w:rsid w:val="7AAC462A"/>
    <w:rsid w:val="7AF84FA0"/>
    <w:rsid w:val="7AF909C6"/>
    <w:rsid w:val="7B574597"/>
    <w:rsid w:val="7B6273C9"/>
    <w:rsid w:val="7B6F1BD0"/>
    <w:rsid w:val="7B732126"/>
    <w:rsid w:val="7B755C15"/>
    <w:rsid w:val="7B7B20CE"/>
    <w:rsid w:val="7B8E1216"/>
    <w:rsid w:val="7B921D0F"/>
    <w:rsid w:val="7B9A1345"/>
    <w:rsid w:val="7BCA6C86"/>
    <w:rsid w:val="7C003703"/>
    <w:rsid w:val="7C044DA1"/>
    <w:rsid w:val="7C365DE1"/>
    <w:rsid w:val="7C5B51A1"/>
    <w:rsid w:val="7CA33449"/>
    <w:rsid w:val="7CCE4D69"/>
    <w:rsid w:val="7D0A0BA4"/>
    <w:rsid w:val="7D107AF3"/>
    <w:rsid w:val="7D4253C7"/>
    <w:rsid w:val="7D4C5341"/>
    <w:rsid w:val="7D4E5EE6"/>
    <w:rsid w:val="7D8901AD"/>
    <w:rsid w:val="7D8E577D"/>
    <w:rsid w:val="7D9A426A"/>
    <w:rsid w:val="7E006F08"/>
    <w:rsid w:val="7E01736D"/>
    <w:rsid w:val="7E333E03"/>
    <w:rsid w:val="7E391FE6"/>
    <w:rsid w:val="7E6A61F7"/>
    <w:rsid w:val="7E916762"/>
    <w:rsid w:val="7EA916FD"/>
    <w:rsid w:val="7EAB552B"/>
    <w:rsid w:val="7EE53C64"/>
    <w:rsid w:val="7EFA4EF8"/>
    <w:rsid w:val="7F541580"/>
    <w:rsid w:val="7F590594"/>
    <w:rsid w:val="7F667225"/>
    <w:rsid w:val="7F7B2EF8"/>
    <w:rsid w:val="7F844A6E"/>
    <w:rsid w:val="7FAA1C29"/>
    <w:rsid w:val="7FAC4830"/>
    <w:rsid w:val="7FB659E5"/>
    <w:rsid w:val="7FB7407D"/>
    <w:rsid w:val="7FEF65CD"/>
    <w:rsid w:val="7FF06812"/>
    <w:rsid w:val="7FF337B8"/>
    <w:rsid w:val="7FF61A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qFormat/>
    <w:uiPriority w:val="0"/>
    <w:pPr>
      <w:spacing w:after="120" w:afterLines="0"/>
      <w:ind w:left="420" w:leftChars="200"/>
    </w:p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9"/>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5307;&#26631;&#25991;&#20214;\&#26381;&#21153;&#31867;&#25307;&#26631;&#25991;&#20214;-&#32508;&#21512;&#35780;&#20272;&#27861;2.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服务类招标文件-综合评估法2.9.dot</Template>
  <Pages>40</Pages>
  <Words>14793</Words>
  <Characters>16508</Characters>
  <Lines>0</Lines>
  <Paragraphs>0</Paragraphs>
  <TotalTime>2</TotalTime>
  <ScaleCrop>false</ScaleCrop>
  <LinksUpToDate>false</LinksUpToDate>
  <CharactersWithSpaces>17922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2023-02-09T08:44:00Z</dcterms:created>
  <dc:creator>WPS_1666060532</dc:creator>
  <cp:lastModifiedBy>宅喵</cp:lastModifiedBy>
  <dcterms:modified xsi:type="dcterms:W3CDTF">2023-04-19T11:07:41Z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FC9739FDD9EC4A848C8F08563B837357_13</vt:lpwstr>
  </property>
</Properties>
</file>