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安徽安海新环境科技有限公司实验室装饰装修工程</w:t>
      </w:r>
      <w:permEnd w:id="0"/>
      <w:r>
        <w:rPr>
          <w:rFonts w:hint="eastAsia" w:ascii="Times New Roman" w:hAnsi="Times New Roman" w:eastAsia="黑体" w:cs="Times New Roman"/>
          <w:kern w:val="0"/>
          <w:sz w:val="32"/>
          <w:szCs w:val="32"/>
          <w:highlight w:val="none"/>
          <w:u w:val="none"/>
          <w:shd w:val="clear" w:color="auto" w:fill="auto"/>
          <w:lang w:val="en-US" w:eastAsia="zh-CN"/>
        </w:rPr>
        <w:t>施工（二次）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012</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w:t>
      </w: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安徽安海新环境科技有限公司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2023年3</w:t>
      </w:r>
      <w:r>
        <w:rPr>
          <w:rFonts w:hint="eastAsia" w:ascii="Times New Roman" w:hAnsi="Times New Roman" w:eastAsia="楷体" w:cs="Times New Roman"/>
          <w:kern w:val="0"/>
          <w:sz w:val="32"/>
          <w:szCs w:val="32"/>
          <w:highlight w:val="none"/>
          <w:u w:val="none"/>
          <w:shd w:val="clear" w:color="auto" w:fill="auto"/>
          <w:lang w:val="en-US" w:eastAsia="zh-CN"/>
        </w:rPr>
        <w:t>月</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none"/>
          <w:lang w:val="en-US" w:eastAsia="zh-CN"/>
        </w:rPr>
      </w:pPr>
      <w:permStart w:id="5"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安徽安海新环境科技有限公司实验室装饰装修工程</w:t>
      </w:r>
      <w:permEnd w:id="5"/>
      <w:r>
        <w:rPr>
          <w:rFonts w:hint="eastAsia" w:ascii="Times New Roman" w:hAnsi="Times New Roman" w:eastAsia="黑体" w:cs="Times New Roman"/>
          <w:sz w:val="28"/>
          <w:szCs w:val="28"/>
          <w:highlight w:val="none"/>
          <w:u w:val="none"/>
          <w:lang w:val="en-US" w:eastAsia="zh-CN"/>
        </w:rPr>
        <w:t>施工</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招标公告（二次）</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246996909"/>
      <w:bookmarkStart w:id="2" w:name="_Toc296602410"/>
      <w:bookmarkStart w:id="3" w:name="_Toc152042295"/>
      <w:bookmarkStart w:id="4" w:name="_Toc247085680"/>
      <w:bookmarkStart w:id="5" w:name="_Toc179632536"/>
      <w:bookmarkStart w:id="6" w:name="_Toc152045519"/>
      <w:bookmarkStart w:id="7" w:name="_Toc14497448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bookmarkStart w:id="8" w:name="_Toc144974488"/>
      <w:bookmarkStart w:id="9" w:name="_Toc246996910"/>
      <w:bookmarkStart w:id="10" w:name="_Toc247085681"/>
      <w:bookmarkStart w:id="11" w:name="_Toc296602411"/>
      <w:bookmarkStart w:id="12" w:name="_Toc179632537"/>
      <w:bookmarkStart w:id="13" w:name="_Toc246996167"/>
      <w:bookmarkStart w:id="14" w:name="_Toc152042296"/>
      <w:bookmarkStart w:id="15" w:name="_Toc15204552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安徽安海新环境科技有限公司实验室装饰装修工程</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cstheme="minorEastAsia"/>
          <w:sz w:val="28"/>
          <w:szCs w:val="28"/>
          <w:highlight w:val="none"/>
          <w:lang w:val="en-US" w:eastAsia="zh-CN"/>
        </w:rPr>
        <w:t>自筹资金</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招标人：</w:t>
      </w:r>
      <w:permStart w:id="8"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安徽安海新环境科技有限公司</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9" w:edGrp="everyone"/>
      <w:r>
        <w:rPr>
          <w:rFonts w:hint="eastAsia" w:asciiTheme="minorEastAsia" w:hAnsiTheme="minorEastAsia" w:eastAsiaTheme="minorEastAsia" w:cstheme="minorEastAsia"/>
          <w:color w:val="000000" w:themeColor="text1"/>
          <w:kern w:val="0"/>
          <w:sz w:val="28"/>
          <w:szCs w:val="28"/>
          <w:highlight w:val="none"/>
          <w:u w:val="none"/>
          <w:shd w:val="clear" w:color="auto" w:fill="auto"/>
          <w:lang w:val="en-US" w:eastAsia="zh-CN"/>
          <w14:textFill>
            <w14:solidFill>
              <w14:schemeClr w14:val="tx1"/>
            </w14:solidFill>
          </w14:textFill>
        </w:rPr>
        <w:t>安徽安海新环境科技有限公司实验室装饰装修工程位于亳州芜湖现代产业园区</w:t>
      </w:r>
      <w:r>
        <w:rPr>
          <w:rFonts w:hint="eastAsia" w:asciiTheme="minorEastAsia" w:hAnsiTheme="minorEastAsia" w:eastAsiaTheme="minorEastAsia" w:cstheme="minorEastAsia"/>
          <w:sz w:val="28"/>
          <w:szCs w:val="28"/>
          <w:lang w:eastAsia="zh-CN"/>
        </w:rPr>
        <w:t>标准化厂房一期六号楼三层，建筑面积约</w:t>
      </w:r>
      <w:r>
        <w:rPr>
          <w:rFonts w:hint="eastAsia" w:asciiTheme="minorEastAsia" w:hAnsiTheme="minorEastAsia" w:eastAsiaTheme="minorEastAsia" w:cstheme="minorEastAsia"/>
          <w:sz w:val="28"/>
          <w:szCs w:val="28"/>
          <w:lang w:val="en-US" w:eastAsia="zh-CN"/>
        </w:rPr>
        <w:t>1800平方，主要</w:t>
      </w:r>
      <w:r>
        <w:rPr>
          <w:rFonts w:hint="eastAsia" w:asciiTheme="minorEastAsia" w:hAnsiTheme="minorEastAsia" w:eastAsiaTheme="minorEastAsia" w:cstheme="minorEastAsia"/>
          <w:i w:val="0"/>
          <w:iCs w:val="0"/>
          <w:caps w:val="0"/>
          <w:color w:val="222222"/>
          <w:spacing w:val="8"/>
          <w:sz w:val="28"/>
          <w:szCs w:val="28"/>
          <w:shd w:val="clear" w:fill="FFFFFF"/>
        </w:rPr>
        <w:t>从事以环境检测和环境咨询为主的第三方检验检测</w:t>
      </w:r>
      <w:r>
        <w:rPr>
          <w:rFonts w:hint="eastAsia" w:asciiTheme="minorEastAsia" w:hAnsiTheme="minorEastAsia" w:eastAsiaTheme="minorEastAsia" w:cstheme="minorEastAsia"/>
          <w:i w:val="0"/>
          <w:iCs w:val="0"/>
          <w:caps w:val="0"/>
          <w:color w:val="222222"/>
          <w:spacing w:val="8"/>
          <w:sz w:val="28"/>
          <w:szCs w:val="28"/>
          <w:shd w:val="clear" w:fill="FFFFFF"/>
          <w:lang w:eastAsia="zh-CN"/>
        </w:rPr>
        <w:t>业务</w:t>
      </w:r>
      <w:r>
        <w:rPr>
          <w:rFonts w:hint="eastAsia" w:asciiTheme="minorEastAsia" w:hAnsiTheme="minorEastAsia" w:eastAsiaTheme="minorEastAsia" w:cstheme="minorEastAsia"/>
          <w:color w:val="FF0000"/>
          <w:sz w:val="28"/>
          <w:szCs w:val="28"/>
          <w:highlight w:val="none"/>
          <w:lang w:val="en-US" w:eastAsia="zh-CN"/>
        </w:rPr>
        <w:t>。</w:t>
      </w:r>
      <w:permEnd w:id="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0" w:edGrp="everyone"/>
      <w:r>
        <w:rPr>
          <w:rFonts w:hint="eastAsia" w:asciiTheme="minorEastAsia" w:hAnsiTheme="minorEastAsia" w:cstheme="minorEastAsia"/>
          <w:sz w:val="28"/>
          <w:szCs w:val="28"/>
          <w:highlight w:val="none"/>
          <w:lang w:val="en-US" w:eastAsia="zh-CN"/>
        </w:rPr>
        <w:t>1.</w:t>
      </w:r>
      <w:r>
        <w:rPr>
          <w:rFonts w:hint="eastAsia" w:asciiTheme="minorEastAsia" w:hAnsiTheme="minorEastAsia" w:eastAsiaTheme="minorEastAsia" w:cstheme="minorEastAsia"/>
          <w:sz w:val="28"/>
          <w:szCs w:val="28"/>
          <w:highlight w:val="none"/>
          <w:lang w:val="en-US" w:eastAsia="zh-CN"/>
        </w:rPr>
        <w:t>本项目图纸、工程量清单及招标文件范围内的实验室</w:t>
      </w:r>
      <w:r>
        <w:rPr>
          <w:rFonts w:hint="eastAsia" w:asciiTheme="minorEastAsia" w:hAnsiTheme="minorEastAsia" w:cstheme="minorEastAsia"/>
          <w:sz w:val="28"/>
          <w:szCs w:val="28"/>
          <w:highlight w:val="none"/>
          <w:lang w:val="en-US" w:eastAsia="zh-CN"/>
        </w:rPr>
        <w:t>相关</w:t>
      </w:r>
      <w:r>
        <w:rPr>
          <w:rFonts w:hint="eastAsia" w:asciiTheme="minorEastAsia" w:hAnsiTheme="minorEastAsia" w:eastAsiaTheme="minorEastAsia" w:cstheme="minorEastAsia"/>
          <w:sz w:val="28"/>
          <w:szCs w:val="28"/>
          <w:highlight w:val="none"/>
          <w:lang w:val="en-US" w:eastAsia="zh-CN"/>
        </w:rPr>
        <w:t>系统工程的施工，主要包含但不限于：</w:t>
      </w:r>
      <w:r>
        <w:rPr>
          <w:rFonts w:hint="eastAsia" w:asciiTheme="minorEastAsia" w:hAnsiTheme="minorEastAsia" w:cstheme="minorEastAsia"/>
          <w:sz w:val="28"/>
          <w:szCs w:val="28"/>
          <w:highlight w:val="none"/>
          <w:lang w:val="en-US" w:eastAsia="zh-CN"/>
        </w:rPr>
        <w:t>实验室建设、</w:t>
      </w:r>
      <w:r>
        <w:rPr>
          <w:rFonts w:hint="eastAsia" w:asciiTheme="minorEastAsia" w:hAnsiTheme="minorEastAsia" w:eastAsiaTheme="minorEastAsia" w:cstheme="minorEastAsia"/>
          <w:sz w:val="28"/>
          <w:szCs w:val="28"/>
          <w:highlight w:val="none"/>
          <w:lang w:val="en-US" w:eastAsia="zh-CN"/>
        </w:rPr>
        <w:t>实验室</w:t>
      </w:r>
      <w:r>
        <w:rPr>
          <w:rFonts w:hint="eastAsia" w:asciiTheme="minorEastAsia" w:hAnsiTheme="minorEastAsia" w:cstheme="minorEastAsia"/>
          <w:sz w:val="28"/>
          <w:szCs w:val="28"/>
          <w:highlight w:val="none"/>
          <w:lang w:val="en-US" w:eastAsia="zh-CN"/>
        </w:rPr>
        <w:t>消防、实验室废气</w:t>
      </w:r>
      <w:r>
        <w:rPr>
          <w:rFonts w:hint="eastAsia" w:asciiTheme="minorEastAsia" w:hAnsiTheme="minorEastAsia" w:eastAsiaTheme="minorEastAsia" w:cstheme="minorEastAsia"/>
          <w:sz w:val="28"/>
          <w:szCs w:val="28"/>
          <w:highlight w:val="none"/>
          <w:lang w:val="en-US" w:eastAsia="zh-CN"/>
        </w:rPr>
        <w:t>处理工程、实验室</w:t>
      </w:r>
      <w:r>
        <w:rPr>
          <w:rFonts w:hint="eastAsia" w:asciiTheme="minorEastAsia" w:hAnsiTheme="minorEastAsia" w:cstheme="minorEastAsia"/>
          <w:sz w:val="28"/>
          <w:szCs w:val="28"/>
          <w:highlight w:val="none"/>
          <w:lang w:val="en-US" w:eastAsia="zh-CN"/>
        </w:rPr>
        <w:t>废水处理、</w:t>
      </w:r>
      <w:r>
        <w:rPr>
          <w:rFonts w:hint="eastAsia" w:asciiTheme="minorEastAsia" w:hAnsiTheme="minorEastAsia" w:eastAsiaTheme="minorEastAsia" w:cstheme="minorEastAsia"/>
          <w:sz w:val="28"/>
          <w:szCs w:val="28"/>
          <w:highlight w:val="none"/>
          <w:lang w:val="en-US" w:eastAsia="zh-CN"/>
        </w:rPr>
        <w:t>暖通工程、装饰装修等工程施工。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（2）承包范围内相关工程的预留、预埋、开孔、恢复、封堵等；</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lang w:val="en-US" w:eastAsia="zh-CN"/>
        </w:rPr>
        <w:t>）投标人须为本项目提供交钥匙服务，</w:t>
      </w:r>
      <w:r>
        <w:rPr>
          <w:rFonts w:hint="eastAsia" w:asciiTheme="minorEastAsia" w:hAnsiTheme="minorEastAsia" w:eastAsiaTheme="minorEastAsia" w:cstheme="minorEastAsia"/>
          <w:color w:val="FF0000"/>
          <w:sz w:val="28"/>
          <w:szCs w:val="28"/>
          <w:highlight w:val="none"/>
          <w:lang w:val="en-US" w:eastAsia="zh-CN"/>
        </w:rPr>
        <w:t>具体施工内容以设计图纸、工程量清单为准。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（4）强弱电工程不在本项目实施范围内。</w:t>
      </w:r>
    </w:p>
    <w:permEnd w:id="1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12"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60</w:t>
      </w:r>
      <w:r>
        <w:rPr>
          <w:rFonts w:hint="eastAsia" w:asciiTheme="minorEastAsia" w:hAnsiTheme="minorEastAsia" w:eastAsiaTheme="minorEastAsia" w:cstheme="minorEastAsia"/>
          <w:sz w:val="28"/>
          <w:szCs w:val="28"/>
          <w:highlight w:val="none"/>
          <w:lang w:val="en-US" w:eastAsia="zh-CN"/>
        </w:rPr>
        <w:t>日历天</w:t>
      </w:r>
      <w:permEnd w:id="12"/>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3" w:edGrp="everyone"/>
      <w:r>
        <w:rPr>
          <w:rFonts w:hint="eastAsia" w:asciiTheme="minorEastAsia" w:hAnsiTheme="minorEastAsia" w:cstheme="minorEastAsia"/>
          <w:color w:val="FF0000"/>
          <w:sz w:val="28"/>
          <w:szCs w:val="28"/>
          <w:highlight w:val="none"/>
          <w:lang w:val="en-US" w:eastAsia="zh-CN"/>
        </w:rPr>
        <w:t>（含税）</w:t>
      </w:r>
      <w:permEnd w:id="13"/>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1455425.96元</w:t>
      </w:r>
      <w:r>
        <w:rPr>
          <w:rFonts w:hint="eastAsia" w:asciiTheme="minorEastAsia" w:hAnsiTheme="minorEastAsia" w:eastAsiaTheme="minorEastAsia" w:cstheme="minorEastAsia"/>
          <w:sz w:val="28"/>
          <w:szCs w:val="28"/>
          <w:highlight w:val="none"/>
          <w:u w:val="single"/>
          <w:lang w:val="en-US" w:eastAsia="zh-CN"/>
        </w:rPr>
        <w:t xml:space="preserve"> </w:t>
      </w:r>
      <w:permEnd w:id="14"/>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5" w:edGrp="everyone"/>
      <w:r>
        <w:rPr>
          <w:rFonts w:hint="eastAsia" w:asciiTheme="minorEastAsia" w:hAnsiTheme="minorEastAsia" w:eastAsiaTheme="minorEastAsia" w:cstheme="minorEastAsia"/>
          <w:color w:val="FF0000"/>
          <w:sz w:val="28"/>
          <w:szCs w:val="28"/>
          <w:highlight w:val="none"/>
          <w:u w:val="single"/>
          <w:lang w:val="en-US" w:eastAsia="zh-CN"/>
        </w:rPr>
        <w:t>固定总价</w:t>
      </w:r>
      <w:permEnd w:id="15"/>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6"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6"/>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仿宋" w:hAnsi="仿宋" w:eastAsia="仿宋" w:cs="仿宋"/>
          <w:spacing w:val="-8"/>
          <w:sz w:val="30"/>
          <w:szCs w:val="30"/>
          <w:lang w:val="en-US" w:eastAsia="zh-CN"/>
        </w:rPr>
        <w:t>建筑装修装饰工程二级及以上专业承包资质</w:t>
      </w:r>
      <w:r>
        <w:rPr>
          <w:rFonts w:ascii="仿宋" w:hAnsi="仿宋" w:eastAsia="仿宋" w:cs="仿宋"/>
          <w:spacing w:val="-5"/>
          <w:sz w:val="30"/>
          <w:szCs w:val="30"/>
        </w:rPr>
        <w:t>且具有有效的安全生产许可证</w:t>
      </w:r>
      <w:permEnd w:id="17"/>
      <w:r>
        <w:rPr>
          <w:rFonts w:hint="eastAsia" w:asciiTheme="minorEastAsia" w:hAnsiTheme="minorEastAsia" w:eastAsiaTheme="minorEastAsia" w:cstheme="minorEastAsia"/>
          <w:sz w:val="28"/>
          <w:szCs w:val="28"/>
          <w:highlight w:val="none"/>
          <w:lang w:val="en-US" w:eastAsia="zh-CN"/>
        </w:rPr>
        <w:t>资质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permStart w:id="18" w:edGrp="everyone"/>
      <w:r>
        <w:rPr>
          <w:rFonts w:hint="eastAsia" w:asciiTheme="minorEastAsia" w:hAnsiTheme="minorEastAsia" w:eastAsiaTheme="minorEastAsia" w:cstheme="minorEastAsia"/>
          <w:spacing w:val="-1"/>
          <w:sz w:val="28"/>
          <w:szCs w:val="28"/>
          <w:u w:val="single"/>
        </w:rPr>
        <w:t>建筑工</w:t>
      </w:r>
      <w:r>
        <w:rPr>
          <w:rFonts w:hint="eastAsia" w:asciiTheme="minorEastAsia" w:hAnsiTheme="minorEastAsia" w:eastAsiaTheme="minorEastAsia" w:cstheme="minorEastAsia"/>
          <w:spacing w:val="-8"/>
          <w:sz w:val="28"/>
          <w:szCs w:val="28"/>
          <w:u w:val="single"/>
        </w:rPr>
        <w:t>程或机电安装工程专业贰级及以上</w:t>
      </w:r>
      <w:r>
        <w:rPr>
          <w:rFonts w:hint="eastAsia" w:asciiTheme="minorEastAsia" w:hAnsiTheme="minorEastAsia" w:eastAsiaTheme="minorEastAsia" w:cstheme="minorEastAsia"/>
          <w:sz w:val="28"/>
          <w:szCs w:val="28"/>
          <w:highlight w:val="none"/>
          <w:lang w:val="en-US" w:eastAsia="zh-CN"/>
        </w:rPr>
        <w:t>注册建造师执业资格，具备有效的安全考核合格证书B证，无被亳州市市本级及县区各行业主管部门或公共资源交易监管部门限制投标的不良行为记录（有效期内），未在其他项目上任职，或虽然在其他项目上任职，但承诺本项目中标通知书发放后，10个工作日内，且在合同签订前能够从其他项目变更至本项目并全面履约</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且符合注册建造师执业管理办法规定</w:t>
      </w:r>
      <w:r>
        <w:rPr>
          <w:rFonts w:hint="eastAsia" w:asciiTheme="minorEastAsia" w:hAnsiTheme="minorEastAsia" w:cstheme="minorEastAsia"/>
          <w:sz w:val="28"/>
          <w:szCs w:val="28"/>
          <w:highlight w:val="none"/>
          <w:lang w:val="en-US" w:eastAsia="zh-CN"/>
        </w:rPr>
        <w:t>；</w:t>
      </w:r>
      <w:permEnd w:id="1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permStart w:id="19" w:edGrp="everyone"/>
      <w:r>
        <w:rPr>
          <w:rFonts w:hint="eastAsia" w:asciiTheme="minorEastAsia" w:hAnsiTheme="minorEastAsia" w:eastAsiaTheme="minorEastAsia" w:cstheme="minorEastAsia"/>
          <w:spacing w:val="-14"/>
          <w:w w:val="97"/>
          <w:sz w:val="28"/>
          <w:szCs w:val="28"/>
          <w:u w:val="single"/>
        </w:rPr>
        <w:t>20</w:t>
      </w:r>
      <w:r>
        <w:rPr>
          <w:rFonts w:hint="eastAsia" w:asciiTheme="minorEastAsia" w:hAnsiTheme="minorEastAsia" w:cstheme="minorEastAsia"/>
          <w:spacing w:val="-14"/>
          <w:w w:val="97"/>
          <w:sz w:val="28"/>
          <w:szCs w:val="28"/>
          <w:u w:val="single"/>
          <w:lang w:val="en-US" w:eastAsia="zh-CN"/>
        </w:rPr>
        <w:t>20</w:t>
      </w:r>
      <w:r>
        <w:rPr>
          <w:rFonts w:hint="eastAsia" w:asciiTheme="minorEastAsia" w:hAnsiTheme="minorEastAsia" w:eastAsiaTheme="minorEastAsia" w:cstheme="minorEastAsia"/>
          <w:spacing w:val="-50"/>
          <w:sz w:val="28"/>
          <w:szCs w:val="28"/>
          <w:u w:val="single"/>
        </w:rPr>
        <w:t xml:space="preserve"> </w:t>
      </w:r>
      <w:r>
        <w:rPr>
          <w:rFonts w:hint="eastAsia" w:asciiTheme="minorEastAsia" w:hAnsiTheme="minorEastAsia" w:eastAsiaTheme="minorEastAsia" w:cstheme="minorEastAsia"/>
          <w:spacing w:val="-14"/>
          <w:w w:val="97"/>
          <w:sz w:val="28"/>
          <w:szCs w:val="28"/>
          <w:u w:val="single"/>
        </w:rPr>
        <w:t>年</w:t>
      </w:r>
      <w:r>
        <w:rPr>
          <w:rFonts w:hint="eastAsia" w:asciiTheme="minorEastAsia" w:hAnsiTheme="minorEastAsia" w:eastAsiaTheme="minorEastAsia" w:cstheme="minorEastAsia"/>
          <w:spacing w:val="-40"/>
          <w:sz w:val="28"/>
          <w:szCs w:val="28"/>
          <w:u w:val="single"/>
        </w:rPr>
        <w:t xml:space="preserve"> </w:t>
      </w:r>
      <w:r>
        <w:rPr>
          <w:rFonts w:hint="eastAsia" w:asciiTheme="minorEastAsia" w:hAnsiTheme="minorEastAsia" w:eastAsiaTheme="minorEastAsia" w:cstheme="minorEastAsia"/>
          <w:spacing w:val="-14"/>
          <w:w w:val="97"/>
          <w:sz w:val="28"/>
          <w:szCs w:val="28"/>
          <w:u w:val="single"/>
        </w:rPr>
        <w:t>1</w:t>
      </w:r>
      <w:r>
        <w:rPr>
          <w:rFonts w:hint="eastAsia" w:asciiTheme="minorEastAsia" w:hAnsiTheme="minorEastAsia" w:eastAsiaTheme="minorEastAsia" w:cstheme="minorEastAsia"/>
          <w:spacing w:val="-43"/>
          <w:sz w:val="28"/>
          <w:szCs w:val="28"/>
          <w:u w:val="single"/>
        </w:rPr>
        <w:t xml:space="preserve"> </w:t>
      </w:r>
      <w:r>
        <w:rPr>
          <w:rFonts w:hint="eastAsia" w:asciiTheme="minorEastAsia" w:hAnsiTheme="minorEastAsia" w:eastAsiaTheme="minorEastAsia" w:cstheme="minorEastAsia"/>
          <w:spacing w:val="-14"/>
          <w:w w:val="97"/>
          <w:sz w:val="28"/>
          <w:szCs w:val="28"/>
          <w:u w:val="single"/>
        </w:rPr>
        <w:t>月</w:t>
      </w:r>
      <w:r>
        <w:rPr>
          <w:rFonts w:hint="eastAsia" w:asciiTheme="minorEastAsia" w:hAnsiTheme="minorEastAsia" w:eastAsiaTheme="minorEastAsia" w:cstheme="minorEastAsia"/>
          <w:spacing w:val="-40"/>
          <w:sz w:val="28"/>
          <w:szCs w:val="28"/>
          <w:u w:val="single"/>
        </w:rPr>
        <w:t xml:space="preserve"> </w:t>
      </w:r>
      <w:r>
        <w:rPr>
          <w:rFonts w:hint="eastAsia" w:asciiTheme="minorEastAsia" w:hAnsiTheme="minorEastAsia" w:eastAsiaTheme="minorEastAsia" w:cstheme="minorEastAsia"/>
          <w:spacing w:val="-14"/>
          <w:w w:val="97"/>
          <w:sz w:val="28"/>
          <w:szCs w:val="28"/>
          <w:u w:val="single"/>
        </w:rPr>
        <w:t>1日以来（时间以合同签</w:t>
      </w:r>
      <w:r>
        <w:rPr>
          <w:rFonts w:hint="eastAsia" w:asciiTheme="minorEastAsia" w:hAnsiTheme="minorEastAsia" w:eastAsiaTheme="minorEastAsia" w:cstheme="minorEastAsia"/>
          <w:spacing w:val="-2"/>
          <w:sz w:val="28"/>
          <w:szCs w:val="28"/>
          <w:u w:val="single"/>
        </w:rPr>
        <w:t>订日期为准</w:t>
      </w:r>
      <w:r>
        <w:rPr>
          <w:rFonts w:hint="eastAsia" w:asciiTheme="minorEastAsia" w:hAnsiTheme="minorEastAsia" w:eastAsiaTheme="minorEastAsia" w:cstheme="minorEastAsia"/>
          <w:spacing w:val="1"/>
          <w:sz w:val="28"/>
          <w:szCs w:val="28"/>
          <w:u w:val="single"/>
        </w:rPr>
        <w:t>）</w:t>
      </w:r>
      <w:r>
        <w:rPr>
          <w:rFonts w:hint="eastAsia" w:asciiTheme="minorEastAsia" w:hAnsiTheme="minorEastAsia" w:cstheme="minorEastAsia"/>
          <w:sz w:val="28"/>
          <w:szCs w:val="28"/>
          <w:highlight w:val="none"/>
          <w:u w:val="single"/>
          <w:lang w:val="en-US" w:eastAsia="zh-CN"/>
        </w:rPr>
        <w:t xml:space="preserve"> </w:t>
      </w:r>
      <w:permEnd w:id="19"/>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20"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不少于1 </w:t>
      </w:r>
      <w:permEnd w:id="20"/>
      <w:r>
        <w:rPr>
          <w:rFonts w:hint="eastAsia" w:asciiTheme="minorEastAsia" w:hAnsiTheme="minorEastAsia" w:eastAsiaTheme="minorEastAsia" w:cstheme="minorEastAsia"/>
          <w:sz w:val="28"/>
          <w:szCs w:val="28"/>
          <w:highlight w:val="none"/>
          <w:lang w:val="en-US" w:eastAsia="zh-CN"/>
        </w:rPr>
        <w:t>个，以</w:t>
      </w:r>
      <w:permStart w:id="21" w:edGrp="everyone"/>
      <w:r>
        <w:rPr>
          <w:rFonts w:hint="eastAsia" w:asciiTheme="minorEastAsia" w:hAnsiTheme="minorEastAsia" w:eastAsiaTheme="minorEastAsia" w:cstheme="minorEastAsia"/>
          <w:sz w:val="28"/>
          <w:szCs w:val="28"/>
          <w:highlight w:val="none"/>
          <w:lang w:val="en-US" w:eastAsia="zh-CN"/>
        </w:rPr>
        <w:t>竣工验收时间</w:t>
      </w:r>
      <w:permEnd w:id="21"/>
      <w:r>
        <w:rPr>
          <w:rFonts w:hint="eastAsia" w:asciiTheme="minorEastAsia" w:hAnsiTheme="minorEastAsia" w:eastAsiaTheme="minorEastAsia" w:cstheme="minorEastAsia"/>
          <w:sz w:val="28"/>
          <w:szCs w:val="28"/>
          <w:highlight w:val="none"/>
          <w:lang w:val="en-US" w:eastAsia="zh-CN"/>
        </w:rPr>
        <w:t>为准。类似项目业绩指：</w:t>
      </w:r>
      <w:permStart w:id="22" w:edGrp="everyone"/>
      <w:r>
        <w:rPr>
          <w:rFonts w:hint="eastAsia" w:asciiTheme="minorEastAsia" w:hAnsiTheme="minorEastAsia" w:cstheme="minorEastAsia"/>
          <w:sz w:val="28"/>
          <w:szCs w:val="28"/>
          <w:highlight w:val="none"/>
          <w:u w:val="single"/>
          <w:lang w:val="en-US" w:eastAsia="zh-CN"/>
        </w:rPr>
        <w:t>单项合同金额90万元（金额以合同签订金额为准）及以上的已完工类似实验室装饰装修相关工程施工业绩（上述业绩的施工内容中须包含通排风空气处理的供货及安装内容）</w:t>
      </w:r>
      <w:permEnd w:id="22"/>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3" w:edGrp="everyone"/>
      <w:r>
        <w:rPr>
          <w:rFonts w:hint="default" w:asciiTheme="minorEastAsia" w:hAnsiTheme="minorEastAsia" w:eastAsiaTheme="minorEastAsia" w:cstheme="minorEastAsia"/>
          <w:sz w:val="28"/>
          <w:szCs w:val="28"/>
          <w:highlight w:val="none"/>
          <w:lang w:val="en-US" w:eastAsia="zh-CN"/>
        </w:rPr>
        <w:t>投标人所提供相关业绩中须能体现实验室的相关施工内容 （包含通排风空气处理的供货及安装内容）且为单独的实验室施工 合同业绩，若合同中无法体现，投标人须提供结算资料或业主单位 出具的有效证明材料。类似的实验室业绩指的是下述类型之一：</w:t>
      </w:r>
      <w:r>
        <w:rPr>
          <w:rFonts w:hint="eastAsia" w:asciiTheme="minorEastAsia" w:hAnsiTheme="minorEastAsia" w:cstheme="minorEastAsia"/>
          <w:sz w:val="28"/>
          <w:szCs w:val="28"/>
          <w:highlight w:val="none"/>
          <w:lang w:val="en-US" w:eastAsia="zh-CN"/>
        </w:rPr>
        <w:t>环境、</w:t>
      </w:r>
      <w:r>
        <w:rPr>
          <w:rFonts w:hint="default" w:asciiTheme="minorEastAsia" w:hAnsiTheme="minorEastAsia" w:eastAsiaTheme="minorEastAsia" w:cstheme="minorEastAsia"/>
          <w:sz w:val="28"/>
          <w:szCs w:val="28"/>
          <w:highlight w:val="none"/>
          <w:lang w:val="en-US" w:eastAsia="zh-CN"/>
        </w:rPr>
        <w:t>高校教学、医学、食品、药品检验检测、检验检疫所用</w:t>
      </w:r>
      <w:r>
        <w:rPr>
          <w:rFonts w:hint="eastAsia" w:asciiTheme="minorEastAsia" w:hAnsiTheme="minorEastAsia" w:cstheme="minorEastAsia"/>
          <w:sz w:val="28"/>
          <w:szCs w:val="28"/>
          <w:highlight w:val="none"/>
          <w:lang w:val="en-US" w:eastAsia="zh-CN"/>
        </w:rPr>
        <w:t>等</w:t>
      </w:r>
      <w:permEnd w:id="23"/>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24" w:edGrp="everyone"/>
      <w:r>
        <w:rPr>
          <w:rFonts w:hint="eastAsia" w:asciiTheme="minorEastAsia" w:hAnsiTheme="minorEastAsia" w:eastAsiaTheme="minorEastAsia" w:cstheme="minorEastAsia"/>
          <w:color w:val="FF0000"/>
          <w:sz w:val="28"/>
          <w:szCs w:val="28"/>
          <w:highlight w:val="none"/>
          <w:lang w:val="en-US" w:eastAsia="zh-CN"/>
        </w:rPr>
        <w:t>不接受</w:t>
      </w:r>
      <w:permEnd w:id="2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5" w:edGrp="everyone"/>
      <w:r>
        <w:rPr>
          <w:rFonts w:hint="eastAsia" w:asciiTheme="minorEastAsia" w:hAnsiTheme="minorEastAsia" w:cstheme="minorEastAsia"/>
          <w:sz w:val="28"/>
          <w:szCs w:val="28"/>
          <w:highlight w:val="none"/>
          <w:lang w:val="en-US" w:eastAsia="zh-CN"/>
        </w:rPr>
        <w:t xml:space="preserve"> / </w:t>
      </w:r>
      <w:permEnd w:id="25"/>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6"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2022</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1月</w:t>
      </w:r>
      <w:permEnd w:id="26"/>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7"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7</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27"/>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8" w:edGrp="everyone"/>
      <w:r>
        <w:rPr>
          <w:rFonts w:hint="default" w:asciiTheme="minorEastAsia" w:hAnsiTheme="minorEastAsia" w:eastAsiaTheme="minorEastAsia" w:cstheme="minorEastAsia"/>
          <w:color w:val="FF0000"/>
          <w:sz w:val="28"/>
          <w:szCs w:val="28"/>
          <w:highlight w:val="none"/>
          <w:lang w:val="en-US" w:eastAsia="zh-CN"/>
        </w:rPr>
        <w:t>允许</w:t>
      </w:r>
      <w:permEnd w:id="28"/>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9"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20000元</w:t>
      </w:r>
      <w:r>
        <w:rPr>
          <w:rFonts w:hint="default" w:asciiTheme="minorEastAsia" w:hAnsiTheme="minorEastAsia" w:eastAsiaTheme="minorEastAsia" w:cstheme="minorEastAsia"/>
          <w:sz w:val="28"/>
          <w:szCs w:val="28"/>
          <w:highlight w:val="none"/>
          <w:u w:val="single"/>
          <w:lang w:val="en-US" w:eastAsia="zh-CN"/>
        </w:rPr>
        <w:t xml:space="preserve"> </w:t>
      </w:r>
      <w:r>
        <w:rPr>
          <w:rFonts w:hint="default" w:asciiTheme="minorEastAsia" w:hAnsiTheme="minorEastAsia" w:eastAsiaTheme="minorEastAsia" w:cstheme="minorEastAsia"/>
          <w:sz w:val="28"/>
          <w:szCs w:val="28"/>
          <w:highlight w:val="none"/>
          <w:lang w:val="en-US" w:eastAsia="zh-CN"/>
        </w:rPr>
        <w:t>（人民币）</w:t>
      </w:r>
      <w:permEnd w:id="29"/>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0" w:edGrp="everyone"/>
      <w:r>
        <w:rPr>
          <w:rFonts w:hint="eastAsia" w:asciiTheme="minorEastAsia" w:hAnsiTheme="minorEastAsia" w:cstheme="minorEastAsia"/>
          <w:sz w:val="28"/>
          <w:szCs w:val="28"/>
          <w:highlight w:val="none"/>
          <w:lang w:val="en-US" w:eastAsia="zh-CN"/>
        </w:rPr>
        <w:t xml:space="preserve"> 安徽安海新环境科技有限公司</w:t>
      </w:r>
    </w:p>
    <w:permEnd w:id="3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31" w:edGrp="everyone"/>
      <w:r>
        <w:rPr>
          <w:rFonts w:hint="eastAsia" w:asciiTheme="minorEastAsia" w:hAnsiTheme="minorEastAsia" w:cstheme="minorEastAsia"/>
          <w:sz w:val="28"/>
          <w:szCs w:val="28"/>
          <w:highlight w:val="none"/>
          <w:lang w:val="en-US" w:eastAsia="zh-CN"/>
        </w:rPr>
        <w:t xml:space="preserve"> 安徽省亳州芜湖现代产业园区标准化厂房一期六号楼 </w:t>
      </w:r>
      <w:permEnd w:id="3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2" w:edGrp="everyone"/>
      <w:r>
        <w:rPr>
          <w:rFonts w:hint="eastAsia" w:asciiTheme="minorEastAsia" w:hAnsiTheme="minorEastAsia" w:cstheme="minorEastAsia"/>
          <w:sz w:val="28"/>
          <w:szCs w:val="28"/>
          <w:highlight w:val="none"/>
          <w:lang w:val="en-US" w:eastAsia="zh-CN"/>
        </w:rPr>
        <w:t xml:space="preserve"> 邵工 </w:t>
      </w:r>
      <w:permEnd w:id="3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3" w:edGrp="everyone"/>
      <w:r>
        <w:rPr>
          <w:rFonts w:hint="eastAsia" w:asciiTheme="minorEastAsia" w:hAnsiTheme="minorEastAsia" w:cstheme="minorEastAsia"/>
          <w:sz w:val="28"/>
          <w:szCs w:val="28"/>
          <w:highlight w:val="none"/>
          <w:lang w:val="en-US" w:eastAsia="zh-CN"/>
        </w:rPr>
        <w:t xml:space="preserve"> 19956910760 </w:t>
      </w:r>
      <w:permEnd w:id="33"/>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4" w:edGrp="everyone"/>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安徽安海新环境科技有限公司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31</w:t>
      </w:r>
      <w:r>
        <w:rPr>
          <w:rFonts w:hint="eastAsia" w:asciiTheme="minorEastAsia" w:hAnsiTheme="minorEastAsia" w:eastAsiaTheme="minorEastAsia" w:cstheme="minorEastAsia"/>
          <w:color w:val="FF0000"/>
          <w:sz w:val="28"/>
          <w:szCs w:val="28"/>
          <w:highlight w:val="none"/>
          <w:lang w:val="en-US" w:eastAsia="zh-CN"/>
        </w:rPr>
        <w:t>日</w:t>
      </w:r>
      <w:permEnd w:id="34"/>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5"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5"/>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autoSpaceDE w:val="0"/>
              <w:autoSpaceDN w:val="0"/>
              <w:adjustRightInd w:val="0"/>
              <w:snapToGrid w:val="0"/>
              <w:spacing w:line="440" w:lineRule="exact"/>
              <w:ind w:firstLine="411" w:firstLineChars="196"/>
              <w:jc w:val="left"/>
              <w:rPr>
                <w:rFonts w:hint="eastAsia" w:ascii="宋体" w:hAnsi="宋体"/>
                <w:szCs w:val="21"/>
              </w:rPr>
            </w:pPr>
            <w:permStart w:id="36" w:edGrp="everyone"/>
            <w:r>
              <w:rPr>
                <w:rFonts w:hint="eastAsia"/>
              </w:rPr>
              <w:t>（1）技术负责人：</w:t>
            </w:r>
            <w:r>
              <w:rPr>
                <w:rFonts w:hint="eastAsia"/>
                <w:u w:val="single"/>
                <w:lang w:val="en-US" w:eastAsia="zh-CN"/>
              </w:rPr>
              <w:t xml:space="preserve"> / </w:t>
            </w:r>
            <w:r>
              <w:rPr>
                <w:rFonts w:hint="eastAsia"/>
              </w:rPr>
              <w:t>。</w:t>
            </w:r>
          </w:p>
          <w:p>
            <w:pPr>
              <w:spacing w:line="440" w:lineRule="exact"/>
              <w:ind w:firstLine="415" w:firstLineChars="198"/>
              <w:rPr>
                <w:rFonts w:hint="eastAsia" w:hAnsi="宋体"/>
                <w:szCs w:val="21"/>
              </w:rPr>
            </w:pPr>
            <w:r>
              <w:rPr>
                <w:rFonts w:hint="eastAsia" w:hAnsi="宋体"/>
                <w:szCs w:val="21"/>
              </w:rPr>
              <w:t>（2）</w:t>
            </w:r>
            <w:r>
              <w:rPr>
                <w:rFonts w:hint="eastAsia" w:ascii="_x000B__x000C_" w:hAnsi="_x000B__x000C_"/>
                <w:szCs w:val="21"/>
              </w:rPr>
              <w:t>本工程拟派专职人员的具体资格和数量要求：</w:t>
            </w:r>
          </w:p>
          <w:p>
            <w:pPr>
              <w:spacing w:line="440" w:lineRule="exact"/>
              <w:ind w:firstLine="415" w:firstLineChars="198"/>
              <w:rPr>
                <w:rFonts w:hint="eastAsia" w:ascii="_x000B__x000C_" w:hAnsi="_x000B__x000C_"/>
                <w:szCs w:val="21"/>
              </w:rPr>
            </w:pPr>
            <w:r>
              <w:rPr>
                <w:rFonts w:hint="eastAsia" w:ascii="_x000B__x000C_" w:hAnsi="_x000B__x000C_"/>
                <w:szCs w:val="21"/>
              </w:rPr>
              <w:t>施工员：</w:t>
            </w:r>
            <w:r>
              <w:rPr>
                <w:rFonts w:hint="eastAsia" w:ascii="_x000B__x000C_" w:hAnsi="_x000B__x000C_"/>
                <w:szCs w:val="21"/>
                <w:u w:val="single"/>
              </w:rPr>
              <w:t xml:space="preserve"> </w:t>
            </w:r>
            <w:r>
              <w:rPr>
                <w:rFonts w:hint="eastAsia" w:hAnsi="宋体"/>
                <w:snapToGrid w:val="0"/>
                <w:spacing w:val="-4"/>
                <w:kern w:val="0"/>
                <w:sz w:val="24"/>
                <w:u w:val="single"/>
                <w:lang w:val="en-US" w:eastAsia="zh-CN"/>
              </w:rPr>
              <w:t>/</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质量员：</w:t>
            </w:r>
            <w:r>
              <w:rPr>
                <w:rFonts w:hint="eastAsia" w:ascii="_x000B__x000C_" w:hAnsi="_x000B__x000C_"/>
                <w:szCs w:val="21"/>
                <w:u w:val="single"/>
              </w:rPr>
              <w:t xml:space="preserve"> </w:t>
            </w:r>
            <w:r>
              <w:rPr>
                <w:rFonts w:hint="eastAsia" w:hAnsi="宋体"/>
                <w:snapToGrid w:val="0"/>
                <w:spacing w:val="-4"/>
                <w:kern w:val="0"/>
                <w:sz w:val="24"/>
                <w:u w:val="single"/>
                <w:lang w:val="en-US" w:eastAsia="zh-CN"/>
              </w:rPr>
              <w:t>/</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安全员</w:t>
            </w:r>
            <w:r>
              <w:rPr>
                <w:rFonts w:hint="eastAsia" w:ascii="_x000B__x000C_" w:hAnsi="_x000B__x000C_"/>
                <w:szCs w:val="21"/>
                <w:lang w:eastAsia="zh-CN"/>
              </w:rPr>
              <w:t>（可兼职）</w:t>
            </w:r>
            <w:r>
              <w:rPr>
                <w:rFonts w:hint="eastAsia" w:ascii="_x000B__x000C_" w:hAnsi="_x000B__x000C_"/>
                <w:szCs w:val="21"/>
              </w:rPr>
              <w:t>：</w:t>
            </w:r>
            <w:r>
              <w:rPr>
                <w:rFonts w:hint="eastAsia" w:ascii="_x000B__x000C_" w:hAnsi="_x000B__x000C_"/>
                <w:szCs w:val="21"/>
                <w:u w:val="single"/>
              </w:rPr>
              <w:t xml:space="preserve"> </w:t>
            </w:r>
            <w:r>
              <w:rPr>
                <w:rFonts w:hint="eastAsia" w:hAnsi="宋体"/>
                <w:snapToGrid w:val="0"/>
                <w:spacing w:val="-4"/>
                <w:kern w:val="0"/>
                <w:sz w:val="24"/>
                <w:u w:val="single"/>
                <w:lang w:val="en-US" w:eastAsia="zh-CN"/>
              </w:rPr>
              <w:t>/</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20" w:firstLineChars="200"/>
              <w:rPr>
                <w:rFonts w:hint="eastAsia" w:ascii="宋体" w:hAnsi="宋体" w:cs="MingLiU"/>
                <w:spacing w:val="-24"/>
                <w:kern w:val="0"/>
                <w:szCs w:val="21"/>
              </w:rPr>
            </w:pPr>
            <w:r>
              <w:rPr>
                <w:rFonts w:hint="eastAsia" w:ascii="宋体" w:hAnsi="宋体" w:cs="MingLiU"/>
                <w:kern w:val="0"/>
                <w:szCs w:val="21"/>
              </w:rPr>
              <w:t>项目</w:t>
            </w:r>
            <w:r>
              <w:rPr>
                <w:rFonts w:hint="eastAsia" w:ascii="宋体" w:hAnsi="宋体" w:cs="MingLiU"/>
                <w:kern w:val="0"/>
                <w:szCs w:val="21"/>
                <w:lang w:val="en-US" w:eastAsia="zh-CN"/>
              </w:rPr>
              <w:t>负责人</w:t>
            </w:r>
            <w:r>
              <w:rPr>
                <w:rFonts w:hint="eastAsia" w:ascii="宋体" w:hAnsi="宋体" w:cs="MingLiU"/>
                <w:kern w:val="0"/>
                <w:szCs w:val="21"/>
              </w:rPr>
              <w:t>应附建造师注册证(或建造师临时执业证）、职称证（如有）、</w:t>
            </w:r>
            <w:r>
              <w:rPr>
                <w:rFonts w:hint="eastAsia" w:hAnsi="宋体"/>
                <w:szCs w:val="21"/>
              </w:rPr>
              <w:t>安全生产考核合格证</w:t>
            </w:r>
            <w:r>
              <w:rPr>
                <w:rFonts w:hint="eastAsia"/>
              </w:rPr>
              <w:t>（B类）</w:t>
            </w:r>
            <w:r>
              <w:rPr>
                <w:rFonts w:hint="eastAsia" w:hAnsi="宋体"/>
                <w:szCs w:val="21"/>
              </w:rPr>
              <w:t>、</w:t>
            </w:r>
            <w:r>
              <w:rPr>
                <w:rFonts w:hint="eastAsia" w:hAnsi="宋体" w:cs="MingLiU"/>
                <w:kern w:val="0"/>
                <w:szCs w:val="21"/>
              </w:rPr>
              <w:t>缴纳</w:t>
            </w:r>
            <w:r>
              <w:rPr>
                <w:rFonts w:hint="eastAsia" w:ascii="宋体" w:hAnsi="宋体" w:cs="MingLiU"/>
                <w:kern w:val="0"/>
                <w:szCs w:val="21"/>
              </w:rPr>
              <w:t>养老保险的复印件</w:t>
            </w:r>
            <w:r>
              <w:rPr>
                <w:rFonts w:hint="eastAsia" w:ascii="宋体" w:hAnsi="宋体" w:cs="MingLiU"/>
                <w:spacing w:val="-24"/>
                <w:kern w:val="0"/>
                <w:szCs w:val="21"/>
              </w:rPr>
              <w:t>。</w:t>
            </w:r>
          </w:p>
          <w:p>
            <w:pPr>
              <w:autoSpaceDE w:val="0"/>
              <w:autoSpaceDN w:val="0"/>
              <w:adjustRightInd w:val="0"/>
              <w:snapToGrid w:val="0"/>
              <w:spacing w:line="440" w:lineRule="exact"/>
              <w:ind w:right="40" w:firstLine="420" w:firstLineChars="200"/>
              <w:rPr>
                <w:rFonts w:hint="eastAsia" w:ascii="宋体" w:hAnsi="宋体"/>
                <w:szCs w:val="21"/>
              </w:rPr>
            </w:pPr>
            <w:r>
              <w:rPr>
                <w:rFonts w:hint="eastAsia" w:ascii="宋体" w:hAnsi="宋体" w:cs="MingLiU"/>
                <w:kern w:val="0"/>
                <w:szCs w:val="21"/>
              </w:rPr>
              <w:t>技术负责人应附职称证、</w:t>
            </w:r>
            <w:r>
              <w:rPr>
                <w:rFonts w:hint="eastAsia" w:hAnsi="宋体" w:cs="MingLiU"/>
                <w:kern w:val="0"/>
                <w:szCs w:val="21"/>
              </w:rPr>
              <w:t>缴纳</w:t>
            </w:r>
            <w:r>
              <w:rPr>
                <w:rFonts w:hint="eastAsia" w:ascii="宋体" w:hAnsi="宋体" w:cs="MingLiU"/>
                <w:kern w:val="0"/>
                <w:szCs w:val="21"/>
              </w:rPr>
              <w:t>养老保险的复印件。</w:t>
            </w:r>
          </w:p>
          <w:p>
            <w:pPr>
              <w:pStyle w:val="8"/>
              <w:topLinePunct/>
              <w:spacing w:line="440" w:lineRule="exact"/>
              <w:ind w:firstLine="420" w:firstLineChars="200"/>
              <w:rPr>
                <w:rFonts w:hint="eastAsia" w:hAnsi="宋体"/>
                <w:sz w:val="21"/>
                <w:szCs w:val="21"/>
              </w:rPr>
            </w:pPr>
            <w:r>
              <w:rPr>
                <w:rFonts w:hint="eastAsia" w:hAnsi="宋体" w:cs="MingLiU"/>
                <w:kern w:val="0"/>
                <w:sz w:val="21"/>
                <w:szCs w:val="21"/>
              </w:rPr>
              <w:t>专职人员应附缴纳养老保险的复印件</w:t>
            </w:r>
            <w:r>
              <w:rPr>
                <w:rFonts w:hint="eastAsia" w:hAnsi="宋体"/>
                <w:sz w:val="21"/>
                <w:szCs w:val="21"/>
              </w:rPr>
              <w:t>。</w:t>
            </w:r>
            <w:permEnd w:id="36"/>
          </w:p>
          <w:p>
            <w:pPr>
              <w:spacing w:line="440" w:lineRule="exact"/>
              <w:ind w:firstLine="420" w:firstLineChars="200"/>
              <w:rPr>
                <w:rFonts w:hint="eastAsia" w:ascii="宋体" w:hAnsi="宋体" w:cs="宋体"/>
                <w:szCs w:val="21"/>
              </w:rPr>
            </w:pPr>
            <w:r>
              <w:rPr>
                <w:rFonts w:hint="eastAsia" w:ascii="宋体" w:hAnsi="宋体"/>
                <w:szCs w:val="21"/>
              </w:rPr>
              <w:t>如上述注册证、执业证、考核证等证件上的单位与投标单位不一致的，由发证单位出具正在变更的证明。</w:t>
            </w:r>
            <w:r>
              <w:rPr>
                <w:rFonts w:hint="eastAsia" w:ascii="宋体" w:hAnsi="宋体"/>
                <w:szCs w:val="21"/>
                <w:lang w:eastAsia="zh-CN"/>
              </w:rPr>
              <w:t>项目负责人</w:t>
            </w:r>
            <w:r>
              <w:rPr>
                <w:rFonts w:hint="eastAsia" w:ascii="宋体" w:hAnsi="宋体"/>
                <w:szCs w:val="21"/>
              </w:rPr>
              <w:t>及项目管理人员</w:t>
            </w:r>
            <w:r>
              <w:rPr>
                <w:rFonts w:hint="eastAsia" w:ascii="宋体" w:hAnsi="宋体" w:cs="宋体"/>
                <w:szCs w:val="21"/>
              </w:rPr>
              <w:t>缴纳养老保险的单位应为</w:t>
            </w:r>
            <w:r>
              <w:rPr>
                <w:rFonts w:hint="eastAsia" w:ascii="宋体" w:hAnsi="宋体"/>
                <w:szCs w:val="21"/>
              </w:rPr>
              <w:t>投标单位</w:t>
            </w:r>
            <w:r>
              <w:rPr>
                <w:rFonts w:hint="eastAsia" w:ascii="宋体" w:hAnsi="宋体" w:cs="宋体"/>
                <w:szCs w:val="21"/>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宋体" w:hAnsi="宋体" w:cs="MingLiU"/>
                <w:kern w:val="0"/>
                <w:szCs w:val="21"/>
              </w:rPr>
              <w:t>养老保险须提供</w:t>
            </w:r>
            <w:permStart w:id="37" w:edGrp="everyone"/>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2022</w:t>
            </w:r>
            <w:r>
              <w:rPr>
                <w:rFonts w:hint="eastAsia" w:hAnsi="宋体"/>
                <w:snapToGrid w:val="0"/>
                <w:spacing w:val="-4"/>
                <w:kern w:val="0"/>
                <w:sz w:val="24"/>
                <w:u w:val="single"/>
              </w:rPr>
              <w:t xml:space="preserve"> </w:t>
            </w:r>
            <w:permEnd w:id="37"/>
            <w:r>
              <w:rPr>
                <w:rFonts w:hint="eastAsia" w:ascii="宋体" w:hAnsi="宋体" w:cs="MingLiU"/>
                <w:kern w:val="0"/>
                <w:szCs w:val="21"/>
              </w:rPr>
              <w:t>年</w:t>
            </w:r>
            <w:permStart w:id="38" w:edGrp="everyone"/>
            <w:r>
              <w:rPr>
                <w:rFonts w:hint="eastAsia" w:ascii="宋体" w:hAnsi="宋体" w:cs="MingLiU"/>
                <w:kern w:val="0"/>
                <w:szCs w:val="21"/>
                <w:u w:val="single"/>
              </w:rPr>
              <w:t xml:space="preserve"> </w:t>
            </w:r>
            <w:r>
              <w:rPr>
                <w:rFonts w:hint="eastAsia" w:ascii="宋体" w:hAnsi="宋体" w:cs="MingLiU"/>
                <w:kern w:val="0"/>
                <w:szCs w:val="21"/>
                <w:u w:val="single"/>
                <w:lang w:val="en-US" w:eastAsia="zh-CN"/>
              </w:rPr>
              <w:t>1</w:t>
            </w:r>
            <w:r>
              <w:rPr>
                <w:rFonts w:hint="eastAsia" w:ascii="宋体" w:hAnsi="宋体" w:cs="MingLiU"/>
                <w:kern w:val="0"/>
                <w:szCs w:val="21"/>
                <w:u w:val="single"/>
              </w:rPr>
              <w:t xml:space="preserve"> </w:t>
            </w:r>
            <w:permEnd w:id="38"/>
            <w:r>
              <w:rPr>
                <w:rFonts w:hint="eastAsia" w:ascii="宋体" w:hAnsi="宋体" w:cs="MingLiU"/>
                <w:kern w:val="0"/>
                <w:szCs w:val="21"/>
              </w:rPr>
              <w:t>月以来在投标单位已缴纳的任意3个月的养老保险证明（指养老保险管理单位出具的养老保险证明，加盖养老保险管理单位的公章或电子章；</w:t>
            </w:r>
            <w:r>
              <w:rPr>
                <w:rFonts w:hint="eastAsia" w:ascii="宋体" w:hAnsi="宋体"/>
                <w:szCs w:val="21"/>
              </w:rPr>
              <w:t>投标时将原件、复印件或扫描件制作在投标文件中</w:t>
            </w:r>
            <w:r>
              <w:rPr>
                <w:rFonts w:hint="eastAsia" w:ascii="宋体" w:hAnsi="宋体" w:cs="MingLiU"/>
                <w:kern w:val="0"/>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4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4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41"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41"/>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2" w:edGrp="everyone"/>
            <w:r>
              <w:rPr>
                <w:rFonts w:hint="eastAsia" w:ascii="Times New Roman" w:hAnsi="Times New Roman" w:cs="Times New Roman"/>
                <w:color w:val="auto"/>
                <w:szCs w:val="21"/>
                <w:highlight w:val="none"/>
                <w:u w:val="single"/>
                <w:lang w:val="en-US" w:eastAsia="zh-CN"/>
              </w:rPr>
              <w:t xml:space="preserve">  20000</w:t>
            </w:r>
            <w:r>
              <w:rPr>
                <w:rFonts w:hint="eastAsia" w:asciiTheme="minorEastAsia" w:hAnsiTheme="minorEastAsia" w:cstheme="minorEastAsia"/>
                <w:sz w:val="28"/>
                <w:szCs w:val="28"/>
                <w:highlight w:val="none"/>
                <w:u w:val="single"/>
                <w:lang w:val="en-US" w:eastAsia="zh-CN"/>
              </w:rPr>
              <w:t>元</w:t>
            </w:r>
            <w:r>
              <w:rPr>
                <w:rFonts w:hint="eastAsia" w:ascii="Times New Roman" w:hAnsi="Times New Roman" w:cs="Times New Roman"/>
                <w:color w:val="auto"/>
                <w:szCs w:val="21"/>
                <w:highlight w:val="none"/>
                <w:u w:val="single"/>
                <w:lang w:val="en-US" w:eastAsia="zh-CN"/>
              </w:rPr>
              <w:t xml:space="preserve">  </w:t>
            </w:r>
            <w:permEnd w:id="42"/>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3" w:edGrp="everyone"/>
            <w:r>
              <w:rPr>
                <w:rFonts w:hint="eastAsia" w:ascii="Times New Roman" w:hAnsi="Times New Roman" w:cs="Times New Roman"/>
                <w:color w:val="FF0000"/>
                <w:szCs w:val="21"/>
                <w:highlight w:val="none"/>
                <w:lang w:val="en-US" w:eastAsia="zh-CN"/>
              </w:rPr>
              <w:t>BZJK-2023-012号保证金</w:t>
            </w:r>
            <w:permEnd w:id="4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44" w:edGrp="everyone"/>
            <w:permEnd w:id="44"/>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5" w:edGrp="everyone"/>
            <w:r>
              <w:rPr>
                <w:rFonts w:hint="eastAsia" w:ascii="Times New Roman" w:hAnsi="Times New Roman" w:cs="Times New Roman"/>
                <w:color w:val="FF0000"/>
                <w:szCs w:val="21"/>
                <w:highlight w:val="none"/>
                <w:lang w:val="en-US" w:eastAsia="zh-CN"/>
              </w:rPr>
              <w:t>开标地址：</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安徽安海新环境科技有限公司实验室装饰装修工程</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项目编号：BZJK-2023-</w:t>
            </w:r>
            <w:r>
              <w:rPr>
                <w:rFonts w:hint="eastAsia" w:ascii="Times New Roman" w:hAnsi="Times New Roman" w:cs="Times New Roman"/>
                <w:color w:val="FF0000"/>
                <w:szCs w:val="21"/>
                <w:highlight w:val="none"/>
                <w:u w:val="single"/>
                <w:lang w:val="en-US" w:eastAsia="zh-CN"/>
              </w:rPr>
              <w:t>012</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color w:val="auto"/>
                <w:szCs w:val="21"/>
                <w:highlight w:val="none"/>
                <w:lang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6" w:edGrp="everyone"/>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Cs w:val="21"/>
                <w:highlight w:val="none"/>
                <w:lang w:val="en-US" w:eastAsia="zh-CN"/>
              </w:rPr>
              <w:t xml:space="preserve">要求  </w:t>
            </w:r>
          </w:p>
          <w:permEnd w:id="46"/>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7"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8" w:edGrp="everyone"/>
            <w:r>
              <w:rPr>
                <w:rFonts w:hint="eastAsia" w:ascii="Times New Roman" w:hAnsi="Times New Roman" w:cs="Times New Roman"/>
                <w:b/>
                <w:bCs/>
                <w:color w:val="FF0000"/>
                <w:szCs w:val="21"/>
                <w:highlight w:val="none"/>
                <w:lang w:val="en-US" w:eastAsia="zh-CN"/>
              </w:rPr>
              <w:t>中标价款的</w:t>
            </w:r>
            <w:r>
              <w:rPr>
                <w:rFonts w:hint="eastAsia" w:ascii="Times New Roman" w:hAnsi="Times New Roman" w:cs="Times New Roman"/>
                <w:b/>
                <w:bCs/>
                <w:color w:val="FF0000"/>
                <w:szCs w:val="21"/>
                <w:highlight w:val="none"/>
                <w:u w:val="single"/>
                <w:lang w:val="en-US" w:eastAsia="zh-CN"/>
              </w:rPr>
              <w:t xml:space="preserve"> / </w:t>
            </w:r>
            <w:r>
              <w:rPr>
                <w:rFonts w:hint="eastAsia" w:ascii="Times New Roman" w:hAnsi="Times New Roman" w:cs="Times New Roman"/>
                <w:b/>
                <w:bCs/>
                <w:color w:val="FF0000"/>
                <w:szCs w:val="21"/>
                <w:highlight w:val="none"/>
                <w:lang w:val="en-US" w:eastAsia="zh-CN"/>
              </w:rPr>
              <w:t>%</w:t>
            </w:r>
            <w:permEnd w:id="48"/>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9"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w:t>
      </w:r>
      <w:r>
        <w:rPr>
          <w:rFonts w:hint="eastAsia" w:ascii="Times New Roman" w:hAnsi="Times New Roman" w:cs="Times New Roman"/>
          <w:color w:val="000000"/>
          <w:highlight w:val="none"/>
          <w:lang w:val="en-US" w:eastAsia="zh-CN"/>
        </w:rPr>
        <w:t>正文部分直接引用</w:t>
      </w:r>
      <w:r>
        <w:rPr>
          <w:rFonts w:hint="default" w:ascii="Times New Roman" w:hAnsi="Times New Roman" w:cs="Times New Roman"/>
          <w:color w:val="000000"/>
          <w:highlight w:val="none"/>
        </w:rPr>
        <w:t>国家发改委</w:t>
      </w:r>
      <w:r>
        <w:rPr>
          <w:rFonts w:hint="eastAsia" w:ascii="Times New Roman" w:hAnsi="Times New Roman" w:cs="Times New Roman"/>
          <w:color w:val="000000"/>
          <w:highlight w:val="none"/>
          <w:lang w:val="en-US" w:eastAsia="zh-CN"/>
        </w:rPr>
        <w:t>等九部委于2011年12月20日联合印发的《中华人民共和国简明标准施工招标文件》（2012年版）。</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0"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7"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权力义务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16" w:name="_Toc144974556"/>
            <w:bookmarkStart w:id="17" w:name="_Toc246996975"/>
            <w:bookmarkStart w:id="18" w:name="_Toc247085747"/>
            <w:bookmarkStart w:id="19" w:name="_Toc179632607"/>
            <w:bookmarkStart w:id="20" w:name="_Toc152045589"/>
            <w:bookmarkStart w:id="21" w:name="_Toc296602477"/>
            <w:bookmarkStart w:id="22" w:name="_Toc246996232"/>
            <w:bookmarkStart w:id="23" w:name="_Toc152042366"/>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6"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施工组织设计</w:t>
            </w: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30</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企业荣誉：</w:t>
            </w:r>
            <w:r>
              <w:rPr>
                <w:rFonts w:hint="eastAsia" w:ascii="Times New Roman" w:hAnsi="Times New Roman" w:cs="Times New Roman"/>
                <w:i w:val="0"/>
                <w:iCs w:val="0"/>
                <w:color w:val="auto"/>
                <w:kern w:val="0"/>
                <w:sz w:val="24"/>
                <w:szCs w:val="24"/>
                <w:highlight w:val="none"/>
                <w:u w:val="single"/>
                <w:lang w:val="en-US" w:eastAsia="zh-CN"/>
              </w:rPr>
              <w:t>15</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30</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i w:val="0"/>
                <w:iCs w:val="0"/>
                <w:color w:val="auto"/>
                <w:kern w:val="0"/>
                <w:sz w:val="24"/>
                <w:szCs w:val="24"/>
                <w:highlight w:val="none"/>
                <w:lang w:val="en-US" w:eastAsia="zh-CN"/>
              </w:rPr>
              <w:t>其他评分因素：</w:t>
            </w:r>
            <w:r>
              <w:rPr>
                <w:rFonts w:hint="eastAsia" w:ascii="Times New Roman" w:hAnsi="Times New Roman" w:cs="Times New Roman"/>
                <w:i w:val="0"/>
                <w:iCs w:val="0"/>
                <w:color w:val="auto"/>
                <w:kern w:val="0"/>
                <w:sz w:val="24"/>
                <w:szCs w:val="24"/>
                <w:highlight w:val="none"/>
                <w:u w:val="single"/>
                <w:lang w:val="en-US" w:eastAsia="zh-CN"/>
              </w:rPr>
              <w:t>25</w:t>
            </w:r>
            <w:r>
              <w:rPr>
                <w:rFonts w:hint="default" w:ascii="Times New Roman" w:hAnsi="Times New Roman" w:cs="Times New Roman" w:eastAsiaTheme="minorEastAsia"/>
                <w:i w:val="0"/>
                <w:iCs w:val="0"/>
                <w:color w:val="auto"/>
                <w:kern w:val="0"/>
                <w:sz w:val="24"/>
                <w:szCs w:val="24"/>
                <w:highlight w:val="none"/>
              </w:rPr>
              <w:t>分</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67"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以通过初步评审的投标人的最低投标报价作为评标基准价。</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8" w:edGrp="everyone" w:colFirst="1" w:colLast="1"/>
            <w:permStart w:id="69" w:edGrp="everyone" w:colFirst="2" w:colLast="2"/>
            <w:permStart w:id="70"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施工组织设计评分标准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30</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FF0000"/>
                <w:kern w:val="0"/>
                <w:sz w:val="24"/>
                <w:szCs w:val="24"/>
                <w:highlight w:val="yellow"/>
                <w:lang w:val="en-US" w:eastAsia="zh-CN"/>
              </w:rPr>
            </w:pPr>
            <w:r>
              <w:rPr>
                <w:rFonts w:hint="eastAsia" w:ascii="Times New Roman" w:hAnsi="Times New Roman" w:cs="Times New Roman"/>
                <w:color w:val="FF0000"/>
                <w:kern w:val="0"/>
                <w:sz w:val="24"/>
                <w:szCs w:val="24"/>
                <w:highlight w:val="yellow"/>
                <w:lang w:val="en-US" w:eastAsia="zh-CN"/>
              </w:rPr>
              <w:t>内容完整性和编制水平</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2</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内容完整，方案合理、科学的得2分；内容存在一般缺陷，方案可行的得1分；内容存在重大缺陷，方案不可行的得0分</w:t>
            </w:r>
          </w:p>
        </w:tc>
      </w:tr>
      <w:permEnd w:id="68"/>
      <w:permEnd w:id="69"/>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1" w:edGrp="everyone" w:colFirst="1" w:colLast="1"/>
            <w:permStart w:id="72" w:edGrp="everyone" w:colFirst="2" w:colLast="2"/>
            <w:permStart w:id="7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magenta"/>
                <w:shd w:val="clear" w:color="auto" w:fill="auto"/>
                <w:lang w:val="en-US" w:eastAsia="zh-CN"/>
              </w:rPr>
            </w:pPr>
            <w:r>
              <w:rPr>
                <w:rFonts w:hint="eastAsia" w:ascii="Times New Roman" w:hAnsi="Times New Roman" w:cs="Times New Roman"/>
                <w:kern w:val="0"/>
                <w:sz w:val="24"/>
                <w:szCs w:val="24"/>
                <w:highlight w:val="magenta"/>
                <w:shd w:val="clear" w:color="auto" w:fill="auto"/>
                <w:lang w:val="en-US" w:eastAsia="zh-CN"/>
              </w:rPr>
              <w:t>施工方案与技术措施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10</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1.各主要分部施工方法符合项目实际，有详尽的、切实可行的施工技术方案，工艺先进、方法科学合理、可行，能指导具体施工并确保安全。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3-5</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1-3</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0-1</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2.对项目关键技术、工艺有深入的表述，对重点、难点有先进、合理的建议，解决方案完整、经济、安全、切实可行，措施得力。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优得3-5分，良得1-3分，一般得0-1分，差得 0分。</w:t>
            </w:r>
          </w:p>
        </w:tc>
      </w:tr>
      <w:permEnd w:id="71"/>
      <w:permEnd w:id="72"/>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4" w:edGrp="everyone" w:colFirst="1" w:colLast="1"/>
            <w:permStart w:id="75" w:edGrp="everyone" w:colFirst="2" w:colLast="2"/>
            <w:permStart w:id="7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 4</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施工项目质量技术管理制度健全，主要工序有质量技术保证措施和手段，自控体系完整，能有效保证技术质量，达到承诺的质量标准。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2-4</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1-2</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0-1</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74"/>
      <w:permEnd w:id="75"/>
      <w:permEnd w:id="7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7" w:edGrp="everyone" w:colFirst="1" w:colLast="1"/>
            <w:permStart w:id="78" w:edGrp="everyone" w:colFirst="2" w:colLast="2"/>
            <w:permStart w:id="7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 2</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结合本工程特点，依据投标人提出的确保安全生产的管理体系与措施进行评审。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1-2</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0.5- 1</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0-0.5</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0</w:t>
            </w:r>
            <w:r>
              <w:rPr>
                <w:rFonts w:hint="default" w:ascii="Times New Roman" w:hAnsi="Times New Roman" w:cs="Times New Roman"/>
                <w:i/>
                <w:iCs/>
                <w:color w:val="FF0000"/>
                <w:kern w:val="0"/>
                <w:sz w:val="24"/>
                <w:szCs w:val="24"/>
                <w:highlight w:val="none"/>
                <w:u w:val="single"/>
                <w:lang w:val="en-US" w:eastAsia="zh-CN"/>
              </w:rPr>
              <w:t>分。</w:t>
            </w:r>
          </w:p>
        </w:tc>
      </w:tr>
      <w:permEnd w:id="77"/>
      <w:permEnd w:id="78"/>
      <w:permEnd w:id="7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0" w:edGrp="everyone" w:colFirst="1" w:colLast="1"/>
            <w:permStart w:id="81" w:edGrp="everyone" w:colFirst="2" w:colLast="2"/>
            <w:permStart w:id="8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售后承诺</w:t>
            </w:r>
          </w:p>
          <w:p>
            <w:pPr>
              <w:pStyle w:val="2"/>
              <w:rPr>
                <w:rFonts w:hint="default"/>
                <w:lang w:val="en-US" w:eastAsia="zh-CN"/>
              </w:rPr>
            </w:pPr>
            <w:r>
              <w:rPr>
                <w:rFonts w:hint="eastAsia" w:ascii="Times New Roman" w:hAnsi="Times New Roman" w:cs="Times New Roman" w:eastAsiaTheme="minorEastAsia"/>
                <w:i w:val="0"/>
                <w:iCs w:val="0"/>
                <w:color w:val="FF0000"/>
                <w:kern w:val="0"/>
                <w:sz w:val="24"/>
                <w:szCs w:val="24"/>
                <w:highlight w:val="none"/>
                <w:u w:val="single"/>
                <w:lang w:val="en-US" w:eastAsia="zh-CN" w:bidi="ar-SA"/>
              </w:rPr>
              <w:t>（5分）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lang w:val="en-US" w:eastAsia="zh-CN" w:bidi="ar-SA"/>
              </w:rPr>
              <w:t xml:space="preserve"> </w:t>
            </w:r>
            <w:r>
              <w:rPr>
                <w:rFonts w:hint="eastAsia" w:ascii="Times New Roman" w:hAnsi="Times New Roman" w:cs="Times New Roman"/>
                <w:kern w:val="0"/>
                <w:sz w:val="24"/>
                <w:szCs w:val="24"/>
                <w:highlight w:val="none"/>
                <w:lang w:val="en-US" w:eastAsia="zh-CN" w:bidi="ar-SA"/>
              </w:rPr>
              <w:t>1.</w:t>
            </w:r>
            <w:r>
              <w:rPr>
                <w:rFonts w:hint="default" w:ascii="Times New Roman" w:hAnsi="Times New Roman" w:cs="Times New Roman"/>
                <w:kern w:val="0"/>
                <w:sz w:val="24"/>
                <w:szCs w:val="24"/>
                <w:highlight w:val="none"/>
                <w:lang w:val="en-US" w:eastAsia="zh-CN" w:bidi="ar-SA"/>
              </w:rPr>
              <w:t>售后服务方案科学合理，措施详细、完善， 具有针对性和可行性的</w:t>
            </w:r>
            <w:r>
              <w:rPr>
                <w:rFonts w:hint="eastAsia" w:ascii="Times New Roman" w:hAnsi="Times New Roman" w:cs="Times New Roman"/>
                <w:kern w:val="0"/>
                <w:sz w:val="24"/>
                <w:szCs w:val="24"/>
                <w:highlight w:val="none"/>
                <w:lang w:val="en-US" w:eastAsia="zh-CN" w:bidi="ar-SA"/>
              </w:rPr>
              <w:t>得3分；售后服务方案基本完善，措施比较详细，具有一定的针对性的得2分；售后服务方案内容需要进一步完善的得1分；差或未提供的不得分。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lang w:val="en-US" w:eastAsia="zh-CN"/>
              </w:rPr>
            </w:pPr>
            <w:r>
              <w:rPr>
                <w:rFonts w:hint="eastAsia" w:ascii="Times New Roman" w:hAnsi="Times New Roman" w:cs="Times New Roman"/>
                <w:kern w:val="0"/>
                <w:sz w:val="24"/>
                <w:szCs w:val="24"/>
                <w:highlight w:val="none"/>
                <w:lang w:val="en-US" w:eastAsia="zh-CN" w:bidi="ar-SA"/>
              </w:rPr>
              <w:t>2.设备故障响应时间在 24小时之内，能提供三年及以上免费售后服务的，得2分；设备故障响应时间在48小时之内，能提供两年及以上三年以下免费售后服务的，得1分；设备故障响应时间在48小时之内，能提供一年及以上两年以下免费售后服务的，得0.5分；设备故障响应时间在48小时以上，或提供免费售后服务低于一年的，不得分。</w:t>
            </w:r>
          </w:p>
        </w:tc>
      </w:tr>
      <w:permEnd w:id="80"/>
      <w:permEnd w:id="81"/>
      <w:permEnd w:id="8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3" w:edGrp="everyone" w:colFirst="1" w:colLast="1"/>
            <w:permStart w:id="84" w:edGrp="everyone" w:colFirst="2" w:colLast="2"/>
            <w:permStart w:id="8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工程进度计划与措施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lang w:val="en-US" w:eastAsia="zh-CN" w:bidi="ar-SA"/>
              </w:rPr>
              <w:t>结合本工程特点，依据投标人提出的工程进度网络计划及保证措施进行评审。</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lang w:val="en-US" w:eastAsia="zh-CN"/>
              </w:rPr>
            </w:pPr>
            <w:r>
              <w:rPr>
                <w:rFonts w:hint="eastAsia" w:ascii="Times New Roman" w:hAnsi="Times New Roman" w:cs="Times New Roman"/>
                <w:kern w:val="0"/>
                <w:sz w:val="24"/>
                <w:szCs w:val="24"/>
                <w:highlight w:val="none"/>
                <w:lang w:val="en-US" w:eastAsia="zh-CN" w:bidi="ar-SA"/>
              </w:rPr>
              <w:t>时间分配合理，</w:t>
            </w:r>
            <w:r>
              <w:rPr>
                <w:rFonts w:hint="default" w:ascii="Times New Roman" w:hAnsi="Times New Roman" w:cs="Times New Roman" w:eastAsiaTheme="minorEastAsia"/>
                <w:kern w:val="0"/>
                <w:sz w:val="24"/>
                <w:szCs w:val="24"/>
                <w:highlight w:val="none"/>
                <w:lang w:val="en-US" w:eastAsia="zh-CN" w:bidi="ar-SA"/>
              </w:rPr>
              <w:t>措施详细完善，具有针对性和可行性</w:t>
            </w:r>
            <w:r>
              <w:rPr>
                <w:rFonts w:hint="eastAsia" w:ascii="Times New Roman" w:hAnsi="Times New Roman" w:cs="Times New Roman"/>
                <w:kern w:val="0"/>
                <w:sz w:val="24"/>
                <w:szCs w:val="24"/>
                <w:highlight w:val="none"/>
                <w:lang w:val="en-US" w:eastAsia="zh-CN" w:bidi="ar-SA"/>
              </w:rPr>
              <w:t>，提前结束工期10天以上的</w:t>
            </w:r>
            <w:r>
              <w:rPr>
                <w:rFonts w:hint="default" w:ascii="Times New Roman" w:hAnsi="Times New Roman" w:cs="Times New Roman" w:eastAsiaTheme="minorEastAsia"/>
                <w:kern w:val="0"/>
                <w:sz w:val="24"/>
                <w:szCs w:val="24"/>
                <w:highlight w:val="none"/>
                <w:lang w:val="en-US" w:eastAsia="zh-CN" w:bidi="ar-SA"/>
              </w:rPr>
              <w:t>得</w:t>
            </w:r>
            <w:r>
              <w:rPr>
                <w:rFonts w:hint="eastAsia" w:ascii="Times New Roman" w:hAnsi="Times New Roman" w:cs="Times New Roman" w:eastAsiaTheme="minorEastAsia"/>
                <w:kern w:val="0"/>
                <w:sz w:val="24"/>
                <w:szCs w:val="24"/>
                <w:highlight w:val="none"/>
                <w:lang w:val="en-US" w:eastAsia="zh-CN" w:bidi="ar-SA"/>
              </w:rPr>
              <w:t>5</w:t>
            </w:r>
            <w:r>
              <w:rPr>
                <w:rFonts w:hint="default" w:ascii="Times New Roman" w:hAnsi="Times New Roman" w:cs="Times New Roman" w:eastAsiaTheme="minorEastAsia"/>
                <w:kern w:val="0"/>
                <w:sz w:val="24"/>
                <w:szCs w:val="24"/>
                <w:highlight w:val="none"/>
                <w:lang w:val="en-US" w:eastAsia="zh-CN" w:bidi="ar-SA"/>
              </w:rPr>
              <w:t xml:space="preserve"> 分</w:t>
            </w:r>
            <w:r>
              <w:rPr>
                <w:rFonts w:hint="eastAsia" w:ascii="Times New Roman" w:hAnsi="Times New Roman" w:cs="Times New Roman"/>
                <w:kern w:val="0"/>
                <w:sz w:val="24"/>
                <w:szCs w:val="24"/>
                <w:highlight w:val="none"/>
                <w:lang w:val="en-US" w:eastAsia="zh-CN" w:bidi="ar-SA"/>
              </w:rPr>
              <w:t>；工程进度表完善、具有可行性，提前结束工期5天以上的得3分，</w:t>
            </w:r>
            <w:r>
              <w:rPr>
                <w:rFonts w:hint="default" w:ascii="Times New Roman" w:hAnsi="Times New Roman" w:cs="Times New Roman" w:eastAsiaTheme="minorEastAsia"/>
                <w:kern w:val="0"/>
                <w:sz w:val="24"/>
                <w:szCs w:val="24"/>
                <w:highlight w:val="none"/>
                <w:lang w:val="en-US" w:eastAsia="zh-CN" w:bidi="ar-SA"/>
              </w:rPr>
              <w:t>措施</w:t>
            </w:r>
            <w:r>
              <w:rPr>
                <w:rFonts w:hint="eastAsia" w:ascii="Times New Roman" w:hAnsi="Times New Roman" w:cs="Times New Roman" w:eastAsiaTheme="minorEastAsia"/>
                <w:kern w:val="0"/>
                <w:sz w:val="24"/>
                <w:szCs w:val="24"/>
                <w:highlight w:val="none"/>
                <w:lang w:val="en-US" w:eastAsia="zh-CN" w:bidi="ar-SA"/>
              </w:rPr>
              <w:t>有所欠缺</w:t>
            </w:r>
            <w:r>
              <w:rPr>
                <w:rFonts w:hint="default" w:ascii="Times New Roman" w:hAnsi="Times New Roman" w:cs="Times New Roman" w:eastAsiaTheme="minorEastAsia"/>
                <w:kern w:val="0"/>
                <w:sz w:val="24"/>
                <w:szCs w:val="24"/>
                <w:highlight w:val="none"/>
                <w:lang w:val="en-US" w:eastAsia="zh-CN" w:bidi="ar-SA"/>
              </w:rPr>
              <w:t xml:space="preserve">得 </w:t>
            </w:r>
            <w:r>
              <w:rPr>
                <w:rFonts w:hint="eastAsia" w:ascii="Times New Roman" w:hAnsi="Times New Roman" w:cs="Times New Roman" w:eastAsiaTheme="minorEastAsia"/>
                <w:kern w:val="0"/>
                <w:sz w:val="24"/>
                <w:szCs w:val="24"/>
                <w:highlight w:val="none"/>
                <w:lang w:val="en-US" w:eastAsia="zh-CN" w:bidi="ar-SA"/>
              </w:rPr>
              <w:t>1</w:t>
            </w:r>
            <w:r>
              <w:rPr>
                <w:rFonts w:hint="default" w:ascii="Times New Roman" w:hAnsi="Times New Roman" w:cs="Times New Roman" w:eastAsiaTheme="minorEastAsia"/>
                <w:kern w:val="0"/>
                <w:sz w:val="24"/>
                <w:szCs w:val="24"/>
                <w:highlight w:val="none"/>
                <w:lang w:val="en-US" w:eastAsia="zh-CN" w:bidi="ar-SA"/>
              </w:rPr>
              <w:t>分；差或未提供的不得分。</w:t>
            </w:r>
          </w:p>
        </w:tc>
      </w:tr>
      <w:permEnd w:id="83"/>
      <w:permEnd w:id="84"/>
      <w:permEnd w:id="8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6" w:edGrp="everyone" w:colFirst="1" w:colLast="1"/>
            <w:permStart w:id="87" w:edGrp="everyone" w:colFirst="2" w:colLast="2"/>
            <w:permStart w:id="88"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资源配备计划</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2</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劳动力、材料投入计划及其保证措施，满足施工需要，调配投入计划合理、准确。机械设备投入计划及检测设备，满足施工需要。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1-2</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0.5-1</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0-0.5</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86"/>
      <w:permEnd w:id="87"/>
      <w:permEnd w:id="8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9" w:edGrp="everyone" w:colFirst="1" w:colLast="1"/>
            <w:permStart w:id="90" w:edGrp="everyone" w:colFirst="2" w:colLast="2"/>
            <w:permStart w:id="91"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企业荣誉评分标准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15</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企业类似业绩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8</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iCs/>
                <w:color w:val="FF0000"/>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single"/>
                <w:lang w:val="en-US" w:eastAsia="zh-CN"/>
              </w:rPr>
              <w:t>2020年1月1日至今，投标人每具有一个合同签订金额在90万元及以上的类似实验室装饰装修工程施工业绩（上述业绩的施工内容中须包含通排风空气处理的供货及安装内容）的</w:t>
            </w:r>
            <w:r>
              <w:rPr>
                <w:rFonts w:hint="eastAsia" w:ascii="Times New Roman" w:hAnsi="Times New Roman" w:cs="Times New Roman"/>
                <w:i/>
                <w:iCs/>
                <w:color w:val="FF0000"/>
                <w:kern w:val="0"/>
                <w:sz w:val="24"/>
                <w:szCs w:val="24"/>
                <w:highlight w:val="none"/>
                <w:u w:val="single"/>
                <w:lang w:val="en-US" w:eastAsia="zh-CN"/>
              </w:rPr>
              <w:t>得2分，最高不超过8分；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single"/>
                <w:lang w:val="en-US" w:eastAsia="zh-CN"/>
              </w:rPr>
              <w:t xml:space="preserve">注：①业绩须提供中标通知书、合同证明材料，业绩时间以合同签订时间为准，业绩金额以合同签订金额为准；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single"/>
                <w:lang w:val="en-US" w:eastAsia="zh-CN"/>
              </w:rPr>
              <w:t xml:space="preserve"> ②投标人所提供类似实验室业绩中须能体现实验室的相关施工内容（包含通排风空气处理系统的设备供货及安装内容的）且为单独的实验室施工合同业绩，若合同中无法体现，投标人须提供结算资料或业主单位出具的有效证明材料；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single"/>
                <w:lang w:val="en-US" w:eastAsia="zh-CN"/>
              </w:rPr>
              <w:t xml:space="preserve">③上述类似实验室业绩须为下述类型之一： </w:t>
            </w:r>
            <w:r>
              <w:rPr>
                <w:rFonts w:hint="eastAsia" w:ascii="Times New Roman" w:hAnsi="Times New Roman" w:cs="Times New Roman"/>
                <w:i w:val="0"/>
                <w:iCs w:val="0"/>
                <w:color w:val="0000FF"/>
                <w:kern w:val="0"/>
                <w:sz w:val="24"/>
                <w:szCs w:val="24"/>
                <w:highlight w:val="none"/>
                <w:u w:val="single"/>
                <w:lang w:val="en-US" w:eastAsia="zh-CN"/>
              </w:rPr>
              <w:t>环境、</w:t>
            </w:r>
            <w:r>
              <w:rPr>
                <w:rFonts w:hint="eastAsia" w:ascii="Times New Roman" w:hAnsi="Times New Roman" w:cs="Times New Roman"/>
                <w:i w:val="0"/>
                <w:iCs w:val="0"/>
                <w:color w:val="auto"/>
                <w:kern w:val="0"/>
                <w:sz w:val="24"/>
                <w:szCs w:val="24"/>
                <w:highlight w:val="none"/>
                <w:u w:val="single"/>
                <w:lang w:val="en-US" w:eastAsia="zh-CN"/>
              </w:rPr>
              <w:t>高校教学、医学、食品、药品检验检测、检验检疫所用;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u w:val="single"/>
                <w:lang w:val="en-US" w:eastAsia="zh-CN"/>
              </w:rPr>
              <w:t>④资格评审业绩不予计分。</w:t>
            </w:r>
          </w:p>
        </w:tc>
      </w:tr>
      <w:permEnd w:id="89"/>
      <w:permEnd w:id="90"/>
      <w:permEnd w:id="9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2" w:edGrp="everyone" w:colFirst="1" w:colLast="1"/>
            <w:permStart w:id="93" w:edGrp="everyone" w:colFirst="2" w:colLast="2"/>
            <w:permStart w:id="94"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企业获奖</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7分）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投标人曾获市级及以上行政主管部门颁发的装修装饰工程施工或实验室相关奖项或荣誉的，每提供1项市级2分、省级及以上的3分，本</w:t>
            </w:r>
            <w:bookmarkStart w:id="236" w:name="_GoBack"/>
            <w:bookmarkEnd w:id="236"/>
            <w:r>
              <w:rPr>
                <w:rFonts w:hint="eastAsia" w:ascii="Times New Roman" w:hAnsi="Times New Roman" w:cs="Times New Roman"/>
                <w:kern w:val="0"/>
                <w:sz w:val="24"/>
                <w:szCs w:val="24"/>
                <w:highlight w:val="none"/>
                <w:lang w:val="en-US" w:eastAsia="zh-CN"/>
              </w:rPr>
              <w:t>项满分7分，多分不计。</w:t>
            </w:r>
          </w:p>
        </w:tc>
      </w:tr>
      <w:permEnd w:id="92"/>
      <w:permEnd w:id="93"/>
      <w:permEnd w:id="9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5" w:edGrp="everyone" w:colFirst="1" w:colLast="1"/>
            <w:permStart w:id="96" w:edGrp="everyone" w:colFirst="2" w:colLast="2"/>
            <w:permStart w:id="97"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30</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取所有通过初步评审的投标人的最低投标报价作为评标基准价，得分计算公式如下：</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得分=（评标基准价/投标报价）×30</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若评标委员会认定该投标人投标报价为可能影响合同履约的异常低价或不以中标为目的投标报价的，可以否决其投标。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注：保留得分小数点后两位，第三位四舍五入。</w:t>
            </w:r>
          </w:p>
        </w:tc>
      </w:tr>
      <w:permEnd w:id="95"/>
      <w:permEnd w:id="96"/>
      <w:permEnd w:id="9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8" w:edGrp="everyone" w:colFirst="1" w:colLast="1"/>
            <w:permStart w:id="99" w:edGrp="everyone" w:colFirst="2" w:colLast="2"/>
            <w:permStart w:id="100"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其他因素评分标准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25</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  技术性能指标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响应情况</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eastAsiaTheme="minorEastAsia"/>
                <w:kern w:val="0"/>
                <w:sz w:val="24"/>
                <w:szCs w:val="24"/>
                <w:highlight w:val="none"/>
                <w:lang w:val="en-US" w:eastAsia="zh-CN" w:bidi="ar-SA"/>
              </w:rPr>
              <w:t>1.投标人投标设备技术性能指标全部符合招标文件第七章技术标准和要求的得</w:t>
            </w:r>
            <w:r>
              <w:rPr>
                <w:rFonts w:hint="eastAsia" w:ascii="Times New Roman" w:hAnsi="Times New Roman" w:cs="Times New Roman"/>
                <w:kern w:val="0"/>
                <w:sz w:val="24"/>
                <w:szCs w:val="24"/>
                <w:highlight w:val="none"/>
                <w:lang w:val="en-US" w:eastAsia="zh-CN" w:bidi="ar-SA"/>
              </w:rPr>
              <w:t>15</w:t>
            </w:r>
            <w:r>
              <w:rPr>
                <w:rFonts w:hint="eastAsia" w:ascii="Times New Roman" w:hAnsi="Times New Roman" w:cs="Times New Roman" w:eastAsiaTheme="minorEastAsia"/>
                <w:kern w:val="0"/>
                <w:sz w:val="24"/>
                <w:szCs w:val="24"/>
                <w:highlight w:val="none"/>
                <w:lang w:val="en-US" w:eastAsia="zh-CN" w:bidi="ar-SA"/>
              </w:rPr>
              <w:t>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eastAsiaTheme="minorEastAsia"/>
                <w:kern w:val="0"/>
                <w:sz w:val="24"/>
                <w:szCs w:val="24"/>
                <w:highlight w:val="none"/>
                <w:lang w:val="en-US" w:eastAsia="zh-CN" w:bidi="ar-SA"/>
              </w:rPr>
              <w:t>投标人投标设备技术性能指标每有1项出现负偏离的扣2分，最低扣至0分。</w:t>
            </w:r>
          </w:p>
          <w:p>
            <w:pPr>
              <w:pStyle w:val="2"/>
              <w:ind w:firstLine="240" w:firstLineChars="100"/>
              <w:rPr>
                <w:rFonts w:hint="default"/>
                <w:lang w:val="en-US" w:eastAsia="zh-CN"/>
              </w:rPr>
            </w:pPr>
            <w:r>
              <w:rPr>
                <w:rFonts w:hint="eastAsia" w:ascii="Times New Roman" w:hAnsi="Times New Roman" w:cs="Times New Roman" w:eastAsiaTheme="minorEastAsia"/>
                <w:kern w:val="0"/>
                <w:sz w:val="24"/>
                <w:szCs w:val="24"/>
                <w:highlight w:val="none"/>
                <w:lang w:val="en-US" w:eastAsia="zh-CN" w:bidi="ar-SA"/>
              </w:rPr>
              <w:t>注：招标文件供货要求标有“▲”的条款为关键技术参数，投标人必须相应或优于响应，否则其投标无效。</w:t>
            </w:r>
          </w:p>
        </w:tc>
      </w:tr>
      <w:permEnd w:id="98"/>
      <w:permEnd w:id="99"/>
      <w:permEnd w:id="10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合理建议</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Style w:val="2"/>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eastAsiaTheme="minorEastAsia"/>
                <w:kern w:val="0"/>
                <w:sz w:val="24"/>
                <w:szCs w:val="24"/>
                <w:highlight w:val="none"/>
                <w:lang w:val="en-US" w:eastAsia="zh-CN" w:bidi="ar-SA"/>
              </w:rPr>
              <w:t>根据投标人针对本项目的合理化建议具体可行，对项目试试友谊进行综合评分，方案具体可行、全面完善得5分，方案具有一定实操性得3分，方案一般或者不提供不得分。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lang w:val="en-US" w:eastAsia="zh-CN"/>
              </w:rPr>
            </w:pPr>
            <w:r>
              <w:rPr>
                <w:rFonts w:hint="eastAsia"/>
                <w:lang w:val="en-US" w:eastAsia="zh-CN"/>
              </w:rPr>
              <w:t>履约信誉</w:t>
            </w:r>
          </w:p>
          <w:p>
            <w:pPr>
              <w:pStyle w:val="2"/>
              <w:jc w:val="center"/>
              <w:rPr>
                <w:rFonts w:hint="default"/>
                <w:lang w:val="en-US" w:eastAsia="zh-CN"/>
              </w:rPr>
            </w:pPr>
            <w:r>
              <w:rPr>
                <w:rFonts w:hint="eastAsia" w:ascii="Times New Roman" w:hAnsi="Times New Roman" w:cs="Times New Roman"/>
                <w:i w:val="0"/>
                <w:iCs w:val="0"/>
                <w:color w:val="FF0000"/>
                <w:kern w:val="0"/>
                <w:sz w:val="24"/>
                <w:szCs w:val="24"/>
                <w:highlight w:val="none"/>
                <w:u w:val="single"/>
                <w:lang w:val="en-US" w:eastAsia="zh-CN"/>
              </w:rPr>
              <w:t>（5分）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ind w:firstLine="480" w:firstLineChars="200"/>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投标人</w:t>
            </w:r>
            <w:r>
              <w:rPr>
                <w:rFonts w:hint="eastAsia" w:ascii="Times New Roman" w:hAnsi="Times New Roman" w:cs="Times New Roman" w:eastAsiaTheme="minorEastAsia"/>
                <w:kern w:val="0"/>
                <w:sz w:val="24"/>
                <w:szCs w:val="24"/>
                <w:highlight w:val="none"/>
                <w:lang w:val="en-US" w:eastAsia="zh-CN" w:bidi="ar-SA"/>
              </w:rPr>
              <w:t>具备第三方企业信用评价机构出具的AA级《企业信用报告》的得</w:t>
            </w:r>
            <w:r>
              <w:rPr>
                <w:rFonts w:hint="eastAsia" w:ascii="Times New Roman" w:hAnsi="Times New Roman" w:cs="Times New Roman"/>
                <w:kern w:val="0"/>
                <w:sz w:val="24"/>
                <w:szCs w:val="24"/>
                <w:highlight w:val="none"/>
                <w:lang w:val="en-US" w:eastAsia="zh-CN" w:bidi="ar-SA"/>
              </w:rPr>
              <w:t>3</w:t>
            </w:r>
            <w:r>
              <w:rPr>
                <w:rFonts w:hint="eastAsia" w:ascii="Times New Roman" w:hAnsi="Times New Roman" w:cs="Times New Roman" w:eastAsiaTheme="minorEastAsia"/>
                <w:kern w:val="0"/>
                <w:sz w:val="24"/>
                <w:szCs w:val="24"/>
                <w:highlight w:val="none"/>
                <w:lang w:val="en-US" w:eastAsia="zh-CN" w:bidi="ar-SA"/>
              </w:rPr>
              <w:t>分；</w:t>
            </w:r>
          </w:p>
          <w:p>
            <w:pPr>
              <w:ind w:firstLine="480" w:firstLineChars="200"/>
              <w:rPr>
                <w:rFonts w:hint="default"/>
                <w:lang w:val="en-US" w:eastAsia="zh-CN"/>
              </w:rPr>
            </w:pPr>
            <w:r>
              <w:rPr>
                <w:rFonts w:hint="eastAsia" w:ascii="Times New Roman" w:hAnsi="Times New Roman" w:cs="Times New Roman"/>
                <w:kern w:val="0"/>
                <w:sz w:val="24"/>
                <w:szCs w:val="24"/>
                <w:highlight w:val="none"/>
                <w:lang w:val="en-US" w:eastAsia="zh-CN" w:bidi="ar-SA"/>
              </w:rPr>
              <w:t>投标人</w:t>
            </w:r>
            <w:r>
              <w:rPr>
                <w:rFonts w:hint="eastAsia" w:ascii="Times New Roman" w:hAnsi="Times New Roman" w:cs="Times New Roman" w:eastAsiaTheme="minorEastAsia"/>
                <w:kern w:val="0"/>
                <w:sz w:val="24"/>
                <w:szCs w:val="24"/>
                <w:highlight w:val="none"/>
                <w:lang w:val="en-US" w:eastAsia="zh-CN" w:bidi="ar-SA"/>
              </w:rPr>
              <w:t>具备第三方企业信用评价机构出具的AAA级《企业信用报告》的得</w:t>
            </w:r>
            <w:r>
              <w:rPr>
                <w:rFonts w:hint="eastAsia" w:ascii="Times New Roman" w:hAnsi="Times New Roman" w:cs="Times New Roman"/>
                <w:kern w:val="0"/>
                <w:sz w:val="24"/>
                <w:szCs w:val="24"/>
                <w:highlight w:val="none"/>
                <w:lang w:val="en-US" w:eastAsia="zh-CN" w:bidi="ar-SA"/>
              </w:rPr>
              <w:t>5</w:t>
            </w:r>
            <w:r>
              <w:rPr>
                <w:rFonts w:hint="eastAsia" w:ascii="Times New Roman" w:hAnsi="Times New Roman" w:cs="Times New Roman" w:eastAsiaTheme="minorEastAsia"/>
                <w:kern w:val="0"/>
                <w:sz w:val="24"/>
                <w:szCs w:val="24"/>
                <w:highlight w:val="none"/>
                <w:lang w:val="en-US" w:eastAsia="zh-CN" w:bidi="ar-SA"/>
              </w:rPr>
              <w:t>分。</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246996976"/>
      <w:bookmarkStart w:id="25" w:name="_Toc246996233"/>
      <w:bookmarkStart w:id="26" w:name="_Toc296602478"/>
      <w:bookmarkStart w:id="27" w:name="_Toc152042367"/>
      <w:bookmarkStart w:id="28" w:name="_Toc144974557"/>
      <w:bookmarkStart w:id="29" w:name="_Toc152045590"/>
      <w:bookmarkStart w:id="30" w:name="_Toc179632608"/>
      <w:bookmarkStart w:id="31" w:name="_Toc247085748"/>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46996977"/>
      <w:bookmarkStart w:id="33" w:name="_Toc296602479"/>
      <w:bookmarkStart w:id="34" w:name="_Toc152042368"/>
      <w:bookmarkStart w:id="35" w:name="_Toc144974558"/>
      <w:bookmarkStart w:id="36" w:name="_Toc247085749"/>
      <w:bookmarkStart w:id="37" w:name="_Toc179632609"/>
      <w:bookmarkStart w:id="38" w:name="_Toc246996234"/>
      <w:bookmarkStart w:id="39" w:name="_Toc152045591"/>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296602481"/>
      <w:bookmarkStart w:id="41" w:name="_Toc144974560"/>
      <w:bookmarkStart w:id="42" w:name="_Toc247085751"/>
      <w:bookmarkStart w:id="43" w:name="_Toc246996236"/>
      <w:bookmarkStart w:id="44" w:name="_Toc179632611"/>
      <w:bookmarkStart w:id="45" w:name="_Toc152042370"/>
      <w:bookmarkStart w:id="46" w:name="_Toc152045593"/>
      <w:bookmarkStart w:id="47" w:name="_Toc246996979"/>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101" w:edGrp="everyone"/>
      <w:r>
        <w:rPr>
          <w:rFonts w:hint="eastAsia" w:ascii="Times New Roman" w:hAnsi="Times New Roman" w:cs="Times New Roman" w:eastAsiaTheme="minorEastAsia"/>
          <w:kern w:val="0"/>
          <w:sz w:val="24"/>
          <w:szCs w:val="24"/>
          <w:highlight w:val="none"/>
          <w:lang w:val="en-US" w:eastAsia="zh-CN"/>
        </w:rPr>
        <w:t>施工组织设计</w:t>
      </w:r>
      <w:permEnd w:id="101"/>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102" w:edGrp="everyone"/>
      <w:r>
        <w:rPr>
          <w:rFonts w:hint="eastAsia" w:ascii="Times New Roman" w:hAnsi="Times New Roman" w:cs="Times New Roman"/>
          <w:kern w:val="0"/>
          <w:sz w:val="24"/>
          <w:szCs w:val="24"/>
          <w:highlight w:val="none"/>
          <w:lang w:val="en-US" w:eastAsia="zh-CN"/>
        </w:rPr>
        <w:t>企业荣誉</w:t>
      </w:r>
      <w:permEnd w:id="102"/>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103" w:edGrp="everyone"/>
      <w:r>
        <w:rPr>
          <w:rFonts w:hint="eastAsia" w:ascii="Times New Roman" w:hAnsi="Times New Roman" w:cs="Times New Roman" w:eastAsiaTheme="minorEastAsia"/>
          <w:kern w:val="0"/>
          <w:sz w:val="24"/>
          <w:szCs w:val="24"/>
          <w:highlight w:val="none"/>
          <w:lang w:val="en-US" w:eastAsia="zh-CN"/>
        </w:rPr>
        <w:t>投标报价</w:t>
      </w:r>
      <w:permEnd w:id="103"/>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104" w:edGrp="everyone"/>
      <w:r>
        <w:rPr>
          <w:rFonts w:hint="eastAsia" w:ascii="Times New Roman" w:hAnsi="Times New Roman" w:cs="Times New Roman" w:eastAsiaTheme="minorEastAsia"/>
          <w:kern w:val="0"/>
          <w:sz w:val="24"/>
          <w:szCs w:val="24"/>
          <w:highlight w:val="none"/>
          <w:lang w:val="en-US" w:eastAsia="zh-CN"/>
        </w:rPr>
        <w:t>其他评分因素</w:t>
      </w:r>
      <w:permEnd w:id="104"/>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105"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施工组织设计评分标准</w:t>
      </w:r>
      <w:permEnd w:id="105"/>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106"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6"/>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107"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107"/>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108"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108"/>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44974561"/>
      <w:bookmarkStart w:id="49" w:name="_Toc296602482"/>
      <w:bookmarkStart w:id="50" w:name="_Toc179632612"/>
      <w:bookmarkStart w:id="51" w:name="_Toc247085752"/>
      <w:bookmarkStart w:id="52" w:name="_Toc152042371"/>
      <w:bookmarkStart w:id="53" w:name="_Toc152045594"/>
      <w:bookmarkStart w:id="54" w:name="_Toc246996237"/>
      <w:bookmarkStart w:id="55" w:name="_Toc246996980"/>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246996981"/>
      <w:bookmarkStart w:id="57" w:name="_Toc144974562"/>
      <w:bookmarkStart w:id="58" w:name="_Toc296602483"/>
      <w:bookmarkStart w:id="59" w:name="_Toc152042372"/>
      <w:bookmarkStart w:id="60" w:name="_Toc179632613"/>
      <w:bookmarkStart w:id="61" w:name="_Toc152045595"/>
      <w:bookmarkStart w:id="62" w:name="_Toc246996238"/>
      <w:bookmarkStart w:id="63" w:name="_Toc247085753"/>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144974563"/>
      <w:bookmarkStart w:id="65" w:name="_Toc152042373"/>
      <w:bookmarkStart w:id="66" w:name="_Toc247085754"/>
      <w:bookmarkStart w:id="67" w:name="_Toc246996239"/>
      <w:bookmarkStart w:id="68" w:name="_Toc179632614"/>
      <w:bookmarkStart w:id="69" w:name="_Toc246996982"/>
      <w:bookmarkStart w:id="70" w:name="_Toc152045596"/>
      <w:bookmarkStart w:id="71" w:name="_Toc29660248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109"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施工组织设计</w:t>
      </w:r>
      <w:permEnd w:id="109"/>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11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permEnd w:id="110"/>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1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11"/>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11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112"/>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r>
        <w:rPr>
          <w:rFonts w:hint="default" w:ascii="Times New Roman" w:hAnsi="Times New Roman" w:cs="Times New Roman" w:eastAsiaTheme="minorEastAsia"/>
          <w:b/>
          <w:bCs/>
          <w:kern w:val="0"/>
          <w:sz w:val="28"/>
          <w:szCs w:val="28"/>
          <w:highlight w:val="none"/>
        </w:rPr>
        <w:t>和补正</w:t>
      </w:r>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3" w:edGrp="everyone"/>
            <w:r>
              <w:rPr>
                <w:rFonts w:hint="eastAsia" w:ascii="Times New Roman" w:hAnsi="Times New Roman" w:cs="Times New Roman"/>
                <w:kern w:val="0"/>
                <w:sz w:val="24"/>
                <w:szCs w:val="24"/>
                <w:highlight w:val="none"/>
                <w:shd w:val="clear" w:color="auto" w:fill="auto"/>
                <w:vertAlign w:val="baseline"/>
                <w:lang w:val="en-US" w:eastAsia="zh-CN"/>
              </w:rPr>
              <w:t xml:space="preserve"> 安徽安海新环境科技有限公司 </w:t>
            </w:r>
            <w:permEnd w:id="11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4" w:edGrp="everyone"/>
            <w:r>
              <w:rPr>
                <w:rFonts w:hint="eastAsia" w:ascii="Times New Roman" w:hAnsi="Times New Roman" w:cs="Times New Roman"/>
                <w:kern w:val="0"/>
                <w:sz w:val="24"/>
                <w:szCs w:val="24"/>
                <w:highlight w:val="none"/>
                <w:shd w:val="clear" w:color="auto" w:fill="auto"/>
                <w:vertAlign w:val="baseline"/>
                <w:lang w:val="en-US" w:eastAsia="zh-CN"/>
              </w:rPr>
              <w:t>工程无预付款；工程竣工验收合格后，招标人向中标人支付至合同价款的80%；招标人委托的工程造价咨询机构出具竣工结算审核成果文件后30个工作日内，招标人依据竣工结算审核结果向中标人支付至审定工程量对应工程价款的97%；</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余款3%作为质量保证金，无质量问题发生或质量问题已处理的情况下，质保期满后10个工作日内，招标人向中标人付清余款（本金无息）。</w:t>
            </w:r>
            <w:permEnd w:id="114"/>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5"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115"/>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6"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自竣（交）工验收合格之日起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2</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11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7" w:edGrp="everyone"/>
            <w:r>
              <w:rPr>
                <w:rFonts w:hint="eastAsia" w:ascii="Times New Roman" w:hAnsi="Times New Roman" w:cs="Times New Roman"/>
                <w:kern w:val="0"/>
                <w:sz w:val="24"/>
                <w:szCs w:val="24"/>
                <w:highlight w:val="none"/>
                <w:shd w:val="clear" w:color="auto" w:fill="auto"/>
                <w:vertAlign w:val="baseline"/>
                <w:lang w:val="en-US" w:eastAsia="zh-CN"/>
              </w:rPr>
              <w:t xml:space="preserve">材料市场价格波动产生的一切风险由中标人承担，中标后，招标人不予调整材料价差。项目管理人员不得擅自变更和离岗，擅自离岗且未办理书面请假手续的行为给予罚款 </w:t>
            </w:r>
            <w:permEnd w:id="117"/>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118" w:edGrp="everyone"/>
      <w:r>
        <w:rPr>
          <w:rFonts w:hint="eastAsia" w:ascii="Times New Roman" w:hAnsi="Times New Roman" w:cs="Times New Roman"/>
          <w:kern w:val="0"/>
          <w:sz w:val="24"/>
          <w:szCs w:val="24"/>
          <w:highlight w:val="none"/>
          <w:u w:val="single"/>
          <w:lang w:val="en-US" w:eastAsia="zh-CN"/>
        </w:rPr>
        <w:t xml:space="preserve"> / </w:t>
      </w:r>
      <w:permEnd w:id="118"/>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16"/>
      <w:bookmarkEnd w:id="17"/>
      <w:bookmarkEnd w:id="18"/>
      <w:bookmarkEnd w:id="19"/>
      <w:bookmarkEnd w:id="20"/>
      <w:bookmarkEnd w:id="21"/>
      <w:bookmarkEnd w:id="22"/>
      <w:bookmarkEnd w:id="23"/>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119" w:edGrp="everyone"/>
      <w:r>
        <w:rPr>
          <w:rFonts w:hint="eastAsia" w:ascii="Times New Roman" w:hAnsi="Times New Roman" w:cs="Times New Roman"/>
          <w:kern w:val="0"/>
          <w:sz w:val="24"/>
          <w:szCs w:val="24"/>
          <w:highlight w:val="none"/>
          <w:u w:val="single"/>
          <w:lang w:val="en-US" w:eastAsia="zh-CN"/>
        </w:rPr>
        <w:t xml:space="preserve"> / </w:t>
      </w:r>
      <w:permEnd w:id="119"/>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120" w:edGrp="everyone"/>
      <w:r>
        <w:rPr>
          <w:rFonts w:hint="eastAsia" w:ascii="Times New Roman" w:hAnsi="Times New Roman" w:cs="Times New Roman"/>
          <w:kern w:val="0"/>
          <w:sz w:val="24"/>
          <w:szCs w:val="24"/>
          <w:highlight w:val="none"/>
          <w:lang w:val="en-US" w:eastAsia="zh-CN"/>
        </w:rPr>
        <w:t xml:space="preserve"> / </w:t>
      </w:r>
      <w:permEnd w:id="120"/>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121" w:edGrp="everyone"/>
      <w:r>
        <w:rPr>
          <w:rFonts w:hint="eastAsia" w:ascii="Times New Roman" w:hAnsi="Times New Roman" w:cs="Times New Roman"/>
          <w:kern w:val="0"/>
          <w:sz w:val="24"/>
          <w:szCs w:val="24"/>
          <w:highlight w:val="none"/>
          <w:lang w:val="en-US" w:eastAsia="zh-CN"/>
        </w:rPr>
        <w:t>详见附件。</w:t>
      </w:r>
    </w:p>
    <w:permEnd w:id="121"/>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122" w:edGrp="everyone" w:colFirst="0" w:colLast="0"/>
            <w:permStart w:id="123"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122"/>
      <w:permEnd w:id="12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124" w:edGrp="everyone"/>
      <w:r>
        <w:rPr>
          <w:rFonts w:hint="eastAsia" w:ascii="Times New Roman" w:hAnsi="Times New Roman" w:cs="Times New Roman"/>
          <w:kern w:val="0"/>
          <w:sz w:val="24"/>
          <w:szCs w:val="24"/>
          <w:highlight w:val="none"/>
          <w:lang w:val="en-US" w:eastAsia="zh-CN"/>
        </w:rPr>
        <w:t>详见附件。</w:t>
      </w:r>
    </w:p>
    <w:permEnd w:id="124"/>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spacing w:before="313" w:line="360" w:lineRule="auto"/>
        <w:ind w:firstLine="143"/>
        <w:rPr>
          <w:rFonts w:hint="eastAsia" w:ascii="宋体" w:hAnsi="宋体" w:eastAsia="宋体" w:cs="宋体"/>
          <w:color w:val="auto"/>
          <w:sz w:val="24"/>
          <w:szCs w:val="24"/>
        </w:rPr>
      </w:pPr>
      <w:permStart w:id="125" w:edGrp="everyone"/>
      <w:r>
        <w:rPr>
          <w:rFonts w:hint="eastAsia" w:ascii="宋体" w:hAnsi="宋体" w:eastAsia="宋体" w:cs="宋体"/>
          <w:i w:val="0"/>
          <w:iCs w:val="0"/>
          <w:color w:val="auto"/>
          <w:sz w:val="24"/>
          <w:szCs w:val="24"/>
          <w:highlight w:val="none"/>
          <w:u w:val="none"/>
          <w:lang w:val="en-US" w:eastAsia="zh-CN"/>
        </w:rPr>
        <w:t>本项由招标人在招标方案中提出，主要为项目概况、质量要求、适用技术规范、施工工艺、工期、竣工验收以及其他发包人要求等内容。</w:t>
      </w:r>
    </w:p>
    <w:p>
      <w:pPr>
        <w:spacing w:before="218" w:line="360" w:lineRule="auto"/>
        <w:ind w:left="140" w:right="39" w:firstLine="449"/>
        <w:rPr>
          <w:rFonts w:hint="eastAsia" w:ascii="宋体" w:hAnsi="宋体" w:eastAsia="宋体" w:cs="宋体"/>
          <w:color w:val="auto"/>
          <w:sz w:val="24"/>
          <w:szCs w:val="24"/>
        </w:rPr>
      </w:pPr>
      <w:r>
        <w:rPr>
          <w:rFonts w:hint="eastAsia" w:ascii="宋体" w:hAnsi="宋体" w:eastAsia="宋体" w:cs="宋体"/>
          <w:color w:val="auto"/>
          <w:spacing w:val="-10"/>
          <w:sz w:val="24"/>
          <w:szCs w:val="24"/>
        </w:rPr>
        <w:t>1.本说明中提出的技术方案仅为参考， 如无明确限制， 供应商可以进行优化， 提供满足用户实际需要的更优（或者性能实质上不低于的）</w:t>
      </w:r>
      <w:r>
        <w:rPr>
          <w:rFonts w:hint="eastAsia" w:ascii="宋体" w:hAnsi="宋体" w:eastAsia="宋体" w:cs="宋体"/>
          <w:color w:val="auto"/>
          <w:spacing w:val="2"/>
          <w:sz w:val="24"/>
          <w:szCs w:val="24"/>
        </w:rPr>
        <w:t xml:space="preserve"> </w:t>
      </w:r>
      <w:r>
        <w:rPr>
          <w:rFonts w:hint="eastAsia" w:ascii="宋体" w:hAnsi="宋体" w:eastAsia="宋体" w:cs="宋体"/>
          <w:color w:val="auto"/>
          <w:spacing w:val="-10"/>
          <w:sz w:val="24"/>
          <w:szCs w:val="24"/>
        </w:rPr>
        <w:t>服务方案，</w:t>
      </w:r>
      <w:r>
        <w:rPr>
          <w:rFonts w:hint="eastAsia" w:ascii="宋体" w:hAnsi="宋体" w:eastAsia="宋体" w:cs="宋体"/>
          <w:color w:val="auto"/>
          <w:spacing w:val="34"/>
          <w:sz w:val="24"/>
          <w:szCs w:val="24"/>
        </w:rPr>
        <w:t xml:space="preserve"> </w:t>
      </w:r>
      <w:r>
        <w:rPr>
          <w:rFonts w:hint="eastAsia" w:ascii="宋体" w:hAnsi="宋体" w:eastAsia="宋体" w:cs="宋体"/>
          <w:color w:val="auto"/>
          <w:spacing w:val="-10"/>
          <w:sz w:val="24"/>
          <w:szCs w:val="24"/>
        </w:rPr>
        <w:t>且此方案</w:t>
      </w:r>
      <w:r>
        <w:rPr>
          <w:rFonts w:hint="eastAsia" w:ascii="宋体" w:hAnsi="宋体" w:eastAsia="宋体" w:cs="宋体"/>
          <w:color w:val="auto"/>
          <w:spacing w:val="3"/>
          <w:sz w:val="24"/>
          <w:szCs w:val="24"/>
        </w:rPr>
        <w:t>须经</w:t>
      </w:r>
      <w:r>
        <w:rPr>
          <w:rFonts w:hint="eastAsia" w:ascii="宋体" w:hAnsi="宋体" w:eastAsia="宋体" w:cs="宋体"/>
          <w:color w:val="auto"/>
          <w:spacing w:val="3"/>
          <w:sz w:val="24"/>
          <w:szCs w:val="24"/>
          <w:lang w:eastAsia="zh-CN"/>
        </w:rPr>
        <w:t>评标</w:t>
      </w:r>
      <w:r>
        <w:rPr>
          <w:rFonts w:hint="eastAsia" w:ascii="宋体" w:hAnsi="宋体" w:eastAsia="宋体" w:cs="宋体"/>
          <w:color w:val="auto"/>
          <w:spacing w:val="3"/>
          <w:sz w:val="24"/>
          <w:szCs w:val="24"/>
        </w:rPr>
        <w:t>小组评审认可。</w:t>
      </w:r>
    </w:p>
    <w:p>
      <w:pPr>
        <w:spacing w:before="8" w:line="360" w:lineRule="auto"/>
        <w:ind w:left="140" w:right="80" w:firstLine="434"/>
        <w:rPr>
          <w:rFonts w:hint="eastAsia" w:ascii="宋体" w:hAnsi="宋体" w:eastAsia="宋体" w:cs="宋体"/>
          <w:spacing w:val="-6"/>
          <w:sz w:val="24"/>
          <w:szCs w:val="24"/>
        </w:rPr>
      </w:pPr>
      <w:r>
        <w:rPr>
          <w:rFonts w:hint="eastAsia" w:ascii="宋体" w:hAnsi="宋体" w:eastAsia="宋体" w:cs="宋体"/>
          <w:color w:val="auto"/>
          <w:spacing w:val="2"/>
          <w:sz w:val="24"/>
          <w:szCs w:val="24"/>
        </w:rPr>
        <w:t>2.成交供应商必须确保整体通过用户方及有关主管部门验收,所发生的验收</w:t>
      </w:r>
      <w:r>
        <w:rPr>
          <w:rFonts w:hint="eastAsia" w:ascii="宋体" w:hAnsi="宋体" w:eastAsia="宋体" w:cs="宋体"/>
          <w:color w:val="auto"/>
          <w:spacing w:val="4"/>
          <w:sz w:val="24"/>
          <w:szCs w:val="24"/>
        </w:rPr>
        <w:t>费用由成交供应商承担；如供应商因未及时勘察现</w:t>
      </w:r>
      <w:r>
        <w:rPr>
          <w:rFonts w:hint="eastAsia" w:ascii="宋体" w:hAnsi="宋体" w:eastAsia="宋体" w:cs="宋体"/>
          <w:spacing w:val="4"/>
          <w:sz w:val="24"/>
          <w:szCs w:val="24"/>
        </w:rPr>
        <w:t>场而导致的报价缺项漏项废</w:t>
      </w:r>
      <w:r>
        <w:rPr>
          <w:rFonts w:hint="eastAsia" w:ascii="宋体" w:hAnsi="宋体" w:eastAsia="宋体" w:cs="宋体"/>
          <w:spacing w:val="-6"/>
          <w:sz w:val="24"/>
          <w:szCs w:val="24"/>
        </w:rPr>
        <w:t>标、或成交后无法完工，供应商自行承担一切后果。</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0" w:rightChars="0"/>
        <w:jc w:val="left"/>
        <w:textAlignment w:val="baseline"/>
        <w:outlineLvl w:val="1"/>
        <w:rPr>
          <w:rFonts w:hint="eastAsia" w:ascii="宋体" w:hAnsi="宋体" w:eastAsia="宋体" w:cs="宋体"/>
          <w:spacing w:val="4"/>
          <w:sz w:val="24"/>
          <w:szCs w:val="24"/>
          <w14:textOutline w14:w="4441" w14:cap="flat" w14:cmpd="sng">
            <w14:solidFill>
              <w14:srgbClr w14:val="000000"/>
            </w14:solidFill>
            <w14:prstDash w14:val="solid"/>
            <w14:miter w14:val="0"/>
          </w14:textOutline>
        </w:rPr>
      </w:pPr>
      <w:r>
        <w:rPr>
          <w:rFonts w:hint="eastAsia" w:ascii="宋体" w:hAnsi="宋体" w:eastAsia="宋体" w:cs="宋体"/>
          <w:spacing w:val="5"/>
          <w:sz w:val="24"/>
          <w:szCs w:val="24"/>
          <w:lang w:val="en-US" w:eastAsia="zh-CN"/>
          <w14:textOutline w14:w="4441" w14:cap="flat" w14:cmpd="sng">
            <w14:solidFill>
              <w14:srgbClr w14:val="000000"/>
            </w14:solidFill>
            <w14:prstDash w14:val="solid"/>
            <w14:miter w14:val="0"/>
          </w14:textOutline>
        </w:rPr>
        <w:t>一、</w:t>
      </w:r>
      <w:r>
        <w:rPr>
          <w:rFonts w:hint="eastAsia" w:ascii="宋体" w:hAnsi="宋体" w:eastAsia="宋体" w:cs="宋体"/>
          <w:spacing w:val="5"/>
          <w:sz w:val="24"/>
          <w:szCs w:val="24"/>
          <w14:textOutline w14:w="4441" w14:cap="flat" w14:cmpd="sng">
            <w14:solidFill>
              <w14:srgbClr w14:val="000000"/>
            </w14:solidFill>
            <w14:prstDash w14:val="solid"/>
            <w14:miter w14:val="0"/>
          </w14:textOutline>
        </w:rPr>
        <w:t>设计施</w:t>
      </w:r>
      <w:r>
        <w:rPr>
          <w:rFonts w:hint="eastAsia" w:ascii="宋体" w:hAnsi="宋体" w:eastAsia="宋体" w:cs="宋体"/>
          <w:spacing w:val="4"/>
          <w:sz w:val="24"/>
          <w:szCs w:val="24"/>
          <w14:textOutline w14:w="4441" w14:cap="flat" w14:cmpd="sng">
            <w14:solidFill>
              <w14:srgbClr w14:val="000000"/>
            </w14:solidFill>
            <w14:prstDash w14:val="solid"/>
            <w14:miter w14:val="0"/>
          </w14:textOutline>
        </w:rPr>
        <w:t>工要求</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0" w:rightChars="0" w:firstLine="480" w:firstLineChars="200"/>
        <w:jc w:val="left"/>
        <w:textAlignment w:val="baseline"/>
        <w:rPr>
          <w:rFonts w:hint="eastAsia" w:ascii="宋体" w:hAnsi="宋体" w:eastAsia="宋体" w:cs="宋体"/>
          <w:sz w:val="24"/>
          <w:szCs w:val="24"/>
        </w:rPr>
      </w:pPr>
      <w:r>
        <w:rPr>
          <w:rFonts w:hint="eastAsia" w:ascii="宋体" w:hAnsi="宋体" w:eastAsia="宋体" w:cs="宋体"/>
          <w:spacing w:val="0"/>
          <w:position w:val="0"/>
          <w:sz w:val="24"/>
          <w:szCs w:val="24"/>
        </w:rPr>
        <w:t>1、供应商须根据</w:t>
      </w:r>
      <w:r>
        <w:rPr>
          <w:rFonts w:hint="eastAsia" w:ascii="宋体" w:hAnsi="宋体" w:eastAsia="宋体" w:cs="宋体"/>
          <w:spacing w:val="0"/>
          <w:position w:val="0"/>
          <w:sz w:val="24"/>
          <w:szCs w:val="24"/>
          <w:lang w:val="en-US" w:eastAsia="zh-CN"/>
        </w:rPr>
        <w:t>环境</w:t>
      </w:r>
      <w:r>
        <w:rPr>
          <w:rFonts w:hint="eastAsia" w:ascii="宋体" w:hAnsi="宋体" w:eastAsia="宋体" w:cs="宋体"/>
          <w:spacing w:val="0"/>
          <w:position w:val="0"/>
          <w:sz w:val="24"/>
          <w:szCs w:val="24"/>
        </w:rPr>
        <w:t>实验室的建设要求、特点以及相应科学原理，</w:t>
      </w:r>
      <w:r>
        <w:rPr>
          <w:rFonts w:hint="eastAsia" w:ascii="宋体" w:hAnsi="宋体" w:eastAsia="宋体" w:cs="宋体"/>
          <w:sz w:val="24"/>
          <w:szCs w:val="24"/>
        </w:rPr>
        <w:t>按业主给定的现状平面图</w:t>
      </w:r>
      <w:r>
        <w:rPr>
          <w:rFonts w:hint="eastAsia" w:ascii="宋体" w:hAnsi="宋体" w:eastAsia="宋体" w:cs="宋体"/>
          <w:sz w:val="24"/>
          <w:szCs w:val="24"/>
          <w:lang w:eastAsia="zh-CN"/>
        </w:rPr>
        <w:t>、</w:t>
      </w:r>
      <w:r>
        <w:rPr>
          <w:rFonts w:hint="eastAsia" w:ascii="宋体" w:hAnsi="宋体" w:eastAsia="宋体" w:cs="宋体"/>
          <w:spacing w:val="-120"/>
          <w:sz w:val="24"/>
          <w:szCs w:val="24"/>
        </w:rPr>
        <w:t xml:space="preserve"> </w:t>
      </w:r>
      <w:r>
        <w:rPr>
          <w:rFonts w:hint="eastAsia" w:ascii="宋体" w:hAnsi="宋体" w:eastAsia="宋体" w:cs="宋体"/>
          <w:sz w:val="24"/>
          <w:szCs w:val="24"/>
        </w:rPr>
        <w:t>深化设计图纸</w:t>
      </w:r>
      <w:r>
        <w:rPr>
          <w:rFonts w:hint="eastAsia" w:ascii="宋体" w:hAnsi="宋体" w:eastAsia="宋体" w:cs="宋体"/>
          <w:spacing w:val="-24"/>
          <w:sz w:val="24"/>
          <w:szCs w:val="24"/>
        </w:rPr>
        <w:t>，</w:t>
      </w:r>
      <w:r>
        <w:rPr>
          <w:rFonts w:hint="eastAsia" w:ascii="宋体" w:hAnsi="宋体" w:eastAsia="宋体" w:cs="宋体"/>
          <w:sz w:val="24"/>
          <w:szCs w:val="24"/>
        </w:rPr>
        <w:t>以安全</w:t>
      </w:r>
      <w:r>
        <w:rPr>
          <w:rFonts w:hint="eastAsia" w:ascii="宋体" w:hAnsi="宋体" w:eastAsia="宋体" w:cs="宋体"/>
          <w:spacing w:val="-3"/>
          <w:sz w:val="24"/>
          <w:szCs w:val="24"/>
        </w:rPr>
        <w:t>、</w:t>
      </w:r>
      <w:r>
        <w:rPr>
          <w:rFonts w:hint="eastAsia" w:ascii="宋体" w:hAnsi="宋体" w:eastAsia="宋体" w:cs="宋体"/>
          <w:sz w:val="24"/>
          <w:szCs w:val="24"/>
        </w:rPr>
        <w:t>实用</w:t>
      </w:r>
      <w:r>
        <w:rPr>
          <w:rFonts w:hint="eastAsia" w:ascii="宋体" w:hAnsi="宋体" w:eastAsia="宋体" w:cs="宋体"/>
          <w:spacing w:val="-3"/>
          <w:sz w:val="24"/>
          <w:szCs w:val="24"/>
        </w:rPr>
        <w:t>、</w:t>
      </w:r>
      <w:r>
        <w:rPr>
          <w:rFonts w:hint="eastAsia" w:ascii="宋体" w:hAnsi="宋体" w:eastAsia="宋体" w:cs="宋体"/>
          <w:sz w:val="24"/>
          <w:szCs w:val="24"/>
        </w:rPr>
        <w:t>美观</w:t>
      </w:r>
      <w:r>
        <w:rPr>
          <w:rFonts w:hint="eastAsia" w:ascii="宋体" w:hAnsi="宋体" w:eastAsia="宋体" w:cs="宋体"/>
          <w:spacing w:val="-3"/>
          <w:sz w:val="24"/>
          <w:szCs w:val="24"/>
        </w:rPr>
        <w:t>、</w:t>
      </w:r>
      <w:r>
        <w:rPr>
          <w:rFonts w:hint="eastAsia" w:ascii="宋体" w:hAnsi="宋体" w:eastAsia="宋体" w:cs="宋体"/>
          <w:sz w:val="24"/>
          <w:szCs w:val="24"/>
        </w:rPr>
        <w:t>经济</w:t>
      </w:r>
      <w:r>
        <w:rPr>
          <w:rFonts w:hint="eastAsia" w:ascii="宋体" w:hAnsi="宋体" w:eastAsia="宋体" w:cs="宋体"/>
          <w:spacing w:val="-3"/>
          <w:sz w:val="24"/>
          <w:szCs w:val="24"/>
        </w:rPr>
        <w:t>、</w:t>
      </w:r>
      <w:r>
        <w:rPr>
          <w:rFonts w:hint="eastAsia" w:ascii="宋体" w:hAnsi="宋体" w:eastAsia="宋体" w:cs="宋体"/>
          <w:sz w:val="24"/>
          <w:szCs w:val="24"/>
        </w:rPr>
        <w:t>环保为原则</w:t>
      </w:r>
      <w:r>
        <w:rPr>
          <w:rFonts w:hint="eastAsia" w:ascii="宋体" w:hAnsi="宋体" w:eastAsia="宋体" w:cs="宋体"/>
          <w:spacing w:val="-24"/>
          <w:sz w:val="24"/>
          <w:szCs w:val="24"/>
        </w:rPr>
        <w:t>。</w:t>
      </w:r>
      <w:r>
        <w:rPr>
          <w:rFonts w:hint="eastAsia" w:ascii="宋体" w:hAnsi="宋体" w:eastAsia="宋体" w:cs="宋体"/>
          <w:color w:val="000000" w:themeColor="text1"/>
          <w:spacing w:val="0"/>
          <w:position w:val="0"/>
          <w:sz w:val="24"/>
          <w:szCs w:val="24"/>
          <w14:textFill>
            <w14:solidFill>
              <w14:schemeClr w14:val="tx1"/>
            </w14:solidFill>
          </w14:textFill>
        </w:rPr>
        <w:t>投标人须自行探勘项目现场、仔细了解研究项目实际情况，考虑项目各项风险内容。</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0" w:rightChars="0" w:firstLine="480" w:firstLineChars="200"/>
        <w:jc w:val="left"/>
        <w:textAlignment w:val="baseline"/>
        <w:outlineLvl w:val="1"/>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要注意生物安全、消防、通风等专业设计及实施。对施工中所有设备要求符合国家的相关标准，涉及国家规定需要有设计和</w:t>
      </w:r>
      <w:r>
        <w:rPr>
          <w:rFonts w:hint="eastAsia" w:ascii="宋体" w:hAnsi="宋体" w:eastAsia="宋体" w:cs="宋体"/>
          <w:spacing w:val="0"/>
          <w:position w:val="0"/>
          <w:sz w:val="24"/>
          <w:szCs w:val="24"/>
          <w:lang w:eastAsia="zh-CN"/>
        </w:rPr>
        <w:t>（</w:t>
      </w:r>
      <w:r>
        <w:rPr>
          <w:rFonts w:hint="eastAsia" w:ascii="宋体" w:hAnsi="宋体" w:eastAsia="宋体" w:cs="宋体"/>
          <w:spacing w:val="0"/>
          <w:position w:val="0"/>
          <w:sz w:val="24"/>
          <w:szCs w:val="24"/>
        </w:rPr>
        <w:t>或</w:t>
      </w:r>
      <w:r>
        <w:rPr>
          <w:rFonts w:hint="eastAsia" w:ascii="宋体" w:hAnsi="宋体" w:eastAsia="宋体" w:cs="宋体"/>
          <w:spacing w:val="0"/>
          <w:position w:val="0"/>
          <w:sz w:val="24"/>
          <w:szCs w:val="24"/>
          <w:lang w:eastAsia="zh-CN"/>
        </w:rPr>
        <w:t>）</w:t>
      </w:r>
      <w:r>
        <w:rPr>
          <w:rFonts w:hint="eastAsia" w:ascii="宋体" w:hAnsi="宋体" w:eastAsia="宋体" w:cs="宋体"/>
          <w:spacing w:val="0"/>
          <w:position w:val="0"/>
          <w:sz w:val="24"/>
          <w:szCs w:val="24"/>
        </w:rPr>
        <w:t>制造的许可和</w:t>
      </w:r>
      <w:r>
        <w:rPr>
          <w:rFonts w:hint="eastAsia" w:ascii="宋体" w:hAnsi="宋体" w:eastAsia="宋体" w:cs="宋体"/>
          <w:spacing w:val="0"/>
          <w:position w:val="0"/>
          <w:sz w:val="24"/>
          <w:szCs w:val="24"/>
          <w:lang w:eastAsia="zh-CN"/>
        </w:rPr>
        <w:t>（</w:t>
      </w:r>
      <w:r>
        <w:rPr>
          <w:rFonts w:hint="eastAsia" w:ascii="宋体" w:hAnsi="宋体" w:eastAsia="宋体" w:cs="宋体"/>
          <w:spacing w:val="0"/>
          <w:position w:val="0"/>
          <w:sz w:val="24"/>
          <w:szCs w:val="24"/>
        </w:rPr>
        <w:t>或</w:t>
      </w:r>
      <w:r>
        <w:rPr>
          <w:rFonts w:hint="eastAsia" w:ascii="宋体" w:hAnsi="宋体" w:eastAsia="宋体" w:cs="宋体"/>
          <w:spacing w:val="0"/>
          <w:position w:val="0"/>
          <w:sz w:val="24"/>
          <w:szCs w:val="24"/>
          <w:lang w:eastAsia="zh-CN"/>
        </w:rPr>
        <w:t>）</w:t>
      </w:r>
      <w:r>
        <w:rPr>
          <w:rFonts w:hint="eastAsia" w:ascii="宋体" w:hAnsi="宋体" w:eastAsia="宋体" w:cs="宋体"/>
          <w:spacing w:val="0"/>
          <w:position w:val="0"/>
          <w:sz w:val="24"/>
          <w:szCs w:val="24"/>
        </w:rPr>
        <w:t>资质要求的设备，须有符合国家有关规定的单位进行制造。</w:t>
      </w:r>
    </w:p>
    <w:p>
      <w:pPr>
        <w:pStyle w:val="16"/>
        <w:ind w:left="420" w:leftChars="200" w:firstLine="0" w:firstLineChars="0"/>
        <w:rPr>
          <w:rFonts w:hint="default" w:eastAsia="宋体"/>
          <w:lang w:val="en-US" w:eastAsia="zh-CN"/>
        </w:rPr>
      </w:pPr>
      <w:r>
        <w:rPr>
          <w:rFonts w:hint="eastAsia" w:ascii="宋体" w:hAnsi="宋体" w:eastAsia="宋体" w:cs="宋体"/>
          <w:spacing w:val="0"/>
          <w:position w:val="0"/>
          <w:sz w:val="24"/>
          <w:szCs w:val="24"/>
          <w:lang w:val="en-US" w:eastAsia="zh-CN"/>
        </w:rPr>
        <w:t>本项目包含实验室和公共办公区域施工、消防工程，不包含强弱电工程。</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0" w:rightChars="0" w:firstLine="482" w:firstLineChars="200"/>
        <w:jc w:val="left"/>
        <w:textAlignment w:val="baseline"/>
        <w:rPr>
          <w:rFonts w:hint="eastAsia" w:ascii="宋体" w:hAnsi="宋体" w:eastAsia="宋体" w:cs="宋体"/>
          <w:b/>
          <w:bCs/>
          <w:spacing w:val="0"/>
          <w:position w:val="0"/>
          <w:sz w:val="24"/>
          <w:szCs w:val="24"/>
        </w:rPr>
      </w:pPr>
      <w:r>
        <w:rPr>
          <w:rFonts w:hint="eastAsia" w:ascii="宋体" w:hAnsi="宋体" w:eastAsia="宋体" w:cs="宋体"/>
          <w:b/>
          <w:bCs/>
          <w:spacing w:val="0"/>
          <w:position w:val="0"/>
          <w:sz w:val="24"/>
          <w:szCs w:val="24"/>
        </w:rPr>
        <w:t>2、深化设计</w:t>
      </w:r>
      <w:r>
        <w:rPr>
          <w:rFonts w:hint="eastAsia" w:ascii="宋体" w:hAnsi="宋体" w:eastAsia="宋体" w:cs="宋体"/>
          <w:b/>
          <w:bCs/>
          <w:spacing w:val="0"/>
          <w:position w:val="0"/>
          <w:sz w:val="24"/>
          <w:szCs w:val="24"/>
          <w:lang w:val="en-US" w:eastAsia="zh-CN"/>
        </w:rPr>
        <w:t>施工</w:t>
      </w:r>
      <w:r>
        <w:rPr>
          <w:rFonts w:hint="eastAsia" w:ascii="宋体" w:hAnsi="宋体" w:eastAsia="宋体" w:cs="宋体"/>
          <w:b/>
          <w:bCs/>
          <w:spacing w:val="0"/>
          <w:position w:val="0"/>
          <w:sz w:val="24"/>
          <w:szCs w:val="24"/>
        </w:rPr>
        <w:t>要求</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相关法规、管理条例和技术标准、行业标准(不限于以下)：</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《建筑内部装修设计防火规范》(GB50222)；</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《建筑装修工程质量验收规范》(GB50210)；</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国家及相关部门规定的环保及节能方面的标准和规范；</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国家规定的标准和规范， 有新标准的按新标准执行；</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相关行业标准和规范，按最新版执行；</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《生物安全通用要求》GB19489-2008</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《生物安全实验室建筑技术规范》GB50346-2004</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《采暖通风与空调调节设计规范》GBJ19-87</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《洁净室厂房设计规范》 GB 50073-2001</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《洁净室施工及验收规范》 (JGJ71-90)</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《通风与空调工程施工及验收规范》 (GB50243-2002)</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《低压配电设计规范》 (GB50054-95)</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《供配电系统设计规范》 (GB50052-95)</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 xml:space="preserve">《电气装置安装工程低压电气施工及验收规范》 (GBJ50254—50259-96) </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outlineLvl w:val="9"/>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《建筑电气安装工程质量施工验收规范》（GB50303-88）</w:t>
      </w:r>
    </w:p>
    <w:p>
      <w:pPr>
        <w:pStyle w:val="16"/>
        <w:ind w:left="0" w:leftChars="0" w:firstLine="480" w:firstLineChars="200"/>
        <w:rPr>
          <w:rFonts w:hint="eastAsia" w:ascii="宋体" w:hAnsi="宋体" w:eastAsia="宋体" w:cs="宋体"/>
          <w:spacing w:val="0"/>
          <w:kern w:val="2"/>
          <w:position w:val="0"/>
          <w:sz w:val="24"/>
          <w:szCs w:val="24"/>
          <w:lang w:val="en-US" w:eastAsia="zh-CN" w:bidi="ar-SA"/>
        </w:rPr>
      </w:pPr>
      <w:r>
        <w:rPr>
          <w:rFonts w:hint="eastAsia" w:ascii="宋体" w:hAnsi="宋体" w:eastAsia="宋体" w:cs="宋体"/>
          <w:spacing w:val="0"/>
          <w:kern w:val="2"/>
          <w:position w:val="0"/>
          <w:sz w:val="24"/>
          <w:szCs w:val="24"/>
          <w:lang w:val="en-US" w:eastAsia="zh-CN" w:bidi="ar-SA"/>
        </w:rPr>
        <w:t>《恶臭嗅觉实验室建设技术规范》（HJ 865—2017）</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3、其他有关规定：</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outlineLvl w:val="9"/>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成交供应商使用的标准未在本采购文件中明确规定的，则应明确说明并提供使用的标准或规范；若成交供应商使用的标准在本采购文件的规定外，则应明确说明并提供使用的标准或规范，该标准必须是国际公认的同等或更高级的标准。</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outlineLvl w:val="9"/>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4、材料选用</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outlineLvl w:val="9"/>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① 设计使用材料的品种、规格、性能应符合国家科研实验室现行有关标准的 规定，并应有产品合格证、材质证明书。</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outlineLvl w:val="9"/>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② 严禁使用国家明令淘汰的材料。</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outlineLvl w:val="9"/>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③ 成交供应商设计使用的各种材料要求达到</w:t>
      </w:r>
      <w:r>
        <w:rPr>
          <w:rFonts w:hint="eastAsia" w:ascii="宋体" w:hAnsi="宋体" w:eastAsia="宋体" w:cs="宋体"/>
          <w:spacing w:val="0"/>
          <w:position w:val="0"/>
          <w:sz w:val="24"/>
          <w:szCs w:val="24"/>
          <w:u w:val="single" w:color="auto"/>
        </w:rPr>
        <w:t>环保 E1 级</w:t>
      </w:r>
      <w:r>
        <w:rPr>
          <w:rFonts w:hint="eastAsia" w:ascii="宋体" w:hAnsi="宋体" w:eastAsia="宋体" w:cs="宋体"/>
          <w:spacing w:val="0"/>
          <w:position w:val="0"/>
          <w:sz w:val="24"/>
          <w:szCs w:val="24"/>
        </w:rPr>
        <w:t>，大量使用的主材料要有厂家相关送检报验合格证。</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outlineLvl w:val="9"/>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④ 要求成交供应商施工中大量使用的主材料，须在购买前须将样品送业主审核批准后方可购买、购买后的主材进场前还要业主进行检验方可进场。</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outlineLvl w:val="9"/>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⑤ 耐腐蚀、防火和防水材料的性能应符合国家现行有关标准的规定，并应有 产品合格证、检验报告和出厂证明。</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outlineLvl w:val="9"/>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⑥ 所有材料在</w:t>
      </w:r>
      <w:r>
        <w:rPr>
          <w:rFonts w:hint="eastAsia" w:ascii="宋体" w:hAnsi="宋体" w:eastAsia="宋体" w:cs="宋体"/>
          <w:color w:val="FF0000"/>
          <w:spacing w:val="0"/>
          <w:position w:val="0"/>
          <w:sz w:val="24"/>
          <w:szCs w:val="24"/>
          <w:lang w:val="en-US" w:eastAsia="zh-CN"/>
        </w:rPr>
        <w:t xml:space="preserve"> 3</w:t>
      </w:r>
      <w:r>
        <w:rPr>
          <w:rFonts w:hint="eastAsia" w:ascii="宋体" w:hAnsi="宋体" w:eastAsia="宋体" w:cs="宋体"/>
          <w:color w:val="0000FF"/>
          <w:spacing w:val="0"/>
          <w:position w:val="0"/>
          <w:sz w:val="24"/>
          <w:szCs w:val="24"/>
          <w:lang w:val="en-US" w:eastAsia="zh-CN"/>
        </w:rPr>
        <w:t xml:space="preserve"> </w:t>
      </w:r>
      <w:r>
        <w:rPr>
          <w:rFonts w:hint="eastAsia" w:ascii="宋体" w:hAnsi="宋体" w:eastAsia="宋体" w:cs="宋体"/>
          <w:spacing w:val="0"/>
          <w:position w:val="0"/>
          <w:sz w:val="24"/>
          <w:szCs w:val="24"/>
        </w:rPr>
        <w:t>年内不得出现明显变质，表面装饰的涂覆材料在</w:t>
      </w:r>
      <w:r>
        <w:rPr>
          <w:rFonts w:hint="eastAsia" w:ascii="宋体" w:hAnsi="宋体" w:eastAsia="宋体" w:cs="宋体"/>
          <w:color w:val="FF0000"/>
          <w:spacing w:val="0"/>
          <w:position w:val="0"/>
          <w:sz w:val="24"/>
          <w:szCs w:val="24"/>
        </w:rPr>
        <w:t xml:space="preserve"> 3 </w:t>
      </w:r>
      <w:r>
        <w:rPr>
          <w:rFonts w:hint="eastAsia" w:ascii="宋体" w:hAnsi="宋体" w:eastAsia="宋体" w:cs="宋体"/>
          <w:spacing w:val="0"/>
          <w:position w:val="0"/>
          <w:sz w:val="24"/>
          <w:szCs w:val="24"/>
        </w:rPr>
        <w:t>年内不得出现起皮、脱落和明显退变色。</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outlineLvl w:val="9"/>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5、项目管理要求</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outlineLvl w:val="9"/>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成交供应商应严格按已确认设计图纸和施工技术方案组织施工， 并无条件地接受业主对施工质量的监督和管理。</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outlineLvl w:val="9"/>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成交供应商应有详细的工程安全措施和安全组织及配备专职安全负责人的说明和承诺，以确保安全施工。成交供应商在工程施工全过程中要认真做好成品保护。因失窃或失火造成的损失均由承包方负责，凡由此而损及业主利益时， 业主 将向成交供应商索赔。</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outlineLvl w:val="9"/>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成交供应商施工阶段，应做好防范措施，做到无燥音、灰尘污染，不妨碍他人通行。</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outlineLvl w:val="9"/>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6、成交供应商应提交详尽的项目</w:t>
      </w:r>
      <w:r>
        <w:rPr>
          <w:rFonts w:hint="eastAsia" w:ascii="宋体" w:hAnsi="宋体" w:eastAsia="宋体" w:cs="宋体"/>
          <w:spacing w:val="0"/>
          <w:position w:val="0"/>
          <w:sz w:val="24"/>
          <w:szCs w:val="24"/>
          <w:lang w:val="en-US" w:eastAsia="zh-CN"/>
        </w:rPr>
        <w:t>实施过程结果</w:t>
      </w:r>
      <w:r>
        <w:rPr>
          <w:rFonts w:hint="eastAsia" w:ascii="宋体" w:hAnsi="宋体" w:eastAsia="宋体" w:cs="宋体"/>
          <w:spacing w:val="0"/>
          <w:position w:val="0"/>
          <w:sz w:val="24"/>
          <w:szCs w:val="24"/>
        </w:rPr>
        <w:t>资料文件</w:t>
      </w:r>
      <w:r>
        <w:rPr>
          <w:rFonts w:hint="eastAsia" w:ascii="宋体" w:hAnsi="宋体" w:eastAsia="宋体" w:cs="宋体"/>
          <w:spacing w:val="0"/>
          <w:position w:val="0"/>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0" w:rightChars="0"/>
        <w:jc w:val="left"/>
        <w:textAlignment w:val="baseline"/>
        <w:outlineLvl w:val="0"/>
        <w:rPr>
          <w:rFonts w:hint="eastAsia" w:ascii="宋体" w:hAnsi="宋体" w:eastAsia="宋体" w:cs="宋体"/>
          <w:sz w:val="24"/>
          <w:szCs w:val="24"/>
          <w:lang w:val="en-US" w:eastAsia="zh-CN"/>
        </w:rPr>
      </w:pPr>
      <w:r>
        <w:rPr>
          <w:rFonts w:hint="eastAsia" w:ascii="宋体" w:hAnsi="宋体" w:eastAsia="宋体" w:cs="宋体"/>
          <w:spacing w:val="6"/>
          <w:sz w:val="24"/>
          <w:szCs w:val="24"/>
          <w:lang w:val="en-US" w:eastAsia="zh-CN"/>
          <w14:textOutline w14:w="4441" w14:cap="flat" w14:cmpd="sng">
            <w14:solidFill>
              <w14:srgbClr w14:val="000000"/>
            </w14:solidFill>
            <w14:prstDash w14:val="solid"/>
            <w14:miter w14:val="0"/>
          </w14:textOutline>
        </w:rPr>
        <w:t>二、</w:t>
      </w:r>
      <w:r>
        <w:rPr>
          <w:rFonts w:hint="eastAsia" w:ascii="宋体" w:hAnsi="宋体" w:eastAsia="宋体" w:cs="宋体"/>
          <w:spacing w:val="6"/>
          <w:sz w:val="24"/>
          <w:szCs w:val="24"/>
          <w14:textOutline w14:w="4441" w14:cap="flat" w14:cmpd="sng">
            <w14:solidFill>
              <w14:srgbClr w14:val="000000"/>
            </w14:solidFill>
            <w14:prstDash w14:val="solid"/>
            <w14:miter w14:val="0"/>
          </w14:textOutline>
        </w:rPr>
        <w:t>技术</w:t>
      </w:r>
      <w:r>
        <w:rPr>
          <w:rFonts w:hint="eastAsia" w:ascii="宋体" w:hAnsi="宋体" w:eastAsia="宋体" w:cs="宋体"/>
          <w:spacing w:val="6"/>
          <w:sz w:val="24"/>
          <w:szCs w:val="24"/>
          <w:lang w:val="en-US" w:eastAsia="zh-CN"/>
          <w14:textOutline w14:w="4441" w14:cap="flat" w14:cmpd="sng">
            <w14:solidFill>
              <w14:srgbClr w14:val="000000"/>
            </w14:solidFill>
            <w14:prstDash w14:val="solid"/>
            <w14:miter w14:val="0"/>
          </w14:textOutline>
        </w:rPr>
        <w:t>参数</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color w:val="auto"/>
          <w:sz w:val="24"/>
          <w:szCs w:val="24"/>
        </w:rPr>
      </w:pPr>
      <w:r>
        <w:rPr>
          <w:rFonts w:hint="eastAsia" w:ascii="宋体" w:hAnsi="宋体" w:eastAsia="宋体" w:cs="宋体"/>
          <w:b/>
          <w:bCs/>
          <w:color w:val="auto"/>
          <w:spacing w:val="6"/>
          <w:sz w:val="24"/>
          <w:szCs w:val="24"/>
          <w:lang w:eastAsia="zh-CN"/>
          <w14:textOutline w14:w="4441" w14:cap="flat" w14:cmpd="sng">
            <w14:solidFill>
              <w14:srgbClr w14:val="000000"/>
            </w14:solidFill>
            <w14:prstDash w14:val="solid"/>
            <w14:miter w14:val="0"/>
          </w14:textOutline>
        </w:rPr>
        <w:t>（</w:t>
      </w:r>
      <w:r>
        <w:rPr>
          <w:rFonts w:hint="eastAsia" w:ascii="宋体" w:hAnsi="宋体" w:eastAsia="宋体" w:cs="宋体"/>
          <w:b/>
          <w:bCs/>
          <w:color w:val="auto"/>
          <w:spacing w:val="6"/>
          <w:sz w:val="24"/>
          <w:szCs w:val="24"/>
          <w:lang w:val="en-US" w:eastAsia="zh-CN"/>
          <w14:textOutline w14:w="4441" w14:cap="flat" w14:cmpd="sng">
            <w14:solidFill>
              <w14:srgbClr w14:val="000000"/>
            </w14:solidFill>
            <w14:prstDash w14:val="solid"/>
            <w14:miter w14:val="0"/>
          </w14:textOutline>
        </w:rPr>
        <w:t>一</w:t>
      </w:r>
      <w:r>
        <w:rPr>
          <w:rFonts w:hint="eastAsia" w:ascii="宋体" w:hAnsi="宋体" w:eastAsia="宋体" w:cs="宋体"/>
          <w:b/>
          <w:bCs/>
          <w:color w:val="auto"/>
          <w:spacing w:val="6"/>
          <w:sz w:val="24"/>
          <w:szCs w:val="24"/>
          <w:lang w:eastAsia="zh-CN"/>
          <w14:textOutline w14:w="4441" w14:cap="flat" w14:cmpd="sng">
            <w14:solidFill>
              <w14:srgbClr w14:val="000000"/>
            </w14:solidFill>
            <w14:prstDash w14:val="solid"/>
            <w14:miter w14:val="0"/>
          </w14:textOutline>
        </w:rPr>
        <w:t>）</w:t>
      </w:r>
      <w:r>
        <w:rPr>
          <w:rFonts w:hint="eastAsia" w:ascii="宋体" w:hAnsi="宋体" w:eastAsia="宋体" w:cs="宋体"/>
          <w:b/>
          <w:bCs/>
          <w:color w:val="auto"/>
          <w:sz w:val="24"/>
          <w:szCs w:val="24"/>
        </w:rPr>
        <w:t>《</w:t>
      </w:r>
      <w:r>
        <w:rPr>
          <w:rFonts w:hint="eastAsia" w:ascii="宋体" w:hAnsi="宋体" w:eastAsia="宋体" w:cs="宋体"/>
          <w:b/>
          <w:bCs/>
          <w:color w:val="auto"/>
          <w:sz w:val="24"/>
          <w:szCs w:val="24"/>
          <w:lang w:val="en-US" w:eastAsia="zh-CN"/>
        </w:rPr>
        <w:t>给排水安装</w:t>
      </w:r>
      <w:r>
        <w:rPr>
          <w:rFonts w:hint="eastAsia" w:ascii="宋体" w:hAnsi="宋体" w:eastAsia="宋体" w:cs="宋体"/>
          <w:b/>
          <w:bCs/>
          <w:color w:val="auto"/>
          <w:sz w:val="24"/>
          <w:szCs w:val="24"/>
        </w:rPr>
        <w:t>》技术要求</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1、管道通用要求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sz w:val="24"/>
          <w:szCs w:val="24"/>
          <w:lang w:val="en-US" w:eastAsia="zh-CN"/>
        </w:rPr>
        <w:t>▲</w:t>
      </w:r>
      <w:r>
        <w:rPr>
          <w:rFonts w:hint="eastAsia" w:ascii="宋体" w:hAnsi="宋体" w:eastAsia="宋体" w:cs="宋体"/>
          <w:color w:val="auto"/>
          <w:sz w:val="24"/>
          <w:szCs w:val="24"/>
          <w:lang w:val="en-US" w:eastAsia="zh-CN"/>
        </w:rPr>
        <w:t>1.1 采用的塑料管及管件用同一厂家生产的管材和配套管件，并应具备质量检验部门的产品合格证和卫生部门的认证文件。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1.2对各公用介质分系统管路的工艺流程和管道布置进行审核和优化，并对其设计和施工质量负责；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1.3普通区域穿过彩钢板时，采取有效的密封方式（加装护口盘）并做好密封工作；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1.4洁净区穿墙管必须采用304不锈钢蘑菇头净化套管；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1.5管道的安装要考虑到连接简洁、顺畅，并且安装、检修、操作方便，还要考虑到安全和视觉美观要求；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1.6所有管道焊接完毕后均需进行试压，压力至少应为工作压力的1.5倍；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1.7 使用水的房间设置地漏；</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2、给排水系统：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2.1普通区给水管路应采用PPR材质，排水管路应采用PP材质；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2.2洁净区给水管路应采用304卫生级管道，排水管路采用PP材质，洁净区并符合GMP对排水管路的要求；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2.3排水系统管道的设计和安装需符合建筑给排水设计规范GB50015的要求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2.4阀门的型号、规格应符合设计要求，并应有合格证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2.5阀门启闭灵活，阀杆无歪斜。对安装于主干管上的阀门，应逐个作强度和严密性试验，强度和严密性试验压力为阀门出厂规定的压力，或遵照《管子与管路附件的公称压力和试验压力》（GB 1048）规定进行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2.6非主干管上阀门应以每批（同牌号、同规格、同型号）数量中抽查10%，且不少于一个，作耐压强度试验，如有漏、裂不合格的应再抽查20%，仍有不合格的则须逐个试验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2.7阀门搬运时，不得随手抛掷。现场保管时，应按型号、规格整齐排列，不得叠压。阀瓣应处于关闭状态，两端敞口应用塑料板或纸板封堵，给水管道安装完成后需要进行试压测试，并提供相关的记录</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color w:val="auto"/>
          <w:spacing w:val="0"/>
          <w:position w:val="0"/>
          <w:sz w:val="24"/>
          <w:szCs w:val="24"/>
        </w:rPr>
      </w:pPr>
      <w:r>
        <w:rPr>
          <w:rFonts w:hint="eastAsia" w:ascii="宋体" w:hAnsi="宋体" w:eastAsia="宋体" w:cs="宋体"/>
          <w:color w:val="auto"/>
          <w:spacing w:val="0"/>
          <w:position w:val="0"/>
          <w:sz w:val="24"/>
          <w:szCs w:val="24"/>
          <w:lang w:val="en-US" w:eastAsia="zh-CN"/>
        </w:rPr>
        <w:t xml:space="preserve">2.8 </w:t>
      </w:r>
      <w:r>
        <w:rPr>
          <w:rFonts w:hint="eastAsia" w:ascii="宋体" w:hAnsi="宋体" w:eastAsia="宋体" w:cs="宋体"/>
          <w:color w:val="auto"/>
          <w:spacing w:val="0"/>
          <w:position w:val="0"/>
          <w:sz w:val="24"/>
          <w:szCs w:val="24"/>
        </w:rPr>
        <w:t>排水管道应在施工前对原有管道临时封口，避免杂物进入管道。</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pacing w:val="0"/>
          <w:position w:val="0"/>
          <w:sz w:val="24"/>
          <w:szCs w:val="24"/>
          <w:lang w:val="en-US" w:eastAsia="zh-CN"/>
        </w:rPr>
        <w:t xml:space="preserve">2.9 </w:t>
      </w:r>
      <w:r>
        <w:rPr>
          <w:rFonts w:hint="eastAsia" w:ascii="宋体" w:hAnsi="宋体" w:eastAsia="宋体" w:cs="宋体"/>
          <w:color w:val="auto"/>
          <w:sz w:val="24"/>
          <w:szCs w:val="24"/>
          <w:lang w:val="en-US" w:eastAsia="zh-CN"/>
        </w:rPr>
        <w:t>排水管道接入专用排污系统，不能同生活污水共用管道。</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sz w:val="24"/>
          <w:szCs w:val="24"/>
        </w:rPr>
      </w:pPr>
      <w:bookmarkStart w:id="72" w:name="_Toc15652"/>
      <w:r>
        <w:rPr>
          <w:rFonts w:hint="eastAsia" w:ascii="宋体" w:hAnsi="宋体" w:eastAsia="宋体" w:cs="宋体"/>
          <w:b/>
          <w:bCs/>
          <w:sz w:val="24"/>
          <w:szCs w:val="24"/>
          <w:lang w:val="en-US" w:eastAsia="zh-CN"/>
        </w:rPr>
        <w:t>（二）</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装修装饰工程</w:t>
      </w:r>
      <w:r>
        <w:rPr>
          <w:rFonts w:hint="eastAsia" w:ascii="宋体" w:hAnsi="宋体" w:eastAsia="宋体" w:cs="宋体"/>
          <w:b/>
          <w:bCs/>
          <w:sz w:val="24"/>
          <w:szCs w:val="24"/>
        </w:rPr>
        <w:t>》技术要求</w:t>
      </w:r>
      <w:bookmarkEnd w:id="72"/>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1、PVC地面</w:t>
      </w:r>
    </w:p>
    <w:p>
      <w:pPr>
        <w:pStyle w:val="16"/>
        <w:ind w:left="0" w:leftChars="0" w:firstLine="420" w:firstLineChars="0"/>
        <w:rPr>
          <w:rFonts w:hint="eastAsia"/>
          <w:lang w:val="en-US" w:eastAsia="zh-CN"/>
        </w:rPr>
      </w:pPr>
      <w:r>
        <w:rPr>
          <w:rFonts w:hint="eastAsia" w:ascii="宋体" w:hAnsi="宋体" w:eastAsia="宋体" w:cs="宋体"/>
          <w:sz w:val="24"/>
          <w:szCs w:val="24"/>
          <w:lang w:val="en-US" w:eastAsia="zh-CN"/>
        </w:rPr>
        <w:t>▲PVC地板及焊条满足或优于以下技术参数（提供证明材料加盖制造商公章佐证）。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1.1实验室：PVC地面（颜色、质量以业主方确定的样品为准）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1.2地坪采用PVC同质透心卷材，PVC走廊采用分色上墙100mm高；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1.3PVC 地板卷材:要求板面平整光滑、无裂纹、色泽均匀、厚薄一致、并符合设计要求及有关技术标准规定。耐磨等级：T级；防火等级：Bfl s1；防滑等级：R 9；耐磨等级：T级；防火等级：Bfl s1；防滑等级：R9；</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 ①耐磨抗压好： 透明UV层较厚，具有超强的耐磨性及抗冲击性，表面不易损伤，能保持室内环境历久如新压力下，不会产生断裂、脱胶或永久性凹陷。②柔韧性好：生产、运输、施工过程中都可很好保持其整体性；正确安装PVC塑胶地板，在环境气温和温度正常变化范围内，不产生霉变、干裂；不是 很重的冲击和结构的变动不会引起地板的断裂，长期保持其地板的整体性。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③防尘性能佳： PVC 塑胶地板使用压缩工艺， 密度较高；且在生产过程中经 过高质量的砑光处理，使成品具有更高的硬度和更好的光泽。在长时间、高流量 的使用过程中表面不起扬尘。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④静音性能强：透心系列地板在隔音方面达到较高的水平，能隔绝2-4dB的噪音，能提供安静的环境,特殊的工艺结构使得最大限度的降低走动时带来的 噪音，与实木地板比较明显减少噪音。</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⑤抗化性能佳：PVC塑胶地板原料组成中含有极高的石英含量，经过广泛 的化学测试，表现稳定对酸、碱、清洁剂等化学物质有良好的抗化性。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⑥满足防火要求：达到国家阻燃性能B级以上，获得防火标志产品认证。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⑦防水要求：材料吸水率低，不产生霉变防潮及耐热性-中间有玻璃纤维层使产品具有尺寸稳定性，在温热的环境下，也不易变形和腐。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⑧易清洁卫生：产品使用压缩工艺， 密度较高,表面进行 UV 处理，具有防 污，易清扫的特点；地材施工可采用热熔焊接缝，形成无缝连接，避免地砖缝 多和容易受污染的弊病。</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2、瓷砖地面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2.1800*800瓷砖地面（颜色、质量以业主方确定的样品为准）</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3、洁净板隔墙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3.1墙板墙板采用 50mm 厚的岩棉手工彩钢板。芯材为岩棉切条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3.2密度不得低于 100kg/m³；四周用 0.8mm 镀锌钢板边框封起；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3.3彩钢板表面为标准 0.5mm 厚白灰色的宝钢、扬子江钢板，表面覆上塑料保护膜，以防运输或安装过程中，表面刮花颜色。墙板表面不吸尘不产尘易清洁，并能耐受清洗消毒。</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3.4板厚度δ=50mm；</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3.5彩钢复合板防火极限符合国家相关规范要求。所有的连接件采用≥1.2 mm厚的铝型材。壁板与顶板无需对缝处理；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3.6壁板安装前必需严格放线，墙角应垂直交接，防止累积误差造成壁板倾斜扭曲，壁板的垂直度偏差不应大于0.2%。墙壁与地面结合处，安装时须采取可靠密封措施，防止液体在不同工艺间相互渗透或影响彩钢板。隔墙与地面采用铝合金U型槽连接，每300mm需用膨胀螺栓固定；</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4、微生物室洁净板吊顶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4.1顶板：采用采用50mm厚的单面玻镁（5mm)岩棉手工彩钢板。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4.2密度不得低于 100kg/m³；四周用0.8mm镀锌钢板边框封起；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4.3彩钢板表面为标准0.5mm厚白灰色的宝钢、扬子江等钢板，表面覆上塑料保护膜，以防运输或安装过程中，表面刮花颜色。墙板表面不吸尘不产尘易清洁，并能耐受清洗消毒。</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4.4板厚度δ=50mm；</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4.5彩钢复合板防火极限符合国家相关规范要求。所有的连接件采用≥1.2 mm厚的铝型材。壁板与顶板无需对缝处理；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4.6吊挂、锚固件等与主体结构和楼面、地面的联结件的固定。吊顶应按房间宽度方向起拱，使吊顶在受荷载后的使用过程中保持平整。吊顶周边应与墙体交接严密；板缝缝隙要均匀一致，板缝理论宽度为2-3mm。；</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5、铝扣板吊顶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5.1轻钢龙骨或木龙骨支架必须进行防火阻燃处理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5.1.1按吊顶平面套图图，在混凝土顶板弹出主龙骨的位置。主龙能应从吊顶中心向两边分，最大间距为1000 mm，并标出吊杆的固定点，吊杆的固定点间距900-1000 mm。如遇到梁和管道固定点大于设计和规程要求，应增加吊杆的固定点。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5.1.2不上人的吊顶，吊杆长度小于1000 mm，可以采用Φ8膨胀螺栓的成品吊杆，如果大于1000 mm， 应采用Φ10的吊杆，还应设置反向支撑。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5.1.3 上人的吊顶，吊杆长度小于1000 mm，可以采用Φ10的成品吊杆，如果大于1000 mm，还应设置反向支撑。吊杆的一端同L30*30*3角码焊接，制作好的吊杆应做防锈处理，吊杆用膨胀螺栓固定在楼板上。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5.1.4吊挂杆件应通直并有足够的承载能力。当预埋的杆件需要接长时，必须搭接焊牢，焊缝要均匀饱满。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5.1.5 吊杆距主龙骨端部距离不得超过300 mm，否则应增加吊杆。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5.1.6 吊顶灯具、风口及检修口等应设附加吊杆。吊杆不得借用设备的支撑吊架。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5.1.7 膨胀螺栓应做拉拔试验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5.1.8边龙骨的安装应按设计要求弹线，沿墙（柱）上的水平龙骨线把L形镀锌轻钢条用自攻螺丝固定 在预埋木砖上；如为混凝土墙（柱），需用膨胀螺栓固定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5.1.9 主龙骨应吊挂在吊杆上。主龙骨间距900-1000 mm。主龙骨分为轻钢龙骨和T形龙骨。轻钢龙骨可选用UC50中龙骨和UC38小龙骨。主龙骨应平行房间长向安装，同时应起拱，起拱高度为房间跨度的1/200-1/300。主龙骨的悬臂段不应大于300 mm，否则应增加吊杆。主龙骨的接长应采取对接，相邻龙骨的对接接头要相互错开。主龙骨挂好后应基本调平。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5.1.10 罩面板与龙骨链接必须牢固紧密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5.1.11设备口、灯具位置必须按板块对称或居中布置，开孔位置需增加吊杆补强，开口边缘整齐，户口严密不漏缝，排列横竖顺直，整齐美观.</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门窗部分</w:t>
      </w:r>
    </w:p>
    <w:p>
      <w:pPr>
        <w:pStyle w:val="2"/>
        <w:numPr>
          <w:ilvl w:val="0"/>
          <w:numId w:val="0"/>
        </w:numPr>
        <w:spacing w:line="360" w:lineRule="auto"/>
        <w:ind w:firstLine="42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实验区域以及办公大厅采用玻璃门，办公室以采用实木复合烤漆门，</w:t>
      </w:r>
      <w:r>
        <w:rPr>
          <w:rFonts w:ascii="宋体" w:hAnsi="宋体" w:eastAsia="宋体" w:cs="宋体"/>
          <w:spacing w:val="-16"/>
          <w:sz w:val="24"/>
          <w:szCs w:val="24"/>
        </w:rPr>
        <w:t>净化室</w:t>
      </w:r>
      <w:r>
        <w:rPr>
          <w:rFonts w:hint="eastAsia" w:ascii="宋体" w:hAnsi="宋体" w:eastAsia="宋体" w:cs="宋体"/>
          <w:sz w:val="24"/>
          <w:szCs w:val="24"/>
          <w:lang w:val="en-US" w:eastAsia="zh-CN"/>
        </w:rPr>
        <w:t>门均采用彩钢板门， 需开视窗。实验区域有其要求的，按照其要求选用材质。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6.1门框：钢制门框；装有塑胶密封条或特殊刚性密封结构，提高气密效果；表面烤漆（颜色可调配）处理，底部带扫门条。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带双层内圆外圆玻璃视窗，内含干燥剂防止产生水雾；同玻璃表面与门板双面平齐，边框处密封胶密封，密封胶要求均匀一 致。</w:t>
      </w:r>
    </w:p>
    <w:p>
      <w:pPr>
        <w:pStyle w:val="2"/>
        <w:spacing w:line="360" w:lineRule="auto"/>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6.2 玻璃：</w:t>
      </w:r>
    </w:p>
    <w:p>
      <w:pPr>
        <w:pStyle w:val="2"/>
        <w:spacing w:line="360" w:lineRule="auto"/>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6.2.1选用的玻璃产品应符合《建筑安全玻璃管理规定》（发改运行【2003】2116号），国际标准GB/T9963-1998《钢化玻璃》及GB116142009《平板玻璃》。</w:t>
      </w:r>
    </w:p>
    <w:p>
      <w:pPr>
        <w:spacing w:line="360" w:lineRule="auto"/>
        <w:ind w:firstLine="42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6.2.2玻璃必须估计温差、应力和视觉扭曲的效果，必须结构完整、无破坏性的伤痕、针孔、尖角或不平直的边缘；当受到天气影响的时候，玻璃必须不会产生过大温差应力及引至破裂。</w:t>
      </w:r>
    </w:p>
    <w:p>
      <w:pPr>
        <w:pStyle w:val="2"/>
        <w:spacing w:line="360" w:lineRule="auto"/>
        <w:ind w:firstLine="42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6.2.3 玻璃切割要求尺寸准确，安装槽要清洁，没有任何灰尘和其他有害物质，所有螺丝或其他固定部件都不能在槽中突出。所有框架的结构调整需在安装玻璃之前进行，所有密封剂在完工时要清洁、平滑。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6.3门铰链采用洁净不锈钢铰链，厚度不小于 3mm，保证平滑连接。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6.4门周边为特殊刚性密封结构，门底部带自动升降扫地密封条，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FF"/>
          <w:sz w:val="24"/>
          <w:szCs w:val="24"/>
          <w:highlight w:val="none"/>
          <w:lang w:val="en-US" w:eastAsia="zh-CN"/>
        </w:rPr>
      </w:pPr>
      <w:r>
        <w:rPr>
          <w:rFonts w:hint="eastAsia" w:ascii="宋体" w:hAnsi="宋体" w:eastAsia="宋体" w:cs="宋体"/>
          <w:color w:val="auto"/>
          <w:sz w:val="24"/>
          <w:szCs w:val="24"/>
          <w:highlight w:val="none"/>
          <w:lang w:val="en-US" w:eastAsia="zh-CN"/>
        </w:rPr>
        <w:t>6.5保证门有良好的密封。</w:t>
      </w:r>
      <w:r>
        <w:rPr>
          <w:rFonts w:hint="eastAsia" w:ascii="宋体" w:hAnsi="宋体" w:eastAsia="宋体" w:cs="宋体"/>
          <w:color w:val="0000FF"/>
          <w:sz w:val="24"/>
          <w:szCs w:val="24"/>
          <w:highlight w:val="none"/>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2" w:firstLineChars="200"/>
        <w:textAlignment w:val="baseline"/>
        <w:outlineLvl w:val="2"/>
        <w:rPr>
          <w:rFonts w:hint="eastAsia" w:ascii="宋体" w:hAnsi="宋体" w:eastAsia="宋体" w:cs="宋体"/>
          <w:spacing w:val="-2"/>
          <w:sz w:val="24"/>
          <w:szCs w:val="24"/>
          <w:lang w:val="en-US" w:eastAsia="zh-CN"/>
          <w14:textOutline w14:w="4441" w14:cap="flat" w14:cmpd="sng">
            <w14:solidFill>
              <w14:srgbClr w14:val="000000"/>
            </w14:solidFill>
            <w14:prstDash w14:val="solid"/>
            <w14:miter w14:val="0"/>
          </w14:textOutline>
        </w:rPr>
      </w:pPr>
      <w:r>
        <w:rPr>
          <w:rFonts w:hint="eastAsia" w:ascii="宋体" w:hAnsi="宋体" w:eastAsia="宋体" w:cs="宋体"/>
          <w:spacing w:val="-2"/>
          <w:sz w:val="24"/>
          <w:szCs w:val="24"/>
          <w:lang w:val="en-US" w:eastAsia="zh-CN"/>
          <w14:textOutline w14:w="4441" w14:cap="flat" w14:cmpd="sng">
            <w14:solidFill>
              <w14:srgbClr w14:val="000000"/>
            </w14:solidFill>
            <w14:prstDash w14:val="solid"/>
            <w14:miter w14:val="0"/>
          </w14:textOutline>
        </w:rPr>
        <w:t>7、实验室主体隔墙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7.1本工程的墙体和天花在符合总体设计要求及有关规范的前提下，</w:t>
      </w:r>
      <w:r>
        <w:rPr>
          <w:rFonts w:hint="eastAsia" w:ascii="宋体" w:hAnsi="宋体" w:eastAsia="宋体" w:cs="宋体"/>
          <w:sz w:val="24"/>
          <w:szCs w:val="24"/>
          <w:lang w:val="en-US" w:eastAsia="zh-Hans"/>
        </w:rPr>
        <w:t>墙体采用石膏板</w:t>
      </w:r>
      <w:r>
        <w:rPr>
          <w:rFonts w:hint="eastAsia" w:ascii="宋体" w:hAnsi="宋体" w:eastAsia="宋体" w:cs="宋体"/>
          <w:sz w:val="24"/>
          <w:szCs w:val="24"/>
          <w:lang w:val="en-US" w:eastAsia="zh-CN"/>
        </w:rPr>
        <w:t>。且在房间之间加双层玻璃，整体空间透亮、和谐。各房间有特殊要求的，按照其标准要求进行施工。如微生物室、臭气浓度室、危险废物暂存间、试剂室等。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7.2天花的吊顶下表面距地面净高度不低于2.40米，要求能上人安装和检修，所有阴、阳角都必须有 R≥50mm 的圆角过渡。</w:t>
      </w:r>
    </w:p>
    <w:p>
      <w:pPr>
        <w:pStyle w:val="16"/>
        <w:spacing w:line="360" w:lineRule="auto"/>
        <w:ind w:left="0" w:leftChars="0"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7.3 对于实验室指定放酸缸区域做强化防腐处理。</w:t>
      </w:r>
    </w:p>
    <w:p>
      <w:pPr>
        <w:pStyle w:val="10"/>
        <w:spacing w:line="360" w:lineRule="auto"/>
        <w:ind w:firstLine="56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7.4 墙面防水:聚氨脂防水涂料2遍。</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sz w:val="24"/>
          <w:szCs w:val="24"/>
        </w:rPr>
      </w:pPr>
      <w:bookmarkStart w:id="73" w:name="_Toc30217"/>
      <w:bookmarkStart w:id="74" w:name="_Toc291055269"/>
      <w:bookmarkStart w:id="75" w:name="_Toc292270540"/>
      <w:r>
        <w:rPr>
          <w:rFonts w:hint="eastAsia" w:ascii="宋体" w:hAnsi="宋体" w:eastAsia="宋体" w:cs="宋体"/>
          <w:b/>
          <w:bCs/>
          <w:sz w:val="24"/>
          <w:szCs w:val="24"/>
          <w:lang w:val="en-US" w:eastAsia="zh-CN"/>
        </w:rPr>
        <w:t>（三）</w:t>
      </w:r>
      <w:r>
        <w:rPr>
          <w:rFonts w:hint="eastAsia" w:ascii="宋体" w:hAnsi="宋体" w:eastAsia="宋体" w:cs="宋体"/>
          <w:b/>
          <w:bCs/>
          <w:sz w:val="24"/>
          <w:szCs w:val="24"/>
        </w:rPr>
        <w:t>《实验仪器台、柜》技术要求</w:t>
      </w:r>
      <w:bookmarkEnd w:id="73"/>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w:t>
      </w:r>
      <w:r>
        <w:rPr>
          <w:rFonts w:hint="eastAsia" w:ascii="宋体" w:hAnsi="宋体" w:eastAsia="宋体" w:cs="宋体"/>
          <w:sz w:val="24"/>
          <w:szCs w:val="24"/>
        </w:rPr>
        <w:t>符合GB24820-2009《实验室家具通用技术条件》</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标准中检测项目及要求，并提供检测报告、合格证。</w:t>
      </w:r>
      <w:r>
        <w:rPr>
          <w:rFonts w:hint="eastAsia" w:ascii="宋体" w:hAnsi="宋体" w:eastAsia="宋体" w:cs="宋体"/>
          <w:sz w:val="24"/>
          <w:szCs w:val="24"/>
        </w:rPr>
        <w:t>根据平面图划分的功能区域， 实现各功能区域的最低使用要求详见图纸。</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rPr>
      </w:pPr>
      <w:r>
        <w:rPr>
          <w:rFonts w:hint="eastAsia" w:ascii="宋体" w:hAnsi="宋体" w:eastAsia="宋体" w:cs="宋体"/>
          <w:b/>
          <w:bCs/>
          <w:sz w:val="24"/>
          <w:szCs w:val="24"/>
          <w:lang w:val="en-US"/>
        </w:rPr>
        <w:t>1、边台、中央台、仪器台：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提供中央台、边台、仪器台等 配套结构单件图或单个品类效果图等深化设计图实验台应满足以下标准：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1、台面：采用12.7mm</w:t>
      </w:r>
      <w:r>
        <w:rPr>
          <w:rFonts w:hint="eastAsia" w:ascii="宋体" w:hAnsi="宋体" w:eastAsia="宋体" w:cs="宋体"/>
          <w:sz w:val="24"/>
          <w:szCs w:val="24"/>
          <w:lang w:eastAsia="zh-CN"/>
        </w:rPr>
        <w:t>以上</w:t>
      </w:r>
      <w:r>
        <w:rPr>
          <w:rFonts w:hint="eastAsia" w:ascii="宋体" w:hAnsi="宋体" w:eastAsia="宋体" w:cs="宋体"/>
          <w:sz w:val="24"/>
          <w:szCs w:val="24"/>
        </w:rPr>
        <w:t>厚国产黑色实验室专用实心理化板，为保证更好的承重及抗弯曲性能，边框加厚至25.4mm；前缘为方圆边。台面积水易清除。有耐强酸强碱、耐化学溶剂腐蚀性，抗强冲击，无毒，不变形，硬度高，不易损坏，经久耐用。</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color w:val="0000FF"/>
          <w:sz w:val="24"/>
          <w:szCs w:val="24"/>
          <w:lang w:val="en-US" w:eastAsia="zh-CN"/>
        </w:rPr>
      </w:pPr>
      <w:r>
        <w:rPr>
          <w:rFonts w:hint="eastAsia" w:ascii="宋体" w:hAnsi="宋体" w:eastAsia="宋体" w:cs="宋体"/>
          <w:b/>
          <w:bCs/>
          <w:color w:val="0000FF"/>
          <w:sz w:val="24"/>
          <w:szCs w:val="24"/>
          <w:lang w:val="en-US" w:eastAsia="zh-CN"/>
        </w:rPr>
        <w:t>2、</w:t>
      </w:r>
      <w:r>
        <w:rPr>
          <w:rFonts w:hint="eastAsia" w:ascii="宋体" w:hAnsi="宋体" w:eastAsia="宋体" w:cs="宋体"/>
          <w:color w:val="0000FF"/>
          <w:sz w:val="24"/>
          <w:szCs w:val="24"/>
        </w:rPr>
        <w:t>[柜体]：柜体采用</w:t>
      </w:r>
      <w:r>
        <w:rPr>
          <w:rFonts w:hint="eastAsia" w:ascii="宋体" w:hAnsi="宋体" w:eastAsia="宋体" w:cs="宋体"/>
          <w:color w:val="0000FF"/>
          <w:sz w:val="24"/>
          <w:szCs w:val="24"/>
          <w:lang w:val="en-US" w:eastAsia="zh-CN"/>
        </w:rPr>
        <w:t>全钢结构，无机前处理室采用至少8mm厚pp板材</w:t>
      </w:r>
      <w:r>
        <w:rPr>
          <w:rFonts w:hint="eastAsia" w:ascii="宋体" w:hAnsi="宋体" w:eastAsia="宋体" w:cs="宋体"/>
          <w:color w:val="0000FF"/>
          <w:sz w:val="24"/>
          <w:szCs w:val="24"/>
          <w:lang w:eastAsia="zh-CN"/>
        </w:rPr>
        <w:t>。</w:t>
      </w:r>
      <w:r>
        <w:rPr>
          <w:rFonts w:hint="eastAsia" w:ascii="宋体" w:hAnsi="宋体" w:eastAsia="宋体" w:cs="宋体"/>
          <w:color w:val="0000FF"/>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rPr>
        <w:t>实验台配套设备</w:t>
      </w:r>
    </w:p>
    <w:p>
      <w:pPr>
        <w:pStyle w:val="16"/>
        <w:keepNext w:val="0"/>
        <w:keepLines w:val="0"/>
        <w:pageBreakBefore w:val="0"/>
        <w:widowControl/>
        <w:kinsoku w:val="0"/>
        <w:wordWrap/>
        <w:overflowPunct/>
        <w:topLinePunct w:val="0"/>
        <w:autoSpaceDE w:val="0"/>
        <w:autoSpaceDN w:val="0"/>
        <w:bidi w:val="0"/>
        <w:adjustRightInd w:val="0"/>
        <w:snapToGrid w:val="0"/>
        <w:spacing w:after="0" w:afterLines="0" w:line="360" w:lineRule="auto"/>
        <w:ind w:left="0" w:leftChars="0" w:right="0" w:firstLine="480" w:firstLineChars="200"/>
        <w:textAlignment w:val="baseline"/>
        <w:rPr>
          <w:rFonts w:hint="eastAsia" w:ascii="宋体" w:hAnsi="宋体" w:eastAsia="宋体" w:cs="宋体"/>
          <w:i w:val="0"/>
          <w:iCs w:val="0"/>
          <w:caps w:val="0"/>
          <w:color w:val="auto"/>
          <w:spacing w:val="0"/>
          <w:sz w:val="24"/>
          <w:szCs w:val="24"/>
          <w:lang w:val="en-US" w:eastAsia="zh-CN"/>
        </w:rPr>
      </w:pPr>
      <w:r>
        <w:rPr>
          <w:rFonts w:hint="eastAsia" w:ascii="宋体" w:hAnsi="宋体" w:eastAsia="宋体" w:cs="宋体"/>
          <w:color w:val="auto"/>
          <w:sz w:val="24"/>
          <w:szCs w:val="24"/>
          <w:lang w:val="en-US" w:eastAsia="zh-CN"/>
        </w:rPr>
        <w:t>2.1.1</w:t>
      </w:r>
      <w:r>
        <w:rPr>
          <w:rFonts w:hint="eastAsia" w:ascii="宋体" w:hAnsi="宋体" w:eastAsia="宋体" w:cs="宋体"/>
          <w:color w:val="auto"/>
          <w:sz w:val="24"/>
          <w:szCs w:val="24"/>
        </w:rPr>
        <w:t xml:space="preserve"> PP水盆：</w:t>
      </w:r>
      <w:r>
        <w:rPr>
          <w:rFonts w:hint="eastAsia" w:ascii="宋体" w:hAnsi="宋体" w:eastAsia="宋体" w:cs="宋体"/>
          <w:i w:val="0"/>
          <w:iCs w:val="0"/>
          <w:caps w:val="0"/>
          <w:color w:val="auto"/>
          <w:spacing w:val="0"/>
          <w:sz w:val="24"/>
          <w:szCs w:val="24"/>
          <w:lang w:val="en-US" w:eastAsia="zh-CN"/>
        </w:rPr>
        <w:t>选用实验室专用高密度PP材质，至少7mm厚，一体成型，耐强腐蚀，不易老化。安装时水盆便于与台面平齐或低于台面，使台面不易存水。接高密度PP 反水弯，防止水管阻塞功能,并易于拆卸。耐酸碱、抗腐蚀， 有一定的韧性，玻璃器皿突 然滑落不易破碎。水槽两旁，水槽对面，需安装挡板。</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2.1.2</w:t>
      </w:r>
      <w:r>
        <w:rPr>
          <w:rFonts w:hint="eastAsia" w:ascii="宋体" w:hAnsi="宋体" w:eastAsia="宋体" w:cs="宋体"/>
          <w:color w:val="auto"/>
          <w:sz w:val="24"/>
          <w:szCs w:val="24"/>
        </w:rPr>
        <w:t>水龙头：</w:t>
      </w:r>
      <w:r>
        <w:rPr>
          <w:rFonts w:hint="eastAsia" w:ascii="宋体" w:hAnsi="宋体" w:eastAsia="宋体" w:cs="宋体"/>
          <w:i w:val="0"/>
          <w:iCs w:val="0"/>
          <w:caps w:val="0"/>
          <w:color w:val="auto"/>
          <w:spacing w:val="0"/>
          <w:sz w:val="24"/>
          <w:szCs w:val="24"/>
          <w:lang w:val="en-US" w:eastAsia="zh-CN"/>
        </w:rPr>
        <w:t>实验室专业三口鹅颈龙头，采用优质软管连接，三个独立控制的阀门和三个出水口，出水嘴为可插皮管的尖嘴型，304不锈钢或非金属材质，禁止使用含铜材质。涂层为高亮度环氧树脂涂层耐腐蚀、耐热、防紫外线辐射。陶瓷阀芯：90度旋转，使用寿命开关达20万次，静态最大耐压35Pa。可对水流进行微量调节， 带接冷凝水尖嘴，可接防溅滤水嘴。高出水口可调节水平方向。外部为抛光铬带透明环氧树脂喷涂，耐酸碱腐蚀。</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0" w:rightChars="0" w:firstLine="480" w:firstLineChars="200"/>
        <w:jc w:val="left"/>
        <w:textAlignment w:val="baseline"/>
        <w:rPr>
          <w:rFonts w:hint="eastAsia" w:ascii="宋体" w:hAnsi="宋体" w:eastAsia="宋体" w:cs="宋体"/>
          <w:color w:val="auto"/>
          <w:spacing w:val="0"/>
          <w:position w:val="0"/>
          <w:sz w:val="24"/>
          <w:szCs w:val="24"/>
          <w:highlight w:val="green"/>
          <w:lang w:val="en-US" w:eastAsia="zh-CN"/>
        </w:rPr>
      </w:pPr>
      <w:r>
        <w:rPr>
          <w:rFonts w:hint="eastAsia" w:ascii="宋体" w:hAnsi="宋体" w:eastAsia="宋体" w:cs="宋体"/>
          <w:color w:val="auto"/>
          <w:sz w:val="24"/>
          <w:szCs w:val="24"/>
          <w:lang w:val="en-US" w:eastAsia="zh-CN"/>
        </w:rPr>
        <w:t>2.1.3</w:t>
      </w:r>
      <w:r>
        <w:rPr>
          <w:rFonts w:hint="eastAsia" w:ascii="宋体" w:hAnsi="宋体" w:eastAsia="宋体" w:cs="宋体"/>
          <w:color w:val="auto"/>
          <w:sz w:val="24"/>
          <w:szCs w:val="24"/>
        </w:rPr>
        <w:t>滴水架：</w:t>
      </w:r>
      <w:r>
        <w:rPr>
          <w:rFonts w:hint="eastAsia" w:ascii="宋体" w:hAnsi="宋体" w:eastAsia="宋体" w:cs="宋体"/>
          <w:color w:val="auto"/>
          <w:spacing w:val="0"/>
          <w:position w:val="0"/>
          <w:sz w:val="24"/>
          <w:szCs w:val="24"/>
          <w:highlight w:val="green"/>
          <w:lang w:val="en-US" w:eastAsia="zh-CN"/>
        </w:rPr>
        <w:t>采用高密度PP板背板，ABS 滴水棒，带导水槽及导管，滴水棒高度可调节，至少配置27个滴水棒。</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0" w:rightChars="0" w:firstLine="480" w:firstLineChars="200"/>
        <w:jc w:val="left"/>
        <w:textAlignment w:val="baseline"/>
        <w:rPr>
          <w:rFonts w:hint="eastAsia" w:ascii="宋体" w:hAnsi="宋体" w:eastAsia="宋体" w:cs="宋体"/>
          <w:color w:val="auto"/>
          <w:spacing w:val="0"/>
          <w:position w:val="0"/>
          <w:sz w:val="24"/>
          <w:szCs w:val="24"/>
          <w:lang w:val="en-US" w:eastAsia="zh-CN"/>
        </w:rPr>
      </w:pPr>
      <w:r>
        <w:rPr>
          <w:rFonts w:hint="eastAsia" w:ascii="宋体" w:hAnsi="宋体" w:eastAsia="宋体" w:cs="宋体"/>
          <w:color w:val="auto"/>
          <w:sz w:val="24"/>
          <w:szCs w:val="24"/>
          <w:lang w:val="en-US" w:eastAsia="zh-CN"/>
        </w:rPr>
        <w:t>2.1.4</w:t>
      </w:r>
      <w:r>
        <w:rPr>
          <w:rFonts w:hint="eastAsia" w:ascii="宋体" w:hAnsi="宋体" w:eastAsia="宋体" w:cs="宋体"/>
          <w:color w:val="auto"/>
          <w:sz w:val="24"/>
          <w:szCs w:val="24"/>
        </w:rPr>
        <w:t>台式洗眼器：</w:t>
      </w:r>
      <w:r>
        <w:rPr>
          <w:rFonts w:hint="eastAsia" w:ascii="宋体" w:hAnsi="宋体" w:eastAsia="宋体" w:cs="宋体"/>
          <w:color w:val="auto"/>
          <w:spacing w:val="0"/>
          <w:position w:val="0"/>
          <w:sz w:val="24"/>
          <w:szCs w:val="24"/>
          <w:lang w:val="en-US" w:eastAsia="zh-CN"/>
        </w:rPr>
        <w:t>主体: 加厚铜质。洗眼喷头:加厚铜质环氧树脂涂层外加软性橡胶， 出水经缓压处理呈泡沫状水柱，防止冲伤眼睛。控水阀：止逆阀，阀门可自动关闭。 防尘盖：PP材质，使用时自动被水冲开。供水软管:长度1.5米,软性PVC管外覆不锈钢网,外层包裹PE管,有效防止生锈、渗漏。前置过滤器：配有小型前置过滤器主要的去除管道所产生的沉淀杂质和细菌、微生物残骸、铁锈、沙泥等大于5微米以上的颗粒杂质，避免眼睛及人体肌肤受到伤害；</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2.1.5</w:t>
      </w:r>
      <w:r>
        <w:rPr>
          <w:rFonts w:hint="eastAsia" w:ascii="宋体" w:hAnsi="宋体" w:eastAsia="宋体" w:cs="宋体"/>
          <w:color w:val="auto"/>
          <w:sz w:val="24"/>
          <w:szCs w:val="24"/>
        </w:rPr>
        <w:t>紧急冲淋装置：304不锈钢，Ni含量大于8%</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浮锈可擦，涂层为高亮度环氧树脂涂层；采用焊接式管道连接，阀门采用陶瓷阀芯，可单独拆卸维修的专业产品，冲淋器装置既不会因为有螺纹连接或磨损问题导致产品质量隐患且产品更容易拆装。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冲淋器：入水管、球阀开关、拉杆、冲淋头均采用SUS304不锈钢或PP材质；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2.1.6</w:t>
      </w:r>
      <w:r>
        <w:rPr>
          <w:rFonts w:hint="eastAsia" w:ascii="宋体" w:hAnsi="宋体" w:eastAsia="宋体" w:cs="宋体"/>
          <w:color w:val="auto"/>
          <w:sz w:val="24"/>
          <w:szCs w:val="24"/>
        </w:rPr>
        <w:t>挡水板：水槽后侧位置</w:t>
      </w:r>
      <w:r>
        <w:rPr>
          <w:rFonts w:hint="eastAsia" w:ascii="宋体" w:hAnsi="宋体" w:eastAsia="宋体" w:cs="宋体"/>
          <w:color w:val="auto"/>
          <w:sz w:val="24"/>
          <w:szCs w:val="24"/>
          <w:lang w:val="en-US" w:eastAsia="zh-CN"/>
        </w:rPr>
        <w:t>和</w:t>
      </w:r>
      <w:r>
        <w:rPr>
          <w:rFonts w:hint="eastAsia" w:ascii="宋体" w:hAnsi="宋体" w:eastAsia="宋体" w:cs="宋体"/>
          <w:color w:val="auto"/>
          <w:sz w:val="24"/>
          <w:szCs w:val="24"/>
        </w:rPr>
        <w:t>靠后墙位置须加装挡水板，防止水花四周飞溅，高度100-250mm</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材质为有机玻璃或实芯理化板，厚度≥8mm,外漏直角须做圆弧处理</w:t>
      </w:r>
      <w:r>
        <w:rPr>
          <w:rFonts w:hint="eastAsia" w:ascii="宋体" w:hAnsi="宋体" w:eastAsia="宋体" w:cs="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2.1.7 传递窗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物品传递窗、污物传递窗皆为常规型，带机械连锁、紫外线灭菌装置。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rPr>
      </w:pPr>
      <w:r>
        <w:rPr>
          <w:rFonts w:hint="eastAsia" w:ascii="宋体" w:hAnsi="宋体" w:eastAsia="宋体" w:cs="宋体"/>
          <w:sz w:val="24"/>
          <w:szCs w:val="24"/>
          <w:lang w:val="en-US" w:eastAsia="zh-CN"/>
        </w:rPr>
        <w:t xml:space="preserve">2.1.8 </w:t>
      </w:r>
      <w:r>
        <w:rPr>
          <w:rFonts w:hint="eastAsia" w:ascii="宋体" w:hAnsi="宋体" w:eastAsia="宋体" w:cs="宋体"/>
          <w:sz w:val="24"/>
          <w:szCs w:val="24"/>
          <w:lang w:val="en-US"/>
        </w:rPr>
        <w:t>塔式电源盒</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rPr>
      </w:pPr>
      <w:r>
        <w:rPr>
          <w:rFonts w:hint="eastAsia" w:ascii="宋体" w:hAnsi="宋体" w:eastAsia="宋体" w:cs="宋体"/>
          <w:sz w:val="24"/>
          <w:szCs w:val="24"/>
          <w:lang w:val="en-US"/>
        </w:rPr>
        <w:t>采用国标五口10A插座面板配国标BV2.5；绝缘材质，防酸防腐，耐划痕。外面大方，美观，简捷实用，配置于操作台上。一组电源盒内含两个五口电源插座；包含台面开孔；</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rPr>
      </w:pPr>
      <w:r>
        <w:rPr>
          <w:rFonts w:hint="eastAsia" w:ascii="宋体" w:hAnsi="宋体" w:eastAsia="宋体" w:cs="宋体"/>
          <w:b/>
          <w:bCs/>
          <w:sz w:val="24"/>
          <w:szCs w:val="24"/>
          <w:lang w:val="en-US" w:eastAsia="zh-CN"/>
        </w:rPr>
        <w:t>3</w:t>
      </w:r>
      <w:r>
        <w:rPr>
          <w:rFonts w:hint="eastAsia" w:ascii="宋体" w:hAnsi="宋体" w:eastAsia="宋体" w:cs="宋体"/>
          <w:b/>
          <w:bCs/>
          <w:sz w:val="24"/>
          <w:szCs w:val="24"/>
          <w:lang w:val="en-US"/>
        </w:rPr>
        <w:t>、药品柜/试剂柜：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提供结构单件图或单个品类效果图等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rPr>
      </w:pPr>
      <w:r>
        <w:rPr>
          <w:rFonts w:hint="eastAsia" w:ascii="宋体" w:hAnsi="宋体" w:eastAsia="宋体" w:cs="宋体"/>
          <w:sz w:val="24"/>
          <w:szCs w:val="24"/>
          <w:lang w:val="en-US" w:eastAsia="zh-CN"/>
        </w:rPr>
        <w:t>pp材质，上下柜门备有安全双门锁，加强管制药品。柜体材质：采用8mm厚瓷白色PP聚丙烯原料板制作，门框一体折弯成型，表面无焊缝，内置加强型PP立柱。层板四周设有防溢漏立边，层板可调，可根据需要任意调节高度。门板采用厚PP聚丙烯原料板制作，焊枪无缝式焊接，上柜门采用厚透明钢化玻璃视窗。绞链把手塑胶射出一体成型，抗腐蚀性佳。</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rPr>
      </w:pPr>
      <w:r>
        <w:rPr>
          <w:rFonts w:hint="eastAsia" w:ascii="宋体" w:hAnsi="宋体" w:eastAsia="宋体" w:cs="宋体"/>
          <w:b/>
          <w:bCs/>
          <w:sz w:val="24"/>
          <w:szCs w:val="24"/>
          <w:lang w:val="en-US" w:eastAsia="zh-CN"/>
        </w:rPr>
        <w:t>4</w:t>
      </w:r>
      <w:r>
        <w:rPr>
          <w:rFonts w:hint="eastAsia" w:ascii="宋体" w:hAnsi="宋体" w:eastAsia="宋体" w:cs="宋体"/>
          <w:b/>
          <w:bCs/>
          <w:sz w:val="24"/>
          <w:szCs w:val="24"/>
          <w:lang w:val="en-US"/>
        </w:rPr>
        <w:t>、天平台：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面板：主体采高品质1.2mm +/- 0.07mm冷轧钢板机加工而成,其余材质同柜体，内侧须设有防撞橡胶垫，对抽屉、门板闭合起减震作用。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台面：40mm</w:t>
      </w:r>
      <w:r>
        <w:rPr>
          <w:rFonts w:hint="eastAsia" w:ascii="宋体" w:hAnsi="宋体" w:eastAsia="宋体" w:cs="宋体"/>
          <w:sz w:val="24"/>
          <w:szCs w:val="24"/>
          <w:lang w:val="en-US" w:eastAsia="zh-CN"/>
        </w:rPr>
        <w:t>以上</w:t>
      </w:r>
      <w:r>
        <w:rPr>
          <w:rFonts w:hint="eastAsia" w:ascii="宋体" w:hAnsi="宋体" w:eastAsia="宋体" w:cs="宋体"/>
          <w:sz w:val="24"/>
          <w:szCs w:val="24"/>
        </w:rPr>
        <w:t>厚大理石，颜色均匀，稳定性好。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调整脚：钢制调整脚底部注塑，防水防锈承重性能优异。</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rPr>
      </w:pPr>
      <w:r>
        <w:rPr>
          <w:rFonts w:hint="eastAsia" w:ascii="宋体" w:hAnsi="宋体" w:eastAsia="宋体" w:cs="宋体"/>
          <w:b/>
          <w:bCs/>
          <w:sz w:val="24"/>
          <w:szCs w:val="24"/>
          <w:lang w:val="en-US" w:eastAsia="zh-CN"/>
        </w:rPr>
        <w:t>5</w:t>
      </w:r>
      <w:r>
        <w:rPr>
          <w:rFonts w:hint="eastAsia" w:ascii="宋体" w:hAnsi="宋体" w:eastAsia="宋体" w:cs="宋体"/>
          <w:b/>
          <w:bCs/>
          <w:sz w:val="24"/>
          <w:szCs w:val="24"/>
          <w:lang w:val="en-US"/>
        </w:rPr>
        <w:t>、通风柜：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提供结构单件图或单个品类效果图等深化设计图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5.1.1</w:t>
      </w:r>
      <w:r>
        <w:rPr>
          <w:rFonts w:hint="eastAsia" w:ascii="宋体" w:hAnsi="宋体" w:eastAsia="宋体" w:cs="宋体"/>
          <w:sz w:val="24"/>
          <w:szCs w:val="24"/>
        </w:rPr>
        <w:t>通风柜类型：通风柜为变风量型，应能有效地配合VAV排风系统进行操作；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5.1.2</w:t>
      </w:r>
      <w:r>
        <w:rPr>
          <w:rFonts w:hint="eastAsia" w:ascii="宋体" w:hAnsi="宋体" w:eastAsia="宋体" w:cs="宋体"/>
          <w:sz w:val="24"/>
          <w:szCs w:val="24"/>
        </w:rPr>
        <w:t>气流设计：排风设计要符合流体力学及空气动力学原理，确保气流顺畅、平稳通过，防止柜内气流产生紊流，排气分布均匀且无死角；</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5.1.3</w:t>
      </w:r>
      <w:r>
        <w:rPr>
          <w:rFonts w:hint="eastAsia" w:ascii="宋体" w:hAnsi="宋体" w:eastAsia="宋体" w:cs="宋体"/>
          <w:sz w:val="24"/>
          <w:szCs w:val="24"/>
        </w:rPr>
        <w:t>面风速设计：面风速均匀度：通风柜的面风速应分布均匀，各测量点的最大值、最小值与算术平均值的偏差应小于±15%；</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5.1.4</w:t>
      </w:r>
      <w:r>
        <w:rPr>
          <w:rFonts w:hint="eastAsia" w:ascii="宋体" w:hAnsi="宋体" w:eastAsia="宋体" w:cs="宋体"/>
          <w:sz w:val="24"/>
          <w:szCs w:val="24"/>
        </w:rPr>
        <w:t>通风柜风压</w:t>
      </w:r>
      <w:r>
        <w:rPr>
          <w:rFonts w:hint="eastAsia" w:ascii="宋体" w:hAnsi="宋体" w:eastAsia="宋体" w:cs="宋体"/>
          <w:sz w:val="24"/>
          <w:szCs w:val="24"/>
          <w:lang w:eastAsia="zh-CN"/>
        </w:rPr>
        <w:t>：</w:t>
      </w:r>
      <w:r>
        <w:rPr>
          <w:rFonts w:hint="eastAsia" w:ascii="宋体" w:hAnsi="宋体" w:eastAsia="宋体" w:cs="宋体"/>
          <w:sz w:val="24"/>
          <w:szCs w:val="24"/>
        </w:rPr>
        <w:t>通风柜风压(压损)：应不大于90Pa</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5.1.5</w:t>
      </w:r>
      <w:r>
        <w:rPr>
          <w:rFonts w:hint="eastAsia" w:ascii="宋体" w:hAnsi="宋体" w:eastAsia="宋体" w:cs="宋体"/>
          <w:sz w:val="24"/>
          <w:szCs w:val="24"/>
        </w:rPr>
        <w:t>烟雾流动</w:t>
      </w:r>
      <w:r>
        <w:rPr>
          <w:rFonts w:hint="eastAsia" w:ascii="宋体" w:hAnsi="宋体" w:eastAsia="宋体" w:cs="宋体"/>
          <w:sz w:val="24"/>
          <w:szCs w:val="24"/>
          <w:lang w:eastAsia="zh-CN"/>
        </w:rPr>
        <w:t>：</w:t>
      </w:r>
      <w:r>
        <w:rPr>
          <w:rFonts w:hint="eastAsia" w:ascii="宋体" w:hAnsi="宋体" w:eastAsia="宋体" w:cs="宋体"/>
          <w:sz w:val="24"/>
          <w:szCs w:val="24"/>
        </w:rPr>
        <w:t>视烟雾流动显示：须无烟雾泄漏逸散出柜外，柜内无涡流死角且能平顺的将烟雾排出；</w:t>
      </w:r>
      <w:r>
        <w:rPr>
          <w:rFonts w:hint="eastAsia" w:ascii="宋体" w:hAnsi="宋体" w:eastAsia="宋体" w:cs="宋体"/>
          <w:sz w:val="24"/>
          <w:szCs w:val="24"/>
          <w:lang w:val="en-US" w:eastAsia="zh-CN"/>
        </w:rPr>
        <w:t>同时配备新风补入口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5.1.6</w:t>
      </w:r>
      <w:r>
        <w:rPr>
          <w:rFonts w:hint="eastAsia" w:ascii="宋体" w:hAnsi="宋体" w:eastAsia="宋体" w:cs="宋体"/>
          <w:sz w:val="24"/>
          <w:szCs w:val="24"/>
        </w:rPr>
        <w:t>框架结构</w:t>
      </w:r>
      <w:r>
        <w:rPr>
          <w:rFonts w:hint="eastAsia" w:ascii="宋体" w:hAnsi="宋体" w:eastAsia="宋体" w:cs="宋体"/>
          <w:sz w:val="24"/>
          <w:szCs w:val="24"/>
          <w:lang w:eastAsia="zh-CN"/>
        </w:rPr>
        <w:t>：</w:t>
      </w:r>
      <w:r>
        <w:rPr>
          <w:rFonts w:hint="eastAsia" w:ascii="宋体" w:hAnsi="宋体" w:eastAsia="宋体" w:cs="宋体"/>
          <w:sz w:val="24"/>
          <w:szCs w:val="24"/>
        </w:rPr>
        <w:t>采用8mm</w:t>
      </w:r>
      <w:r>
        <w:rPr>
          <w:rFonts w:hint="eastAsia" w:ascii="宋体" w:hAnsi="宋体" w:eastAsia="宋体" w:cs="宋体"/>
          <w:sz w:val="24"/>
          <w:szCs w:val="24"/>
          <w:lang w:val="en-US" w:eastAsia="zh-CN"/>
        </w:rPr>
        <w:t>象牙白</w:t>
      </w:r>
      <w:r>
        <w:rPr>
          <w:rFonts w:hint="eastAsia" w:ascii="宋体" w:hAnsi="宋体" w:eastAsia="宋体" w:cs="宋体"/>
          <w:sz w:val="24"/>
          <w:szCs w:val="24"/>
        </w:rPr>
        <w:t>系列PP板材，经CNC数控机床，自动折弯折边处理，折弯厚边缘无毛刺，不伤手，光滑自然有光泽。双层结构，自支撑坚固构造。外层为8mmPP板材，内层为抗腐蚀内衬材料；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5.1.7</w:t>
      </w:r>
      <w:r>
        <w:rPr>
          <w:rFonts w:hint="eastAsia" w:ascii="宋体" w:hAnsi="宋体" w:eastAsia="宋体" w:cs="宋体"/>
          <w:sz w:val="24"/>
          <w:szCs w:val="24"/>
        </w:rPr>
        <w:t>通风柜台面</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采用至少20mm厚陶瓷台面，四面边缘蝶形一体成型光滑无孔，结构坚固致密，耐各种强酸碱和有机溶剂的侵蚀，色泽均匀，抗高温，易清洁，</w:t>
      </w:r>
      <w:r>
        <w:rPr>
          <w:rFonts w:hint="eastAsia" w:ascii="宋体" w:hAnsi="宋体" w:eastAsia="宋体" w:cs="宋体"/>
          <w:sz w:val="24"/>
          <w:szCs w:val="24"/>
        </w:rPr>
        <w:t>设有水槽孔或小杯槽孔</w:t>
      </w:r>
      <w:r>
        <w:rPr>
          <w:rFonts w:hint="eastAsia" w:ascii="宋体" w:hAnsi="宋体" w:eastAsia="宋体" w:cs="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5.1.8</w:t>
      </w:r>
      <w:r>
        <w:rPr>
          <w:rFonts w:hint="eastAsia" w:ascii="宋体" w:hAnsi="宋体" w:eastAsia="宋体" w:cs="宋体"/>
          <w:sz w:val="24"/>
          <w:szCs w:val="24"/>
        </w:rPr>
        <w:t>通风柜移门</w:t>
      </w:r>
      <w:r>
        <w:rPr>
          <w:rFonts w:hint="eastAsia" w:ascii="宋体" w:hAnsi="宋体" w:eastAsia="宋体" w:cs="宋体"/>
          <w:sz w:val="24"/>
          <w:szCs w:val="24"/>
          <w:lang w:eastAsia="zh-CN"/>
        </w:rPr>
        <w:t>：</w:t>
      </w:r>
      <w:r>
        <w:rPr>
          <w:rFonts w:hint="eastAsia" w:ascii="宋体" w:hAnsi="宋体" w:eastAsia="宋体" w:cs="宋体"/>
          <w:sz w:val="24"/>
          <w:szCs w:val="24"/>
        </w:rPr>
        <w:t>移门使用厚度</w:t>
      </w:r>
      <w:r>
        <w:rPr>
          <w:rFonts w:hint="eastAsia" w:ascii="宋体" w:hAnsi="宋体" w:eastAsia="宋体" w:cs="宋体"/>
          <w:sz w:val="24"/>
          <w:szCs w:val="24"/>
          <w:lang w:val="en-US" w:eastAsia="zh-CN"/>
        </w:rPr>
        <w:t>至少</w:t>
      </w:r>
      <w:r>
        <w:rPr>
          <w:rFonts w:hint="eastAsia" w:ascii="宋体" w:hAnsi="宋体" w:eastAsia="宋体" w:cs="宋体"/>
          <w:sz w:val="24"/>
          <w:szCs w:val="24"/>
        </w:rPr>
        <w:t>5mm透明贴膜钢化玻璃(耐氢氟酸、高氯酸腐蚀)，重量轻， 滑轨为抗腐蚀PVC材质，移门能够轻松上下移动；移门的关、闭有橡胶缓冲装置；密封条为70硬度 PVC，防止气体泄露；安全推拉门把手方便使用者上下扶手施力，以符合人体工学要求。移门拉手材质为跟柜体同材质蓝色拉手</w:t>
      </w:r>
      <w:r>
        <w:rPr>
          <w:rFonts w:hint="eastAsia" w:ascii="宋体" w:hAnsi="宋体" w:eastAsia="宋体" w:cs="宋体"/>
          <w:sz w:val="24"/>
          <w:szCs w:val="24"/>
          <w:lang w:eastAsia="zh-CN"/>
        </w:rPr>
        <w:t>，</w:t>
      </w:r>
      <w:r>
        <w:rPr>
          <w:rFonts w:hint="eastAsia" w:ascii="宋体" w:hAnsi="宋体" w:eastAsia="宋体" w:cs="宋体"/>
          <w:sz w:val="24"/>
          <w:szCs w:val="24"/>
        </w:rPr>
        <w:t>移门采用双配重设计，可自如开启并停定于任意高度，有防断落设计结构。配重悬吊使用</w:t>
      </w:r>
      <w:r>
        <w:rPr>
          <w:rFonts w:hint="eastAsia" w:ascii="宋体" w:hAnsi="宋体" w:eastAsia="宋体" w:cs="宋体"/>
          <w:sz w:val="24"/>
          <w:szCs w:val="24"/>
          <w:lang w:val="en-US" w:eastAsia="zh-CN"/>
        </w:rPr>
        <w:t>内置钢丝同步带</w:t>
      </w:r>
      <w:r>
        <w:rPr>
          <w:rFonts w:hint="eastAsia" w:ascii="宋体" w:hAnsi="宋体" w:eastAsia="宋体" w:cs="宋体"/>
          <w:sz w:val="24"/>
          <w:szCs w:val="24"/>
        </w:rPr>
        <w:t>。视窗静音平缓移动；应在合适的高度设置有限位开关。</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5.1.9</w:t>
      </w:r>
      <w:r>
        <w:rPr>
          <w:rFonts w:hint="eastAsia" w:ascii="宋体" w:hAnsi="宋体" w:eastAsia="宋体" w:cs="宋体"/>
          <w:sz w:val="24"/>
          <w:szCs w:val="24"/>
        </w:rPr>
        <w:t>导流板及内衬材料</w:t>
      </w:r>
      <w:r>
        <w:rPr>
          <w:rFonts w:hint="eastAsia" w:ascii="宋体" w:hAnsi="宋体" w:eastAsia="宋体" w:cs="宋体"/>
          <w:sz w:val="24"/>
          <w:szCs w:val="24"/>
          <w:lang w:eastAsia="zh-CN"/>
        </w:rPr>
        <w:t>：</w:t>
      </w:r>
      <w:r>
        <w:rPr>
          <w:rFonts w:hint="eastAsia" w:ascii="宋体" w:hAnsi="宋体" w:eastAsia="宋体" w:cs="宋体"/>
          <w:sz w:val="24"/>
          <w:szCs w:val="24"/>
        </w:rPr>
        <w:t>通风柜内衬材料应为采用</w:t>
      </w:r>
      <w:r>
        <w:rPr>
          <w:rFonts w:hint="eastAsia" w:ascii="宋体" w:hAnsi="宋体" w:eastAsia="宋体" w:cs="宋体"/>
          <w:sz w:val="24"/>
          <w:szCs w:val="24"/>
          <w:lang w:val="en-US" w:eastAsia="zh-CN"/>
        </w:rPr>
        <w:t>8</w:t>
      </w:r>
      <w:r>
        <w:rPr>
          <w:rFonts w:hint="eastAsia" w:ascii="宋体" w:hAnsi="宋体" w:eastAsia="宋体" w:cs="宋体"/>
          <w:sz w:val="24"/>
          <w:szCs w:val="24"/>
        </w:rPr>
        <w:t>mm</w:t>
      </w:r>
      <w:r>
        <w:rPr>
          <w:rFonts w:hint="eastAsia" w:ascii="宋体" w:hAnsi="宋体" w:eastAsia="宋体" w:cs="宋体"/>
          <w:sz w:val="24"/>
          <w:szCs w:val="24"/>
          <w:lang w:val="en-US" w:eastAsia="zh-CN"/>
        </w:rPr>
        <w:t>象牙白</w:t>
      </w:r>
      <w:r>
        <w:rPr>
          <w:rFonts w:hint="eastAsia" w:ascii="宋体" w:hAnsi="宋体" w:eastAsia="宋体" w:cs="宋体"/>
          <w:sz w:val="24"/>
          <w:szCs w:val="24"/>
        </w:rPr>
        <w:t>系列PP板材，经CNC数控机床，自动折弯折边处理，折弯厚边缘无毛刺，不伤手，光滑自然有光泽。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5.1.10</w:t>
      </w:r>
      <w:r>
        <w:rPr>
          <w:rFonts w:hint="eastAsia" w:ascii="宋体" w:hAnsi="宋体" w:eastAsia="宋体" w:cs="宋体"/>
          <w:sz w:val="24"/>
          <w:szCs w:val="24"/>
        </w:rPr>
        <w:t>下柜</w:t>
      </w:r>
      <w:r>
        <w:rPr>
          <w:rFonts w:hint="eastAsia" w:ascii="宋体" w:hAnsi="宋体" w:eastAsia="宋体" w:cs="宋体"/>
          <w:sz w:val="24"/>
          <w:szCs w:val="24"/>
          <w:lang w:val="en-US" w:eastAsia="zh-CN"/>
        </w:rPr>
        <w:t>体：</w:t>
      </w:r>
      <w:r>
        <w:rPr>
          <w:rFonts w:hint="eastAsia" w:ascii="宋体" w:hAnsi="宋体" w:eastAsia="宋体" w:cs="宋体"/>
          <w:sz w:val="24"/>
          <w:szCs w:val="24"/>
        </w:rPr>
        <w:t>采用8mm</w:t>
      </w:r>
      <w:r>
        <w:rPr>
          <w:rFonts w:hint="eastAsia" w:ascii="宋体" w:hAnsi="宋体" w:eastAsia="宋体" w:cs="宋体"/>
          <w:sz w:val="24"/>
          <w:szCs w:val="24"/>
          <w:lang w:val="en-US" w:eastAsia="zh-CN"/>
        </w:rPr>
        <w:t>象牙白</w:t>
      </w:r>
      <w:r>
        <w:rPr>
          <w:rFonts w:hint="eastAsia" w:ascii="宋体" w:hAnsi="宋体" w:eastAsia="宋体" w:cs="宋体"/>
          <w:sz w:val="24"/>
          <w:szCs w:val="24"/>
        </w:rPr>
        <w:t>系列PP板材，经CNC数控机床，自动折弯折边处理，折弯厚边缘无毛刺，不伤手，光滑自然有光泽。双层结构，自支撑坚固构造。外层为8mmPP板材，内层为抗腐蚀内衬材料。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5.1.11</w:t>
      </w:r>
      <w:r>
        <w:rPr>
          <w:rFonts w:hint="eastAsia" w:ascii="宋体" w:hAnsi="宋体" w:eastAsia="宋体" w:cs="宋体"/>
          <w:sz w:val="24"/>
          <w:szCs w:val="24"/>
        </w:rPr>
        <w:t>调节地脚：材料采用聚氯乙烯防腐材料，高强度可调地脚（可调节≥20mm～40mm），具备耐腐蚀性高、抗老化性能好、寿命长等优点，特别是防震效果佳</w:t>
      </w:r>
      <w:r>
        <w:rPr>
          <w:rFonts w:hint="eastAsia" w:ascii="宋体" w:hAnsi="宋体" w:eastAsia="宋体" w:cs="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.1.</w:t>
      </w:r>
      <w:r>
        <w:rPr>
          <w:rFonts w:hint="eastAsia" w:ascii="宋体" w:hAnsi="宋体" w:eastAsia="宋体" w:cs="宋体"/>
          <w:sz w:val="24"/>
          <w:szCs w:val="24"/>
          <w:lang w:val="en-US" w:eastAsia="zh-CN"/>
        </w:rPr>
        <w:t>12</w:t>
      </w:r>
      <w:r>
        <w:rPr>
          <w:rFonts w:hint="eastAsia" w:ascii="宋体" w:hAnsi="宋体" w:eastAsia="宋体" w:cs="宋体"/>
          <w:sz w:val="24"/>
          <w:szCs w:val="24"/>
        </w:rPr>
        <w:t>电气设施</w:t>
      </w:r>
      <w:r>
        <w:rPr>
          <w:rFonts w:hint="eastAsia" w:ascii="宋体" w:hAnsi="宋体" w:eastAsia="宋体" w:cs="宋体"/>
          <w:sz w:val="24"/>
          <w:szCs w:val="24"/>
          <w:lang w:eastAsia="zh-CN"/>
        </w:rPr>
        <w:t>：</w:t>
      </w:r>
      <w:r>
        <w:rPr>
          <w:rFonts w:hint="eastAsia" w:ascii="宋体" w:hAnsi="宋体" w:eastAsia="宋体" w:cs="宋体"/>
          <w:sz w:val="24"/>
          <w:szCs w:val="24"/>
        </w:rPr>
        <w:t>照明：220V荧光照明灯，快速启动类型。镇流器安装在通风柜外部。照明罩内部白色，高反射的塑料材质。照明装置下方应使用5mm厚安全玻璃面板密封与柜体内部隔离，以避免灯具与柜内气体接触。照度800Lux以上</w:t>
      </w:r>
      <w:r>
        <w:rPr>
          <w:rFonts w:hint="eastAsia" w:ascii="宋体" w:hAnsi="宋体" w:eastAsia="宋体" w:cs="宋体"/>
          <w:sz w:val="24"/>
          <w:szCs w:val="24"/>
          <w:lang w:eastAsia="zh-CN"/>
        </w:rPr>
        <w:t>。</w:t>
      </w:r>
      <w:r>
        <w:rPr>
          <w:rFonts w:hint="eastAsia" w:ascii="宋体" w:hAnsi="宋体" w:eastAsia="宋体" w:cs="宋体"/>
          <w:sz w:val="24"/>
          <w:szCs w:val="24"/>
        </w:rPr>
        <w:t>电气设施安装在通风柜的外侧立柱上</w:t>
      </w:r>
      <w:r>
        <w:rPr>
          <w:rFonts w:hint="eastAsia" w:ascii="宋体" w:hAnsi="宋体" w:eastAsia="宋体" w:cs="宋体"/>
          <w:sz w:val="24"/>
          <w:szCs w:val="24"/>
          <w:lang w:val="en-US" w:eastAsia="zh-CN"/>
        </w:rPr>
        <w:t>4组</w:t>
      </w:r>
      <w:r>
        <w:rPr>
          <w:rFonts w:hint="eastAsia" w:ascii="宋体" w:hAnsi="宋体" w:eastAsia="宋体" w:cs="宋体"/>
          <w:sz w:val="24"/>
          <w:szCs w:val="24"/>
        </w:rPr>
        <w:t>品牌</w:t>
      </w:r>
      <w:r>
        <w:rPr>
          <w:rFonts w:hint="eastAsia" w:ascii="宋体" w:hAnsi="宋体" w:eastAsia="宋体" w:cs="宋体"/>
          <w:sz w:val="24"/>
          <w:szCs w:val="24"/>
          <w:lang w:val="en-US" w:eastAsia="zh-CN"/>
        </w:rPr>
        <w:t>防水</w:t>
      </w:r>
      <w:r>
        <w:rPr>
          <w:rFonts w:hint="eastAsia" w:ascii="宋体" w:hAnsi="宋体" w:eastAsia="宋体" w:cs="宋体"/>
          <w:sz w:val="24"/>
          <w:szCs w:val="24"/>
        </w:rPr>
        <w:t>插座220V，≥10A。产品出厂前插座预先与通风柜</w:t>
      </w:r>
      <w:r>
        <w:rPr>
          <w:rFonts w:hint="eastAsia" w:ascii="宋体" w:hAnsi="宋体" w:eastAsia="宋体" w:cs="宋体"/>
          <w:sz w:val="24"/>
          <w:szCs w:val="24"/>
          <w:lang w:val="en-US" w:eastAsia="zh-CN"/>
        </w:rPr>
        <w:t>漏电保护器电箱</w:t>
      </w:r>
      <w:r>
        <w:rPr>
          <w:rFonts w:hint="eastAsia" w:ascii="宋体" w:hAnsi="宋体" w:eastAsia="宋体" w:cs="宋体"/>
          <w:sz w:val="24"/>
          <w:szCs w:val="24"/>
        </w:rPr>
        <w:t>连接，现场再与供电设施连接。通风柜外侧立柱上安装有灯开关，如有特殊需要，按照要求预留380V插座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5.1.13</w:t>
      </w:r>
      <w:r>
        <w:rPr>
          <w:rFonts w:hint="eastAsia" w:ascii="宋体" w:hAnsi="宋体" w:eastAsia="宋体" w:cs="宋体"/>
          <w:sz w:val="24"/>
          <w:szCs w:val="24"/>
        </w:rPr>
        <w:t>液晶开关：采用液晶显示功能的集成控制器面板，可视化控制各项参数，含风机开关，照明开关，电源开关、风阀调节。</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sz w:val="24"/>
          <w:szCs w:val="24"/>
        </w:rPr>
      </w:pPr>
      <w:bookmarkStart w:id="76" w:name="_Toc4884"/>
      <w:bookmarkStart w:id="77" w:name="_Toc426027541"/>
      <w:bookmarkStart w:id="78" w:name="_Toc225753939"/>
      <w:bookmarkStart w:id="79" w:name="_Toc225760377"/>
      <w:bookmarkStart w:id="80" w:name="_Toc225873172"/>
      <w:bookmarkStart w:id="81" w:name="_Toc400990997"/>
      <w:bookmarkStart w:id="82" w:name="_Toc263235218"/>
      <w:bookmarkStart w:id="83" w:name="_Toc447734482"/>
      <w:r>
        <w:rPr>
          <w:rFonts w:hint="eastAsia" w:ascii="宋体" w:hAnsi="宋体" w:eastAsia="宋体" w:cs="宋体"/>
          <w:b/>
          <w:bCs/>
          <w:sz w:val="24"/>
          <w:szCs w:val="24"/>
          <w:lang w:val="en-US" w:eastAsia="zh-CN"/>
        </w:rPr>
        <w:t>（四）</w:t>
      </w:r>
      <w:r>
        <w:rPr>
          <w:rFonts w:hint="eastAsia" w:ascii="宋体" w:hAnsi="宋体" w:eastAsia="宋体" w:cs="宋体"/>
          <w:b/>
          <w:bCs/>
          <w:sz w:val="24"/>
          <w:szCs w:val="24"/>
        </w:rPr>
        <w:t>《通风自控》技术要求</w:t>
      </w:r>
      <w:bookmarkEnd w:id="76"/>
    </w:p>
    <w:bookmarkEnd w:id="77"/>
    <w:bookmarkEnd w:id="78"/>
    <w:bookmarkEnd w:id="79"/>
    <w:bookmarkEnd w:id="80"/>
    <w:bookmarkEnd w:id="81"/>
    <w:bookmarkEnd w:id="82"/>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rPr>
        <w:t>排风VAV变风量阀和控制器</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变风量阀须提供具有省级或以上检测机构出具的检测报告并加盖鲜章。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1.1</w:t>
      </w:r>
      <w:r>
        <w:rPr>
          <w:rFonts w:hint="eastAsia" w:ascii="宋体" w:hAnsi="宋体" w:eastAsia="宋体" w:cs="宋体"/>
          <w:sz w:val="24"/>
          <w:szCs w:val="24"/>
        </w:rPr>
        <w:t>变风量蝶阀针对化学实验室的特殊要求设置快速变风量调节阀，具有高速反应，气密性高的特性，变风量排风蝶阀参数要求：要求阀门为压力无关型的变风量控制阀，实测流量值；阀体采用高度防腐PP材质，，一体成型工艺，叶片与阀体之间采用咬合式高密闭性工艺，保证运行时无啸叫声。采用高速电动执行器，24V激励电压，全行程&lt;2.5秒；阀体工作压差：50～1000Pa；风量控制精度：±5% ；面风速值可设定，噪音低于55分贝。</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1.2</w:t>
      </w:r>
      <w:r>
        <w:rPr>
          <w:rFonts w:hint="eastAsia" w:ascii="宋体" w:hAnsi="宋体" w:eastAsia="宋体" w:cs="宋体"/>
          <w:sz w:val="24"/>
          <w:szCs w:val="24"/>
        </w:rPr>
        <w:t>全钢通风柜控制器</w:t>
      </w:r>
      <w:r>
        <w:rPr>
          <w:rFonts w:hint="eastAsia" w:ascii="宋体" w:hAnsi="宋体" w:eastAsia="宋体" w:cs="宋体"/>
          <w:sz w:val="24"/>
          <w:szCs w:val="24"/>
          <w:lang w:eastAsia="zh-CN"/>
        </w:rPr>
        <w:t>：</w:t>
      </w:r>
      <w:r>
        <w:rPr>
          <w:rFonts w:hint="eastAsia" w:ascii="宋体" w:hAnsi="宋体" w:eastAsia="宋体" w:cs="宋体"/>
          <w:sz w:val="24"/>
          <w:szCs w:val="24"/>
        </w:rPr>
        <w:t>通风柜控制操作显示器，操作显示器釆用彩色液晶触摸显示面板，可显示至少下列数据：实时面风速、排风量、视窗高度、运行状态、工作模式等参数，并能进行相关参数设置，液晶显示屏应有调整相应指示，且进入界面应设置密码保护避免误操作</w:t>
      </w:r>
      <w:r>
        <w:rPr>
          <w:rFonts w:hint="eastAsia" w:ascii="宋体" w:hAnsi="宋体" w:eastAsia="宋体" w:cs="宋体"/>
          <w:sz w:val="24"/>
          <w:szCs w:val="24"/>
          <w:lang w:eastAsia="zh-CN"/>
        </w:rPr>
        <w:t>，</w:t>
      </w:r>
      <w:r>
        <w:rPr>
          <w:rFonts w:hint="eastAsia" w:ascii="宋体" w:hAnsi="宋体" w:eastAsia="宋体" w:cs="宋体"/>
          <w:sz w:val="24"/>
          <w:szCs w:val="24"/>
        </w:rPr>
        <w:t>支持位移控制模式，通过位移传感器进行快速调节，待调节窗稳定后维持面风速恒定。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操作显示器具备通风柜排风启/停、紧急排风、通风柜照明启/停等功能。通风柜运行时，若发生面风速异常、紧急排风、柜门开启过高等状态，操作显示器立即报警，所有报警的状态及故障原因可在显示屏报警区域上显示</w:t>
      </w:r>
      <w:r>
        <w:rPr>
          <w:rFonts w:hint="eastAsia" w:ascii="宋体" w:hAnsi="宋体" w:eastAsia="宋体" w:cs="宋体"/>
          <w:sz w:val="24"/>
          <w:szCs w:val="24"/>
          <w:lang w:eastAsia="zh-CN"/>
        </w:rPr>
        <w:t>，</w:t>
      </w:r>
      <w:r>
        <w:rPr>
          <w:rFonts w:hint="eastAsia" w:ascii="宋体" w:hAnsi="宋体" w:eastAsia="宋体" w:cs="宋体"/>
          <w:sz w:val="24"/>
          <w:szCs w:val="24"/>
        </w:rPr>
        <w:t>支持有线485或以太网通信功能，可与其它控制显示设备进行通讯，实现对有关参数的显示和设置等功能。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1.3</w:t>
      </w:r>
      <w:r>
        <w:rPr>
          <w:rFonts w:hint="eastAsia" w:ascii="宋体" w:hAnsi="宋体" w:eastAsia="宋体" w:cs="宋体"/>
          <w:sz w:val="24"/>
          <w:szCs w:val="24"/>
        </w:rPr>
        <w:t>位移传感器</w:t>
      </w:r>
      <w:r>
        <w:rPr>
          <w:rFonts w:hint="eastAsia" w:ascii="宋体" w:hAnsi="宋体" w:eastAsia="宋体" w:cs="宋体"/>
          <w:sz w:val="24"/>
          <w:szCs w:val="24"/>
          <w:lang w:eastAsia="zh-CN"/>
        </w:rPr>
        <w:t>：</w:t>
      </w:r>
      <w:r>
        <w:rPr>
          <w:rFonts w:hint="eastAsia" w:ascii="宋体" w:hAnsi="宋体" w:eastAsia="宋体" w:cs="宋体"/>
          <w:sz w:val="24"/>
          <w:szCs w:val="24"/>
        </w:rPr>
        <w:t>高精度电位器带一条钢丝，钢丝直连到调节门或者其配重上调节门开关，电位器电阻改变，通风柜控制器上产生一个0～10VDC的调节门开度信号。行程范围为0～1200mm，适用于通用通风柜调节窗；轮彀材料：绝缘颗粒涂层阳极氧化铝；测量精度：优于0.25mm；可重复性：优于0.12mm。</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2、实验室变风量通风控制系统设计总则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2.1</w:t>
      </w:r>
      <w:r>
        <w:rPr>
          <w:rFonts w:hint="eastAsia" w:ascii="宋体" w:hAnsi="宋体" w:eastAsia="宋体" w:cs="宋体"/>
          <w:sz w:val="24"/>
          <w:szCs w:val="24"/>
        </w:rPr>
        <w:t>确保通风柜对实验中有害物质的防护——安全的面风速控制，控制面风速0.3~0.7m/s。控制浓度≤0.5m</w:t>
      </w:r>
      <w:r>
        <w:rPr>
          <w:rFonts w:hint="eastAsia" w:ascii="宋体" w:hAnsi="宋体" w:eastAsia="宋体" w:cs="宋体"/>
          <w:sz w:val="24"/>
          <w:szCs w:val="24"/>
          <w:lang w:val="en-US" w:eastAsia="zh-CN"/>
        </w:rPr>
        <w:t>L</w:t>
      </w:r>
      <w:r>
        <w:rPr>
          <w:rFonts w:hint="eastAsia" w:ascii="宋体" w:hAnsi="宋体" w:eastAsia="宋体" w:cs="宋体"/>
          <w:sz w:val="24"/>
          <w:szCs w:val="24"/>
        </w:rPr>
        <w:t>/m</w:t>
      </w:r>
      <w:r>
        <w:rPr>
          <w:rFonts w:hint="eastAsia" w:ascii="宋体" w:hAnsi="宋体" w:eastAsia="宋体" w:cs="宋体"/>
          <w:sz w:val="24"/>
          <w:szCs w:val="24"/>
          <w:vertAlign w:val="superscript"/>
        </w:rPr>
        <w:t>3</w:t>
      </w:r>
      <w:r>
        <w:rPr>
          <w:rFonts w:hint="eastAsia" w:ascii="宋体" w:hAnsi="宋体" w:eastAsia="宋体" w:cs="宋体"/>
          <w:sz w:val="24"/>
          <w:szCs w:val="24"/>
        </w:rPr>
        <w:t>，响应时间1s，面风速偏差≤±20％，噪声≤60dB（A）</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2.2</w:t>
      </w:r>
      <w:r>
        <w:rPr>
          <w:rFonts w:hint="eastAsia" w:ascii="宋体" w:hAnsi="宋体" w:eastAsia="宋体" w:cs="宋体"/>
          <w:sz w:val="24"/>
          <w:szCs w:val="24"/>
        </w:rPr>
        <w:t>房间最小换气次数——适当的换气量控制，化学实验室换气次数不小于8次/小时，紧急通风或事故通风时换气次数不小于12次/小时。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2.3</w:t>
      </w:r>
      <w:r>
        <w:rPr>
          <w:rFonts w:hint="eastAsia" w:ascii="宋体" w:hAnsi="宋体" w:eastAsia="宋体" w:cs="宋体"/>
          <w:sz w:val="24"/>
          <w:szCs w:val="24"/>
        </w:rPr>
        <w:t>为实验室提供安全的工作环境，并满足一定的舒适性要求。</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3、系统控制目标与风量设计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bookmarkStart w:id="84" w:name="_Toc426027544"/>
      <w:r>
        <w:rPr>
          <w:rFonts w:hint="eastAsia" w:ascii="宋体" w:hAnsi="宋体" w:eastAsia="宋体" w:cs="宋体"/>
          <w:sz w:val="24"/>
          <w:szCs w:val="24"/>
          <w:lang w:val="en-US" w:eastAsia="zh-CN"/>
        </w:rPr>
        <w:t>3.1</w:t>
      </w:r>
      <w:r>
        <w:rPr>
          <w:rFonts w:hint="eastAsia" w:ascii="宋体" w:hAnsi="宋体" w:eastAsia="宋体" w:cs="宋体"/>
          <w:sz w:val="24"/>
          <w:szCs w:val="24"/>
        </w:rPr>
        <w:t>局部排风控制</w:t>
      </w:r>
      <w:bookmarkEnd w:id="84"/>
      <w:r>
        <w:rPr>
          <w:rFonts w:hint="eastAsia" w:ascii="宋体" w:hAnsi="宋体" w:eastAsia="宋体" w:cs="宋体"/>
          <w:sz w:val="24"/>
          <w:szCs w:val="24"/>
          <w:lang w:eastAsia="zh-CN"/>
        </w:rPr>
        <w:t>：</w:t>
      </w:r>
      <w:r>
        <w:rPr>
          <w:rFonts w:hint="eastAsia" w:ascii="宋体" w:hAnsi="宋体" w:eastAsia="宋体" w:cs="宋体"/>
          <w:sz w:val="24"/>
          <w:szCs w:val="24"/>
        </w:rPr>
        <w:t>通风柜面风速保持在0.3-0.7m/s左右。通风柜控制的响应时间在1s以内，面风速达到稳定时间在3s以内。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3.2</w:t>
      </w:r>
      <w:r>
        <w:rPr>
          <w:rFonts w:hint="eastAsia" w:ascii="宋体" w:hAnsi="宋体" w:eastAsia="宋体" w:cs="宋体"/>
          <w:sz w:val="24"/>
          <w:szCs w:val="24"/>
        </w:rPr>
        <w:t>设计风量：1.5米台式通风柜设计排风量： 300-1500CMH</w:t>
      </w:r>
      <w:r>
        <w:rPr>
          <w:rFonts w:hint="eastAsia" w:ascii="宋体" w:hAnsi="宋体" w:eastAsia="宋体" w:cs="宋体"/>
          <w:sz w:val="24"/>
          <w:szCs w:val="24"/>
          <w:lang w:eastAsia="zh-CN"/>
        </w:rPr>
        <w:t>；</w:t>
      </w:r>
      <w:r>
        <w:rPr>
          <w:rFonts w:hint="eastAsia" w:ascii="宋体" w:hAnsi="宋体" w:eastAsia="宋体" w:cs="宋体"/>
          <w:sz w:val="24"/>
          <w:szCs w:val="24"/>
        </w:rPr>
        <w:t>1.8米台式通风柜设计排风量： 400-1800CMH</w:t>
      </w:r>
      <w:r>
        <w:rPr>
          <w:rFonts w:hint="eastAsia" w:ascii="宋体" w:hAnsi="宋体" w:eastAsia="宋体" w:cs="宋体"/>
          <w:sz w:val="24"/>
          <w:szCs w:val="24"/>
          <w:lang w:eastAsia="zh-CN"/>
        </w:rPr>
        <w:t>；</w:t>
      </w:r>
      <w:r>
        <w:rPr>
          <w:rFonts w:hint="eastAsia" w:ascii="宋体" w:hAnsi="宋体" w:eastAsia="宋体" w:cs="宋体"/>
          <w:sz w:val="24"/>
          <w:szCs w:val="24"/>
        </w:rPr>
        <w:t>试剂柜设计风量：100CMH</w:t>
      </w:r>
      <w:r>
        <w:rPr>
          <w:rFonts w:hint="eastAsia" w:ascii="宋体" w:hAnsi="宋体" w:eastAsia="宋体" w:cs="宋体"/>
          <w:sz w:val="24"/>
          <w:szCs w:val="24"/>
          <w:lang w:eastAsia="zh-CN"/>
        </w:rPr>
        <w:t>；</w:t>
      </w:r>
      <w:r>
        <w:rPr>
          <w:rFonts w:hint="eastAsia" w:ascii="宋体" w:hAnsi="宋体" w:eastAsia="宋体" w:cs="宋体"/>
          <w:sz w:val="24"/>
          <w:szCs w:val="24"/>
        </w:rPr>
        <w:t>万向抽气罩设计风量：300CMH</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原子</w:t>
      </w:r>
      <w:r>
        <w:rPr>
          <w:rFonts w:hint="eastAsia" w:ascii="宋体" w:hAnsi="宋体" w:eastAsia="宋体" w:cs="宋体"/>
          <w:sz w:val="24"/>
          <w:szCs w:val="24"/>
        </w:rPr>
        <w:t>抽气罩设计风量：</w:t>
      </w:r>
      <w:r>
        <w:rPr>
          <w:rFonts w:hint="eastAsia" w:ascii="宋体" w:hAnsi="宋体" w:eastAsia="宋体" w:cs="宋体"/>
          <w:sz w:val="24"/>
          <w:szCs w:val="24"/>
          <w:lang w:val="en-US" w:eastAsia="zh-CN"/>
        </w:rPr>
        <w:t>5</w:t>
      </w:r>
      <w:r>
        <w:rPr>
          <w:rFonts w:hint="eastAsia" w:ascii="宋体" w:hAnsi="宋体" w:eastAsia="宋体" w:cs="宋体"/>
          <w:sz w:val="24"/>
          <w:szCs w:val="24"/>
        </w:rPr>
        <w:t>00CMH</w:t>
      </w:r>
      <w:bookmarkEnd w:id="83"/>
      <w:bookmarkStart w:id="85" w:name="_Toc447734489"/>
    </w:p>
    <w:bookmarkEnd w:id="85"/>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bookmarkStart w:id="86" w:name="_Toc447734492"/>
      <w:r>
        <w:rPr>
          <w:rFonts w:hint="eastAsia" w:ascii="宋体" w:hAnsi="宋体" w:eastAsia="宋体" w:cs="宋体"/>
          <w:sz w:val="24"/>
          <w:szCs w:val="24"/>
          <w:lang w:val="en-US" w:eastAsia="zh-CN"/>
        </w:rPr>
        <w:t>4、排风风机</w:t>
      </w:r>
      <w:bookmarkEnd w:id="8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4.1控制原理说明: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4.1.1</w:t>
      </w:r>
      <w:r>
        <w:rPr>
          <w:rFonts w:hint="eastAsia" w:ascii="宋体" w:hAnsi="宋体" w:eastAsia="宋体" w:cs="宋体"/>
          <w:sz w:val="24"/>
          <w:szCs w:val="24"/>
        </w:rPr>
        <w:t>采用定静压控制方法，控制排风机组变频运转。根据风机功率特性，当风量增大或减小时，风机管道静压相应减小或增大，因此在风机排风主管道上设置管道静压传感器，通过控制器和变频器调节风机转速，维持管道静压，从而调节系统在原静压状态运行，当系统风量减少时同时可达到变频节能的目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4.2控制方式实现：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4.2.1</w:t>
      </w:r>
      <w:r>
        <w:rPr>
          <w:rFonts w:hint="eastAsia" w:ascii="宋体" w:hAnsi="宋体" w:eastAsia="宋体" w:cs="宋体"/>
          <w:sz w:val="24"/>
          <w:szCs w:val="24"/>
        </w:rPr>
        <w:t>每条排风道末端的排风机组包括一台排风机，使用风机变频控制，实现智能动态变风量控制，并按照“联备结合”的方式运行。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4.2.2</w:t>
      </w:r>
      <w:r>
        <w:rPr>
          <w:rFonts w:hint="eastAsia" w:ascii="宋体" w:hAnsi="宋体" w:eastAsia="宋体" w:cs="宋体"/>
          <w:sz w:val="24"/>
          <w:szCs w:val="24"/>
        </w:rPr>
        <w:t>控制器收到一个来自BMS的指令或一个干接点信号输入后，从预定的最低频率开始启动，连续不断地增加输出信号直到风机地运行速度能满足系统对静压的要求。控制器探测到静压变化之后，立即改变风机转速维持风道到静压的设定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4.2.3</w:t>
      </w:r>
      <w:r>
        <w:rPr>
          <w:rFonts w:hint="eastAsia" w:ascii="宋体" w:hAnsi="宋体" w:eastAsia="宋体" w:cs="宋体"/>
          <w:sz w:val="24"/>
          <w:szCs w:val="24"/>
        </w:rPr>
        <w:t>排风控制系统由一套PLC可编程控制器，一个管道静压传感器、1台风机变频器，一个变频控制柜（箱）组成。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bookmarkStart w:id="87" w:name="OLE_LINK5"/>
      <w:bookmarkStart w:id="88" w:name="OLE_LINK6"/>
      <w:r>
        <w:rPr>
          <w:rFonts w:hint="eastAsia" w:ascii="宋体" w:hAnsi="宋体" w:eastAsia="宋体" w:cs="宋体"/>
          <w:sz w:val="24"/>
          <w:szCs w:val="24"/>
          <w:lang w:val="en-US" w:eastAsia="zh-CN"/>
        </w:rPr>
        <w:t>4.3系统具有以下功能特性：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4.3.1</w:t>
      </w:r>
      <w:r>
        <w:rPr>
          <w:rFonts w:hint="eastAsia" w:ascii="宋体" w:hAnsi="宋体" w:eastAsia="宋体" w:cs="宋体"/>
          <w:sz w:val="24"/>
          <w:szCs w:val="24"/>
        </w:rPr>
        <w:t>直接测量并上传当前管道内的静压值。</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4.3.2</w:t>
      </w:r>
      <w:r>
        <w:rPr>
          <w:rFonts w:hint="eastAsia" w:ascii="宋体" w:hAnsi="宋体" w:eastAsia="宋体" w:cs="宋体"/>
          <w:sz w:val="24"/>
          <w:szCs w:val="24"/>
        </w:rPr>
        <w:t>实时监测排风机组管道静压，能在0.1秒内检测到静压变化并发出控制信号，自动调节风机的转速以保证测量点的静压稳定不变。在排风终端不变化的状态下，频率波动&lt;0.5Hz；当排风终端变化时调整时间&lt;4秒。</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4.3.3</w:t>
      </w:r>
      <w:r>
        <w:rPr>
          <w:rFonts w:hint="eastAsia" w:ascii="宋体" w:hAnsi="宋体" w:eastAsia="宋体" w:cs="宋体"/>
          <w:sz w:val="24"/>
          <w:szCs w:val="24"/>
        </w:rPr>
        <w:t>自动调节风机的转速以保证测量点的静压稳定不变。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4.3.4</w:t>
      </w:r>
      <w:r>
        <w:rPr>
          <w:rFonts w:hint="eastAsia" w:ascii="宋体" w:hAnsi="宋体" w:eastAsia="宋体" w:cs="宋体"/>
          <w:sz w:val="24"/>
          <w:szCs w:val="24"/>
        </w:rPr>
        <w:t>不正常情况下，声光报警。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4.3.5</w:t>
      </w:r>
      <w:r>
        <w:rPr>
          <w:rFonts w:hint="eastAsia" w:ascii="宋体" w:hAnsi="宋体" w:eastAsia="宋体" w:cs="宋体"/>
          <w:sz w:val="24"/>
          <w:szCs w:val="24"/>
        </w:rPr>
        <w:t>控制风机各项运行模式的自动切换，包括工变频切换、远程启停、模式切换等。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4.3.6</w:t>
      </w:r>
      <w:r>
        <w:rPr>
          <w:rFonts w:hint="eastAsia" w:ascii="宋体" w:hAnsi="宋体" w:eastAsia="宋体" w:cs="宋体"/>
          <w:sz w:val="24"/>
          <w:szCs w:val="24"/>
        </w:rPr>
        <w:t>具备夜间工作模式。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4.3.7</w:t>
      </w:r>
      <w:r>
        <w:rPr>
          <w:rFonts w:hint="eastAsia" w:ascii="宋体" w:hAnsi="宋体" w:eastAsia="宋体" w:cs="宋体"/>
          <w:sz w:val="24"/>
          <w:szCs w:val="24"/>
        </w:rPr>
        <w:t>就地键盘操作及功能显示屏。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4.3.8</w:t>
      </w:r>
      <w:r>
        <w:rPr>
          <w:rFonts w:hint="eastAsia" w:ascii="宋体" w:hAnsi="宋体" w:eastAsia="宋体" w:cs="宋体"/>
          <w:sz w:val="24"/>
          <w:szCs w:val="24"/>
        </w:rPr>
        <w:t>具备意外紧急排放功能。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4.3.9</w:t>
      </w:r>
      <w:r>
        <w:rPr>
          <w:rFonts w:hint="eastAsia" w:ascii="宋体" w:hAnsi="宋体" w:eastAsia="宋体" w:cs="宋体"/>
          <w:sz w:val="24"/>
          <w:szCs w:val="24"/>
        </w:rPr>
        <w:t>面板显示管道内的压力变化。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4.3.10</w:t>
      </w:r>
      <w:r>
        <w:rPr>
          <w:rFonts w:hint="eastAsia" w:ascii="宋体" w:hAnsi="宋体" w:eastAsia="宋体" w:cs="宋体"/>
          <w:sz w:val="24"/>
          <w:szCs w:val="24"/>
        </w:rPr>
        <w:t>支持就地控制与远程监控功能</w:t>
      </w:r>
      <w:bookmarkEnd w:id="87"/>
      <w:bookmarkEnd w:id="88"/>
      <w:r>
        <w:rPr>
          <w:rFonts w:hint="eastAsia" w:ascii="宋体" w:hAnsi="宋体" w:eastAsia="宋体" w:cs="宋体"/>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5、新风机组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5.1主要控制内容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FF0000"/>
          <w:sz w:val="24"/>
          <w:szCs w:val="24"/>
        </w:rPr>
      </w:pPr>
      <w:r>
        <w:rPr>
          <w:rFonts w:hint="eastAsia" w:ascii="宋体" w:hAnsi="宋体" w:eastAsia="宋体" w:cs="宋体"/>
          <w:color w:val="auto"/>
          <w:sz w:val="24"/>
          <w:szCs w:val="24"/>
          <w:lang w:val="en-US" w:eastAsia="zh-CN"/>
        </w:rPr>
        <w:t>5.1.1</w:t>
      </w:r>
      <w:r>
        <w:rPr>
          <w:rFonts w:hint="eastAsia" w:ascii="宋体" w:hAnsi="宋体" w:eastAsia="宋体" w:cs="宋体"/>
          <w:color w:val="auto"/>
          <w:sz w:val="24"/>
          <w:szCs w:val="24"/>
        </w:rPr>
        <w:t>组合式新风机组变频控制系统。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5.2控制目标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5.2.1</w:t>
      </w:r>
      <w:r>
        <w:rPr>
          <w:rFonts w:hint="eastAsia" w:ascii="宋体" w:hAnsi="宋体" w:eastAsia="宋体" w:cs="宋体"/>
          <w:color w:val="auto"/>
          <w:sz w:val="24"/>
          <w:szCs w:val="24"/>
        </w:rPr>
        <w:t>组合式新风空调机组的控制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5.2.2</w:t>
      </w:r>
      <w:r>
        <w:rPr>
          <w:rFonts w:hint="eastAsia" w:ascii="宋体" w:hAnsi="宋体" w:eastAsia="宋体" w:cs="宋体"/>
          <w:color w:val="auto"/>
          <w:sz w:val="24"/>
          <w:szCs w:val="24"/>
        </w:rPr>
        <w:t>初效过滤段压差报警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5.2.3</w:t>
      </w:r>
      <w:r>
        <w:rPr>
          <w:rFonts w:hint="eastAsia" w:ascii="宋体" w:hAnsi="宋体" w:eastAsia="宋体" w:cs="宋体"/>
          <w:color w:val="auto"/>
          <w:sz w:val="24"/>
          <w:szCs w:val="24"/>
        </w:rPr>
        <w:t>新风机运行状态检测及故障报警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5.2.4</w:t>
      </w:r>
      <w:r>
        <w:rPr>
          <w:rFonts w:hint="eastAsia" w:ascii="宋体" w:hAnsi="宋体" w:eastAsia="宋体" w:cs="宋体"/>
          <w:color w:val="auto"/>
          <w:sz w:val="24"/>
          <w:szCs w:val="24"/>
        </w:rPr>
        <w:t>新风机的变频控制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5.2.5</w:t>
      </w:r>
      <w:r>
        <w:rPr>
          <w:rFonts w:hint="eastAsia" w:ascii="宋体" w:hAnsi="宋体" w:eastAsia="宋体" w:cs="宋体"/>
          <w:color w:val="auto"/>
          <w:sz w:val="24"/>
          <w:szCs w:val="24"/>
        </w:rPr>
        <w:t>联锁：新风机与送风阀状态联锁；水阀、与新风机状态联锁。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5.3</w:t>
      </w:r>
      <w:r>
        <w:rPr>
          <w:rFonts w:hint="eastAsia" w:ascii="宋体" w:hAnsi="宋体" w:eastAsia="宋体" w:cs="宋体"/>
          <w:sz w:val="24"/>
          <w:szCs w:val="24"/>
        </w:rPr>
        <w:t>新风机组的控制方案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5.3.1</w:t>
      </w:r>
      <w:r>
        <w:rPr>
          <w:rFonts w:hint="eastAsia" w:ascii="宋体" w:hAnsi="宋体" w:eastAsia="宋体" w:cs="宋体"/>
          <w:sz w:val="24"/>
          <w:szCs w:val="24"/>
        </w:rPr>
        <w:t>初效过滤段压差报警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5.3.2</w:t>
      </w:r>
      <w:r>
        <w:rPr>
          <w:rFonts w:hint="eastAsia" w:ascii="宋体" w:hAnsi="宋体" w:eastAsia="宋体" w:cs="宋体"/>
          <w:sz w:val="24"/>
          <w:szCs w:val="24"/>
        </w:rPr>
        <w:t>在过滤器前后安装压差开关检测初效过滤段的前后压差，若检测压差超出过滤器标定压差范围，在工作站中显示过滤器阻塞报警。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5.3.3</w:t>
      </w:r>
      <w:r>
        <w:rPr>
          <w:rFonts w:hint="eastAsia" w:ascii="宋体" w:hAnsi="宋体" w:eastAsia="宋体" w:cs="宋体"/>
          <w:sz w:val="24"/>
          <w:szCs w:val="24"/>
        </w:rPr>
        <w:t>新风机运行状态检测及故障报警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5.3.4</w:t>
      </w:r>
      <w:r>
        <w:rPr>
          <w:rFonts w:hint="eastAsia" w:ascii="宋体" w:hAnsi="宋体" w:eastAsia="宋体" w:cs="宋体"/>
          <w:sz w:val="24"/>
          <w:szCs w:val="24"/>
        </w:rPr>
        <w:t>采用压差开关检测新风机运行状态，冷热水阀均取其位置反馈信号，系统将命令信号与反馈信号相比较，如发现严重超差，则在工作站报警。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5.3.5</w:t>
      </w:r>
      <w:r>
        <w:rPr>
          <w:rFonts w:hint="eastAsia" w:ascii="宋体" w:hAnsi="宋体" w:eastAsia="宋体" w:cs="宋体"/>
          <w:sz w:val="24"/>
          <w:szCs w:val="24"/>
        </w:rPr>
        <w:t>新风机的变频控制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5.3.6</w:t>
      </w:r>
      <w:r>
        <w:rPr>
          <w:rFonts w:hint="eastAsia" w:ascii="宋体" w:hAnsi="宋体" w:eastAsia="宋体" w:cs="宋体"/>
          <w:sz w:val="24"/>
          <w:szCs w:val="24"/>
        </w:rPr>
        <w:t>新风机组为变频控制。根据测量送风管内适宜位置处的静压力，通过变频器控制风机启停及转速，自动调节风机工频以保证测量点的静压稳定不变，达到变频节能的目的。在送风主管道内适宜位置处设置静压传感器，实时监测新风机组管道静压，通过控制器和变频器自动调节新风机组风机转速，维持测量点的静压稳定不变，对静压变化的响应时间小于0.1s，在终端送风阀不变化的状态下，频率波动&lt;0.5Hz；当终端送风阀变化时调整时间&lt;4秒。通过变频器控制启停及转速。转速控制回路的控制目标为各子系统的末端静压（差），使新风系统中的蝶阀的前后压差保持在其正常工作范围内。控制采用PID控制方式，设定目标值现场确定，初始转速现场确定。</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sz w:val="24"/>
          <w:szCs w:val="24"/>
        </w:rPr>
      </w:pPr>
      <w:bookmarkStart w:id="89" w:name="_Toc22530"/>
      <w:r>
        <w:rPr>
          <w:rFonts w:hint="eastAsia" w:ascii="宋体" w:hAnsi="宋体" w:eastAsia="宋体" w:cs="宋体"/>
          <w:b/>
          <w:bCs/>
          <w:sz w:val="24"/>
          <w:szCs w:val="24"/>
          <w:lang w:val="en-US" w:eastAsia="zh-CN"/>
        </w:rPr>
        <w:t>（五）</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实验室暖通系统</w:t>
      </w:r>
      <w:r>
        <w:rPr>
          <w:rFonts w:hint="eastAsia" w:ascii="宋体" w:hAnsi="宋体" w:eastAsia="宋体" w:cs="宋体"/>
          <w:b/>
          <w:bCs/>
          <w:sz w:val="24"/>
          <w:szCs w:val="24"/>
        </w:rPr>
        <w:t>》技术要求</w:t>
      </w:r>
      <w:bookmarkEnd w:id="89"/>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1、实验室排风管道工程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sz w:val="24"/>
          <w:szCs w:val="24"/>
          <w:lang w:val="en-US" w:eastAsia="zh-CN"/>
        </w:rPr>
        <w:t>▲</w:t>
      </w:r>
      <w:r>
        <w:rPr>
          <w:rFonts w:hint="eastAsia" w:ascii="宋体" w:hAnsi="宋体" w:eastAsia="宋体" w:cs="宋体"/>
          <w:color w:val="auto"/>
          <w:sz w:val="24"/>
          <w:szCs w:val="24"/>
          <w:lang w:val="en-US" w:eastAsia="zh-CN"/>
        </w:rPr>
        <w:t>1.1</w:t>
      </w:r>
      <w:r>
        <w:rPr>
          <w:rFonts w:hint="eastAsia" w:ascii="宋体" w:hAnsi="宋体" w:eastAsia="宋体" w:cs="宋体"/>
          <w:color w:val="auto"/>
          <w:sz w:val="24"/>
          <w:szCs w:val="24"/>
        </w:rPr>
        <w:t>排风管道采用优质耐酸碱腐蚀的</w:t>
      </w:r>
      <w:r>
        <w:rPr>
          <w:rFonts w:hint="eastAsia" w:ascii="宋体" w:hAnsi="宋体" w:eastAsia="宋体" w:cs="宋体"/>
          <w:color w:val="auto"/>
          <w:sz w:val="24"/>
          <w:szCs w:val="24"/>
          <w:lang w:val="en-US" w:eastAsia="zh-CN"/>
        </w:rPr>
        <w:t>阻</w:t>
      </w:r>
      <w:r>
        <w:rPr>
          <w:rFonts w:hint="eastAsia" w:ascii="宋体" w:hAnsi="宋体" w:eastAsia="宋体" w:cs="宋体"/>
          <w:color w:val="auto"/>
          <w:sz w:val="24"/>
          <w:szCs w:val="24"/>
        </w:rPr>
        <w:t>燃型</w:t>
      </w:r>
      <w:r>
        <w:rPr>
          <w:rFonts w:hint="eastAsia" w:ascii="宋体" w:hAnsi="宋体" w:eastAsia="宋体" w:cs="宋体"/>
          <w:color w:val="auto"/>
          <w:sz w:val="24"/>
          <w:szCs w:val="24"/>
          <w:lang w:val="en-US" w:eastAsia="zh-CN"/>
        </w:rPr>
        <w:t>PP均</w:t>
      </w:r>
      <w:r>
        <w:rPr>
          <w:rFonts w:hint="eastAsia" w:ascii="宋体" w:hAnsi="宋体" w:eastAsia="宋体" w:cs="宋体"/>
          <w:color w:val="auto"/>
          <w:sz w:val="24"/>
          <w:szCs w:val="24"/>
        </w:rPr>
        <w:t>采用</w:t>
      </w:r>
      <w:r>
        <w:rPr>
          <w:rFonts w:hint="eastAsia" w:ascii="宋体" w:hAnsi="宋体" w:eastAsia="宋体" w:cs="宋体"/>
          <w:color w:val="auto"/>
          <w:sz w:val="24"/>
          <w:szCs w:val="24"/>
          <w:lang w:val="en-US" w:eastAsia="zh-CN"/>
        </w:rPr>
        <w:t>PP</w:t>
      </w:r>
      <w:r>
        <w:rPr>
          <w:rFonts w:hint="eastAsia" w:ascii="宋体" w:hAnsi="宋体" w:eastAsia="宋体" w:cs="宋体"/>
          <w:color w:val="auto"/>
          <w:sz w:val="24"/>
          <w:szCs w:val="24"/>
        </w:rPr>
        <w:t>材质，需加风阀及控制阀</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风管及风阀必须提供具有CMA的GB24841-2012质量检测报告及UL94-2020材质阻燃检测报告并加盖鲜章</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color w:val="auto"/>
          <w:sz w:val="24"/>
          <w:szCs w:val="24"/>
          <w:lang w:val="en-US" w:eastAsia="zh-CN"/>
        </w:rPr>
        <w:t>1.2</w:t>
      </w:r>
      <w:r>
        <w:rPr>
          <w:rFonts w:hint="eastAsia" w:ascii="宋体" w:hAnsi="宋体" w:eastAsia="宋体" w:cs="宋体"/>
          <w:color w:val="auto"/>
          <w:sz w:val="24"/>
          <w:szCs w:val="24"/>
        </w:rPr>
        <w:t>当排风管道通过不同防火分区时需</w:t>
      </w:r>
      <w:r>
        <w:rPr>
          <w:rFonts w:hint="eastAsia" w:ascii="宋体" w:hAnsi="宋体" w:eastAsia="宋体" w:cs="宋体"/>
          <w:color w:val="auto"/>
          <w:sz w:val="24"/>
          <w:szCs w:val="24"/>
          <w:lang w:val="en-US" w:eastAsia="zh-CN"/>
        </w:rPr>
        <w:t>材质</w:t>
      </w:r>
      <w:r>
        <w:rPr>
          <w:rFonts w:hint="eastAsia" w:ascii="宋体" w:hAnsi="宋体" w:eastAsia="宋体" w:cs="宋体"/>
          <w:color w:val="auto"/>
          <w:sz w:val="24"/>
          <w:szCs w:val="24"/>
        </w:rPr>
        <w:t>加工制作而成</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加工制作方法及安装按照《通风与空调工程施工及验收规范》（GB50243-2002）的规定确定。</w:t>
      </w:r>
      <w:r>
        <w:rPr>
          <w:rFonts w:hint="eastAsia" w:ascii="宋体" w:hAnsi="宋体" w:eastAsia="宋体" w:cs="宋体"/>
          <w:color w:val="auto"/>
          <w:sz w:val="24"/>
          <w:szCs w:val="24"/>
          <w:lang w:val="en-US" w:eastAsia="zh-CN"/>
        </w:rPr>
        <w:t>本项目</w:t>
      </w:r>
      <w:r>
        <w:rPr>
          <w:rFonts w:hint="eastAsia" w:ascii="宋体" w:hAnsi="宋体" w:eastAsia="宋体" w:cs="宋体"/>
          <w:color w:val="auto"/>
          <w:sz w:val="24"/>
          <w:szCs w:val="24"/>
        </w:rPr>
        <w:t>风管</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风阀</w:t>
      </w:r>
      <w:r>
        <w:rPr>
          <w:rFonts w:hint="eastAsia" w:ascii="宋体" w:hAnsi="宋体" w:eastAsia="宋体" w:cs="宋体"/>
          <w:color w:val="auto"/>
          <w:sz w:val="24"/>
          <w:szCs w:val="24"/>
        </w:rPr>
        <w:t>设计防火阀，防火阀采用70℃常开防火阀，所有防火阀均带消防信号输出，防火阀需提供消防认证。一般情况下，防火阀的安装依据</w:t>
      </w:r>
      <w:r>
        <w:rPr>
          <w:rFonts w:hint="eastAsia" w:ascii="宋体" w:hAnsi="宋体" w:eastAsia="宋体" w:cs="宋体"/>
          <w:sz w:val="24"/>
          <w:szCs w:val="24"/>
        </w:rPr>
        <w:t>图纸；但是施工方应根据现场情况相应的防火要求设计、安装防火阀。</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1.3</w:t>
      </w:r>
      <w:r>
        <w:rPr>
          <w:rFonts w:hint="eastAsia" w:ascii="宋体" w:hAnsi="宋体" w:eastAsia="宋体" w:cs="宋体"/>
          <w:sz w:val="24"/>
          <w:szCs w:val="24"/>
        </w:rPr>
        <w:t>所有水平或垂直的风管，必须设置必要的支、吊或托架，其构造形式由安装单位在保证牢固、可靠的原则下根据现场情况选定，详见《国标风管支吊架》03K132，管架与楼板之间采用膨胀螺栓固定。风管和设备都应配置相应的支吊架和减震器，保证系统运行时不产生震动，确保实验室内的噪音满足要求（小于60分贝）；风管支架安装间距不超过2米。</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1.4</w:t>
      </w:r>
      <w:r>
        <w:rPr>
          <w:rFonts w:hint="eastAsia" w:ascii="宋体" w:hAnsi="宋体" w:eastAsia="宋体" w:cs="宋体"/>
          <w:sz w:val="24"/>
          <w:szCs w:val="24"/>
        </w:rPr>
        <w:t>风管上的可拆卸接口不得设置在墙体或楼板内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1.4.1</w:t>
      </w:r>
      <w:r>
        <w:rPr>
          <w:rFonts w:hint="eastAsia" w:ascii="宋体" w:hAnsi="宋体" w:eastAsia="宋体" w:cs="宋体"/>
          <w:sz w:val="24"/>
          <w:szCs w:val="24"/>
        </w:rPr>
        <w:t>安装调节阀、蝶阀（防腐材料制作而成）、70℃常开防火阀等调节配件时，必须注意将操作手柄配置在便于操作的位置，防火阀安装时气流方向应正确，保证阀板转动灵活，连接风管不变形，安装时应设有单独的支吊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1.4.2</w:t>
      </w:r>
      <w:r>
        <w:rPr>
          <w:rFonts w:hint="eastAsia" w:ascii="宋体" w:hAnsi="宋体" w:eastAsia="宋体" w:cs="宋体"/>
          <w:sz w:val="24"/>
          <w:szCs w:val="24"/>
        </w:rPr>
        <w:t>支托吊架的安装：吊架的吊铁采用角钢或槽钢制成；斜撑的材料为角钢；吊杆采用圆钢；扁铁用来制作抱箍。支架、托吊架制作完毕后，应进行除锈，刷一遍防锈漆。风管的吊点应根据吊架的形式设置，采用膨胀螺栓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1.5</w:t>
      </w:r>
      <w:r>
        <w:rPr>
          <w:rFonts w:hint="eastAsia" w:ascii="宋体" w:hAnsi="宋体" w:eastAsia="宋体" w:cs="宋体"/>
          <w:sz w:val="24"/>
          <w:szCs w:val="24"/>
        </w:rPr>
        <w:t>排风风管连接采用法兰式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1.5.1</w:t>
      </w:r>
      <w:r>
        <w:rPr>
          <w:rFonts w:hint="eastAsia" w:ascii="宋体" w:hAnsi="宋体" w:eastAsia="宋体" w:cs="宋体"/>
          <w:sz w:val="24"/>
          <w:szCs w:val="24"/>
        </w:rPr>
        <w:t>风管穿过需要封闭的防火防爆墙或楼板时，应设预埋管或防护套，其钢板厚度不应小于1.6mm。对于保温风管，保护壳与风管之间的间隙尺寸为保温材料厚度，保护壳端面与墙或楼板底平齐，比楼板面层高30mm。风管与防护套管之间，应用不燃且对人体无危害的柔性材料封堵。风管穿楼板处一般由土建做向上翻口，宜在翻口处设风管支座，结合预留孔封板一起施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1.5.2</w:t>
      </w:r>
      <w:r>
        <w:rPr>
          <w:rFonts w:hint="eastAsia" w:ascii="宋体" w:hAnsi="宋体" w:eastAsia="宋体" w:cs="宋体"/>
          <w:sz w:val="24"/>
          <w:szCs w:val="24"/>
        </w:rPr>
        <w:t>软管连接：主要用于排风风管与排风设备间（通风柜，万向抽气罩，不锈钢抽风罩等）的连接。软管两端套在连接的管外，然后用特制管卡或不锈钢抱箍把软管箍紧。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1.6</w:t>
      </w:r>
      <w:r>
        <w:rPr>
          <w:rFonts w:hint="eastAsia" w:ascii="宋体" w:hAnsi="宋体" w:eastAsia="宋体" w:cs="宋体"/>
          <w:color w:val="auto"/>
          <w:sz w:val="24"/>
          <w:szCs w:val="24"/>
        </w:rPr>
        <w:t>通风管道、辅材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1.5.1</w:t>
      </w:r>
      <w:r>
        <w:rPr>
          <w:rFonts w:hint="eastAsia" w:ascii="宋体" w:hAnsi="宋体" w:eastAsia="宋体" w:cs="宋体"/>
          <w:color w:val="auto"/>
          <w:sz w:val="24"/>
          <w:szCs w:val="24"/>
        </w:rPr>
        <w:t xml:space="preserve">为了保证实验室的试验环境安全，实验室排风管制作PP材料，必须保证全新材料制造。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1.5.2</w:t>
      </w:r>
      <w:r>
        <w:rPr>
          <w:rFonts w:hint="eastAsia" w:ascii="宋体" w:hAnsi="宋体" w:eastAsia="宋体" w:cs="宋体"/>
          <w:color w:val="auto"/>
          <w:sz w:val="24"/>
          <w:szCs w:val="24"/>
        </w:rPr>
        <w:t>风管材料应符合质量要求，有出厂合格证明书或质量鉴定文件；风管板材不应低于以下规格（单位：mm）：</w:t>
      </w:r>
      <w:r>
        <w:rPr>
          <w:rFonts w:hint="eastAsia" w:ascii="宋体" w:hAnsi="宋体" w:eastAsia="宋体" w:cs="宋体"/>
          <w:color w:val="auto"/>
          <w:sz w:val="24"/>
          <w:szCs w:val="24"/>
          <w:lang w:val="en-US" w:eastAsia="zh-CN"/>
        </w:rPr>
        <w:t>按清单厚度执行，</w:t>
      </w:r>
      <w:r>
        <w:rPr>
          <w:rFonts w:hint="eastAsia" w:ascii="宋体" w:hAnsi="宋体" w:eastAsia="宋体" w:cs="宋体"/>
          <w:color w:val="auto"/>
          <w:sz w:val="24"/>
          <w:szCs w:val="24"/>
        </w:rPr>
        <w:t>小于500风管两头法兰，大于500小于800三道法兰加固，</w:t>
      </w:r>
      <w:r>
        <w:rPr>
          <w:rFonts w:hint="eastAsia" w:ascii="宋体" w:hAnsi="宋体" w:eastAsia="宋体" w:cs="宋体"/>
          <w:color w:val="auto"/>
          <w:sz w:val="24"/>
          <w:szCs w:val="24"/>
          <w:lang w:val="en-US" w:eastAsia="zh-CN"/>
        </w:rPr>
        <w:t>正常内支撑加固，</w:t>
      </w:r>
      <w:r>
        <w:rPr>
          <w:rFonts w:hint="eastAsia" w:ascii="宋体" w:hAnsi="宋体" w:eastAsia="宋体" w:cs="宋体"/>
          <w:color w:val="auto"/>
          <w:sz w:val="24"/>
          <w:szCs w:val="24"/>
        </w:rPr>
        <w:t>大于800小于2000风管三道法兰外加内支撑2道，需确保风管的正常使用，因风管质量原因造成的返工损失由供方承担；风管厚度按国家相关标准</w:t>
      </w:r>
      <w:r>
        <w:rPr>
          <w:rFonts w:hint="eastAsia" w:ascii="宋体" w:hAnsi="宋体" w:eastAsia="宋体" w:cs="宋体"/>
          <w:color w:val="auto"/>
          <w:sz w:val="24"/>
          <w:szCs w:val="24"/>
          <w:lang w:eastAsia="zh-CN"/>
        </w:rPr>
        <w:t>。</w:t>
      </w:r>
    </w:p>
    <w:tbl>
      <w:tblPr>
        <w:tblStyle w:val="17"/>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29"/>
        <w:gridCol w:w="1666"/>
        <w:gridCol w:w="1940"/>
        <w:gridCol w:w="15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exact"/>
          <w:jc w:val="center"/>
        </w:trPr>
        <w:tc>
          <w:tcPr>
            <w:tcW w:w="369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圆形风管</w:t>
            </w:r>
          </w:p>
        </w:tc>
        <w:tc>
          <w:tcPr>
            <w:tcW w:w="351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矩形风管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exact"/>
          <w:jc w:val="center"/>
        </w:trPr>
        <w:tc>
          <w:tcPr>
            <w:tcW w:w="20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直径D</w:t>
            </w:r>
          </w:p>
        </w:tc>
        <w:tc>
          <w:tcPr>
            <w:tcW w:w="166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板材厚度</w:t>
            </w:r>
          </w:p>
        </w:tc>
        <w:tc>
          <w:tcPr>
            <w:tcW w:w="19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长边尺寸b</w:t>
            </w:r>
          </w:p>
        </w:tc>
        <w:tc>
          <w:tcPr>
            <w:tcW w:w="157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板材厚度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exact"/>
          <w:jc w:val="center"/>
        </w:trPr>
        <w:tc>
          <w:tcPr>
            <w:tcW w:w="20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D≤320</w:t>
            </w:r>
          </w:p>
        </w:tc>
        <w:tc>
          <w:tcPr>
            <w:tcW w:w="166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.0</w:t>
            </w:r>
          </w:p>
        </w:tc>
        <w:tc>
          <w:tcPr>
            <w:tcW w:w="19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b≤320</w:t>
            </w:r>
          </w:p>
        </w:tc>
        <w:tc>
          <w:tcPr>
            <w:tcW w:w="157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exact"/>
          <w:jc w:val="center"/>
        </w:trPr>
        <w:tc>
          <w:tcPr>
            <w:tcW w:w="20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320&lt;D≤630</w:t>
            </w:r>
          </w:p>
        </w:tc>
        <w:tc>
          <w:tcPr>
            <w:tcW w:w="166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.0</w:t>
            </w:r>
          </w:p>
        </w:tc>
        <w:tc>
          <w:tcPr>
            <w:tcW w:w="19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320&lt;b≤500</w:t>
            </w:r>
          </w:p>
        </w:tc>
        <w:tc>
          <w:tcPr>
            <w:tcW w:w="157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exact"/>
          <w:jc w:val="center"/>
        </w:trPr>
        <w:tc>
          <w:tcPr>
            <w:tcW w:w="20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630&lt;D≤1000</w:t>
            </w:r>
          </w:p>
        </w:tc>
        <w:tc>
          <w:tcPr>
            <w:tcW w:w="166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0</w:t>
            </w:r>
          </w:p>
        </w:tc>
        <w:tc>
          <w:tcPr>
            <w:tcW w:w="19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500&lt;b≤800</w:t>
            </w:r>
          </w:p>
        </w:tc>
        <w:tc>
          <w:tcPr>
            <w:tcW w:w="157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exact"/>
          <w:jc w:val="center"/>
        </w:trPr>
        <w:tc>
          <w:tcPr>
            <w:tcW w:w="20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1000&lt;D≤2000</w:t>
            </w:r>
          </w:p>
        </w:tc>
        <w:tc>
          <w:tcPr>
            <w:tcW w:w="166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rPr>
              <w:t>.0</w:t>
            </w:r>
          </w:p>
        </w:tc>
        <w:tc>
          <w:tcPr>
            <w:tcW w:w="19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800&lt;b≤1250</w:t>
            </w:r>
          </w:p>
        </w:tc>
        <w:tc>
          <w:tcPr>
            <w:tcW w:w="157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exact"/>
          <w:jc w:val="center"/>
        </w:trPr>
        <w:tc>
          <w:tcPr>
            <w:tcW w:w="20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p>
        </w:tc>
        <w:tc>
          <w:tcPr>
            <w:tcW w:w="166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p>
        </w:tc>
        <w:tc>
          <w:tcPr>
            <w:tcW w:w="19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1250&lt;b≤2000</w:t>
            </w:r>
          </w:p>
        </w:tc>
        <w:tc>
          <w:tcPr>
            <w:tcW w:w="157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10</w:t>
            </w:r>
            <w:r>
              <w:rPr>
                <w:rFonts w:hint="eastAsia" w:ascii="宋体" w:hAnsi="宋体" w:eastAsia="宋体" w:cs="宋体"/>
                <w:color w:val="auto"/>
                <w:sz w:val="24"/>
                <w:szCs w:val="24"/>
              </w:rPr>
              <w:t>.0</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1.5.3</w:t>
      </w:r>
      <w:r>
        <w:rPr>
          <w:rFonts w:hint="eastAsia" w:ascii="宋体" w:hAnsi="宋体" w:eastAsia="宋体" w:cs="宋体"/>
          <w:color w:val="auto"/>
          <w:sz w:val="24"/>
          <w:szCs w:val="24"/>
        </w:rPr>
        <w:t>矩形风管必须为自动焊接且纵向焊缝≤2条，焊缝应饱满，焊条排列应均匀、美观，保障焊缝不开裂，宽边大于600mm的风管需适当加固。风管之间连接采用焊接方式，风管与阀门相连允许法兰结合（必须加5mm法兰胶垫，连接螺栓为塑料材质）。风管制作完毕后应使用中性清洗液将内表面清洗干净，并用塑料薄膜及胶带封口以备安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1.7</w:t>
      </w:r>
      <w:r>
        <w:rPr>
          <w:rFonts w:hint="eastAsia" w:ascii="宋体" w:hAnsi="宋体" w:eastAsia="宋体" w:cs="宋体"/>
          <w:color w:val="auto"/>
          <w:sz w:val="24"/>
          <w:szCs w:val="24"/>
        </w:rPr>
        <w:t>室外风管保证防腐、耐低温和耐候性能。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1.8</w:t>
      </w:r>
      <w:r>
        <w:rPr>
          <w:rFonts w:hint="eastAsia" w:ascii="宋体" w:hAnsi="宋体" w:eastAsia="宋体" w:cs="宋体"/>
          <w:color w:val="auto"/>
          <w:sz w:val="24"/>
          <w:szCs w:val="24"/>
        </w:rPr>
        <w:t>风管安装应考虑防凝结水并设置凝结水回流装置，水平管应保持一定的坡度，坡向室外立管。风管安装的位置、标高、走向等均应符合设计要求，做到横平竖直，连接法兰的螺栓应均匀拧紧，其螺母在同一侧。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1.9</w:t>
      </w:r>
      <w:r>
        <w:rPr>
          <w:rFonts w:hint="eastAsia" w:ascii="宋体" w:hAnsi="宋体" w:eastAsia="宋体" w:cs="宋体"/>
          <w:color w:val="auto"/>
          <w:sz w:val="24"/>
          <w:szCs w:val="24"/>
        </w:rPr>
        <w:t xml:space="preserve"> 所有风管设置必要支、吊架，管道支架按国标加工制作，要求外形美观、牢固、耐腐。风管水平安装时的固定支架间距应做到：风管直径或长边尺寸≤400mm时，固定间距不应大于3m；风管直径或长边尺寸&gt;400mm时，固定间距不应大于2m。风管垂直安装时，固定间距不应大于2.5m。</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2、消声器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2.1</w:t>
      </w:r>
      <w:r>
        <w:rPr>
          <w:rFonts w:hint="eastAsia" w:ascii="宋体" w:hAnsi="宋体" w:eastAsia="宋体" w:cs="宋体"/>
          <w:sz w:val="24"/>
          <w:szCs w:val="24"/>
        </w:rPr>
        <w:t xml:space="preserve"> 消声器壳体采用不小于10mm厚玻璃钢材质一体成型；或采用不小于10mm厚阻燃PP板焊接成型，所有焊缝需做到两面焊（最后一道焊缝可只焊一面），必须牢固、光滑；消声器整体应有足够的强度，须在系统压差2000Pa下不发生任何变形，不漏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2.2</w:t>
      </w:r>
      <w:r>
        <w:rPr>
          <w:rFonts w:hint="eastAsia" w:ascii="宋体" w:hAnsi="宋体" w:eastAsia="宋体" w:cs="宋体"/>
          <w:sz w:val="24"/>
          <w:szCs w:val="24"/>
        </w:rPr>
        <w:t xml:space="preserve"> 吸声棉采用超细玻璃纤维棉，并用不锈钢丝网加固，吸声棉与穿孔板之间，吸声棉层厚度为100mm，吸声棉层松紧适中、密度均匀铺设，有防止下沉的措施。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2.3</w:t>
      </w:r>
      <w:r>
        <w:rPr>
          <w:rFonts w:hint="eastAsia" w:ascii="宋体" w:hAnsi="宋体" w:eastAsia="宋体" w:cs="宋体"/>
          <w:sz w:val="24"/>
          <w:szCs w:val="24"/>
        </w:rPr>
        <w:t>消声器所有材料均应符合设计规定的防火、防腐要求。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2.4</w:t>
      </w:r>
      <w:r>
        <w:rPr>
          <w:rFonts w:hint="eastAsia" w:ascii="宋体" w:hAnsi="宋体" w:eastAsia="宋体" w:cs="宋体"/>
          <w:sz w:val="24"/>
          <w:szCs w:val="24"/>
        </w:rPr>
        <w:t>消声器要保证排风机运行时有良好的消声效果，满足室内噪音小于60 dB（A）。</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2.4.1</w:t>
      </w:r>
      <w:r>
        <w:rPr>
          <w:rFonts w:hint="eastAsia" w:ascii="宋体" w:hAnsi="宋体" w:eastAsia="宋体" w:cs="宋体"/>
          <w:sz w:val="24"/>
          <w:szCs w:val="24"/>
        </w:rPr>
        <w:t>管道安装完毕后，在标准允许范围内管道遮挡可拆卸式封闭，确保实验室美观。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2.4.2</w:t>
      </w:r>
      <w:r>
        <w:rPr>
          <w:rFonts w:hint="eastAsia" w:ascii="宋体" w:hAnsi="宋体" w:eastAsia="宋体" w:cs="宋体"/>
          <w:sz w:val="24"/>
          <w:szCs w:val="24"/>
        </w:rPr>
        <w:t>其他各项施工要求和未尽事宜，应严格遵守《通风与空调工程施工质量验收规范》（GB50243-2002）的有关规定。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▲2.4.3</w:t>
      </w:r>
      <w:r>
        <w:rPr>
          <w:rFonts w:hint="eastAsia" w:ascii="宋体" w:hAnsi="宋体" w:eastAsia="宋体" w:cs="宋体"/>
          <w:sz w:val="24"/>
          <w:szCs w:val="24"/>
        </w:rPr>
        <w:t>通风系统：风管</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风阀均</w:t>
      </w:r>
      <w:r>
        <w:rPr>
          <w:rFonts w:hint="eastAsia" w:ascii="宋体" w:hAnsi="宋体" w:eastAsia="宋体" w:cs="宋体"/>
          <w:sz w:val="24"/>
          <w:szCs w:val="24"/>
        </w:rPr>
        <w:t>采用</w:t>
      </w:r>
      <w:r>
        <w:rPr>
          <w:rFonts w:hint="eastAsia" w:ascii="宋体" w:hAnsi="宋体" w:eastAsia="宋体" w:cs="宋体"/>
          <w:sz w:val="24"/>
          <w:szCs w:val="24"/>
          <w:lang w:val="en-US" w:eastAsia="zh-CN"/>
        </w:rPr>
        <w:t>PP</w:t>
      </w:r>
      <w:r>
        <w:rPr>
          <w:rFonts w:hint="eastAsia" w:ascii="宋体" w:hAnsi="宋体" w:eastAsia="宋体" w:cs="宋体"/>
          <w:sz w:val="24"/>
          <w:szCs w:val="24"/>
        </w:rPr>
        <w:t>材质，需加风阀及控制阀</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风管及风阀必须提供具有CMA认证的GB24841-2012质量检测报告及材质阻燃检测报告并加盖鲜章</w:t>
      </w:r>
      <w:r>
        <w:rPr>
          <w:rFonts w:hint="eastAsia" w:ascii="宋体" w:hAnsi="宋体" w:eastAsia="宋体" w:cs="宋体"/>
          <w:sz w:val="24"/>
          <w:szCs w:val="24"/>
        </w:rPr>
        <w:t>。</w:t>
      </w:r>
      <w:bookmarkEnd w:id="74"/>
      <w:bookmarkEnd w:id="75"/>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3、实验室新风、洁净工程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3.1新风、洁净风管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3.1.1风管采用优质镀锌钢板，由甲方查验后方可施工。施工破坏镀锌层的所有位置（钻孔，拉 铆，咬口处），防腐，咬口处涂胶密封。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3.1.2风管法兰采用角钢法兰，法兰角钢规格尺寸规格按国标执行，并提供出厂材质确认证明材料，法兰角钢须除锈防腐，防锈底漆二遍。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3.1.3风管漏风量检测：首先采用逐段保温前漏光检测法，送风后采用测量各洁净室风量及系统总送风量来计算出系统漏风量，扣除消声器及调节阀等附件的漏风量就是风管的漏风量。空调系统总漏风率指标≤3%。</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3.2风阀</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3.2.1风阀采用镀锌板材质内表面及阀片，要求密闭良好，采用蜗轮蜗杆调节方式，可以实现无极调节，即旋转到任意角度时都可以停止，外侧配有角度调节指针，调风量压差时方便，满足规范要求（防火阀），并有开关及开度指示。风阀采用镀锌板材喷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3.3HEPA及静压箱</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3.3.1有洁净要求的房间送风口设置静压箱和高效过滤器，静压箱出风口有钢板喷涂散流板，并带有 PAO 测试口。无洁净要求的房间设置铝质方形散流器。静压箱板为碳钢材质喷涂处理，吸顶式安装，侧面吊杆式固定。外框与顶板交接处双面封闭；高效过滤器与静压箱采用螺杆压紧式液槽密封。高温环境和低湿环境需考虑液槽干燥融合等不密封情况，特殊区域可以选用密封垫密封。厂家需提供过滤器的过滤效率、初阻、终阻、容尘量等合格证明，净化区域高效过滤器过滤采用 H14、厚度 90-220mm。高效过滤器连同静压箱整体安装后泄漏率不得超过 0.005%。</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3.6空调机组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3.5.1空调系统由投标人负责采购，投标人负责空调系统冷媒管、冷凝水管安装及通风管路施工；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3.5.4换气次（25-40次）数根据规范和参照图纸要求;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3.5.5温度：洁净室（无菌区）内温度18—24°C；特殊区域按具体要求设置。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3.5.6湿度：相对湿度不可高于65%。（低湿区域安装除湿机，不包含在本次招标范围。）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3.5.7气流速度：回风口≦2.5m/s，层流系统在其工作区域必须均匀送风，风速为0.45m/s（±20%），应有数据证明层流的状态并须验证。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3.5.8压差：洁净区与非洁净区之间、不同级别洁净区之间的压差应当不低于15Pa。设计压差≥20Pa。根据工艺要求，相同洁净度级别的不同功能区域（操作间）之间也应当保持适当的压差梯度。压差梯度≥10Pa。特殊区域按具体要求设置。生物安全柜开启后C级洁净区必须绝对正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空调机组的大小需要由投标人根据现场位置进行复核确认，现场无低温水与蒸汽供应（加热采用电加热，换热采用风冷机）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4、净化空调要求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▲4.1空调系统采用风冷式恒温恒湿机组；应提供的检测报告。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4.2投标人提供的设备必须是未使用过的最新版本成熟机型的，运行安全、技术先进、可靠性高、节省空间、便于安装和维护、高效节能、自身自动控制性能高、耐用，品牌可靠度和信誉度好、故障率低、社会口碑好的产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4.3机组及附属设备的各项性能指标、安全指标、施工安全应符合国家和有关行业技术标准，需随设备装箱提供制造厂的设备检验、测试报告、设备检验合格证书、质量保证书和保修书等证明文件，交货时应提供机组通过测试的相关证明和符合的规范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4.4各区域房间技术指标符合相关要求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4.5组合式空气处理机组及配套设备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4.6空气处理部分结构须为无框架结构，采用榫头互扣密封。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空气处理部分箱体应有良好的气密性，机组内静压为700Pa时，漏风率不得大于0.16%；机组内静压为1000Pa时，漏风率不得大于0.5%；机组内静压为1500Pa时，漏风率不得大于1%。</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4.7空气处理部分箱体应有足够的强度，箱板之间采用螺栓螺母连接，不得采用自攻钉连接，投标人须提供箱体结构原理图。箱体变形率在机组内静压1000Pa时小于4mm/m。</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4.8空气处理部分箱体面板保温层采用聚氨脂发泡，保温厚度50mm，密度不低于50 kg/m3，不允许采用块状保温材料填充粘结方式。箱体结构为防冷桥结构，冷桥因子应达到欧标EN1886的TB1级以上，传热系数应达到欧标EN1886的T1级以上。投标人应提供设备防止结露及消除冷桥的技术措施。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4.10室外压缩部分：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4.10.1风冷冷凝器设计，换热器采用高型翅片设计，提高机组换热效率，降低盘管阻力，更节能。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4.10.2采用全新高压腔直流变频压缩机，实现电机高效，最佳供油，使得压缩机在宽工况下的运行高效。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4.10.3采用高效的油分离器以及高效的模糊回油控制技术，确保机组回油可靠。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机组智能判断模块以及压缩机的运行状况来调整压缩机的运行状态和频率以实现自动均油。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采用两次过冷技术，增加过冷度，降低管路阻力，提高电子膨胀阀的稳定性，增大机组的配管长度。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采用高效直流风机电机，能效提高35%以上，噪音降低3-5dB（A），实现低噪音高能效的目的；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4.10.4环保冷媒；</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4.10.5微电脑控制：高精度控制，回风工况机组可实现温度±0.3℃，湿度±5%，全新风机组可实现温度±1℃，湿度±10%，有实用新型及发明专利；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4.10.6彩色触摸屏，全中文显示；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4.10.7远程开关机功能；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4.10.8预留485通讯口，实现上位机功能；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4.10.9远程在线监控管理，实现远程观察机组运行状态与故障诊断；</w:t>
      </w:r>
    </w:p>
    <w:p>
      <w:pPr>
        <w:pStyle w:val="6"/>
        <w:widowControl w:val="0"/>
        <w:numPr>
          <w:ilvl w:val="0"/>
          <w:numId w:val="0"/>
        </w:numPr>
        <w:autoSpaceDE w:val="0"/>
        <w:autoSpaceDN w:val="0"/>
        <w:adjustRightInd w:val="0"/>
        <w:spacing w:line="360" w:lineRule="auto"/>
        <w:ind w:firstLine="482" w:firstLineChars="200"/>
        <w:jc w:val="left"/>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（六）实验室废水、废气处理系统技术要求</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 实验室废气处理系统要求</w:t>
      </w:r>
    </w:p>
    <w:p>
      <w:pPr>
        <w:numPr>
          <w:ilvl w:val="0"/>
          <w:numId w:val="0"/>
        </w:numPr>
        <w:spacing w:line="360" w:lineRule="auto"/>
        <w:ind w:leftChars="0"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1.1</w:t>
      </w:r>
      <w:r>
        <w:rPr>
          <w:rFonts w:hint="eastAsia" w:ascii="宋体" w:hAnsi="宋体" w:eastAsia="宋体" w:cs="宋体"/>
          <w:sz w:val="24"/>
          <w:szCs w:val="24"/>
        </w:rPr>
        <w:t>风机安装技术要求</w:t>
      </w:r>
    </w:p>
    <w:p>
      <w:pPr>
        <w:pStyle w:val="16"/>
        <w:numPr>
          <w:ilvl w:val="0"/>
          <w:numId w:val="0"/>
        </w:num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sz w:val="24"/>
          <w:szCs w:val="24"/>
        </w:rPr>
        <w:t>风机的混凝土基础要求水平、坚固，且基础高度≥150mm。</w:t>
      </w:r>
    </w:p>
    <w:p>
      <w:pPr>
        <w:pStyle w:val="10"/>
        <w:numPr>
          <w:ilvl w:val="0"/>
          <w:numId w:val="0"/>
        </w:numPr>
        <w:spacing w:line="360" w:lineRule="auto"/>
        <w:ind w:firstLine="480" w:firstLineChars="200"/>
        <w:rPr>
          <w:rFonts w:hint="eastAsia" w:ascii="宋体" w:hAnsi="宋体" w:eastAsia="宋体" w:cs="宋体"/>
          <w:sz w:val="24"/>
          <w:szCs w:val="24"/>
        </w:rPr>
      </w:pPr>
      <w:r>
        <w:rPr>
          <w:rFonts w:hint="eastAsia" w:hAnsi="宋体" w:eastAsia="宋体" w:cs="宋体"/>
          <w:sz w:val="24"/>
          <w:szCs w:val="24"/>
          <w:lang w:eastAsia="zh-CN"/>
        </w:rPr>
        <w:t>（</w:t>
      </w:r>
      <w:r>
        <w:rPr>
          <w:rFonts w:hint="eastAsia" w:hAnsi="宋体" w:eastAsia="宋体" w:cs="宋体"/>
          <w:sz w:val="24"/>
          <w:szCs w:val="24"/>
          <w:lang w:val="en-US" w:eastAsia="zh-CN"/>
        </w:rPr>
        <w:t>2</w:t>
      </w:r>
      <w:r>
        <w:rPr>
          <w:rFonts w:hint="eastAsia" w:hAnsi="宋体" w:eastAsia="宋体" w:cs="宋体"/>
          <w:sz w:val="24"/>
          <w:szCs w:val="24"/>
          <w:lang w:eastAsia="zh-CN"/>
        </w:rPr>
        <w:t>）</w:t>
      </w:r>
      <w:r>
        <w:rPr>
          <w:rFonts w:hint="eastAsia" w:ascii="宋体" w:hAnsi="宋体" w:eastAsia="宋体" w:cs="宋体"/>
          <w:sz w:val="24"/>
          <w:szCs w:val="24"/>
        </w:rPr>
        <w:t>风机与风管采用帆布软管（柔性材料且不燃烧）连接，长度为150mm～300mm，应安装的松紧适度。对于装在风机吸入端的帆布软管应防止风机运转时被吸入。</w:t>
      </w:r>
    </w:p>
    <w:p>
      <w:pPr>
        <w:numPr>
          <w:ilvl w:val="0"/>
          <w:numId w:val="0"/>
        </w:num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w:t>
      </w:r>
      <w:r>
        <w:rPr>
          <w:rFonts w:hint="eastAsia" w:ascii="宋体" w:hAnsi="宋体" w:eastAsia="宋体" w:cs="宋体"/>
          <w:sz w:val="24"/>
          <w:szCs w:val="24"/>
        </w:rPr>
        <w:t>风机的钢支架固定在混凝土基础上，对功率超过 0.75kW 的风机其钢支架与基础之间增加橡胶减振垫；全部风机及电动机组件都安装在整块的钢支架上，钢架安装在减振垫上，减振垫用多孔型橡胶板。减振垫的布置尽量对称于设备的主惯性轴，或布置在设备重心的平面内，以使各减振器受力均匀，变形量相等。</w:t>
      </w:r>
    </w:p>
    <w:p>
      <w:pPr>
        <w:pStyle w:val="16"/>
        <w:numPr>
          <w:ilvl w:val="0"/>
          <w:numId w:val="0"/>
        </w:num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w:t>
      </w:r>
      <w:r>
        <w:rPr>
          <w:rFonts w:hint="eastAsia" w:ascii="宋体" w:hAnsi="宋体" w:eastAsia="宋体" w:cs="宋体"/>
          <w:sz w:val="24"/>
          <w:szCs w:val="24"/>
        </w:rPr>
        <w:t>风机出口的风管管径只能变大，不能变小，出风口要安装杂物网，偏向上出风时须增加风雨帽。</w:t>
      </w:r>
    </w:p>
    <w:p>
      <w:pPr>
        <w:numPr>
          <w:ilvl w:val="0"/>
          <w:numId w:val="0"/>
        </w:numPr>
        <w:spacing w:line="360" w:lineRule="auto"/>
        <w:ind w:leftChars="0"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1.2</w:t>
      </w:r>
      <w:r>
        <w:rPr>
          <w:rFonts w:hint="eastAsia" w:ascii="宋体" w:hAnsi="宋体" w:eastAsia="宋体" w:cs="宋体"/>
          <w:sz w:val="24"/>
          <w:szCs w:val="24"/>
        </w:rPr>
        <w:t>消声、减振、节能：</w:t>
      </w:r>
    </w:p>
    <w:p>
      <w:pPr>
        <w:pStyle w:val="16"/>
        <w:numPr>
          <w:ilvl w:val="0"/>
          <w:numId w:val="0"/>
        </w:num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sz w:val="24"/>
          <w:szCs w:val="24"/>
        </w:rPr>
        <w:t>采用防腐帆布软接及PP有机废气处理器，其进出口尺寸与风管口一致，消声棉厚度不小于100mm，和风机对接时用软连接固定，具有耐腐蚀作用，与风管水平安装，连接处做好密封处理。</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w:t>
      </w:r>
      <w:r>
        <w:rPr>
          <w:rFonts w:hint="eastAsia" w:ascii="宋体" w:hAnsi="宋体" w:eastAsia="宋体" w:cs="宋体"/>
          <w:sz w:val="24"/>
          <w:szCs w:val="24"/>
        </w:rPr>
        <w:t>由于大型离心风机在运行时振动较大，为使其在运行时的振动不至于影响周围环境，对风机采取减振措施：风机固定在水泥混泥土机座上，风机与基座之间采用减震装置；为防止风机振动通过风管传入室内，风机与管道连接采用防火软接头，具有防潮、不透气、不易霉变的性能。</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 离心风机</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实验室排风风机采用玻璃钢离心风机，外壳及叶轮材质耐酸碱。</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▲为确保产品的稳定性，玻璃钢离心风机满足或优于以下技术参数（提供证明材料加盖制造商公章佐证）。</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a）产品通过中国CQC节能产品认证；具备依据GB19761-2020的标准达到一级能效检验报告，且由国家能效网备案。</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b）风机依据JBT/T9536-2013通过防腐等级WFI认证</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c）风机的机械安全装置护罩符合国际标准化ISO 12499：1999规定各项安全要求（采用标准产品）</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d）风机产品通过电磁兼容性测试认证；</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按GB/T 1236-2017 《工业通风机用标准化风道性能试验》在规定测试下所对应的流量全压偏差为±5%；按JB/T 8689-2014 规定应进行 30min 机械运转试验 转动件应无擦碰等异常现象振动速度有效值 mm/s ≤4.6；按JB/T 9101-2014 《通风机转子平衡》规定进行动平衡品质等级 G ≤2.5级 ；</w:t>
      </w:r>
    </w:p>
    <w:p>
      <w:pPr>
        <w:pStyle w:val="6"/>
        <w:widowControl w:val="0"/>
        <w:numPr>
          <w:ilvl w:val="0"/>
          <w:numId w:val="0"/>
        </w:numPr>
        <w:autoSpaceDE w:val="0"/>
        <w:autoSpaceDN w:val="0"/>
        <w:adjustRightInd w:val="0"/>
        <w:spacing w:line="360" w:lineRule="auto"/>
        <w:ind w:firstLine="482" w:firstLineChars="200"/>
        <w:jc w:val="left"/>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 xml:space="preserve">1.4 </w:t>
      </w:r>
      <w:r>
        <w:rPr>
          <w:rFonts w:hint="eastAsia" w:ascii="宋体" w:hAnsi="宋体" w:eastAsia="宋体" w:cs="宋体"/>
          <w:b/>
          <w:bCs/>
          <w:sz w:val="24"/>
          <w:szCs w:val="24"/>
        </w:rPr>
        <w:t>实验室废气处理系统技术要求</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▲为确保产品的稳定性，废气处理</w:t>
      </w:r>
      <w:r>
        <w:rPr>
          <w:rFonts w:hint="eastAsia" w:hAnsi="宋体" w:eastAsia="宋体" w:cs="宋体"/>
          <w:sz w:val="24"/>
          <w:szCs w:val="24"/>
          <w:lang w:val="en-US" w:eastAsia="zh-CN"/>
        </w:rPr>
        <w:t>装置</w:t>
      </w:r>
      <w:r>
        <w:rPr>
          <w:rFonts w:hint="eastAsia" w:ascii="宋体" w:hAnsi="宋体" w:eastAsia="宋体" w:cs="宋体"/>
          <w:sz w:val="24"/>
          <w:szCs w:val="24"/>
          <w:lang w:val="en-US" w:eastAsia="zh-CN"/>
        </w:rPr>
        <w:t>满足或优于以下技术参数（提供证明材料加盖制造商公章佐证）。</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lang w:val="en-US" w:eastAsia="zh-CN"/>
        </w:rPr>
        <w:t>1.4.1</w:t>
      </w:r>
      <w:r>
        <w:rPr>
          <w:rFonts w:hint="eastAsia" w:ascii="宋体" w:hAnsi="宋体" w:eastAsia="宋体" w:cs="宋体"/>
          <w:sz w:val="24"/>
          <w:szCs w:val="24"/>
        </w:rPr>
        <w:t>气体经过屋顶PP喷淋塔处理高空排放;达到排放标准；废气处理排放的标准符合：GB16297-1996 《大气污染物综合排放标准》。</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lang w:val="en-US" w:eastAsia="zh-CN"/>
        </w:rPr>
        <w:t>1.4.2</w:t>
      </w:r>
      <w:r>
        <w:rPr>
          <w:rFonts w:hint="eastAsia" w:ascii="宋体" w:hAnsi="宋体" w:eastAsia="宋体" w:cs="宋体"/>
          <w:sz w:val="24"/>
          <w:szCs w:val="24"/>
        </w:rPr>
        <w:t>实验室排出的有机废气采用活性炭干吸附装置吸附处理无污染后方可对外排放。活性炭干吸附装置设可拆卸检修面板，方便维护更换。</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1.4.3排放浓度（苯、甲苯、二甲苯、非甲烷总烃）符合GB 16297-1996《大气污染物综合排放标准》规定的要求；其余所检项目符合HJ/T 386-2007《环境保护产品技术要求工业废气吸附净化装置》规定的要求；</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2、废水处理设置</w:t>
      </w:r>
    </w:p>
    <w:p>
      <w:pPr>
        <w:pStyle w:val="6"/>
        <w:widowControl w:val="0"/>
        <w:numPr>
          <w:ilvl w:val="0"/>
          <w:numId w:val="0"/>
        </w:numPr>
        <w:autoSpaceDE w:val="0"/>
        <w:autoSpaceDN w:val="0"/>
        <w:adjustRightInd w:val="0"/>
        <w:spacing w:line="360" w:lineRule="auto"/>
        <w:ind w:firstLine="480" w:firstLineChars="2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w:t>
      </w:r>
      <w:r>
        <w:rPr>
          <w:rFonts w:hint="eastAsia" w:hAnsi="宋体" w:eastAsia="宋体" w:cs="宋体"/>
          <w:sz w:val="24"/>
          <w:szCs w:val="24"/>
          <w:lang w:val="en-US" w:eastAsia="zh-CN"/>
        </w:rPr>
        <w:t>为确保产品稳定性，拟定污水处理设备工艺情况、技术参数等资料</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2.1参数：</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(1)设备控制方式:全自动智能控制；</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(2)处理水质要求:综合污水排放标准；</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(3)处理污水类型为实验室污水废水，处理水量:≥1000L/D(升/天)；</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(4)工作方式:可24小时连续工作；</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(5)设备工艺：收集酸碱中和调节+</w:t>
      </w:r>
      <w:r>
        <w:rPr>
          <w:rFonts w:hint="eastAsia" w:hAnsi="宋体" w:eastAsia="宋体" w:cs="宋体"/>
          <w:sz w:val="24"/>
          <w:szCs w:val="24"/>
          <w:lang w:val="en-US" w:eastAsia="zh-CN"/>
        </w:rPr>
        <w:t>絮凝沉淀+</w:t>
      </w:r>
      <w:r>
        <w:rPr>
          <w:rFonts w:hint="eastAsia" w:ascii="宋体" w:hAnsi="宋体" w:eastAsia="宋体" w:cs="宋体"/>
          <w:sz w:val="24"/>
          <w:szCs w:val="24"/>
          <w:lang w:val="en-US" w:eastAsia="zh-CN"/>
        </w:rPr>
        <w:t>消毒等</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（6）设备特点：</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采用微电脑程序实时监测、控制废水的水质变化和处理流程，实现全天候全自动运行，无需专人值守；利用pH计和进口计量泵准确控制投药量，并设有液位控制、缺药报警和自动排泥等装置；支持远程监控。</w:t>
      </w:r>
    </w:p>
    <w:p>
      <w:pPr>
        <w:pStyle w:val="6"/>
        <w:widowControl w:val="0"/>
        <w:numPr>
          <w:ilvl w:val="0"/>
          <w:numId w:val="0"/>
        </w:numPr>
        <w:autoSpaceDE w:val="0"/>
        <w:autoSpaceDN w:val="0"/>
        <w:adjustRightInd w:val="0"/>
        <w:spacing w:line="360" w:lineRule="auto"/>
        <w:ind w:firstLine="482" w:firstLineChars="200"/>
        <w:jc w:val="left"/>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w:t>
      </w:r>
      <w:r>
        <w:rPr>
          <w:rFonts w:hint="eastAsia" w:hAnsi="宋体" w:eastAsia="宋体" w:cs="宋体"/>
          <w:b/>
          <w:bCs/>
          <w:i w:val="0"/>
          <w:iCs w:val="0"/>
          <w:color w:val="000000"/>
          <w:kern w:val="0"/>
          <w:sz w:val="24"/>
          <w:szCs w:val="24"/>
          <w:u w:val="none"/>
          <w:lang w:val="en-US" w:eastAsia="zh-CN" w:bidi="ar"/>
        </w:rPr>
        <w:t>七</w:t>
      </w:r>
      <w:r>
        <w:rPr>
          <w:rFonts w:hint="eastAsia" w:ascii="宋体" w:hAnsi="宋体" w:eastAsia="宋体" w:cs="宋体"/>
          <w:b/>
          <w:bCs/>
          <w:i w:val="0"/>
          <w:iCs w:val="0"/>
          <w:color w:val="000000"/>
          <w:kern w:val="0"/>
          <w:sz w:val="24"/>
          <w:szCs w:val="24"/>
          <w:u w:val="none"/>
          <w:lang w:val="en-US" w:eastAsia="zh-CN" w:bidi="ar"/>
        </w:rPr>
        <w:t>）</w:t>
      </w:r>
      <w:r>
        <w:rPr>
          <w:rFonts w:hint="eastAsia" w:hAnsi="宋体" w:eastAsia="宋体" w:cs="宋体"/>
          <w:b/>
          <w:bCs/>
          <w:i w:val="0"/>
          <w:iCs w:val="0"/>
          <w:color w:val="000000"/>
          <w:kern w:val="0"/>
          <w:sz w:val="24"/>
          <w:szCs w:val="24"/>
          <w:u w:val="none"/>
          <w:lang w:val="en-US" w:eastAsia="zh-CN" w:bidi="ar"/>
        </w:rPr>
        <w:t>设备</w:t>
      </w:r>
      <w:r>
        <w:rPr>
          <w:rFonts w:hint="eastAsia" w:ascii="宋体" w:hAnsi="宋体" w:eastAsia="宋体" w:cs="宋体"/>
          <w:b/>
          <w:bCs/>
          <w:i w:val="0"/>
          <w:iCs w:val="0"/>
          <w:color w:val="000000"/>
          <w:kern w:val="0"/>
          <w:sz w:val="24"/>
          <w:szCs w:val="24"/>
          <w:u w:val="none"/>
          <w:lang w:val="en-US" w:eastAsia="zh-CN" w:bidi="ar"/>
        </w:rPr>
        <w:t>技术要求</w:t>
      </w:r>
    </w:p>
    <w:p>
      <w:pPr>
        <w:spacing w:line="360" w:lineRule="auto"/>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1、培养箱</w:t>
      </w:r>
    </w:p>
    <w:p>
      <w:pPr>
        <w:pStyle w:val="2"/>
        <w:spacing w:line="360" w:lineRule="auto"/>
        <w:ind w:firstLine="480" w:firstLineChars="200"/>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培养箱内部工作尺寸160L及以上，温度波动范围±0.5℃及以下。</w:t>
      </w:r>
    </w:p>
    <w:p>
      <w:pPr>
        <w:numPr>
          <w:ilvl w:val="0"/>
          <w:numId w:val="2"/>
        </w:numPr>
        <w:spacing w:line="360" w:lineRule="auto"/>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双人净化工作台</w:t>
      </w:r>
    </w:p>
    <w:p>
      <w:pPr>
        <w:numPr>
          <w:ilvl w:val="0"/>
          <w:numId w:val="0"/>
        </w:numPr>
        <w:spacing w:line="360" w:lineRule="auto"/>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采用可调风量风机系统，电气遥控开关控制。</w:t>
      </w:r>
    </w:p>
    <w:p>
      <w:pPr>
        <w:numPr>
          <w:ilvl w:val="0"/>
          <w:numId w:val="0"/>
        </w:numPr>
        <w:spacing w:line="360" w:lineRule="auto"/>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洁净等级：</w:t>
      </w:r>
      <w:r>
        <w:rPr>
          <w:rFonts w:hint="eastAsia" w:ascii="宋体" w:hAnsi="宋体" w:eastAsia="宋体" w:cs="宋体"/>
          <w:kern w:val="0"/>
          <w:sz w:val="24"/>
          <w:szCs w:val="24"/>
          <w:lang w:val="en-US" w:eastAsia="zh-CN" w:bidi="ar-SA"/>
        </w:rPr>
        <w:fldChar w:fldCharType="begin"/>
      </w:r>
      <w:r>
        <w:rPr>
          <w:rFonts w:hint="eastAsia" w:ascii="宋体" w:hAnsi="宋体" w:eastAsia="宋体" w:cs="宋体"/>
          <w:kern w:val="0"/>
          <w:sz w:val="24"/>
          <w:szCs w:val="24"/>
          <w:lang w:val="en-US" w:eastAsia="zh-CN" w:bidi="ar-SA"/>
        </w:rPr>
        <w:instrText xml:space="preserve"> HYPERLINK "mailto:100级@≥0.5um（209e）" </w:instrText>
      </w:r>
      <w:r>
        <w:rPr>
          <w:rFonts w:hint="eastAsia" w:ascii="宋体" w:hAnsi="宋体" w:eastAsia="宋体" w:cs="宋体"/>
          <w:kern w:val="0"/>
          <w:sz w:val="24"/>
          <w:szCs w:val="24"/>
          <w:lang w:val="en-US" w:eastAsia="zh-CN" w:bidi="ar-SA"/>
        </w:rPr>
        <w:fldChar w:fldCharType="separate"/>
      </w:r>
      <w:r>
        <w:rPr>
          <w:rFonts w:hint="eastAsia" w:ascii="宋体" w:hAnsi="宋体" w:eastAsia="宋体" w:cs="宋体"/>
          <w:kern w:val="0"/>
          <w:sz w:val="24"/>
          <w:szCs w:val="24"/>
          <w:lang w:val="en-US" w:eastAsia="zh-CN" w:bidi="ar-SA"/>
        </w:rPr>
        <w:t>100级@≥0.5um（209e）</w:t>
      </w:r>
      <w:r>
        <w:rPr>
          <w:rFonts w:hint="eastAsia" w:ascii="宋体" w:hAnsi="宋体" w:eastAsia="宋体" w:cs="宋体"/>
          <w:kern w:val="0"/>
          <w:sz w:val="24"/>
          <w:szCs w:val="24"/>
          <w:lang w:val="en-US" w:eastAsia="zh-CN" w:bidi="ar-SA"/>
        </w:rPr>
        <w:fldChar w:fldCharType="end"/>
      </w:r>
    </w:p>
    <w:p>
      <w:pPr>
        <w:numPr>
          <w:ilvl w:val="0"/>
          <w:numId w:val="0"/>
        </w:numPr>
        <w:spacing w:line="360" w:lineRule="auto"/>
        <w:ind w:leftChars="0"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菌 落 数：≤0.5个/皿•时（Ф90㎜培养平皿）</w:t>
      </w:r>
    </w:p>
    <w:p>
      <w:pPr>
        <w:numPr>
          <w:ilvl w:val="0"/>
          <w:numId w:val="0"/>
        </w:numPr>
        <w:spacing w:line="360" w:lineRule="auto"/>
        <w:ind w:leftChars="0"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噪 音：≤58dB（A）</w:t>
      </w:r>
    </w:p>
    <w:p>
      <w:pPr>
        <w:pStyle w:val="6"/>
        <w:widowControl w:val="0"/>
        <w:numPr>
          <w:ilvl w:val="0"/>
          <w:numId w:val="0"/>
        </w:numPr>
        <w:autoSpaceDE w:val="0"/>
        <w:autoSpaceDN w:val="0"/>
        <w:adjustRightInd w:val="0"/>
        <w:spacing w:line="360" w:lineRule="auto"/>
        <w:jc w:val="center"/>
        <w:rPr>
          <w:rFonts w:hint="eastAsia" w:ascii="宋体" w:hAnsi="宋体" w:eastAsia="宋体" w:cs="宋体"/>
          <w:sz w:val="24"/>
          <w:szCs w:val="24"/>
          <w:lang w:val="en-US" w:eastAsia="zh-CN"/>
        </w:rPr>
      </w:pPr>
      <w:r>
        <w:rPr>
          <w:rFonts w:hint="eastAsia" w:ascii="宋体" w:hAnsi="宋体" w:eastAsia="宋体" w:cs="宋体"/>
          <w:kern w:val="0"/>
          <w:sz w:val="24"/>
          <w:szCs w:val="24"/>
          <w:lang w:val="en-US" w:eastAsia="zh-CN" w:bidi="ar-SA"/>
        </w:rPr>
        <w:t>投标文件</w:t>
      </w:r>
      <w:r>
        <w:rPr>
          <w:rFonts w:hint="eastAsia"/>
          <w:lang w:val="en-US" w:eastAsia="zh-CN"/>
        </w:rPr>
        <w:t>提供证书、证件、检验报告一览表</w:t>
      </w:r>
    </w:p>
    <w:tbl>
      <w:tblPr>
        <w:tblStyle w:val="18"/>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6"/>
        <w:gridCol w:w="2391"/>
        <w:gridCol w:w="4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2" w:type="pct"/>
          </w:tcPr>
          <w:p>
            <w:pPr>
              <w:pStyle w:val="6"/>
              <w:widowControl w:val="0"/>
              <w:numPr>
                <w:ilvl w:val="0"/>
                <w:numId w:val="0"/>
              </w:numPr>
              <w:autoSpaceDE w:val="0"/>
              <w:autoSpaceDN w:val="0"/>
              <w:adjustRightInd w:val="0"/>
              <w:spacing w:line="360" w:lineRule="auto"/>
              <w:jc w:val="left"/>
              <w:rPr>
                <w:rFonts w:hint="eastAsia" w:eastAsiaTheme="minorEastAsia"/>
                <w:vertAlign w:val="baseline"/>
                <w:lang w:val="en-US" w:eastAsia="zh-CN"/>
              </w:rPr>
            </w:pPr>
            <w:r>
              <w:rPr>
                <w:rFonts w:hint="eastAsia"/>
                <w:vertAlign w:val="baseline"/>
                <w:lang w:val="en-US" w:eastAsia="zh-CN"/>
              </w:rPr>
              <w:t>序号</w:t>
            </w:r>
          </w:p>
        </w:tc>
        <w:tc>
          <w:tcPr>
            <w:tcW w:w="1403" w:type="pct"/>
          </w:tcPr>
          <w:p>
            <w:pPr>
              <w:pStyle w:val="6"/>
              <w:widowControl w:val="0"/>
              <w:numPr>
                <w:ilvl w:val="0"/>
                <w:numId w:val="0"/>
              </w:numPr>
              <w:autoSpaceDE w:val="0"/>
              <w:autoSpaceDN w:val="0"/>
              <w:adjustRightInd w:val="0"/>
              <w:spacing w:line="360" w:lineRule="auto"/>
              <w:jc w:val="left"/>
              <w:rPr>
                <w:rFonts w:hint="default" w:eastAsiaTheme="minorEastAsia"/>
                <w:vertAlign w:val="baseline"/>
                <w:lang w:val="en-US" w:eastAsia="zh-CN"/>
              </w:rPr>
            </w:pPr>
            <w:r>
              <w:rPr>
                <w:rFonts w:hint="eastAsia"/>
                <w:vertAlign w:val="baseline"/>
                <w:lang w:val="en-US" w:eastAsia="zh-CN"/>
              </w:rPr>
              <w:t>产品名称</w:t>
            </w:r>
          </w:p>
        </w:tc>
        <w:tc>
          <w:tcPr>
            <w:tcW w:w="2724" w:type="pct"/>
          </w:tcPr>
          <w:p>
            <w:pPr>
              <w:pStyle w:val="6"/>
              <w:widowControl w:val="0"/>
              <w:numPr>
                <w:ilvl w:val="0"/>
                <w:numId w:val="0"/>
              </w:numPr>
              <w:autoSpaceDE w:val="0"/>
              <w:autoSpaceDN w:val="0"/>
              <w:adjustRightInd w:val="0"/>
              <w:spacing w:line="360" w:lineRule="auto"/>
              <w:jc w:val="left"/>
              <w:rPr>
                <w:rFonts w:hint="default" w:eastAsiaTheme="minorEastAsia"/>
                <w:vertAlign w:val="baseline"/>
                <w:lang w:val="en-US" w:eastAsia="zh-CN"/>
              </w:rPr>
            </w:pPr>
            <w:r>
              <w:rPr>
                <w:rFonts w:hint="eastAsia"/>
                <w:vertAlign w:val="baseline"/>
                <w:lang w:val="en-US" w:eastAsia="zh-CN"/>
              </w:rPr>
              <w:t>提供证书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2" w:type="pct"/>
          </w:tcPr>
          <w:p>
            <w:pPr>
              <w:pStyle w:val="6"/>
              <w:widowControl w:val="0"/>
              <w:numPr>
                <w:ilvl w:val="0"/>
                <w:numId w:val="0"/>
              </w:numPr>
              <w:autoSpaceDE w:val="0"/>
              <w:autoSpaceDN w:val="0"/>
              <w:adjustRightInd w:val="0"/>
              <w:spacing w:line="360" w:lineRule="auto"/>
              <w:jc w:val="left"/>
              <w:rPr>
                <w:rFonts w:hint="eastAsia" w:eastAsiaTheme="minorEastAsia"/>
                <w:vertAlign w:val="baseline"/>
                <w:lang w:val="en-US" w:eastAsia="zh-CN"/>
              </w:rPr>
            </w:pPr>
            <w:r>
              <w:rPr>
                <w:rFonts w:hint="eastAsia"/>
                <w:vertAlign w:val="baseline"/>
                <w:lang w:val="en-US" w:eastAsia="zh-CN"/>
              </w:rPr>
              <w:t>1</w:t>
            </w:r>
          </w:p>
        </w:tc>
        <w:tc>
          <w:tcPr>
            <w:tcW w:w="1403" w:type="pct"/>
          </w:tcPr>
          <w:p>
            <w:pPr>
              <w:pStyle w:val="6"/>
              <w:widowControl w:val="0"/>
              <w:numPr>
                <w:ilvl w:val="0"/>
                <w:numId w:val="0"/>
              </w:numPr>
              <w:autoSpaceDE w:val="0"/>
              <w:autoSpaceDN w:val="0"/>
              <w:adjustRightInd w:val="0"/>
              <w:spacing w:line="360" w:lineRule="auto"/>
              <w:jc w:val="left"/>
              <w:rPr>
                <w:vertAlign w:val="baseline"/>
              </w:rPr>
            </w:pPr>
            <w:r>
              <w:rPr>
                <w:rFonts w:hint="eastAsia" w:ascii="宋体" w:hAnsi="宋体" w:eastAsia="宋体" w:cs="宋体"/>
                <w:color w:val="auto"/>
                <w:sz w:val="24"/>
                <w:szCs w:val="24"/>
                <w:lang w:val="en-US" w:eastAsia="zh-CN"/>
              </w:rPr>
              <w:t>塑料管及管件</w:t>
            </w:r>
          </w:p>
        </w:tc>
        <w:tc>
          <w:tcPr>
            <w:tcW w:w="2724" w:type="pct"/>
          </w:tcPr>
          <w:p>
            <w:pPr>
              <w:pStyle w:val="6"/>
              <w:widowControl w:val="0"/>
              <w:numPr>
                <w:ilvl w:val="0"/>
                <w:numId w:val="0"/>
              </w:numPr>
              <w:autoSpaceDE w:val="0"/>
              <w:autoSpaceDN w:val="0"/>
              <w:adjustRightInd w:val="0"/>
              <w:spacing w:line="360" w:lineRule="auto"/>
              <w:jc w:val="left"/>
              <w:rPr>
                <w:vertAlign w:val="baseline"/>
              </w:rPr>
            </w:pPr>
            <w:r>
              <w:rPr>
                <w:rFonts w:hint="eastAsia" w:ascii="宋体" w:hAnsi="宋体" w:eastAsia="宋体" w:cs="宋体"/>
                <w:color w:val="auto"/>
                <w:sz w:val="24"/>
                <w:szCs w:val="24"/>
                <w:lang w:val="en-US" w:eastAsia="zh-CN"/>
              </w:rPr>
              <w:t>产品合格证和卫生部门的认证文件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2" w:type="pct"/>
          </w:tcPr>
          <w:p>
            <w:pPr>
              <w:pStyle w:val="6"/>
              <w:widowControl w:val="0"/>
              <w:numPr>
                <w:ilvl w:val="0"/>
                <w:numId w:val="0"/>
              </w:numPr>
              <w:autoSpaceDE w:val="0"/>
              <w:autoSpaceDN w:val="0"/>
              <w:adjustRightInd w:val="0"/>
              <w:spacing w:line="360" w:lineRule="auto"/>
              <w:jc w:val="left"/>
              <w:rPr>
                <w:rFonts w:hint="default" w:eastAsiaTheme="minorEastAsia"/>
                <w:vertAlign w:val="baseline"/>
                <w:lang w:val="en-US" w:eastAsia="zh-CN"/>
              </w:rPr>
            </w:pPr>
            <w:r>
              <w:rPr>
                <w:rFonts w:hint="eastAsia"/>
                <w:vertAlign w:val="baseline"/>
                <w:lang w:val="en-US" w:eastAsia="zh-CN"/>
              </w:rPr>
              <w:t>2</w:t>
            </w:r>
          </w:p>
        </w:tc>
        <w:tc>
          <w:tcPr>
            <w:tcW w:w="1403" w:type="pct"/>
          </w:tcPr>
          <w:p>
            <w:pPr>
              <w:pStyle w:val="6"/>
              <w:widowControl w:val="0"/>
              <w:numPr>
                <w:ilvl w:val="0"/>
                <w:numId w:val="0"/>
              </w:numPr>
              <w:autoSpaceDE w:val="0"/>
              <w:autoSpaceDN w:val="0"/>
              <w:adjustRightInd w:val="0"/>
              <w:spacing w:line="360" w:lineRule="auto"/>
              <w:jc w:val="left"/>
              <w:rPr>
                <w:vertAlign w:val="baseline"/>
              </w:rPr>
            </w:pPr>
            <w:r>
              <w:rPr>
                <w:rFonts w:hint="eastAsia" w:ascii="宋体" w:hAnsi="宋体" w:eastAsia="宋体" w:cs="宋体"/>
                <w:sz w:val="24"/>
                <w:szCs w:val="24"/>
                <w:lang w:val="en-US" w:eastAsia="zh-CN"/>
              </w:rPr>
              <w:t>PVC地板</w:t>
            </w:r>
          </w:p>
        </w:tc>
        <w:tc>
          <w:tcPr>
            <w:tcW w:w="2724" w:type="pct"/>
          </w:tcPr>
          <w:p>
            <w:pPr>
              <w:pStyle w:val="6"/>
              <w:widowControl w:val="0"/>
              <w:numPr>
                <w:ilvl w:val="0"/>
                <w:numId w:val="0"/>
              </w:numPr>
              <w:autoSpaceDE w:val="0"/>
              <w:autoSpaceDN w:val="0"/>
              <w:adjustRightInd w:val="0"/>
              <w:spacing w:line="360" w:lineRule="auto"/>
              <w:jc w:val="left"/>
              <w:rPr>
                <w:rFonts w:hint="default" w:eastAsia="宋体"/>
                <w:vertAlign w:val="baseline"/>
                <w:lang w:val="en-US" w:eastAsia="zh-CN"/>
              </w:rPr>
            </w:pPr>
            <w:r>
              <w:rPr>
                <w:rFonts w:hint="eastAsia"/>
                <w:vertAlign w:val="baseline"/>
                <w:lang w:val="en-US" w:eastAsia="zh-CN"/>
              </w:rPr>
              <w:t>技术参数证明材料（如：</w:t>
            </w:r>
            <w:r>
              <w:rPr>
                <w:rFonts w:hint="eastAsia" w:ascii="宋体" w:hAnsi="宋体" w:eastAsia="宋体" w:cs="宋体"/>
                <w:color w:val="auto"/>
                <w:sz w:val="24"/>
                <w:szCs w:val="24"/>
                <w:lang w:val="en-US" w:eastAsia="zh-CN"/>
              </w:rPr>
              <w:t>防火标志产品认证</w:t>
            </w:r>
            <w:r>
              <w:rPr>
                <w:rFonts w:hint="eastAsia" w:hAnsi="宋体" w:eastAsia="宋体" w:cs="宋体"/>
                <w:color w:val="auto"/>
                <w:sz w:val="24"/>
                <w:szCs w:val="24"/>
                <w:lang w:val="en-US" w:eastAsia="zh-CN"/>
              </w:rPr>
              <w:t>等</w:t>
            </w: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2" w:type="pct"/>
          </w:tcPr>
          <w:p>
            <w:pPr>
              <w:pStyle w:val="6"/>
              <w:widowControl w:val="0"/>
              <w:numPr>
                <w:ilvl w:val="0"/>
                <w:numId w:val="0"/>
              </w:numPr>
              <w:autoSpaceDE w:val="0"/>
              <w:autoSpaceDN w:val="0"/>
              <w:adjustRightInd w:val="0"/>
              <w:spacing w:line="360" w:lineRule="auto"/>
              <w:jc w:val="left"/>
              <w:rPr>
                <w:rFonts w:hint="eastAsia" w:eastAsiaTheme="minorEastAsia"/>
                <w:vertAlign w:val="baseline"/>
                <w:lang w:val="en-US" w:eastAsia="zh-CN"/>
              </w:rPr>
            </w:pPr>
            <w:r>
              <w:rPr>
                <w:rFonts w:hint="eastAsia"/>
                <w:vertAlign w:val="baseline"/>
                <w:lang w:val="en-US" w:eastAsia="zh-CN"/>
              </w:rPr>
              <w:t>3</w:t>
            </w:r>
          </w:p>
        </w:tc>
        <w:tc>
          <w:tcPr>
            <w:tcW w:w="1403" w:type="pct"/>
          </w:tcPr>
          <w:p>
            <w:pPr>
              <w:pStyle w:val="6"/>
              <w:widowControl w:val="0"/>
              <w:numPr>
                <w:ilvl w:val="0"/>
                <w:numId w:val="0"/>
              </w:numPr>
              <w:autoSpaceDE w:val="0"/>
              <w:autoSpaceDN w:val="0"/>
              <w:adjustRightInd w:val="0"/>
              <w:spacing w:line="360" w:lineRule="auto"/>
              <w:jc w:val="left"/>
              <w:rPr>
                <w:rFonts w:hint="default" w:eastAsia="宋体"/>
                <w:vertAlign w:val="baseline"/>
                <w:lang w:val="en-US" w:eastAsia="zh-CN"/>
              </w:rPr>
            </w:pPr>
            <w:r>
              <w:rPr>
                <w:rFonts w:hint="eastAsia"/>
                <w:vertAlign w:val="baseline"/>
                <w:lang w:val="en-US" w:eastAsia="zh-CN"/>
              </w:rPr>
              <w:t>实验室家具</w:t>
            </w:r>
          </w:p>
        </w:tc>
        <w:tc>
          <w:tcPr>
            <w:tcW w:w="2724" w:type="pct"/>
          </w:tcPr>
          <w:p>
            <w:pPr>
              <w:pStyle w:val="6"/>
              <w:widowControl w:val="0"/>
              <w:numPr>
                <w:ilvl w:val="0"/>
                <w:numId w:val="0"/>
              </w:numPr>
              <w:autoSpaceDE w:val="0"/>
              <w:autoSpaceDN w:val="0"/>
              <w:adjustRightInd w:val="0"/>
              <w:spacing w:line="360" w:lineRule="auto"/>
              <w:jc w:val="left"/>
              <w:rPr>
                <w:vertAlign w:val="baseline"/>
              </w:rPr>
            </w:pPr>
            <w:r>
              <w:rPr>
                <w:rFonts w:hint="eastAsia" w:ascii="宋体" w:hAnsi="宋体" w:eastAsia="宋体" w:cs="宋体"/>
                <w:sz w:val="24"/>
                <w:szCs w:val="24"/>
                <w:lang w:val="en-US" w:eastAsia="zh-CN"/>
              </w:rPr>
              <w:t>提供</w:t>
            </w:r>
            <w:r>
              <w:rPr>
                <w:rFonts w:hint="eastAsia" w:hAnsi="宋体" w:eastAsia="宋体" w:cs="宋体"/>
                <w:sz w:val="24"/>
                <w:szCs w:val="24"/>
                <w:lang w:val="en-US" w:eastAsia="zh-CN"/>
              </w:rPr>
              <w:t>具有相关资质的检测机构出具的</w:t>
            </w:r>
            <w:r>
              <w:rPr>
                <w:rFonts w:hint="eastAsia" w:ascii="宋体" w:hAnsi="宋体" w:eastAsia="宋体" w:cs="宋体"/>
                <w:sz w:val="24"/>
                <w:szCs w:val="24"/>
                <w:lang w:val="en-US" w:eastAsia="zh-CN"/>
              </w:rPr>
              <w:t>检测报告、</w:t>
            </w:r>
            <w:r>
              <w:rPr>
                <w:rFonts w:hint="eastAsia" w:hAnsi="宋体" w:eastAsia="宋体" w:cs="宋体"/>
                <w:sz w:val="24"/>
                <w:szCs w:val="24"/>
                <w:lang w:val="en-US" w:eastAsia="zh-CN"/>
              </w:rPr>
              <w:t>质量</w:t>
            </w:r>
            <w:r>
              <w:rPr>
                <w:rFonts w:hint="eastAsia" w:ascii="宋体" w:hAnsi="宋体" w:eastAsia="宋体" w:cs="宋体"/>
                <w:sz w:val="24"/>
                <w:szCs w:val="24"/>
                <w:lang w:val="en-US" w:eastAsia="zh-CN"/>
              </w:rPr>
              <w:t>合格证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872" w:type="pct"/>
          </w:tcPr>
          <w:p>
            <w:pPr>
              <w:pStyle w:val="6"/>
              <w:widowControl w:val="0"/>
              <w:numPr>
                <w:ilvl w:val="0"/>
                <w:numId w:val="0"/>
              </w:numPr>
              <w:autoSpaceDE w:val="0"/>
              <w:autoSpaceDN w:val="0"/>
              <w:adjustRightInd w:val="0"/>
              <w:spacing w:line="360" w:lineRule="auto"/>
              <w:jc w:val="left"/>
              <w:rPr>
                <w:rFonts w:hint="eastAsia" w:eastAsiaTheme="minorEastAsia"/>
                <w:vertAlign w:val="baseline"/>
                <w:lang w:val="en-US" w:eastAsia="zh-CN"/>
              </w:rPr>
            </w:pPr>
            <w:r>
              <w:rPr>
                <w:rFonts w:hint="eastAsia"/>
                <w:vertAlign w:val="baseline"/>
                <w:lang w:val="en-US" w:eastAsia="zh-CN"/>
              </w:rPr>
              <w:t>4</w:t>
            </w:r>
          </w:p>
        </w:tc>
        <w:tc>
          <w:tcPr>
            <w:tcW w:w="1403" w:type="pct"/>
          </w:tcPr>
          <w:p>
            <w:pPr>
              <w:pStyle w:val="6"/>
              <w:widowControl w:val="0"/>
              <w:numPr>
                <w:ilvl w:val="0"/>
                <w:numId w:val="0"/>
              </w:numPr>
              <w:autoSpaceDE w:val="0"/>
              <w:autoSpaceDN w:val="0"/>
              <w:adjustRightInd w:val="0"/>
              <w:spacing w:line="360" w:lineRule="auto"/>
              <w:jc w:val="left"/>
              <w:rPr>
                <w:vertAlign w:val="baseline"/>
              </w:rPr>
            </w:pPr>
            <w:r>
              <w:rPr>
                <w:rFonts w:hint="eastAsia" w:ascii="宋体" w:hAnsi="宋体" w:eastAsia="宋体" w:cs="宋体"/>
                <w:color w:val="auto"/>
                <w:sz w:val="24"/>
                <w:szCs w:val="24"/>
                <w:lang w:val="en-US" w:eastAsia="zh-CN"/>
              </w:rPr>
              <w:t>风管及风阀</w:t>
            </w:r>
          </w:p>
        </w:tc>
        <w:tc>
          <w:tcPr>
            <w:tcW w:w="2724" w:type="pct"/>
          </w:tcPr>
          <w:p>
            <w:pPr>
              <w:pStyle w:val="6"/>
              <w:widowControl w:val="0"/>
              <w:numPr>
                <w:ilvl w:val="0"/>
                <w:numId w:val="0"/>
              </w:numPr>
              <w:autoSpaceDE w:val="0"/>
              <w:autoSpaceDN w:val="0"/>
              <w:adjustRightInd w:val="0"/>
              <w:spacing w:line="360" w:lineRule="auto"/>
              <w:jc w:val="left"/>
              <w:rPr>
                <w:vertAlign w:val="baseline"/>
              </w:rPr>
            </w:pPr>
            <w:r>
              <w:rPr>
                <w:rFonts w:hint="eastAsia" w:ascii="宋体" w:hAnsi="宋体" w:eastAsia="宋体" w:cs="宋体"/>
                <w:sz w:val="24"/>
                <w:szCs w:val="24"/>
                <w:lang w:val="en-US" w:eastAsia="zh-CN"/>
              </w:rPr>
              <w:t>提供具有CMA认证</w:t>
            </w:r>
            <w:r>
              <w:rPr>
                <w:rFonts w:hint="eastAsia" w:hAnsi="宋体" w:eastAsia="宋体" w:cs="宋体"/>
                <w:sz w:val="24"/>
                <w:szCs w:val="24"/>
                <w:lang w:val="en-US" w:eastAsia="zh-CN"/>
              </w:rPr>
              <w:t>的</w:t>
            </w:r>
            <w:r>
              <w:rPr>
                <w:rFonts w:hint="eastAsia" w:ascii="宋体" w:hAnsi="宋体" w:eastAsia="宋体" w:cs="宋体"/>
                <w:color w:val="auto"/>
                <w:sz w:val="24"/>
                <w:szCs w:val="24"/>
                <w:lang w:val="en-US" w:eastAsia="zh-CN"/>
              </w:rPr>
              <w:t>质量检测报告、阻燃检测报告</w:t>
            </w:r>
            <w:r>
              <w:rPr>
                <w:rFonts w:hint="eastAsia" w:hAnsi="宋体" w:eastAsia="宋体" w:cs="宋体"/>
                <w:color w:val="auto"/>
                <w:sz w:val="24"/>
                <w:szCs w:val="24"/>
                <w:lang w:val="en-US" w:eastAsia="zh-CN"/>
              </w:rPr>
              <w:t>、</w:t>
            </w:r>
            <w:r>
              <w:rPr>
                <w:rFonts w:hint="eastAsia" w:ascii="宋体" w:hAnsi="宋体" w:eastAsia="宋体" w:cs="宋体"/>
                <w:sz w:val="24"/>
                <w:szCs w:val="24"/>
                <w:lang w:val="en-US" w:eastAsia="zh-CN"/>
              </w:rPr>
              <w:t>出厂材质确认证明材料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872" w:type="pct"/>
          </w:tcPr>
          <w:p>
            <w:pPr>
              <w:pStyle w:val="6"/>
              <w:widowControl w:val="0"/>
              <w:numPr>
                <w:ilvl w:val="0"/>
                <w:numId w:val="0"/>
              </w:numPr>
              <w:autoSpaceDE w:val="0"/>
              <w:autoSpaceDN w:val="0"/>
              <w:adjustRightInd w:val="0"/>
              <w:spacing w:line="360" w:lineRule="auto"/>
              <w:jc w:val="left"/>
              <w:rPr>
                <w:rFonts w:hint="default"/>
                <w:vertAlign w:val="baseline"/>
                <w:lang w:val="en-US" w:eastAsia="zh-CN"/>
              </w:rPr>
            </w:pPr>
            <w:r>
              <w:rPr>
                <w:rFonts w:hint="eastAsia"/>
                <w:vertAlign w:val="baseline"/>
                <w:lang w:val="en-US" w:eastAsia="zh-CN"/>
              </w:rPr>
              <w:t>5</w:t>
            </w:r>
          </w:p>
        </w:tc>
        <w:tc>
          <w:tcPr>
            <w:tcW w:w="1403" w:type="pct"/>
          </w:tcPr>
          <w:p>
            <w:pPr>
              <w:pStyle w:val="6"/>
              <w:widowControl w:val="0"/>
              <w:numPr>
                <w:ilvl w:val="0"/>
                <w:numId w:val="0"/>
              </w:numPr>
              <w:autoSpaceDE w:val="0"/>
              <w:autoSpaceDN w:val="0"/>
              <w:adjustRightInd w:val="0"/>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sz w:val="24"/>
                <w:szCs w:val="24"/>
              </w:rPr>
              <w:t>排风VAV变风量阀</w:t>
            </w:r>
          </w:p>
        </w:tc>
        <w:tc>
          <w:tcPr>
            <w:tcW w:w="2724" w:type="pct"/>
          </w:tcPr>
          <w:p>
            <w:pPr>
              <w:pStyle w:val="6"/>
              <w:widowControl w:val="0"/>
              <w:numPr>
                <w:ilvl w:val="0"/>
                <w:numId w:val="0"/>
              </w:numPr>
              <w:autoSpaceDE w:val="0"/>
              <w:autoSpaceDN w:val="0"/>
              <w:adjustRightInd w:val="0"/>
              <w:spacing w:line="360" w:lineRule="auto"/>
              <w:jc w:val="left"/>
              <w:rPr>
                <w:rFonts w:hint="eastAsia" w:ascii="宋体" w:hAnsi="宋体" w:eastAsia="宋体" w:cs="宋体"/>
                <w:sz w:val="24"/>
                <w:szCs w:val="24"/>
                <w:lang w:val="en-US" w:eastAsia="zh-CN"/>
              </w:rPr>
            </w:pPr>
            <w:r>
              <w:rPr>
                <w:rFonts w:hint="eastAsia" w:hAnsi="宋体" w:eastAsia="宋体" w:cs="宋体"/>
                <w:sz w:val="24"/>
                <w:szCs w:val="24"/>
                <w:lang w:val="en-US" w:eastAsia="zh-CN"/>
              </w:rPr>
              <w:t>具有相关资质的检测机构出具的</w:t>
            </w:r>
            <w:r>
              <w:rPr>
                <w:rFonts w:hint="eastAsia" w:ascii="宋体" w:hAnsi="宋体" w:eastAsia="宋体" w:cs="宋体"/>
                <w:sz w:val="24"/>
                <w:szCs w:val="24"/>
                <w:lang w:val="en-US" w:eastAsia="zh-CN"/>
              </w:rPr>
              <w:t>检测报告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2" w:type="pct"/>
          </w:tcPr>
          <w:p>
            <w:pPr>
              <w:pStyle w:val="6"/>
              <w:widowControl w:val="0"/>
              <w:numPr>
                <w:ilvl w:val="0"/>
                <w:numId w:val="0"/>
              </w:numPr>
              <w:autoSpaceDE w:val="0"/>
              <w:autoSpaceDN w:val="0"/>
              <w:adjustRightInd w:val="0"/>
              <w:spacing w:line="360" w:lineRule="auto"/>
              <w:jc w:val="left"/>
              <w:rPr>
                <w:rFonts w:hint="eastAsia" w:eastAsiaTheme="minorEastAsia"/>
                <w:vertAlign w:val="baseline"/>
                <w:lang w:val="en-US" w:eastAsia="zh-CN"/>
              </w:rPr>
            </w:pPr>
            <w:r>
              <w:rPr>
                <w:rFonts w:hint="eastAsia"/>
                <w:vertAlign w:val="baseline"/>
                <w:lang w:val="en-US" w:eastAsia="zh-CN"/>
              </w:rPr>
              <w:t>5</w:t>
            </w:r>
          </w:p>
        </w:tc>
        <w:tc>
          <w:tcPr>
            <w:tcW w:w="1403" w:type="pct"/>
          </w:tcPr>
          <w:p>
            <w:pPr>
              <w:pStyle w:val="6"/>
              <w:widowControl w:val="0"/>
              <w:numPr>
                <w:ilvl w:val="0"/>
                <w:numId w:val="0"/>
              </w:numPr>
              <w:autoSpaceDE w:val="0"/>
              <w:autoSpaceDN w:val="0"/>
              <w:adjustRightInd w:val="0"/>
              <w:spacing w:line="360" w:lineRule="auto"/>
              <w:jc w:val="left"/>
              <w:rPr>
                <w:rFonts w:hint="eastAsia" w:eastAsia="宋体"/>
                <w:vertAlign w:val="baseline"/>
                <w:lang w:val="en-US" w:eastAsia="zh-CN"/>
              </w:rPr>
            </w:pPr>
            <w:r>
              <w:rPr>
                <w:rFonts w:hint="eastAsia"/>
                <w:vertAlign w:val="baseline"/>
                <w:lang w:val="en-US" w:eastAsia="zh-CN"/>
              </w:rPr>
              <w:t>空调</w:t>
            </w:r>
          </w:p>
        </w:tc>
        <w:tc>
          <w:tcPr>
            <w:tcW w:w="2724" w:type="pct"/>
          </w:tcPr>
          <w:p>
            <w:pPr>
              <w:pStyle w:val="6"/>
              <w:widowControl w:val="0"/>
              <w:numPr>
                <w:ilvl w:val="0"/>
                <w:numId w:val="0"/>
              </w:numPr>
              <w:autoSpaceDE w:val="0"/>
              <w:autoSpaceDN w:val="0"/>
              <w:adjustRightInd w:val="0"/>
              <w:spacing w:line="360" w:lineRule="auto"/>
              <w:jc w:val="left"/>
              <w:rPr>
                <w:vertAlign w:val="baseline"/>
              </w:rPr>
            </w:pPr>
            <w:r>
              <w:rPr>
                <w:rFonts w:hint="eastAsia" w:hAnsi="宋体" w:eastAsia="宋体" w:cs="宋体"/>
                <w:sz w:val="24"/>
                <w:szCs w:val="24"/>
                <w:lang w:val="en-US" w:eastAsia="zh-CN"/>
              </w:rPr>
              <w:t>具有相关资质的检测机构出具的</w:t>
            </w:r>
            <w:r>
              <w:rPr>
                <w:rFonts w:hint="eastAsia" w:ascii="宋体" w:hAnsi="宋体" w:eastAsia="宋体" w:cs="宋体"/>
                <w:sz w:val="24"/>
                <w:szCs w:val="24"/>
                <w:lang w:val="en-US" w:eastAsia="zh-CN"/>
              </w:rPr>
              <w:t>检测报告</w:t>
            </w:r>
            <w:r>
              <w:rPr>
                <w:rFonts w:hint="eastAsia" w:hAnsi="宋体" w:eastAsia="宋体" w:cs="宋体"/>
                <w:sz w:val="24"/>
                <w:szCs w:val="24"/>
                <w:lang w:val="en-US" w:eastAsia="zh-CN"/>
              </w:rPr>
              <w:t>（</w:t>
            </w:r>
            <w:r>
              <w:rPr>
                <w:rFonts w:hint="eastAsia" w:ascii="宋体" w:hAnsi="宋体" w:eastAsia="宋体" w:cs="宋体"/>
                <w:sz w:val="24"/>
                <w:szCs w:val="24"/>
                <w:lang w:val="en-US" w:eastAsia="zh-CN"/>
              </w:rPr>
              <w:t>设备检验、测试报告、设备检验合格证书、质量保证书和保修书等</w:t>
            </w:r>
            <w:r>
              <w:rPr>
                <w:rFonts w:hint="eastAsia" w:hAnsi="宋体" w:eastAsia="宋体" w:cs="宋体"/>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2" w:type="pct"/>
          </w:tcPr>
          <w:p>
            <w:pPr>
              <w:pStyle w:val="6"/>
              <w:widowControl w:val="0"/>
              <w:numPr>
                <w:ilvl w:val="0"/>
                <w:numId w:val="0"/>
              </w:numPr>
              <w:autoSpaceDE w:val="0"/>
              <w:autoSpaceDN w:val="0"/>
              <w:adjustRightInd w:val="0"/>
              <w:spacing w:line="360" w:lineRule="auto"/>
              <w:jc w:val="left"/>
              <w:rPr>
                <w:rFonts w:hint="eastAsia" w:eastAsiaTheme="minorEastAsia"/>
                <w:vertAlign w:val="baseline"/>
                <w:lang w:val="en-US" w:eastAsia="zh-CN"/>
              </w:rPr>
            </w:pPr>
            <w:r>
              <w:rPr>
                <w:rFonts w:hint="eastAsia"/>
                <w:vertAlign w:val="baseline"/>
                <w:lang w:val="en-US" w:eastAsia="zh-CN"/>
              </w:rPr>
              <w:t>6</w:t>
            </w:r>
          </w:p>
        </w:tc>
        <w:tc>
          <w:tcPr>
            <w:tcW w:w="1403" w:type="pct"/>
          </w:tcPr>
          <w:p>
            <w:pPr>
              <w:pStyle w:val="6"/>
              <w:widowControl w:val="0"/>
              <w:numPr>
                <w:ilvl w:val="0"/>
                <w:numId w:val="0"/>
              </w:numPr>
              <w:autoSpaceDE w:val="0"/>
              <w:autoSpaceDN w:val="0"/>
              <w:adjustRightInd w:val="0"/>
              <w:spacing w:line="360" w:lineRule="auto"/>
              <w:jc w:val="left"/>
              <w:rPr>
                <w:rFonts w:hint="eastAsia"/>
                <w:vertAlign w:val="baseline"/>
                <w:lang w:val="en-US" w:eastAsia="zh-CN"/>
              </w:rPr>
            </w:pPr>
            <w:r>
              <w:rPr>
                <w:rFonts w:hint="eastAsia" w:ascii="宋体" w:hAnsi="宋体" w:eastAsia="宋体" w:cs="宋体"/>
                <w:sz w:val="24"/>
                <w:szCs w:val="24"/>
                <w:lang w:val="en-US" w:eastAsia="zh-CN"/>
              </w:rPr>
              <w:t>玻璃钢离心风机</w:t>
            </w:r>
          </w:p>
        </w:tc>
        <w:tc>
          <w:tcPr>
            <w:tcW w:w="2724" w:type="pct"/>
          </w:tcPr>
          <w:p>
            <w:pPr>
              <w:pStyle w:val="6"/>
              <w:widowControl w:val="0"/>
              <w:numPr>
                <w:ilvl w:val="0"/>
                <w:numId w:val="0"/>
              </w:numPr>
              <w:autoSpaceDE w:val="0"/>
              <w:autoSpaceDN w:val="0"/>
              <w:adjustRightInd w:val="0"/>
              <w:spacing w:line="360" w:lineRule="auto"/>
              <w:jc w:val="left"/>
              <w:rPr>
                <w:rFonts w:hint="eastAsia" w:ascii="宋体" w:hAnsi="宋体" w:eastAsia="宋体" w:cs="宋体"/>
                <w:sz w:val="24"/>
                <w:szCs w:val="24"/>
                <w:lang w:val="en-US" w:eastAsia="zh-CN"/>
              </w:rPr>
            </w:pPr>
            <w:r>
              <w:rPr>
                <w:rFonts w:hint="eastAsia"/>
                <w:vertAlign w:val="baseline"/>
                <w:lang w:val="en-US" w:eastAsia="zh-CN"/>
              </w:rPr>
              <w:t>技术参数证明材料（</w:t>
            </w:r>
            <w:r>
              <w:rPr>
                <w:rFonts w:hint="eastAsia" w:ascii="宋体" w:hAnsi="宋体" w:eastAsia="宋体" w:cs="宋体"/>
                <w:sz w:val="24"/>
                <w:szCs w:val="24"/>
                <w:lang w:val="en-US" w:eastAsia="zh-CN"/>
              </w:rPr>
              <w:t>中国CQC节能产品认证</w:t>
            </w:r>
            <w:r>
              <w:rPr>
                <w:rFonts w:hint="eastAsia" w:hAnsi="宋体" w:eastAsia="宋体" w:cs="宋体"/>
                <w:sz w:val="24"/>
                <w:szCs w:val="24"/>
                <w:lang w:val="en-US" w:eastAsia="zh-CN"/>
              </w:rPr>
              <w:t>、</w:t>
            </w:r>
            <w:r>
              <w:rPr>
                <w:rFonts w:hint="eastAsia" w:ascii="宋体" w:hAnsi="宋体" w:eastAsia="宋体" w:cs="宋体"/>
                <w:sz w:val="24"/>
                <w:szCs w:val="24"/>
                <w:lang w:val="en-US" w:eastAsia="zh-CN"/>
              </w:rPr>
              <w:t>防腐等级WFI认证</w:t>
            </w:r>
            <w:r>
              <w:rPr>
                <w:rFonts w:hint="eastAsia" w:hAnsi="宋体" w:eastAsia="宋体" w:cs="宋体"/>
                <w:sz w:val="24"/>
                <w:szCs w:val="24"/>
                <w:lang w:val="en-US" w:eastAsia="zh-CN"/>
              </w:rPr>
              <w:t>、</w:t>
            </w:r>
            <w:r>
              <w:rPr>
                <w:rFonts w:hint="eastAsia" w:ascii="宋体" w:hAnsi="宋体" w:eastAsia="宋体" w:cs="宋体"/>
                <w:sz w:val="24"/>
                <w:szCs w:val="24"/>
                <w:lang w:val="en-US" w:eastAsia="zh-CN"/>
              </w:rPr>
              <w:t>电磁兼容性测试认证</w:t>
            </w:r>
            <w:r>
              <w:rPr>
                <w:rFonts w:hint="eastAsia" w:hAnsi="宋体" w:eastAsia="宋体" w:cs="宋体"/>
                <w:sz w:val="24"/>
                <w:szCs w:val="24"/>
                <w:lang w:val="en-US" w:eastAsia="zh-CN"/>
              </w:rPr>
              <w:t>等</w:t>
            </w: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2" w:type="pct"/>
          </w:tcPr>
          <w:p>
            <w:pPr>
              <w:pStyle w:val="6"/>
              <w:widowControl w:val="0"/>
              <w:numPr>
                <w:ilvl w:val="0"/>
                <w:numId w:val="0"/>
              </w:numPr>
              <w:autoSpaceDE w:val="0"/>
              <w:autoSpaceDN w:val="0"/>
              <w:adjustRightInd w:val="0"/>
              <w:spacing w:line="360" w:lineRule="auto"/>
              <w:jc w:val="left"/>
              <w:rPr>
                <w:rFonts w:hint="eastAsia" w:eastAsiaTheme="minorEastAsia"/>
                <w:vertAlign w:val="baseline"/>
                <w:lang w:val="en-US" w:eastAsia="zh-CN"/>
              </w:rPr>
            </w:pPr>
            <w:r>
              <w:rPr>
                <w:rFonts w:hint="eastAsia"/>
                <w:vertAlign w:val="baseline"/>
                <w:lang w:val="en-US" w:eastAsia="zh-CN"/>
              </w:rPr>
              <w:t>7</w:t>
            </w:r>
          </w:p>
        </w:tc>
        <w:tc>
          <w:tcPr>
            <w:tcW w:w="1403" w:type="pct"/>
          </w:tcPr>
          <w:p>
            <w:pPr>
              <w:pStyle w:val="6"/>
              <w:widowControl w:val="0"/>
              <w:numPr>
                <w:ilvl w:val="0"/>
                <w:numId w:val="0"/>
              </w:numPr>
              <w:autoSpaceDE w:val="0"/>
              <w:autoSpaceDN w:val="0"/>
              <w:adjustRightInd w:val="0"/>
              <w:spacing w:line="360" w:lineRule="auto"/>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废气处理</w:t>
            </w:r>
            <w:r>
              <w:rPr>
                <w:rFonts w:hint="eastAsia" w:hAnsi="宋体" w:eastAsia="宋体" w:cs="宋体"/>
                <w:sz w:val="24"/>
                <w:szCs w:val="24"/>
                <w:lang w:val="en-US" w:eastAsia="zh-CN"/>
              </w:rPr>
              <w:t>装置</w:t>
            </w:r>
          </w:p>
        </w:tc>
        <w:tc>
          <w:tcPr>
            <w:tcW w:w="2724" w:type="pct"/>
          </w:tcPr>
          <w:p>
            <w:pPr>
              <w:pStyle w:val="6"/>
              <w:widowControl w:val="0"/>
              <w:numPr>
                <w:ilvl w:val="0"/>
                <w:numId w:val="0"/>
              </w:numPr>
              <w:autoSpaceDE w:val="0"/>
              <w:autoSpaceDN w:val="0"/>
              <w:adjustRightInd w:val="0"/>
              <w:spacing w:line="360" w:lineRule="auto"/>
              <w:jc w:val="left"/>
              <w:rPr>
                <w:rFonts w:hint="eastAsia" w:ascii="宋体" w:hAnsi="宋体" w:eastAsia="宋体" w:cs="宋体"/>
                <w:sz w:val="24"/>
                <w:szCs w:val="24"/>
                <w:lang w:val="en-US" w:eastAsia="zh-CN"/>
              </w:rPr>
            </w:pPr>
            <w:r>
              <w:rPr>
                <w:rFonts w:hint="eastAsia"/>
                <w:vertAlign w:val="baseline"/>
                <w:lang w:val="en-US" w:eastAsia="zh-CN"/>
              </w:rPr>
              <w:t>技术参数证明材料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2" w:type="pct"/>
          </w:tcPr>
          <w:p>
            <w:pPr>
              <w:pStyle w:val="6"/>
              <w:widowControl w:val="0"/>
              <w:numPr>
                <w:ilvl w:val="0"/>
                <w:numId w:val="0"/>
              </w:numPr>
              <w:autoSpaceDE w:val="0"/>
              <w:autoSpaceDN w:val="0"/>
              <w:adjustRightInd w:val="0"/>
              <w:spacing w:line="360" w:lineRule="auto"/>
              <w:jc w:val="left"/>
              <w:rPr>
                <w:rFonts w:hint="eastAsia" w:eastAsiaTheme="minorEastAsia"/>
                <w:vertAlign w:val="baseline"/>
                <w:lang w:val="en-US" w:eastAsia="zh-CN"/>
              </w:rPr>
            </w:pPr>
            <w:r>
              <w:rPr>
                <w:rFonts w:hint="eastAsia"/>
                <w:vertAlign w:val="baseline"/>
                <w:lang w:val="en-US" w:eastAsia="zh-CN"/>
              </w:rPr>
              <w:t>8</w:t>
            </w:r>
          </w:p>
        </w:tc>
        <w:tc>
          <w:tcPr>
            <w:tcW w:w="1403" w:type="pct"/>
          </w:tcPr>
          <w:p>
            <w:pPr>
              <w:pStyle w:val="6"/>
              <w:widowControl w:val="0"/>
              <w:numPr>
                <w:ilvl w:val="0"/>
                <w:numId w:val="0"/>
              </w:numPr>
              <w:autoSpaceDE w:val="0"/>
              <w:autoSpaceDN w:val="0"/>
              <w:adjustRightInd w:val="0"/>
              <w:spacing w:line="360" w:lineRule="auto"/>
              <w:jc w:val="left"/>
              <w:rPr>
                <w:rFonts w:hint="eastAsia" w:ascii="宋体" w:hAnsi="宋体" w:eastAsia="宋体" w:cs="宋体"/>
                <w:b/>
                <w:bCs/>
                <w:sz w:val="24"/>
                <w:szCs w:val="24"/>
                <w:lang w:val="en-US" w:eastAsia="zh-CN"/>
              </w:rPr>
            </w:pPr>
            <w:r>
              <w:rPr>
                <w:rFonts w:hint="eastAsia" w:ascii="宋体" w:hAnsi="宋体" w:eastAsia="宋体" w:cs="宋体"/>
                <w:sz w:val="24"/>
                <w:szCs w:val="24"/>
                <w:lang w:val="en-US" w:eastAsia="zh-CN"/>
              </w:rPr>
              <w:t>废水处理设置</w:t>
            </w:r>
          </w:p>
        </w:tc>
        <w:tc>
          <w:tcPr>
            <w:tcW w:w="2724" w:type="pct"/>
          </w:tcPr>
          <w:p>
            <w:pPr>
              <w:pStyle w:val="6"/>
              <w:widowControl w:val="0"/>
              <w:numPr>
                <w:ilvl w:val="0"/>
                <w:numId w:val="0"/>
              </w:numPr>
              <w:autoSpaceDE w:val="0"/>
              <w:autoSpaceDN w:val="0"/>
              <w:adjustRightInd w:val="0"/>
              <w:spacing w:line="360" w:lineRule="auto"/>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技术参数证明材料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2" w:type="pct"/>
          </w:tcPr>
          <w:p>
            <w:pPr>
              <w:pStyle w:val="6"/>
              <w:widowControl w:val="0"/>
              <w:numPr>
                <w:ilvl w:val="0"/>
                <w:numId w:val="0"/>
              </w:numPr>
              <w:autoSpaceDE w:val="0"/>
              <w:autoSpaceDN w:val="0"/>
              <w:adjustRightInd w:val="0"/>
              <w:spacing w:line="360" w:lineRule="auto"/>
              <w:jc w:val="left"/>
              <w:rPr>
                <w:rFonts w:hint="default"/>
                <w:vertAlign w:val="baseline"/>
                <w:lang w:val="en-US" w:eastAsia="zh-CN"/>
              </w:rPr>
            </w:pPr>
            <w:r>
              <w:rPr>
                <w:rFonts w:hint="eastAsia"/>
                <w:vertAlign w:val="baseline"/>
                <w:lang w:val="en-US" w:eastAsia="zh-CN"/>
              </w:rPr>
              <w:t>9</w:t>
            </w:r>
          </w:p>
        </w:tc>
        <w:tc>
          <w:tcPr>
            <w:tcW w:w="1403" w:type="pct"/>
          </w:tcPr>
          <w:p>
            <w:pPr>
              <w:pStyle w:val="6"/>
              <w:widowControl w:val="0"/>
              <w:numPr>
                <w:ilvl w:val="0"/>
                <w:numId w:val="0"/>
              </w:numPr>
              <w:autoSpaceDE w:val="0"/>
              <w:autoSpaceDN w:val="0"/>
              <w:adjustRightInd w:val="0"/>
              <w:spacing w:line="360" w:lineRule="auto"/>
              <w:jc w:val="left"/>
              <w:rPr>
                <w:rFonts w:hint="default" w:ascii="宋体" w:hAnsi="宋体" w:eastAsia="宋体" w:cs="宋体"/>
                <w:sz w:val="24"/>
                <w:szCs w:val="24"/>
                <w:lang w:val="en-US" w:eastAsia="zh-CN"/>
              </w:rPr>
            </w:pPr>
            <w:r>
              <w:rPr>
                <w:rFonts w:hint="eastAsia" w:hAnsi="宋体" w:eastAsia="宋体" w:cs="宋体"/>
                <w:sz w:val="24"/>
                <w:szCs w:val="24"/>
                <w:lang w:val="en-US" w:eastAsia="zh-CN"/>
              </w:rPr>
              <w:t>药品柜/试剂柜</w:t>
            </w:r>
          </w:p>
        </w:tc>
        <w:tc>
          <w:tcPr>
            <w:tcW w:w="2724" w:type="pct"/>
          </w:tcPr>
          <w:p>
            <w:pPr>
              <w:pStyle w:val="6"/>
              <w:widowControl w:val="0"/>
              <w:numPr>
                <w:ilvl w:val="0"/>
                <w:numId w:val="0"/>
              </w:numPr>
              <w:autoSpaceDE w:val="0"/>
              <w:autoSpaceDN w:val="0"/>
              <w:adjustRightInd w:val="0"/>
              <w:spacing w:line="360" w:lineRule="auto"/>
              <w:jc w:val="left"/>
              <w:rPr>
                <w:rFonts w:hint="eastAsia" w:ascii="宋体" w:hAnsi="宋体" w:eastAsia="宋体" w:cs="宋体"/>
                <w:sz w:val="24"/>
                <w:szCs w:val="24"/>
                <w:lang w:val="en-US" w:eastAsia="zh-CN"/>
              </w:rPr>
            </w:pPr>
            <w:r>
              <w:rPr>
                <w:rFonts w:hint="eastAsia" w:hAnsi="宋体" w:eastAsia="宋体" w:cs="宋体"/>
                <w:sz w:val="24"/>
                <w:szCs w:val="24"/>
                <w:lang w:val="en-US" w:eastAsia="zh-CN"/>
              </w:rPr>
              <w:t>结构单件图或单个品类效果图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2" w:type="pct"/>
          </w:tcPr>
          <w:p>
            <w:pPr>
              <w:pStyle w:val="6"/>
              <w:widowControl w:val="0"/>
              <w:numPr>
                <w:ilvl w:val="0"/>
                <w:numId w:val="0"/>
              </w:numPr>
              <w:autoSpaceDE w:val="0"/>
              <w:autoSpaceDN w:val="0"/>
              <w:adjustRightInd w:val="0"/>
              <w:spacing w:line="360" w:lineRule="auto"/>
              <w:jc w:val="left"/>
              <w:rPr>
                <w:rFonts w:hint="default"/>
                <w:vertAlign w:val="baseline"/>
                <w:lang w:val="en-US" w:eastAsia="zh-CN"/>
              </w:rPr>
            </w:pPr>
            <w:r>
              <w:rPr>
                <w:rFonts w:hint="eastAsia"/>
                <w:vertAlign w:val="baseline"/>
                <w:lang w:val="en-US" w:eastAsia="zh-CN"/>
              </w:rPr>
              <w:t>10</w:t>
            </w:r>
          </w:p>
        </w:tc>
        <w:tc>
          <w:tcPr>
            <w:tcW w:w="1403" w:type="pct"/>
          </w:tcPr>
          <w:p>
            <w:pPr>
              <w:pStyle w:val="6"/>
              <w:widowControl w:val="0"/>
              <w:numPr>
                <w:ilvl w:val="0"/>
                <w:numId w:val="0"/>
              </w:numPr>
              <w:autoSpaceDE w:val="0"/>
              <w:autoSpaceDN w:val="0"/>
              <w:adjustRightInd w:val="0"/>
              <w:spacing w:line="360" w:lineRule="auto"/>
              <w:jc w:val="left"/>
              <w:rPr>
                <w:rFonts w:hint="eastAsia" w:hAnsi="宋体" w:eastAsia="宋体" w:cs="宋体"/>
                <w:sz w:val="24"/>
                <w:szCs w:val="24"/>
                <w:lang w:val="en-US" w:eastAsia="zh-CN"/>
              </w:rPr>
            </w:pPr>
            <w:r>
              <w:rPr>
                <w:rFonts w:hint="eastAsia" w:hAnsi="宋体" w:eastAsia="宋体" w:cs="宋体"/>
                <w:sz w:val="24"/>
                <w:szCs w:val="24"/>
                <w:lang w:val="en-US" w:eastAsia="zh-CN"/>
              </w:rPr>
              <w:t>通风柜</w:t>
            </w:r>
          </w:p>
        </w:tc>
        <w:tc>
          <w:tcPr>
            <w:tcW w:w="2724" w:type="pct"/>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hAnsi="宋体" w:eastAsia="宋体" w:cs="宋体"/>
                <w:sz w:val="24"/>
                <w:szCs w:val="24"/>
                <w:lang w:val="en-US" w:eastAsia="zh-CN"/>
              </w:rPr>
            </w:pPr>
            <w:r>
              <w:rPr>
                <w:rFonts w:hint="eastAsia" w:ascii="宋体" w:hAnsi="宋体" w:eastAsia="宋体" w:cs="宋体"/>
                <w:sz w:val="24"/>
                <w:szCs w:val="24"/>
                <w:lang w:val="en-US" w:eastAsia="zh-CN"/>
              </w:rPr>
              <w:t>提供结构单件图或单个品类效果图等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2" w:type="pct"/>
          </w:tcPr>
          <w:p>
            <w:pPr>
              <w:pStyle w:val="6"/>
              <w:widowControl w:val="0"/>
              <w:numPr>
                <w:ilvl w:val="0"/>
                <w:numId w:val="0"/>
              </w:numPr>
              <w:autoSpaceDE w:val="0"/>
              <w:autoSpaceDN w:val="0"/>
              <w:adjustRightInd w:val="0"/>
              <w:spacing w:line="360" w:lineRule="auto"/>
              <w:jc w:val="left"/>
              <w:rPr>
                <w:rFonts w:hint="default"/>
                <w:vertAlign w:val="baseline"/>
                <w:lang w:val="en-US" w:eastAsia="zh-CN"/>
              </w:rPr>
            </w:pPr>
            <w:r>
              <w:rPr>
                <w:rFonts w:hint="eastAsia"/>
                <w:vertAlign w:val="baseline"/>
                <w:lang w:val="en-US" w:eastAsia="zh-CN"/>
              </w:rPr>
              <w:t>11</w:t>
            </w:r>
          </w:p>
        </w:tc>
        <w:tc>
          <w:tcPr>
            <w:tcW w:w="1403" w:type="pct"/>
          </w:tcPr>
          <w:p>
            <w:pPr>
              <w:pStyle w:val="6"/>
              <w:widowControl w:val="0"/>
              <w:numPr>
                <w:ilvl w:val="0"/>
                <w:numId w:val="0"/>
              </w:numPr>
              <w:autoSpaceDE w:val="0"/>
              <w:autoSpaceDN w:val="0"/>
              <w:adjustRightInd w:val="0"/>
              <w:spacing w:line="360" w:lineRule="auto"/>
              <w:jc w:val="left"/>
              <w:rPr>
                <w:rFonts w:hint="default" w:hAnsi="宋体" w:eastAsia="宋体" w:cs="宋体"/>
                <w:sz w:val="24"/>
                <w:szCs w:val="24"/>
                <w:lang w:val="en-US" w:eastAsia="zh-CN"/>
              </w:rPr>
            </w:pPr>
            <w:r>
              <w:rPr>
                <w:rFonts w:hint="eastAsia" w:hAnsi="宋体" w:eastAsia="宋体" w:cs="宋体"/>
                <w:sz w:val="24"/>
                <w:szCs w:val="24"/>
                <w:lang w:val="en-US" w:eastAsia="zh-CN"/>
              </w:rPr>
              <w:t>生化培养箱</w:t>
            </w:r>
          </w:p>
        </w:tc>
        <w:tc>
          <w:tcPr>
            <w:tcW w:w="2724" w:type="pct"/>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提供生化培养箱品牌、型号、技术参数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2" w:type="pct"/>
          </w:tcPr>
          <w:p>
            <w:pPr>
              <w:pStyle w:val="6"/>
              <w:widowControl w:val="0"/>
              <w:numPr>
                <w:ilvl w:val="0"/>
                <w:numId w:val="0"/>
              </w:numPr>
              <w:autoSpaceDE w:val="0"/>
              <w:autoSpaceDN w:val="0"/>
              <w:adjustRightInd w:val="0"/>
              <w:spacing w:line="360" w:lineRule="auto"/>
              <w:jc w:val="left"/>
              <w:rPr>
                <w:rFonts w:hint="default"/>
                <w:vertAlign w:val="baseline"/>
                <w:lang w:val="en-US" w:eastAsia="zh-CN"/>
              </w:rPr>
            </w:pPr>
            <w:r>
              <w:rPr>
                <w:rFonts w:hint="eastAsia"/>
                <w:vertAlign w:val="baseline"/>
                <w:lang w:val="en-US" w:eastAsia="zh-CN"/>
              </w:rPr>
              <w:t>12</w:t>
            </w:r>
          </w:p>
        </w:tc>
        <w:tc>
          <w:tcPr>
            <w:tcW w:w="1403" w:type="pct"/>
          </w:tcPr>
          <w:p>
            <w:pPr>
              <w:pStyle w:val="6"/>
              <w:widowControl w:val="0"/>
              <w:numPr>
                <w:ilvl w:val="0"/>
                <w:numId w:val="0"/>
              </w:numPr>
              <w:autoSpaceDE w:val="0"/>
              <w:autoSpaceDN w:val="0"/>
              <w:adjustRightInd w:val="0"/>
              <w:spacing w:line="360" w:lineRule="auto"/>
              <w:jc w:val="left"/>
              <w:rPr>
                <w:rFonts w:hint="default" w:hAnsi="宋体" w:eastAsia="宋体" w:cs="宋体"/>
                <w:sz w:val="24"/>
                <w:szCs w:val="24"/>
                <w:lang w:val="en-US" w:eastAsia="zh-CN"/>
              </w:rPr>
            </w:pPr>
            <w:r>
              <w:rPr>
                <w:rFonts w:hint="eastAsia" w:hAnsi="宋体" w:eastAsia="宋体" w:cs="宋体"/>
                <w:sz w:val="24"/>
                <w:szCs w:val="24"/>
                <w:lang w:val="en-US" w:eastAsia="zh-CN"/>
              </w:rPr>
              <w:t>净化工作台</w:t>
            </w:r>
          </w:p>
        </w:tc>
        <w:tc>
          <w:tcPr>
            <w:tcW w:w="2724" w:type="pct"/>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提供设备品牌、型号、技术参数</w:t>
            </w:r>
          </w:p>
        </w:tc>
      </w:tr>
    </w:tbl>
    <w:p>
      <w:pPr>
        <w:pStyle w:val="6"/>
        <w:widowControl w:val="0"/>
        <w:numPr>
          <w:ilvl w:val="0"/>
          <w:numId w:val="0"/>
        </w:numPr>
        <w:autoSpaceDE w:val="0"/>
        <w:autoSpaceDN w:val="0"/>
        <w:adjustRightInd w:val="0"/>
        <w:spacing w:line="360" w:lineRule="auto"/>
        <w:jc w:val="left"/>
      </w:pPr>
    </w:p>
    <w:p>
      <w:pPr>
        <w:pStyle w:val="6"/>
        <w:widowControl w:val="0"/>
        <w:numPr>
          <w:ilvl w:val="0"/>
          <w:numId w:val="0"/>
        </w:numPr>
        <w:autoSpaceDE w:val="0"/>
        <w:autoSpaceDN w:val="0"/>
        <w:adjustRightInd w:val="0"/>
        <w:spacing w:line="360" w:lineRule="auto"/>
        <w:jc w:val="left"/>
      </w:pPr>
    </w:p>
    <w:p>
      <w:pPr>
        <w:pStyle w:val="6"/>
        <w:ind w:left="0" w:leftChars="0" w:firstLine="0" w:firstLineChars="0"/>
        <w:rPr>
          <w:rFonts w:hint="eastAsia" w:asciiTheme="minorEastAsia" w:hAnsiTheme="minorEastAsia" w:eastAsiaTheme="minorEastAsia" w:cstheme="minorEastAsia"/>
          <w:i w:val="0"/>
          <w:iCs w:val="0"/>
          <w:color w:val="FF0000"/>
          <w:sz w:val="28"/>
          <w:szCs w:val="28"/>
          <w:highlight w:val="none"/>
          <w:u w:val="none"/>
          <w:lang w:val="en-US" w:eastAsia="zh-CN"/>
        </w:rPr>
      </w:pPr>
    </w:p>
    <w:permEnd w:id="125"/>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bookmarkStart w:id="90" w:name="_Toc247527827"/>
      <w:bookmarkStart w:id="91" w:name="_Toc152042576"/>
      <w:bookmarkStart w:id="92" w:name="_Toc152045787"/>
      <w:bookmarkStart w:id="93" w:name="_Toc247514246"/>
      <w:bookmarkStart w:id="94" w:name="_Toc300835209"/>
      <w:bookmarkStart w:id="95" w:name="_Toc144974856"/>
      <w:r>
        <w:rPr>
          <w:rFonts w:hint="default" w:ascii="Times New Roman" w:hAnsi="Times New Roman" w:cs="Times New Roman"/>
        </w:rPr>
        <w:t>目    录</w:t>
      </w:r>
      <w:bookmarkEnd w:id="90"/>
      <w:bookmarkEnd w:id="91"/>
      <w:bookmarkEnd w:id="92"/>
      <w:bookmarkEnd w:id="93"/>
      <w:bookmarkEnd w:id="94"/>
      <w:bookmarkEnd w:id="95"/>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五、施工组织设计</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cs="Times New Roman"/>
        </w:rPr>
      </w:pPr>
      <w:bookmarkStart w:id="96" w:name="_Toc247514247"/>
      <w:bookmarkStart w:id="97" w:name="_Toc247527828"/>
      <w:bookmarkStart w:id="98" w:name="_Toc152042577"/>
      <w:bookmarkStart w:id="99" w:name="_Toc152045788"/>
      <w:bookmarkStart w:id="100" w:name="_Toc144974857"/>
      <w:bookmarkStart w:id="101" w:name="_Toc300835210"/>
      <w:r>
        <w:rPr>
          <w:rFonts w:hint="default" w:ascii="Times New Roman" w:hAnsi="Times New Roman" w:cs="Times New Roman"/>
        </w:rPr>
        <w:t>一、投标函及投标函附录</w:t>
      </w:r>
      <w:bookmarkEnd w:id="96"/>
      <w:bookmarkEnd w:id="97"/>
      <w:bookmarkEnd w:id="98"/>
      <w:bookmarkEnd w:id="99"/>
      <w:bookmarkEnd w:id="100"/>
      <w:bookmarkEnd w:id="101"/>
    </w:p>
    <w:p>
      <w:pPr>
        <w:spacing w:line="440" w:lineRule="exact"/>
        <w:rPr>
          <w:rFonts w:hint="default" w:ascii="Times New Roman" w:hAnsi="Times New Roman" w:eastAsia="黑体" w:cs="Times New Roman"/>
          <w:sz w:val="20"/>
          <w:szCs w:val="20"/>
        </w:rPr>
      </w:pPr>
    </w:p>
    <w:p>
      <w:pPr>
        <w:pStyle w:val="5"/>
        <w:rPr>
          <w:rFonts w:hint="default" w:ascii="Times New Roman" w:hAnsi="Times New Roman" w:cs="Times New Roman"/>
        </w:rPr>
      </w:pPr>
      <w:bookmarkStart w:id="102" w:name="_Toc152045789"/>
      <w:bookmarkStart w:id="103" w:name="_Toc247527829"/>
      <w:bookmarkStart w:id="104" w:name="_Toc300835211"/>
      <w:bookmarkStart w:id="105" w:name="_Toc144974858"/>
      <w:bookmarkStart w:id="106" w:name="_Toc152042578"/>
      <w:bookmarkStart w:id="107" w:name="_Toc247514248"/>
      <w:r>
        <w:rPr>
          <w:rFonts w:hint="default" w:ascii="Times New Roman" w:hAnsi="Times New Roman" w:cs="Times New Roman"/>
        </w:rPr>
        <w:t>（一）投标函</w:t>
      </w:r>
      <w:bookmarkEnd w:id="102"/>
      <w:bookmarkEnd w:id="103"/>
      <w:bookmarkEnd w:id="104"/>
      <w:bookmarkEnd w:id="105"/>
      <w:bookmarkEnd w:id="106"/>
      <w:bookmarkEnd w:id="10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（项目名称）招标文件的全部内容，愿意以</w:t>
      </w:r>
      <w:permStart w:id="126"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    ）</w:t>
      </w:r>
      <w:permEnd w:id="126"/>
      <w:r>
        <w:rPr>
          <w:rFonts w:hint="eastAsia" w:ascii="Times New Roman" w:hAnsi="Times New Roman" w:cs="Times New Roman"/>
          <w:szCs w:val="21"/>
          <w:lang w:val="en-US" w:eastAsia="zh-CN"/>
        </w:rPr>
        <w:t>，工期</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5"/>
        <w:rPr>
          <w:rFonts w:hint="default" w:ascii="Times New Roman" w:hAnsi="Times New Roman" w:cs="Times New Roman"/>
        </w:rPr>
      </w:pPr>
      <w:bookmarkStart w:id="108" w:name="_Toc247527830"/>
      <w:bookmarkStart w:id="109" w:name="_Toc247514249"/>
      <w:bookmarkStart w:id="110" w:name="_Toc152042579"/>
      <w:bookmarkStart w:id="111" w:name="_Toc144974859"/>
      <w:bookmarkStart w:id="112" w:name="_Toc152045790"/>
      <w:bookmarkStart w:id="113" w:name="_Toc300835212"/>
    </w:p>
    <w:p>
      <w:pPr>
        <w:pStyle w:val="5"/>
        <w:rPr>
          <w:rFonts w:hint="default" w:ascii="Times New Roman" w:hAnsi="Times New Roman" w:cs="Times New Roman"/>
        </w:rPr>
      </w:pPr>
      <w:r>
        <w:rPr>
          <w:rFonts w:hint="default" w:ascii="Times New Roman" w:hAnsi="Times New Roman" w:cs="Times New Roman"/>
        </w:rPr>
        <w:t>（二）投标函附录</w:t>
      </w:r>
      <w:bookmarkEnd w:id="108"/>
      <w:bookmarkEnd w:id="109"/>
      <w:bookmarkEnd w:id="110"/>
      <w:bookmarkEnd w:id="111"/>
      <w:bookmarkEnd w:id="112"/>
      <w:bookmarkEnd w:id="113"/>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4"/>
        <w:jc w:val="center"/>
        <w:rPr>
          <w:rFonts w:hint="default" w:ascii="Times New Roman" w:hAnsi="Times New Roman" w:cs="Times New Roman"/>
        </w:rPr>
      </w:pPr>
      <w:bookmarkStart w:id="114" w:name="_Toc144974860"/>
      <w:bookmarkStart w:id="115" w:name="_Toc152042580"/>
      <w:bookmarkStart w:id="116" w:name="_Toc247527831"/>
      <w:bookmarkStart w:id="117" w:name="_Toc247514283"/>
      <w:bookmarkStart w:id="118" w:name="_Toc300835213"/>
      <w:bookmarkStart w:id="119" w:name="_Toc152045791"/>
      <w:r>
        <w:rPr>
          <w:rFonts w:hint="default" w:ascii="Times New Roman" w:hAnsi="Times New Roman" w:cs="Times New Roman"/>
        </w:rPr>
        <w:t>二、法定代表人身份证明</w:t>
      </w:r>
      <w:bookmarkEnd w:id="114"/>
      <w:bookmarkEnd w:id="115"/>
      <w:bookmarkEnd w:id="116"/>
      <w:bookmarkEnd w:id="117"/>
      <w:bookmarkEnd w:id="118"/>
      <w:bookmarkEnd w:id="11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jc w:val="center"/>
        <w:rPr>
          <w:rFonts w:hint="default" w:ascii="Times New Roman" w:hAnsi="Times New Roman" w:cs="Times New Roman"/>
        </w:rPr>
      </w:pPr>
      <w:bookmarkStart w:id="120" w:name="_Toc144974861"/>
      <w:bookmarkStart w:id="121" w:name="_Toc152045792"/>
      <w:bookmarkStart w:id="122" w:name="_Toc152042581"/>
      <w:bookmarkStart w:id="123" w:name="_Toc300835214"/>
      <w:bookmarkStart w:id="124" w:name="_Toc247514284"/>
      <w:bookmarkStart w:id="125" w:name="_Toc247527832"/>
      <w:r>
        <w:rPr>
          <w:rFonts w:hint="default" w:ascii="Times New Roman" w:hAnsi="Times New Roman" w:cs="Times New Roman"/>
        </w:rPr>
        <w:t>二、授权委托书</w:t>
      </w:r>
      <w:bookmarkEnd w:id="120"/>
      <w:bookmarkEnd w:id="121"/>
      <w:bookmarkEnd w:id="122"/>
      <w:bookmarkEnd w:id="123"/>
      <w:bookmarkEnd w:id="124"/>
      <w:bookmarkEnd w:id="12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附：法定代表人身份证明、委托代理人身份证复印件、委托代理人2022年1月以来任意连续3个月的养老保险证明复印件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4"/>
        <w:jc w:val="center"/>
        <w:rPr>
          <w:rFonts w:hint="default" w:ascii="Times New Roman" w:hAnsi="Times New Roman" w:cs="Times New Roman"/>
        </w:rPr>
      </w:pPr>
      <w:bookmarkStart w:id="126" w:name="_Toc300835216"/>
      <w:bookmarkStart w:id="127" w:name="_Toc247527834"/>
      <w:bookmarkStart w:id="128" w:name="_Toc144974862"/>
      <w:bookmarkStart w:id="129" w:name="_Toc247514286"/>
      <w:bookmarkStart w:id="130" w:name="_Toc152042583"/>
      <w:bookmarkStart w:id="131" w:name="_Toc152045794"/>
      <w:r>
        <w:rPr>
          <w:rFonts w:hint="default" w:ascii="Times New Roman" w:hAnsi="Times New Roman" w:cs="Times New Roman"/>
          <w:lang w:val="en-US" w:eastAsia="zh-CN"/>
        </w:rPr>
        <w:t>三</w:t>
      </w:r>
      <w:r>
        <w:rPr>
          <w:rFonts w:hint="default" w:ascii="Times New Roman" w:hAnsi="Times New Roman" w:cs="Times New Roman"/>
        </w:rPr>
        <w:t>、投标保证金</w:t>
      </w:r>
      <w:bookmarkEnd w:id="126"/>
      <w:bookmarkEnd w:id="127"/>
      <w:bookmarkEnd w:id="128"/>
      <w:bookmarkEnd w:id="129"/>
      <w:bookmarkEnd w:id="130"/>
      <w:bookmarkEnd w:id="13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3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32"/>
    <w:p>
      <w:pPr>
        <w:rPr>
          <w:rFonts w:hint="default" w:ascii="Times New Roman" w:hAnsi="Times New Roman" w:cs="Times New Roman"/>
        </w:rPr>
      </w:pPr>
      <w:bookmarkStart w:id="133" w:name="_Toc300835218"/>
      <w:bookmarkStart w:id="134" w:name="_Toc247527835"/>
      <w:bookmarkStart w:id="135" w:name="_Toc247514287"/>
      <w:bookmarkStart w:id="136" w:name="_Toc152042584"/>
      <w:bookmarkStart w:id="137" w:name="_Toc144974863"/>
      <w:bookmarkStart w:id="138" w:name="_Toc152045795"/>
      <w:r>
        <w:rPr>
          <w:rFonts w:hint="default" w:ascii="Times New Roman" w:hAnsi="Times New Roman" w:cs="Times New Roman"/>
        </w:rPr>
        <w:br w:type="page"/>
      </w:r>
    </w:p>
    <w:p>
      <w:pPr>
        <w:pStyle w:val="4"/>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133"/>
      <w:bookmarkEnd w:id="134"/>
      <w:bookmarkEnd w:id="135"/>
      <w:bookmarkEnd w:id="136"/>
      <w:bookmarkEnd w:id="137"/>
      <w:bookmarkEnd w:id="138"/>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139" w:name="_Toc144974864"/>
      <w:bookmarkStart w:id="140" w:name="_Toc152045796"/>
      <w:bookmarkStart w:id="141" w:name="_Toc300835221"/>
      <w:bookmarkStart w:id="142" w:name="_Toc247514288"/>
      <w:bookmarkStart w:id="143" w:name="_Toc247527836"/>
      <w:bookmarkStart w:id="144" w:name="_Toc152042585"/>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4"/>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139"/>
      <w:bookmarkEnd w:id="140"/>
      <w:bookmarkEnd w:id="141"/>
      <w:bookmarkEnd w:id="142"/>
      <w:bookmarkEnd w:id="143"/>
      <w:bookmarkEnd w:id="144"/>
      <w:r>
        <w:rPr>
          <w:rFonts w:hint="eastAsia" w:ascii="Times New Roman" w:hAnsi="Times New Roman" w:cs="Times New Roman"/>
          <w:highlight w:val="none"/>
          <w:lang w:val="en-US" w:eastAsia="zh-CN"/>
        </w:rPr>
        <w:t>施工组织设计</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145"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施工组织设计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5"/>
        <w:rPr>
          <w:rFonts w:hint="default" w:ascii="Times New Roman" w:hAnsi="Times New Roman" w:cs="Times New Roman"/>
        </w:rPr>
      </w:pPr>
      <w:bookmarkStart w:id="146" w:name="_Toc179632817"/>
      <w:bookmarkStart w:id="147" w:name="_Toc152045797"/>
      <w:bookmarkStart w:id="148" w:name="_Toc144974865"/>
      <w:bookmarkStart w:id="149" w:name="_Toc246997108"/>
      <w:bookmarkStart w:id="150" w:name="_Toc296602610"/>
      <w:bookmarkStart w:id="151" w:name="_Toc152042586"/>
      <w:bookmarkStart w:id="152" w:name="_Toc246996365"/>
      <w:bookmarkStart w:id="153" w:name="_Toc247085883"/>
      <w:r>
        <w:rPr>
          <w:rFonts w:hint="default" w:ascii="Times New Roman" w:hAnsi="Times New Roman" w:cs="Times New Roman"/>
        </w:rPr>
        <w:t>附表一：拟投入本项目的主要施工设备表</w:t>
      </w:r>
      <w:bookmarkEnd w:id="146"/>
      <w:bookmarkEnd w:id="147"/>
      <w:bookmarkEnd w:id="148"/>
      <w:bookmarkEnd w:id="149"/>
      <w:bookmarkEnd w:id="150"/>
      <w:bookmarkEnd w:id="151"/>
      <w:bookmarkEnd w:id="152"/>
      <w:bookmarkEnd w:id="153"/>
    </w:p>
    <w:tbl>
      <w:tblPr>
        <w:tblStyle w:val="1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5"/>
        <w:rPr>
          <w:rFonts w:hint="default" w:ascii="Times New Roman" w:hAnsi="Times New Roman" w:cs="Times New Roman"/>
        </w:rPr>
      </w:pPr>
      <w:bookmarkStart w:id="154" w:name="_Toc179632819"/>
      <w:bookmarkStart w:id="155" w:name="_Toc152042588"/>
      <w:bookmarkStart w:id="156" w:name="_Toc246997109"/>
      <w:bookmarkStart w:id="157" w:name="_Toc152045799"/>
      <w:bookmarkStart w:id="158" w:name="_Toc246996366"/>
      <w:bookmarkStart w:id="159" w:name="_Toc144974867"/>
      <w:bookmarkStart w:id="160" w:name="_Toc247085884"/>
      <w:bookmarkStart w:id="161" w:name="_Toc296602611"/>
      <w:r>
        <w:rPr>
          <w:rFonts w:hint="default" w:ascii="Times New Roman" w:hAnsi="Times New Roman" w:cs="Times New Roman"/>
        </w:rPr>
        <w:t>附表二：劳动力计划表</w:t>
      </w:r>
      <w:bookmarkEnd w:id="154"/>
      <w:bookmarkEnd w:id="155"/>
      <w:bookmarkEnd w:id="156"/>
      <w:bookmarkEnd w:id="157"/>
      <w:bookmarkEnd w:id="158"/>
      <w:bookmarkEnd w:id="159"/>
      <w:bookmarkEnd w:id="160"/>
      <w:bookmarkEnd w:id="161"/>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10"/>
        <w:rPr>
          <w:rFonts w:hint="default" w:ascii="Times New Roman" w:hAnsi="Times New Roman" w:cs="Times New Roman"/>
        </w:rPr>
      </w:pPr>
      <w:bookmarkStart w:id="162" w:name="_Toc152045800"/>
      <w:bookmarkStart w:id="163" w:name="_Toc179632820"/>
      <w:bookmarkStart w:id="164" w:name="_Toc152042589"/>
      <w:bookmarkStart w:id="165" w:name="_Toc144974868"/>
      <w:bookmarkStart w:id="166" w:name="_Toc246997110"/>
      <w:bookmarkStart w:id="167" w:name="_Toc246996367"/>
    </w:p>
    <w:p>
      <w:pPr>
        <w:pStyle w:val="10"/>
        <w:rPr>
          <w:rFonts w:hint="default" w:ascii="Times New Roman" w:hAnsi="Times New Roman" w:cs="Times New Roman"/>
        </w:rPr>
      </w:pPr>
      <w:r>
        <w:rPr>
          <w:rFonts w:hint="default" w:ascii="Times New Roman" w:hAnsi="Times New Roman" w:cs="Times New Roman"/>
        </w:rPr>
        <w:br w:type="page"/>
      </w:r>
    </w:p>
    <w:p>
      <w:pPr>
        <w:pStyle w:val="5"/>
        <w:rPr>
          <w:rFonts w:hint="default" w:ascii="Times New Roman" w:hAnsi="Times New Roman" w:cs="Times New Roman"/>
        </w:rPr>
      </w:pPr>
      <w:bookmarkStart w:id="168" w:name="_Toc296602612"/>
      <w:bookmarkStart w:id="169" w:name="_Toc247085885"/>
      <w:r>
        <w:rPr>
          <w:rFonts w:hint="default" w:ascii="Times New Roman" w:hAnsi="Times New Roman" w:cs="Times New Roman"/>
        </w:rPr>
        <w:t>附表三：进度计划</w:t>
      </w:r>
      <w:bookmarkEnd w:id="162"/>
      <w:bookmarkEnd w:id="163"/>
      <w:bookmarkEnd w:id="164"/>
      <w:bookmarkEnd w:id="165"/>
      <w:bookmarkEnd w:id="166"/>
      <w:bookmarkEnd w:id="167"/>
      <w:bookmarkEnd w:id="168"/>
      <w:bookmarkEnd w:id="169"/>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145"/>
    <w:p>
      <w:pPr>
        <w:pStyle w:val="4"/>
        <w:jc w:val="center"/>
        <w:rPr>
          <w:szCs w:val="21"/>
        </w:rPr>
      </w:pPr>
      <w:bookmarkStart w:id="170" w:name="_Toc144974871"/>
      <w:bookmarkStart w:id="171" w:name="_Toc247085887"/>
      <w:bookmarkStart w:id="172" w:name="_Toc179632823"/>
      <w:bookmarkStart w:id="173" w:name="_Toc296602614"/>
      <w:bookmarkStart w:id="174" w:name="_Toc246996369"/>
      <w:bookmarkStart w:id="175" w:name="_Toc152042592"/>
      <w:bookmarkStart w:id="176" w:name="_Toc152045803"/>
      <w:bookmarkStart w:id="177" w:name="_Toc246997112"/>
      <w:bookmarkStart w:id="178" w:name="_Toc300835224"/>
      <w:bookmarkStart w:id="179" w:name="_Toc247527848"/>
      <w:bookmarkStart w:id="180" w:name="_Toc152045808"/>
      <w:bookmarkStart w:id="181" w:name="_Toc152042597"/>
      <w:bookmarkStart w:id="182" w:name="_Toc247514300"/>
      <w:bookmarkStart w:id="183" w:name="_Toc144974876"/>
      <w:r>
        <w:rPr>
          <w:rFonts w:hint="eastAsia"/>
        </w:rPr>
        <w:t>六</w:t>
      </w:r>
      <w:r>
        <w:t>、项目管理机构</w:t>
      </w:r>
      <w:bookmarkEnd w:id="170"/>
      <w:bookmarkEnd w:id="171"/>
      <w:bookmarkEnd w:id="172"/>
      <w:bookmarkEnd w:id="173"/>
      <w:bookmarkEnd w:id="174"/>
      <w:bookmarkEnd w:id="175"/>
      <w:bookmarkEnd w:id="176"/>
      <w:bookmarkEnd w:id="177"/>
    </w:p>
    <w:p>
      <w:pPr>
        <w:spacing w:line="440" w:lineRule="exact"/>
        <w:jc w:val="center"/>
        <w:rPr>
          <w:rFonts w:eastAsia="黑体"/>
          <w:sz w:val="23"/>
          <w:szCs w:val="23"/>
        </w:rPr>
      </w:pPr>
    </w:p>
    <w:p>
      <w:pPr>
        <w:pStyle w:val="5"/>
        <w:jc w:val="both"/>
      </w:pPr>
      <w:bookmarkStart w:id="184" w:name="_Toc247085888"/>
      <w:bookmarkStart w:id="185" w:name="_Toc246997113"/>
      <w:bookmarkStart w:id="186" w:name="_Toc296602615"/>
      <w:bookmarkStart w:id="187" w:name="_Toc246996370"/>
      <w:r>
        <w:t>（一）项目管理机构组成表</w:t>
      </w:r>
      <w:bookmarkEnd w:id="184"/>
      <w:bookmarkEnd w:id="185"/>
      <w:bookmarkEnd w:id="186"/>
      <w:bookmarkEnd w:id="187"/>
    </w:p>
    <w:p>
      <w:pPr>
        <w:spacing w:line="440" w:lineRule="exact"/>
        <w:jc w:val="center"/>
        <w:rPr>
          <w:rFonts w:eastAsia="黑体"/>
          <w:sz w:val="23"/>
          <w:szCs w:val="23"/>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5"/>
        <w:jc w:val="both"/>
      </w:pPr>
      <w:bookmarkStart w:id="188" w:name="_Toc247085889"/>
      <w:bookmarkStart w:id="189" w:name="_Toc296602616"/>
      <w:bookmarkStart w:id="190" w:name="_Toc246997114"/>
      <w:bookmarkStart w:id="191" w:name="_Toc246996371"/>
      <w:r>
        <w:t>（二）</w:t>
      </w:r>
      <w:r>
        <w:rPr>
          <w:rFonts w:hint="eastAsia"/>
          <w:lang w:eastAsia="zh-CN"/>
        </w:rPr>
        <w:t>项目负责人</w:t>
      </w:r>
      <w:r>
        <w:t>简历表</w:t>
      </w:r>
      <w:bookmarkEnd w:id="188"/>
      <w:bookmarkEnd w:id="189"/>
      <w:bookmarkEnd w:id="190"/>
      <w:bookmarkEnd w:id="191"/>
    </w:p>
    <w:p>
      <w:pPr>
        <w:spacing w:line="400" w:lineRule="exact"/>
        <w:ind w:firstLine="420" w:firstLineChars="200"/>
        <w:rPr>
          <w:rFonts w:hint="eastAsia"/>
        </w:rPr>
      </w:pPr>
      <w:r>
        <w:rPr>
          <w:rFonts w:hint="eastAsia"/>
        </w:rPr>
        <w:t>应附注册建造师执业资格证书、身份证、职称证、学历证、养老保险复印件，管理过的项目业绩须附合同协议书复印件。</w:t>
      </w:r>
    </w:p>
    <w:p>
      <w:pPr>
        <w:topLinePunct/>
        <w:spacing w:line="440" w:lineRule="exact"/>
        <w:jc w:val="center"/>
        <w:rPr>
          <w:rFonts w:eastAsia="黑体"/>
          <w:sz w:val="23"/>
          <w:szCs w:val="23"/>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4"/>
        <w:jc w:val="center"/>
        <w:rPr>
          <w:rFonts w:hint="eastAsia"/>
        </w:rPr>
      </w:pPr>
      <w:bookmarkStart w:id="192" w:name="_Toc144974875"/>
      <w:bookmarkStart w:id="193" w:name="_Toc247085890"/>
      <w:bookmarkStart w:id="194" w:name="_Toc246997115"/>
      <w:bookmarkStart w:id="195" w:name="_Toc152045807"/>
      <w:bookmarkStart w:id="196" w:name="_Toc246996372"/>
      <w:bookmarkStart w:id="197" w:name="_Toc152042596"/>
      <w:bookmarkStart w:id="198" w:name="_Toc179632827"/>
      <w:bookmarkStart w:id="199" w:name="_Toc296602617"/>
      <w:r>
        <w:rPr>
          <w:rFonts w:hint="eastAsia"/>
        </w:rPr>
        <w:t>七</w:t>
      </w:r>
      <w:r>
        <w:t>、资格审查资料</w:t>
      </w:r>
      <w:bookmarkEnd w:id="192"/>
      <w:bookmarkEnd w:id="193"/>
      <w:bookmarkEnd w:id="194"/>
      <w:bookmarkEnd w:id="195"/>
      <w:bookmarkEnd w:id="196"/>
      <w:bookmarkEnd w:id="197"/>
      <w:bookmarkEnd w:id="198"/>
      <w:bookmarkEnd w:id="199"/>
    </w:p>
    <w:p>
      <w:pPr>
        <w:pStyle w:val="5"/>
        <w:jc w:val="both"/>
        <w:rPr>
          <w:rFonts w:hint="eastAsia"/>
        </w:rPr>
      </w:pPr>
      <w:bookmarkStart w:id="200" w:name="_Toc247085891"/>
      <w:bookmarkStart w:id="201" w:name="_Toc296602618"/>
      <w:bookmarkStart w:id="202" w:name="_Toc246997116"/>
      <w:bookmarkStart w:id="203" w:name="_Toc179632828"/>
      <w:bookmarkStart w:id="204" w:name="_Toc246996373"/>
      <w:r>
        <w:t>（一）投标人基本情况表</w:t>
      </w:r>
      <w:bookmarkEnd w:id="200"/>
      <w:bookmarkEnd w:id="201"/>
      <w:bookmarkEnd w:id="202"/>
      <w:bookmarkEnd w:id="203"/>
      <w:bookmarkEnd w:id="204"/>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178"/>
    <w:bookmarkEnd w:id="179"/>
    <w:bookmarkEnd w:id="180"/>
    <w:bookmarkEnd w:id="181"/>
    <w:bookmarkEnd w:id="182"/>
    <w:bookmarkEnd w:id="183"/>
    <w:p>
      <w:pPr>
        <w:pStyle w:val="5"/>
        <w:rPr>
          <w:rFonts w:hint="default" w:ascii="Times New Roman" w:hAnsi="Times New Roman" w:cs="Times New Roman"/>
        </w:rPr>
      </w:pPr>
      <w:bookmarkStart w:id="205" w:name="_Toc247514301"/>
      <w:bookmarkStart w:id="206" w:name="_Toc144974877"/>
      <w:bookmarkStart w:id="207" w:name="_Toc152045809"/>
      <w:bookmarkStart w:id="208" w:name="_Toc152042598"/>
      <w:bookmarkStart w:id="209" w:name="_Toc247527849"/>
      <w:bookmarkStart w:id="210" w:name="_Toc300835225"/>
      <w:r>
        <w:rPr>
          <w:rFonts w:hint="default" w:ascii="Times New Roman" w:hAnsi="Times New Roman" w:cs="Times New Roman"/>
        </w:rPr>
        <w:t>（二）近年财务状况表</w:t>
      </w:r>
      <w:bookmarkEnd w:id="205"/>
      <w:bookmarkEnd w:id="206"/>
      <w:bookmarkEnd w:id="207"/>
      <w:bookmarkEnd w:id="208"/>
      <w:bookmarkEnd w:id="209"/>
      <w:bookmarkEnd w:id="210"/>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5"/>
        <w:rPr>
          <w:rFonts w:hint="default" w:ascii="Times New Roman" w:hAnsi="Times New Roman" w:cs="Times New Roman"/>
        </w:rPr>
      </w:pPr>
      <w:bookmarkStart w:id="211" w:name="_Toc247527850"/>
      <w:bookmarkStart w:id="212" w:name="_Toc300835226"/>
      <w:bookmarkStart w:id="213" w:name="_Toc247514302"/>
      <w:bookmarkStart w:id="214" w:name="_Toc144974878"/>
      <w:bookmarkStart w:id="215" w:name="_Toc152045810"/>
      <w:bookmarkStart w:id="216" w:name="_Toc152042599"/>
      <w:r>
        <w:rPr>
          <w:rFonts w:hint="default" w:ascii="Times New Roman" w:hAnsi="Times New Roman" w:cs="Times New Roman"/>
        </w:rPr>
        <w:t>（三）近年完成的类似项目情况表</w:t>
      </w:r>
      <w:bookmarkEnd w:id="211"/>
      <w:bookmarkEnd w:id="212"/>
      <w:bookmarkEnd w:id="213"/>
      <w:bookmarkEnd w:id="214"/>
      <w:bookmarkEnd w:id="215"/>
      <w:bookmarkEnd w:id="216"/>
    </w:p>
    <w:p>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217" w:name="_Toc152042600"/>
      <w:bookmarkStart w:id="218" w:name="_Toc247527851"/>
      <w:bookmarkStart w:id="219" w:name="_Toc144974879"/>
      <w:bookmarkStart w:id="220" w:name="_Toc247514303"/>
      <w:bookmarkStart w:id="221" w:name="_Toc152045811"/>
    </w:p>
    <w:p>
      <w:pPr>
        <w:spacing w:line="440" w:lineRule="exact"/>
        <w:rPr>
          <w:rFonts w:hint="default" w:ascii="Times New Roman" w:hAnsi="Times New Roman" w:cs="Times New Roman"/>
        </w:rPr>
      </w:pPr>
    </w:p>
    <w:p>
      <w:pPr>
        <w:pStyle w:val="5"/>
        <w:rPr>
          <w:rFonts w:hint="default" w:ascii="Times New Roman" w:hAnsi="Times New Roman" w:cs="Times New Roman"/>
        </w:rPr>
      </w:pPr>
      <w:bookmarkStart w:id="222" w:name="_Toc300835227"/>
      <w:r>
        <w:rPr>
          <w:rFonts w:hint="default" w:ascii="Times New Roman" w:hAnsi="Times New Roman" w:cs="Times New Roman"/>
        </w:rPr>
        <w:t>（四）正在实施的和新承接的项目情况表</w:t>
      </w:r>
      <w:bookmarkEnd w:id="217"/>
      <w:bookmarkEnd w:id="218"/>
      <w:bookmarkEnd w:id="219"/>
      <w:bookmarkEnd w:id="220"/>
      <w:bookmarkEnd w:id="221"/>
      <w:bookmarkEnd w:id="222"/>
    </w:p>
    <w:p>
      <w:pPr>
        <w:spacing w:line="440" w:lineRule="exact"/>
        <w:rPr>
          <w:rFonts w:hint="default" w:ascii="Times New Roman" w:hAnsi="Times New Roman" w:eastAsia="黑体" w:cs="Times New Roman"/>
          <w:sz w:val="20"/>
          <w:szCs w:val="20"/>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223" w:name="_Toc247527852"/>
      <w:bookmarkStart w:id="224" w:name="_Toc152045812"/>
      <w:bookmarkStart w:id="225" w:name="_Toc152042601"/>
      <w:bookmarkStart w:id="226" w:name="_Toc247514304"/>
      <w:bookmarkStart w:id="227" w:name="_Toc144974880"/>
    </w:p>
    <w:p>
      <w:pPr>
        <w:spacing w:line="440" w:lineRule="exact"/>
        <w:rPr>
          <w:rFonts w:hint="default" w:ascii="Times New Roman" w:hAnsi="Times New Roman" w:cs="Times New Roman"/>
        </w:rPr>
      </w:pPr>
    </w:p>
    <w:bookmarkEnd w:id="223"/>
    <w:bookmarkEnd w:id="224"/>
    <w:bookmarkEnd w:id="225"/>
    <w:bookmarkEnd w:id="226"/>
    <w:bookmarkEnd w:id="227"/>
    <w:p>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127" w:edGrp="everyone"/>
      <w:r>
        <w:rPr>
          <w:rFonts w:ascii="Times New Roman" w:hAnsi="Times New Roman"/>
        </w:rPr>
        <w:t>注：</w:t>
      </w:r>
      <w:r>
        <w:rPr>
          <w:rFonts w:hint="eastAsia" w:ascii="Times New Roman" w:hAnsi="Times New Roman"/>
          <w:lang w:val="en-US" w:eastAsia="zh-CN"/>
        </w:rPr>
        <w:t>如有，按招标文件要求提供。</w:t>
      </w:r>
    </w:p>
    <w:permEnd w:id="127"/>
    <w:p>
      <w:pPr>
        <w:spacing w:line="440" w:lineRule="exact"/>
        <w:rPr>
          <w:rFonts w:hint="default" w:ascii="Times New Roman" w:hAnsi="Times New Roman" w:cs="Times New Roman"/>
        </w:rPr>
      </w:pPr>
      <w:r>
        <w:rPr>
          <w:rFonts w:hint="default" w:ascii="Times New Roman" w:hAnsi="Times New Roman" w:cs="Times New Roman"/>
        </w:rPr>
        <w:br w:type="page"/>
      </w:r>
      <w:bookmarkStart w:id="228" w:name="_Toc152045813"/>
      <w:bookmarkStart w:id="229" w:name="_Toc247527853"/>
      <w:bookmarkStart w:id="230" w:name="_Toc247530162"/>
      <w:bookmarkStart w:id="231" w:name="_Toc152042602"/>
      <w:bookmarkStart w:id="232" w:name="_Toc144974881"/>
      <w:bookmarkStart w:id="233" w:name="_Toc247514305"/>
    </w:p>
    <w:bookmarkEnd w:id="228"/>
    <w:bookmarkEnd w:id="229"/>
    <w:bookmarkEnd w:id="230"/>
    <w:bookmarkEnd w:id="231"/>
    <w:bookmarkEnd w:id="232"/>
    <w:bookmarkEnd w:id="233"/>
    <w:p>
      <w:pPr>
        <w:pStyle w:val="4"/>
        <w:jc w:val="center"/>
        <w:rPr>
          <w:rFonts w:hint="default" w:ascii="Times New Roman" w:hAnsi="Times New Roman" w:cs="Times New Roman"/>
        </w:rPr>
      </w:pPr>
      <w:bookmarkStart w:id="234" w:name="_Toc271821942"/>
      <w:bookmarkStart w:id="235"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234"/>
      <w:bookmarkEnd w:id="235"/>
    </w:p>
    <w:p>
      <w:pPr>
        <w:ind w:firstLine="420" w:firstLineChars="200"/>
        <w:rPr>
          <w:rFonts w:hint="eastAsia" w:ascii="Times New Roman" w:hAnsi="Times New Roman" w:eastAsiaTheme="minorEastAsia"/>
          <w:lang w:eastAsia="zh-CN"/>
        </w:rPr>
      </w:pPr>
      <w:permStart w:id="128"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128"/>
    <w:p>
      <w:pPr>
        <w:spacing w:line="400" w:lineRule="exact"/>
        <w:rPr>
          <w:rFonts w:hint="default" w:ascii="Times New Roman" w:hAnsi="Times New Roman" w:cs="Times New Roman"/>
        </w:rPr>
      </w:pPr>
    </w:p>
    <w:p>
      <w:pPr>
        <w:pStyle w:val="7"/>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_x000B__x000C_">
    <w:altName w:val="Times New Roman"/>
    <w:panose1 w:val="00000000000000000000"/>
    <w:charset w:val="00"/>
    <w:family w:val="roman"/>
    <w:pitch w:val="default"/>
    <w:sig w:usb0="00000000" w:usb1="00000000" w:usb2="00000000" w:usb3="00000000" w:csb0="00000001"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C0C9E8"/>
    <w:multiLevelType w:val="singleLevel"/>
    <w:tmpl w:val="B4C0C9E8"/>
    <w:lvl w:ilvl="0" w:tentative="0">
      <w:start w:val="2"/>
      <w:numFmt w:val="decimal"/>
      <w:suff w:val="nothing"/>
      <w:lvlText w:val="%1、"/>
      <w:lvlJc w:val="left"/>
    </w:lvl>
  </w:abstractNum>
  <w:abstractNum w:abstractNumId="1">
    <w:nsid w:val="BE18D68E"/>
    <w:multiLevelType w:val="singleLevel"/>
    <w:tmpl w:val="BE18D68E"/>
    <w:lvl w:ilvl="0" w:tentative="0">
      <w:start w:val="6"/>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2609D3"/>
    <w:rsid w:val="002C069E"/>
    <w:rsid w:val="0040224D"/>
    <w:rsid w:val="00733B0B"/>
    <w:rsid w:val="00764376"/>
    <w:rsid w:val="00796B76"/>
    <w:rsid w:val="00850CC0"/>
    <w:rsid w:val="00B00F2F"/>
    <w:rsid w:val="00FF308E"/>
    <w:rsid w:val="011B61E8"/>
    <w:rsid w:val="011E6004"/>
    <w:rsid w:val="0145105E"/>
    <w:rsid w:val="01722A73"/>
    <w:rsid w:val="019846E3"/>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9E694D"/>
    <w:rsid w:val="04A52387"/>
    <w:rsid w:val="04B54547"/>
    <w:rsid w:val="04CD15E8"/>
    <w:rsid w:val="04CF4810"/>
    <w:rsid w:val="04D63FDF"/>
    <w:rsid w:val="04D945B0"/>
    <w:rsid w:val="04EB08D2"/>
    <w:rsid w:val="04EC7DA2"/>
    <w:rsid w:val="050252F6"/>
    <w:rsid w:val="0510569A"/>
    <w:rsid w:val="055625ED"/>
    <w:rsid w:val="0572490A"/>
    <w:rsid w:val="057E3D65"/>
    <w:rsid w:val="058253F2"/>
    <w:rsid w:val="05872EB9"/>
    <w:rsid w:val="05933026"/>
    <w:rsid w:val="05BA17C0"/>
    <w:rsid w:val="05D9116E"/>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500304"/>
    <w:rsid w:val="0A5234C1"/>
    <w:rsid w:val="0A704DEE"/>
    <w:rsid w:val="0A8B5261"/>
    <w:rsid w:val="0A8E5075"/>
    <w:rsid w:val="0A8F4787"/>
    <w:rsid w:val="0AA913FB"/>
    <w:rsid w:val="0AAE6B76"/>
    <w:rsid w:val="0AB37F43"/>
    <w:rsid w:val="0AB930A2"/>
    <w:rsid w:val="0ACA439A"/>
    <w:rsid w:val="0ADD0DF0"/>
    <w:rsid w:val="0AEB40E8"/>
    <w:rsid w:val="0B29130F"/>
    <w:rsid w:val="0B416906"/>
    <w:rsid w:val="0B5D1C2A"/>
    <w:rsid w:val="0B685C3C"/>
    <w:rsid w:val="0B7202E7"/>
    <w:rsid w:val="0B991D46"/>
    <w:rsid w:val="0B9F686D"/>
    <w:rsid w:val="0BDE31B0"/>
    <w:rsid w:val="0C110CA2"/>
    <w:rsid w:val="0C773477"/>
    <w:rsid w:val="0C9F113B"/>
    <w:rsid w:val="0CD3448B"/>
    <w:rsid w:val="0CF072F3"/>
    <w:rsid w:val="0D2466BD"/>
    <w:rsid w:val="0D3A1668"/>
    <w:rsid w:val="0D4E3C51"/>
    <w:rsid w:val="0D5C2246"/>
    <w:rsid w:val="0D684B6C"/>
    <w:rsid w:val="0D6A3C45"/>
    <w:rsid w:val="0D7F3B4D"/>
    <w:rsid w:val="0D84383E"/>
    <w:rsid w:val="0DA13B17"/>
    <w:rsid w:val="0DA277FF"/>
    <w:rsid w:val="0DB8057F"/>
    <w:rsid w:val="0DC57869"/>
    <w:rsid w:val="0DD331D8"/>
    <w:rsid w:val="0DDB677F"/>
    <w:rsid w:val="0E093A81"/>
    <w:rsid w:val="0E1201C4"/>
    <w:rsid w:val="0E3C08A3"/>
    <w:rsid w:val="0E626142"/>
    <w:rsid w:val="0E6D3EE4"/>
    <w:rsid w:val="0E8168AC"/>
    <w:rsid w:val="0E9601D9"/>
    <w:rsid w:val="0EDF4D5E"/>
    <w:rsid w:val="0EF860F0"/>
    <w:rsid w:val="0F024085"/>
    <w:rsid w:val="0F074594"/>
    <w:rsid w:val="0F117D58"/>
    <w:rsid w:val="0F1438EF"/>
    <w:rsid w:val="0F463825"/>
    <w:rsid w:val="0F4B0F6A"/>
    <w:rsid w:val="0F575798"/>
    <w:rsid w:val="0F5F5CB1"/>
    <w:rsid w:val="0F6D192D"/>
    <w:rsid w:val="0F6E4AA0"/>
    <w:rsid w:val="0F886069"/>
    <w:rsid w:val="0FA819A2"/>
    <w:rsid w:val="0FCA08C0"/>
    <w:rsid w:val="0FCA14B6"/>
    <w:rsid w:val="0FE42DE8"/>
    <w:rsid w:val="0FFA6EBC"/>
    <w:rsid w:val="0FFB5096"/>
    <w:rsid w:val="101038A7"/>
    <w:rsid w:val="101E2D38"/>
    <w:rsid w:val="10446D2F"/>
    <w:rsid w:val="104957CA"/>
    <w:rsid w:val="104D6EF3"/>
    <w:rsid w:val="105C0433"/>
    <w:rsid w:val="1069417C"/>
    <w:rsid w:val="106C1E4B"/>
    <w:rsid w:val="108A23D3"/>
    <w:rsid w:val="1095135B"/>
    <w:rsid w:val="10B51F95"/>
    <w:rsid w:val="10D35E97"/>
    <w:rsid w:val="11114551"/>
    <w:rsid w:val="112269D1"/>
    <w:rsid w:val="11356135"/>
    <w:rsid w:val="11717B86"/>
    <w:rsid w:val="117E5D99"/>
    <w:rsid w:val="11800917"/>
    <w:rsid w:val="118955AD"/>
    <w:rsid w:val="11970BCB"/>
    <w:rsid w:val="1197226B"/>
    <w:rsid w:val="11AA0839"/>
    <w:rsid w:val="11C42470"/>
    <w:rsid w:val="11C71895"/>
    <w:rsid w:val="11CD444A"/>
    <w:rsid w:val="11E2334D"/>
    <w:rsid w:val="11E45060"/>
    <w:rsid w:val="11F058CE"/>
    <w:rsid w:val="11FC3F3B"/>
    <w:rsid w:val="124D3BAD"/>
    <w:rsid w:val="125A52C4"/>
    <w:rsid w:val="12655D96"/>
    <w:rsid w:val="128E3C38"/>
    <w:rsid w:val="12BF2922"/>
    <w:rsid w:val="12C942C8"/>
    <w:rsid w:val="12D0084B"/>
    <w:rsid w:val="12DC5F5E"/>
    <w:rsid w:val="12DC7F8C"/>
    <w:rsid w:val="12E82A0B"/>
    <w:rsid w:val="131873D2"/>
    <w:rsid w:val="13274F9C"/>
    <w:rsid w:val="13417410"/>
    <w:rsid w:val="13456344"/>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901D56"/>
    <w:rsid w:val="15A62ECC"/>
    <w:rsid w:val="15B14179"/>
    <w:rsid w:val="15C516BD"/>
    <w:rsid w:val="166266B1"/>
    <w:rsid w:val="16C724D4"/>
    <w:rsid w:val="16D411E7"/>
    <w:rsid w:val="16ED0036"/>
    <w:rsid w:val="16ED6288"/>
    <w:rsid w:val="170756D4"/>
    <w:rsid w:val="170F4587"/>
    <w:rsid w:val="176115DC"/>
    <w:rsid w:val="176D7525"/>
    <w:rsid w:val="17824660"/>
    <w:rsid w:val="178F2FF8"/>
    <w:rsid w:val="179121FE"/>
    <w:rsid w:val="17915931"/>
    <w:rsid w:val="17C41ABF"/>
    <w:rsid w:val="18175D56"/>
    <w:rsid w:val="18276B10"/>
    <w:rsid w:val="189B5F22"/>
    <w:rsid w:val="18A21AD3"/>
    <w:rsid w:val="18A70256"/>
    <w:rsid w:val="18A944F8"/>
    <w:rsid w:val="18B73074"/>
    <w:rsid w:val="18DA45EA"/>
    <w:rsid w:val="18DA76F1"/>
    <w:rsid w:val="19034C2D"/>
    <w:rsid w:val="1916127C"/>
    <w:rsid w:val="193D465D"/>
    <w:rsid w:val="193D4E12"/>
    <w:rsid w:val="196C6238"/>
    <w:rsid w:val="198A59D6"/>
    <w:rsid w:val="19A73D74"/>
    <w:rsid w:val="19AA5416"/>
    <w:rsid w:val="19CE7FF6"/>
    <w:rsid w:val="19D70C6D"/>
    <w:rsid w:val="19E2271F"/>
    <w:rsid w:val="19EA1203"/>
    <w:rsid w:val="1A075570"/>
    <w:rsid w:val="1A1C623A"/>
    <w:rsid w:val="1A270D5F"/>
    <w:rsid w:val="1A4D4CED"/>
    <w:rsid w:val="1A797469"/>
    <w:rsid w:val="1A7B2000"/>
    <w:rsid w:val="1A8850B8"/>
    <w:rsid w:val="1A9B5FFB"/>
    <w:rsid w:val="1AA066C8"/>
    <w:rsid w:val="1AC96160"/>
    <w:rsid w:val="1ACD26DA"/>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9755BD"/>
    <w:rsid w:val="1CB07DF9"/>
    <w:rsid w:val="1CC3681B"/>
    <w:rsid w:val="1CE22A9B"/>
    <w:rsid w:val="1CF251D3"/>
    <w:rsid w:val="1CFF3217"/>
    <w:rsid w:val="1D0C3E62"/>
    <w:rsid w:val="1D1D0D81"/>
    <w:rsid w:val="1D5835F0"/>
    <w:rsid w:val="1D8C5045"/>
    <w:rsid w:val="1D9244F8"/>
    <w:rsid w:val="1D931CEA"/>
    <w:rsid w:val="1DC177D9"/>
    <w:rsid w:val="1DDB31AC"/>
    <w:rsid w:val="1E1A236E"/>
    <w:rsid w:val="1E225BB3"/>
    <w:rsid w:val="1E2A6113"/>
    <w:rsid w:val="1E2D212B"/>
    <w:rsid w:val="1E2E6E13"/>
    <w:rsid w:val="1E32182A"/>
    <w:rsid w:val="1E5906A7"/>
    <w:rsid w:val="1E5A61EE"/>
    <w:rsid w:val="1E713E2F"/>
    <w:rsid w:val="1EA573D8"/>
    <w:rsid w:val="1EB0513B"/>
    <w:rsid w:val="1EB72F7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B225A8"/>
    <w:rsid w:val="21C13A32"/>
    <w:rsid w:val="22270787"/>
    <w:rsid w:val="224D73DD"/>
    <w:rsid w:val="22592601"/>
    <w:rsid w:val="22603DB2"/>
    <w:rsid w:val="226D7B83"/>
    <w:rsid w:val="2293123C"/>
    <w:rsid w:val="22A570EC"/>
    <w:rsid w:val="232E56FD"/>
    <w:rsid w:val="233F5F96"/>
    <w:rsid w:val="235F4D23"/>
    <w:rsid w:val="236D4028"/>
    <w:rsid w:val="238A4DFC"/>
    <w:rsid w:val="24053694"/>
    <w:rsid w:val="24226CC5"/>
    <w:rsid w:val="24312A4A"/>
    <w:rsid w:val="244A5E9A"/>
    <w:rsid w:val="244C4BB8"/>
    <w:rsid w:val="24547947"/>
    <w:rsid w:val="24691193"/>
    <w:rsid w:val="246C3A46"/>
    <w:rsid w:val="247152E7"/>
    <w:rsid w:val="24FF7718"/>
    <w:rsid w:val="251A7612"/>
    <w:rsid w:val="252235A1"/>
    <w:rsid w:val="25237A22"/>
    <w:rsid w:val="252E0774"/>
    <w:rsid w:val="25481BCE"/>
    <w:rsid w:val="256E1E26"/>
    <w:rsid w:val="25812F8D"/>
    <w:rsid w:val="25814DB7"/>
    <w:rsid w:val="25824959"/>
    <w:rsid w:val="25987A23"/>
    <w:rsid w:val="25BC46FF"/>
    <w:rsid w:val="25C517A2"/>
    <w:rsid w:val="25EF41EA"/>
    <w:rsid w:val="25F5789E"/>
    <w:rsid w:val="25FD6A72"/>
    <w:rsid w:val="2608561B"/>
    <w:rsid w:val="2613738E"/>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274A6B"/>
    <w:rsid w:val="27301EDB"/>
    <w:rsid w:val="27453115"/>
    <w:rsid w:val="27506A4B"/>
    <w:rsid w:val="276C029F"/>
    <w:rsid w:val="27867E0A"/>
    <w:rsid w:val="27982DD4"/>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437E93"/>
    <w:rsid w:val="29586D7A"/>
    <w:rsid w:val="29772B51"/>
    <w:rsid w:val="29791894"/>
    <w:rsid w:val="2984235F"/>
    <w:rsid w:val="29967FD2"/>
    <w:rsid w:val="29A52D8F"/>
    <w:rsid w:val="29BA649E"/>
    <w:rsid w:val="29C56C3A"/>
    <w:rsid w:val="29D85278"/>
    <w:rsid w:val="29E1380C"/>
    <w:rsid w:val="29E85046"/>
    <w:rsid w:val="2A017BFD"/>
    <w:rsid w:val="2A0A71F8"/>
    <w:rsid w:val="2A4913A2"/>
    <w:rsid w:val="2A854C43"/>
    <w:rsid w:val="2A9154D8"/>
    <w:rsid w:val="2AA04C57"/>
    <w:rsid w:val="2AD750C3"/>
    <w:rsid w:val="2AE77D08"/>
    <w:rsid w:val="2AEA3011"/>
    <w:rsid w:val="2B252D72"/>
    <w:rsid w:val="2B3E0375"/>
    <w:rsid w:val="2B492499"/>
    <w:rsid w:val="2B652A8D"/>
    <w:rsid w:val="2B6C55DB"/>
    <w:rsid w:val="2B8D5640"/>
    <w:rsid w:val="2BF4029C"/>
    <w:rsid w:val="2C1C6937"/>
    <w:rsid w:val="2C202757"/>
    <w:rsid w:val="2C270D43"/>
    <w:rsid w:val="2C2F7E18"/>
    <w:rsid w:val="2C6436A6"/>
    <w:rsid w:val="2C7A2A8F"/>
    <w:rsid w:val="2C9023A5"/>
    <w:rsid w:val="2C937549"/>
    <w:rsid w:val="2C9D6A04"/>
    <w:rsid w:val="2CA64AB8"/>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DE36DA"/>
    <w:rsid w:val="2EFA0191"/>
    <w:rsid w:val="2F436846"/>
    <w:rsid w:val="2F4556CE"/>
    <w:rsid w:val="2F6F3C93"/>
    <w:rsid w:val="2F754A27"/>
    <w:rsid w:val="2FB1448A"/>
    <w:rsid w:val="2FC802AE"/>
    <w:rsid w:val="2FCC5906"/>
    <w:rsid w:val="2FF22E7B"/>
    <w:rsid w:val="301C41BF"/>
    <w:rsid w:val="302369A0"/>
    <w:rsid w:val="303474C0"/>
    <w:rsid w:val="305C41A9"/>
    <w:rsid w:val="30820205"/>
    <w:rsid w:val="308E41B5"/>
    <w:rsid w:val="30952C59"/>
    <w:rsid w:val="30AA08EF"/>
    <w:rsid w:val="30FF4D69"/>
    <w:rsid w:val="310E5321"/>
    <w:rsid w:val="3113559B"/>
    <w:rsid w:val="311978DB"/>
    <w:rsid w:val="312421F6"/>
    <w:rsid w:val="3127420C"/>
    <w:rsid w:val="313D7765"/>
    <w:rsid w:val="31477BEB"/>
    <w:rsid w:val="315523B1"/>
    <w:rsid w:val="3198056E"/>
    <w:rsid w:val="31CD31BF"/>
    <w:rsid w:val="31E10F5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773188"/>
    <w:rsid w:val="337E77C9"/>
    <w:rsid w:val="338F53C2"/>
    <w:rsid w:val="33925662"/>
    <w:rsid w:val="339B7AA1"/>
    <w:rsid w:val="33B7637D"/>
    <w:rsid w:val="33D4661F"/>
    <w:rsid w:val="33ED39C2"/>
    <w:rsid w:val="340F56DE"/>
    <w:rsid w:val="3425597D"/>
    <w:rsid w:val="342A5DF5"/>
    <w:rsid w:val="344851FD"/>
    <w:rsid w:val="345C0A9A"/>
    <w:rsid w:val="349B5E0E"/>
    <w:rsid w:val="34A432B6"/>
    <w:rsid w:val="34AA020B"/>
    <w:rsid w:val="34BC17DA"/>
    <w:rsid w:val="34D015E3"/>
    <w:rsid w:val="34F85DA8"/>
    <w:rsid w:val="3509398E"/>
    <w:rsid w:val="3547266B"/>
    <w:rsid w:val="3554479E"/>
    <w:rsid w:val="357D63E5"/>
    <w:rsid w:val="357F00D0"/>
    <w:rsid w:val="35894506"/>
    <w:rsid w:val="35A377DB"/>
    <w:rsid w:val="35C51320"/>
    <w:rsid w:val="35E7387F"/>
    <w:rsid w:val="35E81F7A"/>
    <w:rsid w:val="35EF4AF5"/>
    <w:rsid w:val="35F52BF3"/>
    <w:rsid w:val="360530D8"/>
    <w:rsid w:val="3605698A"/>
    <w:rsid w:val="36162F1C"/>
    <w:rsid w:val="363277D2"/>
    <w:rsid w:val="366244D5"/>
    <w:rsid w:val="36A82C1D"/>
    <w:rsid w:val="36B34449"/>
    <w:rsid w:val="36C342D9"/>
    <w:rsid w:val="370F2E93"/>
    <w:rsid w:val="370F32ED"/>
    <w:rsid w:val="374E35E0"/>
    <w:rsid w:val="37560CC6"/>
    <w:rsid w:val="37880A40"/>
    <w:rsid w:val="378D0CEB"/>
    <w:rsid w:val="379A026D"/>
    <w:rsid w:val="37A2207E"/>
    <w:rsid w:val="37A2434F"/>
    <w:rsid w:val="37ED6D6E"/>
    <w:rsid w:val="37F45271"/>
    <w:rsid w:val="380C3B20"/>
    <w:rsid w:val="381039F4"/>
    <w:rsid w:val="38422CE2"/>
    <w:rsid w:val="38464281"/>
    <w:rsid w:val="386E21B0"/>
    <w:rsid w:val="38872D67"/>
    <w:rsid w:val="38AE496C"/>
    <w:rsid w:val="38B54D45"/>
    <w:rsid w:val="38D242CD"/>
    <w:rsid w:val="393E0C7A"/>
    <w:rsid w:val="39470BCD"/>
    <w:rsid w:val="39821F75"/>
    <w:rsid w:val="398B5520"/>
    <w:rsid w:val="398C3DB7"/>
    <w:rsid w:val="39AB6275"/>
    <w:rsid w:val="39CD3FCC"/>
    <w:rsid w:val="39E17621"/>
    <w:rsid w:val="39F227B1"/>
    <w:rsid w:val="3A151290"/>
    <w:rsid w:val="3A201663"/>
    <w:rsid w:val="3A257964"/>
    <w:rsid w:val="3A292038"/>
    <w:rsid w:val="3A4A1178"/>
    <w:rsid w:val="3A524E6B"/>
    <w:rsid w:val="3A762A49"/>
    <w:rsid w:val="3A826354"/>
    <w:rsid w:val="3A9D28F5"/>
    <w:rsid w:val="3ACD43C9"/>
    <w:rsid w:val="3AFF2C64"/>
    <w:rsid w:val="3B2F69DB"/>
    <w:rsid w:val="3B5D137F"/>
    <w:rsid w:val="3B79226F"/>
    <w:rsid w:val="3B8F1138"/>
    <w:rsid w:val="3B904834"/>
    <w:rsid w:val="3B932344"/>
    <w:rsid w:val="3B9D20F5"/>
    <w:rsid w:val="3BB33F88"/>
    <w:rsid w:val="3BD93153"/>
    <w:rsid w:val="3BDA6996"/>
    <w:rsid w:val="3BF85604"/>
    <w:rsid w:val="3C0A3047"/>
    <w:rsid w:val="3C2E50FB"/>
    <w:rsid w:val="3C37637A"/>
    <w:rsid w:val="3C4A12AD"/>
    <w:rsid w:val="3C5125FC"/>
    <w:rsid w:val="3C690ECB"/>
    <w:rsid w:val="3C860AC6"/>
    <w:rsid w:val="3C8967A4"/>
    <w:rsid w:val="3C9012E0"/>
    <w:rsid w:val="3C960BC8"/>
    <w:rsid w:val="3C9848A1"/>
    <w:rsid w:val="3CA509B7"/>
    <w:rsid w:val="3CA509D1"/>
    <w:rsid w:val="3CD537E6"/>
    <w:rsid w:val="3CD93879"/>
    <w:rsid w:val="3D2571D3"/>
    <w:rsid w:val="3D651965"/>
    <w:rsid w:val="3D7A2818"/>
    <w:rsid w:val="3D80137E"/>
    <w:rsid w:val="3D8106EA"/>
    <w:rsid w:val="3D834DF8"/>
    <w:rsid w:val="3DA352B1"/>
    <w:rsid w:val="3DBA61E7"/>
    <w:rsid w:val="3DC14624"/>
    <w:rsid w:val="3DD55956"/>
    <w:rsid w:val="3DEE1374"/>
    <w:rsid w:val="3E100FFC"/>
    <w:rsid w:val="3E201534"/>
    <w:rsid w:val="3E651EE9"/>
    <w:rsid w:val="3E784A78"/>
    <w:rsid w:val="3E8554F5"/>
    <w:rsid w:val="3EB65E71"/>
    <w:rsid w:val="3EC33032"/>
    <w:rsid w:val="3EC61DB3"/>
    <w:rsid w:val="3EC8622A"/>
    <w:rsid w:val="3EF62661"/>
    <w:rsid w:val="3F3C595E"/>
    <w:rsid w:val="3F59346C"/>
    <w:rsid w:val="3F657308"/>
    <w:rsid w:val="3F7856B5"/>
    <w:rsid w:val="3F7970EE"/>
    <w:rsid w:val="3F8003ED"/>
    <w:rsid w:val="3F8B5F41"/>
    <w:rsid w:val="3FC3440D"/>
    <w:rsid w:val="3FC519F7"/>
    <w:rsid w:val="3FD0326B"/>
    <w:rsid w:val="3FD34D1A"/>
    <w:rsid w:val="3FED63B1"/>
    <w:rsid w:val="40031733"/>
    <w:rsid w:val="40076D3D"/>
    <w:rsid w:val="401F65F0"/>
    <w:rsid w:val="404470DB"/>
    <w:rsid w:val="404C2292"/>
    <w:rsid w:val="405A40DF"/>
    <w:rsid w:val="405D572D"/>
    <w:rsid w:val="408D1EA0"/>
    <w:rsid w:val="408E2DBF"/>
    <w:rsid w:val="409D2A1A"/>
    <w:rsid w:val="40A752D1"/>
    <w:rsid w:val="40B21FB5"/>
    <w:rsid w:val="40B95E2E"/>
    <w:rsid w:val="40C17F9E"/>
    <w:rsid w:val="40C43B66"/>
    <w:rsid w:val="40E247F7"/>
    <w:rsid w:val="40EE5966"/>
    <w:rsid w:val="410F1967"/>
    <w:rsid w:val="41146E12"/>
    <w:rsid w:val="41335FC7"/>
    <w:rsid w:val="415978C8"/>
    <w:rsid w:val="415C1B4D"/>
    <w:rsid w:val="417843F2"/>
    <w:rsid w:val="41807B75"/>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D52449"/>
    <w:rsid w:val="43D7798C"/>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CD19B3"/>
    <w:rsid w:val="45E526C2"/>
    <w:rsid w:val="45EF5694"/>
    <w:rsid w:val="45F32D75"/>
    <w:rsid w:val="45FE4441"/>
    <w:rsid w:val="460934CE"/>
    <w:rsid w:val="461F685B"/>
    <w:rsid w:val="463A35BA"/>
    <w:rsid w:val="463B087C"/>
    <w:rsid w:val="464478D6"/>
    <w:rsid w:val="46594972"/>
    <w:rsid w:val="46763AFA"/>
    <w:rsid w:val="46A86AC5"/>
    <w:rsid w:val="46AF0ACC"/>
    <w:rsid w:val="46CD2EA3"/>
    <w:rsid w:val="46E33C2A"/>
    <w:rsid w:val="46EB5C2E"/>
    <w:rsid w:val="46EE5581"/>
    <w:rsid w:val="47081961"/>
    <w:rsid w:val="47191F43"/>
    <w:rsid w:val="471B210D"/>
    <w:rsid w:val="47330BB1"/>
    <w:rsid w:val="474340E1"/>
    <w:rsid w:val="4754737E"/>
    <w:rsid w:val="476E5DEA"/>
    <w:rsid w:val="47914A33"/>
    <w:rsid w:val="4792415F"/>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971DC"/>
    <w:rsid w:val="48F556EA"/>
    <w:rsid w:val="491946D3"/>
    <w:rsid w:val="4924047E"/>
    <w:rsid w:val="49276380"/>
    <w:rsid w:val="49441489"/>
    <w:rsid w:val="4948117F"/>
    <w:rsid w:val="494B0B0D"/>
    <w:rsid w:val="497E20AD"/>
    <w:rsid w:val="49820EB7"/>
    <w:rsid w:val="4988326B"/>
    <w:rsid w:val="499416E9"/>
    <w:rsid w:val="49A63EAD"/>
    <w:rsid w:val="49B4166E"/>
    <w:rsid w:val="49BA2C9E"/>
    <w:rsid w:val="49BC3715"/>
    <w:rsid w:val="49F72310"/>
    <w:rsid w:val="49FD2EE4"/>
    <w:rsid w:val="4A0B4FDE"/>
    <w:rsid w:val="4A343D11"/>
    <w:rsid w:val="4A497D35"/>
    <w:rsid w:val="4A8A37D8"/>
    <w:rsid w:val="4A8B4AB2"/>
    <w:rsid w:val="4AD9595B"/>
    <w:rsid w:val="4AF93EAE"/>
    <w:rsid w:val="4B311212"/>
    <w:rsid w:val="4B3E6720"/>
    <w:rsid w:val="4B43535A"/>
    <w:rsid w:val="4B476348"/>
    <w:rsid w:val="4B625BF7"/>
    <w:rsid w:val="4B985ABC"/>
    <w:rsid w:val="4BB21AF4"/>
    <w:rsid w:val="4BB54107"/>
    <w:rsid w:val="4BB67EEE"/>
    <w:rsid w:val="4BD17814"/>
    <w:rsid w:val="4BDC5109"/>
    <w:rsid w:val="4BE52D88"/>
    <w:rsid w:val="4BE84FA7"/>
    <w:rsid w:val="4BF70C92"/>
    <w:rsid w:val="4BFD0513"/>
    <w:rsid w:val="4C005E77"/>
    <w:rsid w:val="4C1A02C6"/>
    <w:rsid w:val="4C2B76C1"/>
    <w:rsid w:val="4C5419A1"/>
    <w:rsid w:val="4C5429A3"/>
    <w:rsid w:val="4C645A11"/>
    <w:rsid w:val="4C87254B"/>
    <w:rsid w:val="4C9D49AF"/>
    <w:rsid w:val="4CA337C1"/>
    <w:rsid w:val="4CDE4416"/>
    <w:rsid w:val="4D1C2C8C"/>
    <w:rsid w:val="4D1E77BE"/>
    <w:rsid w:val="4D245FC5"/>
    <w:rsid w:val="4D2B3B2C"/>
    <w:rsid w:val="4D8D2E6A"/>
    <w:rsid w:val="4DA943B0"/>
    <w:rsid w:val="4DAA1780"/>
    <w:rsid w:val="4DC515BB"/>
    <w:rsid w:val="4DCB5984"/>
    <w:rsid w:val="4DD64458"/>
    <w:rsid w:val="4DDD4E1A"/>
    <w:rsid w:val="4E135BFA"/>
    <w:rsid w:val="4E1B2DDB"/>
    <w:rsid w:val="4E250E8C"/>
    <w:rsid w:val="4E355E12"/>
    <w:rsid w:val="4E5D7C3A"/>
    <w:rsid w:val="4E8D762E"/>
    <w:rsid w:val="4E9B1112"/>
    <w:rsid w:val="4EA06365"/>
    <w:rsid w:val="4EA85D29"/>
    <w:rsid w:val="4EBD3915"/>
    <w:rsid w:val="4ECD54B1"/>
    <w:rsid w:val="4ED4046B"/>
    <w:rsid w:val="4EDF4B15"/>
    <w:rsid w:val="4EF43B16"/>
    <w:rsid w:val="4F0E1E8F"/>
    <w:rsid w:val="4F2B6C13"/>
    <w:rsid w:val="4F2D2768"/>
    <w:rsid w:val="4F3153D3"/>
    <w:rsid w:val="4F551D3A"/>
    <w:rsid w:val="4F5F3ED1"/>
    <w:rsid w:val="4F804E7C"/>
    <w:rsid w:val="4F85516A"/>
    <w:rsid w:val="4F944D8F"/>
    <w:rsid w:val="4FCA5221"/>
    <w:rsid w:val="4FED0FB9"/>
    <w:rsid w:val="503B1837"/>
    <w:rsid w:val="507410D2"/>
    <w:rsid w:val="50A4392E"/>
    <w:rsid w:val="50A97681"/>
    <w:rsid w:val="50AE3B94"/>
    <w:rsid w:val="50AF7418"/>
    <w:rsid w:val="50E93575"/>
    <w:rsid w:val="50EE4AFC"/>
    <w:rsid w:val="50F04D4E"/>
    <w:rsid w:val="50F57385"/>
    <w:rsid w:val="50F6016F"/>
    <w:rsid w:val="50FB1FB9"/>
    <w:rsid w:val="51132FF4"/>
    <w:rsid w:val="51151213"/>
    <w:rsid w:val="513225F9"/>
    <w:rsid w:val="513F5114"/>
    <w:rsid w:val="51440384"/>
    <w:rsid w:val="515E6A1B"/>
    <w:rsid w:val="516B705C"/>
    <w:rsid w:val="5177537A"/>
    <w:rsid w:val="518806E3"/>
    <w:rsid w:val="519544C5"/>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87033"/>
    <w:rsid w:val="52BE5917"/>
    <w:rsid w:val="52CE6E0D"/>
    <w:rsid w:val="52ED3633"/>
    <w:rsid w:val="531B72EC"/>
    <w:rsid w:val="531E35FC"/>
    <w:rsid w:val="531E3DBA"/>
    <w:rsid w:val="532B1547"/>
    <w:rsid w:val="532C2C22"/>
    <w:rsid w:val="533920AE"/>
    <w:rsid w:val="533E6E17"/>
    <w:rsid w:val="5343182D"/>
    <w:rsid w:val="53552E21"/>
    <w:rsid w:val="535D3886"/>
    <w:rsid w:val="536C4A63"/>
    <w:rsid w:val="539B26A9"/>
    <w:rsid w:val="53A201DA"/>
    <w:rsid w:val="53B22D34"/>
    <w:rsid w:val="53B6236C"/>
    <w:rsid w:val="53BD6F30"/>
    <w:rsid w:val="540540F5"/>
    <w:rsid w:val="542913B3"/>
    <w:rsid w:val="543F18BA"/>
    <w:rsid w:val="54883400"/>
    <w:rsid w:val="54932F58"/>
    <w:rsid w:val="54972DB4"/>
    <w:rsid w:val="54A81CB5"/>
    <w:rsid w:val="54C076CF"/>
    <w:rsid w:val="54C41B11"/>
    <w:rsid w:val="54CF65BD"/>
    <w:rsid w:val="550E49C6"/>
    <w:rsid w:val="552609CE"/>
    <w:rsid w:val="554867E0"/>
    <w:rsid w:val="554D5B69"/>
    <w:rsid w:val="55930D0E"/>
    <w:rsid w:val="55A47D96"/>
    <w:rsid w:val="55C94049"/>
    <w:rsid w:val="55DA287E"/>
    <w:rsid w:val="55DD1819"/>
    <w:rsid w:val="55EE6DAD"/>
    <w:rsid w:val="56073162"/>
    <w:rsid w:val="5609127C"/>
    <w:rsid w:val="560C77D2"/>
    <w:rsid w:val="561568BB"/>
    <w:rsid w:val="56243B92"/>
    <w:rsid w:val="563D619D"/>
    <w:rsid w:val="56413F2B"/>
    <w:rsid w:val="56537C47"/>
    <w:rsid w:val="56A010C0"/>
    <w:rsid w:val="56B96B8E"/>
    <w:rsid w:val="56C747B5"/>
    <w:rsid w:val="56D42684"/>
    <w:rsid w:val="56DD2471"/>
    <w:rsid w:val="57210A6D"/>
    <w:rsid w:val="57281234"/>
    <w:rsid w:val="5744214A"/>
    <w:rsid w:val="574B480A"/>
    <w:rsid w:val="57543081"/>
    <w:rsid w:val="5789649C"/>
    <w:rsid w:val="5792629F"/>
    <w:rsid w:val="57A373F0"/>
    <w:rsid w:val="57C83C57"/>
    <w:rsid w:val="57FB2FB4"/>
    <w:rsid w:val="582028C2"/>
    <w:rsid w:val="582908A2"/>
    <w:rsid w:val="58323871"/>
    <w:rsid w:val="583C0128"/>
    <w:rsid w:val="583D07DD"/>
    <w:rsid w:val="585F1862"/>
    <w:rsid w:val="58620D26"/>
    <w:rsid w:val="58706FB1"/>
    <w:rsid w:val="587C5983"/>
    <w:rsid w:val="58E8415E"/>
    <w:rsid w:val="58F17517"/>
    <w:rsid w:val="58FF1A45"/>
    <w:rsid w:val="591C580B"/>
    <w:rsid w:val="5926497A"/>
    <w:rsid w:val="592A1893"/>
    <w:rsid w:val="595D3E12"/>
    <w:rsid w:val="59961EFB"/>
    <w:rsid w:val="59A11353"/>
    <w:rsid w:val="59B40569"/>
    <w:rsid w:val="59CC52AE"/>
    <w:rsid w:val="59CE54CA"/>
    <w:rsid w:val="59D4205C"/>
    <w:rsid w:val="59D95C1D"/>
    <w:rsid w:val="5A0336C4"/>
    <w:rsid w:val="5A167004"/>
    <w:rsid w:val="5A1D0D82"/>
    <w:rsid w:val="5A20315B"/>
    <w:rsid w:val="5A2B4EA6"/>
    <w:rsid w:val="5A4C2893"/>
    <w:rsid w:val="5A5827FE"/>
    <w:rsid w:val="5A70211C"/>
    <w:rsid w:val="5AAB2A29"/>
    <w:rsid w:val="5AAB3211"/>
    <w:rsid w:val="5AAC7307"/>
    <w:rsid w:val="5AB86388"/>
    <w:rsid w:val="5ABF41C0"/>
    <w:rsid w:val="5AC40EBF"/>
    <w:rsid w:val="5ACA577B"/>
    <w:rsid w:val="5AD07CB2"/>
    <w:rsid w:val="5AE37CAA"/>
    <w:rsid w:val="5AEF1DC1"/>
    <w:rsid w:val="5B050099"/>
    <w:rsid w:val="5B3A7E78"/>
    <w:rsid w:val="5B3D442E"/>
    <w:rsid w:val="5B412C22"/>
    <w:rsid w:val="5B4B2EB1"/>
    <w:rsid w:val="5B570332"/>
    <w:rsid w:val="5B5F0395"/>
    <w:rsid w:val="5B6300A3"/>
    <w:rsid w:val="5B6C0ED6"/>
    <w:rsid w:val="5B790B4E"/>
    <w:rsid w:val="5B7A2400"/>
    <w:rsid w:val="5B9B626D"/>
    <w:rsid w:val="5BA762EC"/>
    <w:rsid w:val="5BD32897"/>
    <w:rsid w:val="5BD91F04"/>
    <w:rsid w:val="5BF50A44"/>
    <w:rsid w:val="5C295CCC"/>
    <w:rsid w:val="5C381A3A"/>
    <w:rsid w:val="5C5C135C"/>
    <w:rsid w:val="5C872DAA"/>
    <w:rsid w:val="5C974816"/>
    <w:rsid w:val="5CA97228"/>
    <w:rsid w:val="5CBA57BD"/>
    <w:rsid w:val="5CC5471C"/>
    <w:rsid w:val="5CDC5386"/>
    <w:rsid w:val="5CEE7B85"/>
    <w:rsid w:val="5CF73D69"/>
    <w:rsid w:val="5D202057"/>
    <w:rsid w:val="5D4700C2"/>
    <w:rsid w:val="5D6C4615"/>
    <w:rsid w:val="5D7C5A81"/>
    <w:rsid w:val="5DA44998"/>
    <w:rsid w:val="5DD31E8F"/>
    <w:rsid w:val="5DDF2196"/>
    <w:rsid w:val="5DF704AE"/>
    <w:rsid w:val="5DF954B7"/>
    <w:rsid w:val="5DFF05CD"/>
    <w:rsid w:val="5E1672C2"/>
    <w:rsid w:val="5E1B6033"/>
    <w:rsid w:val="5E2612F9"/>
    <w:rsid w:val="5E534129"/>
    <w:rsid w:val="5E6E3C24"/>
    <w:rsid w:val="5E7255BD"/>
    <w:rsid w:val="5E937CCC"/>
    <w:rsid w:val="5EE61080"/>
    <w:rsid w:val="5EF83794"/>
    <w:rsid w:val="5F0173CC"/>
    <w:rsid w:val="5F1A1A93"/>
    <w:rsid w:val="5F287F7E"/>
    <w:rsid w:val="5F475677"/>
    <w:rsid w:val="5F484198"/>
    <w:rsid w:val="5F567498"/>
    <w:rsid w:val="5F75229B"/>
    <w:rsid w:val="5F7D71F9"/>
    <w:rsid w:val="5F8420E2"/>
    <w:rsid w:val="5F887220"/>
    <w:rsid w:val="5F9022AB"/>
    <w:rsid w:val="5FB81E56"/>
    <w:rsid w:val="5FC07D9E"/>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251167"/>
    <w:rsid w:val="61432D9E"/>
    <w:rsid w:val="61683AEB"/>
    <w:rsid w:val="618A70BC"/>
    <w:rsid w:val="61963F6D"/>
    <w:rsid w:val="61BD1F9D"/>
    <w:rsid w:val="61EA093B"/>
    <w:rsid w:val="62024DB4"/>
    <w:rsid w:val="62117D72"/>
    <w:rsid w:val="62140656"/>
    <w:rsid w:val="62210A89"/>
    <w:rsid w:val="62285DB7"/>
    <w:rsid w:val="626857C6"/>
    <w:rsid w:val="62923991"/>
    <w:rsid w:val="62966DA1"/>
    <w:rsid w:val="62AB32FE"/>
    <w:rsid w:val="62F20D03"/>
    <w:rsid w:val="62F26EC0"/>
    <w:rsid w:val="62F75B83"/>
    <w:rsid w:val="63095375"/>
    <w:rsid w:val="631134CD"/>
    <w:rsid w:val="6312135F"/>
    <w:rsid w:val="632A3D0D"/>
    <w:rsid w:val="633443AB"/>
    <w:rsid w:val="634265CE"/>
    <w:rsid w:val="6353750E"/>
    <w:rsid w:val="638857E1"/>
    <w:rsid w:val="63AB78F4"/>
    <w:rsid w:val="63C642C7"/>
    <w:rsid w:val="63C85688"/>
    <w:rsid w:val="63CD5666"/>
    <w:rsid w:val="63D01EF3"/>
    <w:rsid w:val="63D2038C"/>
    <w:rsid w:val="63E631E1"/>
    <w:rsid w:val="63F66CE6"/>
    <w:rsid w:val="63FB3E0B"/>
    <w:rsid w:val="640E7E19"/>
    <w:rsid w:val="64316BD5"/>
    <w:rsid w:val="647527CB"/>
    <w:rsid w:val="648A0F84"/>
    <w:rsid w:val="648E4974"/>
    <w:rsid w:val="648F4377"/>
    <w:rsid w:val="649E65A7"/>
    <w:rsid w:val="64B70C4D"/>
    <w:rsid w:val="64D14920"/>
    <w:rsid w:val="64DC3A26"/>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6169D"/>
    <w:rsid w:val="65B74A52"/>
    <w:rsid w:val="65BD55BD"/>
    <w:rsid w:val="65C53449"/>
    <w:rsid w:val="65F27286"/>
    <w:rsid w:val="6602655A"/>
    <w:rsid w:val="66037BA1"/>
    <w:rsid w:val="660D45C7"/>
    <w:rsid w:val="66280ABB"/>
    <w:rsid w:val="666717B3"/>
    <w:rsid w:val="6668032B"/>
    <w:rsid w:val="667C4290"/>
    <w:rsid w:val="66AB481F"/>
    <w:rsid w:val="66BB7D79"/>
    <w:rsid w:val="66C95898"/>
    <w:rsid w:val="66F8201A"/>
    <w:rsid w:val="671C5A04"/>
    <w:rsid w:val="673F01D2"/>
    <w:rsid w:val="67616051"/>
    <w:rsid w:val="676777C3"/>
    <w:rsid w:val="677D4B8A"/>
    <w:rsid w:val="67802ACE"/>
    <w:rsid w:val="67804B33"/>
    <w:rsid w:val="67825B46"/>
    <w:rsid w:val="67C40A09"/>
    <w:rsid w:val="67D020A7"/>
    <w:rsid w:val="67D600B8"/>
    <w:rsid w:val="67E4087E"/>
    <w:rsid w:val="6821192D"/>
    <w:rsid w:val="68337E89"/>
    <w:rsid w:val="68337EE8"/>
    <w:rsid w:val="683A6C76"/>
    <w:rsid w:val="685234C6"/>
    <w:rsid w:val="685968A7"/>
    <w:rsid w:val="685C5B46"/>
    <w:rsid w:val="688C0656"/>
    <w:rsid w:val="68AE1735"/>
    <w:rsid w:val="68B72950"/>
    <w:rsid w:val="68D60630"/>
    <w:rsid w:val="68F00432"/>
    <w:rsid w:val="68F8555D"/>
    <w:rsid w:val="68FA74BA"/>
    <w:rsid w:val="691D712E"/>
    <w:rsid w:val="697E7396"/>
    <w:rsid w:val="69A009FE"/>
    <w:rsid w:val="69A729C5"/>
    <w:rsid w:val="69BF206E"/>
    <w:rsid w:val="69E46DF1"/>
    <w:rsid w:val="69E8174D"/>
    <w:rsid w:val="69EB7655"/>
    <w:rsid w:val="69EE24CA"/>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7A369F"/>
    <w:rsid w:val="6BAC2823"/>
    <w:rsid w:val="6BBD5024"/>
    <w:rsid w:val="6BF37DF1"/>
    <w:rsid w:val="6C630CE9"/>
    <w:rsid w:val="6C661592"/>
    <w:rsid w:val="6C914CAA"/>
    <w:rsid w:val="6CB57E24"/>
    <w:rsid w:val="6CCC3665"/>
    <w:rsid w:val="6CEC0F34"/>
    <w:rsid w:val="6CF73CA4"/>
    <w:rsid w:val="6D005FF7"/>
    <w:rsid w:val="6D021C57"/>
    <w:rsid w:val="6D05105B"/>
    <w:rsid w:val="6D207FCD"/>
    <w:rsid w:val="6D280C36"/>
    <w:rsid w:val="6D286C4C"/>
    <w:rsid w:val="6D2B5B01"/>
    <w:rsid w:val="6D381497"/>
    <w:rsid w:val="6D6A2DB3"/>
    <w:rsid w:val="6D6A69AA"/>
    <w:rsid w:val="6D79127B"/>
    <w:rsid w:val="6D832281"/>
    <w:rsid w:val="6D847A32"/>
    <w:rsid w:val="6D9E3E83"/>
    <w:rsid w:val="6DC237AE"/>
    <w:rsid w:val="6DF91502"/>
    <w:rsid w:val="6E01482E"/>
    <w:rsid w:val="6E0D1941"/>
    <w:rsid w:val="6E18292B"/>
    <w:rsid w:val="6E402C35"/>
    <w:rsid w:val="6E403BCF"/>
    <w:rsid w:val="6E424CF7"/>
    <w:rsid w:val="6E7E7EF8"/>
    <w:rsid w:val="6E96703D"/>
    <w:rsid w:val="6E984122"/>
    <w:rsid w:val="6EC4761A"/>
    <w:rsid w:val="6ED26905"/>
    <w:rsid w:val="6ED924EF"/>
    <w:rsid w:val="6EE20566"/>
    <w:rsid w:val="6EEB6DD8"/>
    <w:rsid w:val="6EF513F6"/>
    <w:rsid w:val="6F1F0771"/>
    <w:rsid w:val="6F3669E2"/>
    <w:rsid w:val="6F3A0437"/>
    <w:rsid w:val="6F452492"/>
    <w:rsid w:val="6F4E1ABB"/>
    <w:rsid w:val="6F65489B"/>
    <w:rsid w:val="6F7B6F1E"/>
    <w:rsid w:val="6F86274A"/>
    <w:rsid w:val="6F8A6B50"/>
    <w:rsid w:val="6F9E4E98"/>
    <w:rsid w:val="6FB536E7"/>
    <w:rsid w:val="6FC169C6"/>
    <w:rsid w:val="6FD20CED"/>
    <w:rsid w:val="700148B1"/>
    <w:rsid w:val="700708F2"/>
    <w:rsid w:val="70262445"/>
    <w:rsid w:val="70522F16"/>
    <w:rsid w:val="70796EB7"/>
    <w:rsid w:val="70846EFD"/>
    <w:rsid w:val="70891E2B"/>
    <w:rsid w:val="709304FC"/>
    <w:rsid w:val="70B21D55"/>
    <w:rsid w:val="70BA4068"/>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51327B"/>
    <w:rsid w:val="755F3E02"/>
    <w:rsid w:val="755F782E"/>
    <w:rsid w:val="75A16A9F"/>
    <w:rsid w:val="75BC6CCF"/>
    <w:rsid w:val="75E27D49"/>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8D44BF1"/>
    <w:rsid w:val="78F02F79"/>
    <w:rsid w:val="78F0471F"/>
    <w:rsid w:val="793B5CE2"/>
    <w:rsid w:val="795C411F"/>
    <w:rsid w:val="796834B3"/>
    <w:rsid w:val="797B3C8A"/>
    <w:rsid w:val="797F45FC"/>
    <w:rsid w:val="79970647"/>
    <w:rsid w:val="79A151FA"/>
    <w:rsid w:val="79D9682C"/>
    <w:rsid w:val="79DB75C0"/>
    <w:rsid w:val="79E37881"/>
    <w:rsid w:val="79E4486C"/>
    <w:rsid w:val="79EA2E0E"/>
    <w:rsid w:val="79ED08FA"/>
    <w:rsid w:val="7A0360C6"/>
    <w:rsid w:val="7A067AFA"/>
    <w:rsid w:val="7A0C585A"/>
    <w:rsid w:val="7A2C7450"/>
    <w:rsid w:val="7A326B5A"/>
    <w:rsid w:val="7A553725"/>
    <w:rsid w:val="7A616D0A"/>
    <w:rsid w:val="7A7F2C76"/>
    <w:rsid w:val="7AAC462A"/>
    <w:rsid w:val="7AF84FA0"/>
    <w:rsid w:val="7AF909C6"/>
    <w:rsid w:val="7B6F1BD0"/>
    <w:rsid w:val="7B732126"/>
    <w:rsid w:val="7B755C15"/>
    <w:rsid w:val="7B7B20CE"/>
    <w:rsid w:val="7B8E1216"/>
    <w:rsid w:val="7B9A1345"/>
    <w:rsid w:val="7BCA6C86"/>
    <w:rsid w:val="7C044DA1"/>
    <w:rsid w:val="7C365DE1"/>
    <w:rsid w:val="7CA33449"/>
    <w:rsid w:val="7CCE4D69"/>
    <w:rsid w:val="7D0A0BA4"/>
    <w:rsid w:val="7D107AF3"/>
    <w:rsid w:val="7D4253C7"/>
    <w:rsid w:val="7D4C5341"/>
    <w:rsid w:val="7D4E5EE6"/>
    <w:rsid w:val="7D8901AD"/>
    <w:rsid w:val="7D8E577D"/>
    <w:rsid w:val="7D910439"/>
    <w:rsid w:val="7D9A426A"/>
    <w:rsid w:val="7E006F08"/>
    <w:rsid w:val="7E333E03"/>
    <w:rsid w:val="7E391FE6"/>
    <w:rsid w:val="7E425FDC"/>
    <w:rsid w:val="7E916762"/>
    <w:rsid w:val="7EA916FD"/>
    <w:rsid w:val="7EAB552B"/>
    <w:rsid w:val="7EE53C64"/>
    <w:rsid w:val="7F541580"/>
    <w:rsid w:val="7F590594"/>
    <w:rsid w:val="7F667225"/>
    <w:rsid w:val="7F844A6E"/>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Normal Indent"/>
    <w:basedOn w:val="1"/>
    <w:qFormat/>
    <w:uiPriority w:val="0"/>
    <w:pPr>
      <w:autoSpaceDE w:val="0"/>
      <w:autoSpaceDN w:val="0"/>
      <w:adjustRightInd w:val="0"/>
      <w:ind w:firstLine="420"/>
      <w:jc w:val="left"/>
    </w:pPr>
    <w:rPr>
      <w:rFonts w:ascii="宋体"/>
      <w:kern w:val="0"/>
      <w:sz w:val="24"/>
      <w:szCs w:val="20"/>
    </w:rPr>
  </w:style>
  <w:style w:type="paragraph" w:styleId="7">
    <w:name w:val="annotation text"/>
    <w:basedOn w:val="1"/>
    <w:qFormat/>
    <w:uiPriority w:val="0"/>
    <w:pPr>
      <w:jc w:val="left"/>
    </w:pPr>
    <w:rPr>
      <w:rFonts w:eastAsia="宋体"/>
      <w:kern w:val="2"/>
      <w:sz w:val="21"/>
      <w:szCs w:val="24"/>
      <w:lang w:val="en-US" w:eastAsia="zh-CN" w:bidi="ar-SA"/>
    </w:rPr>
  </w:style>
  <w:style w:type="paragraph" w:styleId="8">
    <w:name w:val="Body Text 3"/>
    <w:basedOn w:val="1"/>
    <w:qFormat/>
    <w:uiPriority w:val="0"/>
    <w:rPr>
      <w:rFonts w:ascii="宋体"/>
      <w:sz w:val="24"/>
      <w:szCs w:val="20"/>
    </w:rPr>
  </w:style>
  <w:style w:type="paragraph" w:styleId="9">
    <w:name w:val="Body Text Indent"/>
    <w:basedOn w:val="1"/>
    <w:qFormat/>
    <w:uiPriority w:val="0"/>
    <w:pPr>
      <w:spacing w:after="120" w:afterLines="0"/>
      <w:ind w:left="420" w:leftChars="200"/>
    </w:pPr>
  </w:style>
  <w:style w:type="paragraph" w:styleId="10">
    <w:name w:val="Plain Text"/>
    <w:basedOn w:val="1"/>
    <w:next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2"/>
    <w:qFormat/>
    <w:uiPriority w:val="0"/>
    <w:pPr>
      <w:ind w:firstLine="420" w:firstLineChars="100"/>
    </w:pPr>
  </w:style>
  <w:style w:type="paragraph" w:styleId="16">
    <w:name w:val="Body Text First Indent 2"/>
    <w:basedOn w:val="9"/>
    <w:next w:val="10"/>
    <w:qFormat/>
    <w:uiPriority w:val="0"/>
    <w:pPr>
      <w:ind w:firstLine="420" w:firstLineChars="2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character" w:styleId="21">
    <w:name w:val="Hyperlink"/>
    <w:basedOn w:val="19"/>
    <w:qFormat/>
    <w:uiPriority w:val="0"/>
    <w:rPr>
      <w:color w:val="0000FF"/>
      <w:u w:val="single"/>
    </w:rPr>
  </w:style>
  <w:style w:type="paragraph" w:customStyle="1" w:styleId="22">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19"/>
    <w:qFormat/>
    <w:uiPriority w:val="0"/>
    <w:rPr>
      <w:rFonts w:ascii="Calibri" w:hAnsi="Calibri" w:cs="Calibri"/>
      <w:color w:val="000000"/>
      <w:sz w:val="21"/>
      <w:szCs w:val="21"/>
      <w:u w:val="none"/>
    </w:rPr>
  </w:style>
  <w:style w:type="character" w:customStyle="1" w:styleId="27">
    <w:name w:val="font21"/>
    <w:basedOn w:val="19"/>
    <w:qFormat/>
    <w:uiPriority w:val="0"/>
    <w:rPr>
      <w:rFonts w:hint="eastAsia" w:ascii="宋体" w:hAnsi="宋体" w:eastAsia="宋体" w:cs="宋体"/>
      <w:color w:val="000000"/>
      <w:sz w:val="21"/>
      <w:szCs w:val="21"/>
      <w:u w:val="none"/>
    </w:rPr>
  </w:style>
  <w:style w:type="character" w:customStyle="1" w:styleId="28">
    <w:name w:val="font01"/>
    <w:basedOn w:val="19"/>
    <w:qFormat/>
    <w:uiPriority w:val="0"/>
    <w:rPr>
      <w:rFonts w:ascii="Calibri" w:hAnsi="Calibri" w:cs="Calibri"/>
      <w:color w:val="000000"/>
      <w:sz w:val="21"/>
      <w:szCs w:val="21"/>
      <w:u w:val="none"/>
    </w:rPr>
  </w:style>
  <w:style w:type="character" w:customStyle="1" w:styleId="29">
    <w:name w:val="font31"/>
    <w:basedOn w:val="19"/>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table" w:customStyle="1" w:styleId="31">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65</Pages>
  <Words>28113</Words>
  <Characters>31378</Characters>
  <Lines>0</Lines>
  <Paragraphs>0</Paragraphs>
  <TotalTime>15</TotalTime>
  <ScaleCrop>false</ScaleCrop>
  <LinksUpToDate>false</LinksUpToDate>
  <CharactersWithSpaces>32844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2023-03-30T10:05:00Z</cp:lastPrinted>
  <dcterms:modified xsi:type="dcterms:W3CDTF">2023-03-31T01:21:45Z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39E0A42DC4F241EABE9A9BCCFDDC96BD</vt:lpwstr>
  </property>
</Properties>
</file>