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855" w:tblpY="1863"/>
        <w:tblOverlap w:val="never"/>
        <w:tblW w:w="9554" w:type="dxa"/>
        <w:tblInd w:w="0" w:type="dxa"/>
        <w:tblBorders>
          <w:top w:val="none" w:color="auto" w:sz="0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879"/>
        <w:gridCol w:w="6632"/>
        <w:gridCol w:w="690"/>
        <w:gridCol w:w="735"/>
      </w:tblGrid>
      <w:tr>
        <w:tblPrEx>
          <w:tblBorders>
            <w:top w:val="none" w:color="auto" w:sz="0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18" w:type="dxa"/>
            <w:tcBorders>
              <w:tl2br w:val="nil"/>
              <w:tr2bl w:val="nil"/>
            </w:tcBorders>
            <w:shd w:val="clear" w:color="auto" w:fill="5B9BD5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79" w:type="dxa"/>
            <w:tcBorders>
              <w:tl2br w:val="nil"/>
              <w:tr2bl w:val="nil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产品线</w:t>
            </w:r>
          </w:p>
        </w:tc>
        <w:tc>
          <w:tcPr>
            <w:tcW w:w="6632" w:type="dxa"/>
            <w:tcBorders>
              <w:tl2br w:val="nil"/>
              <w:tr2bl w:val="nil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产品说明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735" w:type="dxa"/>
            <w:tcBorders>
              <w:tl2br w:val="nil"/>
              <w:tr2bl w:val="nil"/>
            </w:tcBorders>
            <w:shd w:val="clear" w:color="auto" w:fill="5B9BD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0" w:hRule="atLeast"/>
        </w:trPr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下一代防火墙</w:t>
            </w:r>
          </w:p>
        </w:tc>
        <w:tc>
          <w:tcPr>
            <w:tcW w:w="66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一、性能参数：机架式1U设备，内存大小：4G，硬盘容量：64G SSD，电源：单电源，接口：8千兆电口+2千兆光口SFP。网络层吞吐量：4G，应用层吞吐量：1G，防病毒吞吐量：500M，IPS吞吐量：300M，全威胁吞吐量：250M，并发连接数：100万，HTTP新建连接数：2.5万，本次项目下一代防火墙需具备IPS及防火墙功能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二、功能参数：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1.支持路由模式、透明模式、虚拟网线模式、旁路镜像模式等多种部署方式。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2.产品支持虚拟防火墙功能，支持虚拟防火墙的创建和删除，具备独立的接口、会话管理、应用控制策略、NAT等资源。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3.产品支持静态路由、策略路由、多播路由等常见路由类型。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4.产品支持多对一、一对多和一对一等多种地址转换方式，产品支持NAT44 、NAT64、NAT66地址转换方式，支持NAT穿透技术ALG，支持FTP、TFTP、SQLNET、PPTP、RTSP、SIP、H.323等协议。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0" w:hRule="atLeast"/>
        </w:trPr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web应用防护系统</w:t>
            </w:r>
          </w:p>
        </w:tc>
        <w:tc>
          <w:tcPr>
            <w:tcW w:w="66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性能参数：机架式1U设备，设备内存大小≥4G，硬盘容量≥64GB，电源：单电源，接口至少具备6千兆电口和2千兆光口SFP；网络层吞吐量≥4Gbps，HTTP应用层吞吐量≥220Mbps，HTTP新建连接数≥20000，HTTP并发连接数≥1000000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二、功能参数：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1.支持虚拟网线部署、透明部署、路由部署、旁路镜像等多种部署方式，适应复杂使用环境的接入要求。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2.支持通过被动扫描功能，业务系统进行黑链检测、Webshell检测、漏洞风险检测、配置风险检测、弱口令账户检测。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支持识别HTTP异常，包含HTTP方法过滤、HTTP头部字段Referer、User-Agent等注入检测、Host检测、URL溢出检测、POST实体溢出检测、HTTP头部溢出检测、range字段防护、multipart头部字段异常检测、Content-Type头部字段异常检测。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7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日志审计</w:t>
            </w:r>
          </w:p>
        </w:tc>
        <w:tc>
          <w:tcPr>
            <w:tcW w:w="66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1、性能参数：默认包含主机审计许可证书数量≥50，最大可扩展审计主机许可数≥150，可用存储量≥1TB（RAID1 模式），平均每秒处理日志数（eps）最大性能≥1200。标准2U机架，内存大小≥16G，硬盘容量≥4T，电源：单电源，接口至少具备6千兆电口和2万兆光口SFP+。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</w:tr>
      <w:tr>
        <w:tblPrEx>
          <w:tblBorders>
            <w:top w:val="none" w:color="auto" w:sz="0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9554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推荐品牌：深信服、奇安信、绿盟、天融信。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推荐品牌（或参考型号、推荐型号）均不具有限制性，供应商可自行选择其他品牌（或型号）报价，但供应商应当在投标文件中提供技术证明材料，以证明报价产品的质量、性能、参数等相当于或优于参考品牌、推荐品牌（或参考型号、推荐型号），否则按无效报价处理。</w:t>
            </w: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32"/>
          <w:lang w:val="en-US" w:eastAsia="zh-CN"/>
        </w:rPr>
        <w:t>附件1：采购需求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产品售后</w:t>
      </w:r>
    </w:p>
    <w:p>
      <w:pPr>
        <w:pStyle w:val="4"/>
        <w:numPr>
          <w:ilvl w:val="0"/>
          <w:numId w:val="1"/>
        </w:numPr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病毒库</w:t>
      </w:r>
    </w:p>
    <w:p>
      <w:pPr>
        <w:pStyle w:val="4"/>
        <w:ind w:left="0" w:leftChars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3年的定期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免费</w:t>
      </w:r>
      <w:r>
        <w:rPr>
          <w:rFonts w:hint="eastAsia" w:ascii="仿宋_GB2312" w:hAnsi="仿宋_GB2312" w:eastAsia="仿宋_GB2312" w:cs="仿宋_GB2312"/>
          <w:sz w:val="32"/>
          <w:szCs w:val="32"/>
        </w:rPr>
        <w:t>更新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4"/>
        <w:numPr>
          <w:ilvl w:val="0"/>
          <w:numId w:val="1"/>
        </w:numPr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安全设备巡检服务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对网络安全设备的运行状态进行监测，对历史安全事件进行分析排查，并给出相应建议。每季度进行至少一次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免费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巡检，巡检采用远程登陆或本地检查的方式进行。以季度为单位提供巡检报告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安全培训服务</w:t>
      </w:r>
    </w:p>
    <w:p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根据客户全员或技术维护人员需求，可提供安全意识、安全理论知识、威胁分析处置理论和实际操作技能等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免费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培训。</w:t>
      </w:r>
    </w:p>
    <w:p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应急响应服务</w:t>
      </w:r>
    </w:p>
    <w:p>
      <w:pPr>
        <w:widowControl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当发生外部黑客入侵、数据泄露、木马病毒等突发安全事件时，应急响应人员快速响应，及时、准确的解决安全事件，化解安全危机，能够协助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.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资产维护服务</w:t>
      </w:r>
    </w:p>
    <w:p>
      <w:pPr>
        <w:ind w:firstLine="64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由专业安全服务团队对安全设备资产、主机设备资产、重点应用系统资产等进行梳理，最终提供更新的资产梳理表。</w:t>
      </w:r>
    </w:p>
    <w:p>
      <w:pPr>
        <w:ind w:firstLine="64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jc w:val="center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0C465F"/>
    <w:multiLevelType w:val="multilevel"/>
    <w:tmpl w:val="1F0C465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ZmU1NzVmNjhkMDIxNjU5ZDRhNTBkNWVmYjUyMGYifQ=="/>
  </w:docVars>
  <w:rsids>
    <w:rsidRoot w:val="6645460F"/>
    <w:rsid w:val="3CC80AB7"/>
    <w:rsid w:val="3E5A3873"/>
    <w:rsid w:val="3F5A3C39"/>
    <w:rsid w:val="5FD739AB"/>
    <w:rsid w:val="6645460F"/>
    <w:rsid w:val="74E90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1205</Words>
  <Characters>1407</Characters>
  <Lines>0</Lines>
  <Paragraphs>0</Paragraphs>
  <TotalTime>188</TotalTime>
  <ScaleCrop>false</ScaleCrop>
  <LinksUpToDate>false</LinksUpToDate>
  <CharactersWithSpaces>1418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2023-03-22T08:33:00Z</dcterms:created>
  <dc:creator>刘巍</dc:creator>
  <cp:lastModifiedBy>TiMe</cp:lastModifiedBy>
  <cp:lastPrinted>2023-03-28T07:18:00Z</cp:lastPrinted>
  <dcterms:modified xsi:type="dcterms:W3CDTF">2023-03-30T00:21:30Z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518133E822DE4C7C81B4CBDEA1D79515</vt:lpwstr>
  </property>
</Properties>
</file>