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w:t>
      </w:r>
      <w:r>
        <w:rPr>
          <w:rFonts w:hint="eastAsia" w:ascii="Times New Roman" w:hAnsi="Times New Roman" w:eastAsia="黑体" w:cs="Times New Roman"/>
          <w:color w:val="FF0000"/>
          <w:kern w:val="0"/>
          <w:sz w:val="32"/>
          <w:szCs w:val="32"/>
          <w:highlight w:val="none"/>
          <w:u w:val="single"/>
          <w:shd w:val="clear" w:color="auto" w:fill="auto"/>
          <w:lang w:val="en-US" w:eastAsia="zh-CN"/>
        </w:rPr>
        <w:t>亳州交控智能零碳光储直柔能源站勘察设计</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010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ermStart w:id="2" w:edGrp="everyone"/>
      <w:permEnd w:id="2"/>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color w:val="FF0000"/>
          <w:kern w:val="0"/>
          <w:sz w:val="32"/>
          <w:szCs w:val="32"/>
          <w:highlight w:val="none"/>
          <w:shd w:val="clear" w:color="auto" w:fill="auto"/>
          <w:lang w:val="en-US" w:eastAsia="zh-CN"/>
        </w:rPr>
        <w:t>2023年3</w:t>
      </w:r>
      <w:r>
        <w:rPr>
          <w:rFonts w:hint="eastAsia" w:ascii="Times New Roman" w:hAnsi="Times New Roman" w:eastAsia="楷体" w:cs="Times New Roman"/>
          <w:color w:val="FF0000"/>
          <w:kern w:val="0"/>
          <w:sz w:val="32"/>
          <w:szCs w:val="32"/>
          <w:highlight w:val="none"/>
          <w:u w:val="none"/>
          <w:shd w:val="clear" w:color="auto" w:fill="auto"/>
          <w:lang w:val="en-US" w:eastAsia="zh-CN"/>
        </w:rPr>
        <w:t>月 10 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亳州交控智能零碳光储直柔能源站勘察设计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46996166"/>
      <w:bookmarkStart w:id="2" w:name="_Toc247085680"/>
      <w:bookmarkStart w:id="3" w:name="_Toc296602410"/>
      <w:bookmarkStart w:id="4" w:name="_Toc144974487"/>
      <w:bookmarkStart w:id="5" w:name="_Toc152042295"/>
      <w:bookmarkStart w:id="6" w:name="_Toc152045519"/>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7085681"/>
      <w:bookmarkStart w:id="10" w:name="_Toc246996167"/>
      <w:bookmarkStart w:id="11" w:name="_Toc152045520"/>
      <w:bookmarkStart w:id="12" w:name="_Toc179632537"/>
      <w:bookmarkStart w:id="13" w:name="_Toc152042296"/>
      <w:bookmarkStart w:id="14" w:name="_Toc144974488"/>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亳州交控智能零碳光储直柔能源站</w:t>
      </w:r>
      <w:r>
        <w:rPr>
          <w:rFonts w:hint="eastAsia" w:asciiTheme="minorEastAsia" w:hAnsiTheme="minorEastAsia" w:cstheme="minorEastAsia"/>
          <w:color w:val="auto"/>
          <w:sz w:val="28"/>
          <w:szCs w:val="28"/>
          <w:highlight w:val="none"/>
          <w:lang w:val="en-US" w:eastAsia="zh-CN"/>
        </w:rPr>
        <w:t>勘察设计</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安徽省安车交通运输集团有限公司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sz w:val="28"/>
          <w:szCs w:val="28"/>
          <w:highlight w:val="none"/>
          <w:lang w:val="en-US" w:eastAsia="zh-CN"/>
        </w:rPr>
        <w:t>亳州交控智能零碳光储直柔能源站项目位于建安路西侧、杜仲路北侧，占地约12.7亩（土地规划指标：土地编号2022-40号，土地面积8470.2m</w:t>
      </w:r>
      <w:r>
        <w:rPr>
          <w:rFonts w:hint="eastAsia" w:asciiTheme="minorEastAsia" w:hAnsiTheme="minorEastAsia" w:cstheme="minorEastAsia"/>
          <w:sz w:val="28"/>
          <w:szCs w:val="28"/>
          <w:highlight w:val="none"/>
          <w:vertAlign w:val="superscript"/>
          <w:lang w:val="en-US" w:eastAsia="zh-CN"/>
        </w:rPr>
        <w:t>2</w:t>
      </w:r>
      <w:r>
        <w:rPr>
          <w:rFonts w:hint="eastAsia" w:asciiTheme="minorEastAsia" w:hAnsiTheme="minorEastAsia" w:cstheme="minorEastAsia"/>
          <w:sz w:val="28"/>
          <w:szCs w:val="28"/>
          <w:highlight w:val="none"/>
          <w:lang w:val="en-US" w:eastAsia="zh-CN"/>
        </w:rPr>
        <w:t>、容积率≦1.0、建筑面积≦30%、绿化率≧20%），建设内容包含零碳综合楼3600m</w:t>
      </w:r>
      <w:r>
        <w:rPr>
          <w:rFonts w:hint="eastAsia" w:asciiTheme="minorEastAsia" w:hAnsiTheme="minorEastAsia" w:cstheme="minorEastAsia"/>
          <w:sz w:val="28"/>
          <w:szCs w:val="28"/>
          <w:highlight w:val="none"/>
          <w:vertAlign w:val="superscript"/>
          <w:lang w:val="en-US" w:eastAsia="zh-CN"/>
        </w:rPr>
        <w:t>2</w:t>
      </w:r>
      <w:r>
        <w:rPr>
          <w:rFonts w:hint="eastAsia" w:asciiTheme="minorEastAsia" w:hAnsiTheme="minorEastAsia" w:cstheme="minorEastAsia"/>
          <w:sz w:val="28"/>
          <w:szCs w:val="28"/>
          <w:highlight w:val="none"/>
          <w:lang w:val="en-US" w:eastAsia="zh-CN"/>
        </w:rPr>
        <w:t>、72个直流充电终端、2座新能源汽车换电站、屋顶光伏、光伏车棚、储能柜、3台2000KVA变压器、新能源汽车停车位以及景观、道路、照明等附属设施。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permStart w:id="8" w:edGrp="everyone"/>
      <w:r>
        <w:rPr>
          <w:rFonts w:hint="eastAsia" w:asciiTheme="minorEastAsia" w:hAnsiTheme="minorEastAsia" w:cstheme="minorEastAsia"/>
          <w:color w:val="auto"/>
          <w:sz w:val="28"/>
          <w:szCs w:val="28"/>
          <w:highlight w:val="none"/>
          <w:lang w:val="en-US" w:eastAsia="zh-CN"/>
        </w:rPr>
        <w:t>建筑红线范围内的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1、项目建议书编制；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2、项目规划方案；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3、地质勘察报告；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4、专项咨询（能评、环评、交通等不少于3项所需批准）；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5、施工图纸设计（包含各专业所需专项设计）；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6、绿色建筑专篇设计及方案；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7、智能化系统及其子系统设计；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8、专项设计，包含道排、景观绿化、室内装饰、外立面深化、亮化、供配电、光储充一体化、弱电智能化（含通信、安防、停车管理、公共广播、综合布线、能耗监控系统以及甲方需求的系统及其子系统）、供水、消防、标识标线牌、污废水处理等及其他附属工程设计。</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lang w:val="en-US" w:eastAsia="zh-CN"/>
        </w:rPr>
      </w:pPr>
      <w:r>
        <w:rPr>
          <w:rFonts w:hint="default" w:asciiTheme="minorEastAsia" w:hAnsiTheme="minorEastAsia" w:eastAsiaTheme="minorEastAsia" w:cstheme="minorEastAsia"/>
          <w:kern w:val="2"/>
          <w:sz w:val="28"/>
          <w:szCs w:val="28"/>
          <w:highlight w:val="none"/>
          <w:lang w:val="en-US" w:eastAsia="zh-CN" w:bidi="ar-SA"/>
        </w:rPr>
        <w:t>配合后续</w:t>
      </w:r>
      <w:r>
        <w:rPr>
          <w:rFonts w:hint="eastAsia" w:asciiTheme="minorEastAsia" w:hAnsiTheme="minorEastAsia" w:eastAsiaTheme="minorEastAsia" w:cstheme="minorEastAsia"/>
          <w:kern w:val="2"/>
          <w:sz w:val="28"/>
          <w:szCs w:val="28"/>
          <w:highlight w:val="none"/>
          <w:lang w:val="en-US" w:eastAsia="zh-CN" w:bidi="ar-SA"/>
        </w:rPr>
        <w:t>方案评审、</w:t>
      </w:r>
      <w:r>
        <w:rPr>
          <w:rFonts w:hint="default" w:asciiTheme="minorEastAsia" w:hAnsiTheme="minorEastAsia" w:eastAsiaTheme="minorEastAsia" w:cstheme="minorEastAsia"/>
          <w:kern w:val="2"/>
          <w:sz w:val="28"/>
          <w:szCs w:val="28"/>
          <w:highlight w:val="none"/>
          <w:lang w:val="en-US" w:eastAsia="zh-CN" w:bidi="ar-SA"/>
        </w:rPr>
        <w:t>报批、施工及各阶段验收工作等相关服务内容</w:t>
      </w:r>
      <w:r>
        <w:rPr>
          <w:rFonts w:hint="eastAsia" w:ascii="Times New Roman" w:hAnsi="Times New Roman" w:cs="Times New Roman"/>
          <w:sz w:val="32"/>
          <w:szCs w:val="32"/>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none"/>
          <w:lang w:val="en-US" w:eastAsia="zh-CN"/>
        </w:rPr>
        <w:t>（1）设计周期：自合同签订之日30个日历天；（2）服务期限：自合同签订之日起至所有项目履约验收完成止。</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（含税，税率6%）</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color w:val="FF0000"/>
          <w:sz w:val="28"/>
          <w:szCs w:val="28"/>
          <w:highlight w:val="none"/>
          <w:u w:val="single"/>
          <w:lang w:val="en-US" w:eastAsia="zh-CN"/>
        </w:rPr>
        <w:t>600000元</w:t>
      </w:r>
      <w:r>
        <w:rPr>
          <w:rFonts w:hint="eastAsia" w:asciiTheme="minorEastAsia" w:hAnsiTheme="minorEastAsia" w:eastAsiaTheme="minorEastAsia" w:cstheme="minorEastAsia"/>
          <w:sz w:val="28"/>
          <w:szCs w:val="28"/>
          <w:highlight w:val="none"/>
          <w:u w:val="single"/>
          <w:lang w:val="en-US" w:eastAsia="zh-CN"/>
        </w:rPr>
        <w:t xml:space="preserve"> </w:t>
      </w:r>
      <w:permEnd w:id="12"/>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3"/>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（二）</w:t>
      </w:r>
      <w:permStart w:id="15" w:edGrp="everyone"/>
      <w:r>
        <w:rPr>
          <w:rFonts w:hint="eastAsia" w:asciiTheme="minorEastAsia" w:hAnsiTheme="minorEastAsia" w:cstheme="minorEastAsia"/>
          <w:sz w:val="28"/>
          <w:szCs w:val="28"/>
          <w:highlight w:val="none"/>
          <w:u w:val="single"/>
          <w:lang w:val="en-US" w:eastAsia="zh-CN"/>
        </w:rPr>
        <w:t>投标人资质要求：须同时满足以下资格要求：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1.工程设计资质须满足下列之一：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（1）建筑行业（建筑工程）专业乙级及以上工程设计资质；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（2）建筑行业乙级及以上工程设计资质；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（3）工程设计综合资质甲级。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2.工程勘察资质须满足下列资质之一：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（1）工程勘察专业类（岩土工程勘察（分项））乙级及以上资质；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（2）工程勘察专业类（岩土工程）乙级及以上资质；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（3）工程勘察综合类甲级资质</w:t>
      </w:r>
      <w:r>
        <w:rPr>
          <w:rFonts w:hint="eastAsia" w:asciiTheme="minorEastAsia" w:hAnsiTheme="minorEastAsia" w:cstheme="minorEastAsia"/>
          <w:sz w:val="28"/>
          <w:szCs w:val="28"/>
          <w:highlight w:val="none"/>
          <w:lang w:val="en-US" w:eastAsia="zh-CN"/>
        </w:rPr>
        <w:t>。</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6" w:edGrp="everyone"/>
      <w:r>
        <w:rPr>
          <w:rFonts w:hint="eastAsia" w:asciiTheme="minorEastAsia" w:hAnsiTheme="minorEastAsia" w:cstheme="minorEastAsia"/>
          <w:sz w:val="28"/>
          <w:szCs w:val="28"/>
          <w:highlight w:val="none"/>
          <w:u w:val="single"/>
          <w:lang w:val="en-US" w:eastAsia="zh-CN"/>
        </w:rPr>
        <w:t xml:space="preserve"> 须同时具有国家一级注册建筑师执业资格和高级及以上职称；具有至少1项参与过合同建筑面积不低于5000平方米的低碳建筑（园区、开发区）的设计咨询业绩</w:t>
      </w:r>
      <w:permEnd w:id="1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color w:val="FF0000"/>
          <w:sz w:val="28"/>
          <w:szCs w:val="28"/>
          <w:highlight w:val="none"/>
          <w:u w:val="single"/>
          <w:lang w:val="en-US" w:eastAsia="zh-CN"/>
        </w:rPr>
        <w:t>2019</w:t>
      </w:r>
      <w:r>
        <w:rPr>
          <w:rFonts w:hint="eastAsia" w:asciiTheme="minorEastAsia" w:hAnsiTheme="minorEastAsia" w:cstheme="minorEastAsia"/>
          <w:sz w:val="28"/>
          <w:szCs w:val="28"/>
          <w:highlight w:val="none"/>
          <w:u w:val="single"/>
          <w:lang w:val="en-US" w:eastAsia="zh-CN"/>
        </w:rPr>
        <w:t xml:space="preserve"> </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u w:val="single"/>
          <w:lang w:val="en-US" w:eastAsia="zh-CN"/>
        </w:rPr>
        <w:t xml:space="preserve"> </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cstheme="minorEastAsia"/>
          <w:sz w:val="28"/>
          <w:szCs w:val="28"/>
          <w:highlight w:val="none"/>
          <w:u w:val="none"/>
          <w:lang w:val="en-US" w:eastAsia="zh-CN"/>
        </w:rPr>
        <w:t>单项合同建筑面积在</w:t>
      </w:r>
      <w:r>
        <w:rPr>
          <w:rFonts w:hint="eastAsia" w:asciiTheme="minorEastAsia" w:hAnsiTheme="minorEastAsia" w:cstheme="minorEastAsia"/>
          <w:color w:val="FF0000"/>
          <w:sz w:val="28"/>
          <w:szCs w:val="28"/>
          <w:highlight w:val="none"/>
          <w:u w:val="none"/>
          <w:lang w:val="en-US" w:eastAsia="zh-CN"/>
        </w:rPr>
        <w:t>5000</w:t>
      </w:r>
      <w:r>
        <w:rPr>
          <w:rFonts w:hint="eastAsia" w:asciiTheme="minorEastAsia" w:hAnsiTheme="minorEastAsia" w:cstheme="minorEastAsia"/>
          <w:sz w:val="28"/>
          <w:szCs w:val="28"/>
          <w:highlight w:val="none"/>
          <w:u w:val="none"/>
          <w:lang w:val="en-US" w:eastAsia="zh-CN"/>
        </w:rPr>
        <w:t>平米及以上的建筑工程类设计业绩（设计内容须包含施工图设计）。须提供相应的合同及履约证明材料(履约证明材料可以为施工图设计文件审查合格书、建筑工程施工许可证、建筑工程施工许可结果网页截图、竣工验收报告或竣工验收备案表、业主出具的证明材料等)，业绩时间以合同签订时间为准</w:t>
      </w:r>
      <w:permEnd w:id="21"/>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2"/>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4"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2022</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4"/>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2023</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3</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21</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09</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default" w:asciiTheme="minorEastAsia" w:hAnsiTheme="minorEastAsia" w:eastAsiaTheme="minorEastAsia" w:cstheme="minorEastAsia"/>
          <w:color w:val="FF0000"/>
          <w:sz w:val="28"/>
          <w:szCs w:val="28"/>
          <w:highlight w:val="none"/>
          <w:lang w:val="en-US" w:eastAsia="zh-CN"/>
        </w:rPr>
        <w:t>允许</w:t>
      </w:r>
      <w:permEnd w:id="26"/>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7"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10000</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安徽省安车交通运输集团有限公司 </w:t>
      </w:r>
    </w:p>
    <w:permEnd w:id="2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 xml:space="preserve"> 安徽省亳州市谯城区银杏路与G105交口 </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李工 </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 17682980280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eastAsiaTheme="minorEastAsia" w:cstheme="minorEastAsia"/>
          <w:color w:val="FF0000"/>
          <w:sz w:val="28"/>
          <w:szCs w:val="28"/>
          <w:highlight w:val="none"/>
          <w:lang w:val="en-US" w:eastAsia="zh-CN"/>
        </w:rPr>
        <w:t xml:space="preserve"> 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 xml:space="preserve"> 月</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3"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color w:val="FF0000"/>
                <w:szCs w:val="21"/>
              </w:rPr>
            </w:pPr>
            <w:r>
              <w:rPr>
                <w:rFonts w:hint="eastAsia" w:hAnsi="宋体"/>
                <w:color w:val="FF0000"/>
                <w:szCs w:val="21"/>
              </w:rPr>
              <w:t>不需要□</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w:t>
            </w:r>
            <w:r>
              <w:rPr>
                <w:rFonts w:hint="eastAsia" w:hAnsi="宋体"/>
                <w:color w:val="FF0000"/>
                <w:szCs w:val="21"/>
              </w:rPr>
              <w:sym w:font="Wingdings 2" w:char="0052"/>
            </w:r>
            <w:r>
              <w:rPr>
                <w:rFonts w:hint="eastAsia" w:hAnsi="宋体"/>
                <w:color w:val="FF0000"/>
                <w:szCs w:val="21"/>
              </w:rPr>
              <w:t>，提供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2019</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2021</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3"/>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7"/>
              <w:topLinePunct/>
              <w:spacing w:line="440" w:lineRule="exact"/>
              <w:ind w:firstLine="420" w:firstLineChars="200"/>
              <w:rPr>
                <w:rFonts w:hint="default" w:ascii="Times New Roman" w:hAnsi="Times New Roman" w:cs="Times New Roman"/>
                <w:szCs w:val="21"/>
                <w:highlight w:val="none"/>
              </w:rPr>
            </w:pPr>
            <w:permStart w:id="34" w:edGrp="everyone"/>
            <w:r>
              <w:rPr>
                <w:rFonts w:hint="eastAsia" w:hAnsi="宋体"/>
                <w:sz w:val="21"/>
                <w:szCs w:val="21"/>
                <w:lang w:val="en-US" w:eastAsia="zh-CN"/>
              </w:rPr>
              <w:t xml:space="preserve">提供近三年度(2019、2020、2021年度)经会计师事务所或审计机构审计的年度财务审计报告，新成立企业从成立之日计算，成立不足一年的企业可以提供成立以来的财务报表。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6" w:edGrp="everyone"/>
            <w:r>
              <w:rPr>
                <w:rFonts w:hint="eastAsia" w:hAnsi="宋体"/>
                <w:sz w:val="21"/>
                <w:szCs w:val="21"/>
                <w:lang w:val="en-US" w:eastAsia="zh-CN"/>
              </w:rPr>
              <w:t xml:space="preserve"> /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7"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8"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yellow"/>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0" w:edGrp="everyone"/>
            <w:r>
              <w:rPr>
                <w:rFonts w:hint="eastAsia" w:ascii="Times New Roman" w:hAnsi="Times New Roman" w:cs="Times New Roman"/>
                <w:color w:val="FF0000"/>
                <w:sz w:val="21"/>
                <w:szCs w:val="21"/>
                <w:highlight w:val="none"/>
                <w:lang w:val="en-US" w:eastAsia="zh-CN"/>
              </w:rPr>
              <w:t>详见第四章合同条款及格式、第五章发包人要求。</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1" w:edGrp="everyone"/>
            <w:r>
              <w:rPr>
                <w:rFonts w:hint="eastAsia" w:ascii="Times New Roman" w:hAnsi="Times New Roman" w:cs="Times New Roman"/>
                <w:kern w:val="2"/>
                <w:sz w:val="21"/>
                <w:szCs w:val="21"/>
                <w:highlight w:val="none"/>
                <w:u w:val="single"/>
                <w:lang w:val="en-US" w:eastAsia="zh-CN" w:bidi="ar-SA"/>
              </w:rPr>
              <w:t xml:space="preserve">详见第一章招标公告。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4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rPr>
              <w:sym w:font="Wingdings 2" w:char="0052"/>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3" w:edGrp="everyone"/>
            <w:r>
              <w:rPr>
                <w:rFonts w:hint="default" w:ascii="Times New Roman" w:hAnsi="Times New Roman" w:cs="Times New Roman"/>
                <w:color w:val="FF0000"/>
                <w:szCs w:val="21"/>
                <w:highlight w:val="none"/>
              </w:rPr>
              <w:t>银行汇款或转账</w:t>
            </w:r>
            <w:permEnd w:id="43"/>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4" w:edGrp="everyone"/>
            <w:r>
              <w:rPr>
                <w:rFonts w:hint="eastAsia" w:ascii="Times New Roman" w:hAnsi="Times New Roman" w:cs="Times New Roman"/>
                <w:color w:val="auto"/>
                <w:szCs w:val="21"/>
                <w:highlight w:val="none"/>
                <w:u w:val="single"/>
                <w:lang w:val="en-US" w:eastAsia="zh-CN"/>
              </w:rPr>
              <w:t xml:space="preserve"> 10000（人民币） </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5" w:edGrp="everyone"/>
            <w:r>
              <w:rPr>
                <w:rFonts w:hint="eastAsia" w:ascii="Times New Roman" w:hAnsi="Times New Roman" w:cs="Times New Roman"/>
                <w:color w:val="FF0000"/>
                <w:szCs w:val="21"/>
                <w:highlight w:val="none"/>
                <w:lang w:val="en-US" w:eastAsia="zh-CN"/>
              </w:rPr>
              <w:t>BZJK-2023-010号保证金</w:t>
            </w:r>
            <w:permEnd w:id="4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7"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yellow"/>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9" w:edGrp="everyone"/>
            <w:r>
              <w:rPr>
                <w:rFonts w:hint="eastAsia" w:ascii="Times New Roman" w:hAnsi="Times New Roman" w:cs="Times New Roman"/>
                <w:color w:val="FF0000"/>
                <w:szCs w:val="21"/>
                <w:highlight w:val="none"/>
                <w:lang w:val="en-US" w:eastAsia="zh-CN"/>
              </w:rPr>
              <w:t>开标地址：亳州交通投资控股集团有限公司15楼会议室（药都大道与希夷大道交叉口东北角8楼）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亳州交控智能零碳光储直柔能源站勘察设计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szCs w:val="21"/>
                <w:highlight w:val="none"/>
                <w:lang w:val="en-US"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yellow"/>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1"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2" w:edGrp="everyone"/>
            <w:r>
              <w:rPr>
                <w:rFonts w:hint="eastAsia" w:ascii="Times New Roman" w:hAnsi="Times New Roman" w:cs="Times New Roman"/>
                <w:b/>
                <w:bCs/>
                <w:color w:val="FF0000"/>
                <w:szCs w:val="21"/>
                <w:highlight w:val="none"/>
                <w:lang w:val="en-US" w:eastAsia="zh-CN"/>
              </w:rPr>
              <w:t>中标价款的 5 %</w:t>
            </w:r>
            <w:permEnd w:id="5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投标人须知正文部分直接引用国家发改委等九部委于2017年9月4日联合印发的《中华人民共和国标准设计招标文件》（2017年版）。</w:t>
      </w: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9" w:edGrp="everyone"/>
            <w:r>
              <w:rPr>
                <w:rFonts w:hint="eastAsia" w:ascii="Times New Roman" w:hAnsi="Times New Roman" w:cs="Times New Roman"/>
                <w:kern w:val="0"/>
                <w:sz w:val="24"/>
                <w:szCs w:val="24"/>
                <w:highlight w:val="none"/>
                <w:lang w:val="en-US" w:eastAsia="zh-CN"/>
              </w:rPr>
              <w:t>符合第二章“投标人须知”第1.4.1项规定</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3"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96602477"/>
            <w:bookmarkStart w:id="17" w:name="_Toc144974556"/>
            <w:bookmarkStart w:id="18" w:name="_Toc247085747"/>
            <w:bookmarkStart w:id="19" w:name="_Toc152045589"/>
            <w:bookmarkStart w:id="20" w:name="_Toc179632607"/>
            <w:bookmarkStart w:id="21" w:name="_Toc246996232"/>
            <w:bookmarkStart w:id="22" w:name="_Toc246996975"/>
            <w:bookmarkStart w:id="23"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1"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投标报价要求：</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设计人员要求：</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2"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以所有通过初步评审的投标人的投标报价算术平均数作为评标基准价</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3"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7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1、2019年1月1日（以颁奖时间为准）以来，投标人获得行政主管部门或在国内依法登记注册的行业协会（或学会）颁发的奖项荣誉：国家级</w:t>
            </w:r>
            <w:r>
              <w:rPr>
                <w:rFonts w:hint="eastAsia" w:ascii="Times New Roman" w:hAnsi="Times New Roman" w:cs="Times New Roman"/>
                <w:color w:val="auto"/>
                <w:kern w:val="0"/>
                <w:sz w:val="24"/>
                <w:szCs w:val="24"/>
                <w:highlight w:val="none"/>
                <w:lang w:val="en-US" w:eastAsia="zh-CN" w:bidi="ar-SA"/>
              </w:rPr>
              <w:t>每个</w:t>
            </w:r>
            <w:r>
              <w:rPr>
                <w:rFonts w:hint="eastAsia" w:ascii="Times New Roman" w:hAnsi="Times New Roman" w:cs="Times New Roman" w:eastAsiaTheme="minorEastAsia"/>
                <w:color w:val="auto"/>
                <w:kern w:val="0"/>
                <w:sz w:val="24"/>
                <w:szCs w:val="24"/>
                <w:highlight w:val="none"/>
                <w:lang w:val="en-US" w:eastAsia="zh-CN" w:bidi="ar-SA"/>
              </w:rPr>
              <w:t>得</w:t>
            </w:r>
            <w:r>
              <w:rPr>
                <w:rFonts w:hint="eastAsia" w:ascii="Times New Roman" w:hAnsi="Times New Roman" w:cs="Times New Roman"/>
                <w:color w:val="auto"/>
                <w:kern w:val="0"/>
                <w:sz w:val="24"/>
                <w:szCs w:val="24"/>
                <w:highlight w:val="none"/>
                <w:lang w:val="en-US" w:eastAsia="zh-CN" w:bidi="ar-SA"/>
              </w:rPr>
              <w:t>5</w:t>
            </w:r>
            <w:r>
              <w:rPr>
                <w:rFonts w:hint="eastAsia" w:ascii="Times New Roman" w:hAnsi="Times New Roman" w:cs="Times New Roman" w:eastAsiaTheme="minorEastAsia"/>
                <w:color w:val="auto"/>
                <w:kern w:val="0"/>
                <w:sz w:val="24"/>
                <w:szCs w:val="24"/>
                <w:highlight w:val="none"/>
                <w:lang w:val="en-US" w:eastAsia="zh-CN" w:bidi="ar-SA"/>
              </w:rPr>
              <w:t>分，省级每个得</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注：（1）本项满分10分，投标文件中须提供颁奖单位的颁奖文件或颁奖单位官网文件截图。注：颁奖文件不含荣誉证书、奖杯、奖牌、奖状；</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(2）“国内依法登记注册”以中国社会组织政务服务平台中“全国社会组织信用信息公示平台”查询结果为准；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（3）投标文件中须提供该协（学）会在中国社会组织政务服务平台中“全国社会组织信用信息公示平台”查询结果截图。</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bidi="ar-SA"/>
              </w:rPr>
              <w:t>（4）民政部公布的“离岸社团”、“山寨社团”或中国社会组织政务服务平台中“全国社会组织信用信息公示平台”公示的“涉嫌非法社会组织”颁发的荣誉、奖励均无效。</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9"/>
              <w:keepNext w:val="0"/>
              <w:keepLines w:val="0"/>
              <w:pageBreakBefore w:val="0"/>
              <w:widowControl w:val="0"/>
              <w:numPr>
                <w:ilvl w:val="0"/>
                <w:numId w:val="1"/>
              </w:numPr>
              <w:kinsoku/>
              <w:overflowPunct/>
              <w:topLinePunct w:val="0"/>
              <w:bidi w:val="0"/>
              <w:snapToGrid/>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除投标人资格要求业绩外，自2019年1月1日以来（时间以合同签订时间为准），投标人每额外提供1项单项合同建筑面积不小于5000平方，中标金额不低于50万元的公共建筑设计业绩，每提供一个得4分，最高得8分。</w:t>
            </w:r>
          </w:p>
          <w:p>
            <w:pPr>
              <w:pStyle w:val="29"/>
              <w:keepNext w:val="0"/>
              <w:keepLines w:val="0"/>
              <w:pageBreakBefore w:val="0"/>
              <w:widowControl w:val="0"/>
              <w:kinsoku/>
              <w:overflowPunct/>
              <w:topLinePunct w:val="0"/>
              <w:bidi w:val="0"/>
              <w:snapToGrid/>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2.除投标人资格要求业绩外，自2019年1月1日以来（时间以合同签订时间为准），投标人每额外提供1项合同建筑面积不低于5000平方米的低碳建筑（园区、开发区）的设计咨询业绩，每个得4分，本项总分8分。</w:t>
            </w:r>
          </w:p>
          <w:p>
            <w:pPr>
              <w:pStyle w:val="29"/>
              <w:keepNext w:val="0"/>
              <w:keepLines w:val="0"/>
              <w:pageBreakBefore w:val="0"/>
              <w:widowControl w:val="0"/>
              <w:kinsoku/>
              <w:overflowPunct/>
              <w:topLinePunct w:val="0"/>
              <w:bidi w:val="0"/>
              <w:snapToGrid/>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3.2019年1月1日以来（时间以合同签订时间为准），投标人承接的设计项目获得市级及以上示范奖励的，每个得2分，本项总分4分。</w:t>
            </w:r>
          </w:p>
          <w:p>
            <w:pPr>
              <w:pStyle w:val="29"/>
              <w:keepNext w:val="0"/>
              <w:keepLines w:val="0"/>
              <w:pageBreakBefore w:val="0"/>
              <w:widowControl w:val="0"/>
              <w:kinsoku/>
              <w:overflowPunct/>
              <w:topLinePunct w:val="0"/>
              <w:bidi w:val="0"/>
              <w:snapToGrid/>
              <w:ind w:firstLine="480" w:firstLineChars="200"/>
              <w:jc w:val="both"/>
              <w:textAlignment w:val="auto"/>
              <w:rPr>
                <w:rFonts w:hint="eastAsia"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注：</w:t>
            </w:r>
          </w:p>
          <w:p>
            <w:pPr>
              <w:pStyle w:val="29"/>
              <w:keepNext w:val="0"/>
              <w:keepLines w:val="0"/>
              <w:pageBreakBefore w:val="0"/>
              <w:widowControl w:val="0"/>
              <w:kinsoku/>
              <w:overflowPunct/>
              <w:topLinePunct w:val="0"/>
              <w:bidi w:val="0"/>
              <w:snapToGrid/>
              <w:ind w:firstLine="480" w:firstLineChars="200"/>
              <w:jc w:val="both"/>
              <w:textAlignment w:val="auto"/>
              <w:rPr>
                <w:rFonts w:hint="eastAsia"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（1）已完成或正在履约的业绩均可；</w:t>
            </w:r>
          </w:p>
          <w:p>
            <w:pPr>
              <w:pStyle w:val="29"/>
              <w:keepNext w:val="0"/>
              <w:keepLines w:val="0"/>
              <w:pageBreakBefore w:val="0"/>
              <w:widowControl w:val="0"/>
              <w:kinsoku/>
              <w:overflowPunct/>
              <w:topLinePunct w:val="0"/>
              <w:bidi w:val="0"/>
              <w:snapToGrid/>
              <w:ind w:firstLine="480" w:firstLineChars="200"/>
              <w:jc w:val="both"/>
              <w:textAlignment w:val="auto"/>
              <w:rPr>
                <w:rFonts w:hint="eastAsia"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（2）投标文件中须提供合同扫描件，如合同中无法体现合同签订时间、项目类型等内容，需另附业主证明材料扫描件。</w:t>
            </w:r>
          </w:p>
          <w:p>
            <w:pPr>
              <w:pStyle w:val="29"/>
              <w:keepNext w:val="0"/>
              <w:keepLines w:val="0"/>
              <w:pageBreakBefore w:val="0"/>
              <w:widowControl w:val="0"/>
              <w:kinsoku/>
              <w:overflowPunct/>
              <w:topLinePunct w:val="0"/>
              <w:bidi w:val="0"/>
              <w:snapToGrid/>
              <w:ind w:firstLine="480" w:firstLineChars="200"/>
              <w:jc w:val="both"/>
              <w:textAlignment w:val="auto"/>
              <w:rPr>
                <w:rFonts w:hint="default" w:ascii="楷体" w:hAnsi="楷体" w:eastAsia="楷体" w:cs="楷体"/>
                <w:color w:val="auto"/>
                <w:kern w:val="0"/>
                <w:sz w:val="24"/>
                <w:szCs w:val="24"/>
                <w:highlight w:val="none"/>
                <w:lang w:val="en-US" w:eastAsia="zh-CN" w:bidi="ar-SA"/>
              </w:rPr>
            </w:pPr>
            <w:r>
              <w:rPr>
                <w:rFonts w:hint="eastAsia" w:ascii="楷体" w:hAnsi="楷体" w:eastAsia="楷体" w:cs="楷体"/>
                <w:color w:val="auto"/>
                <w:kern w:val="0"/>
                <w:sz w:val="24"/>
                <w:szCs w:val="24"/>
                <w:highlight w:val="none"/>
                <w:lang w:val="en-US" w:eastAsia="zh-CN" w:bidi="ar-SA"/>
              </w:rPr>
              <w:t>（3）各项业绩均单独计算，不累计得分。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服务范围、服务内容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响应文件符合招标文件要求，</w:t>
            </w:r>
            <w:r>
              <w:rPr>
                <w:rFonts w:hint="eastAsia" w:ascii="Times New Roman" w:hAnsi="Times New Roman" w:cs="Times New Roman" w:eastAsiaTheme="minorEastAsia"/>
                <w:color w:val="auto"/>
                <w:kern w:val="0"/>
                <w:sz w:val="24"/>
                <w:szCs w:val="24"/>
                <w:highlight w:val="none"/>
                <w:lang w:val="en-US" w:eastAsia="zh-CN" w:bidi="ar-SA"/>
              </w:rPr>
              <w:t>设计范围、设计内容是否全面、总体思路是否清晰</w:t>
            </w:r>
            <w:r>
              <w:rPr>
                <w:rFonts w:hint="eastAsia" w:ascii="Times New Roman" w:hAnsi="Times New Roman" w:cs="Times New Roman"/>
                <w:color w:val="auto"/>
                <w:kern w:val="0"/>
                <w:sz w:val="24"/>
                <w:szCs w:val="24"/>
                <w:highlight w:val="none"/>
                <w:lang w:val="en-US" w:eastAsia="zh-CN" w:bidi="ar-SA"/>
              </w:rPr>
              <w:t>，</w:t>
            </w:r>
            <w:r>
              <w:rPr>
                <w:rFonts w:hint="eastAsia" w:ascii="Times New Roman" w:hAnsi="Times New Roman" w:cs="Times New Roman" w:eastAsiaTheme="minorEastAsia"/>
                <w:color w:val="auto"/>
                <w:kern w:val="0"/>
                <w:sz w:val="24"/>
                <w:szCs w:val="24"/>
                <w:highlight w:val="none"/>
                <w:lang w:val="en-US" w:eastAsia="zh-CN" w:bidi="ar-SA"/>
              </w:rPr>
              <w:t>进行综合对比评审</w:t>
            </w:r>
            <w:r>
              <w:rPr>
                <w:rFonts w:hint="eastAsia" w:ascii="Times New Roman" w:hAnsi="Times New Roman" w:cs="Times New Roman"/>
                <w:color w:val="auto"/>
                <w:kern w:val="0"/>
                <w:sz w:val="24"/>
                <w:szCs w:val="24"/>
                <w:highlight w:val="none"/>
                <w:lang w:val="en-US" w:eastAsia="zh-CN" w:bidi="ar-SA"/>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val="en-US" w:eastAsia="zh-CN" w:bidi="ar-SA"/>
              </w:rPr>
              <w:t>本项满分</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分，评委酌情给分。优得3分</w:t>
            </w:r>
            <w:r>
              <w:rPr>
                <w:rFonts w:hint="eastAsia" w:ascii="Times New Roman" w:hAnsi="Times New Roman" w:cs="Times New Roman"/>
                <w:color w:val="auto"/>
                <w:kern w:val="0"/>
                <w:sz w:val="24"/>
                <w:szCs w:val="24"/>
                <w:highlight w:val="none"/>
                <w:lang w:val="en-US" w:eastAsia="zh-CN" w:bidi="ar-SA"/>
              </w:rPr>
              <w:t>，</w:t>
            </w:r>
            <w:r>
              <w:rPr>
                <w:rFonts w:hint="eastAsia" w:ascii="Times New Roman" w:hAnsi="Times New Roman" w:cs="Times New Roman" w:eastAsiaTheme="minorEastAsia"/>
                <w:color w:val="auto"/>
                <w:kern w:val="0"/>
                <w:sz w:val="24"/>
                <w:szCs w:val="24"/>
                <w:highlight w:val="none"/>
                <w:lang w:val="en-US" w:eastAsia="zh-CN" w:bidi="ar-SA"/>
              </w:rPr>
              <w:t>良得2分</w:t>
            </w:r>
            <w:r>
              <w:rPr>
                <w:rFonts w:hint="eastAsia" w:ascii="Times New Roman" w:hAnsi="Times New Roman" w:cs="Times New Roman"/>
                <w:color w:val="auto"/>
                <w:kern w:val="0"/>
                <w:sz w:val="24"/>
                <w:szCs w:val="24"/>
                <w:highlight w:val="none"/>
                <w:lang w:val="en-US" w:eastAsia="zh-CN" w:bidi="ar-SA"/>
              </w:rPr>
              <w:t>，</w:t>
            </w:r>
            <w:r>
              <w:rPr>
                <w:rFonts w:hint="eastAsia" w:ascii="Times New Roman" w:hAnsi="Times New Roman" w:cs="Times New Roman" w:eastAsiaTheme="minorEastAsia"/>
                <w:color w:val="auto"/>
                <w:kern w:val="0"/>
                <w:sz w:val="24"/>
                <w:szCs w:val="24"/>
                <w:highlight w:val="none"/>
                <w:lang w:val="en-US" w:eastAsia="zh-CN" w:bidi="ar-SA"/>
              </w:rPr>
              <w:t>一般得1分</w:t>
            </w:r>
            <w:r>
              <w:rPr>
                <w:rFonts w:hint="eastAsia" w:ascii="Times New Roman" w:hAnsi="Times New Roman" w:cs="Times New Roman"/>
                <w:color w:val="auto"/>
                <w:kern w:val="0"/>
                <w:sz w:val="24"/>
                <w:szCs w:val="24"/>
                <w:highlight w:val="none"/>
                <w:lang w:val="en-US" w:eastAsia="zh-CN" w:bidi="ar-SA"/>
              </w:rPr>
              <w:t>，差得0分</w:t>
            </w:r>
            <w:r>
              <w:rPr>
                <w:rFonts w:hint="eastAsia" w:ascii="Times New Roman" w:hAnsi="Times New Roman" w:cs="Times New Roman" w:eastAsiaTheme="minorEastAsia"/>
                <w:color w:val="auto"/>
                <w:kern w:val="0"/>
                <w:sz w:val="24"/>
                <w:szCs w:val="24"/>
                <w:highlight w:val="none"/>
                <w:lang w:val="en-US" w:eastAsia="zh-CN" w:bidi="ar-SA"/>
              </w:rPr>
              <w:t>。</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2" w:colLast="2"/>
            <w:permStart w:id="8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设计完整度和技术落地性</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520" w:lineRule="exact"/>
              <w:ind w:left="0" w:leftChars="0" w:firstLine="480" w:firstLineChars="200"/>
              <w:textAlignment w:val="auto"/>
              <w:rPr>
                <w:rFonts w:hint="eastAsia"/>
                <w:lang w:val="en-US" w:eastAsia="zh-CN"/>
              </w:rPr>
            </w:pPr>
            <w:r>
              <w:rPr>
                <w:rFonts w:hint="eastAsia" w:ascii="Times New Roman" w:hAnsi="Times New Roman" w:cs="Times New Roman"/>
                <w:color w:val="auto"/>
                <w:kern w:val="0"/>
                <w:sz w:val="24"/>
                <w:szCs w:val="24"/>
                <w:highlight w:val="none"/>
                <w:lang w:val="en-US" w:eastAsia="zh-CN" w:bidi="ar-SA"/>
              </w:rPr>
              <w:t>设计体现的创作理念、功能流线、空间组合、节能艺术造型、结构体系、零碳技术创新并兼顾抗震、消防、节能、生态等强制性规范标准等设计总体水平。</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lang w:val="en-US" w:eastAsia="zh-CN"/>
              </w:rPr>
            </w:pPr>
            <w:r>
              <w:rPr>
                <w:rFonts w:hint="eastAsia" w:ascii="Times New Roman" w:hAnsi="Times New Roman" w:cs="Times New Roman" w:eastAsiaTheme="minorEastAsia"/>
                <w:color w:val="auto"/>
                <w:kern w:val="0"/>
                <w:sz w:val="24"/>
                <w:szCs w:val="24"/>
                <w:highlight w:val="none"/>
                <w:lang w:val="en-US" w:eastAsia="zh-CN" w:bidi="ar-SA"/>
              </w:rPr>
              <w:t>本项满分</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分，评委酌情给分。优得3分</w:t>
            </w:r>
            <w:r>
              <w:rPr>
                <w:rFonts w:hint="eastAsia" w:ascii="Times New Roman" w:hAnsi="Times New Roman" w:cs="Times New Roman"/>
                <w:color w:val="auto"/>
                <w:kern w:val="0"/>
                <w:sz w:val="24"/>
                <w:szCs w:val="24"/>
                <w:highlight w:val="none"/>
                <w:lang w:val="en-US" w:eastAsia="zh-CN" w:bidi="ar-SA"/>
              </w:rPr>
              <w:t>，</w:t>
            </w:r>
            <w:r>
              <w:rPr>
                <w:rFonts w:hint="eastAsia" w:ascii="Times New Roman" w:hAnsi="Times New Roman" w:cs="Times New Roman" w:eastAsiaTheme="minorEastAsia"/>
                <w:color w:val="auto"/>
                <w:kern w:val="0"/>
                <w:sz w:val="24"/>
                <w:szCs w:val="24"/>
                <w:highlight w:val="none"/>
                <w:lang w:val="en-US" w:eastAsia="zh-CN" w:bidi="ar-SA"/>
              </w:rPr>
              <w:t>良得2分</w:t>
            </w:r>
            <w:r>
              <w:rPr>
                <w:rFonts w:hint="eastAsia" w:ascii="Times New Roman" w:hAnsi="Times New Roman" w:cs="Times New Roman"/>
                <w:color w:val="auto"/>
                <w:kern w:val="0"/>
                <w:sz w:val="24"/>
                <w:szCs w:val="24"/>
                <w:highlight w:val="none"/>
                <w:lang w:val="en-US" w:eastAsia="zh-CN" w:bidi="ar-SA"/>
              </w:rPr>
              <w:t>，</w:t>
            </w:r>
            <w:r>
              <w:rPr>
                <w:rFonts w:hint="eastAsia" w:ascii="Times New Roman" w:hAnsi="Times New Roman" w:cs="Times New Roman" w:eastAsiaTheme="minorEastAsia"/>
                <w:color w:val="auto"/>
                <w:kern w:val="0"/>
                <w:sz w:val="24"/>
                <w:szCs w:val="24"/>
                <w:highlight w:val="none"/>
                <w:lang w:val="en-US" w:eastAsia="zh-CN" w:bidi="ar-SA"/>
              </w:rPr>
              <w:t>一般得1分</w:t>
            </w:r>
            <w:r>
              <w:rPr>
                <w:rFonts w:hint="eastAsia" w:ascii="Times New Roman" w:hAnsi="Times New Roman" w:cs="Times New Roman"/>
                <w:color w:val="auto"/>
                <w:kern w:val="0"/>
                <w:sz w:val="24"/>
                <w:szCs w:val="24"/>
                <w:highlight w:val="none"/>
                <w:lang w:val="en-US" w:eastAsia="zh-CN" w:bidi="ar-SA"/>
              </w:rPr>
              <w:t>，差得0分</w:t>
            </w:r>
            <w:r>
              <w:rPr>
                <w:rFonts w:hint="eastAsia" w:ascii="Times New Roman" w:hAnsi="Times New Roman" w:cs="Times New Roman" w:eastAsiaTheme="minorEastAsia"/>
                <w:color w:val="auto"/>
                <w:kern w:val="0"/>
                <w:sz w:val="24"/>
                <w:szCs w:val="24"/>
                <w:highlight w:val="none"/>
                <w:lang w:val="en-US" w:eastAsia="zh-CN" w:bidi="ar-SA"/>
              </w:rPr>
              <w:t>。</w:t>
            </w:r>
          </w:p>
        </w:tc>
      </w:tr>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2" w:colLast="2"/>
            <w:permStart w:id="8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服务说明和服务方案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520" w:lineRule="exact"/>
              <w:ind w:left="0" w:leftChars="0"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（1）涵盖所有的产品类型，其设计成果中是否具备方案深度。</w:t>
            </w:r>
          </w:p>
          <w:p>
            <w:pPr>
              <w:keepNext w:val="0"/>
              <w:keepLines w:val="0"/>
              <w:pageBreakBefore w:val="0"/>
              <w:widowControl w:val="0"/>
              <w:kinsoku/>
              <w:wordWrap w:val="0"/>
              <w:overflowPunct/>
              <w:topLinePunct w:val="0"/>
              <w:autoSpaceDE/>
              <w:autoSpaceDN/>
              <w:bidi w:val="0"/>
              <w:adjustRightInd/>
              <w:snapToGrid/>
              <w:spacing w:line="520" w:lineRule="exact"/>
              <w:ind w:left="0" w:leftChars="0"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（2）总图和平面满足</w:t>
            </w:r>
            <w:r>
              <w:rPr>
                <w:rFonts w:hint="eastAsia" w:ascii="Times New Roman" w:hAnsi="Times New Roman" w:cs="Times New Roman"/>
                <w:color w:val="auto"/>
                <w:kern w:val="0"/>
                <w:sz w:val="24"/>
                <w:szCs w:val="24"/>
                <w:highlight w:val="none"/>
                <w:lang w:val="en-US" w:eastAsia="zh-CN" w:bidi="ar-SA"/>
              </w:rPr>
              <w:t>国家、安徽省、</w:t>
            </w:r>
            <w:r>
              <w:rPr>
                <w:rFonts w:hint="eastAsia" w:ascii="Times New Roman" w:hAnsi="Times New Roman" w:cs="Times New Roman" w:eastAsiaTheme="minorEastAsia"/>
                <w:color w:val="auto"/>
                <w:kern w:val="0"/>
                <w:sz w:val="24"/>
                <w:szCs w:val="24"/>
                <w:highlight w:val="none"/>
                <w:lang w:val="en-US" w:eastAsia="zh-CN" w:bidi="ar-SA"/>
              </w:rPr>
              <w:t>亳州市规划技术管理规定及</w:t>
            </w:r>
            <w:r>
              <w:rPr>
                <w:rFonts w:hint="eastAsia" w:ascii="Times New Roman" w:hAnsi="Times New Roman" w:cs="Times New Roman"/>
                <w:color w:val="auto"/>
                <w:kern w:val="0"/>
                <w:sz w:val="24"/>
                <w:szCs w:val="24"/>
                <w:highlight w:val="none"/>
                <w:lang w:val="en-US" w:eastAsia="zh-CN" w:bidi="ar-SA"/>
              </w:rPr>
              <w:t>行业</w:t>
            </w:r>
            <w:r>
              <w:rPr>
                <w:rFonts w:hint="eastAsia" w:ascii="Times New Roman" w:hAnsi="Times New Roman" w:cs="Times New Roman" w:eastAsiaTheme="minorEastAsia"/>
                <w:color w:val="auto"/>
                <w:kern w:val="0"/>
                <w:sz w:val="24"/>
                <w:szCs w:val="24"/>
                <w:highlight w:val="none"/>
                <w:lang w:val="en-US" w:eastAsia="zh-CN" w:bidi="ar-SA"/>
              </w:rPr>
              <w:t>相关规范要求。</w:t>
            </w:r>
          </w:p>
          <w:p>
            <w:pPr>
              <w:pStyle w:val="2"/>
              <w:keepNext w:val="0"/>
              <w:keepLines w:val="0"/>
              <w:pageBreakBefore w:val="0"/>
              <w:widowControl w:val="0"/>
              <w:kinsoku/>
              <w:overflowPunct/>
              <w:topLinePunct w:val="0"/>
              <w:autoSpaceDE/>
              <w:autoSpaceDN/>
              <w:bidi w:val="0"/>
              <w:adjustRightInd/>
              <w:snapToGrid/>
              <w:spacing w:after="0" w:afterLines="0" w:line="520" w:lineRule="exact"/>
              <w:ind w:left="0" w:leftChars="0" w:firstLine="480" w:firstLineChars="200"/>
              <w:textAlignment w:val="auto"/>
              <w:rPr>
                <w:rFonts w:hint="eastAsia" w:ascii="Times New Roman" w:hAnsi="Times New Roman"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（3）工程设计方案应响应招标文件的内容要求且符合国家、安徽省、亳州市相关基本建设管理办法要求和节能减排标准等相关规定，提供项目零碳服务中心专项设计方案。根据各项设计方案合理程度。</w:t>
            </w:r>
          </w:p>
          <w:p>
            <w:pPr>
              <w:keepNext w:val="0"/>
              <w:keepLines w:val="0"/>
              <w:pageBreakBefore w:val="0"/>
              <w:widowControl w:val="0"/>
              <w:kinsoku/>
              <w:wordWrap w:val="0"/>
              <w:overflowPunct/>
              <w:topLinePunct w:val="0"/>
              <w:autoSpaceDE/>
              <w:autoSpaceDN/>
              <w:bidi w:val="0"/>
              <w:adjustRightInd/>
              <w:snapToGrid/>
              <w:spacing w:line="520" w:lineRule="exact"/>
              <w:ind w:left="0" w:leftChars="0"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eastAsiaTheme="minorEastAsia"/>
                <w:color w:val="auto"/>
                <w:kern w:val="0"/>
                <w:sz w:val="24"/>
                <w:szCs w:val="24"/>
                <w:highlight w:val="none"/>
                <w:lang w:val="en-US" w:eastAsia="zh-CN" w:bidi="ar-SA"/>
              </w:rPr>
              <w:t>本项满分</w:t>
            </w:r>
            <w:r>
              <w:rPr>
                <w:rFonts w:hint="eastAsia" w:ascii="Times New Roman" w:hAnsi="Times New Roman" w:cs="Times New Roman"/>
                <w:color w:val="auto"/>
                <w:kern w:val="0"/>
                <w:sz w:val="24"/>
                <w:szCs w:val="24"/>
                <w:highlight w:val="none"/>
                <w:lang w:val="en-US" w:eastAsia="zh-CN" w:bidi="ar-SA"/>
              </w:rPr>
              <w:t>6</w:t>
            </w:r>
            <w:r>
              <w:rPr>
                <w:rFonts w:hint="eastAsia" w:ascii="Times New Roman" w:hAnsi="Times New Roman" w:cs="Times New Roman" w:eastAsiaTheme="minorEastAsia"/>
                <w:color w:val="auto"/>
                <w:kern w:val="0"/>
                <w:sz w:val="24"/>
                <w:szCs w:val="24"/>
                <w:highlight w:val="none"/>
                <w:lang w:val="en-US" w:eastAsia="zh-CN" w:bidi="ar-SA"/>
              </w:rPr>
              <w:t>分，评委酌情给分。优得</w:t>
            </w:r>
            <w:r>
              <w:rPr>
                <w:rFonts w:hint="eastAsia" w:ascii="Times New Roman" w:hAnsi="Times New Roman" w:cs="Times New Roman"/>
                <w:color w:val="auto"/>
                <w:kern w:val="0"/>
                <w:sz w:val="24"/>
                <w:szCs w:val="24"/>
                <w:highlight w:val="none"/>
                <w:lang w:val="en-US" w:eastAsia="zh-CN" w:bidi="ar-SA"/>
              </w:rPr>
              <w:t>4.5</w:t>
            </w:r>
            <w:r>
              <w:rPr>
                <w:rFonts w:hint="eastAsia" w:ascii="Times New Roman" w:hAnsi="Times New Roman" w:cs="Times New Roman" w:eastAsiaTheme="minorEastAsia"/>
                <w:color w:val="auto"/>
                <w:kern w:val="0"/>
                <w:sz w:val="24"/>
                <w:szCs w:val="24"/>
                <w:highlight w:val="none"/>
                <w:lang w:val="en-US" w:eastAsia="zh-CN" w:bidi="ar-SA"/>
              </w:rPr>
              <w:t>—</w:t>
            </w:r>
            <w:r>
              <w:rPr>
                <w:rFonts w:hint="eastAsia" w:ascii="Times New Roman" w:hAnsi="Times New Roman" w:cs="Times New Roman"/>
                <w:color w:val="auto"/>
                <w:kern w:val="0"/>
                <w:sz w:val="24"/>
                <w:szCs w:val="24"/>
                <w:highlight w:val="none"/>
                <w:lang w:val="en-US" w:eastAsia="zh-CN" w:bidi="ar-SA"/>
              </w:rPr>
              <w:t>6</w:t>
            </w:r>
            <w:r>
              <w:rPr>
                <w:rFonts w:hint="eastAsia" w:ascii="Times New Roman" w:hAnsi="Times New Roman" w:cs="Times New Roman" w:eastAsiaTheme="minorEastAsia"/>
                <w:color w:val="auto"/>
                <w:kern w:val="0"/>
                <w:sz w:val="24"/>
                <w:szCs w:val="24"/>
                <w:highlight w:val="none"/>
                <w:lang w:val="en-US" w:eastAsia="zh-CN" w:bidi="ar-SA"/>
              </w:rPr>
              <w:t>分，良得</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w:t>
            </w:r>
            <w:r>
              <w:rPr>
                <w:rFonts w:hint="eastAsia" w:ascii="Times New Roman" w:hAnsi="Times New Roman" w:cs="Times New Roman"/>
                <w:color w:val="auto"/>
                <w:kern w:val="0"/>
                <w:sz w:val="24"/>
                <w:szCs w:val="24"/>
                <w:highlight w:val="none"/>
                <w:lang w:val="en-US" w:eastAsia="zh-CN" w:bidi="ar-SA"/>
              </w:rPr>
              <w:t>4.5</w:t>
            </w:r>
            <w:r>
              <w:rPr>
                <w:rFonts w:hint="eastAsia" w:ascii="Times New Roman" w:hAnsi="Times New Roman" w:cs="Times New Roman" w:eastAsiaTheme="minorEastAsia"/>
                <w:color w:val="auto"/>
                <w:kern w:val="0"/>
                <w:sz w:val="24"/>
                <w:szCs w:val="24"/>
                <w:highlight w:val="none"/>
                <w:lang w:val="en-US" w:eastAsia="zh-CN" w:bidi="ar-SA"/>
              </w:rPr>
              <w:t>分，一般得</w:t>
            </w:r>
            <w:r>
              <w:rPr>
                <w:rFonts w:hint="eastAsia" w:ascii="Times New Roman" w:hAnsi="Times New Roman" w:cs="Times New Roman"/>
                <w:color w:val="auto"/>
                <w:kern w:val="0"/>
                <w:sz w:val="24"/>
                <w:szCs w:val="24"/>
                <w:highlight w:val="none"/>
                <w:lang w:val="en-US" w:eastAsia="zh-CN" w:bidi="ar-SA"/>
              </w:rPr>
              <w:t>1.5</w:t>
            </w:r>
            <w:r>
              <w:rPr>
                <w:rFonts w:hint="eastAsia" w:ascii="Times New Roman" w:hAnsi="Times New Roman" w:cs="Times New Roman" w:eastAsiaTheme="minorEastAsia"/>
                <w:color w:val="auto"/>
                <w:kern w:val="0"/>
                <w:sz w:val="24"/>
                <w:szCs w:val="24"/>
                <w:highlight w:val="none"/>
                <w:lang w:val="en-US" w:eastAsia="zh-CN" w:bidi="ar-SA"/>
              </w:rPr>
              <w:t>—</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分，差得0分</w:t>
            </w:r>
          </w:p>
        </w:tc>
      </w:tr>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质量、进度、保密、安全等保证措施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（1）</w:t>
            </w:r>
            <w:r>
              <w:rPr>
                <w:rFonts w:hint="eastAsia" w:ascii="Times New Roman" w:hAnsi="Times New Roman" w:cs="Times New Roman" w:eastAsiaTheme="minorEastAsia"/>
                <w:color w:val="auto"/>
                <w:kern w:val="0"/>
                <w:sz w:val="24"/>
                <w:szCs w:val="24"/>
                <w:highlight w:val="none"/>
                <w:lang w:val="en-US" w:eastAsia="zh-CN" w:bidi="ar-SA"/>
              </w:rPr>
              <w:t>根据投标人所提出的保证设计质量的措施的科学性、可行性及满足招标文件要求的程度。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（2）根据投标人所编制的设计进度计划的合理性、可行性及满足招标人提出的要求的程度。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eastAsia" w:ascii="Times New Roman" w:hAnsi="Times New Roman"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（3）设计方案中的结构设计安全性和合理性满足招标文件和规范要求的程度。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default" w:ascii="Times New Roman" w:hAnsi="Times New Roman" w:cs="Times New Roman"/>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本项满分</w:t>
            </w:r>
            <w:r>
              <w:rPr>
                <w:rFonts w:hint="eastAsia" w:ascii="Times New Roman" w:hAnsi="Times New Roman" w:cs="Times New Roman"/>
                <w:color w:val="auto"/>
                <w:kern w:val="0"/>
                <w:sz w:val="24"/>
                <w:szCs w:val="24"/>
                <w:highlight w:val="none"/>
                <w:lang w:val="en-US" w:eastAsia="zh-CN" w:bidi="ar-SA"/>
              </w:rPr>
              <w:t>5</w:t>
            </w:r>
            <w:r>
              <w:rPr>
                <w:rFonts w:hint="eastAsia" w:ascii="Times New Roman" w:hAnsi="Times New Roman" w:cs="Times New Roman" w:eastAsiaTheme="minorEastAsia"/>
                <w:color w:val="auto"/>
                <w:kern w:val="0"/>
                <w:sz w:val="24"/>
                <w:szCs w:val="24"/>
                <w:highlight w:val="none"/>
                <w:lang w:val="en-US" w:eastAsia="zh-CN" w:bidi="ar-SA"/>
              </w:rPr>
              <w:t>分，评委酌情给分。优得</w:t>
            </w:r>
            <w:r>
              <w:rPr>
                <w:rFonts w:hint="eastAsia" w:ascii="Times New Roman" w:hAnsi="Times New Roman" w:cs="Times New Roman"/>
                <w:color w:val="auto"/>
                <w:kern w:val="0"/>
                <w:sz w:val="24"/>
                <w:szCs w:val="24"/>
                <w:highlight w:val="none"/>
                <w:lang w:val="en-US" w:eastAsia="zh-CN" w:bidi="ar-SA"/>
              </w:rPr>
              <w:t>4</w:t>
            </w:r>
            <w:r>
              <w:rPr>
                <w:rFonts w:hint="eastAsia" w:ascii="Times New Roman" w:hAnsi="Times New Roman" w:cs="Times New Roman" w:eastAsiaTheme="minorEastAsia"/>
                <w:color w:val="auto"/>
                <w:kern w:val="0"/>
                <w:sz w:val="24"/>
                <w:szCs w:val="24"/>
                <w:highlight w:val="none"/>
                <w:lang w:val="en-US" w:eastAsia="zh-CN" w:bidi="ar-SA"/>
              </w:rPr>
              <w:t>—</w:t>
            </w:r>
            <w:r>
              <w:rPr>
                <w:rFonts w:hint="eastAsia" w:ascii="Times New Roman" w:hAnsi="Times New Roman" w:cs="Times New Roman"/>
                <w:color w:val="auto"/>
                <w:kern w:val="0"/>
                <w:sz w:val="24"/>
                <w:szCs w:val="24"/>
                <w:highlight w:val="none"/>
                <w:lang w:val="en-US" w:eastAsia="zh-CN" w:bidi="ar-SA"/>
              </w:rPr>
              <w:t>5</w:t>
            </w:r>
            <w:r>
              <w:rPr>
                <w:rFonts w:hint="eastAsia" w:ascii="Times New Roman" w:hAnsi="Times New Roman" w:cs="Times New Roman" w:eastAsiaTheme="minorEastAsia"/>
                <w:color w:val="auto"/>
                <w:kern w:val="0"/>
                <w:sz w:val="24"/>
                <w:szCs w:val="24"/>
                <w:highlight w:val="none"/>
                <w:lang w:val="en-US" w:eastAsia="zh-CN" w:bidi="ar-SA"/>
              </w:rPr>
              <w:t>分，良得</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w:t>
            </w:r>
            <w:r>
              <w:rPr>
                <w:rFonts w:hint="eastAsia" w:ascii="Times New Roman" w:hAnsi="Times New Roman" w:cs="Times New Roman"/>
                <w:color w:val="auto"/>
                <w:kern w:val="0"/>
                <w:sz w:val="24"/>
                <w:szCs w:val="24"/>
                <w:highlight w:val="none"/>
                <w:lang w:val="en-US" w:eastAsia="zh-CN" w:bidi="ar-SA"/>
              </w:rPr>
              <w:t>4</w:t>
            </w:r>
            <w:r>
              <w:rPr>
                <w:rFonts w:hint="eastAsia" w:ascii="Times New Roman" w:hAnsi="Times New Roman" w:cs="Times New Roman" w:eastAsiaTheme="minorEastAsia"/>
                <w:color w:val="auto"/>
                <w:kern w:val="0"/>
                <w:sz w:val="24"/>
                <w:szCs w:val="24"/>
                <w:highlight w:val="none"/>
                <w:lang w:val="en-US" w:eastAsia="zh-CN" w:bidi="ar-SA"/>
              </w:rPr>
              <w:t>分，一般得</w:t>
            </w:r>
            <w:r>
              <w:rPr>
                <w:rFonts w:hint="eastAsia" w:ascii="Times New Roman" w:hAnsi="Times New Roman" w:cs="Times New Roman"/>
                <w:color w:val="auto"/>
                <w:kern w:val="0"/>
                <w:sz w:val="24"/>
                <w:szCs w:val="24"/>
                <w:highlight w:val="none"/>
                <w:lang w:val="en-US" w:eastAsia="zh-CN" w:bidi="ar-SA"/>
              </w:rPr>
              <w:t>1</w:t>
            </w:r>
            <w:r>
              <w:rPr>
                <w:rFonts w:hint="eastAsia" w:ascii="Times New Roman" w:hAnsi="Times New Roman" w:cs="Times New Roman" w:eastAsiaTheme="minorEastAsia"/>
                <w:color w:val="auto"/>
                <w:kern w:val="0"/>
                <w:sz w:val="24"/>
                <w:szCs w:val="24"/>
                <w:highlight w:val="none"/>
                <w:lang w:val="en-US" w:eastAsia="zh-CN" w:bidi="ar-SA"/>
              </w:rPr>
              <w:t>—</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分，差得0分</w:t>
            </w:r>
          </w:p>
        </w:tc>
      </w:tr>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社会效益和经</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济效益及环境</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效益</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根据设计方案所体现的社会效益、经济效益和环境效益的程度。</w:t>
            </w:r>
          </w:p>
          <w:p>
            <w:pPr>
              <w:pStyle w:val="2"/>
              <w:keepNext w:val="0"/>
              <w:keepLines w:val="0"/>
              <w:pageBreakBefore w:val="0"/>
              <w:widowControl w:val="0"/>
              <w:kinsoku/>
              <w:wordWrap/>
              <w:overflowPunct/>
              <w:topLinePunct w:val="0"/>
              <w:autoSpaceDE/>
              <w:autoSpaceDN/>
              <w:bidi w:val="0"/>
              <w:adjustRightInd/>
              <w:snapToGrid/>
              <w:spacing w:after="0" w:line="520" w:lineRule="exact"/>
              <w:ind w:left="0" w:leftChars="0" w:firstLine="480" w:firstLineChars="200"/>
              <w:textAlignment w:val="auto"/>
              <w:rPr>
                <w:rFonts w:hint="default"/>
                <w:lang w:val="en-US" w:eastAsia="zh-CN"/>
              </w:rPr>
            </w:pPr>
            <w:r>
              <w:rPr>
                <w:rFonts w:hint="eastAsia" w:ascii="Times New Roman" w:hAnsi="Times New Roman" w:cs="Times New Roman" w:eastAsiaTheme="minorEastAsia"/>
                <w:color w:val="auto"/>
                <w:kern w:val="0"/>
                <w:sz w:val="24"/>
                <w:szCs w:val="24"/>
                <w:highlight w:val="none"/>
                <w:lang w:val="en-US" w:eastAsia="zh-CN" w:bidi="ar-SA"/>
              </w:rPr>
              <w:t>本项满分</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分，评委酌情给分。优得</w:t>
            </w:r>
            <w:r>
              <w:rPr>
                <w:rFonts w:hint="eastAsia" w:ascii="Times New Roman" w:hAnsi="Times New Roman" w:cs="Times New Roman"/>
                <w:color w:val="auto"/>
                <w:kern w:val="0"/>
                <w:sz w:val="24"/>
                <w:szCs w:val="24"/>
                <w:highlight w:val="none"/>
                <w:lang w:val="en-US" w:eastAsia="zh-CN" w:bidi="ar-SA"/>
              </w:rPr>
              <w:t>3</w:t>
            </w:r>
            <w:r>
              <w:rPr>
                <w:rFonts w:hint="eastAsia" w:ascii="Times New Roman" w:hAnsi="Times New Roman" w:cs="Times New Roman" w:eastAsiaTheme="minorEastAsia"/>
                <w:color w:val="auto"/>
                <w:kern w:val="0"/>
                <w:sz w:val="24"/>
                <w:szCs w:val="24"/>
                <w:highlight w:val="none"/>
                <w:lang w:val="en-US" w:eastAsia="zh-CN" w:bidi="ar-SA"/>
              </w:rPr>
              <w:t>分，良得2分，一般得</w:t>
            </w:r>
            <w:r>
              <w:rPr>
                <w:rFonts w:hint="eastAsia" w:ascii="Times New Roman" w:hAnsi="Times New Roman" w:cs="Times New Roman"/>
                <w:color w:val="auto"/>
                <w:kern w:val="0"/>
                <w:sz w:val="24"/>
                <w:szCs w:val="24"/>
                <w:highlight w:val="none"/>
                <w:lang w:val="en-US" w:eastAsia="zh-CN" w:bidi="ar-SA"/>
              </w:rPr>
              <w:t>1</w:t>
            </w:r>
            <w:r>
              <w:rPr>
                <w:rFonts w:hint="eastAsia" w:ascii="Times New Roman" w:hAnsi="Times New Roman" w:cs="Times New Roman" w:eastAsiaTheme="minorEastAsia"/>
                <w:color w:val="auto"/>
                <w:kern w:val="0"/>
                <w:sz w:val="24"/>
                <w:szCs w:val="24"/>
                <w:highlight w:val="none"/>
                <w:lang w:val="en-US" w:eastAsia="zh-CN" w:bidi="ar-SA"/>
              </w:rPr>
              <w:t>分，差得0分</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1" w:colLast="1"/>
            <w:permStart w:id="93" w:edGrp="everyone" w:colFirst="2" w:colLast="2"/>
            <w:permStart w:id="9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bidi="ar-SA"/>
              </w:rPr>
              <w:t>偏差率=100%×（投标人报价－评标基准价）/评标基准价</w:t>
            </w:r>
          </w:p>
          <w:p>
            <w:pPr>
              <w:keepNext w:val="0"/>
              <w:keepLines w:val="0"/>
              <w:pageBreakBefore w:val="0"/>
              <w:widowControl w:val="0"/>
              <w:kinsoku/>
              <w:wordWrap w:val="0"/>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lang w:val="en-US" w:eastAsia="zh-CN" w:bidi="ar-SA"/>
              </w:rPr>
              <w:t>在所有有效投标报价中，投标报价与评标基准价相比，投标报价比评标基准价每小于1%扣</w:t>
            </w:r>
            <w:r>
              <w:rPr>
                <w:rFonts w:hint="eastAsia" w:ascii="Times New Roman" w:hAnsi="Times New Roman" w:cs="Times New Roman"/>
                <w:color w:val="auto"/>
                <w:kern w:val="0"/>
                <w:sz w:val="24"/>
                <w:szCs w:val="24"/>
                <w:highlight w:val="none"/>
                <w:lang w:val="en-US" w:eastAsia="zh-CN" w:bidi="ar-SA"/>
              </w:rPr>
              <w:t>0.5</w:t>
            </w:r>
            <w:r>
              <w:rPr>
                <w:rFonts w:hint="default" w:ascii="Times New Roman" w:hAnsi="Times New Roman" w:cs="Times New Roman" w:eastAsiaTheme="minorEastAsia"/>
                <w:color w:val="auto"/>
                <w:kern w:val="0"/>
                <w:sz w:val="24"/>
                <w:szCs w:val="24"/>
                <w:highlight w:val="none"/>
                <w:lang w:val="en-US" w:eastAsia="zh-CN" w:bidi="ar-SA"/>
              </w:rPr>
              <w:t>分，每大于1%扣</w:t>
            </w:r>
            <w:r>
              <w:rPr>
                <w:rFonts w:hint="eastAsia" w:ascii="Times New Roman" w:hAnsi="Times New Roman" w:cs="Times New Roman"/>
                <w:color w:val="auto"/>
                <w:kern w:val="0"/>
                <w:sz w:val="24"/>
                <w:szCs w:val="24"/>
                <w:highlight w:val="none"/>
                <w:lang w:val="en-US" w:eastAsia="zh-CN" w:bidi="ar-SA"/>
              </w:rPr>
              <w:t>1</w:t>
            </w:r>
            <w:r>
              <w:rPr>
                <w:rFonts w:hint="default" w:ascii="Times New Roman" w:hAnsi="Times New Roman" w:cs="Times New Roman" w:eastAsiaTheme="minorEastAsia"/>
                <w:color w:val="auto"/>
                <w:kern w:val="0"/>
                <w:sz w:val="24"/>
                <w:szCs w:val="24"/>
                <w:highlight w:val="none"/>
                <w:lang w:val="en-US" w:eastAsia="zh-CN" w:bidi="ar-SA"/>
              </w:rPr>
              <w:t>分，不足1%部分按直线插入法同比率计算得分（四舍五入保留两位小数）。</w:t>
            </w:r>
          </w:p>
          <w:p>
            <w:pPr>
              <w:pStyle w:val="2"/>
              <w:keepNext w:val="0"/>
              <w:keepLines w:val="0"/>
              <w:pageBreakBefore w:val="0"/>
              <w:widowControl w:val="0"/>
              <w:kinsoku/>
              <w:overflowPunct/>
              <w:topLinePunct w:val="0"/>
              <w:autoSpaceDE/>
              <w:autoSpaceDN/>
              <w:bidi w:val="0"/>
              <w:adjustRightInd/>
              <w:snapToGrid/>
              <w:spacing w:after="0" w:afterLines="0" w:line="400" w:lineRule="exact"/>
              <w:ind w:left="0" w:leftChars="0"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lang w:val="en-US" w:eastAsia="zh-CN" w:bidi="ar-SA"/>
              </w:rPr>
              <w:t>本项满分30分，最多扣</w:t>
            </w:r>
            <w:r>
              <w:rPr>
                <w:rFonts w:hint="eastAsia" w:ascii="Times New Roman" w:hAnsi="Times New Roman" w:cs="Times New Roman"/>
                <w:color w:val="auto"/>
                <w:kern w:val="0"/>
                <w:sz w:val="24"/>
                <w:szCs w:val="24"/>
                <w:highlight w:val="none"/>
                <w:lang w:val="en-US" w:eastAsia="zh-CN" w:bidi="ar-SA"/>
              </w:rPr>
              <w:t>10</w:t>
            </w:r>
            <w:r>
              <w:rPr>
                <w:rFonts w:hint="default" w:ascii="Times New Roman" w:hAnsi="Times New Roman" w:cs="Times New Roman" w:eastAsiaTheme="minorEastAsia"/>
                <w:color w:val="auto"/>
                <w:kern w:val="0"/>
                <w:sz w:val="24"/>
                <w:szCs w:val="24"/>
                <w:highlight w:val="none"/>
                <w:lang w:val="en-US" w:eastAsia="zh-CN" w:bidi="ar-SA"/>
              </w:rPr>
              <w:t>分</w:t>
            </w:r>
            <w:r>
              <w:rPr>
                <w:rFonts w:hint="eastAsia" w:ascii="Times New Roman" w:hAnsi="Times New Roman" w:cs="Times New Roman"/>
                <w:color w:val="auto"/>
                <w:kern w:val="0"/>
                <w:sz w:val="24"/>
                <w:szCs w:val="24"/>
                <w:highlight w:val="none"/>
                <w:lang w:val="en-US" w:eastAsia="zh-CN" w:bidi="ar-SA"/>
              </w:rPr>
              <w:t>。</w:t>
            </w:r>
          </w:p>
          <w:p>
            <w:pPr>
              <w:keepNext w:val="0"/>
              <w:keepLines w:val="0"/>
              <w:pageBreakBefore w:val="0"/>
              <w:widowControl w:val="0"/>
              <w:kinsoku/>
              <w:wordWrap w:val="0"/>
              <w:overflowPunct/>
              <w:topLinePunct w:val="0"/>
              <w:autoSpaceDE/>
              <w:autoSpaceDN/>
              <w:bidi w:val="0"/>
              <w:adjustRightInd/>
              <w:snapToGrid/>
              <w:spacing w:line="400" w:lineRule="exact"/>
              <w:ind w:left="0" w:leftChars="0" w:firstLine="480" w:firstLineChars="200"/>
              <w:textAlignment w:val="auto"/>
              <w:rPr>
                <w:rFonts w:hint="default"/>
                <w:lang w:val="en-US" w:eastAsia="zh-CN"/>
              </w:rPr>
            </w:pPr>
            <w:r>
              <w:rPr>
                <w:rFonts w:hint="default" w:ascii="Times New Roman" w:hAnsi="Times New Roman" w:cs="Times New Roman" w:eastAsiaTheme="minorEastAsia"/>
                <w:color w:val="auto"/>
                <w:kern w:val="0"/>
                <w:sz w:val="24"/>
                <w:szCs w:val="24"/>
                <w:highlight w:val="none"/>
                <w:lang w:val="en-US" w:eastAsia="zh-CN" w:bidi="ar-SA"/>
              </w:rPr>
              <w:t>若评标委员会认定该投标报价低于成本价的，可以否决其投标。</w:t>
            </w:r>
          </w:p>
        </w:tc>
      </w:tr>
      <w:permEnd w:id="92"/>
      <w:permEnd w:id="93"/>
      <w:permEnd w:id="9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4"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设计人员评分标准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
              <w:numPr>
                <w:ilvl w:val="0"/>
                <w:numId w:val="2"/>
              </w:numPr>
              <w:spacing w:after="0" w:line="240" w:lineRule="auto"/>
              <w:ind w:left="0" w:leftChars="0" w:firstLine="480" w:firstLineChars="200"/>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本项目配备的拟任项目负责人具有一级注册建筑师且具有正高级</w:t>
            </w:r>
            <w:r>
              <w:rPr>
                <w:rFonts w:hint="eastAsia" w:ascii="Times New Roman" w:hAnsi="Times New Roman" w:cs="Times New Roman"/>
                <w:kern w:val="0"/>
                <w:sz w:val="24"/>
                <w:szCs w:val="24"/>
                <w:highlight w:val="none"/>
                <w:lang w:val="en-US" w:eastAsia="zh-CN" w:bidi="ar-SA"/>
              </w:rPr>
              <w:t>工程</w:t>
            </w:r>
            <w:r>
              <w:rPr>
                <w:rFonts w:hint="eastAsia" w:ascii="Times New Roman" w:hAnsi="Times New Roman" w:cs="Times New Roman" w:eastAsiaTheme="minorEastAsia"/>
                <w:kern w:val="0"/>
                <w:sz w:val="24"/>
                <w:szCs w:val="24"/>
                <w:highlight w:val="none"/>
                <w:lang w:val="en-US" w:eastAsia="zh-CN" w:bidi="ar-SA"/>
              </w:rPr>
              <w:t>师职称得</w:t>
            </w:r>
            <w:r>
              <w:rPr>
                <w:rFonts w:hint="eastAsia" w:ascii="Times New Roman" w:hAnsi="Times New Roman" w:cs="Times New Roman"/>
                <w:kern w:val="0"/>
                <w:sz w:val="24"/>
                <w:szCs w:val="24"/>
                <w:highlight w:val="none"/>
                <w:lang w:val="en-US" w:eastAsia="zh-CN" w:bidi="ar-SA"/>
              </w:rPr>
              <w:t>5</w:t>
            </w:r>
            <w:r>
              <w:rPr>
                <w:rFonts w:hint="eastAsia" w:ascii="Times New Roman" w:hAnsi="Times New Roman" w:cs="Times New Roman" w:eastAsiaTheme="minorEastAsia"/>
                <w:kern w:val="0"/>
                <w:sz w:val="24"/>
                <w:szCs w:val="24"/>
                <w:highlight w:val="none"/>
                <w:lang w:val="en-US" w:eastAsia="zh-CN" w:bidi="ar-SA"/>
              </w:rPr>
              <w:t>分</w:t>
            </w:r>
            <w:r>
              <w:rPr>
                <w:rFonts w:hint="eastAsia" w:ascii="Times New Roman" w:hAnsi="Times New Roman" w:cs="Times New Roman"/>
                <w:kern w:val="0"/>
                <w:sz w:val="24"/>
                <w:szCs w:val="24"/>
                <w:highlight w:val="none"/>
                <w:lang w:val="en-US" w:eastAsia="zh-CN" w:bidi="ar-SA"/>
              </w:rPr>
              <w:t>，满分5分</w:t>
            </w:r>
            <w:r>
              <w:rPr>
                <w:rFonts w:hint="eastAsia" w:ascii="Times New Roman" w:hAnsi="Times New Roman" w:cs="Times New Roman" w:eastAsiaTheme="minorEastAsia"/>
                <w:kern w:val="0"/>
                <w:sz w:val="24"/>
                <w:szCs w:val="24"/>
                <w:highlight w:val="none"/>
                <w:lang w:val="en-US" w:eastAsia="zh-CN" w:bidi="ar-SA"/>
              </w:rPr>
              <w:t>。</w:t>
            </w:r>
          </w:p>
          <w:p>
            <w:pPr>
              <w:pStyle w:val="2"/>
              <w:numPr>
                <w:ilvl w:val="0"/>
                <w:numId w:val="2"/>
              </w:numPr>
              <w:spacing w:after="0" w:line="240" w:lineRule="auto"/>
              <w:ind w:left="0" w:leftChars="0" w:firstLine="480" w:firstLineChars="200"/>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除投标人资格要求业绩外，</w:t>
            </w:r>
            <w:r>
              <w:rPr>
                <w:rFonts w:hint="eastAsia" w:ascii="Times New Roman" w:hAnsi="Times New Roman" w:cs="Times New Roman" w:eastAsiaTheme="minorEastAsia"/>
                <w:kern w:val="0"/>
                <w:sz w:val="24"/>
                <w:szCs w:val="24"/>
                <w:highlight w:val="none"/>
                <w:lang w:val="en-US" w:eastAsia="zh-CN" w:bidi="ar-SA"/>
              </w:rPr>
              <w:t>拟任项目负责人</w:t>
            </w:r>
            <w:r>
              <w:rPr>
                <w:rFonts w:hint="eastAsia" w:ascii="Times New Roman" w:hAnsi="Times New Roman" w:cs="Times New Roman"/>
                <w:kern w:val="0"/>
                <w:sz w:val="24"/>
                <w:szCs w:val="24"/>
                <w:highlight w:val="none"/>
                <w:lang w:val="en-US" w:eastAsia="zh-CN" w:bidi="ar-SA"/>
              </w:rPr>
              <w:t>每额外</w:t>
            </w:r>
            <w:r>
              <w:rPr>
                <w:rFonts w:hint="eastAsia" w:ascii="Times New Roman" w:hAnsi="Times New Roman" w:cs="Times New Roman" w:eastAsiaTheme="minorEastAsia"/>
                <w:kern w:val="0"/>
                <w:sz w:val="24"/>
                <w:szCs w:val="24"/>
                <w:highlight w:val="none"/>
                <w:lang w:val="en-US" w:eastAsia="zh-CN" w:bidi="ar-SA"/>
              </w:rPr>
              <w:t>具有</w:t>
            </w:r>
            <w:r>
              <w:rPr>
                <w:rFonts w:hint="eastAsia" w:ascii="Times New Roman" w:hAnsi="Times New Roman" w:cs="Times New Roman"/>
                <w:kern w:val="0"/>
                <w:sz w:val="24"/>
                <w:szCs w:val="24"/>
                <w:highlight w:val="none"/>
                <w:lang w:val="en-US" w:eastAsia="zh-CN" w:bidi="ar-SA"/>
              </w:rPr>
              <w:t>1项</w:t>
            </w:r>
            <w:r>
              <w:rPr>
                <w:rFonts w:hint="eastAsia" w:ascii="Times New Roman" w:hAnsi="Times New Roman" w:cs="Times New Roman" w:eastAsiaTheme="minorEastAsia"/>
                <w:kern w:val="0"/>
                <w:sz w:val="24"/>
                <w:szCs w:val="24"/>
                <w:highlight w:val="none"/>
                <w:lang w:val="en-US" w:eastAsia="zh-CN" w:bidi="ar-SA"/>
              </w:rPr>
              <w:t>参与合同建筑面积不低于5000平方米的低碳建筑（园区、开发区）的设计咨询业绩</w:t>
            </w:r>
            <w:r>
              <w:rPr>
                <w:rFonts w:hint="eastAsia" w:ascii="Times New Roman" w:hAnsi="Times New Roman" w:cs="Times New Roman"/>
                <w:kern w:val="0"/>
                <w:sz w:val="24"/>
                <w:szCs w:val="24"/>
                <w:highlight w:val="none"/>
                <w:lang w:val="en-US" w:eastAsia="zh-CN" w:bidi="ar-SA"/>
              </w:rPr>
              <w:t>得5分，满分5分。</w:t>
            </w:r>
          </w:p>
          <w:p>
            <w:pPr>
              <w:ind w:firstLine="480" w:firstLineChars="200"/>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注：</w:t>
            </w:r>
          </w:p>
          <w:p>
            <w:pPr>
              <w:ind w:firstLine="480" w:firstLineChars="200"/>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（1）须提供投标单位公司为其缴纳的2022年1月起任意3个月及以上社保证明材料。</w:t>
            </w:r>
          </w:p>
          <w:p>
            <w:pPr>
              <w:ind w:firstLine="480" w:firstLineChars="200"/>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（2）同一人具有多个证书的，不重复计分。</w:t>
            </w:r>
          </w:p>
          <w:p>
            <w:pPr>
              <w:pStyle w:val="29"/>
              <w:ind w:firstLine="480" w:firstLineChars="200"/>
              <w:jc w:val="both"/>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（3）投标文件中提供职称证书扫描件。</w:t>
            </w:r>
          </w:p>
          <w:p>
            <w:pPr>
              <w:pStyle w:val="29"/>
              <w:ind w:firstLine="480" w:firstLineChars="200"/>
              <w:jc w:val="both"/>
              <w:rPr>
                <w:rFonts w:hint="default"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（4）项目负责人业绩可与2.2.4（1）类似项目业绩重复计算。</w:t>
            </w:r>
          </w:p>
        </w:tc>
      </w:tr>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96" w:edGrp="everyone" w:colFirst="1" w:colLast="1"/>
            <w:permStart w:id="97" w:edGrp="everyone" w:colFirst="2" w:colLast="2"/>
            <w:permStart w:id="9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拟为本项目配备的团队人员中（不含项目负责人），具有一级注册建筑师、一级结构工程师、注册给排水工程师、注册暖通工程师、注册电气工程师，每人得1分；注册人员同时具备正高级工程师职称，每人得2分</w:t>
            </w:r>
            <w:r>
              <w:rPr>
                <w:rFonts w:hint="eastAsia" w:ascii="Times New Roman" w:hAnsi="Times New Roman" w:cs="Times New Roman"/>
                <w:kern w:val="0"/>
                <w:sz w:val="24"/>
                <w:szCs w:val="24"/>
                <w:highlight w:val="none"/>
                <w:lang w:val="en-US" w:eastAsia="zh-CN" w:bidi="ar-SA"/>
              </w:rPr>
              <w:t>，满分10分</w:t>
            </w:r>
            <w:r>
              <w:rPr>
                <w:rFonts w:hint="eastAsia" w:ascii="Times New Roman" w:hAnsi="Times New Roman" w:cs="Times New Roman" w:eastAsiaTheme="minorEastAsia"/>
                <w:kern w:val="0"/>
                <w:sz w:val="24"/>
                <w:szCs w:val="24"/>
                <w:highlight w:val="none"/>
                <w:lang w:val="en-US" w:eastAsia="zh-CN" w:bidi="ar-SA"/>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（1）须提供投标单位公司为其缴纳的2022年1月起任意3个月及以上社保证明材料。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楷体" w:hAnsi="楷体" w:eastAsia="楷体" w:cs="楷体"/>
                <w:kern w:val="0"/>
                <w:sz w:val="24"/>
                <w:szCs w:val="24"/>
                <w:highlight w:val="none"/>
                <w:lang w:val="en-US" w:eastAsia="zh-CN" w:bidi="ar-SA"/>
              </w:rPr>
            </w:pPr>
            <w:r>
              <w:rPr>
                <w:rFonts w:hint="eastAsia" w:ascii="楷体" w:hAnsi="楷体" w:eastAsia="楷体" w:cs="楷体"/>
                <w:kern w:val="0"/>
                <w:sz w:val="24"/>
                <w:szCs w:val="24"/>
                <w:highlight w:val="none"/>
                <w:lang w:val="en-US" w:eastAsia="zh-CN" w:bidi="ar-SA"/>
              </w:rPr>
              <w:t>（2）同一人具有多个证书的，不重复计分。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楷体" w:hAnsi="楷体" w:eastAsia="楷体" w:cs="楷体"/>
                <w:kern w:val="0"/>
                <w:sz w:val="24"/>
                <w:szCs w:val="24"/>
                <w:highlight w:val="none"/>
                <w:lang w:val="en-US" w:eastAsia="zh-CN" w:bidi="ar-SA"/>
              </w:rPr>
              <w:t>（3）投标文件中提供职称证书扫描件。</w:t>
            </w:r>
          </w:p>
        </w:tc>
      </w:tr>
      <w:permEnd w:id="96"/>
      <w:permEnd w:id="97"/>
      <w:permEnd w:id="9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976"/>
      <w:bookmarkStart w:id="25" w:name="_Toc152042367"/>
      <w:bookmarkStart w:id="26" w:name="_Toc247085748"/>
      <w:bookmarkStart w:id="27" w:name="_Toc179632608"/>
      <w:bookmarkStart w:id="28" w:name="_Toc144974557"/>
      <w:bookmarkStart w:id="29" w:name="_Toc296602478"/>
      <w:bookmarkStart w:id="30" w:name="_Toc246996233"/>
      <w:bookmarkStart w:id="31" w:name="_Toc152045590"/>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246996234"/>
      <w:bookmarkStart w:id="34" w:name="_Toc152042368"/>
      <w:bookmarkStart w:id="35" w:name="_Toc246996977"/>
      <w:bookmarkStart w:id="36" w:name="_Toc247085749"/>
      <w:bookmarkStart w:id="37" w:name="_Toc144974558"/>
      <w:bookmarkStart w:id="38" w:name="_Toc17963260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979"/>
      <w:bookmarkStart w:id="41" w:name="_Toc152042370"/>
      <w:bookmarkStart w:id="42" w:name="_Toc179632611"/>
      <w:bookmarkStart w:id="43" w:name="_Toc144974560"/>
      <w:bookmarkStart w:id="44" w:name="_Toc296602481"/>
      <w:bookmarkStart w:id="45" w:name="_Toc246996236"/>
      <w:bookmarkStart w:id="46" w:name="_Toc247085751"/>
      <w:bookmarkStart w:id="47"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9" w:edGrp="everyone"/>
      <w:r>
        <w:rPr>
          <w:rFonts w:hint="eastAsia" w:ascii="Times New Roman" w:hAnsi="Times New Roman" w:cs="Times New Roman"/>
          <w:kern w:val="0"/>
          <w:sz w:val="24"/>
          <w:szCs w:val="24"/>
          <w:highlight w:val="none"/>
          <w:lang w:val="en-US" w:eastAsia="zh-CN"/>
        </w:rPr>
        <w:t>资信业绩</w:t>
      </w:r>
      <w:permEnd w:id="9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0" w:edGrp="everyone"/>
      <w:r>
        <w:rPr>
          <w:rFonts w:hint="eastAsia" w:ascii="Times New Roman" w:hAnsi="Times New Roman" w:cs="Times New Roman"/>
          <w:kern w:val="0"/>
          <w:sz w:val="24"/>
          <w:szCs w:val="24"/>
          <w:highlight w:val="none"/>
          <w:lang w:val="en-US" w:eastAsia="zh-CN"/>
        </w:rPr>
        <w:t>服务方案</w:t>
      </w:r>
      <w:permEnd w:id="10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1" w:edGrp="everyone"/>
      <w:r>
        <w:rPr>
          <w:rFonts w:hint="eastAsia" w:ascii="Times New Roman" w:hAnsi="Times New Roman" w:cs="Times New Roman" w:eastAsiaTheme="minorEastAsia"/>
          <w:kern w:val="0"/>
          <w:sz w:val="24"/>
          <w:szCs w:val="24"/>
          <w:highlight w:val="none"/>
          <w:lang w:val="en-US" w:eastAsia="zh-CN"/>
        </w:rPr>
        <w:t>投标报价</w:t>
      </w:r>
      <w:permEnd w:id="10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2" w:edGrp="everyone"/>
      <w:r>
        <w:rPr>
          <w:rFonts w:hint="eastAsia" w:ascii="Times New Roman" w:hAnsi="Times New Roman" w:cs="Times New Roman" w:eastAsiaTheme="minorEastAsia"/>
          <w:kern w:val="0"/>
          <w:sz w:val="24"/>
          <w:szCs w:val="24"/>
          <w:highlight w:val="none"/>
          <w:lang w:val="en-US" w:eastAsia="zh-CN"/>
        </w:rPr>
        <w:t>其他评分因素</w:t>
      </w:r>
      <w:permEnd w:id="10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47085752"/>
      <w:bookmarkStart w:id="50" w:name="_Toc144974561"/>
      <w:bookmarkStart w:id="51" w:name="_Toc152042371"/>
      <w:bookmarkStart w:id="52" w:name="_Toc246996980"/>
      <w:bookmarkStart w:id="53" w:name="_Toc152045594"/>
      <w:bookmarkStart w:id="54" w:name="_Toc179632612"/>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246996981"/>
      <w:bookmarkStart w:id="58" w:name="_Toc144974562"/>
      <w:bookmarkStart w:id="59" w:name="_Toc247085753"/>
      <w:bookmarkStart w:id="60" w:name="_Toc179632613"/>
      <w:bookmarkStart w:id="61" w:name="_Toc296602483"/>
      <w:bookmarkStart w:id="62" w:name="_Toc246996238"/>
      <w:bookmarkStart w:id="63" w:name="_Toc152045595"/>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79632614"/>
      <w:bookmarkStart w:id="66" w:name="_Toc152042373"/>
      <w:bookmarkStart w:id="67" w:name="_Toc247085754"/>
      <w:bookmarkStart w:id="68" w:name="_Toc152045596"/>
      <w:bookmarkStart w:id="69" w:name="_Toc246996982"/>
      <w:bookmarkStart w:id="70" w:name="_Toc246996239"/>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07"/>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0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9"/>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0"/>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1"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安徽省安车交通运输集团有限公司 </w:t>
            </w:r>
            <w:perm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12"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（1）合同签订7日内支付合同额的10%，作为预付款；（2）项目规划方案完成并取得主管部门批复后，支付合同额的 30 %；（3）各部分施工图设计文件按期完成并取得主管部门批复后，支付至合同额的95％；（4）本项目工程交工证书签发后28天内，剩余费用无息一次结清。  </w:t>
            </w:r>
            <w:permEnd w:id="11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permStart w:id="113"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（1）如零碳综合楼设计面积发生缩减，按照 80 元/平方米，在总价费用中予以扣除。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（2）上述所需编制的各类咨询、设计内容，应招标人要求，如实施过程未发生或部分未发生，按相应投标报价，扣除未发生部分的相应费用。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（3）中标单位需配合后续方案评审、报批、施工及各阶段验收工作等相关服务内容。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（4）图纸审查完毕后，扣除未发生项的相关费用。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（5）专项咨询包含方案编制、咨询、专家论证费用（能评、环评、交通等不少于3项所需批准）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（6）规划设计方案和施工图设计审查审批前，建设单位组织相关专家进行论证优化，相关评审等费用包含在中标费用内。</w:t>
            </w:r>
          </w:p>
          <w:permEnd w:id="113"/>
          <w:p>
            <w:pPr>
              <w:pStyle w:val="2"/>
              <w:rPr>
                <w:rFonts w:hint="default"/>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4" w:edGrp="everyone"/>
      <w:r>
        <w:rPr>
          <w:rFonts w:hint="eastAsia" w:ascii="Times New Roman" w:hAnsi="Times New Roman" w:cs="Times New Roman"/>
          <w:kern w:val="0"/>
          <w:sz w:val="24"/>
          <w:szCs w:val="24"/>
          <w:highlight w:val="none"/>
          <w:lang w:val="en-US" w:eastAsia="zh-CN"/>
        </w:rPr>
        <w:t>发包人要求通常包括但不限于以下内容：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招标人应当根据项目情况在本章中明确相应的设计要求，一般应包括以下内容：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1.项目概况</w:t>
      </w:r>
      <w:r>
        <w:rPr>
          <w:rFonts w:hint="eastAsia" w:ascii="Times New Roman" w:hAnsi="Times New Roman" w:cs="Times New Roman"/>
          <w:kern w:val="0"/>
          <w:sz w:val="24"/>
          <w:szCs w:val="24"/>
          <w:highlight w:val="none"/>
          <w:lang w:val="en-US" w:eastAsia="zh-CN"/>
        </w:rPr>
        <w:t>：亳州交控智能零碳光储直柔能源站项目位于建安路西侧、杜仲路北侧，占地约12.7亩（土地规划指标：土地编号2022-40号，土地面积8470.2m2、容积率≦1.0、建筑面积≦30%、绿化率≧20%），建设内容包含零碳综合楼3600m2、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2.服务范围及内容</w:t>
      </w:r>
      <w:r>
        <w:rPr>
          <w:rFonts w:hint="eastAsia" w:ascii="Times New Roman" w:hAnsi="Times New Roman" w:cs="Times New Roman"/>
          <w:kern w:val="0"/>
          <w:sz w:val="24"/>
          <w:szCs w:val="24"/>
          <w:highlight w:val="none"/>
          <w:lang w:val="en-US" w:eastAsia="zh-CN"/>
        </w:rPr>
        <w:t>：建筑红线范围内的：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1、项目建议书编制；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2、项目规划方案；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3、地质勘察报告；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4、专项咨询（能评、环评、交通等不少于3项所需批准）；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5、施工图纸设计（包含各专业所需专项设计）；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6、绿色建筑专篇设计及方案；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7、智能化系统及其子系统设计；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专项设计，包含道排、景观绿化、室内装饰、外立面深化、亮化、供配电、光储充一体化、弱电智能化（含通信、安防、停车管理、公共广播、综合布线、能耗监控系统以及甲方需求的系统及其子系统）、供水、消防、标识标线牌、污废水处理等及其他附属工程设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配合后续方案评审、报批、施工及各阶段验收工作等相关服务内容。</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二、适用规范标准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成果质量满足国家现行设计规范和设计标准，包括不限于《建筑抗震设计规范》《工程结构可靠度设计统一标准》《混凝土结构设计规范》《建筑设计防火规范》《民用建筑节能设计标准》《公共建筑节能设计标准》《零碳民用建筑评价规范》《零碳建筑技术标准》《夏热冬冷地区居住建筑节能设计标准》《民用建筑热工设计规范》《外墙外保温工程技术规程》《屋面工程技术规范》《建筑地面设计规范》《建筑地基基础设计规范》《建筑地基处理技术规范》《建筑给水排水设计规范》《民用建筑电气设计规范》《建筑物防雷设计规范》《建筑制图标准》《建筑结构制图标准》《建筑模数协调统一标准》《建筑工程设计文件编制深度规定》《安徽省居住建筑节能设计标准》等。</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1.规划设计总说明：</w:t>
      </w:r>
      <w:r>
        <w:rPr>
          <w:rFonts w:hint="eastAsia" w:ascii="Times New Roman" w:hAnsi="Times New Roman" w:cs="Times New Roman"/>
          <w:kern w:val="0"/>
          <w:sz w:val="24"/>
          <w:szCs w:val="24"/>
          <w:highlight w:val="none"/>
          <w:lang w:val="en-US" w:eastAsia="zh-CN"/>
        </w:rPr>
        <w:t>除规定应反映的各种说明外，着重阐述从现状条件分析、规划依据，总体规划设计、布局与空间组织，专业工程和竖向规划，建筑设计到景观设计、零碳设计等的主导设计构思、设计理念及设计手法，并简述结构、电气、给排水、雨污、智能化收集等的设计简要说明，及对生态环境保护、节能、绿建、消防、交通等作相应的专篇说明。</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2.主要经济技术指标：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给出主要经济技术指标详细分析，其中重点对结构上部、下部，三材、节能等进行分析，并对工程建设成本进行估算。</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3.设计成果</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需要提交的设计文本成果必须包含但不限于以下部分，报审设计方案图纸均应按A3规格装订成册，一式五份，报送电子文件。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（1）用地现状、区域分析图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（2）规划总平面图（含经济技术指标），图纸比例1:1000（总平面图应在地形底图上原坐标进行设计，建筑尺寸和定位坐标应明确标注）。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（3）规划单体建筑定位图，图纸比例1:1000（应在地形底图上原坐标进行设计，建筑尺寸和定位坐标应明确标注）。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（4）规划空间结构分析图。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（5）规划设计效果图：项目整体鸟瞰图（像素不少于720P）、沿主要道路天际线效果图、主要城市界面透视图、主要建筑单体方案效果图、单体SU三维模型等内容。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（6）规划方案说明书。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（7）景观、绿化规划设计图。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（8）项目亮化规划图。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（9）交通系统规划设计图。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（10）日照分析图，绿建、节能、消防、交通专篇。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（11）用地竖向规划设计图。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（12）综合管线规划设计图。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（13）主要街景彩色立面图。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（14）反映设计意图的透视图。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（15）道路断面与地下空间、管线处理分析图。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（16）各类产品单体主要平面布置图、立面图、剖面图。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（17）组合平面布置图。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（18）项目主要出入口等节点放大图。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（19）政府部门需要的其他设计文件。</w:t>
      </w:r>
    </w:p>
    <w:permEnd w:id="11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72" w:name="_Toc144974856"/>
      <w:bookmarkStart w:id="73" w:name="_Toc300835209"/>
      <w:bookmarkStart w:id="74" w:name="_Toc152045787"/>
      <w:bookmarkStart w:id="75" w:name="_Toc152042576"/>
      <w:bookmarkStart w:id="76" w:name="_Toc247527827"/>
      <w:bookmarkStart w:id="77" w:name="_Toc24751424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78" w:name="_Toc247527828"/>
      <w:bookmarkStart w:id="79" w:name="_Toc152042577"/>
      <w:bookmarkStart w:id="80" w:name="_Toc247514247"/>
      <w:bookmarkStart w:id="81" w:name="_Toc144974857"/>
      <w:bookmarkStart w:id="82" w:name="_Toc300835210"/>
      <w:bookmarkStart w:id="83" w:name="_Toc152045788"/>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cs="Times New Roman" w:eastAsiaTheme="minorEastAsia"/>
          <w:sz w:val="20"/>
          <w:szCs w:val="20"/>
          <w:lang w:val="en-US" w:eastAsia="zh-CN"/>
        </w:rPr>
      </w:pPr>
      <w:bookmarkStart w:id="84" w:name="_Toc152042579"/>
      <w:bookmarkStart w:id="85" w:name="_Toc144974859"/>
      <w:bookmarkStart w:id="86" w:name="_Toc300835212"/>
      <w:bookmarkStart w:id="87" w:name="_Toc247514249"/>
      <w:bookmarkStart w:id="88" w:name="_Toc152045790"/>
      <w:bookmarkStart w:id="89" w:name="_Toc24752783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11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5"/>
      <w:r>
        <w:rPr>
          <w:rFonts w:hint="eastAsia" w:ascii="Times New Roman" w:hAnsi="Times New Roman" w:cs="Times New Roman"/>
          <w:szCs w:val="21"/>
          <w:lang w:val="en-US" w:eastAsia="zh-CN"/>
        </w:rPr>
        <w:t>，服务期限：</w:t>
      </w:r>
      <w:permStart w:id="116"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116"/>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84"/>
    <w:bookmarkEnd w:id="85"/>
    <w:bookmarkEnd w:id="86"/>
    <w:bookmarkEnd w:id="87"/>
    <w:bookmarkEnd w:id="88"/>
    <w:bookmarkEnd w:id="89"/>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0" w:name="_Toc247527831"/>
      <w:bookmarkStart w:id="91" w:name="_Toc152042580"/>
      <w:bookmarkStart w:id="92" w:name="_Toc144974860"/>
      <w:bookmarkStart w:id="93" w:name="_Toc247514283"/>
      <w:bookmarkStart w:id="94" w:name="_Toc300835213"/>
      <w:bookmarkStart w:id="95" w:name="_Toc152045791"/>
      <w:r>
        <w:rPr>
          <w:rFonts w:hint="default" w:ascii="Times New Roman" w:hAnsi="Times New Roman" w:cs="Times New Roman"/>
        </w:rPr>
        <w:br w:type="page"/>
      </w: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90"/>
      <w:bookmarkEnd w:id="91"/>
      <w:bookmarkEnd w:id="92"/>
      <w:bookmarkEnd w:id="93"/>
      <w:bookmarkEnd w:id="94"/>
      <w:bookmarkEnd w:id="9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96" w:name="_Toc247514284"/>
      <w:bookmarkStart w:id="97" w:name="_Toc152045792"/>
      <w:bookmarkStart w:id="98" w:name="_Toc300835214"/>
      <w:bookmarkStart w:id="99" w:name="_Toc144974861"/>
      <w:bookmarkStart w:id="100" w:name="_Toc247527832"/>
      <w:bookmarkStart w:id="101" w:name="_Toc152042581"/>
      <w:r>
        <w:rPr>
          <w:rFonts w:hint="default" w:ascii="Times New Roman" w:hAnsi="Times New Roman" w:cs="Times New Roman"/>
        </w:rPr>
        <w:t>二、授权委托书</w:t>
      </w:r>
      <w:bookmarkEnd w:id="96"/>
      <w:bookmarkEnd w:id="97"/>
      <w:bookmarkEnd w:id="98"/>
      <w:bookmarkEnd w:id="99"/>
      <w:bookmarkEnd w:id="100"/>
      <w:bookmarkEnd w:id="101"/>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102" w:name="_Toc152045794"/>
      <w:bookmarkStart w:id="103" w:name="_Toc247514286"/>
      <w:bookmarkStart w:id="104" w:name="_Toc300835216"/>
      <w:bookmarkStart w:id="105" w:name="_Toc247527834"/>
      <w:bookmarkStart w:id="106" w:name="_Toc144974862"/>
      <w:bookmarkStart w:id="107"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2"/>
      <w:bookmarkEnd w:id="103"/>
      <w:bookmarkEnd w:id="104"/>
      <w:bookmarkEnd w:id="105"/>
      <w:bookmarkEnd w:id="106"/>
      <w:bookmarkEnd w:id="10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8"/>
    <w:p>
      <w:pPr>
        <w:rPr>
          <w:rFonts w:hint="default" w:ascii="Times New Roman" w:hAnsi="Times New Roman" w:cs="Times New Roman"/>
        </w:rPr>
      </w:pPr>
      <w:bookmarkStart w:id="109" w:name="_Toc300835218"/>
      <w:bookmarkStart w:id="110" w:name="_Toc247527835"/>
      <w:bookmarkStart w:id="111" w:name="_Toc152042584"/>
      <w:bookmarkStart w:id="112" w:name="_Toc247514287"/>
      <w:bookmarkStart w:id="113" w:name="_Toc144974863"/>
      <w:bookmarkStart w:id="114" w:name="_Toc152045795"/>
      <w:r>
        <w:rPr>
          <w:rFonts w:hint="default" w:ascii="Times New Roman" w:hAnsi="Times New Roman" w:cs="Times New Roman"/>
        </w:rPr>
        <w:br w:type="page"/>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5" w:name="_Toc247514288"/>
            <w:bookmarkStart w:id="116" w:name="_Toc152045796"/>
            <w:bookmarkStart w:id="117" w:name="_Toc144974864"/>
            <w:bookmarkStart w:id="118" w:name="_Toc300835221"/>
            <w:bookmarkStart w:id="119" w:name="_Toc247527836"/>
            <w:bookmarkStart w:id="120" w:name="_Toc152042585"/>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highlight w:val="yellow"/>
                <w:vertAlign w:val="baseline"/>
                <w:lang w:val="en-US" w:eastAsia="zh-CN"/>
              </w:rPr>
            </w:pPr>
            <w:r>
              <w:rPr>
                <w:rFonts w:hint="eastAsia" w:ascii="Times New Roman" w:hAnsi="Times New Roman" w:cs="Times New Roman"/>
                <w:highlight w:val="yellow"/>
                <w:vertAlign w:val="baseline"/>
                <w:lang w:val="en-US" w:eastAsia="zh-CN"/>
              </w:rPr>
              <w:t>1</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项目建议书编制</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highlight w:val="yellow"/>
                <w:vertAlign w:val="baseline"/>
                <w:lang w:val="en-US" w:eastAsia="zh-CN"/>
              </w:rPr>
            </w:pPr>
            <w:r>
              <w:rPr>
                <w:rFonts w:hint="eastAsia" w:ascii="Times New Roman" w:hAnsi="Times New Roman" w:cs="Times New Roman"/>
                <w:highlight w:val="yellow"/>
                <w:vertAlign w:val="baseline"/>
                <w:lang w:val="en-US" w:eastAsia="zh-CN"/>
              </w:rPr>
              <w:t>2</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项目规划方案</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highlight w:val="yellow"/>
                <w:vertAlign w:val="baseline"/>
                <w:lang w:val="en-US" w:eastAsia="zh-CN"/>
              </w:rPr>
            </w:pPr>
            <w:r>
              <w:rPr>
                <w:rFonts w:hint="eastAsia" w:ascii="Times New Roman" w:hAnsi="Times New Roman" w:cs="Times New Roman"/>
                <w:highlight w:val="yellow"/>
                <w:vertAlign w:val="baseline"/>
                <w:lang w:val="en-US" w:eastAsia="zh-CN"/>
              </w:rPr>
              <w:t>3</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地质勘察报告</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highlight w:val="yellow"/>
                <w:vertAlign w:val="baseline"/>
                <w:lang w:val="en-US" w:eastAsia="zh-CN"/>
              </w:rPr>
            </w:pPr>
            <w:r>
              <w:rPr>
                <w:rFonts w:hint="eastAsia" w:ascii="Times New Roman" w:hAnsi="Times New Roman" w:cs="Times New Roman"/>
                <w:highlight w:val="yellow"/>
                <w:vertAlign w:val="baseline"/>
                <w:lang w:val="en-US" w:eastAsia="zh-CN"/>
              </w:rPr>
              <w:t>4</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专项咨询                               （能评、环评、交通等不少于3项所需批准）</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highlight w:val="yellow"/>
                <w:vertAlign w:val="baseline"/>
                <w:lang w:val="en-US" w:eastAsia="zh-CN"/>
              </w:rPr>
            </w:pPr>
            <w:r>
              <w:rPr>
                <w:rFonts w:hint="eastAsia" w:ascii="Times New Roman" w:hAnsi="Times New Roman" w:cs="Times New Roman"/>
                <w:highlight w:val="yellow"/>
                <w:vertAlign w:val="baseline"/>
                <w:lang w:val="en-US" w:eastAsia="zh-CN"/>
              </w:rPr>
              <w:t>5</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施工图纸设计                         （包含各专业所需专项设计）</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bookmarkStart w:id="137" w:name="_GoBack"/>
            <w:bookmarkEnd w:id="1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highlight w:val="yellow"/>
                <w:vertAlign w:val="baseline"/>
                <w:lang w:val="en-US" w:eastAsia="zh-CN"/>
              </w:rPr>
            </w:pPr>
            <w:r>
              <w:rPr>
                <w:rFonts w:hint="eastAsia" w:ascii="Times New Roman" w:hAnsi="Times New Roman" w:cs="Times New Roman"/>
                <w:highlight w:val="yellow"/>
                <w:vertAlign w:val="baseline"/>
                <w:lang w:val="en-US" w:eastAsia="zh-CN"/>
              </w:rPr>
              <w:t>6</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绿色建筑专篇设计及方案</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highlight w:val="yellow"/>
                <w:vertAlign w:val="baseline"/>
                <w:lang w:val="en-US" w:eastAsia="zh-CN"/>
              </w:rPr>
            </w:pPr>
            <w:r>
              <w:rPr>
                <w:rFonts w:hint="eastAsia" w:ascii="Times New Roman" w:hAnsi="Times New Roman" w:cs="Times New Roman"/>
                <w:highlight w:val="yellow"/>
                <w:vertAlign w:val="baseline"/>
                <w:lang w:val="en-US" w:eastAsia="zh-CN"/>
              </w:rPr>
              <w:t>7</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i w:val="0"/>
                <w:iCs w:val="0"/>
                <w:color w:val="000000"/>
                <w:kern w:val="0"/>
                <w:sz w:val="22"/>
                <w:szCs w:val="22"/>
                <w:highlight w:val="yellow"/>
                <w:u w:val="none"/>
                <w:lang w:val="en-US" w:eastAsia="zh-CN" w:bidi="ar"/>
              </w:rPr>
              <w:t>智能化系统及其子系统设计</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highlight w:val="yellow"/>
                <w:vertAlign w:val="baseline"/>
                <w:lang w:val="en-US" w:eastAsia="zh-CN"/>
              </w:rPr>
            </w:pPr>
            <w:r>
              <w:rPr>
                <w:rFonts w:hint="eastAsia" w:ascii="Times New Roman" w:hAnsi="Times New Roman" w:cs="Times New Roman"/>
                <w:highlight w:val="yellow"/>
                <w:vertAlign w:val="baseline"/>
                <w:lang w:val="en-US" w:eastAsia="zh-CN"/>
              </w:rPr>
              <w:t>8</w:t>
            </w:r>
          </w:p>
        </w:tc>
        <w:tc>
          <w:tcPr>
            <w:tcW w:w="2268" w:type="dxa"/>
            <w:vAlign w:val="center"/>
          </w:tcPr>
          <w:p>
            <w:pPr>
              <w:keepNext w:val="0"/>
              <w:keepLines w:val="0"/>
              <w:widowControl/>
              <w:suppressLineNumbers w:val="0"/>
              <w:jc w:val="center"/>
              <w:textAlignment w:val="center"/>
              <w:rPr>
                <w:rFonts w:hint="default" w:ascii="Times New Roman" w:hAnsi="Times New Roman" w:cs="Times New Roman"/>
                <w:highlight w:val="yellow"/>
                <w:vertAlign w:val="baseline"/>
              </w:rPr>
            </w:pPr>
            <w:r>
              <w:rPr>
                <w:rFonts w:hint="eastAsia" w:ascii="仿宋" w:hAnsi="仿宋" w:eastAsia="仿宋" w:cs="仿宋"/>
                <w:b/>
                <w:bCs/>
                <w:i w:val="0"/>
                <w:iCs w:val="0"/>
                <w:color w:val="000000"/>
                <w:kern w:val="0"/>
                <w:sz w:val="22"/>
                <w:szCs w:val="22"/>
                <w:highlight w:val="yellow"/>
                <w:u w:val="none"/>
                <w:lang w:val="en-US" w:eastAsia="zh-CN" w:bidi="ar"/>
              </w:rPr>
              <w:t>专项设计</w:t>
            </w:r>
            <w:r>
              <w:rPr>
                <w:rFonts w:hint="eastAsia" w:ascii="仿宋" w:hAnsi="仿宋" w:eastAsia="仿宋" w:cs="仿宋"/>
                <w:i w:val="0"/>
                <w:iCs w:val="0"/>
                <w:color w:val="000000"/>
                <w:kern w:val="0"/>
                <w:sz w:val="22"/>
                <w:szCs w:val="22"/>
                <w:highlight w:val="yellow"/>
                <w:u w:val="none"/>
                <w:lang w:val="en-US" w:eastAsia="zh-CN" w:bidi="ar"/>
              </w:rPr>
              <w:t>，包含道排、景观绿化、室内装饰、外立面深化、亮化、供配电、光储充一体化、弱电智能化（含通信、安防、停车管理、公共广播、综合布线、能耗监控系统以及甲方需求的系统及其子系统）、供水、消防、标识标线牌、污废水处理等及其他附属工程设计</w:t>
            </w:r>
          </w:p>
        </w:tc>
        <w:tc>
          <w:tcPr>
            <w:tcW w:w="2268" w:type="dxa"/>
            <w:vAlign w:val="center"/>
          </w:tcPr>
          <w:p>
            <w:pPr>
              <w:jc w:val="center"/>
              <w:rPr>
                <w:rFonts w:hint="default" w:ascii="Times New Roman" w:hAnsi="Times New Roman" w:cs="Times New Roman"/>
                <w:highlight w:val="yellow"/>
                <w:vertAlign w:val="baseline"/>
              </w:rPr>
            </w:pPr>
          </w:p>
        </w:tc>
        <w:tc>
          <w:tcPr>
            <w:tcW w:w="1134" w:type="dxa"/>
            <w:vAlign w:val="center"/>
          </w:tcPr>
          <w:p>
            <w:pPr>
              <w:jc w:val="center"/>
              <w:rPr>
                <w:rFonts w:hint="default" w:ascii="Times New Roman" w:hAnsi="Times New Roman" w:cs="Times New Roman"/>
                <w:highlight w:val="yellow"/>
                <w:vertAlign w:val="baseline"/>
              </w:rPr>
            </w:pPr>
          </w:p>
        </w:tc>
        <w:tc>
          <w:tcPr>
            <w:tcW w:w="2001" w:type="dxa"/>
            <w:vAlign w:val="center"/>
          </w:tcPr>
          <w:p>
            <w:pPr>
              <w:jc w:val="center"/>
              <w:rPr>
                <w:rFonts w:hint="default" w:ascii="Times New Roman" w:hAnsi="Times New Roman" w:cs="Times New Roman"/>
                <w:highlight w:val="yellow"/>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50"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both"/>
              <w:rPr>
                <w:rFonts w:hint="default" w:ascii="Times New Roman" w:hAnsi="Times New Roman" w:cs="Times New Roman" w:eastAsiaTheme="minorEastAsia"/>
                <w:u w:val="single"/>
                <w:vertAlign w:val="baseline"/>
                <w:lang w:val="en-US" w:eastAsia="zh-CN"/>
              </w:rPr>
            </w:pPr>
            <w:r>
              <w:rPr>
                <w:rFonts w:hint="eastAsia" w:ascii="Times New Roman" w:hAnsi="Times New Roman" w:cs="Times New Roman"/>
                <w:vertAlign w:val="baseline"/>
                <w:lang w:val="en-US" w:eastAsia="zh-CN"/>
              </w:rPr>
              <w:t>含税，税率</w:t>
            </w:r>
            <w:r>
              <w:rPr>
                <w:rFonts w:hint="eastAsia" w:ascii="Times New Roman" w:hAnsi="Times New Roman" w:cs="Times New Roman"/>
                <w:u w:val="single"/>
                <w:vertAlign w:val="baseline"/>
                <w:lang w:val="en-US" w:eastAsia="zh-CN"/>
              </w:rPr>
              <w:t xml:space="preserve">   %</w:t>
            </w: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115"/>
    <w:bookmarkEnd w:id="116"/>
    <w:bookmarkEnd w:id="117"/>
    <w:bookmarkEnd w:id="118"/>
    <w:bookmarkEnd w:id="119"/>
    <w:bookmarkEnd w:id="120"/>
    <w:p>
      <w:pPr>
        <w:pStyle w:val="4"/>
        <w:jc w:val="center"/>
        <w:rPr>
          <w:rFonts w:hint="eastAsia"/>
          <w:highlight w:val="none"/>
        </w:rPr>
      </w:pPr>
      <w:bookmarkStart w:id="121" w:name="_Toc300835224"/>
      <w:bookmarkStart w:id="122" w:name="_Toc144974871"/>
      <w:bookmarkStart w:id="123" w:name="_Toc246996369"/>
      <w:bookmarkStart w:id="124" w:name="_Toc246997112"/>
      <w:bookmarkStart w:id="125" w:name="_Toc247527848"/>
      <w:bookmarkStart w:id="126" w:name="_Toc152045808"/>
      <w:bookmarkStart w:id="127" w:name="_Toc247085887"/>
      <w:bookmarkStart w:id="128" w:name="_Toc296602614"/>
      <w:bookmarkStart w:id="129" w:name="_Toc152042592"/>
      <w:bookmarkStart w:id="130" w:name="_Toc144974876"/>
      <w:bookmarkStart w:id="131" w:name="_Toc152042597"/>
      <w:bookmarkStart w:id="132" w:name="_Toc179632823"/>
      <w:bookmarkStart w:id="133" w:name="_Toc152045803"/>
      <w:bookmarkStart w:id="134" w:name="_Toc247514300"/>
      <w:r>
        <w:rPr>
          <w:rFonts w:hint="eastAsia"/>
          <w:highlight w:val="none"/>
          <w:lang w:val="en-US" w:eastAsia="zh-CN"/>
        </w:rPr>
        <w:t>五</w:t>
      </w:r>
      <w:r>
        <w:rPr>
          <w:highlight w:val="none"/>
        </w:rPr>
        <w:t>、资格审查资料</w:t>
      </w:r>
    </w:p>
    <w:p>
      <w:pPr>
        <w:pStyle w:val="5"/>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5"/>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5"/>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4"/>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设计方案应包括（但不限于）下列内容：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135" w:name="_Toc300835233"/>
      <w:bookmarkStart w:id="136"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135"/>
      <w:bookmarkEnd w:id="136"/>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45442D7-F6D4-4043-B516-D510C33A5EC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BF0C483-362A-415E-A6F2-8C8F588777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25C7907D-CF8B-48B9-941A-4F487008527D}"/>
  </w:font>
  <w:font w:name="方正小标宋简体">
    <w:panose1 w:val="03000509000000000000"/>
    <w:charset w:val="86"/>
    <w:family w:val="auto"/>
    <w:pitch w:val="default"/>
    <w:sig w:usb0="00000001" w:usb1="080E0000" w:usb2="00000000" w:usb3="00000000" w:csb0="00040000" w:csb1="00000000"/>
    <w:embedRegular r:id="rId4" w:fontKey="{B068504D-D101-4781-9783-B1B87355B911}"/>
  </w:font>
  <w:font w:name="楷体">
    <w:panose1 w:val="02010609060101010101"/>
    <w:charset w:val="86"/>
    <w:family w:val="auto"/>
    <w:pitch w:val="default"/>
    <w:sig w:usb0="800002BF" w:usb1="38CF7CFA" w:usb2="00000016" w:usb3="00000000" w:csb0="00040001" w:csb1="00000000"/>
    <w:embedRegular r:id="rId5" w:fontKey="{7FC85324-E45A-43B2-9331-06646F1D9C59}"/>
  </w:font>
  <w:font w:name="Wingdings 2">
    <w:panose1 w:val="05020102010507070707"/>
    <w:charset w:val="00"/>
    <w:family w:val="auto"/>
    <w:pitch w:val="default"/>
    <w:sig w:usb0="00000000" w:usb1="00000000" w:usb2="00000000" w:usb3="00000000" w:csb0="80000000" w:csb1="00000000"/>
    <w:embedRegular r:id="rId6" w:fontKey="{462E248F-656C-4031-B7FF-660296AFB453}"/>
  </w:font>
  <w:font w:name="仿宋">
    <w:panose1 w:val="02010609060101010101"/>
    <w:charset w:val="86"/>
    <w:family w:val="auto"/>
    <w:pitch w:val="default"/>
    <w:sig w:usb0="800002BF" w:usb1="38CF7CFA" w:usb2="00000016" w:usb3="00000000" w:csb0="00040001" w:csb1="00000000"/>
    <w:embedRegular r:id="rId7" w:fontKey="{69F27C9D-A8E8-4571-AF9F-D3B43848F0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00FF0C"/>
    <w:multiLevelType w:val="singleLevel"/>
    <w:tmpl w:val="1A00FF0C"/>
    <w:lvl w:ilvl="0" w:tentative="0">
      <w:start w:val="1"/>
      <w:numFmt w:val="decimal"/>
      <w:suff w:val="nothing"/>
      <w:lvlText w:val="%1、"/>
      <w:lvlJc w:val="left"/>
    </w:lvl>
  </w:abstractNum>
  <w:abstractNum w:abstractNumId="1">
    <w:nsid w:val="57532AB3"/>
    <w:multiLevelType w:val="singleLevel"/>
    <w:tmpl w:val="57532AB3"/>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 w:name="KSO_WPS_MARK_KEY" w:val="67974d70-892b-4ecc-8b8f-b1dc85c7e130"/>
  </w:docVars>
  <w:rsids>
    <w:rsidRoot w:val="00000000"/>
    <w:rsid w:val="000A4B92"/>
    <w:rsid w:val="000E5325"/>
    <w:rsid w:val="002609D3"/>
    <w:rsid w:val="002C069E"/>
    <w:rsid w:val="0040224D"/>
    <w:rsid w:val="006911F9"/>
    <w:rsid w:val="00733B0B"/>
    <w:rsid w:val="00764376"/>
    <w:rsid w:val="00796B76"/>
    <w:rsid w:val="00850CC0"/>
    <w:rsid w:val="00B00F2F"/>
    <w:rsid w:val="00FF308E"/>
    <w:rsid w:val="011E6004"/>
    <w:rsid w:val="0145105E"/>
    <w:rsid w:val="018C519F"/>
    <w:rsid w:val="019846E3"/>
    <w:rsid w:val="01CB0CDF"/>
    <w:rsid w:val="01CD2334"/>
    <w:rsid w:val="01E140D3"/>
    <w:rsid w:val="01EE4D0C"/>
    <w:rsid w:val="01EE5E5A"/>
    <w:rsid w:val="01F16263"/>
    <w:rsid w:val="02016132"/>
    <w:rsid w:val="0212370C"/>
    <w:rsid w:val="021D348F"/>
    <w:rsid w:val="026E5FAB"/>
    <w:rsid w:val="02983D41"/>
    <w:rsid w:val="029F2BC9"/>
    <w:rsid w:val="02A31129"/>
    <w:rsid w:val="02A46690"/>
    <w:rsid w:val="02AC508C"/>
    <w:rsid w:val="02BE075F"/>
    <w:rsid w:val="02F4317E"/>
    <w:rsid w:val="02F96828"/>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3E2C54"/>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CA0365"/>
    <w:rsid w:val="06D375E0"/>
    <w:rsid w:val="06D9502E"/>
    <w:rsid w:val="06E329B2"/>
    <w:rsid w:val="06EB4F76"/>
    <w:rsid w:val="06ED1728"/>
    <w:rsid w:val="06F81D74"/>
    <w:rsid w:val="074267A8"/>
    <w:rsid w:val="074A7C93"/>
    <w:rsid w:val="07666E00"/>
    <w:rsid w:val="07723470"/>
    <w:rsid w:val="07750484"/>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07E99"/>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186727"/>
    <w:rsid w:val="0D2466BD"/>
    <w:rsid w:val="0D3A1668"/>
    <w:rsid w:val="0D5C2246"/>
    <w:rsid w:val="0D6A3C45"/>
    <w:rsid w:val="0D74702C"/>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D017B"/>
    <w:rsid w:val="0F5F5CB1"/>
    <w:rsid w:val="0F6D192D"/>
    <w:rsid w:val="0F6E4AA0"/>
    <w:rsid w:val="0F886069"/>
    <w:rsid w:val="0FA819A2"/>
    <w:rsid w:val="0FCA08C0"/>
    <w:rsid w:val="0FCA14B6"/>
    <w:rsid w:val="0FE42DE8"/>
    <w:rsid w:val="0FF63D22"/>
    <w:rsid w:val="0FFA6EBC"/>
    <w:rsid w:val="101038A7"/>
    <w:rsid w:val="101D4F1D"/>
    <w:rsid w:val="101E2D38"/>
    <w:rsid w:val="10446D2F"/>
    <w:rsid w:val="104957CA"/>
    <w:rsid w:val="104D6EF3"/>
    <w:rsid w:val="10525806"/>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6C4E31"/>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612300"/>
    <w:rsid w:val="158374C1"/>
    <w:rsid w:val="15A62ECC"/>
    <w:rsid w:val="15B14179"/>
    <w:rsid w:val="15C516BD"/>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46ECF"/>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85B7E"/>
    <w:rsid w:val="1ADB0B95"/>
    <w:rsid w:val="1AF80851"/>
    <w:rsid w:val="1B0361BC"/>
    <w:rsid w:val="1B116412"/>
    <w:rsid w:val="1B262D26"/>
    <w:rsid w:val="1B2670F4"/>
    <w:rsid w:val="1B2D1E19"/>
    <w:rsid w:val="1B2D7FD6"/>
    <w:rsid w:val="1B3A5220"/>
    <w:rsid w:val="1B3B258E"/>
    <w:rsid w:val="1B5E0D19"/>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46BE2"/>
    <w:rsid w:val="1C5D5F8B"/>
    <w:rsid w:val="1C6E241C"/>
    <w:rsid w:val="1CB07DF9"/>
    <w:rsid w:val="1CC3681B"/>
    <w:rsid w:val="1CF251D3"/>
    <w:rsid w:val="1CFF3217"/>
    <w:rsid w:val="1D0C3E62"/>
    <w:rsid w:val="1D1D0D81"/>
    <w:rsid w:val="1D5835F0"/>
    <w:rsid w:val="1D594678"/>
    <w:rsid w:val="1D833C3B"/>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EF74148"/>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24FB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C04852"/>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17EC"/>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300CD1"/>
    <w:rsid w:val="2C5C58C2"/>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44A8B"/>
    <w:rsid w:val="2D772574"/>
    <w:rsid w:val="2D8D31B7"/>
    <w:rsid w:val="2D8D5835"/>
    <w:rsid w:val="2DAB1C25"/>
    <w:rsid w:val="2DB71FA7"/>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C51325"/>
    <w:rsid w:val="30FF4D69"/>
    <w:rsid w:val="310E5321"/>
    <w:rsid w:val="3113559B"/>
    <w:rsid w:val="311978DB"/>
    <w:rsid w:val="312421F6"/>
    <w:rsid w:val="3127420C"/>
    <w:rsid w:val="31477BEB"/>
    <w:rsid w:val="315523B1"/>
    <w:rsid w:val="3198056E"/>
    <w:rsid w:val="31CD31BF"/>
    <w:rsid w:val="31D72AD0"/>
    <w:rsid w:val="31E10F55"/>
    <w:rsid w:val="320B7F80"/>
    <w:rsid w:val="3219008D"/>
    <w:rsid w:val="32215B79"/>
    <w:rsid w:val="322241F2"/>
    <w:rsid w:val="3229379D"/>
    <w:rsid w:val="32294133"/>
    <w:rsid w:val="322D5AFA"/>
    <w:rsid w:val="32514C44"/>
    <w:rsid w:val="328916BE"/>
    <w:rsid w:val="32922321"/>
    <w:rsid w:val="32974C7A"/>
    <w:rsid w:val="32BB4ABE"/>
    <w:rsid w:val="32C8549C"/>
    <w:rsid w:val="32CA16D9"/>
    <w:rsid w:val="32E83928"/>
    <w:rsid w:val="32F45590"/>
    <w:rsid w:val="331C19F3"/>
    <w:rsid w:val="33380434"/>
    <w:rsid w:val="33577373"/>
    <w:rsid w:val="33773188"/>
    <w:rsid w:val="337E77C9"/>
    <w:rsid w:val="338F53C2"/>
    <w:rsid w:val="33925662"/>
    <w:rsid w:val="339B7AA1"/>
    <w:rsid w:val="33B7637D"/>
    <w:rsid w:val="33D4661F"/>
    <w:rsid w:val="33E401C3"/>
    <w:rsid w:val="33ED39C2"/>
    <w:rsid w:val="340F56DE"/>
    <w:rsid w:val="3425597D"/>
    <w:rsid w:val="342A5DF5"/>
    <w:rsid w:val="344851FD"/>
    <w:rsid w:val="349B5E0E"/>
    <w:rsid w:val="34A432B6"/>
    <w:rsid w:val="34AA020B"/>
    <w:rsid w:val="34BC17DA"/>
    <w:rsid w:val="34D015E3"/>
    <w:rsid w:val="34F14D3E"/>
    <w:rsid w:val="34F812F7"/>
    <w:rsid w:val="34F85DA8"/>
    <w:rsid w:val="3509398E"/>
    <w:rsid w:val="353A66E5"/>
    <w:rsid w:val="3547266B"/>
    <w:rsid w:val="3554479E"/>
    <w:rsid w:val="357D63E5"/>
    <w:rsid w:val="357F00D0"/>
    <w:rsid w:val="35894506"/>
    <w:rsid w:val="35A377DB"/>
    <w:rsid w:val="35C36430"/>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8FB43DD"/>
    <w:rsid w:val="393E0C7A"/>
    <w:rsid w:val="39470BCD"/>
    <w:rsid w:val="39821F75"/>
    <w:rsid w:val="398B5520"/>
    <w:rsid w:val="398C3DB7"/>
    <w:rsid w:val="39AB6275"/>
    <w:rsid w:val="39E17621"/>
    <w:rsid w:val="39F227B1"/>
    <w:rsid w:val="3A151290"/>
    <w:rsid w:val="3A201663"/>
    <w:rsid w:val="3A257964"/>
    <w:rsid w:val="3A292038"/>
    <w:rsid w:val="3A3E27D3"/>
    <w:rsid w:val="3A4A1178"/>
    <w:rsid w:val="3A524E6B"/>
    <w:rsid w:val="3A762A49"/>
    <w:rsid w:val="3A826354"/>
    <w:rsid w:val="3A9D28F5"/>
    <w:rsid w:val="3AA90E8E"/>
    <w:rsid w:val="3ACD43C9"/>
    <w:rsid w:val="3AEF1D20"/>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922F5"/>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17D2F"/>
    <w:rsid w:val="41F05895"/>
    <w:rsid w:val="420C70DA"/>
    <w:rsid w:val="4226611D"/>
    <w:rsid w:val="425402BB"/>
    <w:rsid w:val="42564ADA"/>
    <w:rsid w:val="42747A95"/>
    <w:rsid w:val="427E52C8"/>
    <w:rsid w:val="429D02B3"/>
    <w:rsid w:val="42E45EE2"/>
    <w:rsid w:val="42F75C15"/>
    <w:rsid w:val="42FA6BD0"/>
    <w:rsid w:val="42FB4E01"/>
    <w:rsid w:val="4301585B"/>
    <w:rsid w:val="431B31A4"/>
    <w:rsid w:val="43325808"/>
    <w:rsid w:val="433E1CAF"/>
    <w:rsid w:val="43412297"/>
    <w:rsid w:val="43413ED4"/>
    <w:rsid w:val="43594499"/>
    <w:rsid w:val="43636C3F"/>
    <w:rsid w:val="436E5353"/>
    <w:rsid w:val="437C436D"/>
    <w:rsid w:val="438073DF"/>
    <w:rsid w:val="439D6340"/>
    <w:rsid w:val="43FD7280"/>
    <w:rsid w:val="440D06B7"/>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BF4FEA"/>
    <w:rsid w:val="45E526C2"/>
    <w:rsid w:val="45EF5694"/>
    <w:rsid w:val="45F32D75"/>
    <w:rsid w:val="45FE4441"/>
    <w:rsid w:val="460934CE"/>
    <w:rsid w:val="46144564"/>
    <w:rsid w:val="461F685B"/>
    <w:rsid w:val="463A35BA"/>
    <w:rsid w:val="464478D6"/>
    <w:rsid w:val="46594972"/>
    <w:rsid w:val="46763AFA"/>
    <w:rsid w:val="469A5235"/>
    <w:rsid w:val="46A86AC5"/>
    <w:rsid w:val="46AF0ACC"/>
    <w:rsid w:val="46CD2EA3"/>
    <w:rsid w:val="46E33C2A"/>
    <w:rsid w:val="46EB5C2E"/>
    <w:rsid w:val="46FD57C4"/>
    <w:rsid w:val="47191F43"/>
    <w:rsid w:val="471B210D"/>
    <w:rsid w:val="47330BB1"/>
    <w:rsid w:val="474340E1"/>
    <w:rsid w:val="4754737E"/>
    <w:rsid w:val="476E5DEA"/>
    <w:rsid w:val="478D50EB"/>
    <w:rsid w:val="47914A33"/>
    <w:rsid w:val="479B0044"/>
    <w:rsid w:val="479C10BC"/>
    <w:rsid w:val="47A363D2"/>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3C06FE"/>
    <w:rsid w:val="49441489"/>
    <w:rsid w:val="4948117F"/>
    <w:rsid w:val="494B0B0D"/>
    <w:rsid w:val="497E20AD"/>
    <w:rsid w:val="49820EB7"/>
    <w:rsid w:val="499416E9"/>
    <w:rsid w:val="49A63EAD"/>
    <w:rsid w:val="49B4166E"/>
    <w:rsid w:val="49BA2C9E"/>
    <w:rsid w:val="49BC3715"/>
    <w:rsid w:val="49C56A6D"/>
    <w:rsid w:val="49F72310"/>
    <w:rsid w:val="49FD2EE4"/>
    <w:rsid w:val="4A0B4FDE"/>
    <w:rsid w:val="4A343D11"/>
    <w:rsid w:val="4A497D35"/>
    <w:rsid w:val="4A520C69"/>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2D57B8"/>
    <w:rsid w:val="4C5419A1"/>
    <w:rsid w:val="4C5429A3"/>
    <w:rsid w:val="4C645A11"/>
    <w:rsid w:val="4C87254B"/>
    <w:rsid w:val="4C8D6F4B"/>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D7C3A"/>
    <w:rsid w:val="4E866ADB"/>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D33566"/>
    <w:rsid w:val="4FED0FB9"/>
    <w:rsid w:val="500E27F0"/>
    <w:rsid w:val="500E32DC"/>
    <w:rsid w:val="50561719"/>
    <w:rsid w:val="506A5C79"/>
    <w:rsid w:val="507410D2"/>
    <w:rsid w:val="50A4392E"/>
    <w:rsid w:val="50A97681"/>
    <w:rsid w:val="50AE3B94"/>
    <w:rsid w:val="50AF7418"/>
    <w:rsid w:val="50C65730"/>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067C23"/>
    <w:rsid w:val="521A0101"/>
    <w:rsid w:val="52241967"/>
    <w:rsid w:val="52263E21"/>
    <w:rsid w:val="522D1CB6"/>
    <w:rsid w:val="52444C58"/>
    <w:rsid w:val="5263075C"/>
    <w:rsid w:val="52660A26"/>
    <w:rsid w:val="52717995"/>
    <w:rsid w:val="528315FB"/>
    <w:rsid w:val="52910142"/>
    <w:rsid w:val="52990759"/>
    <w:rsid w:val="529E42FF"/>
    <w:rsid w:val="52B87033"/>
    <w:rsid w:val="52BE5917"/>
    <w:rsid w:val="52C01195"/>
    <w:rsid w:val="52D626E9"/>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50E49C6"/>
    <w:rsid w:val="556B7A96"/>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337B29"/>
    <w:rsid w:val="57367C86"/>
    <w:rsid w:val="573E4A79"/>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93EE4"/>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5D03BC"/>
    <w:rsid w:val="5D6C4615"/>
    <w:rsid w:val="5D7C5A81"/>
    <w:rsid w:val="5DD31E8F"/>
    <w:rsid w:val="5DDF2196"/>
    <w:rsid w:val="5DF704AE"/>
    <w:rsid w:val="5DF954B7"/>
    <w:rsid w:val="5DFF05CD"/>
    <w:rsid w:val="5E1672C2"/>
    <w:rsid w:val="5E1B6033"/>
    <w:rsid w:val="5E2612F9"/>
    <w:rsid w:val="5E534129"/>
    <w:rsid w:val="5E6E3C24"/>
    <w:rsid w:val="5E6F4DA2"/>
    <w:rsid w:val="5E7255BD"/>
    <w:rsid w:val="5E937CCC"/>
    <w:rsid w:val="5EF83794"/>
    <w:rsid w:val="5F0173CC"/>
    <w:rsid w:val="5F1A1A93"/>
    <w:rsid w:val="5F287F7E"/>
    <w:rsid w:val="5F29738A"/>
    <w:rsid w:val="5F2E757B"/>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E76336"/>
    <w:rsid w:val="62F20D03"/>
    <w:rsid w:val="62F26EC0"/>
    <w:rsid w:val="62F75B83"/>
    <w:rsid w:val="62FA152C"/>
    <w:rsid w:val="63095375"/>
    <w:rsid w:val="6312135F"/>
    <w:rsid w:val="6318461A"/>
    <w:rsid w:val="631B7D75"/>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EE387A"/>
    <w:rsid w:val="66F7720F"/>
    <w:rsid w:val="66F8201A"/>
    <w:rsid w:val="671C5A04"/>
    <w:rsid w:val="67233512"/>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31FE7"/>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841E8D"/>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503612"/>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2E0068"/>
    <w:rsid w:val="70796EB7"/>
    <w:rsid w:val="70846EFD"/>
    <w:rsid w:val="70891E2B"/>
    <w:rsid w:val="709304FC"/>
    <w:rsid w:val="70B21D55"/>
    <w:rsid w:val="70B937D4"/>
    <w:rsid w:val="70BA4068"/>
    <w:rsid w:val="70F06D61"/>
    <w:rsid w:val="70F36F46"/>
    <w:rsid w:val="71231B23"/>
    <w:rsid w:val="713B214A"/>
    <w:rsid w:val="714633CE"/>
    <w:rsid w:val="714A76D4"/>
    <w:rsid w:val="715C3ADF"/>
    <w:rsid w:val="718621EE"/>
    <w:rsid w:val="71894FD2"/>
    <w:rsid w:val="71A3311F"/>
    <w:rsid w:val="71AA4E1C"/>
    <w:rsid w:val="71BE3C03"/>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17735"/>
    <w:rsid w:val="761867BE"/>
    <w:rsid w:val="76365AD0"/>
    <w:rsid w:val="765D57EA"/>
    <w:rsid w:val="7688585F"/>
    <w:rsid w:val="76C27A63"/>
    <w:rsid w:val="76E97048"/>
    <w:rsid w:val="76F54CF0"/>
    <w:rsid w:val="76FD5906"/>
    <w:rsid w:val="77066589"/>
    <w:rsid w:val="77072866"/>
    <w:rsid w:val="770B684E"/>
    <w:rsid w:val="771D50F3"/>
    <w:rsid w:val="77204CB1"/>
    <w:rsid w:val="77356662"/>
    <w:rsid w:val="777C1603"/>
    <w:rsid w:val="77A14CDE"/>
    <w:rsid w:val="77AA2F7D"/>
    <w:rsid w:val="77C96BD3"/>
    <w:rsid w:val="78266CE5"/>
    <w:rsid w:val="7827421F"/>
    <w:rsid w:val="782B4A23"/>
    <w:rsid w:val="78302F8F"/>
    <w:rsid w:val="784117AB"/>
    <w:rsid w:val="7844395F"/>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365DE1"/>
    <w:rsid w:val="7CA21024"/>
    <w:rsid w:val="7CA33449"/>
    <w:rsid w:val="7CCE4D69"/>
    <w:rsid w:val="7D0A0BA4"/>
    <w:rsid w:val="7D10135B"/>
    <w:rsid w:val="7D107AF3"/>
    <w:rsid w:val="7D4253C7"/>
    <w:rsid w:val="7D4C5341"/>
    <w:rsid w:val="7D4E5EE6"/>
    <w:rsid w:val="7D622932"/>
    <w:rsid w:val="7D8901AD"/>
    <w:rsid w:val="7D8E577D"/>
    <w:rsid w:val="7D9A426A"/>
    <w:rsid w:val="7E006F08"/>
    <w:rsid w:val="7E01736D"/>
    <w:rsid w:val="7E333E03"/>
    <w:rsid w:val="7E391FE6"/>
    <w:rsid w:val="7E916762"/>
    <w:rsid w:val="7EA916FD"/>
    <w:rsid w:val="7EAB552B"/>
    <w:rsid w:val="7EE53C64"/>
    <w:rsid w:val="7EE90A21"/>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15188</Words>
  <Characters>16808</Characters>
  <Lines>0</Lines>
  <Paragraphs>0</Paragraphs>
  <TotalTime>16</TotalTime>
  <ScaleCrop>false</ScaleCrop>
  <LinksUpToDate>false</LinksUpToDate>
  <CharactersWithSpaces>18290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2023-03-09T07:41:00Z</cp:lastPrinted>
  <dcterms:modified xsi:type="dcterms:W3CDTF">2023-03-10T08:08:25Z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E8293C5D691D4140BA930CE657E57EA0</vt:lpwstr>
  </property>
</Properties>
</file>