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0" w:edGrp="everyone"/>
      <w:r>
        <w:rPr>
          <w:rFonts w:hint="eastAsia" w:ascii="Times New Roman" w:hAnsi="Times New Roman" w:eastAsia="黑体" w:cs="Times New Roman"/>
          <w:color w:val="000000" w:themeColor="text1"/>
          <w:kern w:val="0"/>
          <w:sz w:val="32"/>
          <w:szCs w:val="32"/>
          <w:u w:val="single"/>
          <w14:textFill>
            <w14:solidFill>
              <w14:schemeClr w14:val="tx1"/>
            </w14:solidFill>
          </w14:textFill>
        </w:rPr>
        <w:t>亳州市道路泊车二期建设项目监理</w:t>
      </w:r>
      <w:permEnd w:id="0"/>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w:t>
      </w:r>
      <w:r>
        <w:rPr>
          <w:rFonts w:hint="eastAsia" w:ascii="Times New Roman" w:hAnsi="Times New Roman" w:eastAsia="楷体" w:cs="Times New Roman"/>
          <w:kern w:val="0"/>
          <w:sz w:val="28"/>
          <w:szCs w:val="28"/>
          <w:lang w:val="en-US" w:eastAsia="zh-CN"/>
        </w:rPr>
        <w:t>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rPr>
        <w:t xml:space="preserve"> </w:t>
      </w:r>
      <w:r>
        <w:rPr>
          <w:rFonts w:hint="eastAsia" w:ascii="Times New Roman" w:hAnsi="Times New Roman" w:eastAsia="楷体" w:cs="Times New Roman"/>
          <w:kern w:val="0"/>
          <w:sz w:val="28"/>
          <w:szCs w:val="28"/>
          <w:u w:val="single"/>
          <w:lang w:val="en-US" w:eastAsia="zh-CN"/>
        </w:rPr>
        <w:t>07</w:t>
      </w:r>
      <w:r>
        <w:rPr>
          <w:rFonts w:hint="eastAsia" w:ascii="Times New Roman" w:hAnsi="Times New Roman" w:eastAsia="楷体" w:cs="Times New Roman"/>
          <w:kern w:val="0"/>
          <w:sz w:val="28"/>
          <w:szCs w:val="28"/>
          <w:u w:val="single"/>
        </w:rPr>
        <w:t xml:space="preserve"> </w:t>
      </w:r>
      <w:r>
        <w:rPr>
          <w:rFonts w:ascii="Times New Roman" w:hAnsi="Times New Roman" w:eastAsia="楷体" w:cs="Times New Roman"/>
          <w:kern w:val="0"/>
          <w:sz w:val="28"/>
          <w:szCs w:val="28"/>
        </w:rPr>
        <w:t>号</w:t>
      </w:r>
      <w:permEnd w:id="1"/>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rPr>
        <w:t xml:space="preserve">安徽通享商业运营管理有限公司 </w:t>
      </w:r>
      <w:permEnd w:id="2"/>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rPr>
        <w:t xml:space="preserve"> 2023  年 </w:t>
      </w:r>
      <w:r>
        <w:rPr>
          <w:rFonts w:hint="eastAsia" w:ascii="Times New Roman" w:hAnsi="Times New Roman" w:eastAsia="楷体" w:cs="Times New Roman"/>
          <w:kern w:val="0"/>
          <w:sz w:val="32"/>
          <w:szCs w:val="32"/>
          <w:lang w:val="en-US" w:eastAsia="zh-CN"/>
        </w:rPr>
        <w:t>3</w:t>
      </w:r>
      <w:r>
        <w:rPr>
          <w:rFonts w:hint="eastAsia" w:ascii="Times New Roman" w:hAnsi="Times New Roman" w:eastAsia="楷体" w:cs="Times New Roman"/>
          <w:kern w:val="0"/>
          <w:sz w:val="32"/>
          <w:szCs w:val="32"/>
        </w:rPr>
        <w:t xml:space="preserve"> 月 </w:t>
      </w:r>
      <w:r>
        <w:rPr>
          <w:rFonts w:hint="eastAsia" w:ascii="Times New Roman" w:hAnsi="Times New Roman" w:eastAsia="楷体" w:cs="Times New Roman"/>
          <w:kern w:val="0"/>
          <w:sz w:val="32"/>
          <w:szCs w:val="32"/>
          <w:lang w:val="en-US" w:eastAsia="zh-CN"/>
        </w:rPr>
        <w:t>6</w:t>
      </w:r>
      <w:r>
        <w:rPr>
          <w:rFonts w:hint="eastAsia" w:ascii="Times New Roman" w:hAnsi="Times New Roman" w:eastAsia="楷体" w:cs="Times New Roman"/>
          <w:kern w:val="0"/>
          <w:sz w:val="32"/>
          <w:szCs w:val="32"/>
        </w:rPr>
        <w:t xml:space="preserve"> 日</w:t>
      </w:r>
      <w:permEnd w:id="3"/>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2</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9</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20</w:t>
      </w:r>
    </w:p>
    <w:p>
      <w:pPr>
        <w:wordWrap w:val="0"/>
        <w:jc w:val="center"/>
        <w:rPr>
          <w:rFonts w:hint="eastAsia"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2</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jc w:val="center"/>
        <w:rPr>
          <w:rFonts w:ascii="Times New Roman" w:hAnsi="Times New Roman" w:eastAsia="黑体" w:cs="Times New Roman"/>
          <w:kern w:val="0"/>
          <w:sz w:val="32"/>
          <w:szCs w:val="32"/>
        </w:rPr>
      </w:pPr>
      <w:permStart w:id="5" w:edGrp="everyone"/>
      <w:r>
        <w:rPr>
          <w:rFonts w:hint="eastAsia" w:ascii="Times New Roman" w:hAnsi="Times New Roman" w:eastAsia="黑体" w:cs="Times New Roman"/>
          <w:color w:val="000000" w:themeColor="text1"/>
          <w:kern w:val="0"/>
          <w:sz w:val="32"/>
          <w:szCs w:val="32"/>
          <w:u w:val="single"/>
          <w14:textFill>
            <w14:solidFill>
              <w14:schemeClr w14:val="tx1"/>
            </w14:solidFill>
          </w14:textFill>
        </w:rPr>
        <w:t>亳州市道路泊车二期建设项目监理</w:t>
      </w:r>
    </w:p>
    <w:permEnd w:id="5"/>
    <w:p>
      <w:pPr>
        <w:wordWrap w:val="0"/>
        <w:spacing w:line="480" w:lineRule="exact"/>
        <w:jc w:val="center"/>
        <w:rPr>
          <w:rFonts w:ascii="黑体" w:hAnsi="黑体" w:eastAsia="黑体" w:cs="黑体"/>
          <w:sz w:val="28"/>
          <w:szCs w:val="28"/>
        </w:rPr>
      </w:pPr>
      <w:r>
        <w:rPr>
          <w:rFonts w:hint="eastAsia" w:ascii="Times New Roman" w:hAnsi="Times New Roman" w:eastAsia="黑体" w:cs="Times New Roman"/>
          <w:sz w:val="28"/>
          <w:szCs w:val="28"/>
        </w:rPr>
        <w:t>招标公告</w:t>
      </w:r>
    </w:p>
    <w:p>
      <w:pPr>
        <w:wordWrap w:val="0"/>
        <w:spacing w:line="480" w:lineRule="exact"/>
        <w:ind w:firstLine="560" w:firstLineChars="200"/>
        <w:rPr>
          <w:rFonts w:ascii="Times New Roman" w:hAnsi="Times New Roman" w:eastAsia="仿宋_GB2312" w:cs="Times New Roman"/>
          <w:sz w:val="28"/>
          <w:szCs w:val="28"/>
        </w:rPr>
      </w:pPr>
      <w:bookmarkStart w:id="0" w:name="_Toc152045519"/>
      <w:bookmarkStart w:id="1" w:name="_Toc296602410"/>
      <w:bookmarkStart w:id="2" w:name="_Toc246996909"/>
      <w:bookmarkStart w:id="3" w:name="_Toc179632536"/>
      <w:bookmarkStart w:id="4" w:name="_Toc152042295"/>
      <w:bookmarkStart w:id="5" w:name="_Toc144974487"/>
      <w:bookmarkStart w:id="6" w:name="_Toc246996166"/>
      <w:bookmarkStart w:id="7" w:name="_Toc247085680"/>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560" w:firstLineChars="200"/>
        <w:rPr>
          <w:rFonts w:hint="eastAsia" w:asciiTheme="minorEastAsia" w:hAnsiTheme="minorEastAsia" w:cstheme="minorEastAsia"/>
          <w:sz w:val="28"/>
          <w:szCs w:val="28"/>
        </w:rPr>
      </w:pPr>
      <w:bookmarkStart w:id="8" w:name="_Toc246996910"/>
      <w:bookmarkStart w:id="9" w:name="_Toc179632537"/>
      <w:bookmarkStart w:id="10" w:name="_Toc246996167"/>
      <w:bookmarkStart w:id="11" w:name="_Toc247085681"/>
      <w:bookmarkStart w:id="12" w:name="_Toc144974488"/>
      <w:bookmarkStart w:id="13" w:name="_Toc152045520"/>
      <w:bookmarkStart w:id="14" w:name="_Toc152042296"/>
      <w:bookmarkStart w:id="15" w:name="_Toc296602411"/>
      <w:r>
        <w:rPr>
          <w:rFonts w:hint="eastAsia" w:asciiTheme="minorEastAsia" w:hAnsiTheme="minorEastAsia" w:cstheme="minorEastAsia"/>
          <w:sz w:val="28"/>
          <w:szCs w:val="28"/>
        </w:rPr>
        <w:t>（一）项目名称：</w:t>
      </w:r>
      <w:permStart w:id="6" w:edGrp="everyone"/>
      <w:r>
        <w:rPr>
          <w:rFonts w:hint="eastAsia" w:asciiTheme="minorEastAsia" w:hAnsiTheme="minorEastAsia" w:cstheme="minorEastAsia"/>
          <w:sz w:val="28"/>
          <w:szCs w:val="28"/>
        </w:rPr>
        <w:t>亳州市道路泊车二期建设项目监理</w:t>
      </w:r>
    </w:p>
    <w:permEnd w:id="6"/>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（二）资金来源：</w:t>
      </w:r>
      <w:permStart w:id="7" w:edGrp="everyone"/>
      <w:r>
        <w:rPr>
          <w:rFonts w:hint="eastAsia" w:asciiTheme="minorEastAsia" w:hAnsiTheme="minorEastAsia" w:cstheme="minorEastAsia"/>
          <w:sz w:val="28"/>
          <w:szCs w:val="28"/>
        </w:rPr>
        <w:t xml:space="preserve"> 专项债</w:t>
      </w:r>
    </w:p>
    <w:permEnd w:id="7"/>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（三）招标人：</w:t>
      </w:r>
      <w:permStart w:id="8" w:edGrp="everyone"/>
      <w:r>
        <w:rPr>
          <w:rFonts w:hint="eastAsia" w:asciiTheme="minorEastAsia" w:hAnsiTheme="minorEastAsia" w:cstheme="minorEastAsia"/>
          <w:sz w:val="28"/>
          <w:szCs w:val="28"/>
        </w:rPr>
        <w:t>安徽通享商业运营管理有限公司</w:t>
      </w:r>
    </w:p>
    <w:permEnd w:id="8"/>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（一）项目概况：</w:t>
      </w:r>
      <w:permStart w:id="9" w:edGrp="everyone"/>
      <w:r>
        <w:rPr>
          <w:rFonts w:hint="eastAsia" w:asciiTheme="minorEastAsia" w:hAnsiTheme="minorEastAsia" w:cstheme="minorEastAsia"/>
          <w:sz w:val="28"/>
          <w:szCs w:val="28"/>
        </w:rPr>
        <w:t>道路泊车二期项目重点围绕中心城区市政府、万达广场、人民医院、老城区等停车需求大、停车资源紧张</w:t>
      </w:r>
      <w:r>
        <w:rPr>
          <w:rFonts w:hint="eastAsia" w:asciiTheme="minorEastAsia" w:hAnsiTheme="minorEastAsia" w:cstheme="minorEastAsia"/>
          <w:sz w:val="28"/>
          <w:szCs w:val="28"/>
          <w:lang w:val="en-US" w:eastAsia="zh-CN"/>
        </w:rPr>
        <w:t>的问题，针对市内</w:t>
      </w:r>
      <w:r>
        <w:rPr>
          <w:rFonts w:hint="eastAsia" w:asciiTheme="minorEastAsia" w:hAnsiTheme="minorEastAsia" w:cstheme="minorEastAsia"/>
          <w:sz w:val="28"/>
          <w:szCs w:val="28"/>
        </w:rPr>
        <w:t>17条主干道，</w:t>
      </w:r>
      <w:r>
        <w:rPr>
          <w:rFonts w:hint="eastAsia" w:asciiTheme="minorEastAsia" w:hAnsiTheme="minorEastAsia" w:cstheme="minorEastAsia"/>
          <w:sz w:val="28"/>
          <w:szCs w:val="28"/>
          <w:lang w:val="en-US" w:eastAsia="zh-CN"/>
        </w:rPr>
        <w:t>建设约</w:t>
      </w:r>
      <w:r>
        <w:rPr>
          <w:rFonts w:hint="eastAsia" w:asciiTheme="minorEastAsia" w:hAnsiTheme="minorEastAsia" w:cstheme="minorEastAsia"/>
          <w:sz w:val="28"/>
          <w:szCs w:val="28"/>
        </w:rPr>
        <w:t>2505个</w:t>
      </w:r>
      <w:r>
        <w:rPr>
          <w:rFonts w:hint="eastAsia" w:asciiTheme="minorEastAsia" w:hAnsiTheme="minorEastAsia" w:cstheme="minorEastAsia"/>
          <w:sz w:val="28"/>
          <w:szCs w:val="28"/>
          <w:lang w:val="en-US" w:eastAsia="zh-CN"/>
        </w:rPr>
        <w:t>泊位提供停车服务，该项目</w:t>
      </w:r>
      <w:r>
        <w:rPr>
          <w:rFonts w:hint="eastAsia" w:asciiTheme="minorEastAsia" w:hAnsiTheme="minorEastAsia" w:cstheme="minorEastAsia"/>
          <w:sz w:val="28"/>
          <w:szCs w:val="28"/>
        </w:rPr>
        <w:t xml:space="preserve">主要包括高位视频设备采购、立杆、安防监控等设备的采购、安装和调试，并选择2-3处试点安装ETC扣费追缴设备，项目总投资约2000万 </w:t>
      </w:r>
      <w:permEnd w:id="9"/>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（二）招标范围：</w:t>
      </w:r>
      <w:permStart w:id="10" w:edGrp="everyone"/>
      <w:r>
        <w:rPr>
          <w:rFonts w:hint="eastAsia" w:asciiTheme="minorEastAsia" w:hAnsiTheme="minorEastAsia" w:cstheme="minorEastAsia"/>
          <w:sz w:val="28"/>
          <w:szCs w:val="28"/>
        </w:rPr>
        <w:t>提供覆盖道路泊车二期项目建设全过程的监理，并准确理解并掌握本项目建设方案内容，从项目招标、设备进场、工程施工、初验、到终验通过每个环节。按照本项目建设方案要求及相应标准进行监理，按时提交甲方所需要的有关工程文档。</w:t>
      </w:r>
      <w:permEnd w:id="10"/>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（三）服务标准：</w:t>
      </w:r>
      <w:permStart w:id="11" w:edGrp="everyone"/>
      <w:r>
        <w:rPr>
          <w:rFonts w:hint="eastAsia" w:asciiTheme="minorEastAsia" w:hAnsiTheme="minorEastAsia" w:cstheme="minorEastAsia"/>
          <w:sz w:val="28"/>
          <w:szCs w:val="28"/>
        </w:rPr>
        <w:t>符合国家、地方、行业现行相关规范合格标准。</w:t>
      </w:r>
      <w:permEnd w:id="11"/>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（四）服务期限：</w:t>
      </w:r>
      <w:permStart w:id="12" w:edGrp="everyone"/>
      <w:r>
        <w:rPr>
          <w:rFonts w:hint="eastAsia" w:asciiTheme="minorEastAsia" w:hAnsiTheme="minorEastAsia" w:cstheme="minorEastAsia"/>
          <w:sz w:val="28"/>
          <w:szCs w:val="28"/>
        </w:rPr>
        <w:t>从项目监理合同签订之日起至项目竣工验收合格止。</w:t>
      </w:r>
      <w:permEnd w:id="12"/>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3" w:edGrp="everyone"/>
      <w:r>
        <w:rPr>
          <w:rFonts w:hint="eastAsia" w:asciiTheme="minorEastAsia" w:hAnsiTheme="minorEastAsia" w:cstheme="minorEastAsia"/>
          <w:sz w:val="28"/>
          <w:szCs w:val="28"/>
        </w:rPr>
        <w:t>（含税）</w:t>
      </w:r>
      <w:permEnd w:id="13"/>
      <w:r>
        <w:rPr>
          <w:rFonts w:hint="eastAsia" w:asciiTheme="minorEastAsia" w:hAnsiTheme="minorEastAsia" w:cstheme="minorEastAsia"/>
          <w:sz w:val="28"/>
          <w:szCs w:val="28"/>
        </w:rPr>
        <w:t>：</w:t>
      </w:r>
      <w:permStart w:id="14" w:edGrp="everyone"/>
      <w:r>
        <w:rPr>
          <w:rFonts w:hint="eastAsia" w:asciiTheme="minorEastAsia" w:hAnsiTheme="minorEastAsia" w:cstheme="minorEastAsia"/>
          <w:sz w:val="28"/>
          <w:szCs w:val="28"/>
        </w:rPr>
        <w:t xml:space="preserve"> 叁拾万元 </w:t>
      </w:r>
      <w:permEnd w:id="14"/>
      <w:r>
        <w:rPr>
          <w:rFonts w:hint="eastAsia" w:asciiTheme="minorEastAsia" w:hAnsiTheme="minorEastAsia" w:cstheme="minorEastAsia"/>
          <w:sz w:val="28"/>
          <w:szCs w:val="28"/>
        </w:rPr>
        <w:t>，按</w:t>
      </w:r>
      <w:permStart w:id="15" w:edGrp="everyone"/>
      <w:r>
        <w:rPr>
          <w:rFonts w:hint="eastAsia" w:asciiTheme="minorEastAsia" w:hAnsiTheme="minorEastAsia" w:cstheme="minorEastAsia"/>
          <w:sz w:val="28"/>
          <w:szCs w:val="28"/>
        </w:rPr>
        <w:t>固定总价</w:t>
      </w:r>
      <w:permEnd w:id="15"/>
      <w:r>
        <w:rPr>
          <w:rFonts w:hint="eastAsia" w:asciiTheme="minorEastAsia" w:hAnsiTheme="minorEastAsia" w:cstheme="minorEastAsia"/>
          <w:sz w:val="28"/>
          <w:szCs w:val="28"/>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6" w:edGrp="everyone"/>
      <w:r>
        <w:rPr>
          <w:rFonts w:hint="eastAsia" w:asciiTheme="minorEastAsia" w:hAnsiTheme="minorEastAsia" w:cstheme="minorEastAsia"/>
          <w:color w:val="FF0000"/>
          <w:sz w:val="28"/>
          <w:szCs w:val="28"/>
        </w:rPr>
        <w:t>独立法人资格</w:t>
      </w:r>
      <w:permEnd w:id="16"/>
      <w:r>
        <w:rPr>
          <w:rFonts w:hint="eastAsia" w:asciiTheme="minorEastAsia" w:hAnsiTheme="minorEastAsia" w:cstheme="minorEastAsia"/>
          <w:sz w:val="28"/>
          <w:szCs w:val="28"/>
        </w:rPr>
        <w:t>，并在人员、设备、资金等方面具有承担本项目的能力；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（二）具有</w:t>
      </w:r>
      <w:permStart w:id="17" w:edGrp="everyone"/>
      <w:r>
        <w:rPr>
          <w:rFonts w:hint="eastAsia" w:asciiTheme="minorEastAsia" w:hAnsiTheme="minorEastAsia" w:cstheme="minorEastAsia"/>
          <w:sz w:val="28"/>
          <w:szCs w:val="28"/>
          <w:u w:val="single"/>
        </w:rPr>
        <w:t xml:space="preserve"> 工程监理综合或机电安装工程监理乙级及以上或通信工程监理乙级及以上</w:t>
      </w:r>
      <w:permEnd w:id="17"/>
      <w:r>
        <w:rPr>
          <w:rFonts w:hint="eastAsia" w:asciiTheme="minorEastAsia" w:hAnsiTheme="minorEastAsia" w:cstheme="minorEastAsia"/>
          <w:sz w:val="28"/>
          <w:szCs w:val="28"/>
        </w:rPr>
        <w:t>资质；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（三）项目</w:t>
      </w:r>
      <w:r>
        <w:rPr>
          <w:rFonts w:hint="eastAsia" w:asciiTheme="minorEastAsia" w:hAnsiTheme="minorEastAsia" w:cstheme="minorEastAsia"/>
          <w:sz w:val="28"/>
          <w:szCs w:val="28"/>
          <w:lang w:val="en-US" w:eastAsia="zh-CN"/>
        </w:rPr>
        <w:t>总监理工程师</w:t>
      </w:r>
      <w:r>
        <w:rPr>
          <w:rFonts w:hint="eastAsia" w:asciiTheme="minorEastAsia" w:hAnsiTheme="minorEastAsia" w:cstheme="minorEastAsia"/>
          <w:sz w:val="28"/>
          <w:szCs w:val="28"/>
        </w:rPr>
        <w:t>具备</w:t>
      </w:r>
      <w:permStart w:id="18" w:edGrp="everyone"/>
      <w:r>
        <w:rPr>
          <w:rFonts w:hint="eastAsia" w:asciiTheme="minorEastAsia" w:hAnsiTheme="minorEastAsia" w:cstheme="minorEastAsia"/>
          <w:sz w:val="28"/>
          <w:szCs w:val="28"/>
          <w:u w:val="single"/>
        </w:rPr>
        <w:t xml:space="preserve"> 信息系统监理师 </w:t>
      </w:r>
      <w:permEnd w:id="18"/>
      <w:r>
        <w:rPr>
          <w:rFonts w:hint="eastAsia" w:asciiTheme="minorEastAsia" w:hAnsiTheme="minorEastAsia" w:cstheme="minorEastAsia"/>
          <w:sz w:val="28"/>
          <w:szCs w:val="28"/>
        </w:rPr>
        <w:t>执业资格；</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（四）提供</w:t>
      </w:r>
      <w:permStart w:id="19" w:edGrp="everyone"/>
      <w:r>
        <w:rPr>
          <w:rFonts w:hint="eastAsia" w:asciiTheme="minorEastAsia" w:hAnsiTheme="minorEastAsia" w:cstheme="minorEastAsia"/>
          <w:sz w:val="28"/>
          <w:szCs w:val="28"/>
        </w:rPr>
        <w:t xml:space="preserve"> 2017 </w:t>
      </w:r>
      <w:permEnd w:id="19"/>
      <w:r>
        <w:rPr>
          <w:rFonts w:hint="eastAsia" w:asciiTheme="minorEastAsia" w:hAnsiTheme="minorEastAsia" w:cstheme="minorEastAsia"/>
          <w:sz w:val="28"/>
          <w:szCs w:val="28"/>
        </w:rPr>
        <w:t>年至今企业类似项目业绩</w:t>
      </w:r>
      <w:permStart w:id="20" w:edGrp="everyone"/>
      <w:r>
        <w:rPr>
          <w:rFonts w:hint="eastAsia" w:asciiTheme="minorEastAsia" w:hAnsiTheme="minorEastAsia" w:cstheme="minorEastAsia"/>
          <w:sz w:val="28"/>
          <w:szCs w:val="28"/>
        </w:rPr>
        <w:t xml:space="preserve">  1 </w:t>
      </w:r>
      <w:permEnd w:id="20"/>
      <w:r>
        <w:rPr>
          <w:rFonts w:hint="eastAsia" w:asciiTheme="minorEastAsia" w:hAnsiTheme="minorEastAsia" w:cstheme="minorEastAsia"/>
          <w:sz w:val="28"/>
          <w:szCs w:val="28"/>
        </w:rPr>
        <w:t>个，以</w:t>
      </w:r>
      <w:permStart w:id="21" w:edGrp="everyone"/>
      <w:r>
        <w:rPr>
          <w:rFonts w:hint="eastAsia" w:asciiTheme="minorEastAsia" w:hAnsiTheme="minorEastAsia" w:cstheme="minorEastAsia"/>
          <w:sz w:val="28"/>
          <w:szCs w:val="28"/>
        </w:rPr>
        <w:t>合同签订时间</w:t>
      </w:r>
      <w:permEnd w:id="21"/>
      <w:r>
        <w:rPr>
          <w:rFonts w:hint="eastAsia" w:asciiTheme="minorEastAsia" w:hAnsiTheme="minorEastAsia" w:cstheme="minorEastAsia"/>
          <w:sz w:val="28"/>
          <w:szCs w:val="28"/>
        </w:rPr>
        <w:t>为准。类似项目业绩指：</w:t>
      </w:r>
      <w:permStart w:id="22" w:edGrp="everyone"/>
      <w:r>
        <w:rPr>
          <w:rFonts w:hint="eastAsia" w:asciiTheme="minorEastAsia" w:hAnsiTheme="minorEastAsia" w:cstheme="minorEastAsia"/>
          <w:sz w:val="28"/>
          <w:szCs w:val="28"/>
        </w:rPr>
        <w:t xml:space="preserve">投资额2000万元（含）以上信息系统工程监理业绩 </w:t>
      </w:r>
      <w:permEnd w:id="22"/>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注：</w:t>
      </w:r>
      <w:permStart w:id="23" w:edGrp="everyone"/>
      <w:r>
        <w:rPr>
          <w:rFonts w:hint="eastAsia" w:asciiTheme="minorEastAsia" w:hAnsiTheme="minorEastAsia" w:cstheme="minorEastAsia"/>
          <w:sz w:val="28"/>
          <w:szCs w:val="28"/>
        </w:rPr>
        <w:t>提供业绩合同等相关资料复印件或扫描件装订入投标文件中</w:t>
      </w:r>
      <w:permEnd w:id="23"/>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24" w:edGrp="everyone"/>
      <w:r>
        <w:rPr>
          <w:rFonts w:hint="eastAsia" w:asciiTheme="minorEastAsia" w:hAnsiTheme="minorEastAsia" w:cstheme="minorEastAsia"/>
          <w:color w:val="FF0000"/>
          <w:sz w:val="28"/>
          <w:szCs w:val="28"/>
        </w:rPr>
        <w:t>不接受</w:t>
      </w:r>
      <w:permEnd w:id="24"/>
      <w:r>
        <w:rPr>
          <w:rFonts w:hint="eastAsia" w:asciiTheme="minorEastAsia" w:hAnsiTheme="minorEastAsia" w:cstheme="minorEastAsia"/>
          <w:sz w:val="28"/>
          <w:szCs w:val="28"/>
        </w:rPr>
        <w:t>联合体投标。联合体投标的，应满足下列要求：</w:t>
      </w:r>
      <w:permStart w:id="25" w:edGrp="everyone"/>
      <w:r>
        <w:rPr>
          <w:rFonts w:hint="eastAsia" w:asciiTheme="minorEastAsia" w:hAnsiTheme="minorEastAsia" w:cstheme="minorEastAsia"/>
          <w:sz w:val="28"/>
          <w:szCs w:val="28"/>
        </w:rPr>
        <w:t xml:space="preserve">  无  </w:t>
      </w:r>
      <w:permEnd w:id="25"/>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（八）本项目委托代理人必须是投标单位正式人员，须提供投标单位公司为其缴纳的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14:textFill>
            <w14:solidFill>
              <w14:schemeClr w14:val="tx1"/>
            </w14:solidFill>
          </w14:textFill>
        </w:rPr>
        <w:t xml:space="preserve"> 2022 </w:t>
      </w:r>
      <w:r>
        <w:rPr>
          <w:rFonts w:hint="eastAsia" w:asciiTheme="minorEastAsia" w:hAnsiTheme="minorEastAsia" w:cstheme="minorEastAsia"/>
          <w:color w:val="FF0000"/>
          <w:sz w:val="28"/>
          <w:szCs w:val="28"/>
        </w:rPr>
        <w:t>年 1 月</w:t>
      </w:r>
      <w:permEnd w:id="26"/>
      <w:r>
        <w:rPr>
          <w:rFonts w:hint="eastAsia" w:asciiTheme="minorEastAsia" w:hAnsiTheme="minorEastAsia" w:cstheme="minorEastAsia"/>
          <w:color w:val="000000" w:themeColor="text1"/>
          <w:sz w:val="28"/>
          <w:szCs w:val="28"/>
          <w14:textFill>
            <w14:solidFill>
              <w14:schemeClr w14:val="tx1"/>
            </w14:solidFill>
          </w14:textFill>
        </w:rPr>
        <w:t>起任意3个月及以上养老保险证明，否则按无效投标处理。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（一）开标时间（投标截止时间）：</w:t>
      </w:r>
      <w:permStart w:id="27" w:edGrp="everyone"/>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i/>
          <w:iCs/>
          <w:color w:val="000000" w:themeColor="text1"/>
          <w:sz w:val="28"/>
          <w:szCs w:val="28"/>
          <w:u w:val="single"/>
          <w:lang w:val="en-US" w:eastAsia="zh-CN"/>
          <w14:textFill>
            <w14:solidFill>
              <w14:schemeClr w14:val="tx1"/>
            </w14:solidFill>
          </w14:textFill>
        </w:rPr>
        <w:t>2023</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年</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i/>
          <w:iCs/>
          <w:color w:val="000000" w:themeColor="text1"/>
          <w:sz w:val="28"/>
          <w:szCs w:val="28"/>
          <w:u w:val="single"/>
          <w:lang w:val="en-US" w:eastAsia="zh-CN"/>
          <w14:textFill>
            <w14:solidFill>
              <w14:schemeClr w14:val="tx1"/>
            </w14:solidFill>
          </w14:textFill>
        </w:rPr>
        <w:t>3</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月</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i/>
          <w:iCs/>
          <w:color w:val="000000" w:themeColor="text1"/>
          <w:sz w:val="28"/>
          <w:szCs w:val="28"/>
          <w:u w:val="single"/>
          <w:lang w:val="en-US" w:eastAsia="zh-CN"/>
          <w14:textFill>
            <w14:solidFill>
              <w14:schemeClr w14:val="tx1"/>
            </w14:solidFill>
          </w14:textFill>
        </w:rPr>
        <w:t>14</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日</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i/>
          <w:iCs/>
          <w:color w:val="000000" w:themeColor="text1"/>
          <w:sz w:val="28"/>
          <w:szCs w:val="28"/>
          <w:u w:val="single"/>
          <w:lang w:val="en-US" w:eastAsia="zh-CN"/>
          <w14:textFill>
            <w14:solidFill>
              <w14:schemeClr w14:val="tx1"/>
            </w14:solidFill>
          </w14:textFill>
        </w:rPr>
        <w:t>9</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时</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i/>
          <w:iCs/>
          <w:color w:val="000000" w:themeColor="text1"/>
          <w:sz w:val="28"/>
          <w:szCs w:val="28"/>
          <w:u w:val="single"/>
          <w:lang w:val="en-US" w:eastAsia="zh-CN"/>
          <w14:textFill>
            <w14:solidFill>
              <w14:schemeClr w14:val="tx1"/>
            </w14:solidFill>
          </w14:textFill>
        </w:rPr>
        <w:t>00</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分</w:t>
      </w:r>
      <w:permEnd w:id="27"/>
      <w:r>
        <w:rPr>
          <w:rFonts w:hint="eastAsia" w:asciiTheme="minorEastAsia" w:hAnsiTheme="minorEastAsia" w:cstheme="minorEastAsia"/>
          <w:color w:val="000000" w:themeColor="text1"/>
          <w:sz w:val="28"/>
          <w:szCs w:val="28"/>
          <w14:textFill>
            <w14:solidFill>
              <w14:schemeClr w14:val="tx1"/>
            </w14:solidFill>
          </w14:textFill>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（二）开标地点：</w:t>
      </w:r>
      <w:r>
        <w:rPr>
          <w:rFonts w:hint="eastAsia" w:asciiTheme="minorEastAsia" w:hAnsiTheme="minorEastAsia" w:cstheme="minorEastAsia"/>
          <w:color w:val="000000" w:themeColor="text1"/>
          <w:sz w:val="28"/>
          <w:szCs w:val="28"/>
          <w:u w:val="single"/>
          <w14:textFill>
            <w14:solidFill>
              <w14:schemeClr w14:val="tx1"/>
            </w14:solidFill>
          </w14:textFill>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8" w:edGrp="everyone"/>
      <w:r>
        <w:rPr>
          <w:rFonts w:asciiTheme="minorEastAsia" w:hAnsiTheme="minorEastAsia" w:cstheme="minorEastAsia"/>
          <w:color w:val="FF0000"/>
          <w:sz w:val="28"/>
          <w:szCs w:val="28"/>
        </w:rPr>
        <w:t>允许</w:t>
      </w:r>
      <w:permEnd w:id="28"/>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permStart w:id="29" w:edGrp="everyone"/>
      <w:r>
        <w:rPr>
          <w:rFonts w:hint="eastAsia" w:asciiTheme="minorEastAsia" w:hAnsiTheme="minorEastAsia" w:cstheme="minorEastAsia"/>
          <w:sz w:val="28"/>
          <w:szCs w:val="28"/>
          <w:lang w:val="en-US" w:eastAsia="zh-CN"/>
        </w:rPr>
        <w:t>6</w:t>
      </w:r>
      <w:r>
        <w:rPr>
          <w:rFonts w:asciiTheme="minorEastAsia" w:hAnsiTheme="minorEastAsia" w:cstheme="minorEastAsia"/>
          <w:sz w:val="28"/>
          <w:szCs w:val="28"/>
          <w:u w:val="single"/>
        </w:rPr>
        <w:t>000</w:t>
      </w:r>
      <w:r>
        <w:rPr>
          <w:rFonts w:hint="eastAsia" w:asciiTheme="minorEastAsia" w:hAnsiTheme="minorEastAsia" w:cstheme="minorEastAsia"/>
          <w:sz w:val="28"/>
          <w:szCs w:val="28"/>
          <w:u w:val="single"/>
        </w:rPr>
        <w:t>元</w:t>
      </w:r>
      <w:r>
        <w:rPr>
          <w:rFonts w:asciiTheme="minorEastAsia" w:hAnsiTheme="minorEastAsia" w:cstheme="minorEastAsia"/>
          <w:sz w:val="28"/>
          <w:szCs w:val="28"/>
        </w:rPr>
        <w:t>（人民币）</w:t>
      </w:r>
      <w:permEnd w:id="29"/>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0" w:edGrp="everyone"/>
      <w:r>
        <w:rPr>
          <w:rFonts w:hint="eastAsia" w:ascii="Times New Roman" w:hAnsi="Times New Roman" w:eastAsia="楷体" w:cs="Times New Roman"/>
          <w:kern w:val="0"/>
          <w:sz w:val="32"/>
          <w:szCs w:val="32"/>
        </w:rPr>
        <w:t>安徽通享商业运营管理有限公司</w:t>
      </w:r>
      <w:r>
        <w:rPr>
          <w:rFonts w:hint="eastAsia" w:asciiTheme="minorEastAsia" w:hAnsiTheme="minorEastAsia" w:cstheme="minorEastAsia"/>
          <w:sz w:val="28"/>
          <w:szCs w:val="28"/>
        </w:rPr>
        <w:t xml:space="preserve">  </w:t>
      </w:r>
    </w:p>
    <w:permEnd w:id="30"/>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31" w:edGrp="everyone"/>
      <w:r>
        <w:rPr>
          <w:rFonts w:hint="eastAsia" w:asciiTheme="minorEastAsia" w:hAnsiTheme="minorEastAsia" w:cstheme="minorEastAsia"/>
          <w:sz w:val="28"/>
          <w:szCs w:val="28"/>
        </w:rPr>
        <w:t xml:space="preserve">亳州汽车南站西侧站房二楼           </w:t>
      </w:r>
      <w:permEnd w:id="31"/>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2" w:edGrp="everyone"/>
      <w:r>
        <w:rPr>
          <w:rFonts w:hint="eastAsia" w:asciiTheme="minorEastAsia" w:hAnsiTheme="minorEastAsia" w:cstheme="minorEastAsia"/>
          <w:sz w:val="28"/>
          <w:szCs w:val="28"/>
        </w:rPr>
        <w:t xml:space="preserve">      高旭       </w:t>
      </w:r>
      <w:permEnd w:id="32"/>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33" w:edGrp="everyone"/>
      <w:r>
        <w:rPr>
          <w:rFonts w:hint="eastAsia" w:asciiTheme="minorEastAsia" w:hAnsiTheme="minorEastAsia" w:cstheme="minorEastAsia"/>
          <w:sz w:val="28"/>
          <w:szCs w:val="28"/>
        </w:rPr>
        <w:t xml:space="preserve">   15555501386   </w:t>
      </w:r>
      <w:permEnd w:id="33"/>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permStart w:id="34" w:edGrp="everyone"/>
      <w:r>
        <w:rPr>
          <w:rFonts w:hint="eastAsia" w:ascii="Times New Roman" w:hAnsi="Times New Roman" w:eastAsia="楷体" w:cs="Times New Roman"/>
          <w:kern w:val="0"/>
          <w:sz w:val="32"/>
          <w:szCs w:val="32"/>
        </w:rPr>
        <w:t>安徽通享商业运营管理有限公司</w:t>
      </w:r>
    </w:p>
    <w:p>
      <w:pPr>
        <w:wordWrap w:val="0"/>
        <w:spacing w:line="480" w:lineRule="exact"/>
        <w:ind w:firstLine="560" w:firstLineChars="200"/>
        <w:jc w:val="center"/>
        <w:rPr>
          <w:rFonts w:ascii="Times New Roman" w:hAnsi="Times New Roman" w:eastAsia="仿宋_GB2312" w:cs="Times New Roman"/>
          <w:kern w:val="0"/>
          <w:sz w:val="32"/>
          <w:szCs w:val="32"/>
        </w:rPr>
      </w:pPr>
      <w:r>
        <w:rPr>
          <w:rFonts w:hint="eastAsia" w:asciiTheme="minorEastAsia" w:hAnsiTheme="minorEastAsia" w:cstheme="minorEastAsia"/>
          <w:color w:val="FF0000"/>
          <w:sz w:val="28"/>
          <w:szCs w:val="28"/>
        </w:rPr>
        <w:t xml:space="preserve">                        2023 年 </w:t>
      </w: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color w:val="FF0000"/>
          <w:sz w:val="28"/>
          <w:szCs w:val="28"/>
        </w:rPr>
        <w:t xml:space="preserve"> </w:t>
      </w:r>
      <w:bookmarkStart w:id="137" w:name="_GoBack"/>
      <w:bookmarkEnd w:id="137"/>
      <w:r>
        <w:rPr>
          <w:rFonts w:hint="eastAsia" w:asciiTheme="minorEastAsia" w:hAnsiTheme="minorEastAsia" w:cstheme="minorEastAsia"/>
          <w:color w:val="FF0000"/>
          <w:sz w:val="28"/>
          <w:szCs w:val="28"/>
        </w:rPr>
        <w:t xml:space="preserve"> 月 </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 xml:space="preserve"> 日</w:t>
      </w:r>
      <w:permEnd w:id="34"/>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p>
      <w:pPr>
        <w:spacing w:line="480" w:lineRule="exact"/>
        <w:rPr>
          <w:rFonts w:asciiTheme="majorEastAsia" w:hAnsiTheme="majorEastAsia" w:eastAsiaTheme="majorEastAsia" w:cstheme="majorEastAsia"/>
          <w:b/>
          <w:bCs/>
          <w:sz w:val="28"/>
          <w:szCs w:val="28"/>
        </w:rPr>
      </w:pPr>
    </w:p>
    <w:tbl>
      <w:tblPr>
        <w:tblStyle w:val="17"/>
        <w:tblW w:w="8522" w:type="dxa"/>
        <w:tblInd w:w="0" w:type="dxa"/>
        <w:tblLayout w:type="fixed"/>
        <w:tblCellMar>
          <w:top w:w="0" w:type="dxa"/>
          <w:left w:w="108" w:type="dxa"/>
          <w:bottom w:w="0" w:type="dxa"/>
          <w:right w:w="108" w:type="dxa"/>
        </w:tblCellMar>
      </w:tblPr>
      <w:tblGrid>
        <w:gridCol w:w="1008"/>
        <w:gridCol w:w="2753"/>
        <w:gridCol w:w="4761"/>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项目建设规模</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1.1.7</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项目投资估算</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76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5"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color w:val="FF0000"/>
                <w:szCs w:val="21"/>
              </w:rPr>
            </w:pPr>
            <w:r>
              <w:rPr>
                <w:rFonts w:hint="eastAsia" w:hAnsi="宋体"/>
                <w:color w:val="FF0000"/>
                <w:szCs w:val="21"/>
              </w:rPr>
              <w:t xml:space="preserve">   需  要□，</w:t>
            </w:r>
          </w:p>
          <w:p>
            <w:pPr>
              <w:autoSpaceDE w:val="0"/>
              <w:autoSpaceDN w:val="0"/>
              <w:adjustRightInd w:val="0"/>
              <w:snapToGrid w:val="0"/>
              <w:spacing w:line="440" w:lineRule="exact"/>
              <w:rPr>
                <w:rFonts w:hAnsi="宋体"/>
                <w:szCs w:val="21"/>
              </w:rPr>
            </w:pPr>
            <w:r>
              <w:rPr>
                <w:rFonts w:hint="eastAsia" w:hAnsi="宋体"/>
                <w:color w:val="FF0000"/>
                <w:szCs w:val="21"/>
              </w:rPr>
              <w:t>提供</w:t>
            </w:r>
            <w:r>
              <w:rPr>
                <w:rFonts w:hint="eastAsia" w:hAnsi="宋体"/>
                <w:snapToGrid w:val="0"/>
                <w:color w:val="FF0000"/>
                <w:spacing w:val="-4"/>
                <w:kern w:val="0"/>
                <w:sz w:val="24"/>
                <w:u w:val="single"/>
              </w:rPr>
              <w:t xml:space="preserve">  </w:t>
            </w:r>
            <w:r>
              <w:rPr>
                <w:rFonts w:hAnsi="宋体"/>
                <w:snapToGrid w:val="0"/>
                <w:color w:val="FF0000"/>
                <w:spacing w:val="-4"/>
                <w:kern w:val="0"/>
                <w:sz w:val="24"/>
                <w:u w:val="single"/>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Ansi="宋体"/>
                <w:snapToGrid w:val="0"/>
                <w:color w:val="FF0000"/>
                <w:spacing w:val="-4"/>
                <w:kern w:val="0"/>
                <w:sz w:val="24"/>
                <w:u w:val="single"/>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pPr>
            <w:r>
              <w:rPr>
                <w:rFonts w:hint="eastAsia"/>
              </w:rPr>
              <w:t>3、其他要求：</w:t>
            </w:r>
          </w:p>
          <w:p>
            <w:pPr>
              <w:pStyle w:val="10"/>
              <w:topLinePunct/>
              <w:spacing w:line="440" w:lineRule="exact"/>
              <w:ind w:firstLine="420" w:firstLineChars="200"/>
              <w:rPr>
                <w:rFonts w:ascii="Times New Roman" w:hAnsi="Times New Roman" w:cs="Times New Roman"/>
                <w:szCs w:val="21"/>
              </w:rPr>
            </w:pPr>
            <w:permStart w:id="36" w:edGrp="everyone"/>
            <w:r>
              <w:rPr>
                <w:rFonts w:hint="eastAsia" w:hAnsi="宋体"/>
                <w:sz w:val="21"/>
                <w:szCs w:val="21"/>
              </w:rPr>
              <w:t xml:space="preserve">  /  </w:t>
            </w:r>
            <w:permEnd w:id="3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permStart w:id="37"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 xml:space="preserve">接受    </w:t>
            </w:r>
            <w:r>
              <w:rPr>
                <w:rFonts w:ascii="Times New Roman" w:hAnsi="Times New Roman" w:eastAsia="仿宋_GB2312" w:cs="Times New Roman"/>
                <w:color w:val="FF0000"/>
                <w:sz w:val="24"/>
              </w:rPr>
              <w:sym w:font="Wingdings" w:char="00A8"/>
            </w:r>
            <w:r>
              <w:rPr>
                <w:rFonts w:hint="eastAsia" w:ascii="Times New Roman" w:hAnsi="Times New Roman" w:cs="Times New Roman"/>
                <w:color w:val="FF0000"/>
                <w:szCs w:val="21"/>
              </w:rPr>
              <w:t>接受</w:t>
            </w:r>
            <w:permEnd w:id="37"/>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Ansi="宋体"/>
                <w:szCs w:val="21"/>
              </w:rPr>
            </w:pPr>
            <w:permStart w:id="38" w:edGrp="everyone"/>
            <w:r>
              <w:rPr>
                <w:rFonts w:hint="eastAsia" w:hAnsi="宋体"/>
                <w:szCs w:val="21"/>
              </w:rPr>
              <w:t xml:space="preserve">                   </w:t>
            </w:r>
            <w:permEnd w:id="3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39" w:edGrp="everyone" w:colFirst="2" w:colLast="2"/>
            <w:r>
              <w:rPr>
                <w:rFonts w:ascii="Times New Roman" w:hAnsi="Times New Roman" w:cs="Times New Roman"/>
                <w:szCs w:val="21"/>
              </w:rPr>
              <w:t>1.9.1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color w:val="FF0000"/>
                <w:sz w:val="21"/>
                <w:szCs w:val="21"/>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p>
            <w:pPr>
              <w:pStyle w:val="10"/>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组织</w:t>
            </w:r>
            <w:r>
              <w:rPr>
                <w:rFonts w:hint="eastAsia" w:ascii="Times New Roman" w:hAnsi="Times New Roman" w:cs="Times New Roman"/>
                <w:color w:val="FF0000"/>
                <w:sz w:val="21"/>
                <w:szCs w:val="21"/>
              </w:rPr>
              <w:t xml:space="preserve">   </w:t>
            </w:r>
          </w:p>
        </w:tc>
      </w:tr>
      <w:permEnd w:id="39"/>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40" w:edGrp="everyone" w:colFirst="2" w:colLast="2"/>
            <w:r>
              <w:rPr>
                <w:rFonts w:ascii="Times New Roman" w:hAnsi="Times New Roman" w:cs="Times New Roman"/>
                <w:szCs w:val="21"/>
              </w:rPr>
              <w:t>1.10.1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color w:val="FF0000"/>
                <w:sz w:val="32"/>
                <w:szCs w:val="32"/>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r>
              <w:rPr>
                <w:rFonts w:hint="eastAsia" w:ascii="Times New Roman" w:hAnsi="Times New Roman" w:cs="Times New Roman"/>
                <w:color w:val="FF0000"/>
                <w:sz w:val="21"/>
                <w:szCs w:val="21"/>
              </w:rPr>
              <w:t xml:space="preserve">         </w:t>
            </w: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
        </w:tc>
      </w:tr>
      <w:permEnd w:id="40"/>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761" w:type="dxa"/>
            <w:tcBorders>
              <w:top w:val="single" w:color="auto" w:sz="4" w:space="0"/>
              <w:left w:val="single" w:color="auto" w:sz="4" w:space="0"/>
              <w:bottom w:val="single" w:color="auto" w:sz="4" w:space="0"/>
              <w:right w:val="single" w:color="auto" w:sz="4" w:space="0"/>
            </w:tcBorders>
            <w:vAlign w:val="center"/>
          </w:tcPr>
          <w:p>
            <w:pPr>
              <w:pStyle w:val="10"/>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permStart w:id="41"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允许</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A8"/>
            </w:r>
            <w:r>
              <w:rPr>
                <w:rFonts w:hint="eastAsia" w:ascii="Times New Roman" w:hAnsi="Times New Roman" w:cs="Times New Roman"/>
                <w:color w:val="FF0000"/>
                <w:szCs w:val="21"/>
              </w:rPr>
              <w:t>允许，分包内容要求：</w:t>
            </w:r>
          </w:p>
          <w:p>
            <w:pPr>
              <w:wordWrap w:val="0"/>
              <w:spacing w:line="400" w:lineRule="exact"/>
              <w:ind w:firstLine="840" w:firstLineChars="400"/>
              <w:rPr>
                <w:rFonts w:ascii="Times New Roman" w:hAnsi="Times New Roman" w:cs="Times New Roman"/>
                <w:color w:val="FF0000"/>
                <w:szCs w:val="21"/>
              </w:rPr>
            </w:pPr>
            <w:r>
              <w:rPr>
                <w:rFonts w:hint="eastAsia" w:ascii="Times New Roman" w:hAnsi="Times New Roman" w:cs="Times New Roman"/>
                <w:color w:val="FF0000"/>
                <w:szCs w:val="21"/>
              </w:rPr>
              <w:t>分包金额要求：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color w:val="FF0000"/>
                <w:szCs w:val="21"/>
              </w:rPr>
              <w:t>对分包人的资质要求：</w:t>
            </w:r>
            <w:permEnd w:id="4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实质性要求和条件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42" w:edGrp="everyone"/>
            <w:r>
              <w:rPr>
                <w:rFonts w:hint="eastAsia" w:ascii="Times New Roman" w:hAnsi="Times New Roman" w:cs="Times New Roman"/>
                <w:color w:val="FF0000"/>
                <w:szCs w:val="21"/>
              </w:rPr>
              <w:t xml:space="preserve"> / </w:t>
            </w:r>
            <w:permEnd w:id="42"/>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753"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2753" w:type="dxa"/>
            <w:vMerge w:val="continue"/>
            <w:tcBorders>
              <w:left w:val="single" w:color="auto" w:sz="4" w:space="0"/>
              <w:bottom w:val="single" w:color="auto" w:sz="4" w:space="0"/>
              <w:right w:val="single" w:color="auto" w:sz="4" w:space="0"/>
            </w:tcBorders>
            <w:vAlign w:val="center"/>
          </w:tcPr>
          <w:p>
            <w:pPr>
              <w:wordWrap w:val="0"/>
              <w:spacing w:line="400" w:lineRule="exact"/>
              <w:jc w:val="center"/>
            </w:pP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3.2.5</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投标报价的其他要求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permStart w:id="43" w:edGrp="everyone"/>
            <w:r>
              <w:rPr>
                <w:rFonts w:hint="eastAsia" w:ascii="Times New Roman" w:hAnsi="Times New Roman" w:cs="Times New Roman"/>
                <w:szCs w:val="21"/>
                <w:u w:val="single"/>
              </w:rPr>
              <w:t xml:space="preserve"> </w:t>
            </w:r>
            <w:r>
              <w:rPr>
                <w:rFonts w:ascii="Times New Roman" w:hAnsi="Times New Roman" w:cs="Times New Roman"/>
                <w:szCs w:val="21"/>
                <w:u w:val="single"/>
              </w:rPr>
              <w:t>/</w:t>
            </w:r>
            <w:r>
              <w:rPr>
                <w:rFonts w:hint="eastAsia" w:ascii="Times New Roman" w:hAnsi="Times New Roman" w:cs="Times New Roman"/>
                <w:szCs w:val="21"/>
                <w:u w:val="single"/>
              </w:rPr>
              <w:t xml:space="preserve"> </w:t>
            </w:r>
            <w:permEnd w:id="43"/>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4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r>
              <w:rPr>
                <w:rFonts w:hint="eastAsia" w:hAnsi="宋体"/>
                <w:color w:val="FF0000"/>
                <w:szCs w:val="21"/>
              </w:rPr>
              <w:sym w:font="Wingdings 2" w:char="0052"/>
            </w:r>
          </w:p>
          <w:permEnd w:id="44"/>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permStart w:id="45" w:edGrp="everyone"/>
            <w:r>
              <w:rPr>
                <w:rFonts w:ascii="Times New Roman" w:hAnsi="Times New Roman" w:cs="Times New Roman"/>
                <w:color w:val="FF0000"/>
                <w:szCs w:val="21"/>
              </w:rPr>
              <w:t>银行汇款或转账</w:t>
            </w:r>
            <w:permEnd w:id="45"/>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46"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6</w:t>
            </w:r>
            <w:r>
              <w:rPr>
                <w:rFonts w:ascii="Times New Roman" w:hAnsi="Times New Roman" w:cs="Times New Roman"/>
                <w:szCs w:val="21"/>
                <w:u w:val="single"/>
              </w:rPr>
              <w:t>000</w:t>
            </w:r>
            <w:r>
              <w:rPr>
                <w:rFonts w:hint="eastAsia" w:ascii="Times New Roman" w:hAnsi="Times New Roman" w:cs="Times New Roman"/>
                <w:szCs w:val="21"/>
                <w:u w:val="single"/>
              </w:rPr>
              <w:t xml:space="preserve">元 </w:t>
            </w:r>
            <w:permEnd w:id="46"/>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47" w:edGrp="everyone"/>
            <w:r>
              <w:rPr>
                <w:rFonts w:hint="eastAsia" w:ascii="Times New Roman" w:hAnsi="Times New Roman" w:cs="Times New Roman"/>
                <w:color w:val="FF0000"/>
                <w:szCs w:val="21"/>
              </w:rPr>
              <w:t>BZJK-202</w:t>
            </w:r>
            <w:r>
              <w:rPr>
                <w:rFonts w:hint="eastAsia" w:ascii="Times New Roman" w:hAnsi="Times New Roman" w:cs="Times New Roman"/>
                <w:color w:val="FF0000"/>
                <w:szCs w:val="21"/>
                <w:lang w:val="en-US" w:eastAsia="zh-CN"/>
              </w:rPr>
              <w:t>3</w:t>
            </w:r>
            <w:r>
              <w:rPr>
                <w:rFonts w:hint="eastAsia" w:ascii="Times New Roman" w:hAnsi="Times New Roman" w:cs="Times New Roman"/>
                <w:color w:val="FF0000"/>
                <w:szCs w:val="21"/>
              </w:rPr>
              <w:t xml:space="preserve">- </w:t>
            </w:r>
            <w:r>
              <w:rPr>
                <w:rFonts w:hint="eastAsia" w:ascii="Times New Roman" w:hAnsi="Times New Roman" w:cs="Times New Roman"/>
                <w:color w:val="FF0000"/>
                <w:szCs w:val="21"/>
                <w:lang w:val="en-US" w:eastAsia="zh-CN"/>
              </w:rPr>
              <w:t>07</w:t>
            </w:r>
            <w:r>
              <w:rPr>
                <w:rFonts w:hint="eastAsia" w:ascii="Times New Roman" w:hAnsi="Times New Roman" w:cs="Times New Roman"/>
                <w:color w:val="FF0000"/>
                <w:szCs w:val="21"/>
              </w:rPr>
              <w:t xml:space="preserve">  号保证金</w:t>
            </w:r>
            <w:permEnd w:id="47"/>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3.5.3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3.6.1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szCs w:val="21"/>
              </w:rPr>
            </w:pPr>
            <w:r>
              <w:rPr>
                <w:rFonts w:hint="eastAsia" w:ascii="Times New Roman" w:hAnsi="Times New Roman" w:cs="Times New Roman"/>
                <w:color w:val="FF0000"/>
                <w:szCs w:val="21"/>
              </w:rPr>
              <w:t>是否允许递交备选投标方案</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permStart w:id="48"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不允许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 xml:space="preserve">允许   </w:t>
            </w:r>
            <w:permEnd w:id="4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3.7.3（A）（2）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投标文件份数：正本1份、副本4份</w:t>
            </w:r>
          </w:p>
          <w:p>
            <w:pPr>
              <w:wordWrap w:val="0"/>
              <w:spacing w:line="400" w:lineRule="exact"/>
              <w:rPr>
                <w:rFonts w:ascii="Times New Roman" w:hAnsi="Times New Roman" w:cs="Times New Roman"/>
                <w:color w:val="FF0000"/>
                <w:szCs w:val="21"/>
              </w:rPr>
            </w:pPr>
            <w:permStart w:id="49" w:edGrp="everyone"/>
            <w:r>
              <w:rPr>
                <w:rFonts w:hint="eastAsia" w:ascii="Times New Roman" w:hAnsi="Times New Roman" w:cs="Times New Roman"/>
                <w:color w:val="FF0000"/>
                <w:szCs w:val="21"/>
              </w:rPr>
              <w:t xml:space="preserve">是否要求述标：          </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要求</w:t>
            </w:r>
          </w:p>
          <w:p>
            <w:pPr>
              <w:wordWrap w:val="0"/>
              <w:spacing w:line="400" w:lineRule="exact"/>
              <w:rPr>
                <w:rFonts w:ascii="Times New Roman" w:hAnsi="Times New Roman" w:cs="Times New Roman"/>
                <w:szCs w:val="21"/>
              </w:rPr>
            </w:pPr>
            <w:r>
              <w:rPr>
                <w:rFonts w:hint="eastAsia" w:ascii="Times New Roman" w:hAnsi="Times New Roman" w:cs="Times New Roman"/>
                <w:color w:val="FF0000"/>
                <w:szCs w:val="21"/>
              </w:rPr>
              <w:t>是否要求提交电子版文件：</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 xml:space="preserve">要求 </w:t>
            </w:r>
            <w:permEnd w:id="49"/>
          </w:p>
          <w:p>
            <w:pPr>
              <w:wordWrap w:val="0"/>
              <w:spacing w:line="40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（1）所有正本与副本封装在一个密封袋中，且在投标文件封面标明“正本”或“副本”的字样；</w:t>
            </w:r>
          </w:p>
          <w:p>
            <w:pPr>
              <w:wordWrap w:val="0"/>
              <w:spacing w:line="400" w:lineRule="exact"/>
              <w:rPr>
                <w:rFonts w:ascii="Times New Roman" w:hAnsi="Times New Roman" w:cs="Times New Roman"/>
                <w:szCs w:val="21"/>
              </w:rPr>
            </w:pPr>
            <w:r>
              <w:rPr>
                <w:rFonts w:hint="eastAsia"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color w:val="FF0000"/>
                <w:szCs w:val="21"/>
              </w:rPr>
              <w:t>3.7.3A（3）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szCs w:val="21"/>
              </w:rPr>
            </w:pPr>
            <w:r>
              <w:rPr>
                <w:rFonts w:hint="eastAsia" w:ascii="Times New Roman" w:hAnsi="Times New Roman" w:cs="Times New Roman"/>
                <w:color w:val="FF0000"/>
                <w:szCs w:val="21"/>
              </w:rPr>
              <w:t>投标文件是否需分册装订</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FF0000"/>
                <w:szCs w:val="21"/>
                <w:u w:val="single"/>
              </w:rPr>
            </w:pPr>
            <w:permStart w:id="50"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不需要</w:t>
            </w:r>
          </w:p>
          <w:p>
            <w:pPr>
              <w:wordWrap w:val="0"/>
              <w:spacing w:line="400" w:lineRule="exact"/>
              <w:rPr>
                <w:rFonts w:ascii="Times New Roman" w:hAnsi="Times New Roman" w:eastAsia="仿宋_GB2312" w:cs="Times New Roman"/>
                <w:color w:val="FF0000"/>
                <w:sz w:val="24"/>
              </w:rPr>
            </w:pP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需要，分册装订要求：</w:t>
            </w:r>
            <w:permEnd w:id="5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51" w:edGrp="everyone"/>
            <w:r>
              <w:rPr>
                <w:rFonts w:hint="eastAsia" w:ascii="Times New Roman" w:hAnsi="Times New Roman" w:cs="Times New Roman"/>
                <w:color w:val="FF0000"/>
                <w:szCs w:val="21"/>
              </w:rPr>
              <w:t>开标地址：</w:t>
            </w:r>
            <w:r>
              <w:rPr>
                <w:rFonts w:hint="eastAsia" w:ascii="宋体" w:hAnsi="宋体"/>
                <w:color w:val="000000"/>
                <w:sz w:val="24"/>
                <w:highlight w:val="yellow"/>
              </w:rPr>
              <w:t>亳州交通投资控股集团有限公司15楼开标室（药都大道与希夷大道交叉口东北角15楼）</w:t>
            </w:r>
          </w:p>
          <w:p>
            <w:pPr>
              <w:wordWrap w:val="0"/>
              <w:spacing w:line="430" w:lineRule="exact"/>
              <w:ind w:firstLine="420" w:firstLineChars="200"/>
              <w:rPr>
                <w:rFonts w:ascii="宋体" w:hAnsi="宋体"/>
                <w:color w:val="000000"/>
                <w:sz w:val="24"/>
                <w:highlight w:val="yellow"/>
              </w:rPr>
            </w:pPr>
            <w:r>
              <w:rPr>
                <w:rFonts w:hint="eastAsia" w:ascii="Times New Roman" w:hAnsi="Times New Roman" w:cs="Times New Roman"/>
                <w:color w:val="FF0000"/>
                <w:szCs w:val="21"/>
              </w:rPr>
              <w:t>招标人：</w:t>
            </w:r>
            <w:r>
              <w:rPr>
                <w:rFonts w:hint="eastAsia" w:ascii="宋体" w:hAnsi="宋体"/>
                <w:color w:val="000000"/>
                <w:sz w:val="24"/>
                <w:highlight w:val="yellow"/>
              </w:rPr>
              <w:t>安徽通享商业运营管理有限公司</w:t>
            </w:r>
          </w:p>
          <w:p>
            <w:pPr>
              <w:wordWrap w:val="0"/>
              <w:spacing w:line="430" w:lineRule="exact"/>
              <w:ind w:firstLine="480" w:firstLineChars="200"/>
              <w:rPr>
                <w:rFonts w:ascii="Times New Roman" w:hAnsi="Times New Roman" w:cs="Times New Roman"/>
                <w:color w:val="FF0000"/>
                <w:szCs w:val="21"/>
              </w:rPr>
            </w:pPr>
            <w:r>
              <w:rPr>
                <w:rFonts w:hint="eastAsia" w:ascii="宋体" w:hAnsi="宋体"/>
                <w:color w:val="000000"/>
                <w:sz w:val="24"/>
                <w:highlight w:val="yellow"/>
              </w:rPr>
              <w:t>亳州市道路泊车二期建设项目</w:t>
            </w:r>
            <w:r>
              <w:rPr>
                <w:rFonts w:hint="eastAsia" w:ascii="宋体" w:hAnsi="宋体"/>
                <w:color w:val="000000"/>
                <w:sz w:val="24"/>
                <w:highlight w:val="yellow"/>
                <w:lang w:val="en-US" w:eastAsia="zh-CN"/>
              </w:rPr>
              <w:t>监理</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3</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07</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分前不得开启</w:t>
            </w:r>
            <w:permEnd w:id="5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评标专家确定方式：</w:t>
            </w:r>
            <w:r>
              <w:rPr>
                <w:rFonts w:hint="eastAsia" w:ascii="Times New Roman" w:hAnsi="Times New Roman" w:cs="Times New Roman"/>
                <w:szCs w:val="21"/>
              </w:rPr>
              <w:t>随机抽取</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中标候选人公示媒介及期限</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亳州交通投资控股集团有限公司官网（www.bzjkjt.com）、安徽省招标投标信息网（www.ahtba.org.cn）及优质采云采购平台（www.youzhicai.com）</w:t>
            </w:r>
          </w:p>
          <w:p>
            <w:pPr>
              <w:wordWrap w:val="0"/>
              <w:spacing w:line="400" w:lineRule="exact"/>
              <w:rPr>
                <w:rFonts w:ascii="Times New Roman" w:hAnsi="Times New Roman" w:cs="Times New Roman"/>
                <w:sz w:val="32"/>
                <w:szCs w:val="32"/>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技术成果经济补偿</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7.6.1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52"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52"/>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53" w:edGrp="everyone"/>
            <w:r>
              <w:rPr>
                <w:rFonts w:ascii="Times New Roman" w:hAnsi="Times New Roman" w:cs="Times New Roman"/>
                <w:color w:val="FF0000"/>
                <w:szCs w:val="21"/>
              </w:rPr>
              <w:t>中标后，投标保证金自动转为履约保证金，履约保证金不足部分由中标人在收到中标通知书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permEnd w:id="53"/>
          </w:p>
          <w:p>
            <w:pPr>
              <w:wordWrap w:val="0"/>
              <w:spacing w:line="430" w:lineRule="exact"/>
              <w:rPr>
                <w:rFonts w:ascii="Times New Roman" w:hAnsi="Times New Roman" w:cs="Times New Roman"/>
                <w:szCs w:val="21"/>
              </w:rPr>
            </w:pPr>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54" w:edGrp="everyone"/>
            <w:r>
              <w:rPr>
                <w:rFonts w:hint="eastAsia" w:ascii="Times New Roman" w:hAnsi="Times New Roman" w:cs="Times New Roman"/>
                <w:b/>
                <w:bCs/>
                <w:color w:val="FF0000"/>
                <w:szCs w:val="21"/>
              </w:rPr>
              <w:t>同投标保证金</w:t>
            </w:r>
            <w:permEnd w:id="54"/>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55"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服务期满</w:t>
            </w:r>
            <w:r>
              <w:rPr>
                <w:rFonts w:ascii="Times New Roman" w:hAnsi="Times New Roman" w:cs="Times New Roman"/>
                <w:color w:val="FF0000"/>
                <w:szCs w:val="21"/>
              </w:rPr>
              <w:t>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55"/>
          </w:p>
        </w:tc>
      </w:tr>
      <w:tr>
        <w:tblPrEx>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10</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电子招标投标</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75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476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bl>
    <w:p>
      <w:pPr>
        <w:rPr>
          <w:rFonts w:asciiTheme="majorEastAsia" w:hAnsiTheme="majorEastAsia" w:eastAsiaTheme="majorEastAsia" w:cstheme="majorEastAsia"/>
          <w:b/>
          <w:bCs/>
          <w:sz w:val="32"/>
          <w:szCs w:val="32"/>
        </w:rPr>
      </w:pPr>
      <w:r>
        <w:rPr>
          <w:rFonts w:hint="eastAsia" w:ascii="黑体" w:hAnsi="黑体" w:eastAsia="黑体" w:cs="黑体"/>
          <w:color w:val="000000"/>
        </w:rPr>
        <w:t>说明：</w:t>
      </w:r>
      <w:r>
        <w:rPr>
          <w:rFonts w:hint="eastAsia" w:ascii="Times New Roman" w:hAnsi="Times New Roman" w:cs="Times New Roman"/>
          <w:color w:val="000000"/>
        </w:rPr>
        <w:t>投标人须知正文部分直接引用国家发改委等九部委于2017年9月4日联合印发的《中华人民共和国标准设计招标文件》（2017年版）。</w:t>
      </w: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7"/>
        <w:tblW w:w="960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8"/>
        <w:gridCol w:w="709"/>
        <w:gridCol w:w="33"/>
        <w:gridCol w:w="850"/>
        <w:gridCol w:w="676"/>
        <w:gridCol w:w="1308"/>
        <w:gridCol w:w="4836"/>
        <w:gridCol w:w="93"/>
        <w:gridCol w:w="98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1700" w:type="dxa"/>
            <w:gridSpan w:val="4"/>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200" w:hRule="atLeast"/>
        </w:trPr>
        <w:tc>
          <w:tcPr>
            <w:tcW w:w="850" w:type="dxa"/>
            <w:gridSpan w:val="3"/>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160"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160"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160"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160"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438"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61" w:edGrp="everyone"/>
            <w:r>
              <w:rPr>
                <w:rFonts w:hint="eastAsia" w:ascii="Times New Roman" w:hAnsi="Times New Roman" w:cs="Times New Roman"/>
                <w:kern w:val="0"/>
                <w:sz w:val="24"/>
              </w:rPr>
              <w:t>符合第二章“投标人须知”第1.4.1项规定</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438"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438"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Height w:val="160" w:hRule="atLeast"/>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服务标准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权力义务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符合第二章“投标人须知”第1.12.1项规定和第四章“合同条款及格式”中的实质性要求和条件</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850" w:type="dxa"/>
            <w:gridSpan w:val="3"/>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符合第五章“发包人要求”中的实质性要求和条件</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1700" w:type="dxa"/>
            <w:gridSpan w:val="4"/>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16" w:name="_Toc246996975"/>
            <w:bookmarkStart w:id="17" w:name="_Toc152042366"/>
            <w:bookmarkStart w:id="18" w:name="_Toc152045589"/>
            <w:bookmarkStart w:id="19" w:name="_Toc144974556"/>
            <w:bookmarkStart w:id="20" w:name="_Toc179632607"/>
            <w:bookmarkStart w:id="21" w:name="_Toc296602477"/>
            <w:bookmarkStart w:id="22" w:name="_Toc246996232"/>
            <w:bookmarkStart w:id="23" w:name="_Toc247085747"/>
            <w:r>
              <w:rPr>
                <w:rFonts w:ascii="Times New Roman" w:hAnsi="Times New Roman" w:cs="Times New Roman"/>
                <w:b/>
                <w:bCs/>
                <w:kern w:val="0"/>
                <w:sz w:val="24"/>
              </w:rPr>
              <w:t>条款号</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1700" w:type="dxa"/>
            <w:gridSpan w:val="4"/>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3" w:edGrp="everyone" w:colFirst="2" w:colLast="2"/>
            <w:r>
              <w:rPr>
                <w:rFonts w:hint="eastAsia" w:ascii="Times New Roman" w:hAnsi="Times New Roman" w:cs="Times New Roman"/>
                <w:kern w:val="0"/>
                <w:sz w:val="24"/>
              </w:rPr>
              <w:t>2.2.1</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0"/>
                <w:sz w:val="24"/>
              </w:rPr>
            </w:pPr>
            <w:r>
              <w:rPr>
                <w:rFonts w:hint="eastAsia" w:ascii="Times New Roman" w:hAnsi="Times New Roman" w:cs="Times New Roman"/>
                <w:kern w:val="0"/>
                <w:sz w:val="24"/>
              </w:rPr>
              <w:t>服务方案：</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33</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rPr>
                <w:rFonts w:hint="eastAsia" w:ascii="Times New Roman" w:hAnsi="Times New Roman" w:cs="Times New Roman"/>
                <w:kern w:val="0"/>
                <w:sz w:val="24"/>
              </w:rPr>
            </w:pPr>
            <w:r>
              <w:rPr>
                <w:rFonts w:hint="eastAsia" w:ascii="Times New Roman" w:hAnsi="Times New Roman" w:cs="Times New Roman"/>
                <w:kern w:val="0"/>
                <w:sz w:val="24"/>
              </w:rPr>
              <w:t>监理团队：</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25</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rPr>
              <w:t>分</w:t>
            </w:r>
          </w:p>
          <w:p>
            <w:pPr>
              <w:rPr>
                <w:rFonts w:ascii="Times New Roman" w:hAnsi="Times New Roman" w:cs="Times New Roman"/>
                <w:kern w:val="0"/>
                <w:sz w:val="24"/>
              </w:rPr>
            </w:pPr>
            <w:r>
              <w:rPr>
                <w:rFonts w:hint="eastAsia" w:ascii="Times New Roman" w:hAnsi="Times New Roman" w:cs="Times New Roman"/>
                <w:kern w:val="0"/>
                <w:sz w:val="24"/>
              </w:rPr>
              <w:t>企业实力：</w:t>
            </w:r>
            <w:r>
              <w:rPr>
                <w:rFonts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12</w:t>
            </w:r>
            <w:r>
              <w:rPr>
                <w:rFonts w:ascii="Times New Roman" w:hAnsi="Times New Roman" w:cs="Times New Roman"/>
                <w:kern w:val="0"/>
                <w:sz w:val="24"/>
                <w:u w:val="single"/>
              </w:rPr>
              <w:t xml:space="preserve"> </w:t>
            </w:r>
            <w:r>
              <w:rPr>
                <w:rFonts w:hint="eastAsia" w:ascii="Times New Roman" w:hAnsi="Times New Roman" w:cs="Times New Roman"/>
                <w:kern w:val="0"/>
                <w:sz w:val="24"/>
              </w:rPr>
              <w:t>分</w:t>
            </w:r>
          </w:p>
          <w:p>
            <w:pPr>
              <w:rPr>
                <w:rFonts w:hint="eastAsia"/>
                <w:highlight w:val="yellow"/>
              </w:rPr>
            </w:pPr>
            <w:r>
              <w:rPr>
                <w:rFonts w:hint="eastAsia" w:ascii="Times New Roman" w:hAnsi="Times New Roman" w:cs="Times New Roman"/>
                <w:kern w:val="0"/>
                <w:sz w:val="24"/>
              </w:rPr>
              <w:t>价格分：</w:t>
            </w:r>
            <w:r>
              <w:rPr>
                <w:rFonts w:hint="eastAsia" w:ascii="Times New Roman" w:hAnsi="Times New Roman" w:cs="Times New Roman"/>
                <w:kern w:val="0"/>
                <w:sz w:val="24"/>
                <w:u w:val="single"/>
              </w:rPr>
              <w:t xml:space="preserve"> </w:t>
            </w:r>
            <w:r>
              <w:rPr>
                <w:rFonts w:ascii="Times New Roman" w:hAnsi="Times New Roman" w:cs="Times New Roman"/>
                <w:kern w:val="0"/>
                <w:sz w:val="24"/>
                <w:u w:val="single"/>
              </w:rPr>
              <w:t>30</w:t>
            </w:r>
            <w:r>
              <w:rPr>
                <w:rFonts w:hint="eastAsia" w:ascii="Times New Roman" w:hAnsi="Times New Roman" w:cs="Times New Roman"/>
                <w:kern w:val="0"/>
                <w:sz w:val="24"/>
              </w:rPr>
              <w:t>分</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1700" w:type="dxa"/>
            <w:gridSpan w:val="4"/>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4" w:edGrp="everyone" w:colFirst="2" w:colLast="2"/>
            <w:r>
              <w:rPr>
                <w:rFonts w:hint="eastAsia" w:ascii="Times New Roman" w:hAnsi="Times New Roman" w:cs="Times New Roman"/>
                <w:kern w:val="0"/>
                <w:sz w:val="24"/>
              </w:rPr>
              <w:t>2.2.2</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kern w:val="0"/>
                <w:sz w:val="24"/>
              </w:rPr>
            </w:pPr>
            <w:r>
              <w:rPr>
                <w:rFonts w:hint="eastAsia" w:ascii="宋体" w:hAnsi="宋体" w:eastAsia="宋体" w:cs="仿宋"/>
                <w:color w:val="000000" w:themeColor="text1"/>
                <w:szCs w:val="21"/>
                <w14:textFill>
                  <w14:solidFill>
                    <w14:schemeClr w14:val="tx1"/>
                  </w14:solidFill>
                </w14:textFill>
              </w:rPr>
              <w:t>满足招标文件要求且投标报价最低的为评标基准价</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1080" w:type="dxa"/>
        </w:trPr>
        <w:tc>
          <w:tcPr>
            <w:tcW w:w="1700" w:type="dxa"/>
            <w:gridSpan w:val="4"/>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75" w:edGrp="everyone"/>
            <w:r>
              <w:rPr>
                <w:rFonts w:hint="eastAsia" w:ascii="Times New Roman" w:hAnsi="Times New Roman" w:cs="Times New Roman"/>
                <w:kern w:val="0"/>
                <w:sz w:val="24"/>
                <w:lang w:val="en-US" w:eastAsia="zh-CN"/>
              </w:rPr>
              <w:t xml:space="preserve">       /      </w:t>
            </w:r>
            <w:permEnd w:id="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491" w:hRule="atLeas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序号</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评分项目</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评审参考说明</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491" w:hRule="atLeast"/>
        </w:trPr>
        <w:tc>
          <w:tcPr>
            <w:tcW w:w="9492"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spacing w:val="10"/>
                <w:sz w:val="24"/>
                <w14:textFill>
                  <w14:solidFill>
                    <w14:schemeClr w14:val="tx1"/>
                  </w14:solidFill>
                </w14:textFill>
              </w:rPr>
              <w:t>一、资信、技术评分标准（</w:t>
            </w:r>
            <w:r>
              <w:rPr>
                <w:rFonts w:ascii="宋体" w:hAnsi="宋体" w:eastAsia="宋体" w:cs="宋体"/>
                <w:b/>
                <w:bCs/>
                <w:color w:val="000000" w:themeColor="text1"/>
                <w:spacing w:val="10"/>
                <w:sz w:val="24"/>
                <w14:textFill>
                  <w14:solidFill>
                    <w14:schemeClr w14:val="tx1"/>
                  </w14:solidFill>
                </w14:textFill>
              </w:rPr>
              <w:t>7</w:t>
            </w:r>
            <w:r>
              <w:rPr>
                <w:rFonts w:hint="eastAsia" w:ascii="宋体" w:hAnsi="宋体" w:eastAsia="宋体" w:cs="宋体"/>
                <w:b/>
                <w:bCs/>
                <w:color w:val="000000" w:themeColor="text1"/>
                <w:spacing w:val="10"/>
                <w:sz w:val="24"/>
                <w14:textFill>
                  <w14:solidFill>
                    <w14:schemeClr w14:val="tx1"/>
                  </w14:solidFill>
                </w14:textFill>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1408" w:hRule="atLeast"/>
        </w:trPr>
        <w:tc>
          <w:tcPr>
            <w:tcW w:w="709" w:type="dxa"/>
            <w:vMerge w:val="restart"/>
            <w:tcBorders>
              <w:top w:val="single" w:color="auto" w:sz="4" w:space="0"/>
              <w:left w:val="single" w:color="auto" w:sz="4" w:space="0"/>
              <w:right w:val="single" w:color="auto" w:sz="4" w:space="0"/>
            </w:tcBorders>
            <w:vAlign w:val="center"/>
          </w:tcPr>
          <w:p>
            <w:pPr>
              <w:spacing w:line="500" w:lineRule="exact"/>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p>
          <w:p>
            <w:pPr>
              <w:spacing w:line="500" w:lineRule="exact"/>
              <w:jc w:val="center"/>
              <w:rPr>
                <w:rFonts w:ascii="宋体" w:hAnsi="宋体" w:eastAsia="宋体" w:cs="宋体"/>
                <w:b/>
                <w:bCs/>
                <w:color w:val="000000" w:themeColor="text1"/>
                <w14:textFill>
                  <w14:solidFill>
                    <w14:schemeClr w14:val="tx1"/>
                  </w14:solidFill>
                </w14:textFill>
              </w:rPr>
            </w:pPr>
          </w:p>
        </w:tc>
        <w:tc>
          <w:tcPr>
            <w:tcW w:w="1559" w:type="dxa"/>
            <w:gridSpan w:val="3"/>
            <w:vMerge w:val="restart"/>
            <w:tcBorders>
              <w:top w:val="single" w:color="auto" w:sz="4" w:space="0"/>
              <w:left w:val="single" w:color="auto" w:sz="4" w:space="0"/>
              <w:right w:val="single" w:color="auto" w:sz="4" w:space="0"/>
            </w:tcBorders>
            <w:vAlign w:val="center"/>
          </w:tcPr>
          <w:p>
            <w:pPr>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服务方案</w:t>
            </w:r>
          </w:p>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lang w:val="en-US" w:eastAsia="zh-CN"/>
                <w14:textFill>
                  <w14:solidFill>
                    <w14:schemeClr w14:val="tx1"/>
                  </w14:solidFill>
                </w14:textFill>
              </w:rPr>
              <w:t>33</w:t>
            </w:r>
            <w:r>
              <w:rPr>
                <w:rFonts w:hint="eastAsia" w:ascii="宋体" w:hAnsi="宋体" w:eastAsia="宋体" w:cs="宋体"/>
                <w:color w:val="000000" w:themeColor="text1"/>
                <w:kern w:val="0"/>
                <w:szCs w:val="21"/>
                <w14:textFill>
                  <w14:solidFill>
                    <w14:schemeClr w14:val="tx1"/>
                  </w14:solidFill>
                </w14:textFill>
              </w:rPr>
              <w:t>分）</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pStyle w:val="24"/>
              <w:ind w:firstLine="0" w:firstLineChars="0"/>
              <w:rPr>
                <w:rFonts w:ascii="宋体" w:hAnsi="宋体" w:cs="宋体"/>
                <w:color w:val="000000" w:themeColor="text1"/>
                <w:szCs w:val="22"/>
                <w14:textFill>
                  <w14:solidFill>
                    <w14:schemeClr w14:val="tx1"/>
                  </w14:solidFill>
                </w14:textFill>
              </w:rPr>
            </w:pPr>
            <w:r>
              <w:rPr>
                <w:rFonts w:ascii="宋体" w:hAnsi="宋体" w:cs="宋体"/>
                <w:color w:val="000000" w:themeColor="text1"/>
                <w:szCs w:val="22"/>
                <w14:textFill>
                  <w14:solidFill>
                    <w14:schemeClr w14:val="tx1"/>
                  </w14:solidFill>
                </w14:textFill>
              </w:rPr>
              <w:t>根据投标文件中提供的监理大纲针对本项目特点合理设置情况，由评委会进行综合评分，评分细则如下：</w:t>
            </w:r>
          </w:p>
          <w:p>
            <w:pPr>
              <w:pStyle w:val="24"/>
              <w:ind w:firstLine="0" w:firstLineChars="0"/>
              <w:rPr>
                <w:rFonts w:ascii="宋体" w:hAnsi="宋体" w:cs="宋体"/>
                <w:b/>
                <w:bCs/>
                <w:color w:val="000000" w:themeColor="text1"/>
                <w:szCs w:val="22"/>
                <w14:textFill>
                  <w14:solidFill>
                    <w14:schemeClr w14:val="tx1"/>
                  </w14:solidFill>
                </w14:textFill>
              </w:rPr>
            </w:pPr>
            <w:r>
              <w:rPr>
                <w:rFonts w:hint="eastAsia" w:ascii="宋体" w:hAnsi="宋体" w:cs="宋体"/>
                <w:b/>
                <w:bCs/>
                <w:color w:val="000000" w:themeColor="text1"/>
                <w:szCs w:val="22"/>
                <w14:textFill>
                  <w14:solidFill>
                    <w14:schemeClr w14:val="tx1"/>
                  </w14:solidFill>
                </w14:textFill>
              </w:rPr>
              <w:t>1、监理方案 （</w:t>
            </w:r>
            <w:r>
              <w:rPr>
                <w:rFonts w:ascii="宋体" w:hAnsi="宋体" w:cs="宋体"/>
                <w:b/>
                <w:bCs/>
                <w:color w:val="000000" w:themeColor="text1"/>
                <w:szCs w:val="22"/>
                <w14:textFill>
                  <w14:solidFill>
                    <w14:schemeClr w14:val="tx1"/>
                  </w14:solidFill>
                </w14:textFill>
              </w:rPr>
              <w:t>8</w:t>
            </w:r>
            <w:r>
              <w:rPr>
                <w:rFonts w:hint="eastAsia" w:ascii="宋体" w:hAnsi="宋体" w:cs="宋体"/>
                <w:b/>
                <w:bCs/>
                <w:color w:val="000000" w:themeColor="text1"/>
                <w:szCs w:val="22"/>
                <w14:textFill>
                  <w14:solidFill>
                    <w14:schemeClr w14:val="tx1"/>
                  </w14:solidFill>
                </w14:textFill>
              </w:rPr>
              <w:t>分）</w:t>
            </w:r>
          </w:p>
          <w:p>
            <w:pPr>
              <w:pStyle w:val="24"/>
              <w:ind w:firstLine="0" w:firstLineChars="0"/>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根据监理方案整体结构，</w:t>
            </w:r>
            <w:r>
              <w:rPr>
                <w:rFonts w:ascii="宋体" w:hAnsi="宋体" w:cs="宋体"/>
                <w:color w:val="000000" w:themeColor="text1"/>
                <w:szCs w:val="22"/>
                <w14:textFill>
                  <w14:solidFill>
                    <w14:schemeClr w14:val="tx1"/>
                  </w14:solidFill>
                </w14:textFill>
              </w:rPr>
              <w:t>监理大纲内容全面、重点突出、具体措施</w:t>
            </w:r>
            <w:r>
              <w:rPr>
                <w:rFonts w:hint="eastAsia" w:ascii="宋体" w:hAnsi="宋体" w:cs="宋体"/>
                <w:color w:val="000000" w:themeColor="text1"/>
                <w:szCs w:val="22"/>
                <w14:textFill>
                  <w14:solidFill>
                    <w14:schemeClr w14:val="tx1"/>
                  </w14:solidFill>
                </w14:textFill>
              </w:rPr>
              <w:t>等内容打分，</w:t>
            </w:r>
            <w:r>
              <w:rPr>
                <w:rFonts w:hint="eastAsia" w:ascii="宋体" w:hAnsi="宋体" w:cs="宋体"/>
                <w:color w:val="000000" w:themeColor="text1"/>
                <w:szCs w:val="22"/>
                <w:lang w:val="en-US" w:eastAsia="zh-CN"/>
                <w14:textFill>
                  <w14:solidFill>
                    <w14:schemeClr w14:val="tx1"/>
                  </w14:solidFill>
                </w14:textFill>
              </w:rPr>
              <w:t xml:space="preserve">优秀6-8分 合格3-6分  一般1-3分  没有不得分 </w:t>
            </w:r>
            <w:r>
              <w:rPr>
                <w:rFonts w:hint="eastAsia" w:ascii="宋体" w:hAnsi="宋体" w:cs="宋体"/>
                <w:color w:val="000000" w:themeColor="text1"/>
                <w:szCs w:val="22"/>
                <w14:textFill>
                  <w14:solidFill>
                    <w14:schemeClr w14:val="tx1"/>
                  </w14:solidFill>
                </w14:textFill>
              </w:rPr>
              <w:t xml:space="preserve">。 </w:t>
            </w:r>
          </w:p>
          <w:p>
            <w:pPr>
              <w:pStyle w:val="24"/>
              <w:ind w:firstLine="0" w:firstLineChars="0"/>
              <w:rPr>
                <w:rFonts w:ascii="宋体" w:hAnsi="宋体" w:cs="宋体"/>
                <w:b/>
                <w:bCs/>
                <w:color w:val="000000" w:themeColor="text1"/>
                <w:szCs w:val="22"/>
                <w14:textFill>
                  <w14:solidFill>
                    <w14:schemeClr w14:val="tx1"/>
                  </w14:solidFill>
                </w14:textFill>
              </w:rPr>
            </w:pPr>
            <w:r>
              <w:rPr>
                <w:rFonts w:hint="eastAsia" w:ascii="宋体" w:hAnsi="宋体" w:cs="宋体"/>
                <w:b/>
                <w:bCs/>
                <w:color w:val="000000" w:themeColor="text1"/>
                <w:szCs w:val="22"/>
                <w14:textFill>
                  <w14:solidFill>
                    <w14:schemeClr w14:val="tx1"/>
                  </w14:solidFill>
                </w14:textFill>
              </w:rPr>
              <w:t>2、工程质量控制措施（</w:t>
            </w:r>
            <w:r>
              <w:rPr>
                <w:rFonts w:ascii="宋体" w:hAnsi="宋体" w:cs="宋体"/>
                <w:b/>
                <w:bCs/>
                <w:color w:val="000000" w:themeColor="text1"/>
                <w:szCs w:val="22"/>
                <w14:textFill>
                  <w14:solidFill>
                    <w14:schemeClr w14:val="tx1"/>
                  </w14:solidFill>
                </w14:textFill>
              </w:rPr>
              <w:t>4</w:t>
            </w:r>
            <w:r>
              <w:rPr>
                <w:rFonts w:hint="eastAsia" w:ascii="宋体" w:hAnsi="宋体" w:cs="宋体"/>
                <w:b/>
                <w:bCs/>
                <w:color w:val="000000" w:themeColor="text1"/>
                <w:szCs w:val="22"/>
                <w14:textFill>
                  <w14:solidFill>
                    <w14:schemeClr w14:val="tx1"/>
                  </w14:solidFill>
                </w14:textFill>
              </w:rPr>
              <w:t>分）</w:t>
            </w:r>
          </w:p>
          <w:p>
            <w:pPr>
              <w:pStyle w:val="24"/>
              <w:ind w:firstLine="0" w:firstLineChars="0"/>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根据</w:t>
            </w:r>
            <w:r>
              <w:rPr>
                <w:rFonts w:ascii="宋体" w:hAnsi="宋体" w:cs="宋体"/>
                <w:color w:val="000000" w:themeColor="text1"/>
                <w:szCs w:val="22"/>
                <w14:textFill>
                  <w14:solidFill>
                    <w14:schemeClr w14:val="tx1"/>
                  </w14:solidFill>
                </w14:textFill>
              </w:rPr>
              <w:t>质量控制措施详细、工具齐全，方案内容完备科学且利于项目实施</w:t>
            </w:r>
            <w:r>
              <w:rPr>
                <w:rFonts w:hint="eastAsia" w:ascii="宋体" w:hAnsi="宋体" w:cs="宋体"/>
                <w:color w:val="000000" w:themeColor="text1"/>
                <w:szCs w:val="22"/>
                <w14:textFill>
                  <w14:solidFill>
                    <w14:schemeClr w14:val="tx1"/>
                  </w14:solidFill>
                </w14:textFill>
              </w:rPr>
              <w:t>等内容打分，</w:t>
            </w:r>
            <w:r>
              <w:rPr>
                <w:rFonts w:hint="eastAsia" w:ascii="宋体" w:hAnsi="宋体" w:cs="宋体"/>
                <w:color w:val="000000" w:themeColor="text1"/>
                <w:szCs w:val="22"/>
                <w:lang w:val="en-US" w:eastAsia="zh-CN"/>
                <w14:textFill>
                  <w14:solidFill>
                    <w14:schemeClr w14:val="tx1"/>
                  </w14:solidFill>
                </w14:textFill>
              </w:rPr>
              <w:t>优秀3-4分 合格1-3分 一般1分 没有不得分</w:t>
            </w:r>
            <w:r>
              <w:rPr>
                <w:rFonts w:hint="eastAsia" w:ascii="宋体" w:hAnsi="宋体" w:cs="宋体"/>
                <w:color w:val="000000" w:themeColor="text1"/>
                <w:szCs w:val="22"/>
                <w14:textFill>
                  <w14:solidFill>
                    <w14:schemeClr w14:val="tx1"/>
                  </w14:solidFill>
                </w14:textFill>
              </w:rPr>
              <w:t>。</w:t>
            </w:r>
          </w:p>
          <w:p>
            <w:pPr>
              <w:pStyle w:val="24"/>
              <w:ind w:firstLine="0" w:firstLineChars="0"/>
              <w:rPr>
                <w:rFonts w:ascii="宋体" w:hAnsi="宋体" w:cs="宋体"/>
                <w:b/>
                <w:bCs/>
                <w:color w:val="000000" w:themeColor="text1"/>
                <w:szCs w:val="22"/>
                <w14:textFill>
                  <w14:solidFill>
                    <w14:schemeClr w14:val="tx1"/>
                  </w14:solidFill>
                </w14:textFill>
              </w:rPr>
            </w:pPr>
            <w:r>
              <w:rPr>
                <w:rFonts w:hint="eastAsia" w:ascii="宋体" w:hAnsi="宋体" w:cs="宋体"/>
                <w:b/>
                <w:bCs/>
                <w:color w:val="000000" w:themeColor="text1"/>
                <w:szCs w:val="22"/>
                <w14:textFill>
                  <w14:solidFill>
                    <w14:schemeClr w14:val="tx1"/>
                  </w14:solidFill>
                </w14:textFill>
              </w:rPr>
              <w:t>3、工程进度控制措施（</w:t>
            </w:r>
            <w:r>
              <w:rPr>
                <w:rFonts w:ascii="宋体" w:hAnsi="宋体" w:cs="宋体"/>
                <w:b/>
                <w:bCs/>
                <w:color w:val="000000" w:themeColor="text1"/>
                <w:szCs w:val="22"/>
                <w14:textFill>
                  <w14:solidFill>
                    <w14:schemeClr w14:val="tx1"/>
                  </w14:solidFill>
                </w14:textFill>
              </w:rPr>
              <w:t>4</w:t>
            </w:r>
            <w:r>
              <w:rPr>
                <w:rFonts w:hint="eastAsia" w:ascii="宋体" w:hAnsi="宋体" w:cs="宋体"/>
                <w:b/>
                <w:bCs/>
                <w:color w:val="000000" w:themeColor="text1"/>
                <w:szCs w:val="22"/>
                <w14:textFill>
                  <w14:solidFill>
                    <w14:schemeClr w14:val="tx1"/>
                  </w14:solidFill>
                </w14:textFill>
              </w:rPr>
              <w:t>分）</w:t>
            </w:r>
          </w:p>
          <w:p>
            <w:pPr>
              <w:pStyle w:val="24"/>
              <w:ind w:firstLine="0" w:firstLineChars="0"/>
              <w:rPr>
                <w:rFonts w:ascii="宋体" w:hAnsi="宋体" w:cs="宋体"/>
                <w:b/>
                <w:bCs/>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根据进度</w:t>
            </w:r>
            <w:r>
              <w:rPr>
                <w:rFonts w:ascii="宋体" w:hAnsi="宋体" w:cs="宋体"/>
                <w:color w:val="000000" w:themeColor="text1"/>
                <w:szCs w:val="22"/>
                <w14:textFill>
                  <w14:solidFill>
                    <w14:schemeClr w14:val="tx1"/>
                  </w14:solidFill>
                </w14:textFill>
              </w:rPr>
              <w:t>控制措施详细、工具齐全，方案内容完备科学且利于项目实施</w:t>
            </w:r>
            <w:r>
              <w:rPr>
                <w:rFonts w:hint="eastAsia" w:ascii="宋体" w:hAnsi="宋体" w:cs="宋体"/>
                <w:color w:val="000000" w:themeColor="text1"/>
                <w:szCs w:val="22"/>
                <w14:textFill>
                  <w14:solidFill>
                    <w14:schemeClr w14:val="tx1"/>
                  </w14:solidFill>
                </w14:textFill>
              </w:rPr>
              <w:t>等内容打分，</w:t>
            </w:r>
            <w:r>
              <w:rPr>
                <w:rFonts w:hint="eastAsia" w:ascii="宋体" w:hAnsi="宋体" w:cs="宋体"/>
                <w:color w:val="000000" w:themeColor="text1"/>
                <w:szCs w:val="22"/>
                <w:lang w:val="en-US" w:eastAsia="zh-CN"/>
                <w14:textFill>
                  <w14:solidFill>
                    <w14:schemeClr w14:val="tx1"/>
                  </w14:solidFill>
                </w14:textFill>
              </w:rPr>
              <w:t>优秀3-4分 合格1-3分 一般1分 没有不得分</w:t>
            </w:r>
            <w:r>
              <w:rPr>
                <w:rFonts w:hint="eastAsia" w:ascii="宋体" w:hAnsi="宋体" w:cs="宋体"/>
                <w:color w:val="000000" w:themeColor="text1"/>
                <w:szCs w:val="22"/>
                <w14:textFill>
                  <w14:solidFill>
                    <w14:schemeClr w14:val="tx1"/>
                  </w14:solidFill>
                </w14:textFill>
              </w:rPr>
              <w:t>。</w:t>
            </w:r>
            <w:r>
              <w:rPr>
                <w:rFonts w:hint="eastAsia" w:ascii="宋体" w:hAnsi="宋体" w:cs="宋体"/>
                <w:b/>
                <w:bCs/>
                <w:color w:val="000000" w:themeColor="text1"/>
                <w:szCs w:val="22"/>
                <w14:textFill>
                  <w14:solidFill>
                    <w14:schemeClr w14:val="tx1"/>
                  </w14:solidFill>
                </w14:textFill>
              </w:rPr>
              <w:t>4、工程投资控制措施（</w:t>
            </w:r>
            <w:r>
              <w:rPr>
                <w:rFonts w:ascii="宋体" w:hAnsi="宋体" w:cs="宋体"/>
                <w:b/>
                <w:bCs/>
                <w:color w:val="000000" w:themeColor="text1"/>
                <w:szCs w:val="22"/>
                <w14:textFill>
                  <w14:solidFill>
                    <w14:schemeClr w14:val="tx1"/>
                  </w14:solidFill>
                </w14:textFill>
              </w:rPr>
              <w:t>3</w:t>
            </w:r>
            <w:r>
              <w:rPr>
                <w:rFonts w:hint="eastAsia" w:ascii="宋体" w:hAnsi="宋体" w:cs="宋体"/>
                <w:b/>
                <w:bCs/>
                <w:color w:val="000000" w:themeColor="text1"/>
                <w:szCs w:val="22"/>
                <w14:textFill>
                  <w14:solidFill>
                    <w14:schemeClr w14:val="tx1"/>
                  </w14:solidFill>
                </w14:textFill>
              </w:rPr>
              <w:t>分）</w:t>
            </w:r>
          </w:p>
          <w:p>
            <w:pPr>
              <w:pStyle w:val="24"/>
              <w:ind w:firstLine="0" w:firstLineChars="0"/>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根据</w:t>
            </w:r>
            <w:r>
              <w:rPr>
                <w:rFonts w:ascii="宋体" w:hAnsi="宋体" w:cs="宋体"/>
                <w:color w:val="000000" w:themeColor="text1"/>
                <w:szCs w:val="22"/>
                <w14:textFill>
                  <w14:solidFill>
                    <w14:schemeClr w14:val="tx1"/>
                  </w14:solidFill>
                </w14:textFill>
              </w:rPr>
              <w:t>投资控制的目标、任务、依据、各阶段的措施，分析明确详尽，完全满足项目实际需要</w:t>
            </w:r>
            <w:r>
              <w:rPr>
                <w:rFonts w:hint="eastAsia" w:ascii="宋体" w:hAnsi="宋体" w:cs="宋体"/>
                <w:color w:val="000000" w:themeColor="text1"/>
                <w:szCs w:val="22"/>
                <w14:textFill>
                  <w14:solidFill>
                    <w14:schemeClr w14:val="tx1"/>
                  </w14:solidFill>
                </w14:textFill>
              </w:rPr>
              <w:t>等内容打分，</w:t>
            </w:r>
            <w:r>
              <w:rPr>
                <w:rFonts w:hint="eastAsia" w:ascii="宋体" w:hAnsi="宋体" w:cs="宋体"/>
                <w:color w:val="000000" w:themeColor="text1"/>
                <w:szCs w:val="22"/>
                <w:lang w:val="en-US" w:eastAsia="zh-CN"/>
                <w14:textFill>
                  <w14:solidFill>
                    <w14:schemeClr w14:val="tx1"/>
                  </w14:solidFill>
                </w14:textFill>
              </w:rPr>
              <w:t>优秀3分 合格2分 一般1分 没有不得分</w:t>
            </w:r>
            <w:r>
              <w:rPr>
                <w:rFonts w:hint="eastAsia" w:ascii="宋体" w:hAnsi="宋体" w:cs="宋体"/>
                <w:color w:val="000000" w:themeColor="text1"/>
                <w:szCs w:val="22"/>
                <w14:textFill>
                  <w14:solidFill>
                    <w14:schemeClr w14:val="tx1"/>
                  </w14:solidFill>
                </w14:textFill>
              </w:rPr>
              <w:t>。</w:t>
            </w:r>
          </w:p>
          <w:p>
            <w:pPr>
              <w:pStyle w:val="24"/>
              <w:ind w:firstLine="0" w:firstLineChars="0"/>
              <w:rPr>
                <w:rFonts w:ascii="宋体" w:hAnsi="宋体" w:cs="宋体"/>
                <w:b/>
                <w:bCs/>
                <w:color w:val="000000" w:themeColor="text1"/>
                <w:szCs w:val="22"/>
                <w14:textFill>
                  <w14:solidFill>
                    <w14:schemeClr w14:val="tx1"/>
                  </w14:solidFill>
                </w14:textFill>
              </w:rPr>
            </w:pPr>
            <w:r>
              <w:rPr>
                <w:rFonts w:hint="eastAsia" w:ascii="宋体" w:hAnsi="宋体" w:cs="宋体"/>
                <w:b/>
                <w:bCs/>
                <w:color w:val="000000" w:themeColor="text1"/>
                <w:szCs w:val="22"/>
                <w14:textFill>
                  <w14:solidFill>
                    <w14:schemeClr w14:val="tx1"/>
                  </w14:solidFill>
                </w14:textFill>
              </w:rPr>
              <w:t>5、安全控制措施（</w:t>
            </w:r>
            <w:r>
              <w:rPr>
                <w:rFonts w:ascii="宋体" w:hAnsi="宋体" w:cs="宋体"/>
                <w:b/>
                <w:bCs/>
                <w:color w:val="000000" w:themeColor="text1"/>
                <w:szCs w:val="22"/>
                <w14:textFill>
                  <w14:solidFill>
                    <w14:schemeClr w14:val="tx1"/>
                  </w14:solidFill>
                </w14:textFill>
              </w:rPr>
              <w:t>6</w:t>
            </w:r>
            <w:r>
              <w:rPr>
                <w:rFonts w:hint="eastAsia" w:ascii="宋体" w:hAnsi="宋体" w:cs="宋体"/>
                <w:b/>
                <w:bCs/>
                <w:color w:val="000000" w:themeColor="text1"/>
                <w:szCs w:val="22"/>
                <w14:textFill>
                  <w14:solidFill>
                    <w14:schemeClr w14:val="tx1"/>
                  </w14:solidFill>
                </w14:textFill>
              </w:rPr>
              <w:t>分）</w:t>
            </w:r>
          </w:p>
          <w:p>
            <w:pPr>
              <w:pStyle w:val="24"/>
              <w:ind w:firstLine="0" w:firstLineChars="0"/>
              <w:rPr>
                <w:rFonts w:hint="default" w:ascii="宋体" w:hAnsi="宋体" w:eastAsia="宋体" w:cs="宋体"/>
                <w:color w:val="000000" w:themeColor="text1"/>
                <w:szCs w:val="22"/>
                <w:lang w:val="en-US" w:eastAsia="zh-CN"/>
                <w14:textFill>
                  <w14:solidFill>
                    <w14:schemeClr w14:val="tx1"/>
                  </w14:solidFill>
                </w14:textFill>
              </w:rPr>
            </w:pPr>
            <w:r>
              <w:rPr>
                <w:rFonts w:hint="eastAsia" w:ascii="宋体" w:hAnsi="宋体" w:cs="宋体"/>
                <w:color w:val="000000" w:themeColor="text1"/>
                <w:szCs w:val="22"/>
                <w14:textFill>
                  <w14:solidFill>
                    <w14:schemeClr w14:val="tx1"/>
                  </w14:solidFill>
                </w14:textFill>
              </w:rPr>
              <w:t>根据</w:t>
            </w:r>
            <w:r>
              <w:rPr>
                <w:rFonts w:ascii="宋体" w:hAnsi="宋体" w:cs="宋体"/>
                <w:color w:val="000000" w:themeColor="text1"/>
                <w:szCs w:val="22"/>
                <w14:textFill>
                  <w14:solidFill>
                    <w14:schemeClr w14:val="tx1"/>
                  </w14:solidFill>
                </w14:textFill>
              </w:rPr>
              <w:t>针对本项目提出的安全控制目标、任务、方法、安全检查制度、安全措施全面可行，可操作性强、针对本项目可能遇到的各种突发情况分析全面详尽，制定的应急方案可操作性</w:t>
            </w:r>
            <w:r>
              <w:rPr>
                <w:rFonts w:hint="eastAsia" w:ascii="宋体" w:hAnsi="宋体" w:cs="宋体"/>
                <w:color w:val="000000" w:themeColor="text1"/>
                <w:szCs w:val="22"/>
                <w14:textFill>
                  <w14:solidFill>
                    <w14:schemeClr w14:val="tx1"/>
                  </w14:solidFill>
                </w14:textFill>
              </w:rPr>
              <w:t>等内容打分，</w:t>
            </w:r>
            <w:r>
              <w:rPr>
                <w:rFonts w:hint="eastAsia" w:ascii="宋体" w:hAnsi="宋体" w:cs="宋体"/>
                <w:color w:val="000000" w:themeColor="text1"/>
                <w:szCs w:val="22"/>
                <w:lang w:val="en-US" w:eastAsia="zh-CN"/>
                <w14:textFill>
                  <w14:solidFill>
                    <w14:schemeClr w14:val="tx1"/>
                  </w14:solidFill>
                </w14:textFill>
              </w:rPr>
              <w:t xml:space="preserve">优秀5-6分  合格2-5分 一般1-2分 没有不得分。 </w:t>
            </w:r>
          </w:p>
          <w:p>
            <w:pPr>
              <w:pStyle w:val="24"/>
              <w:ind w:firstLine="0" w:firstLineChars="0"/>
              <w:rPr>
                <w:rFonts w:ascii="宋体" w:hAnsi="宋体" w:cs="宋体"/>
                <w:b/>
                <w:bCs/>
                <w:color w:val="000000" w:themeColor="text1"/>
                <w:szCs w:val="22"/>
                <w14:textFill>
                  <w14:solidFill>
                    <w14:schemeClr w14:val="tx1"/>
                  </w14:solidFill>
                </w14:textFill>
              </w:rPr>
            </w:pPr>
            <w:r>
              <w:rPr>
                <w:rFonts w:hint="eastAsia" w:ascii="宋体" w:hAnsi="宋体" w:cs="宋体"/>
                <w:b/>
                <w:bCs/>
                <w:color w:val="000000" w:themeColor="text1"/>
                <w:szCs w:val="22"/>
                <w14:textFill>
                  <w14:solidFill>
                    <w14:schemeClr w14:val="tx1"/>
                  </w14:solidFill>
                </w14:textFill>
              </w:rPr>
              <w:t>6、合同和信息控制措施（</w:t>
            </w:r>
            <w:r>
              <w:rPr>
                <w:rFonts w:ascii="宋体" w:hAnsi="宋体" w:cs="宋体"/>
                <w:b/>
                <w:bCs/>
                <w:color w:val="000000" w:themeColor="text1"/>
                <w:szCs w:val="22"/>
                <w14:textFill>
                  <w14:solidFill>
                    <w14:schemeClr w14:val="tx1"/>
                  </w14:solidFill>
                </w14:textFill>
              </w:rPr>
              <w:t>4</w:t>
            </w:r>
            <w:r>
              <w:rPr>
                <w:rFonts w:hint="eastAsia" w:ascii="宋体" w:hAnsi="宋体" w:cs="宋体"/>
                <w:b/>
                <w:bCs/>
                <w:color w:val="000000" w:themeColor="text1"/>
                <w:szCs w:val="22"/>
                <w14:textFill>
                  <w14:solidFill>
                    <w14:schemeClr w14:val="tx1"/>
                  </w14:solidFill>
                </w14:textFill>
              </w:rPr>
              <w:t>分）</w:t>
            </w:r>
          </w:p>
          <w:p>
            <w:pPr>
              <w:rPr>
                <w:rFonts w:ascii="宋体" w:hAnsi="宋体" w:eastAsia="宋体"/>
                <w:color w:val="000000" w:themeColor="text1"/>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根据</w:t>
            </w:r>
            <w:r>
              <w:rPr>
                <w:rFonts w:ascii="宋体" w:hAnsi="宋体" w:eastAsia="宋体"/>
                <w:color w:val="000000" w:themeColor="text1"/>
                <w14:textFill>
                  <w14:solidFill>
                    <w14:schemeClr w14:val="tx1"/>
                  </w14:solidFill>
                </w14:textFill>
              </w:rPr>
              <w:t>合同和信息控制措施内容全面、清晰，有利于项目</w:t>
            </w:r>
            <w:r>
              <w:rPr>
                <w:rFonts w:ascii="宋体" w:hAnsi="宋体" w:eastAsia="宋体" w:cs="宋体"/>
                <w:color w:val="000000" w:themeColor="text1"/>
                <w:szCs w:val="22"/>
                <w14:textFill>
                  <w14:solidFill>
                    <w14:schemeClr w14:val="tx1"/>
                  </w14:solidFill>
                </w14:textFill>
              </w:rPr>
              <w:t>实施</w:t>
            </w:r>
            <w:r>
              <w:rPr>
                <w:rFonts w:hint="eastAsia" w:ascii="宋体" w:hAnsi="宋体" w:eastAsia="宋体" w:cs="宋体"/>
                <w:color w:val="000000" w:themeColor="text1"/>
                <w:szCs w:val="22"/>
                <w14:textFill>
                  <w14:solidFill>
                    <w14:schemeClr w14:val="tx1"/>
                  </w14:solidFill>
                </w14:textFill>
              </w:rPr>
              <w:t>等内容打分，</w:t>
            </w:r>
            <w:r>
              <w:rPr>
                <w:rFonts w:hint="eastAsia" w:ascii="宋体" w:hAnsi="宋体" w:cs="宋体"/>
                <w:color w:val="000000" w:themeColor="text1"/>
                <w:szCs w:val="22"/>
                <w:lang w:val="en-US" w:eastAsia="zh-CN"/>
                <w14:textFill>
                  <w14:solidFill>
                    <w14:schemeClr w14:val="tx1"/>
                  </w14:solidFill>
                </w14:textFill>
              </w:rPr>
              <w:t>优秀3-4分 合格1-3分 一般1分 没有不得分</w:t>
            </w:r>
            <w:r>
              <w:rPr>
                <w:rFonts w:hint="eastAsia" w:ascii="宋体" w:hAnsi="宋体" w:eastAsia="宋体" w:cs="宋体"/>
                <w:color w:val="000000" w:themeColor="text1"/>
                <w:szCs w:val="22"/>
                <w14:textFill>
                  <w14:solidFill>
                    <w14:schemeClr w14:val="tx1"/>
                  </w14:solidFill>
                </w14:textFill>
              </w:rPr>
              <w:t>。</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29</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660" w:hRule="atLeast"/>
        </w:trPr>
        <w:tc>
          <w:tcPr>
            <w:tcW w:w="709" w:type="dxa"/>
            <w:vMerge w:val="continue"/>
            <w:tcBorders>
              <w:left w:val="single" w:color="auto" w:sz="4" w:space="0"/>
              <w:right w:val="single" w:color="auto" w:sz="4" w:space="0"/>
            </w:tcBorders>
            <w:vAlign w:val="center"/>
          </w:tcPr>
          <w:p>
            <w:pPr>
              <w:spacing w:line="500" w:lineRule="exact"/>
              <w:jc w:val="center"/>
              <w:rPr>
                <w:rFonts w:ascii="宋体" w:hAnsi="宋体" w:eastAsia="宋体" w:cs="宋体"/>
                <w:b/>
                <w:bCs/>
                <w:color w:val="000000" w:themeColor="text1"/>
                <w14:textFill>
                  <w14:solidFill>
                    <w14:schemeClr w14:val="tx1"/>
                  </w14:solidFill>
                </w14:textFill>
              </w:rPr>
            </w:pPr>
          </w:p>
        </w:tc>
        <w:tc>
          <w:tcPr>
            <w:tcW w:w="1559"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6237" w:type="dxa"/>
            <w:gridSpan w:val="3"/>
            <w:tcBorders>
              <w:top w:val="single" w:color="auto" w:sz="4" w:space="0"/>
              <w:left w:val="single" w:color="auto" w:sz="4" w:space="0"/>
              <w:bottom w:val="single" w:color="auto" w:sz="4" w:space="0"/>
              <w:right w:val="single" w:color="auto" w:sz="4" w:space="0"/>
            </w:tcBorders>
            <w:vAlign w:val="center"/>
          </w:tcPr>
          <w:p>
            <w:pPr>
              <w:pStyle w:val="24"/>
              <w:ind w:firstLine="0" w:firstLineChars="0"/>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考虑到招标人对本项目建设过程管理的可控性要求，为提高项目管理的效率和科学性，投标人针对本项目提供全电子化管理服务方案，包括但不限于在多端应用、全程管理、全电子、全程可视、全域管理，从建设到交付的全局专项服务解决方案。</w:t>
            </w:r>
          </w:p>
          <w:p>
            <w:pPr>
              <w:pStyle w:val="24"/>
              <w:ind w:firstLine="0" w:firstLineChars="0"/>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Cs w:val="22"/>
                <w:lang w:val="en-US" w:eastAsia="zh-CN"/>
                <w14:textFill>
                  <w14:solidFill>
                    <w14:schemeClr w14:val="tx1"/>
                  </w14:solidFill>
                </w14:textFill>
              </w:rPr>
              <w:t>优秀3-4分 合格1-3分 一般1分 没有不得分</w:t>
            </w:r>
            <w:r>
              <w:rPr>
                <w:rFonts w:hint="eastAsia" w:ascii="宋体" w:hAnsi="宋体" w:cs="宋体"/>
                <w:color w:val="000000" w:themeColor="text1"/>
                <w:szCs w:val="22"/>
                <w14:textFill>
                  <w14:solidFill>
                    <w14:schemeClr w14:val="tx1"/>
                  </w14:solidFill>
                </w14:textFill>
              </w:rPr>
              <w:t>，</w:t>
            </w:r>
          </w:p>
          <w:p>
            <w:pPr>
              <w:pStyle w:val="24"/>
              <w:ind w:firstLine="0" w:firstLineChars="0"/>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内容未提供或无任何针对性、可行性，本项不得分。</w:t>
            </w:r>
          </w:p>
          <w:p>
            <w:pPr>
              <w:ind w:firstLine="420" w:firstLineChars="200"/>
              <w:rPr>
                <w:rFonts w:ascii="宋体" w:hAnsi="宋体" w:eastAsia="宋体" w:cs="宋体"/>
                <w:color w:val="000000" w:themeColor="text1"/>
                <w14:textFill>
                  <w14:solidFill>
                    <w14:schemeClr w14:val="tx1"/>
                  </w14:solidFill>
                </w14:textFill>
              </w:rPr>
            </w:pP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4</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70" w:hRule="atLeast"/>
        </w:trPr>
        <w:tc>
          <w:tcPr>
            <w:tcW w:w="709" w:type="dxa"/>
            <w:vMerge w:val="restart"/>
            <w:tcBorders>
              <w:left w:val="single" w:color="auto" w:sz="4" w:space="0"/>
              <w:right w:val="single" w:color="auto" w:sz="4" w:space="0"/>
            </w:tcBorders>
            <w:vAlign w:val="center"/>
          </w:tcPr>
          <w:p>
            <w:pPr>
              <w:spacing w:line="500" w:lineRule="exact"/>
              <w:jc w:val="center"/>
              <w:rPr>
                <w:rFonts w:hint="eastAsia"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2</w:t>
            </w:r>
          </w:p>
        </w:tc>
        <w:tc>
          <w:tcPr>
            <w:tcW w:w="1559" w:type="dxa"/>
            <w:gridSpan w:val="3"/>
            <w:vMerge w:val="restart"/>
            <w:tcBorders>
              <w:top w:val="single" w:color="auto" w:sz="4" w:space="0"/>
              <w:left w:val="single" w:color="auto" w:sz="4" w:space="0"/>
              <w:right w:val="single" w:color="auto" w:sz="4" w:space="0"/>
            </w:tcBorders>
            <w:vAlign w:val="center"/>
          </w:tcPr>
          <w:p>
            <w:pPr>
              <w:jc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监理团队</w:t>
            </w:r>
            <w:r>
              <w:rPr>
                <w:rFonts w:hint="eastAsia"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lang w:val="en-US" w:eastAsia="zh-CN"/>
                <w14:textFill>
                  <w14:solidFill>
                    <w14:schemeClr w14:val="tx1"/>
                  </w14:solidFill>
                </w14:textFill>
              </w:rPr>
              <w:t>25</w:t>
            </w:r>
            <w:r>
              <w:rPr>
                <w:rFonts w:hint="eastAsia" w:ascii="宋体" w:hAnsi="宋体" w:eastAsia="宋体" w:cs="宋体"/>
                <w:color w:val="000000" w:themeColor="text1"/>
                <w:kern w:val="0"/>
                <w:szCs w:val="21"/>
                <w14:textFill>
                  <w14:solidFill>
                    <w14:schemeClr w14:val="tx1"/>
                  </w14:solidFill>
                </w14:textFill>
              </w:rPr>
              <w:t>分）</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总监理工程师具备以下资质：</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信息系统项目管理师（人社部颁发）；</w:t>
            </w:r>
            <w:r>
              <w:rPr>
                <w:rFonts w:ascii="宋体" w:hAnsi="宋体" w:eastAsia="宋体" w:cs="宋体"/>
                <w:color w:val="000000" w:themeColor="text1"/>
                <w14:textFill>
                  <w14:solidFill>
                    <w14:schemeClr w14:val="tx1"/>
                  </w14:solidFill>
                </w14:textFill>
              </w:rPr>
              <w:t xml:space="preserve">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)系统集成项目管理工程师（人社部颁发）；</w:t>
            </w:r>
            <w:r>
              <w:rPr>
                <w:rFonts w:ascii="宋体" w:hAnsi="宋体" w:eastAsia="宋体" w:cs="宋体"/>
                <w:color w:val="000000" w:themeColor="text1"/>
                <w14:textFill>
                  <w14:solidFill>
                    <w14:schemeClr w14:val="tx1"/>
                  </w14:solidFill>
                </w14:textFill>
              </w:rPr>
              <w:t xml:space="preserve">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一级建造师（机电工程，须注册在投标单位）（人社部颁发）；</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监理工程师（人社部颁发，须注册在投标单位）；</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系统规划与管理师（人社部颁发）。</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每具备一项得</w:t>
            </w:r>
            <w:r>
              <w:rPr>
                <w:rFonts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分，最高得1</w:t>
            </w:r>
            <w:r>
              <w:rPr>
                <w:rFonts w:ascii="宋体" w:hAnsi="宋体" w:eastAsia="宋体" w:cs="宋体"/>
                <w:color w:val="000000" w:themeColor="text1"/>
                <w14:textFill>
                  <w14:solidFill>
                    <w14:schemeClr w14:val="tx1"/>
                  </w14:solidFill>
                </w14:textFill>
              </w:rPr>
              <w:t>0</w:t>
            </w:r>
            <w:r>
              <w:rPr>
                <w:rFonts w:hint="eastAsia" w:ascii="宋体" w:hAnsi="宋体" w:eastAsia="宋体" w:cs="宋体"/>
                <w:color w:val="000000" w:themeColor="text1"/>
                <w14:textFill>
                  <w14:solidFill>
                    <w14:schemeClr w14:val="tx1"/>
                  </w14:solidFill>
                </w14:textFill>
              </w:rPr>
              <w:t>分。</w:t>
            </w:r>
          </w:p>
          <w:p>
            <w:pPr>
              <w:ind w:firstLine="42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注：复印件或扫描件加盖公章装入投标文件，否则不得分；必须同时具备信息系统监理师证书；提供投标人自2</w:t>
            </w:r>
            <w:r>
              <w:rPr>
                <w:rFonts w:ascii="宋体" w:hAnsi="宋体" w:eastAsia="宋体" w:cs="宋体"/>
                <w:b/>
                <w:bCs/>
                <w:color w:val="000000" w:themeColor="text1"/>
                <w14:textFill>
                  <w14:solidFill>
                    <w14:schemeClr w14:val="tx1"/>
                  </w14:solidFill>
                </w14:textFill>
              </w:rPr>
              <w:t>022</w:t>
            </w:r>
            <w:r>
              <w:rPr>
                <w:rFonts w:hint="eastAsia" w:ascii="宋体" w:hAnsi="宋体" w:eastAsia="宋体" w:cs="宋体"/>
                <w:b/>
                <w:bCs/>
                <w:color w:val="000000" w:themeColor="text1"/>
                <w14:textFill>
                  <w14:solidFill>
                    <w14:schemeClr w14:val="tx1"/>
                  </w14:solidFill>
                </w14:textFill>
              </w:rPr>
              <w:t>年以来为其缴纳的任意连续 3 个月社保证明（社保管理单位出具，社保缴纳单位必须与投标人名称一致，不含分公司或子公司）。</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hint="eastAsia" w:ascii="宋体" w:hAnsi="宋体" w:eastAsia="宋体" w:cs="宋体"/>
                <w:b/>
                <w:bCs/>
                <w:color w:val="000000" w:themeColor="text1"/>
                <w:lang w:val="en-US" w:eastAsia="zh-CN"/>
                <w14:textFill>
                  <w14:solidFill>
                    <w14:schemeClr w14:val="tx1"/>
                  </w14:solidFill>
                </w14:textFill>
              </w:rPr>
              <w:t>0</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841" w:hRule="atLeast"/>
        </w:trPr>
        <w:tc>
          <w:tcPr>
            <w:tcW w:w="709" w:type="dxa"/>
            <w:vMerge w:val="continue"/>
            <w:tcBorders>
              <w:left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1559" w:type="dxa"/>
            <w:gridSpan w:val="3"/>
            <w:vMerge w:val="continue"/>
            <w:tcBorders>
              <w:left w:val="single" w:color="auto" w:sz="4" w:space="0"/>
              <w:right w:val="single" w:color="auto" w:sz="4" w:space="0"/>
            </w:tcBorders>
            <w:vAlign w:val="center"/>
          </w:tcPr>
          <w:p>
            <w:pPr>
              <w:jc w:val="center"/>
              <w:rPr>
                <w:rFonts w:hint="default" w:ascii="宋体" w:hAnsi="宋体" w:eastAsia="宋体"/>
                <w:color w:val="000000" w:themeColor="text1"/>
                <w:szCs w:val="21"/>
                <w:lang w:val="en-US" w:eastAsia="zh-CN"/>
                <w14:textFill>
                  <w14:solidFill>
                    <w14:schemeClr w14:val="tx1"/>
                  </w14:solidFill>
                </w14:textFill>
              </w:rPr>
            </w:pPr>
          </w:p>
        </w:tc>
        <w:tc>
          <w:tcPr>
            <w:tcW w:w="623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总监理工程师代表具备以下资质：</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信息系统项目管理师（人社部颁发）；</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系统架构设计师（人社部颁发）；</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软件评测师（人社部颁发）；</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信息安全工程师（人社部颁发）；</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系统集成项目管理工程师（人社部颁发）；</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每具备一项得</w:t>
            </w: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分，最高得</w:t>
            </w:r>
            <w:r>
              <w:rPr>
                <w:rFonts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分。</w:t>
            </w:r>
          </w:p>
          <w:p>
            <w:pPr>
              <w:spacing w:line="240" w:lineRule="atLeast"/>
              <w:ind w:firstLine="422" w:firstLineChars="200"/>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注：复印件或扫描件加盖公章装入投标文件，否则不得分；必须同时具备信息系统监理师证书；提供投标人自2</w:t>
            </w:r>
            <w:r>
              <w:rPr>
                <w:rFonts w:ascii="宋体" w:hAnsi="宋体" w:eastAsia="宋体" w:cs="宋体"/>
                <w:b/>
                <w:bCs/>
                <w:color w:val="000000" w:themeColor="text1"/>
                <w14:textFill>
                  <w14:solidFill>
                    <w14:schemeClr w14:val="tx1"/>
                  </w14:solidFill>
                </w14:textFill>
              </w:rPr>
              <w:t>022</w:t>
            </w:r>
            <w:r>
              <w:rPr>
                <w:rFonts w:hint="eastAsia" w:ascii="宋体" w:hAnsi="宋体" w:eastAsia="宋体" w:cs="宋体"/>
                <w:b/>
                <w:bCs/>
                <w:color w:val="000000" w:themeColor="text1"/>
                <w14:textFill>
                  <w14:solidFill>
                    <w14:schemeClr w14:val="tx1"/>
                  </w14:solidFill>
                </w14:textFill>
              </w:rPr>
              <w:t>年以来为其缴纳的任意连续 3 个月社保证明（社保管理单位出具，社保缴纳单位必须与投标人名称一致，不含分公司或子公司）。</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5</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1409" w:hRule="atLeast"/>
        </w:trPr>
        <w:tc>
          <w:tcPr>
            <w:tcW w:w="709" w:type="dxa"/>
            <w:vMerge w:val="continue"/>
            <w:tcBorders>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1559" w:type="dxa"/>
            <w:gridSpan w:val="3"/>
            <w:vMerge w:val="continue"/>
            <w:tcBorders>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Cs w:val="21"/>
                <w:lang w:val="en-US" w:eastAsia="zh-CN"/>
                <w14:textFill>
                  <w14:solidFill>
                    <w14:schemeClr w14:val="tx1"/>
                  </w14:solidFill>
                </w14:textFill>
              </w:rPr>
            </w:pPr>
          </w:p>
        </w:tc>
        <w:tc>
          <w:tcPr>
            <w:tcW w:w="623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监理团队其他人员（除总监及总监代表外）具备以下资质：</w:t>
            </w:r>
          </w:p>
          <w:p>
            <w:pPr>
              <w:widowControl/>
              <w:jc w:val="lef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kern w:val="0"/>
                <w14:textFill>
                  <w14:solidFill>
                    <w14:schemeClr w14:val="tx1"/>
                  </w14:solidFill>
                </w14:textFill>
              </w:rPr>
              <w:t>信息系统项目管理师</w:t>
            </w:r>
            <w:r>
              <w:rPr>
                <w:rFonts w:hint="eastAsia" w:ascii="宋体" w:hAnsi="宋体" w:eastAsia="宋体" w:cs="宋体"/>
                <w:color w:val="000000" w:themeColor="text1"/>
                <w14:textFill>
                  <w14:solidFill>
                    <w14:schemeClr w14:val="tx1"/>
                  </w14:solidFill>
                </w14:textFill>
              </w:rPr>
              <w:t>（人社部颁发）；</w:t>
            </w:r>
          </w:p>
          <w:p>
            <w:pPr>
              <w:widowControl/>
              <w:jc w:val="lef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网络规划设计师（人社部颁发）；</w:t>
            </w:r>
          </w:p>
          <w:p>
            <w:pPr>
              <w:widowControl/>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数据库系统工程师（人社部颁发）；</w:t>
            </w:r>
          </w:p>
          <w:p>
            <w:pPr>
              <w:widowControl/>
              <w:jc w:val="lef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系统集成项目管理工程师（人社部颁发）；</w:t>
            </w:r>
          </w:p>
          <w:p>
            <w:pPr>
              <w:widowControl/>
              <w:jc w:val="lef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一级建造师（机电工程、须注册在投标单位）（人社部颁发）；</w:t>
            </w:r>
          </w:p>
          <w:p>
            <w:pPr>
              <w:widowControl/>
              <w:jc w:val="lef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软件评测师（人社部颁发）；</w:t>
            </w:r>
          </w:p>
          <w:p>
            <w:pPr>
              <w:widowControl/>
              <w:jc w:val="lef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(7)</w:t>
            </w:r>
            <w:r>
              <w:rPr>
                <w:rFonts w:hint="eastAsia" w:ascii="宋体" w:hAnsi="宋体" w:eastAsia="宋体" w:cs="宋体"/>
                <w:color w:val="000000" w:themeColor="text1"/>
                <w14:textFill>
                  <w14:solidFill>
                    <w14:schemeClr w14:val="tx1"/>
                  </w14:solidFill>
                </w14:textFill>
              </w:rPr>
              <w:t>软件工程造价师（工信部教育与考试中心颁发）；</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8)</w:t>
            </w:r>
            <w:r>
              <w:rPr>
                <w:rFonts w:hint="eastAsia" w:ascii="宋体" w:hAnsi="宋体" w:eastAsia="宋体" w:cs="宋体"/>
                <w:color w:val="000000" w:themeColor="text1"/>
                <w14:textFill>
                  <w14:solidFill>
                    <w14:schemeClr w14:val="tx1"/>
                  </w14:solidFill>
                </w14:textFill>
              </w:rPr>
              <w:t>网络工程师（人社部颁发）；</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9)</w:t>
            </w:r>
            <w:r>
              <w:fldChar w:fldCharType="begin"/>
            </w:r>
            <w:r>
              <w:instrText xml:space="preserve"> HYPERLINK "https://www.ruankao.org.cn/introduction/details?code=02_46" \o "信息系统管理工程师" </w:instrText>
            </w:r>
            <w:r>
              <w:fldChar w:fldCharType="separate"/>
            </w:r>
            <w:r>
              <w:rPr>
                <w:rFonts w:hint="eastAsia" w:ascii="宋体" w:hAnsi="宋体" w:eastAsia="宋体" w:cs="宋体"/>
                <w:color w:val="000000" w:themeColor="text1"/>
                <w14:textFill>
                  <w14:solidFill>
                    <w14:schemeClr w14:val="tx1"/>
                  </w14:solidFill>
                </w14:textFill>
              </w:rPr>
              <w:t>信息系统管理工程师</w:t>
            </w:r>
            <w:r>
              <w:rPr>
                <w:rFonts w:hint="eastAsia" w:ascii="宋体" w:hAnsi="宋体" w:eastAsia="宋体" w:cs="宋体"/>
                <w:color w:val="000000" w:themeColor="text1"/>
                <w14:textFill>
                  <w14:solidFill>
                    <w14:schemeClr w14:val="tx1"/>
                  </w14:solidFill>
                </w14:textFill>
              </w:rPr>
              <w:fldChar w:fldCharType="end"/>
            </w:r>
            <w:r>
              <w:rPr>
                <w:rFonts w:hint="eastAsia" w:ascii="宋体" w:hAnsi="宋体" w:eastAsia="宋体" w:cs="宋体"/>
                <w:color w:val="000000" w:themeColor="text1"/>
                <w14:textFill>
                  <w14:solidFill>
                    <w14:schemeClr w14:val="tx1"/>
                  </w14:solidFill>
                </w14:textFill>
              </w:rPr>
              <w:t>（人社部颁发）；</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(10)</w:t>
            </w:r>
            <w:r>
              <w:rPr>
                <w:rFonts w:hint="eastAsia" w:ascii="宋体" w:hAnsi="宋体" w:eastAsia="宋体" w:cs="宋体"/>
                <w:color w:val="000000" w:themeColor="text1"/>
                <w14:textFill>
                  <w14:solidFill>
                    <w14:schemeClr w14:val="tx1"/>
                  </w14:solidFill>
                </w14:textFill>
              </w:rPr>
              <w:t>系统规划与管理师（人社部颁发）。</w:t>
            </w:r>
          </w:p>
          <w:p>
            <w:pPr>
              <w:spacing w:line="240" w:lineRule="atLeas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每具备一项得</w:t>
            </w: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分，最高得</w:t>
            </w:r>
            <w:r>
              <w:rPr>
                <w:rFonts w:ascii="宋体" w:hAnsi="宋体" w:eastAsia="宋体" w:cs="宋体"/>
                <w:color w:val="000000" w:themeColor="text1"/>
                <w14:textFill>
                  <w14:solidFill>
                    <w14:schemeClr w14:val="tx1"/>
                  </w14:solidFill>
                </w14:textFill>
              </w:rPr>
              <w:t>10</w:t>
            </w:r>
            <w:r>
              <w:rPr>
                <w:rFonts w:hint="eastAsia" w:ascii="宋体" w:hAnsi="宋体" w:eastAsia="宋体" w:cs="宋体"/>
                <w:color w:val="000000" w:themeColor="text1"/>
                <w14:textFill>
                  <w14:solidFill>
                    <w14:schemeClr w14:val="tx1"/>
                  </w14:solidFill>
                </w14:textFill>
              </w:rPr>
              <w:t>分。</w:t>
            </w:r>
          </w:p>
          <w:p>
            <w:pPr>
              <w:spacing w:line="240" w:lineRule="atLeast"/>
              <w:ind w:firstLine="422"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注：同一证书不累计计分，同一人员具有多个证书的只计一个证书得分；复印件或扫描件加盖公章装入投标文件，否则不得分；以上人员必须同时具备信息系统监理师证书；提供投标人自2</w:t>
            </w:r>
            <w:r>
              <w:rPr>
                <w:rFonts w:ascii="宋体" w:hAnsi="宋体" w:eastAsia="宋体" w:cs="宋体"/>
                <w:b/>
                <w:bCs/>
                <w:color w:val="000000" w:themeColor="text1"/>
                <w14:textFill>
                  <w14:solidFill>
                    <w14:schemeClr w14:val="tx1"/>
                  </w14:solidFill>
                </w14:textFill>
              </w:rPr>
              <w:t>022</w:t>
            </w:r>
            <w:r>
              <w:rPr>
                <w:rFonts w:hint="eastAsia" w:ascii="宋体" w:hAnsi="宋体" w:eastAsia="宋体" w:cs="宋体"/>
                <w:b/>
                <w:bCs/>
                <w:color w:val="000000" w:themeColor="text1"/>
                <w14:textFill>
                  <w14:solidFill>
                    <w14:schemeClr w14:val="tx1"/>
                  </w14:solidFill>
                </w14:textFill>
              </w:rPr>
              <w:t>年以来为其缴纳的任意连续 3 个月社保证明（社保管理单位出具，社保缴纳单位必须与投标人名称一致，不含分公司或子公司）。</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10</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1708" w:hRule="atLeast"/>
        </w:trPr>
        <w:tc>
          <w:tcPr>
            <w:tcW w:w="709" w:type="dxa"/>
            <w:vMerge w:val="restart"/>
            <w:tcBorders>
              <w:top w:val="single" w:color="auto" w:sz="4" w:space="0"/>
              <w:left w:val="single" w:color="auto" w:sz="4" w:space="0"/>
              <w:right w:val="single" w:color="auto" w:sz="4" w:space="0"/>
            </w:tcBorders>
            <w:vAlign w:val="center"/>
          </w:tcPr>
          <w:p>
            <w:pPr>
              <w:spacing w:line="500" w:lineRule="exact"/>
              <w:jc w:val="center"/>
              <w:rPr>
                <w:rFonts w:hint="default"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3</w:t>
            </w:r>
          </w:p>
        </w:tc>
        <w:tc>
          <w:tcPr>
            <w:tcW w:w="1559" w:type="dxa"/>
            <w:gridSpan w:val="3"/>
            <w:vMerge w:val="restart"/>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000000" w:themeColor="text1"/>
                <w:szCs w:val="21"/>
                <w14:textFill>
                  <w14:solidFill>
                    <w14:schemeClr w14:val="tx1"/>
                  </w14:solidFill>
                </w14:textFill>
              </w:rPr>
            </w:pPr>
          </w:p>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企业实力</w:t>
            </w:r>
          </w:p>
          <w:p>
            <w:pPr>
              <w:jc w:val="center"/>
              <w:rPr>
                <w:rFonts w:hint="eastAsia" w:ascii="宋体" w:hAnsi="宋体" w:eastAsia="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12</w:t>
            </w:r>
            <w:r>
              <w:rPr>
                <w:rFonts w:hint="eastAsia" w:ascii="宋体" w:hAnsi="宋体" w:eastAsia="宋体" w:cs="宋体"/>
                <w:color w:val="000000" w:themeColor="text1"/>
                <w14:textFill>
                  <w14:solidFill>
                    <w14:schemeClr w14:val="tx1"/>
                  </w14:solidFill>
                </w14:textFill>
              </w:rPr>
              <w:t>分</w:t>
            </w:r>
            <w:r>
              <w:rPr>
                <w:rFonts w:hint="eastAsia" w:ascii="宋体" w:hAnsi="宋体" w:eastAsia="宋体" w:cs="宋体"/>
                <w:color w:val="000000" w:themeColor="text1"/>
                <w:lang w:eastAsia="zh-CN"/>
                <w14:textFill>
                  <w14:solidFill>
                    <w14:schemeClr w14:val="tx1"/>
                  </w14:solidFill>
                </w14:textFill>
              </w:rPr>
              <w:t>）</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除投标人资格要求业绩外，</w:t>
            </w:r>
            <w:r>
              <w:rPr>
                <w:rFonts w:hint="eastAsia" w:ascii="宋体" w:hAnsi="宋体" w:eastAsia="宋体" w:cs="宋体"/>
                <w:color w:val="000000" w:themeColor="text1"/>
                <w14:textFill>
                  <w14:solidFill>
                    <w14:schemeClr w14:val="tx1"/>
                  </w14:solidFill>
                </w14:textFill>
              </w:rPr>
              <w:t>投标人自</w:t>
            </w:r>
            <w:r>
              <w:rPr>
                <w:rFonts w:ascii="宋体" w:hAnsi="宋体" w:eastAsia="宋体" w:cs="宋体"/>
                <w:color w:val="000000" w:themeColor="text1"/>
                <w14:textFill>
                  <w14:solidFill>
                    <w14:schemeClr w14:val="tx1"/>
                  </w14:solidFill>
                </w14:textFill>
              </w:rPr>
              <w:t>2017</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lang w:val="en-US" w:eastAsia="zh-CN"/>
                <w14:textFill>
                  <w14:solidFill>
                    <w14:schemeClr w14:val="tx1"/>
                  </w14:solidFill>
                </w14:textFill>
              </w:rPr>
              <w:t>以来</w:t>
            </w:r>
            <w:r>
              <w:rPr>
                <w:rFonts w:hint="eastAsia" w:ascii="宋体" w:hAnsi="宋体" w:eastAsia="宋体" w:cs="宋体"/>
                <w:color w:val="000000" w:themeColor="text1"/>
                <w14:textFill>
                  <w14:solidFill>
                    <w14:schemeClr w14:val="tx1"/>
                  </w14:solidFill>
                </w14:textFill>
              </w:rPr>
              <w:t>（以合同签订时间为准）监理过投资额2</w:t>
            </w:r>
            <w:r>
              <w:rPr>
                <w:rFonts w:ascii="宋体" w:hAnsi="宋体" w:eastAsia="宋体" w:cs="宋体"/>
                <w:color w:val="000000" w:themeColor="text1"/>
                <w14:textFill>
                  <w14:solidFill>
                    <w14:schemeClr w14:val="tx1"/>
                  </w14:solidFill>
                </w14:textFill>
              </w:rPr>
              <w:t>000</w:t>
            </w:r>
            <w:r>
              <w:rPr>
                <w:rFonts w:hint="eastAsia" w:ascii="宋体" w:hAnsi="宋体" w:eastAsia="宋体" w:cs="宋体"/>
                <w:color w:val="000000" w:themeColor="text1"/>
                <w14:textFill>
                  <w14:solidFill>
                    <w14:schemeClr w14:val="tx1"/>
                  </w14:solidFill>
                </w14:textFill>
              </w:rPr>
              <w:t>万元（含）以上信息系统工程监理业绩的，每具有一个得</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分，最高得8分。</w:t>
            </w:r>
          </w:p>
          <w:p>
            <w:pPr>
              <w:ind w:firstLine="422" w:firstLineChars="200"/>
              <w:rPr>
                <w:rFonts w:ascii="宋体" w:hAnsi="宋体" w:eastAsia="宋体"/>
                <w:color w:val="000000" w:themeColor="text1"/>
                <w:kern w:val="0"/>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注：同一业绩不重复计分，合同的复印件或扫描件加盖公章装入投标文件，否则不得分。</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8</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491" w:hRule="atLeast"/>
        </w:trPr>
        <w:tc>
          <w:tcPr>
            <w:tcW w:w="709" w:type="dxa"/>
            <w:vMerge w:val="continue"/>
            <w:tcBorders>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1559" w:type="dxa"/>
            <w:gridSpan w:val="3"/>
            <w:vMerge w:val="continue"/>
            <w:tcBorders>
              <w:left w:val="single" w:color="auto" w:sz="4" w:space="0"/>
              <w:bottom w:val="single" w:color="auto" w:sz="4" w:space="0"/>
              <w:right w:val="single" w:color="auto" w:sz="4" w:space="0"/>
            </w:tcBorders>
            <w:vAlign w:val="center"/>
          </w:tcPr>
          <w:p>
            <w:pPr>
              <w:jc w:val="center"/>
              <w:rPr>
                <w:rFonts w:hint="eastAsia" w:ascii="宋体" w:hAnsi="宋体" w:eastAsia="宋体"/>
                <w:color w:val="000000" w:themeColor="text1"/>
                <w:lang w:val="en-US" w:eastAsia="zh-CN"/>
                <w14:textFill>
                  <w14:solidFill>
                    <w14:schemeClr w14:val="tx1"/>
                  </w14:solidFill>
                </w14:textFill>
              </w:rPr>
            </w:pPr>
          </w:p>
        </w:tc>
        <w:tc>
          <w:tcPr>
            <w:tcW w:w="623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 xml:space="preserve">具有有效的信息安全管理体系认证证书，得1分； </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 xml:space="preserve">具有有效的信息技术服务管理体系认证证书，得1分； </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具有有效的信息安全服务资质认证证书，得</w:t>
            </w: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分；</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具有行业</w:t>
            </w:r>
            <w:r>
              <w:rPr>
                <w:rFonts w:hint="eastAsia" w:ascii="宋体" w:hAnsi="宋体" w:eastAsia="宋体" w:cs="宋体"/>
                <w:color w:val="000000" w:themeColor="text1"/>
                <w:lang w:val="en-US" w:eastAsia="zh-CN"/>
                <w14:textFill>
                  <w14:solidFill>
                    <w14:schemeClr w14:val="tx1"/>
                  </w14:solidFill>
                </w14:textFill>
              </w:rPr>
              <w:t>协会</w:t>
            </w:r>
            <w:r>
              <w:rPr>
                <w:rFonts w:hint="eastAsia" w:ascii="宋体" w:hAnsi="宋体" w:eastAsia="宋体" w:cs="宋体"/>
                <w:color w:val="000000" w:themeColor="text1"/>
                <w14:textFill>
                  <w14:solidFill>
                    <w14:schemeClr w14:val="tx1"/>
                  </w14:solidFill>
                </w14:textFill>
              </w:rPr>
              <w:t>颁发的有效的全国电子信息行业优秀企业证书，得</w:t>
            </w:r>
            <w:r>
              <w:rPr>
                <w:rFonts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分。</w:t>
            </w:r>
          </w:p>
          <w:p>
            <w:pPr>
              <w:ind w:firstLine="422" w:firstLineChars="200"/>
              <w:rPr>
                <w:rFonts w:ascii="宋体" w:hAnsi="宋体" w:eastAsia="宋体"/>
                <w:color w:val="000000" w:themeColor="text1"/>
                <w14:textFill>
                  <w14:solidFill>
                    <w14:schemeClr w14:val="tx1"/>
                  </w14:solidFill>
                </w14:textFill>
              </w:rPr>
            </w:pPr>
            <w:r>
              <w:rPr>
                <w:rFonts w:hint="eastAsia" w:ascii="宋体" w:hAnsi="宋体" w:eastAsia="宋体" w:cs="宋体"/>
                <w:b/>
                <w:bCs/>
                <w:color w:val="000000" w:themeColor="text1"/>
                <w:kern w:val="0"/>
                <w14:textFill>
                  <w14:solidFill>
                    <w14:schemeClr w14:val="tx1"/>
                  </w14:solidFill>
                </w14:textFill>
              </w:rPr>
              <w:t>注：以上证书复印件或扫描件加盖公章装入投标文件，否则不得分。</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4</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491" w:hRule="atLeast"/>
        </w:trPr>
        <w:tc>
          <w:tcPr>
            <w:tcW w:w="9492"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r>
              <w:rPr>
                <w:rFonts w:hint="eastAsia" w:ascii="宋体" w:hAnsi="宋体" w:eastAsia="宋体" w:cs="宋体"/>
                <w:b/>
                <w:bCs/>
                <w:color w:val="000000" w:themeColor="text1"/>
                <w:spacing w:val="10"/>
                <w:sz w:val="24"/>
                <w14:textFill>
                  <w14:solidFill>
                    <w14:schemeClr w14:val="tx1"/>
                  </w14:solidFill>
                </w14:textFill>
              </w:rPr>
              <w:t>二、价格评分标准（</w:t>
            </w:r>
            <w:r>
              <w:rPr>
                <w:rFonts w:ascii="宋体" w:hAnsi="宋体" w:eastAsia="宋体" w:cs="宋体"/>
                <w:b/>
                <w:bCs/>
                <w:color w:val="000000" w:themeColor="text1"/>
                <w:spacing w:val="10"/>
                <w:sz w:val="24"/>
                <w14:textFill>
                  <w14:solidFill>
                    <w14:schemeClr w14:val="tx1"/>
                  </w14:solidFill>
                </w14:textFill>
              </w:rPr>
              <w:t>30</w:t>
            </w:r>
            <w:r>
              <w:rPr>
                <w:rFonts w:hint="eastAsia" w:ascii="宋体" w:hAnsi="宋体" w:eastAsia="宋体" w:cs="宋体"/>
                <w:b/>
                <w:bCs/>
                <w:color w:val="000000" w:themeColor="text1"/>
                <w:spacing w:val="10"/>
                <w:sz w:val="24"/>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491" w:hRule="atLeas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4</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价格分</w:t>
            </w:r>
          </w:p>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r>
              <w:rPr>
                <w:rFonts w:ascii="宋体" w:hAnsi="宋体" w:eastAsia="宋体"/>
                <w:color w:val="000000" w:themeColor="text1"/>
                <w14:textFill>
                  <w14:solidFill>
                    <w14:schemeClr w14:val="tx1"/>
                  </w14:solidFill>
                </w14:textFill>
              </w:rPr>
              <w:t>30</w:t>
            </w:r>
            <w:r>
              <w:rPr>
                <w:rFonts w:hint="eastAsia" w:ascii="宋体" w:hAnsi="宋体" w:eastAsia="宋体"/>
                <w:color w:val="000000" w:themeColor="text1"/>
                <w14:textFill>
                  <w14:solidFill>
                    <w14:schemeClr w14:val="tx1"/>
                  </w14:solidFill>
                </w14:textFill>
              </w:rPr>
              <w:t>分）</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pStyle w:val="2"/>
              <w:ind w:left="0" w:leftChars="0"/>
              <w:rPr>
                <w:rFonts w:ascii="宋体" w:hAnsi="宋体" w:eastAsia="宋体" w:cs="仿宋"/>
                <w:color w:val="000000" w:themeColor="text1"/>
                <w:szCs w:val="21"/>
                <w14:textFill>
                  <w14:solidFill>
                    <w14:schemeClr w14:val="tx1"/>
                  </w14:solidFill>
                </w14:textFill>
              </w:rPr>
            </w:pPr>
            <w:r>
              <w:rPr>
                <w:rFonts w:hint="eastAsia" w:ascii="宋体" w:hAnsi="宋体" w:eastAsia="宋体" w:cs="仿宋"/>
                <w:color w:val="000000" w:themeColor="text1"/>
                <w:szCs w:val="21"/>
                <w14:textFill>
                  <w14:solidFill>
                    <w14:schemeClr w14:val="tx1"/>
                  </w14:solidFill>
                </w14:textFill>
              </w:rPr>
              <w:t>满足招标文件要求且投标报价最低的为评标基准价，其投标报价得</w:t>
            </w:r>
            <w:r>
              <w:rPr>
                <w:rFonts w:ascii="宋体" w:hAnsi="宋体" w:eastAsia="宋体" w:cs="仿宋"/>
                <w:color w:val="000000" w:themeColor="text1"/>
                <w:szCs w:val="21"/>
                <w14:textFill>
                  <w14:solidFill>
                    <w14:schemeClr w14:val="tx1"/>
                  </w14:solidFill>
                </w14:textFill>
              </w:rPr>
              <w:t>30</w:t>
            </w:r>
            <w:r>
              <w:rPr>
                <w:rFonts w:hint="eastAsia" w:ascii="宋体" w:hAnsi="宋体" w:eastAsia="宋体" w:cs="仿宋"/>
                <w:color w:val="000000" w:themeColor="text1"/>
                <w:szCs w:val="21"/>
                <w14:textFill>
                  <w14:solidFill>
                    <w14:schemeClr w14:val="tx1"/>
                  </w14:solidFill>
                </w14:textFill>
              </w:rPr>
              <w:t>分，其他投标人的投标报价得分按照下列公式计算：投标报价得分=（评标基准价/投标报价）×</w:t>
            </w:r>
            <w:r>
              <w:rPr>
                <w:rFonts w:ascii="宋体" w:hAnsi="宋体" w:eastAsia="宋体" w:cs="仿宋"/>
                <w:color w:val="000000" w:themeColor="text1"/>
                <w:szCs w:val="21"/>
                <w14:textFill>
                  <w14:solidFill>
                    <w14:schemeClr w14:val="tx1"/>
                  </w14:solidFill>
                </w14:textFill>
              </w:rPr>
              <w:t>3</w:t>
            </w:r>
            <w:r>
              <w:rPr>
                <w:rFonts w:hint="eastAsia" w:ascii="宋体" w:hAnsi="宋体" w:eastAsia="宋体" w:cs="仿宋"/>
                <w:color w:val="000000" w:themeColor="text1"/>
                <w:szCs w:val="21"/>
                <w14:textFill>
                  <w14:solidFill>
                    <w14:schemeClr w14:val="tx1"/>
                  </w14:solidFill>
                </w14:textFill>
              </w:rPr>
              <w:t>0，四舍五入小数点后保留两位。</w:t>
            </w: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ascii="宋体" w:hAnsi="宋体" w:eastAsia="宋体" w:cs="宋体"/>
                <w:b/>
                <w:bCs/>
                <w:color w:val="000000" w:themeColor="text1"/>
                <w14:textFill>
                  <w14:solidFill>
                    <w14:schemeClr w14:val="tx1"/>
                  </w14:solidFill>
                </w14:textFill>
              </w:rPr>
              <w:t>30</w:t>
            </w:r>
            <w:r>
              <w:rPr>
                <w:rFonts w:hint="eastAsia" w:ascii="宋体" w:hAnsi="宋体" w:eastAsia="宋体" w:cs="宋体"/>
                <w:b/>
                <w:bCs/>
                <w:color w:val="000000" w:themeColor="text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Height w:val="491" w:hRule="atLeas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eastAsia="宋体"/>
                <w:b/>
                <w:bCs/>
                <w:color w:val="000000" w:themeColor="text1"/>
                <w14:textFill>
                  <w14:solidFill>
                    <w14:schemeClr w14:val="tx1"/>
                  </w14:solidFill>
                </w14:textFill>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合计</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000000" w:themeColor="text1"/>
                <w14:textFill>
                  <w14:solidFill>
                    <w14:schemeClr w14:val="tx1"/>
                  </w14:solidFill>
                </w14:textFill>
              </w:rPr>
            </w:pPr>
          </w:p>
        </w:tc>
        <w:tc>
          <w:tcPr>
            <w:tcW w:w="98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34" w:firstLineChars="16"/>
              <w:jc w:val="center"/>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1</w:t>
            </w:r>
            <w:r>
              <w:rPr>
                <w:rFonts w:ascii="宋体" w:hAnsi="宋体" w:eastAsia="宋体" w:cs="宋体"/>
                <w:b/>
                <w:bCs/>
                <w:color w:val="000000" w:themeColor="text1"/>
                <w14:textFill>
                  <w14:solidFill>
                    <w14:schemeClr w14:val="tx1"/>
                  </w14:solidFill>
                </w14:textFill>
              </w:rPr>
              <w:t>00</w:t>
            </w:r>
            <w:r>
              <w:rPr>
                <w:rFonts w:hint="eastAsia" w:ascii="宋体" w:hAnsi="宋体" w:eastAsia="宋体" w:cs="宋体"/>
                <w:b/>
                <w:bCs/>
                <w:color w:val="000000" w:themeColor="text1"/>
                <w14:textFill>
                  <w14:solidFill>
                    <w14:schemeClr w14:val="tx1"/>
                  </w14:solidFill>
                </w14:textFill>
              </w:rPr>
              <w:t>分</w:t>
            </w:r>
          </w:p>
        </w:tc>
      </w:tr>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24" w:name="_Toc152042367"/>
      <w:bookmarkStart w:id="25" w:name="_Toc246996233"/>
      <w:bookmarkStart w:id="26" w:name="_Toc179632608"/>
      <w:bookmarkStart w:id="27" w:name="_Toc144974557"/>
      <w:bookmarkStart w:id="28" w:name="_Toc247085748"/>
      <w:bookmarkStart w:id="29" w:name="_Toc152045590"/>
      <w:bookmarkStart w:id="30" w:name="_Toc296602478"/>
      <w:bookmarkStart w:id="31" w:name="_Toc246996976"/>
      <w:r>
        <w:rPr>
          <w:rFonts w:ascii="Times New Roman" w:hAnsi="Times New Roman" w:cs="Times New Roman"/>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rPr>
          <w:rFonts w:ascii="Times New Roman" w:hAnsi="Times New Roman" w:cs="Times New Roman"/>
          <w:b/>
          <w:bCs/>
          <w:kern w:val="0"/>
          <w:sz w:val="28"/>
          <w:szCs w:val="28"/>
        </w:rPr>
      </w:pPr>
      <w:bookmarkStart w:id="32" w:name="_Toc152042368"/>
      <w:bookmarkStart w:id="33" w:name="_Toc296602479"/>
      <w:bookmarkStart w:id="34" w:name="_Toc144974558"/>
      <w:bookmarkStart w:id="35" w:name="_Toc152045591"/>
      <w:bookmarkStart w:id="36" w:name="_Toc246996234"/>
      <w:bookmarkStart w:id="37" w:name="_Toc179632609"/>
      <w:bookmarkStart w:id="38" w:name="_Toc247085749"/>
      <w:bookmarkStart w:id="39" w:name="_Toc246996977"/>
      <w:r>
        <w:rPr>
          <w:rFonts w:ascii="Times New Roman" w:hAnsi="Times New Roman" w:cs="Times New Roman"/>
          <w:b/>
          <w:bCs/>
          <w:kern w:val="0"/>
          <w:sz w:val="28"/>
          <w:szCs w:val="28"/>
        </w:rPr>
        <w:t>2.1 初步评审标准</w:t>
      </w:r>
      <w:bookmarkEnd w:id="32"/>
      <w:bookmarkEnd w:id="33"/>
      <w:bookmarkEnd w:id="34"/>
      <w:bookmarkEnd w:id="35"/>
      <w:bookmarkEnd w:id="36"/>
      <w:bookmarkEnd w:id="37"/>
      <w:bookmarkEnd w:id="38"/>
      <w:bookmarkEnd w:id="3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40" w:name="_Toc247085751"/>
      <w:bookmarkStart w:id="41" w:name="_Toc246996236"/>
      <w:bookmarkStart w:id="42" w:name="_Toc246996979"/>
      <w:bookmarkStart w:id="43" w:name="_Toc144974560"/>
      <w:bookmarkStart w:id="44" w:name="_Toc152042370"/>
      <w:bookmarkStart w:id="45" w:name="_Toc179632611"/>
      <w:bookmarkStart w:id="46" w:name="_Toc152045593"/>
      <w:bookmarkStart w:id="47" w:name="_Toc296602481"/>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76" w:edGrp="everyone"/>
      <w:r>
        <w:rPr>
          <w:rFonts w:hint="eastAsia" w:ascii="Times New Roman" w:hAnsi="Times New Roman" w:cs="Times New Roman"/>
          <w:kern w:val="0"/>
          <w:sz w:val="24"/>
        </w:rPr>
        <w:t>服务方案</w:t>
      </w:r>
      <w:permEnd w:id="76"/>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r>
        <w:rPr>
          <w:rFonts w:hint="eastAsia" w:ascii="Times New Roman" w:hAnsi="Times New Roman" w:cs="Times New Roman"/>
          <w:kern w:val="0"/>
          <w:sz w:val="24"/>
          <w:lang w:val="en-US" w:eastAsia="zh-CN"/>
        </w:rPr>
        <w:t>监理团队</w:t>
      </w:r>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r>
        <w:rPr>
          <w:rFonts w:hint="eastAsia" w:ascii="Times New Roman" w:hAnsi="Times New Roman" w:cs="Times New Roman"/>
          <w:kern w:val="0"/>
          <w:sz w:val="24"/>
          <w:lang w:val="en-US" w:eastAsia="zh-CN"/>
        </w:rPr>
        <w:t>企业实力</w:t>
      </w:r>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r>
        <w:rPr>
          <w:rFonts w:hint="eastAsia" w:ascii="Times New Roman" w:hAnsi="Times New Roman" w:cs="Times New Roman"/>
          <w:kern w:val="0"/>
          <w:sz w:val="24"/>
          <w:lang w:val="en-US" w:eastAsia="zh-CN"/>
        </w:rPr>
        <w:t>价格分</w:t>
      </w:r>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w:t>
      </w:r>
      <w:r>
        <w:rPr>
          <w:rFonts w:hint="eastAsia" w:ascii="Times New Roman" w:hAnsi="Times New Roman" w:cs="Times New Roman"/>
          <w:kern w:val="0"/>
          <w:sz w:val="24"/>
          <w:lang w:val="en-US" w:eastAsia="zh-CN"/>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77" w:edGrp="everyone"/>
      <w:r>
        <w:rPr>
          <w:rFonts w:hint="eastAsia" w:ascii="Times New Roman" w:hAnsi="Times New Roman" w:cs="Times New Roman"/>
          <w:kern w:val="0"/>
          <w:sz w:val="24"/>
        </w:rPr>
        <w:t>服务方案</w:t>
      </w:r>
      <w:permEnd w:id="77"/>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r>
        <w:rPr>
          <w:rFonts w:hint="eastAsia" w:ascii="Times New Roman" w:hAnsi="Times New Roman" w:cs="Times New Roman"/>
          <w:kern w:val="0"/>
          <w:sz w:val="24"/>
          <w:lang w:val="en-US" w:eastAsia="zh-CN"/>
        </w:rPr>
        <w:t>监理团队</w:t>
      </w:r>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r>
        <w:rPr>
          <w:rFonts w:hint="eastAsia" w:ascii="Times New Roman" w:hAnsi="Times New Roman" w:cs="Times New Roman"/>
          <w:kern w:val="0"/>
          <w:sz w:val="24"/>
          <w:lang w:val="en-US" w:eastAsia="zh-CN"/>
        </w:rPr>
        <w:t>企业实力</w:t>
      </w:r>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r>
        <w:rPr>
          <w:rFonts w:hint="eastAsia" w:ascii="Times New Roman" w:hAnsi="Times New Roman" w:cs="Times New Roman"/>
          <w:kern w:val="0"/>
          <w:sz w:val="24"/>
          <w:lang w:val="en-US" w:eastAsia="zh-CN"/>
        </w:rPr>
        <w:t>价格分</w:t>
      </w:r>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rPr>
          <w:rFonts w:ascii="Times New Roman" w:hAnsi="Times New Roman" w:cs="Times New Roman"/>
          <w:b/>
          <w:bCs/>
          <w:kern w:val="0"/>
          <w:sz w:val="28"/>
          <w:szCs w:val="28"/>
        </w:rPr>
      </w:pPr>
      <w:bookmarkStart w:id="48" w:name="_Toc246996980"/>
      <w:bookmarkStart w:id="49" w:name="_Toc152045594"/>
      <w:bookmarkStart w:id="50" w:name="_Toc247085752"/>
      <w:bookmarkStart w:id="51" w:name="_Toc179632612"/>
      <w:bookmarkStart w:id="52" w:name="_Toc144974561"/>
      <w:bookmarkStart w:id="53" w:name="_Toc246996237"/>
      <w:bookmarkStart w:id="54" w:name="_Toc296602482"/>
      <w:bookmarkStart w:id="55" w:name="_Toc152042371"/>
      <w:r>
        <w:rPr>
          <w:rFonts w:ascii="Times New Roman" w:hAnsi="Times New Roman" w:cs="Times New Roman"/>
          <w:b/>
          <w:bCs/>
          <w:kern w:val="0"/>
          <w:sz w:val="28"/>
          <w:szCs w:val="28"/>
        </w:rPr>
        <w:t>3.1 初步评审</w:t>
      </w:r>
      <w:bookmarkEnd w:id="48"/>
      <w:bookmarkEnd w:id="49"/>
      <w:bookmarkEnd w:id="50"/>
      <w:bookmarkEnd w:id="51"/>
      <w:bookmarkEnd w:id="52"/>
      <w:bookmarkEnd w:id="53"/>
      <w:bookmarkEnd w:id="54"/>
      <w:bookmarkEnd w:id="5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56" w:name="_Toc152045595"/>
      <w:bookmarkStart w:id="57" w:name="_Toc246996238"/>
      <w:bookmarkStart w:id="58" w:name="_Toc246996981"/>
      <w:bookmarkStart w:id="59" w:name="_Toc179632613"/>
      <w:bookmarkStart w:id="60" w:name="_Toc144974562"/>
      <w:bookmarkStart w:id="61" w:name="_Toc296602483"/>
      <w:bookmarkStart w:id="62" w:name="_Toc247085753"/>
      <w:bookmarkStart w:id="63" w:name="_Toc152042372"/>
      <w:r>
        <w:rPr>
          <w:rFonts w:ascii="Times New Roman" w:hAnsi="Times New Roman" w:cs="Times New Roman"/>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480" w:firstLineChars="200"/>
        <w:rPr>
          <w:rFonts w:ascii="Times New Roman" w:hAnsi="Times New Roman" w:cs="Times New Roman"/>
          <w:kern w:val="0"/>
          <w:sz w:val="24"/>
        </w:rPr>
      </w:pPr>
      <w:bookmarkStart w:id="64" w:name="_Toc144974563"/>
      <w:bookmarkStart w:id="65" w:name="_Toc246996239"/>
      <w:bookmarkStart w:id="66" w:name="_Toc152045596"/>
      <w:bookmarkStart w:id="67" w:name="_Toc179632614"/>
      <w:bookmarkStart w:id="68" w:name="_Toc152042373"/>
      <w:bookmarkStart w:id="69" w:name="_Toc247085754"/>
      <w:bookmarkStart w:id="70" w:name="_Toc296602484"/>
      <w:bookmarkStart w:id="71" w:name="_Toc246996982"/>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78" w:edGrp="everyone"/>
      <w:r>
        <w:rPr>
          <w:rFonts w:hint="eastAsia" w:ascii="Times New Roman" w:hAnsi="Times New Roman" w:cs="Times New Roman"/>
          <w:kern w:val="0"/>
          <w:sz w:val="24"/>
        </w:rPr>
        <w:t>服务方案</w:t>
      </w:r>
      <w:permEnd w:id="78"/>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r>
        <w:rPr>
          <w:rFonts w:hint="eastAsia" w:ascii="Times New Roman" w:hAnsi="Times New Roman" w:cs="Times New Roman"/>
          <w:kern w:val="0"/>
          <w:sz w:val="24"/>
          <w:lang w:val="en-US" w:eastAsia="zh-CN"/>
        </w:rPr>
        <w:t>监理团队</w:t>
      </w:r>
      <w:r>
        <w:rPr>
          <w:rFonts w:hint="eastAsia" w:ascii="Times New Roman" w:hAnsi="Times New Roman" w:cs="Times New Roman"/>
          <w:color w:val="000000" w:themeColor="text1"/>
          <w:kern w:val="0"/>
          <w:sz w:val="24"/>
          <w14:textFill>
            <w14:solidFill>
              <w14:schemeClr w14:val="tx1"/>
            </w14:solidFill>
          </w14:textFill>
        </w:rPr>
        <w:t>计算出得分B；</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第2.2.4（3）目规定的评审因素和分值对</w:t>
      </w:r>
      <w:r>
        <w:rPr>
          <w:rFonts w:hint="eastAsia" w:ascii="Times New Roman" w:hAnsi="Times New Roman" w:cs="Times New Roman"/>
          <w:kern w:val="0"/>
          <w:sz w:val="24"/>
          <w:lang w:val="en-US" w:eastAsia="zh-CN"/>
        </w:rPr>
        <w:t>企业实力</w:t>
      </w:r>
      <w:r>
        <w:rPr>
          <w:rFonts w:hint="eastAsia" w:ascii="Times New Roman" w:hAnsi="Times New Roman" w:cs="Times New Roman"/>
          <w:color w:val="000000" w:themeColor="text1"/>
          <w:kern w:val="0"/>
          <w:sz w:val="24"/>
          <w14:textFill>
            <w14:solidFill>
              <w14:schemeClr w14:val="tx1"/>
            </w14:solidFill>
          </w14:textFill>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4</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第2.2.4（4）目规定的评审因素和分值对</w:t>
      </w:r>
      <w:r>
        <w:rPr>
          <w:rFonts w:hint="eastAsia" w:ascii="Times New Roman" w:hAnsi="Times New Roman" w:cs="Times New Roman"/>
          <w:kern w:val="0"/>
          <w:sz w:val="24"/>
          <w:lang w:val="en-US" w:eastAsia="zh-CN"/>
        </w:rPr>
        <w:t>价格分</w:t>
      </w:r>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64"/>
      <w:r>
        <w:rPr>
          <w:rFonts w:ascii="Times New Roman" w:hAnsi="Times New Roman" w:cs="Times New Roman"/>
          <w:b/>
          <w:bCs/>
          <w:kern w:val="0"/>
          <w:sz w:val="28"/>
          <w:szCs w:val="28"/>
        </w:rPr>
        <w:t>和补正</w:t>
      </w:r>
      <w:bookmarkEnd w:id="65"/>
      <w:bookmarkEnd w:id="66"/>
      <w:bookmarkEnd w:id="67"/>
      <w:bookmarkEnd w:id="68"/>
      <w:bookmarkEnd w:id="69"/>
      <w:bookmarkEnd w:id="70"/>
      <w:bookmarkEnd w:id="7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560" w:firstLineChars="200"/>
              <w:rPr>
                <w:rFonts w:ascii="Times New Roman" w:hAnsi="Times New Roman" w:cs="Times New Roman"/>
                <w:kern w:val="0"/>
                <w:sz w:val="24"/>
              </w:rPr>
            </w:pPr>
            <w:permStart w:id="79" w:edGrp="everyone"/>
            <w:r>
              <w:rPr>
                <w:rFonts w:hint="eastAsia" w:ascii="仿宋_GB2312" w:hAnsi="宋体" w:eastAsia="仿宋_GB2312"/>
                <w:sz w:val="28"/>
                <w:szCs w:val="28"/>
              </w:rPr>
              <w:t>安徽通享商业运营管理有限公司</w:t>
            </w:r>
            <w:perm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560" w:firstLineChars="200"/>
              <w:rPr>
                <w:rFonts w:ascii="Times New Roman" w:hAnsi="Times New Roman" w:cs="Times New Roman"/>
                <w:i/>
                <w:iCs/>
                <w:color w:val="0070C0"/>
                <w:kern w:val="0"/>
                <w:sz w:val="24"/>
                <w:u w:val="single"/>
              </w:rPr>
            </w:pPr>
            <w:permStart w:id="80" w:edGrp="everyone"/>
            <w:r>
              <w:rPr>
                <w:rFonts w:hint="eastAsia" w:ascii="仿宋_GB2312" w:hAnsi="宋体" w:eastAsia="仿宋_GB2312"/>
                <w:sz w:val="28"/>
                <w:szCs w:val="28"/>
              </w:rPr>
              <w:t>监理合同签订后</w:t>
            </w:r>
            <w:r>
              <w:rPr>
                <w:rFonts w:ascii="仿宋_GB2312" w:hAnsi="宋体" w:eastAsia="仿宋_GB2312"/>
                <w:sz w:val="28"/>
                <w:szCs w:val="28"/>
              </w:rPr>
              <w:t>30</w:t>
            </w:r>
            <w:r>
              <w:rPr>
                <w:rFonts w:hint="eastAsia" w:ascii="仿宋_GB2312" w:hAnsi="宋体" w:eastAsia="仿宋_GB2312"/>
                <w:sz w:val="28"/>
                <w:szCs w:val="28"/>
              </w:rPr>
              <w:t>日内，甲方向乙方支付合同价款的</w:t>
            </w:r>
            <w:r>
              <w:rPr>
                <w:rFonts w:ascii="仿宋_GB2312" w:hAnsi="宋体" w:eastAsia="仿宋_GB2312"/>
                <w:sz w:val="28"/>
                <w:szCs w:val="28"/>
              </w:rPr>
              <w:t>50</w:t>
            </w:r>
            <w:r>
              <w:rPr>
                <w:rFonts w:hint="eastAsia" w:ascii="仿宋_GB2312" w:hAnsi="宋体" w:eastAsia="仿宋_GB2312"/>
                <w:sz w:val="28"/>
                <w:szCs w:val="28"/>
              </w:rPr>
              <w:t>%；项目竣工验收合格后，甲方向乙方支付合同价款剩余的</w:t>
            </w:r>
            <w:r>
              <w:rPr>
                <w:rFonts w:ascii="仿宋_GB2312" w:hAnsi="宋体" w:eastAsia="仿宋_GB2312"/>
                <w:sz w:val="28"/>
                <w:szCs w:val="28"/>
              </w:rPr>
              <w:t>50</w:t>
            </w:r>
            <w:r>
              <w:rPr>
                <w:rFonts w:hint="eastAsia" w:ascii="仿宋_GB2312" w:hAnsi="宋体" w:eastAsia="仿宋_GB2312"/>
                <w:sz w:val="28"/>
                <w:szCs w:val="28"/>
              </w:rPr>
              <w:t>%。</w:t>
            </w:r>
            <w:permEnd w:id="80"/>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81" w:edGrp="everyone"/>
            <w:r>
              <w:rPr>
                <w:rFonts w:hint="eastAsia" w:ascii="Times New Roman" w:hAnsi="Times New Roman" w:cs="Times New Roman"/>
                <w:color w:val="FF0000"/>
                <w:kern w:val="0"/>
                <w:sz w:val="24"/>
              </w:rPr>
              <w:t>/</w:t>
            </w:r>
            <w:r>
              <w:rPr>
                <w:rFonts w:ascii="Times New Roman" w:hAnsi="Times New Roman" w:cs="Times New Roman"/>
                <w:color w:val="FF0000"/>
                <w:kern w:val="0"/>
                <w:sz w:val="24"/>
              </w:rPr>
              <w:t xml:space="preserve"> </w:t>
            </w:r>
            <w:permEnd w:id="81"/>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sz w:val="32"/>
          <w:szCs w:val="32"/>
        </w:rPr>
        <w:t>发包人要求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kern w:val="0"/>
          <w:sz w:val="24"/>
        </w:rPr>
      </w:pPr>
      <w:permStart w:id="82" w:edGrp="everyone"/>
      <w:r>
        <w:rPr>
          <w:rFonts w:hint="eastAsia" w:ascii="Times New Roman" w:hAnsi="Times New Roman" w:cs="Times New Roman"/>
          <w:b/>
          <w:bCs/>
          <w:kern w:val="0"/>
          <w:sz w:val="28"/>
          <w:szCs w:val="28"/>
        </w:rPr>
        <w:t>一、服务要求</w:t>
      </w:r>
    </w:p>
    <w:p>
      <w:pPr>
        <w:spacing w:line="360" w:lineRule="auto"/>
        <w:ind w:firstLine="480" w:firstLineChars="200"/>
        <w:rPr>
          <w:rFonts w:ascii="Times New Roman" w:hAnsi="Times New Roman" w:cs="Times New Roman"/>
          <w:kern w:val="0"/>
          <w:sz w:val="24"/>
        </w:rPr>
      </w:pPr>
      <w:r>
        <w:rPr>
          <w:rFonts w:hint="eastAsia" w:ascii="Times New Roman" w:hAnsi="Times New Roman" w:cs="Times New Roman"/>
          <w:kern w:val="0"/>
          <w:sz w:val="24"/>
        </w:rPr>
        <w:t>招标人应当根据项目情况在本章中明确相应的设计要求，一般应包括以下内容：</w:t>
      </w:r>
    </w:p>
    <w:p>
      <w:pPr>
        <w:spacing w:line="360" w:lineRule="auto"/>
        <w:ind w:firstLine="480" w:firstLineChars="200"/>
        <w:rPr>
          <w:rFonts w:ascii="Times New Roman" w:hAnsi="Times New Roman" w:cs="Times New Roman"/>
          <w:kern w:val="0"/>
          <w:sz w:val="24"/>
        </w:rPr>
      </w:pPr>
      <w:r>
        <w:rPr>
          <w:rFonts w:hint="eastAsia" w:ascii="Times New Roman" w:hAnsi="Times New Roman" w:cs="Times New Roman"/>
          <w:kern w:val="0"/>
          <w:sz w:val="24"/>
        </w:rPr>
        <w:t>1.项目概况：</w:t>
      </w:r>
    </w:p>
    <w:p>
      <w:pPr>
        <w:spacing w:line="360" w:lineRule="auto"/>
        <w:ind w:firstLine="480" w:firstLineChars="200"/>
        <w:rPr>
          <w:rFonts w:hint="eastAsia" w:ascii="宋体" w:hAnsi="宋体" w:cs="宋体"/>
          <w:sz w:val="24"/>
        </w:rPr>
      </w:pPr>
      <w:r>
        <w:rPr>
          <w:rFonts w:hint="eastAsia" w:ascii="Times New Roman" w:hAnsi="Times New Roman" w:cs="Times New Roman"/>
          <w:kern w:val="0"/>
          <w:sz w:val="24"/>
        </w:rPr>
        <w:t>2.监理工作要求：</w:t>
      </w:r>
      <w:r>
        <w:rPr>
          <w:rFonts w:ascii="宋体" w:hAnsi="宋体" w:cs="宋体"/>
          <w:sz w:val="24"/>
        </w:rPr>
        <w:t>中标人须提供覆盖项目建设全过程的监理，并准确理解并掌握本项目建设方案内容，从设备进场、工程施工、初验、到终验通过每个环节。按照本项目建设方案要求及相应标准进行监理，按时提交甲方所需要的有关工程文档。</w:t>
      </w:r>
    </w:p>
    <w:p>
      <w:pPr>
        <w:widowControl/>
        <w:tabs>
          <w:tab w:val="left" w:pos="0"/>
        </w:tabs>
        <w:adjustRightInd w:val="0"/>
        <w:snapToGrid w:val="0"/>
        <w:spacing w:line="360" w:lineRule="auto"/>
        <w:ind w:firstLine="480" w:firstLineChars="200"/>
        <w:jc w:val="left"/>
        <w:rPr>
          <w:rFonts w:ascii="宋体" w:hAnsi="宋体" w:cs="宋体"/>
          <w:sz w:val="24"/>
        </w:rPr>
      </w:pPr>
      <w:r>
        <w:rPr>
          <w:rFonts w:hint="eastAsia" w:ascii="Times New Roman" w:hAnsi="Times New Roman" w:cs="Times New Roman"/>
          <w:kern w:val="0"/>
          <w:sz w:val="24"/>
        </w:rPr>
        <w:t>3.监理服务内容：</w:t>
      </w:r>
      <w:r>
        <w:rPr>
          <w:rFonts w:ascii="宋体" w:hAnsi="宋体" w:cs="宋体"/>
          <w:sz w:val="24"/>
        </w:rPr>
        <w:t>根据采购人和项目实施方签订的实施合同，确定本次项目实施和验收的技术标准；确定验收的软件模块、设备清单、到货时间及相关要求。</w:t>
      </w:r>
    </w:p>
    <w:p>
      <w:pPr>
        <w:widowControl/>
        <w:tabs>
          <w:tab w:val="left" w:pos="0"/>
        </w:tabs>
        <w:adjustRightInd w:val="0"/>
        <w:snapToGrid w:val="0"/>
        <w:spacing w:line="360" w:lineRule="auto"/>
        <w:jc w:val="left"/>
        <w:rPr>
          <w:rFonts w:ascii="宋体" w:hAnsi="宋体" w:cs="宋体"/>
          <w:b/>
          <w:bCs/>
          <w:sz w:val="24"/>
        </w:rPr>
      </w:pPr>
      <w:r>
        <w:rPr>
          <w:rFonts w:ascii="宋体" w:hAnsi="宋体"/>
          <w:b/>
          <w:bCs/>
          <w:sz w:val="24"/>
        </w:rPr>
        <w:t>（1）工程质量控制</w:t>
      </w:r>
    </w:p>
    <w:p>
      <w:pPr>
        <w:widowControl/>
        <w:tabs>
          <w:tab w:val="left" w:pos="0"/>
        </w:tabs>
        <w:adjustRightInd w:val="0"/>
        <w:snapToGrid w:val="0"/>
        <w:spacing w:line="360" w:lineRule="auto"/>
        <w:ind w:firstLine="480" w:firstLineChars="200"/>
        <w:jc w:val="left"/>
        <w:rPr>
          <w:rFonts w:ascii="宋体" w:hAnsi="宋体" w:cs="宋体"/>
          <w:sz w:val="24"/>
        </w:rPr>
      </w:pPr>
      <w:r>
        <w:rPr>
          <w:rFonts w:ascii="宋体" w:hAnsi="宋体" w:cs="宋体"/>
          <w:sz w:val="24"/>
        </w:rPr>
        <w:t>依据</w:t>
      </w:r>
      <w:r>
        <w:rPr>
          <w:rFonts w:hint="eastAsia" w:ascii="宋体" w:hAnsi="宋体"/>
          <w:sz w:val="24"/>
        </w:rPr>
        <w:t>亳州市中心城区道路停车泊位智能化系统建设项目（二期）</w:t>
      </w:r>
      <w:r>
        <w:rPr>
          <w:rFonts w:ascii="宋体" w:hAnsi="宋体" w:cs="宋体"/>
          <w:sz w:val="24"/>
        </w:rPr>
        <w:t>招投标文件、合同、建设方案，审查、监督、控制工程质量及系统功能实现。制定事前预防、事中控制、事后纠正等措施，保证工程质量。</w:t>
      </w:r>
    </w:p>
    <w:p>
      <w:pPr>
        <w:widowControl/>
        <w:tabs>
          <w:tab w:val="left" w:pos="0"/>
        </w:tabs>
        <w:adjustRightInd w:val="0"/>
        <w:snapToGrid w:val="0"/>
        <w:spacing w:line="360" w:lineRule="auto"/>
        <w:jc w:val="left"/>
        <w:rPr>
          <w:rFonts w:ascii="宋体" w:hAnsi="宋体"/>
          <w:b/>
          <w:bCs/>
          <w:sz w:val="24"/>
        </w:rPr>
      </w:pPr>
      <w:r>
        <w:rPr>
          <w:rFonts w:ascii="宋体" w:hAnsi="宋体"/>
          <w:b/>
          <w:bCs/>
          <w:sz w:val="24"/>
        </w:rPr>
        <w:t>（2）工程进度控制</w:t>
      </w:r>
    </w:p>
    <w:p>
      <w:pPr>
        <w:widowControl/>
        <w:tabs>
          <w:tab w:val="left" w:pos="0"/>
        </w:tabs>
        <w:adjustRightInd w:val="0"/>
        <w:snapToGrid w:val="0"/>
        <w:spacing w:line="360" w:lineRule="auto"/>
        <w:ind w:firstLine="480" w:firstLineChars="200"/>
        <w:jc w:val="left"/>
        <w:rPr>
          <w:rFonts w:ascii="宋体" w:hAnsi="宋体" w:cs="宋体"/>
          <w:sz w:val="24"/>
        </w:rPr>
      </w:pPr>
      <w:r>
        <w:rPr>
          <w:rFonts w:ascii="宋体" w:hAnsi="宋体" w:cs="宋体"/>
          <w:sz w:val="24"/>
        </w:rPr>
        <w:t>中标人要制定工程施工进度监理方案，严格按照工程合同工期及施工方案进行监督、监理，监理方案中应有工程进度监督措施，确保工期要求竣工。</w:t>
      </w:r>
    </w:p>
    <w:p>
      <w:pPr>
        <w:widowControl/>
        <w:tabs>
          <w:tab w:val="left" w:pos="0"/>
        </w:tabs>
        <w:adjustRightInd w:val="0"/>
        <w:snapToGrid w:val="0"/>
        <w:spacing w:line="360" w:lineRule="auto"/>
        <w:jc w:val="left"/>
        <w:rPr>
          <w:rFonts w:ascii="宋体" w:hAnsi="宋体"/>
          <w:b/>
          <w:bCs/>
          <w:sz w:val="24"/>
        </w:rPr>
      </w:pPr>
      <w:r>
        <w:rPr>
          <w:rFonts w:ascii="宋体" w:hAnsi="宋体"/>
          <w:b/>
          <w:bCs/>
          <w:sz w:val="24"/>
        </w:rPr>
        <w:t>（3）投资与变更控制</w:t>
      </w:r>
    </w:p>
    <w:p>
      <w:pPr>
        <w:spacing w:line="360" w:lineRule="auto"/>
        <w:ind w:firstLine="480" w:firstLineChars="200"/>
        <w:rPr>
          <w:rFonts w:ascii="宋体" w:hAnsi="宋体"/>
          <w:sz w:val="24"/>
        </w:rPr>
      </w:pPr>
      <w:r>
        <w:rPr>
          <w:rFonts w:ascii="宋体" w:hAnsi="宋体"/>
          <w:sz w:val="24"/>
        </w:rPr>
        <w:t>通过对系统的变更设计方案和工程实施中的变更方案及设计的评估和优化，确保投资控制在预算和合理、性价比高的范围内；</w:t>
      </w:r>
    </w:p>
    <w:p>
      <w:pPr>
        <w:spacing w:line="360" w:lineRule="auto"/>
        <w:ind w:firstLine="480" w:firstLineChars="200"/>
        <w:rPr>
          <w:rFonts w:ascii="宋体" w:hAnsi="宋体"/>
          <w:sz w:val="24"/>
        </w:rPr>
      </w:pPr>
      <w:r>
        <w:rPr>
          <w:rFonts w:ascii="宋体" w:hAnsi="宋体" w:cs="宋体"/>
          <w:sz w:val="24"/>
        </w:rPr>
        <w:t>审核和确认项目实施中的变更与调整，对变更所带来的投资成本予以评估，并从项目整体投资角度综合考虑控制变更成本。</w:t>
      </w:r>
    </w:p>
    <w:p>
      <w:pPr>
        <w:widowControl/>
        <w:tabs>
          <w:tab w:val="left" w:pos="0"/>
        </w:tabs>
        <w:adjustRightInd w:val="0"/>
        <w:snapToGrid w:val="0"/>
        <w:spacing w:line="360" w:lineRule="auto"/>
        <w:jc w:val="left"/>
        <w:rPr>
          <w:rFonts w:ascii="宋体" w:hAnsi="宋体"/>
          <w:b/>
          <w:bCs/>
          <w:sz w:val="24"/>
        </w:rPr>
      </w:pPr>
      <w:r>
        <w:rPr>
          <w:rFonts w:ascii="宋体" w:hAnsi="宋体"/>
          <w:b/>
          <w:bCs/>
          <w:sz w:val="24"/>
        </w:rPr>
        <w:t>（4）合同管理</w:t>
      </w:r>
    </w:p>
    <w:p>
      <w:pPr>
        <w:widowControl/>
        <w:tabs>
          <w:tab w:val="left" w:pos="0"/>
        </w:tabs>
        <w:adjustRightInd w:val="0"/>
        <w:snapToGrid w:val="0"/>
        <w:spacing w:line="360" w:lineRule="auto"/>
        <w:ind w:firstLine="480" w:firstLineChars="200"/>
        <w:jc w:val="left"/>
        <w:rPr>
          <w:rFonts w:ascii="宋体" w:hAnsi="宋体" w:cs="宋体"/>
          <w:sz w:val="24"/>
        </w:rPr>
      </w:pPr>
      <w:r>
        <w:rPr>
          <w:rFonts w:ascii="宋体" w:hAnsi="宋体" w:cs="宋体"/>
          <w:sz w:val="24"/>
        </w:rPr>
        <w:t>监督项目工程承建方履行合同，协助甲方处理合同执行过程中的违约、索赔、延期、纠纷调解及仲裁等问题。</w:t>
      </w:r>
    </w:p>
    <w:p>
      <w:pPr>
        <w:widowControl/>
        <w:tabs>
          <w:tab w:val="left" w:pos="0"/>
        </w:tabs>
        <w:adjustRightInd w:val="0"/>
        <w:snapToGrid w:val="0"/>
        <w:spacing w:line="360" w:lineRule="auto"/>
        <w:jc w:val="left"/>
        <w:rPr>
          <w:rFonts w:ascii="宋体" w:hAnsi="宋体"/>
          <w:b/>
          <w:bCs/>
          <w:sz w:val="24"/>
        </w:rPr>
      </w:pPr>
      <w:r>
        <w:rPr>
          <w:rFonts w:ascii="宋体" w:hAnsi="宋体"/>
          <w:b/>
          <w:bCs/>
          <w:sz w:val="24"/>
        </w:rPr>
        <w:t>（5）信息管理</w:t>
      </w:r>
    </w:p>
    <w:p>
      <w:pPr>
        <w:widowControl/>
        <w:tabs>
          <w:tab w:val="left" w:pos="0"/>
        </w:tabs>
        <w:adjustRightInd w:val="0"/>
        <w:snapToGrid w:val="0"/>
        <w:spacing w:line="360" w:lineRule="auto"/>
        <w:ind w:firstLine="480" w:firstLineChars="200"/>
        <w:jc w:val="left"/>
        <w:rPr>
          <w:rFonts w:ascii="宋体" w:hAnsi="宋体" w:cs="宋体"/>
          <w:sz w:val="24"/>
        </w:rPr>
      </w:pPr>
      <w:r>
        <w:rPr>
          <w:rFonts w:ascii="宋体" w:hAnsi="宋体" w:cs="宋体"/>
          <w:sz w:val="24"/>
        </w:rPr>
        <w:t>按照监理规范做好项目文档管理工作。监理日志、各类文件的批复、各类会议纪要、各类技术文档、验收所需的文档汇编、监理周报月报、监理通知单、阶段性项目总结、各类、知识产权保护等资料。</w:t>
      </w:r>
    </w:p>
    <w:p>
      <w:pPr>
        <w:widowControl/>
        <w:tabs>
          <w:tab w:val="left" w:pos="0"/>
        </w:tabs>
        <w:adjustRightInd w:val="0"/>
        <w:snapToGrid w:val="0"/>
        <w:spacing w:line="360" w:lineRule="auto"/>
        <w:jc w:val="left"/>
        <w:rPr>
          <w:rFonts w:ascii="宋体" w:hAnsi="宋体"/>
          <w:b/>
          <w:bCs/>
          <w:sz w:val="24"/>
        </w:rPr>
      </w:pPr>
      <w:r>
        <w:rPr>
          <w:rFonts w:ascii="宋体" w:hAnsi="宋体"/>
          <w:b/>
          <w:bCs/>
          <w:sz w:val="24"/>
        </w:rPr>
        <w:t>（6）安全管理</w:t>
      </w:r>
    </w:p>
    <w:p>
      <w:pPr>
        <w:snapToGrid w:val="0"/>
        <w:spacing w:line="360" w:lineRule="auto"/>
        <w:ind w:firstLine="480" w:firstLineChars="200"/>
        <w:jc w:val="left"/>
        <w:rPr>
          <w:rFonts w:ascii="宋体" w:hAnsi="宋体" w:cs="宋体"/>
          <w:sz w:val="24"/>
        </w:rPr>
      </w:pPr>
      <w:r>
        <w:rPr>
          <w:rFonts w:ascii="宋体" w:hAnsi="宋体" w:cs="宋体"/>
          <w:sz w:val="24"/>
        </w:rPr>
        <w:t>负责项目建设施工过程中安全控制，确保不出现安全事故；</w:t>
      </w:r>
    </w:p>
    <w:p>
      <w:pPr>
        <w:snapToGrid w:val="0"/>
        <w:spacing w:line="360" w:lineRule="auto"/>
        <w:ind w:firstLine="480" w:firstLineChars="200"/>
        <w:jc w:val="left"/>
        <w:rPr>
          <w:rFonts w:ascii="宋体" w:hAnsi="宋体" w:cs="宋体"/>
          <w:sz w:val="24"/>
        </w:rPr>
      </w:pPr>
      <w:r>
        <w:rPr>
          <w:rFonts w:ascii="宋体" w:hAnsi="宋体" w:cs="宋体"/>
          <w:sz w:val="24"/>
        </w:rPr>
        <w:t>负责项目建设过程中所涉及的政府敏感数据和资料的保护，保证不被非授权使用。</w:t>
      </w:r>
    </w:p>
    <w:p>
      <w:pPr>
        <w:widowControl/>
        <w:tabs>
          <w:tab w:val="left" w:pos="0"/>
        </w:tabs>
        <w:adjustRightInd w:val="0"/>
        <w:snapToGrid w:val="0"/>
        <w:spacing w:line="360" w:lineRule="auto"/>
        <w:jc w:val="left"/>
        <w:rPr>
          <w:rFonts w:ascii="宋体" w:hAnsi="宋体"/>
          <w:b/>
          <w:bCs/>
          <w:sz w:val="24"/>
        </w:rPr>
      </w:pPr>
      <w:r>
        <w:rPr>
          <w:rFonts w:ascii="宋体" w:hAnsi="宋体"/>
          <w:b/>
          <w:bCs/>
          <w:sz w:val="24"/>
        </w:rPr>
        <w:t>（7）组织协调</w:t>
      </w:r>
    </w:p>
    <w:p>
      <w:pPr>
        <w:spacing w:line="360" w:lineRule="auto"/>
        <w:ind w:firstLine="480" w:firstLineChars="200"/>
        <w:rPr>
          <w:rFonts w:ascii="Times New Roman" w:hAnsi="Times New Roman" w:cs="Times New Roman"/>
          <w:kern w:val="0"/>
          <w:sz w:val="24"/>
        </w:rPr>
      </w:pPr>
      <w:r>
        <w:rPr>
          <w:rFonts w:ascii="宋体" w:hAnsi="宋体" w:cs="宋体"/>
          <w:sz w:val="24"/>
        </w:rPr>
        <w:t>根据国家、省、市、行业及规范要求做好项目文档管理；协助甲方划分各方的工作范围和职责，接受甲方委托，负责协调各方之间的工作关系，并协调解决项目建设过程中的各类纠纷。</w:t>
      </w:r>
    </w:p>
    <w:p>
      <w:pPr>
        <w:spacing w:line="360" w:lineRule="auto"/>
        <w:ind w:firstLine="480" w:firstLineChars="200"/>
        <w:rPr>
          <w:rFonts w:ascii="宋体" w:hAnsi="宋体" w:cs="宋体"/>
          <w:sz w:val="24"/>
        </w:rPr>
      </w:pPr>
      <w:r>
        <w:rPr>
          <w:rFonts w:hint="eastAsia" w:ascii="宋体" w:hAnsi="宋体" w:cs="宋体"/>
          <w:sz w:val="24"/>
        </w:rPr>
        <w:t>4.监理依据：</w:t>
      </w:r>
      <w:r>
        <w:rPr>
          <w:rFonts w:ascii="宋体" w:hAnsi="宋体" w:cs="宋体"/>
          <w:sz w:val="24"/>
        </w:rPr>
        <w:t>与本工程项目内容相关的下列最新版本的标准与规范：《中华人民共和国</w:t>
      </w:r>
      <w:r>
        <w:rPr>
          <w:rFonts w:hint="eastAsia" w:ascii="宋体" w:hAnsi="宋体" w:cs="宋体"/>
          <w:sz w:val="24"/>
          <w:lang w:val="en-US" w:eastAsia="zh-CN"/>
        </w:rPr>
        <w:t>民法典</w:t>
      </w:r>
      <w:r>
        <w:rPr>
          <w:rFonts w:ascii="宋体" w:hAnsi="宋体" w:cs="宋体"/>
          <w:sz w:val="24"/>
        </w:rPr>
        <w:t>》、《信息系统工程监理暂行规定》、《信息化工程监理规范（GB/T19668）等相关法律法规和技术标准。</w:t>
      </w:r>
    </w:p>
    <w:p>
      <w:pPr>
        <w:spacing w:line="360" w:lineRule="auto"/>
        <w:ind w:firstLine="480" w:firstLineChars="200"/>
        <w:rPr>
          <w:rFonts w:ascii="宋体" w:hAnsi="宋体" w:cs="宋体"/>
          <w:sz w:val="24"/>
        </w:rPr>
      </w:pPr>
      <w:r>
        <w:rPr>
          <w:rFonts w:ascii="宋体" w:hAnsi="宋体" w:cs="宋体"/>
          <w:sz w:val="24"/>
        </w:rPr>
        <w:t>监理服务合同；</w:t>
      </w:r>
    </w:p>
    <w:p>
      <w:pPr>
        <w:spacing w:line="360" w:lineRule="auto"/>
        <w:ind w:firstLine="480" w:firstLineChars="200"/>
        <w:rPr>
          <w:rFonts w:ascii="宋体" w:hAnsi="宋体" w:cs="宋体"/>
          <w:sz w:val="24"/>
        </w:rPr>
      </w:pPr>
      <w:r>
        <w:rPr>
          <w:rFonts w:ascii="宋体" w:hAnsi="宋体" w:cs="宋体"/>
          <w:sz w:val="24"/>
        </w:rPr>
        <w:t>项目招标文件；</w:t>
      </w:r>
    </w:p>
    <w:p>
      <w:pPr>
        <w:spacing w:line="360" w:lineRule="auto"/>
        <w:ind w:firstLine="480" w:firstLineChars="200"/>
        <w:rPr>
          <w:rFonts w:ascii="宋体" w:hAnsi="宋体" w:cs="宋体"/>
          <w:sz w:val="24"/>
        </w:rPr>
      </w:pPr>
      <w:r>
        <w:rPr>
          <w:rFonts w:ascii="宋体" w:hAnsi="宋体" w:cs="宋体"/>
          <w:sz w:val="24"/>
        </w:rPr>
        <w:t>采购人与承建单位签订的建设合同；</w:t>
      </w:r>
    </w:p>
    <w:p>
      <w:pPr>
        <w:spacing w:line="360" w:lineRule="auto"/>
        <w:ind w:firstLine="480" w:firstLineChars="200"/>
        <w:rPr>
          <w:rFonts w:ascii="宋体" w:hAnsi="宋体" w:cs="宋体"/>
          <w:sz w:val="24"/>
        </w:rPr>
      </w:pPr>
      <w:r>
        <w:rPr>
          <w:rFonts w:ascii="宋体" w:hAnsi="宋体" w:cs="宋体"/>
          <w:sz w:val="24"/>
        </w:rPr>
        <w:t>合同图纸及说明等。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5.监理人员要求：须至少配备总监理工程师1名，总监理工程师代表1名，监理工程师2名，且所投人员均须具有信息系统监理师证书，</w:t>
      </w:r>
      <w:r>
        <w:rPr>
          <w:rFonts w:ascii="Times New Roman" w:hAnsi="Times New Roman" w:cs="Times New Roman"/>
          <w:kern w:val="0"/>
          <w:sz w:val="24"/>
        </w:rPr>
        <w:t>提供自2022年以来供应商为其缴纳的任意连续三个月的社保证明，缴纳单位必须与投标人名称一致。</w:t>
      </w:r>
      <w:permEnd w:id="82"/>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六</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kern w:val="0"/>
          <w:sz w:val="32"/>
          <w:szCs w:val="32"/>
        </w:rPr>
        <w:t>（项目名称）</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7"/>
        <w:jc w:val="center"/>
        <w:rPr>
          <w:rFonts w:ascii="Times New Roman" w:hAnsi="Times New Roman" w:cs="Times New Roman"/>
        </w:rPr>
      </w:pPr>
      <w:bookmarkStart w:id="72" w:name="_Toc300835209"/>
      <w:bookmarkStart w:id="73" w:name="_Toc152045787"/>
      <w:bookmarkStart w:id="74" w:name="_Toc152042576"/>
      <w:bookmarkStart w:id="75" w:name="_Toc144974856"/>
      <w:bookmarkStart w:id="76" w:name="_Toc247514246"/>
      <w:bookmarkStart w:id="77" w:name="_Toc247527827"/>
      <w:r>
        <w:rPr>
          <w:rFonts w:ascii="Times New Roman" w:hAnsi="Times New Roman" w:cs="Times New Roman"/>
        </w:rPr>
        <w:t>目    录</w:t>
      </w:r>
      <w:bookmarkEnd w:id="72"/>
      <w:bookmarkEnd w:id="73"/>
      <w:bookmarkEnd w:id="74"/>
      <w:bookmarkEnd w:id="75"/>
      <w:bookmarkEnd w:id="76"/>
      <w:bookmarkEnd w:id="77"/>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w:t>
      </w:r>
      <w:r>
        <w:rPr>
          <w:rFonts w:hint="eastAsia" w:ascii="Times New Roman" w:hAnsi="Times New Roman" w:cs="Times New Roman"/>
        </w:rPr>
        <w:t>及投标函附录</w:t>
      </w:r>
    </w:p>
    <w:p>
      <w:pPr>
        <w:spacing w:line="540" w:lineRule="exact"/>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身份证明（适用于无委托代理人的情况）</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r>
        <w:rPr>
          <w:rFonts w:hint="eastAsia" w:ascii="Times New Roman" w:hAnsi="Times New Roman" w:cs="Times New Roman"/>
        </w:rPr>
        <w:t>（适用于有委托代理人的情况）</w:t>
      </w:r>
    </w:p>
    <w:p>
      <w:pPr>
        <w:spacing w:line="540" w:lineRule="exact"/>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 xml:space="preserve">、投标保证金 </w:t>
      </w:r>
    </w:p>
    <w:p>
      <w:pPr>
        <w:spacing w:line="540" w:lineRule="exact"/>
        <w:rPr>
          <w:rFonts w:ascii="Times New Roman" w:hAnsi="Times New Roman" w:cs="Times New Roman"/>
        </w:rPr>
      </w:pPr>
      <w:r>
        <w:rPr>
          <w:rFonts w:hint="eastAsia" w:ascii="Times New Roman" w:hAnsi="Times New Roman" w:cs="Times New Roman"/>
        </w:rPr>
        <w:t>四、服务费用清单</w:t>
      </w:r>
    </w:p>
    <w:p>
      <w:pPr>
        <w:spacing w:line="540" w:lineRule="exact"/>
        <w:rPr>
          <w:rFonts w:ascii="Times New Roman" w:hAnsi="Times New Roman" w:cs="Times New Roman"/>
        </w:rPr>
      </w:pPr>
      <w:r>
        <w:rPr>
          <w:rFonts w:hint="eastAsia" w:ascii="Times New Roman" w:hAnsi="Times New Roman" w:cs="Times New Roman"/>
        </w:rPr>
        <w:t>五、资格审查资料</w:t>
      </w:r>
    </w:p>
    <w:p>
      <w:pPr>
        <w:spacing w:line="540" w:lineRule="exact"/>
        <w:rPr>
          <w:rFonts w:ascii="Times New Roman" w:hAnsi="Times New Roman" w:cs="Times New Roman"/>
        </w:rPr>
      </w:pPr>
      <w:r>
        <w:rPr>
          <w:rFonts w:hint="eastAsia" w:ascii="Times New Roman" w:hAnsi="Times New Roman" w:cs="Times New Roman"/>
        </w:rPr>
        <w:t>六、服务方案</w:t>
      </w:r>
    </w:p>
    <w:p>
      <w:pPr>
        <w:spacing w:line="540" w:lineRule="exact"/>
        <w:rPr>
          <w:rFonts w:ascii="Times New Roman" w:hAnsi="Times New Roman" w:cs="Times New Roman"/>
        </w:rPr>
      </w:pPr>
      <w:r>
        <w:rPr>
          <w:rFonts w:hint="eastAsia" w:ascii="Times New Roman" w:hAnsi="Times New Roman" w:cs="Times New Roman"/>
        </w:rPr>
        <w:t>七</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7"/>
        <w:jc w:val="center"/>
        <w:rPr>
          <w:rFonts w:ascii="Times New Roman" w:hAnsi="Times New Roman" w:cs="Times New Roman"/>
          <w:sz w:val="20"/>
          <w:szCs w:val="20"/>
        </w:rPr>
      </w:pPr>
      <w:bookmarkStart w:id="78" w:name="_Toc144974857"/>
      <w:bookmarkStart w:id="79" w:name="_Toc152042577"/>
      <w:bookmarkStart w:id="80" w:name="_Toc247527828"/>
      <w:bookmarkStart w:id="81" w:name="_Toc300835210"/>
      <w:bookmarkStart w:id="82" w:name="_Toc152045788"/>
      <w:bookmarkStart w:id="83" w:name="_Toc247514247"/>
      <w:r>
        <w:rPr>
          <w:rFonts w:ascii="Times New Roman" w:hAnsi="Times New Roman" w:cs="Times New Roman"/>
        </w:rPr>
        <w:t>一、投标函及投标函附录</w:t>
      </w:r>
      <w:bookmarkEnd w:id="78"/>
      <w:bookmarkEnd w:id="79"/>
      <w:bookmarkEnd w:id="80"/>
      <w:bookmarkEnd w:id="81"/>
      <w:bookmarkEnd w:id="82"/>
      <w:bookmarkEnd w:id="83"/>
    </w:p>
    <w:p>
      <w:pPr>
        <w:spacing w:line="440" w:lineRule="exact"/>
        <w:rPr>
          <w:rFonts w:ascii="Times New Roman" w:hAnsi="Times New Roman" w:cs="Times New Roman"/>
          <w:sz w:val="20"/>
          <w:szCs w:val="20"/>
        </w:rPr>
      </w:pPr>
      <w:bookmarkStart w:id="84" w:name="_Toc144974859"/>
      <w:bookmarkStart w:id="85" w:name="_Toc152045790"/>
      <w:bookmarkStart w:id="86" w:name="_Toc300835212"/>
      <w:bookmarkStart w:id="87" w:name="_Toc247514249"/>
      <w:bookmarkStart w:id="88" w:name="_Toc247527830"/>
      <w:bookmarkStart w:id="89" w:name="_Toc152042579"/>
      <w:r>
        <w:rPr>
          <w:rFonts w:hint="eastAsia" w:ascii="黑体" w:hAnsi="黑体" w:eastAsia="黑体" w:cs="黑体"/>
          <w:sz w:val="28"/>
          <w:szCs w:val="28"/>
        </w:rPr>
        <w:t>（一）投标函</w:t>
      </w: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服务</w:t>
      </w:r>
      <w:r>
        <w:rPr>
          <w:rFonts w:ascii="Times New Roman" w:hAnsi="Times New Roman" w:cs="Times New Roman"/>
          <w:szCs w:val="21"/>
        </w:rPr>
        <w:t>名称）</w:t>
      </w:r>
      <w:r>
        <w:rPr>
          <w:rFonts w:hint="eastAsia" w:ascii="Times New Roman" w:hAnsi="Times New Roman" w:cs="Times New Roman"/>
          <w:szCs w:val="21"/>
        </w:rPr>
        <w:t>招标项目招标文件的全部内容，愿意以</w:t>
      </w:r>
      <w:permStart w:id="83"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w:t>
      </w:r>
      <w:permEnd w:id="83"/>
      <w:r>
        <w:rPr>
          <w:rFonts w:hint="eastAsia" w:ascii="Times New Roman" w:hAnsi="Times New Roman" w:cs="Times New Roman"/>
          <w:szCs w:val="21"/>
        </w:rPr>
        <w:t>，服务期限：</w:t>
      </w:r>
      <w:permStart w:id="84" w:edGrp="everyone"/>
      <w:r>
        <w:rPr>
          <w:rFonts w:hint="eastAsia" w:ascii="Times New Roman" w:hAnsi="Times New Roman" w:cs="Times New Roman"/>
          <w:szCs w:val="21"/>
        </w:rPr>
        <w:t>从项目监理合同签订之日起至项目竣工验收合格止</w:t>
      </w:r>
      <w:permEnd w:id="84"/>
      <w:r>
        <w:rPr>
          <w:rFonts w:hint="eastAsia" w:ascii="Times New Roman" w:hAnsi="Times New Roman" w:cs="Times New Roman"/>
          <w:szCs w:val="21"/>
        </w:rPr>
        <w:t>，按合同约定完成本项全部工作。</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bookmarkEnd w:id="84"/>
    <w:bookmarkEnd w:id="85"/>
    <w:bookmarkEnd w:id="86"/>
    <w:bookmarkEnd w:id="87"/>
    <w:bookmarkEnd w:id="88"/>
    <w:bookmarkEnd w:id="89"/>
    <w:p>
      <w:pPr>
        <w:spacing w:line="440" w:lineRule="exact"/>
        <w:rPr>
          <w:rFonts w:ascii="黑体" w:hAnsi="黑体" w:eastAsia="黑体" w:cs="黑体"/>
          <w:sz w:val="28"/>
          <w:szCs w:val="28"/>
        </w:rPr>
      </w:pPr>
      <w:r>
        <w:rPr>
          <w:rFonts w:hint="eastAsia" w:ascii="黑体" w:hAnsi="黑体" w:eastAsia="黑体" w:cs="黑体"/>
          <w:sz w:val="28"/>
          <w:szCs w:val="28"/>
        </w:rPr>
        <w:t>（二）投标函附录</w:t>
      </w:r>
    </w:p>
    <w:p>
      <w:pPr>
        <w:spacing w:line="440" w:lineRule="exact"/>
        <w:rPr>
          <w:rFonts w:ascii="Times New Roman" w:hAnsi="Times New Roman" w:cs="Times New Roman"/>
          <w:sz w:val="20"/>
          <w:szCs w:val="20"/>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序号</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条款名称</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约定内容</w:t>
            </w:r>
          </w:p>
        </w:tc>
        <w:tc>
          <w:tcPr>
            <w:tcW w:w="3702"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1</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项目负责人</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rPr>
              <w:t>姓名：</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2</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服务期限</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u w:val="single"/>
              </w:rPr>
              <w:t xml:space="preserve">      </w:t>
            </w:r>
            <w:r>
              <w:rPr>
                <w:rFonts w:hint="eastAsia" w:ascii="Times New Roman" w:hAnsi="Times New Roman" w:cs="Times New Roman"/>
                <w:sz w:val="20"/>
                <w:szCs w:val="20"/>
              </w:rPr>
              <w:t>日历天</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3</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合同价款确定方式</w:t>
            </w:r>
          </w:p>
        </w:tc>
        <w:tc>
          <w:tcPr>
            <w:tcW w:w="1984" w:type="dxa"/>
            <w:vAlign w:val="center"/>
          </w:tcPr>
          <w:p>
            <w:pPr>
              <w:spacing w:line="440" w:lineRule="exact"/>
              <w:rPr>
                <w:rFonts w:ascii="Times New Roman" w:hAnsi="Times New Roman" w:cs="Times New Roman"/>
                <w:sz w:val="20"/>
                <w:szCs w:val="20"/>
              </w:rPr>
            </w:pP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bl>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0"/>
          <w:szCs w:val="20"/>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rPr>
          <w:rFonts w:ascii="Times New Roman" w:hAnsi="Times New Roman" w:cs="Times New Roman"/>
        </w:rPr>
      </w:pPr>
      <w:bookmarkStart w:id="90" w:name="_Toc247527831"/>
      <w:bookmarkStart w:id="91" w:name="_Toc144974860"/>
      <w:bookmarkStart w:id="92" w:name="_Toc152045791"/>
      <w:bookmarkStart w:id="93" w:name="_Toc152042580"/>
      <w:bookmarkStart w:id="94" w:name="_Toc300835213"/>
      <w:bookmarkStart w:id="95" w:name="_Toc247514283"/>
      <w:r>
        <w:rPr>
          <w:rFonts w:ascii="Times New Roman" w:hAnsi="Times New Roman" w:cs="Times New Roman"/>
        </w:rPr>
        <w:br w:type="page"/>
      </w:r>
    </w:p>
    <w:p>
      <w:pPr>
        <w:pStyle w:val="7"/>
        <w:jc w:val="center"/>
        <w:rPr>
          <w:rFonts w:ascii="Times New Roman" w:hAnsi="Times New Roman" w:cs="Times New Roman"/>
        </w:rPr>
      </w:pPr>
      <w:r>
        <w:rPr>
          <w:rFonts w:ascii="Times New Roman" w:hAnsi="Times New Roman" w:cs="Times New Roman"/>
        </w:rPr>
        <w:t>二、法定代表人身份证明</w:t>
      </w:r>
      <w:bookmarkEnd w:id="90"/>
      <w:bookmarkEnd w:id="91"/>
      <w:bookmarkEnd w:id="92"/>
      <w:bookmarkEnd w:id="93"/>
      <w:bookmarkEnd w:id="94"/>
      <w:bookmarkEnd w:id="9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7"/>
        <w:jc w:val="center"/>
        <w:rPr>
          <w:rFonts w:ascii="Times New Roman" w:hAnsi="Times New Roman" w:cs="Times New Roman"/>
        </w:rPr>
      </w:pPr>
      <w:bookmarkStart w:id="96" w:name="_Toc144974861"/>
      <w:bookmarkStart w:id="97" w:name="_Toc247514284"/>
      <w:bookmarkStart w:id="98" w:name="_Toc300835214"/>
      <w:bookmarkStart w:id="99" w:name="_Toc152045792"/>
      <w:bookmarkStart w:id="100" w:name="_Toc247527832"/>
      <w:bookmarkStart w:id="101" w:name="_Toc152042581"/>
      <w:r>
        <w:rPr>
          <w:rFonts w:ascii="Times New Roman" w:hAnsi="Times New Roman" w:cs="Times New Roman"/>
        </w:rPr>
        <w:t>二、授权委托书</w:t>
      </w:r>
      <w:bookmarkEnd w:id="96"/>
      <w:bookmarkEnd w:id="97"/>
      <w:bookmarkEnd w:id="98"/>
      <w:bookmarkEnd w:id="99"/>
      <w:bookmarkEnd w:id="100"/>
      <w:bookmarkEnd w:id="101"/>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确认、递交、撤回、修改招标项目投标文件、签订合同和处理有关事宜，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w:t>
      </w:r>
      <w:r>
        <w:rPr>
          <w:rFonts w:hint="eastAsia" w:ascii="Times New Roman" w:hAnsi="Times New Roman" w:cs="Times New Roman"/>
          <w:szCs w:val="21"/>
        </w:rPr>
        <w:t>证复印件及委托代理人身份证复印件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w:t>
      </w:r>
      <w:r>
        <w:rPr>
          <w:rFonts w:hint="eastAsia" w:ascii="Times New Roman" w:hAnsi="Times New Roman" w:cs="Times New Roman"/>
          <w:szCs w:val="21"/>
        </w:rPr>
        <w:t xml:space="preserve">  </w:t>
      </w:r>
      <w:r>
        <w:rPr>
          <w:rFonts w:ascii="Times New Roman" w:hAnsi="Times New Roman" w:cs="Times New Roman"/>
          <w:szCs w:val="21"/>
        </w:rPr>
        <w:t>标</w:t>
      </w:r>
      <w:r>
        <w:rPr>
          <w:rFonts w:hint="eastAsia" w:ascii="Times New Roman" w:hAnsi="Times New Roman" w:cs="Times New Roman"/>
          <w:szCs w:val="21"/>
        </w:rPr>
        <w:t xml:space="preserve">  </w:t>
      </w:r>
      <w:r>
        <w:rPr>
          <w:rFonts w:ascii="Times New Roman" w:hAnsi="Times New Roman" w:cs="Times New Roman"/>
          <w:szCs w:val="21"/>
        </w:rPr>
        <w:t>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7"/>
        <w:jc w:val="center"/>
        <w:rPr>
          <w:rFonts w:ascii="Times New Roman" w:hAnsi="Times New Roman" w:cs="Times New Roman"/>
        </w:rPr>
      </w:pPr>
      <w:bookmarkStart w:id="102" w:name="_Toc247514286"/>
      <w:bookmarkStart w:id="103" w:name="_Toc152045794"/>
      <w:bookmarkStart w:id="104" w:name="_Toc300835216"/>
      <w:bookmarkStart w:id="105" w:name="_Toc144974862"/>
      <w:bookmarkStart w:id="106" w:name="_Toc247527834"/>
      <w:bookmarkStart w:id="107" w:name="_Toc152042583"/>
      <w:r>
        <w:rPr>
          <w:rFonts w:ascii="Times New Roman" w:hAnsi="Times New Roman" w:cs="Times New Roman"/>
        </w:rPr>
        <w:t>三、投标保证金</w:t>
      </w:r>
      <w:bookmarkEnd w:id="102"/>
      <w:bookmarkEnd w:id="103"/>
      <w:bookmarkEnd w:id="104"/>
      <w:bookmarkEnd w:id="105"/>
      <w:bookmarkEnd w:id="106"/>
      <w:bookmarkEnd w:id="107"/>
    </w:p>
    <w:p>
      <w:pPr>
        <w:wordWrap w:val="0"/>
        <w:snapToGrid w:val="0"/>
        <w:spacing w:line="520" w:lineRule="exact"/>
        <w:ind w:firstLine="460" w:firstLineChars="192"/>
        <w:rPr>
          <w:rFonts w:ascii="Times New Roman" w:hAnsi="Times New Roman" w:cs="Times New Roman"/>
          <w:bCs/>
          <w:color w:val="000000"/>
          <w:kern w:val="0"/>
          <w:sz w:val="24"/>
        </w:rPr>
      </w:pPr>
      <w:bookmarkStart w:id="108"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108"/>
    <w:p>
      <w:pPr>
        <w:rPr>
          <w:rFonts w:ascii="Times New Roman" w:hAnsi="Times New Roman" w:cs="Times New Roman"/>
        </w:rPr>
      </w:pPr>
      <w:bookmarkStart w:id="109" w:name="_Toc247527835"/>
      <w:bookmarkStart w:id="110" w:name="_Toc300835218"/>
      <w:bookmarkStart w:id="111" w:name="_Toc152042584"/>
      <w:bookmarkStart w:id="112" w:name="_Toc247514287"/>
      <w:bookmarkStart w:id="113" w:name="_Toc152045795"/>
      <w:bookmarkStart w:id="114" w:name="_Toc144974863"/>
      <w:r>
        <w:rPr>
          <w:rFonts w:ascii="Times New Roman" w:hAnsi="Times New Roman" w:cs="Times New Roman"/>
        </w:rPr>
        <w:br w:type="page"/>
      </w:r>
    </w:p>
    <w:p>
      <w:pPr>
        <w:pStyle w:val="7"/>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rPr>
        <w:t>服务费用清单</w:t>
      </w:r>
    </w:p>
    <w:p>
      <w:pPr>
        <w:ind w:firstLine="420" w:firstLineChars="200"/>
        <w:rPr>
          <w:rFonts w:ascii="Times New Roman" w:hAnsi="Times New Roman" w:cs="Times New Roman"/>
        </w:rPr>
      </w:pPr>
      <w:r>
        <w:rPr>
          <w:rFonts w:hint="eastAsia" w:ascii="Times New Roman" w:hAnsi="Times New Roman" w:cs="Times New Roman"/>
        </w:rPr>
        <w:t>1.服务费用清单说明</w:t>
      </w:r>
    </w:p>
    <w:p>
      <w:pPr>
        <w:rPr>
          <w:rFonts w:ascii="Times New Roman" w:hAnsi="Times New Roman" w:cs="Times New Roman"/>
        </w:rPr>
      </w:pPr>
    </w:p>
    <w:p>
      <w:pPr>
        <w:ind w:firstLine="420" w:firstLineChars="200"/>
        <w:rPr>
          <w:rFonts w:ascii="Times New Roman" w:hAnsi="Times New Roman" w:cs="Times New Roman"/>
        </w:rPr>
      </w:pPr>
      <w:r>
        <w:rPr>
          <w:rFonts w:hint="eastAsia" w:ascii="Times New Roman" w:hAnsi="Times New Roman" w:cs="Times New Roman"/>
        </w:rPr>
        <w:t>2.服务费用清单</w:t>
      </w:r>
    </w:p>
    <w:p>
      <w:pPr>
        <w:rPr>
          <w:rFonts w:ascii="Times New Roman" w:hAnsi="Times New Roman" w:cs="Times New Roman"/>
        </w:rPr>
      </w:pPr>
    </w:p>
    <w:p>
      <w:pPr>
        <w:jc w:val="right"/>
        <w:rPr>
          <w:rFonts w:ascii="Times New Roman" w:hAnsi="Times New Roman" w:cs="Times New Roman"/>
        </w:rPr>
      </w:pPr>
      <w:r>
        <w:rPr>
          <w:rFonts w:hint="eastAsia" w:ascii="Times New Roman" w:hAnsi="Times New Roman" w:cs="Times New Roma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115" w:name="_Toc152045796"/>
            <w:bookmarkStart w:id="116" w:name="_Toc247514288"/>
            <w:bookmarkStart w:id="117" w:name="_Toc144974864"/>
            <w:bookmarkStart w:id="118" w:name="_Toc247527836"/>
            <w:bookmarkStart w:id="119" w:name="_Toc300835221"/>
            <w:bookmarkStart w:id="120" w:name="_Toc152042585"/>
            <w:r>
              <w:rPr>
                <w:rFonts w:hint="eastAsia" w:ascii="Times New Roman" w:hAnsi="Times New Roman" w:cs="Times New Roman"/>
                <w:b/>
                <w:bCs/>
              </w:rPr>
              <w:t>序号</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服务费用分项名称</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计算依据、过程和公式</w:t>
            </w:r>
          </w:p>
        </w:tc>
        <w:tc>
          <w:tcPr>
            <w:tcW w:w="1134" w:type="dxa"/>
            <w:vAlign w:val="center"/>
          </w:tcPr>
          <w:p>
            <w:pPr>
              <w:jc w:val="center"/>
              <w:rPr>
                <w:rFonts w:ascii="Times New Roman" w:hAnsi="Times New Roman" w:cs="Times New Roman"/>
                <w:b/>
                <w:bCs/>
              </w:rPr>
            </w:pPr>
            <w:r>
              <w:rPr>
                <w:rFonts w:hint="eastAsia" w:ascii="Times New Roman" w:hAnsi="Times New Roman" w:cs="Times New Roman"/>
                <w:b/>
                <w:bCs/>
              </w:rPr>
              <w:t>金额（元）</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rPr>
            </w:pPr>
            <w:r>
              <w:rPr>
                <w:rFonts w:hint="eastAsia" w:ascii="Times New Roman" w:hAnsi="Times New Roman" w:cs="Times New Roman"/>
                <w:b/>
                <w:bCs/>
              </w:rPr>
              <w:t>合计报价</w:t>
            </w: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rPr>
        <w:t>注：投标人可根据行业具体情况及招标项目特点对上表格式进行调整。</w:t>
      </w:r>
      <w:r>
        <w:rPr>
          <w:rFonts w:ascii="Times New Roman" w:hAnsi="Times New Roman" w:cs="Times New Roman"/>
        </w:rPr>
        <w:br w:type="page"/>
      </w:r>
    </w:p>
    <w:bookmarkEnd w:id="115"/>
    <w:bookmarkEnd w:id="116"/>
    <w:bookmarkEnd w:id="117"/>
    <w:bookmarkEnd w:id="118"/>
    <w:bookmarkEnd w:id="119"/>
    <w:bookmarkEnd w:id="120"/>
    <w:p>
      <w:pPr>
        <w:pStyle w:val="7"/>
        <w:jc w:val="center"/>
      </w:pPr>
      <w:bookmarkStart w:id="121" w:name="_Toc246997112"/>
      <w:bookmarkStart w:id="122" w:name="_Toc144974876"/>
      <w:bookmarkStart w:id="123" w:name="_Toc247085887"/>
      <w:bookmarkStart w:id="124" w:name="_Toc296602614"/>
      <w:bookmarkStart w:id="125" w:name="_Toc144974871"/>
      <w:bookmarkStart w:id="126" w:name="_Toc152042597"/>
      <w:bookmarkStart w:id="127" w:name="_Toc152045803"/>
      <w:bookmarkStart w:id="128" w:name="_Toc152045808"/>
      <w:bookmarkStart w:id="129" w:name="_Toc300835224"/>
      <w:bookmarkStart w:id="130" w:name="_Toc179632823"/>
      <w:bookmarkStart w:id="131" w:name="_Toc246996369"/>
      <w:bookmarkStart w:id="132" w:name="_Toc152042592"/>
      <w:bookmarkStart w:id="133" w:name="_Toc247527848"/>
      <w:bookmarkStart w:id="134" w:name="_Toc247514300"/>
      <w:r>
        <w:rPr>
          <w:rFonts w:hint="eastAsia"/>
        </w:rPr>
        <w:t>五</w:t>
      </w:r>
      <w:r>
        <w:t>、资格审查资料</w:t>
      </w:r>
    </w:p>
    <w:p>
      <w:pPr>
        <w:pStyle w:val="8"/>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rPr>
            </w:pPr>
            <w:r>
              <w:rPr>
                <w:rFonts w:hint="eastAsia"/>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00" w:lineRule="exact"/>
        <w:ind w:firstLine="420" w:firstLineChars="200"/>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r>
        <w:rPr>
          <w:rFonts w:hint="eastAsia"/>
        </w:rPr>
        <w:br w:type="page"/>
      </w:r>
    </w:p>
    <w:p>
      <w:pPr>
        <w:pStyle w:val="8"/>
      </w:pPr>
      <w:r>
        <w:t>（</w:t>
      </w:r>
      <w:r>
        <w:rPr>
          <w:rFonts w:hint="eastAsia"/>
        </w:rPr>
        <w:t>二</w:t>
      </w:r>
      <w:r>
        <w:t>）</w:t>
      </w:r>
      <w:r>
        <w:rPr>
          <w:rFonts w:hint="eastAsia"/>
        </w:rPr>
        <w:t>近年财务状况表</w:t>
      </w:r>
    </w:p>
    <w:p>
      <w:pPr>
        <w:spacing w:line="440" w:lineRule="exact"/>
        <w:ind w:firstLine="420" w:firstLineChars="200"/>
        <w:rPr>
          <w:rFonts w:ascii="Times New Roman" w:hAnsi="Times New Roman" w:cs="Times New Roman"/>
        </w:rPr>
      </w:pPr>
      <w:r>
        <w:rPr>
          <w:rFonts w:ascii="Times New Roman" w:hAnsi="Times New Roman" w:cs="Times New Roman"/>
        </w:rPr>
        <w:t>投标人应根据投标人须知第3.5.2项的要求在本表后附相关证明材料。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r>
        <w:rPr>
          <w:rFonts w:hint="eastAsia"/>
        </w:rPr>
        <w:br w:type="page"/>
      </w:r>
    </w:p>
    <w:p>
      <w:pPr>
        <w:pStyle w:val="8"/>
        <w:rPr>
          <w:rFonts w:ascii="Times New Roman" w:hAnsi="Times New Roman" w:cs="Times New Roman"/>
        </w:rPr>
      </w:pPr>
      <w:r>
        <w:rPr>
          <w:rFonts w:ascii="Times New Roman" w:hAnsi="Times New Roman" w:cs="Times New Roman"/>
        </w:rPr>
        <w:t>（三）近年完成的类似项目情况表</w:t>
      </w:r>
    </w:p>
    <w:p>
      <w:pPr>
        <w:spacing w:line="440" w:lineRule="exact"/>
        <w:jc w:val="center"/>
        <w:rPr>
          <w:rFonts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服务期限</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服务内容</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ind w:firstLine="420" w:firstLineChars="200"/>
        <w:rPr>
          <w:rFonts w:ascii="Times New Roman" w:hAnsi="Times New Roman" w:cs="Times New Roman"/>
        </w:rPr>
      </w:pPr>
      <w:r>
        <w:rPr>
          <w:rFonts w:ascii="Times New Roman" w:hAnsi="Times New Roman" w:cs="Times New Roman"/>
        </w:rPr>
        <w:t>注：投标人应根据投标人须知第3.5.3项的要求在本表后附相关证明材料；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“近年完成的类似项目情况表”应附中标通知书或合同协议书或发包人出具的证明文件；具体时间要求见投标人须知前附表，每张表格只填写一个项目，并标明序号。</w:t>
      </w:r>
    </w:p>
    <w:p>
      <w:r>
        <w:rPr>
          <w:rFonts w:hint="eastAsia"/>
        </w:rPr>
        <w:br w:type="page"/>
      </w:r>
    </w:p>
    <w:p>
      <w:pPr>
        <w:pStyle w:val="8"/>
        <w:rPr>
          <w:rFonts w:ascii="Times New Roman" w:hAnsi="Times New Roman" w:eastAsia="宋体" w:cs="Times New Roman"/>
          <w:b w:val="0"/>
          <w:bCs w:val="0"/>
          <w:kern w:val="0"/>
          <w:sz w:val="24"/>
          <w:szCs w:val="24"/>
        </w:rPr>
      </w:pPr>
      <w:r>
        <w:rPr>
          <w:rFonts w:hint="eastAsia" w:ascii="Times New Roman" w:hAnsi="Times New Roman" w:cs="Times New Roma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序号</w:t>
            </w:r>
          </w:p>
        </w:tc>
        <w:tc>
          <w:tcPr>
            <w:tcW w:w="948"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姓名</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职称</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专业</w:t>
            </w:r>
          </w:p>
        </w:tc>
        <w:tc>
          <w:tcPr>
            <w:tcW w:w="1725" w:type="pct"/>
            <w:gridSpan w:val="3"/>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spacing w:line="480" w:lineRule="exact"/>
              <w:jc w:val="center"/>
              <w:rPr>
                <w:rFonts w:ascii="Times New Roman" w:hAnsi="Times New Roman" w:eastAsia="宋体" w:cs="Times New Roman"/>
                <w:kern w:val="0"/>
                <w:sz w:val="24"/>
              </w:rPr>
            </w:pPr>
          </w:p>
        </w:tc>
        <w:tc>
          <w:tcPr>
            <w:tcW w:w="948"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证明名称</w:t>
            </w:r>
          </w:p>
        </w:tc>
        <w:tc>
          <w:tcPr>
            <w:tcW w:w="466"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级别</w:t>
            </w:r>
          </w:p>
        </w:tc>
        <w:tc>
          <w:tcPr>
            <w:tcW w:w="471"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证号</w:t>
            </w:r>
          </w:p>
        </w:tc>
        <w:tc>
          <w:tcPr>
            <w:tcW w:w="466" w:type="pct"/>
            <w:vMerge w:val="continue"/>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bl>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rPr>
          <w:i/>
          <w:iCs/>
          <w:color w:val="FF0000"/>
          <w:u w:val="single"/>
        </w:rPr>
      </w:pPr>
    </w:p>
    <w:p>
      <w:pPr>
        <w:pStyle w:val="8"/>
        <w:rPr>
          <w:rFonts w:ascii="Times New Roman" w:hAnsi="Times New Roman" w:eastAsia="宋体" w:cs="Times New Roman"/>
          <w:b w:val="0"/>
          <w:bCs w:val="0"/>
          <w:kern w:val="0"/>
          <w:sz w:val="24"/>
          <w:szCs w:val="24"/>
        </w:rPr>
      </w:pPr>
      <w:r>
        <w:rPr>
          <w:rFonts w:hint="eastAsia" w:ascii="Times New Roman" w:hAnsi="Times New Roman" w:cs="Times New Roma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姓名</w:t>
            </w:r>
          </w:p>
        </w:tc>
        <w:tc>
          <w:tcPr>
            <w:tcW w:w="1134" w:type="dxa"/>
            <w:vAlign w:val="center"/>
          </w:tcPr>
          <w:p>
            <w:pPr>
              <w:jc w:val="center"/>
            </w:pPr>
          </w:p>
        </w:tc>
        <w:tc>
          <w:tcPr>
            <w:tcW w:w="1134" w:type="dxa"/>
            <w:vAlign w:val="center"/>
          </w:tcPr>
          <w:p>
            <w:pPr>
              <w:jc w:val="center"/>
            </w:pPr>
            <w:r>
              <w:rPr>
                <w:rFonts w:hint="eastAsia"/>
              </w:rPr>
              <w:t>年龄</w:t>
            </w:r>
          </w:p>
        </w:tc>
        <w:tc>
          <w:tcPr>
            <w:tcW w:w="1134" w:type="dxa"/>
            <w:vAlign w:val="center"/>
          </w:tcPr>
          <w:p>
            <w:pPr>
              <w:jc w:val="center"/>
            </w:pPr>
          </w:p>
        </w:tc>
        <w:tc>
          <w:tcPr>
            <w:tcW w:w="1701" w:type="dxa"/>
            <w:vAlign w:val="center"/>
          </w:tcPr>
          <w:p>
            <w:pPr>
              <w:jc w:val="center"/>
            </w:pPr>
            <w:r>
              <w:rPr>
                <w:rFonts w:hint="eastAsia"/>
              </w:rPr>
              <w:t>执业资格证书（或上岗证书）名称</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职称</w:t>
            </w:r>
          </w:p>
        </w:tc>
        <w:tc>
          <w:tcPr>
            <w:tcW w:w="1134" w:type="dxa"/>
            <w:vAlign w:val="center"/>
          </w:tcPr>
          <w:p>
            <w:pPr>
              <w:jc w:val="center"/>
            </w:pPr>
          </w:p>
        </w:tc>
        <w:tc>
          <w:tcPr>
            <w:tcW w:w="1134" w:type="dxa"/>
            <w:vAlign w:val="center"/>
          </w:tcPr>
          <w:p>
            <w:pPr>
              <w:jc w:val="center"/>
            </w:pPr>
            <w:r>
              <w:rPr>
                <w:rFonts w:hint="eastAsia"/>
              </w:rPr>
              <w:t>学历</w:t>
            </w:r>
          </w:p>
        </w:tc>
        <w:tc>
          <w:tcPr>
            <w:tcW w:w="1134" w:type="dxa"/>
            <w:vAlign w:val="center"/>
          </w:tcPr>
          <w:p>
            <w:pPr>
              <w:jc w:val="center"/>
            </w:pPr>
          </w:p>
        </w:tc>
        <w:tc>
          <w:tcPr>
            <w:tcW w:w="1701" w:type="dxa"/>
            <w:vAlign w:val="center"/>
          </w:tcPr>
          <w:p>
            <w:pPr>
              <w:jc w:val="center"/>
            </w:pPr>
            <w:r>
              <w:rPr>
                <w:rFonts w:hint="eastAsia"/>
              </w:rPr>
              <w:t>拟在本项目任职</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工作年限</w:t>
            </w:r>
          </w:p>
        </w:tc>
        <w:tc>
          <w:tcPr>
            <w:tcW w:w="3402" w:type="dxa"/>
            <w:gridSpan w:val="3"/>
            <w:vAlign w:val="center"/>
          </w:tcPr>
          <w:p>
            <w:pPr>
              <w:jc w:val="center"/>
            </w:pPr>
          </w:p>
        </w:tc>
        <w:tc>
          <w:tcPr>
            <w:tcW w:w="1701" w:type="dxa"/>
            <w:vAlign w:val="center"/>
          </w:tcPr>
          <w:p>
            <w:pPr>
              <w:jc w:val="center"/>
            </w:pPr>
            <w:r>
              <w:rPr>
                <w:rFonts w:hint="eastAsia"/>
              </w:rPr>
              <w:t>从事本项目服务工作年限</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毕业学校</w:t>
            </w:r>
          </w:p>
        </w:tc>
        <w:tc>
          <w:tcPr>
            <w:tcW w:w="7388" w:type="dxa"/>
            <w:gridSpan w:val="5"/>
            <w:vAlign w:val="center"/>
          </w:tcPr>
          <w:p>
            <w:r>
              <w:rPr>
                <w:rFonts w:hint="eastAsia"/>
                <w:u w:val="single"/>
              </w:rPr>
              <w:t xml:space="preserve">            </w:t>
            </w:r>
            <w:r>
              <w:rPr>
                <w:rFonts w:hint="eastAsia"/>
              </w:rPr>
              <w:t>年毕业于</w:t>
            </w:r>
            <w:r>
              <w:rPr>
                <w:rFonts w:hint="eastAsia"/>
                <w:u w:val="single"/>
              </w:rPr>
              <w:t xml:space="preserve">            </w:t>
            </w:r>
            <w:r>
              <w:rPr>
                <w:rFonts w:hint="eastAsia"/>
              </w:rPr>
              <w:t>学校</w:t>
            </w:r>
            <w:r>
              <w:rPr>
                <w:rFonts w:hint="eastAsia"/>
                <w:u w:val="single"/>
              </w:rPr>
              <w:t xml:space="preserve">            </w:t>
            </w:r>
            <w:r>
              <w:rPr>
                <w:rFonts w:hint="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r>
              <w:rPr>
                <w:rFonts w:hint="eastAsi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时间</w:t>
            </w:r>
          </w:p>
        </w:tc>
        <w:tc>
          <w:tcPr>
            <w:tcW w:w="3402" w:type="dxa"/>
            <w:gridSpan w:val="3"/>
            <w:vAlign w:val="center"/>
          </w:tcPr>
          <w:p>
            <w:pPr>
              <w:jc w:val="center"/>
            </w:pPr>
            <w:r>
              <w:rPr>
                <w:rFonts w:hint="eastAsia"/>
              </w:rPr>
              <w:t>参加过的类似项目</w:t>
            </w:r>
          </w:p>
        </w:tc>
        <w:tc>
          <w:tcPr>
            <w:tcW w:w="1701" w:type="dxa"/>
            <w:vAlign w:val="center"/>
          </w:tcPr>
          <w:p>
            <w:pPr>
              <w:jc w:val="center"/>
            </w:pPr>
            <w:r>
              <w:rPr>
                <w:rFonts w:hint="eastAsia"/>
              </w:rPr>
              <w:t>担任职称</w:t>
            </w:r>
          </w:p>
        </w:tc>
        <w:tc>
          <w:tcPr>
            <w:tcW w:w="2285" w:type="dxa"/>
            <w:vAlign w:val="center"/>
          </w:tcPr>
          <w:p>
            <w:pPr>
              <w:jc w:val="center"/>
            </w:pPr>
            <w:r>
              <w:rPr>
                <w:rFonts w:hint="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bl>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pPr>
        <w:spacing w:line="440" w:lineRule="exact"/>
        <w:ind w:firstLine="420" w:firstLineChars="200"/>
        <w:rPr>
          <w:rFonts w:ascii="Times New Roman" w:hAnsi="Times New Roman" w:eastAsia="宋体" w:cs="Times New Roman"/>
        </w:rPr>
      </w:pPr>
      <w:r>
        <w:rPr>
          <w:rFonts w:hint="eastAsia" w:ascii="Times New Roman" w:hAnsi="Times New Roman" w:eastAsia="宋体" w:cs="Times New Roman"/>
        </w:rPr>
        <w:t>附：3.5.6 “拟委任的主要人员汇总表”应填报满足第二章投标人须知第1.4.1项规定的项目负责人和其他主要人员的相关信息。</w:t>
      </w:r>
    </w:p>
    <w:p>
      <w:pPr>
        <w:rPr>
          <w:i/>
          <w:iCs/>
          <w:color w:val="FF0000"/>
          <w:u w:val="single"/>
        </w:rPr>
      </w:pPr>
      <w:r>
        <w:rPr>
          <w:rFonts w:hint="eastAsia"/>
          <w:i/>
          <w:iCs/>
          <w:color w:val="FF0000"/>
          <w:u w:val="single"/>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7"/>
        <w:jc w:val="center"/>
      </w:pPr>
      <w:r>
        <w:rPr>
          <w:rFonts w:hint="eastAsia"/>
        </w:rPr>
        <w:t>六</w:t>
      </w:r>
      <w:r>
        <w:t>、</w:t>
      </w:r>
      <w:r>
        <w:rPr>
          <w:rFonts w:hint="eastAsia"/>
        </w:rPr>
        <w:t>服务方案</w:t>
      </w:r>
    </w:p>
    <w:p>
      <w:pPr>
        <w:spacing w:line="440" w:lineRule="exact"/>
        <w:rPr>
          <w:rFonts w:ascii="Times New Roman" w:hAnsi="Times New Roman" w:cs="Times New Roman"/>
        </w:rPr>
      </w:pPr>
      <w:r>
        <w:rPr>
          <w:rFonts w:hint="eastAsia" w:ascii="Times New Roman" w:hAnsi="Times New Roman" w:cs="Times New Roman"/>
          <w:lang w:val="en-US" w:eastAsia="zh-CN"/>
        </w:rPr>
        <w:t>监理</w:t>
      </w:r>
      <w:r>
        <w:rPr>
          <w:rFonts w:hint="eastAsia" w:ascii="Times New Roman" w:hAnsi="Times New Roman" w:cs="Times New Roman"/>
        </w:rPr>
        <w:t>方案应包括（但不限于）下列内容：</w:t>
      </w:r>
    </w:p>
    <w:p>
      <w:pPr>
        <w:spacing w:line="440" w:lineRule="exact"/>
        <w:rPr>
          <w:rFonts w:ascii="Times New Roman" w:hAnsi="Times New Roman" w:cs="Times New Roman"/>
        </w:rPr>
      </w:pPr>
      <w:r>
        <w:rPr>
          <w:rFonts w:hint="eastAsia" w:ascii="Times New Roman" w:hAnsi="Times New Roman" w:cs="Times New Roman"/>
        </w:rPr>
        <w:t>一、项目概况；</w:t>
      </w:r>
    </w:p>
    <w:p>
      <w:pPr>
        <w:spacing w:line="440" w:lineRule="exact"/>
        <w:rPr>
          <w:rFonts w:ascii="Times New Roman" w:hAnsi="Times New Roman" w:cs="Times New Roman"/>
        </w:rPr>
      </w:pPr>
      <w:r>
        <w:rPr>
          <w:rFonts w:hint="eastAsia" w:ascii="Times New Roman" w:hAnsi="Times New Roman" w:cs="Times New Roman"/>
        </w:rPr>
        <w:t>二、服务范围、服务内容；</w:t>
      </w:r>
    </w:p>
    <w:p>
      <w:pPr>
        <w:spacing w:line="440" w:lineRule="exact"/>
        <w:rPr>
          <w:rFonts w:ascii="Times New Roman" w:hAnsi="Times New Roman" w:cs="Times New Roman"/>
        </w:rPr>
      </w:pPr>
      <w:r>
        <w:rPr>
          <w:rFonts w:hint="eastAsia" w:ascii="Times New Roman" w:hAnsi="Times New Roman" w:cs="Times New Roman"/>
        </w:rPr>
        <w:t>三、工作依据、工作目标；</w:t>
      </w:r>
    </w:p>
    <w:p>
      <w:pPr>
        <w:spacing w:line="440" w:lineRule="exact"/>
        <w:rPr>
          <w:rFonts w:ascii="Times New Roman" w:hAnsi="Times New Roman" w:cs="Times New Roman"/>
        </w:rPr>
      </w:pPr>
      <w:r>
        <w:rPr>
          <w:rFonts w:hint="eastAsia" w:ascii="Times New Roman" w:hAnsi="Times New Roman" w:cs="Times New Roman"/>
        </w:rPr>
        <w:t>四、机构设置（框图）、岗位职责；</w:t>
      </w:r>
    </w:p>
    <w:p>
      <w:pPr>
        <w:spacing w:line="440" w:lineRule="exact"/>
        <w:rPr>
          <w:rFonts w:ascii="Times New Roman" w:hAnsi="Times New Roman" w:cs="Times New Roman"/>
        </w:rPr>
      </w:pPr>
      <w:r>
        <w:rPr>
          <w:rFonts w:hint="eastAsia" w:ascii="Times New Roman" w:hAnsi="Times New Roman" w:cs="Times New Roman"/>
        </w:rPr>
        <w:t>五、服务说明和服务方案；</w:t>
      </w:r>
    </w:p>
    <w:p>
      <w:pPr>
        <w:spacing w:line="440" w:lineRule="exact"/>
        <w:rPr>
          <w:rFonts w:ascii="Times New Roman" w:hAnsi="Times New Roman" w:cs="Times New Roman"/>
        </w:rPr>
      </w:pPr>
      <w:r>
        <w:rPr>
          <w:rFonts w:hint="eastAsia" w:ascii="Times New Roman" w:hAnsi="Times New Roman" w:cs="Times New Roman"/>
        </w:rPr>
        <w:t>六、拟投入的主要人员；</w:t>
      </w:r>
    </w:p>
    <w:p>
      <w:pPr>
        <w:spacing w:line="440" w:lineRule="exact"/>
        <w:rPr>
          <w:rFonts w:ascii="Times New Roman" w:hAnsi="Times New Roman" w:cs="Times New Roman"/>
        </w:rPr>
      </w:pPr>
      <w:r>
        <w:rPr>
          <w:rFonts w:hint="eastAsia" w:ascii="Times New Roman" w:hAnsi="Times New Roman" w:cs="Times New Roman"/>
        </w:rPr>
        <w:t>七、质量、进度、保密等保证措施；</w:t>
      </w:r>
    </w:p>
    <w:p>
      <w:pPr>
        <w:spacing w:line="440" w:lineRule="exact"/>
        <w:rPr>
          <w:rFonts w:ascii="Times New Roman" w:hAnsi="Times New Roman" w:cs="Times New Roman"/>
        </w:rPr>
      </w:pPr>
      <w:r>
        <w:rPr>
          <w:rFonts w:hint="eastAsia" w:ascii="Times New Roman" w:hAnsi="Times New Roman" w:cs="Times New Roman"/>
        </w:rPr>
        <w:t>八、安全保证措施；</w:t>
      </w:r>
    </w:p>
    <w:p>
      <w:pPr>
        <w:spacing w:line="440" w:lineRule="exact"/>
        <w:rPr>
          <w:rFonts w:ascii="Times New Roman" w:hAnsi="Times New Roman" w:cs="Times New Roman"/>
        </w:rPr>
      </w:pPr>
      <w:r>
        <w:rPr>
          <w:rFonts w:hint="eastAsia" w:ascii="Times New Roman" w:hAnsi="Times New Roman" w:cs="Times New Roman"/>
        </w:rPr>
        <w:t>九、工作重点、难点分析</w:t>
      </w:r>
    </w:p>
    <w:p>
      <w:pPr>
        <w:spacing w:line="440" w:lineRule="exact"/>
        <w:rPr>
          <w:rFonts w:ascii="Times New Roman" w:hAnsi="Times New Roman" w:cs="Times New Roman"/>
        </w:rPr>
      </w:pPr>
      <w:r>
        <w:rPr>
          <w:rFonts w:hint="eastAsia" w:ascii="Times New Roman" w:hAnsi="Times New Roman" w:cs="Times New Roman"/>
        </w:rPr>
        <w:t>十、对本项目的合理化建议。</w:t>
      </w:r>
    </w:p>
    <w:p>
      <w:pPr>
        <w:rPr>
          <w:rFonts w:ascii="Times New Roman" w:hAnsi="Times New Roman" w:cs="Times New Roman"/>
        </w:rPr>
      </w:pPr>
      <w:r>
        <w:rPr>
          <w:rFonts w:ascii="Times New Roman" w:hAnsi="Times New Roman" w:cs="Times New Roman"/>
        </w:rPr>
        <w:br w:type="page"/>
      </w:r>
    </w:p>
    <w:p>
      <w:pPr>
        <w:pStyle w:val="7"/>
        <w:jc w:val="center"/>
        <w:rPr>
          <w:rFonts w:ascii="Times New Roman" w:hAnsi="Times New Roman" w:cs="Times New Roman"/>
        </w:rPr>
      </w:pPr>
      <w:bookmarkStart w:id="135" w:name="_Toc271821942"/>
      <w:bookmarkStart w:id="136" w:name="_Toc300835233"/>
      <w:r>
        <w:rPr>
          <w:rFonts w:hint="eastAsia" w:ascii="Times New Roman" w:hAnsi="Times New Roman" w:cs="Times New Roman"/>
        </w:rPr>
        <w:t>七</w:t>
      </w:r>
      <w:r>
        <w:rPr>
          <w:rFonts w:ascii="Times New Roman" w:hAnsi="Times New Roman" w:cs="Times New Roman"/>
        </w:rPr>
        <w:t>、其他资料</w:t>
      </w:r>
      <w:bookmarkEnd w:id="135"/>
      <w:bookmarkEnd w:id="136"/>
    </w:p>
    <w:p>
      <w:pPr>
        <w:ind w:firstLine="420" w:firstLineChars="200"/>
        <w:rPr>
          <w:rFonts w:ascii="Times New Roman" w:hAnsi="Times New Roman"/>
        </w:rPr>
      </w:pPr>
      <w:r>
        <w:rPr>
          <w:rFonts w:hint="eastAsia" w:ascii="Times New Roman" w:hAnsi="Times New Roman"/>
        </w:rPr>
        <w:t>第六章“投标文件格式”未详尽列举，但招标文件要求或投标人认为有必要提供的资料。</w:t>
      </w:r>
    </w:p>
    <w:p>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2E7811"/>
    <w:rsid w:val="000A4B92"/>
    <w:rsid w:val="002609D3"/>
    <w:rsid w:val="002C069E"/>
    <w:rsid w:val="002D6C63"/>
    <w:rsid w:val="002E7811"/>
    <w:rsid w:val="0040224D"/>
    <w:rsid w:val="004C4488"/>
    <w:rsid w:val="006E05BB"/>
    <w:rsid w:val="00733B0B"/>
    <w:rsid w:val="00764376"/>
    <w:rsid w:val="00796B76"/>
    <w:rsid w:val="00850CC0"/>
    <w:rsid w:val="00882DF7"/>
    <w:rsid w:val="009F7F2A"/>
    <w:rsid w:val="00B00F2F"/>
    <w:rsid w:val="00B624F6"/>
    <w:rsid w:val="00BC3237"/>
    <w:rsid w:val="00F87945"/>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D373D9"/>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26093E"/>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497D89"/>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1F3529"/>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B14C85"/>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9528F0"/>
    <w:rsid w:val="16BC45EA"/>
    <w:rsid w:val="16C724D4"/>
    <w:rsid w:val="16D411E7"/>
    <w:rsid w:val="16ED0036"/>
    <w:rsid w:val="170756D4"/>
    <w:rsid w:val="170F4587"/>
    <w:rsid w:val="176115DC"/>
    <w:rsid w:val="176D7525"/>
    <w:rsid w:val="17824660"/>
    <w:rsid w:val="178F2FF8"/>
    <w:rsid w:val="179121FE"/>
    <w:rsid w:val="17915931"/>
    <w:rsid w:val="17C41ABF"/>
    <w:rsid w:val="17F52B35"/>
    <w:rsid w:val="18175D56"/>
    <w:rsid w:val="18276B10"/>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12602D"/>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57449"/>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7035FE"/>
    <w:rsid w:val="25812F8D"/>
    <w:rsid w:val="25814DB7"/>
    <w:rsid w:val="25824959"/>
    <w:rsid w:val="25935161"/>
    <w:rsid w:val="25987A23"/>
    <w:rsid w:val="25BC46FF"/>
    <w:rsid w:val="25C517A2"/>
    <w:rsid w:val="25EF41EA"/>
    <w:rsid w:val="25F5789E"/>
    <w:rsid w:val="25FD6A72"/>
    <w:rsid w:val="2608561B"/>
    <w:rsid w:val="26196938"/>
    <w:rsid w:val="26261861"/>
    <w:rsid w:val="26382AAC"/>
    <w:rsid w:val="264D0A80"/>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C26644"/>
    <w:rsid w:val="27DD09CE"/>
    <w:rsid w:val="27EC553C"/>
    <w:rsid w:val="280C4BFC"/>
    <w:rsid w:val="2813394B"/>
    <w:rsid w:val="281C1F63"/>
    <w:rsid w:val="281C54D8"/>
    <w:rsid w:val="283610D5"/>
    <w:rsid w:val="285F5293"/>
    <w:rsid w:val="28622D71"/>
    <w:rsid w:val="286E69FD"/>
    <w:rsid w:val="28A10C81"/>
    <w:rsid w:val="28C12409"/>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1675D"/>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4618A"/>
    <w:rsid w:val="2CB62598"/>
    <w:rsid w:val="2CBC136A"/>
    <w:rsid w:val="2CCF53D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184747"/>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D72AD0"/>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4B08F2"/>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711DBC"/>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F227B1"/>
    <w:rsid w:val="3A016677"/>
    <w:rsid w:val="3A151290"/>
    <w:rsid w:val="3A201663"/>
    <w:rsid w:val="3A257964"/>
    <w:rsid w:val="3A292038"/>
    <w:rsid w:val="3A4A1178"/>
    <w:rsid w:val="3A524E6B"/>
    <w:rsid w:val="3A762A49"/>
    <w:rsid w:val="3A826354"/>
    <w:rsid w:val="3A943B86"/>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BE92F34"/>
    <w:rsid w:val="3C0A3047"/>
    <w:rsid w:val="3C2E50FB"/>
    <w:rsid w:val="3C37637A"/>
    <w:rsid w:val="3C4A12AD"/>
    <w:rsid w:val="3C5125FC"/>
    <w:rsid w:val="3C690ECB"/>
    <w:rsid w:val="3C860AC6"/>
    <w:rsid w:val="3C8967A4"/>
    <w:rsid w:val="3C960BC8"/>
    <w:rsid w:val="3C9848A1"/>
    <w:rsid w:val="3CA509B7"/>
    <w:rsid w:val="3CA509D1"/>
    <w:rsid w:val="3CC666F8"/>
    <w:rsid w:val="3CD537E6"/>
    <w:rsid w:val="3CD93879"/>
    <w:rsid w:val="3D2571D3"/>
    <w:rsid w:val="3D7A2818"/>
    <w:rsid w:val="3D8106EA"/>
    <w:rsid w:val="3D834DF8"/>
    <w:rsid w:val="3DA352B1"/>
    <w:rsid w:val="3DBA61E7"/>
    <w:rsid w:val="3DC14624"/>
    <w:rsid w:val="3DD55956"/>
    <w:rsid w:val="3E100FFC"/>
    <w:rsid w:val="3E201534"/>
    <w:rsid w:val="3E651EE9"/>
    <w:rsid w:val="3E720F04"/>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3B32F2"/>
    <w:rsid w:val="415978C8"/>
    <w:rsid w:val="415A69D6"/>
    <w:rsid w:val="415C1B4D"/>
    <w:rsid w:val="417843F2"/>
    <w:rsid w:val="41807B75"/>
    <w:rsid w:val="418A1799"/>
    <w:rsid w:val="41A61C3F"/>
    <w:rsid w:val="41B17185"/>
    <w:rsid w:val="41F05895"/>
    <w:rsid w:val="420C70DA"/>
    <w:rsid w:val="4226611D"/>
    <w:rsid w:val="425402BB"/>
    <w:rsid w:val="42564ADA"/>
    <w:rsid w:val="42660D0B"/>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C45D0F"/>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542D0"/>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132"/>
    <w:rsid w:val="49820EB7"/>
    <w:rsid w:val="499416E9"/>
    <w:rsid w:val="49A63EAD"/>
    <w:rsid w:val="49B4166E"/>
    <w:rsid w:val="49BA2C9E"/>
    <w:rsid w:val="49BC3715"/>
    <w:rsid w:val="49C56A6D"/>
    <w:rsid w:val="49F72310"/>
    <w:rsid w:val="49FD2EE4"/>
    <w:rsid w:val="4A0B4FDE"/>
    <w:rsid w:val="4A343D11"/>
    <w:rsid w:val="4A497D35"/>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942465"/>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666F4"/>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216EF"/>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5801A6"/>
    <w:rsid w:val="5263075C"/>
    <w:rsid w:val="52660A26"/>
    <w:rsid w:val="52717995"/>
    <w:rsid w:val="528315FB"/>
    <w:rsid w:val="52910142"/>
    <w:rsid w:val="52990759"/>
    <w:rsid w:val="529E42FF"/>
    <w:rsid w:val="52A20C5A"/>
    <w:rsid w:val="52B87033"/>
    <w:rsid w:val="52BE5917"/>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4EF382C"/>
    <w:rsid w:val="550E49C6"/>
    <w:rsid w:val="55A47D96"/>
    <w:rsid w:val="55C94049"/>
    <w:rsid w:val="55DA287E"/>
    <w:rsid w:val="55DD1819"/>
    <w:rsid w:val="55EE6DAD"/>
    <w:rsid w:val="56073162"/>
    <w:rsid w:val="5609127C"/>
    <w:rsid w:val="561B669D"/>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961EFB"/>
    <w:rsid w:val="59A11353"/>
    <w:rsid w:val="59B40569"/>
    <w:rsid w:val="59E26450"/>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8525E1"/>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8131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D429C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1A525D"/>
    <w:rsid w:val="6B3E0351"/>
    <w:rsid w:val="6B42449D"/>
    <w:rsid w:val="6B4A5562"/>
    <w:rsid w:val="6B565807"/>
    <w:rsid w:val="6B7174EC"/>
    <w:rsid w:val="6B7A369F"/>
    <w:rsid w:val="6BAC2823"/>
    <w:rsid w:val="6BBD5024"/>
    <w:rsid w:val="6BF37DF1"/>
    <w:rsid w:val="6C46473D"/>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830E8"/>
    <w:rsid w:val="6D6A2DB3"/>
    <w:rsid w:val="6D6A69AA"/>
    <w:rsid w:val="6D79127B"/>
    <w:rsid w:val="6D832281"/>
    <w:rsid w:val="6DC237AE"/>
    <w:rsid w:val="6DF91502"/>
    <w:rsid w:val="6E01482E"/>
    <w:rsid w:val="6E0D1941"/>
    <w:rsid w:val="6E18292B"/>
    <w:rsid w:val="6E402C35"/>
    <w:rsid w:val="6E403BCF"/>
    <w:rsid w:val="6E424CF7"/>
    <w:rsid w:val="6E5E414D"/>
    <w:rsid w:val="6E96703D"/>
    <w:rsid w:val="6E984122"/>
    <w:rsid w:val="6EC4761A"/>
    <w:rsid w:val="6ED26905"/>
    <w:rsid w:val="6ED924EF"/>
    <w:rsid w:val="6EE10447"/>
    <w:rsid w:val="6EE20566"/>
    <w:rsid w:val="6EEB6DD8"/>
    <w:rsid w:val="6EF513F6"/>
    <w:rsid w:val="6EFB2CF8"/>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645DE9"/>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A32C8B"/>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D7318"/>
    <w:rsid w:val="7AF84FA0"/>
    <w:rsid w:val="7AF909C6"/>
    <w:rsid w:val="7B6273C9"/>
    <w:rsid w:val="7B6F1BD0"/>
    <w:rsid w:val="7B732126"/>
    <w:rsid w:val="7B755C15"/>
    <w:rsid w:val="7B7B20CE"/>
    <w:rsid w:val="7B8E1216"/>
    <w:rsid w:val="7B9A1345"/>
    <w:rsid w:val="7BCA6C86"/>
    <w:rsid w:val="7C003703"/>
    <w:rsid w:val="7C044DA1"/>
    <w:rsid w:val="7C365DE1"/>
    <w:rsid w:val="7CA33449"/>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017D6A"/>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unhideWhenUsed/>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customStyle="1" w:styleId="4">
    <w:name w:val="font5"/>
    <w:basedOn w:val="1"/>
    <w:qFormat/>
    <w:uiPriority w:val="0"/>
    <w:pPr>
      <w:widowControl/>
      <w:spacing w:before="100" w:beforeAutospacing="1" w:after="100" w:afterAutospacing="1"/>
      <w:jc w:val="left"/>
    </w:pPr>
    <w:rPr>
      <w:rFonts w:hint="eastAsia" w:ascii="宋体" w:hAnsi="宋体"/>
      <w:kern w:val="0"/>
      <w:sz w:val="24"/>
    </w:rPr>
  </w:style>
  <w:style w:type="paragraph" w:styleId="5">
    <w:name w:val="Body Text First Indent"/>
    <w:basedOn w:val="1"/>
    <w:next w:val="1"/>
    <w:qFormat/>
    <w:uiPriority w:val="0"/>
    <w:pPr>
      <w:ind w:firstLine="420" w:firstLineChars="100"/>
    </w:pPr>
  </w:style>
  <w:style w:type="paragraph" w:styleId="9">
    <w:name w:val="annotation text"/>
    <w:basedOn w:val="1"/>
    <w:qFormat/>
    <w:uiPriority w:val="0"/>
    <w:pPr>
      <w:jc w:val="left"/>
    </w:pPr>
    <w:rPr>
      <w:rFonts w:eastAsia="宋体"/>
    </w:rPr>
  </w:style>
  <w:style w:type="paragraph" w:styleId="10">
    <w:name w:val="Body Text 3"/>
    <w:basedOn w:val="1"/>
    <w:qFormat/>
    <w:uiPriority w:val="0"/>
    <w:rPr>
      <w:rFonts w:ascii="宋体"/>
      <w:sz w:val="24"/>
      <w:szCs w:val="20"/>
    </w:r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13347</Words>
  <Characters>14882</Characters>
  <Lines>113</Lines>
  <Paragraphs>31</Paragraphs>
  <TotalTime>10</TotalTime>
  <ScaleCrop>false</ScaleCrop>
  <LinksUpToDate>false</LinksUpToDate>
  <CharactersWithSpaces>16398</CharactersWithSpaces>
  <Application>WPS Office_11.1.0.13703_F1E327BC-269C-435d-A152-05C5408002CA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2023-03-01T01:23:00Z</cp:lastPrinted>
  <dcterms:modified xsi:type="dcterms:W3CDTF">2023-03-06T08:00:23Z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3DC1C1C5EC6741F69426F536341F9981</vt:lpwstr>
  </property>
</Properties>
</file>