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152042583"/>
      <w:bookmarkStart w:id="2" w:name="_Toc247527834"/>
      <w:bookmarkStart w:id="3" w:name="_Toc247514286"/>
      <w:bookmarkStart w:id="4" w:name="_Toc300835216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亳州新能源发展有限公司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lang w:val="en-US" w:eastAsia="zh-CN"/>
        </w:rPr>
        <w:t>亳州市高铁南站客运枢纽站2MW“光储充”一体化综合能源示范站及公交基地（1MW）、临漳公园公交首末站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</w:t>
      </w:r>
      <w:r>
        <w:rPr>
          <w:rFonts w:hint="default" w:ascii="Times New Roman" w:hAnsi="Times New Roman" w:cs="Times New Roman"/>
          <w:szCs w:val="21"/>
          <w:lang w:val="en-US" w:eastAsia="zh-CN"/>
        </w:rPr>
        <w:t>480KW</w:t>
      </w:r>
      <w:r>
        <w:rPr>
          <w:rFonts w:hint="eastAsia" w:ascii="Times New Roman" w:hAnsi="Times New Roman" w:cs="Times New Roman"/>
          <w:szCs w:val="21"/>
          <w:lang w:val="en-US" w:eastAsia="zh-CN"/>
        </w:rPr>
        <w:t>）</w:t>
      </w:r>
      <w:r>
        <w:rPr>
          <w:rFonts w:hint="default" w:ascii="Times New Roman" w:hAnsi="Times New Roman" w:cs="Times New Roman"/>
          <w:szCs w:val="21"/>
          <w:lang w:val="en-US" w:eastAsia="zh-CN"/>
        </w:rPr>
        <w:t>、詹庄公交首末站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</w:t>
      </w:r>
      <w:r>
        <w:rPr>
          <w:rFonts w:hint="default" w:ascii="Times New Roman" w:hAnsi="Times New Roman" w:cs="Times New Roman"/>
          <w:szCs w:val="21"/>
          <w:lang w:val="en-US" w:eastAsia="zh-CN"/>
        </w:rPr>
        <w:t>540KW</w:t>
      </w:r>
      <w:r>
        <w:rPr>
          <w:rFonts w:hint="eastAsia" w:ascii="Times New Roman" w:hAnsi="Times New Roman" w:cs="Times New Roman"/>
          <w:szCs w:val="21"/>
          <w:lang w:val="en-US" w:eastAsia="zh-CN"/>
        </w:rPr>
        <w:t>）</w:t>
      </w:r>
      <w:r>
        <w:rPr>
          <w:rFonts w:hint="default" w:ascii="Times New Roman" w:hAnsi="Times New Roman" w:cs="Times New Roman"/>
          <w:szCs w:val="21"/>
          <w:lang w:val="en-US" w:eastAsia="zh-CN"/>
        </w:rPr>
        <w:t>分布式光伏车棚发电项</w:t>
      </w:r>
      <w:r>
        <w:rPr>
          <w:rFonts w:hint="eastAsia" w:ascii="Times New Roman" w:hAnsi="Times New Roman" w:cs="Times New Roman"/>
          <w:szCs w:val="21"/>
          <w:lang w:val="en-US" w:eastAsia="zh-CN"/>
        </w:rPr>
        <w:t>目咨询勘察设计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lang w:val="en-US" w:eastAsia="zh-CN"/>
        </w:rPr>
        <w:t>询价函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元每瓦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元/W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）的固定单价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中标通知书发出之日起10日历天内完成方案设计，出具设计方案效果图；方案确定后10日内完成可行性研究报告，经发包人审查确认后15日历天内提交施工图设计成果，竣工验收后7日历天内提供竣工图设计成果，并按照发包人要求提供项目运行调试、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并网验收及后续技术服务工作。质量标准：符合国家及省市现行的相关行业规范、规程、规定的合格标准，完成可行性研究报告、方案设计和施工图设计，并保证设计成果通过相关部门的审查，并提供投资估算及后续相关服务，按照合同约定完成全部咨询、勘察、设计工作。</w:t>
      </w:r>
      <w:permEnd w:id="2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bookmarkEnd w:id="0"/>
      <w:bookmarkEnd w:id="1"/>
      <w:bookmarkEnd w:id="2"/>
      <w:bookmarkEnd w:id="3"/>
      <w:bookmarkEnd w:id="4"/>
      <w:bookmark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0M2E5OGY3ZmU4NDg4ZDM3YjA2MmY3NTZlM2MwYmU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85723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A0B5F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9F004E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CF5273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AE38BB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28CF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555</Words>
  <Characters>572</Characters>
  <Lines>0</Lines>
  <Paragraphs>0</Paragraphs>
  <TotalTime>14</TotalTime>
  <ScaleCrop>false</ScaleCrop>
  <LinksUpToDate>false</LinksUpToDate>
  <CharactersWithSpaces>698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亳州市讯拓信息工程有限公司</cp:lastModifiedBy>
  <cp:lastPrinted>2021-03-03T02:52:00Z</cp:lastPrinted>
  <dcterms:modified xsi:type="dcterms:W3CDTF">2023-02-16T08:43:37Z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75704EC59FDB4F70902AA218CCF8FA27</vt:lpwstr>
  </property>
</Properties>
</file>