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6"/>
          <w:szCs w:val="36"/>
          <w:highlight w:val="none"/>
          <w:u w:val="single"/>
          <w:shd w:val="clear" w:color="auto" w:fill="auto"/>
          <w:lang w:val="en-US" w:eastAsia="zh-CN"/>
        </w:rPr>
        <w:t>亳蒙高速公路一期绿化工程苗木采购项目</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23</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01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 xml:space="preserve"> 2023年1</w:t>
      </w:r>
      <w:r>
        <w:rPr>
          <w:rFonts w:hint="eastAsia" w:ascii="Times New Roman" w:hAnsi="Times New Roman" w:eastAsia="楷体" w:cs="Times New Roman"/>
          <w:kern w:val="0"/>
          <w:sz w:val="32"/>
          <w:szCs w:val="32"/>
          <w:highlight w:val="none"/>
          <w:u w:val="none"/>
          <w:shd w:val="clear" w:color="auto" w:fill="auto"/>
          <w:lang w:val="en-US" w:eastAsia="zh-CN"/>
        </w:rPr>
        <w:t>月9日</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10</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15</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发包人要求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17</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18</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72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宋体" w:hAnsi="宋体" w:eastAsia="宋体" w:cs="宋体"/>
          <w:b/>
          <w:bCs/>
          <w:sz w:val="32"/>
          <w:szCs w:val="32"/>
          <w:highlight w:val="none"/>
          <w:lang w:val="en-US" w:eastAsia="zh-CN"/>
        </w:rPr>
      </w:pPr>
      <w:r>
        <w:rPr>
          <w:rFonts w:hint="eastAsia" w:ascii="宋体" w:hAnsi="宋体" w:eastAsia="宋体" w:cs="宋体"/>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亳蒙高速公路一期绿化工程苗木采购项目</w:t>
      </w:r>
      <w:r>
        <w:rPr>
          <w:rFonts w:hint="eastAsia" w:ascii="Times New Roman" w:hAnsi="Times New Roman" w:eastAsia="黑体" w:cs="Times New Roman"/>
          <w:sz w:val="28"/>
          <w:szCs w:val="28"/>
          <w:highlight w:val="none"/>
          <w:lang w:val="en-US" w:eastAsia="zh-CN"/>
        </w:rPr>
        <w:t>招标公告</w:t>
      </w:r>
      <w:bookmarkStart w:id="0" w:name="_Toc179632536"/>
      <w:bookmarkStart w:id="1" w:name="_Toc247085680"/>
      <w:bookmarkStart w:id="2" w:name="_Toc296602410"/>
      <w:bookmarkStart w:id="3" w:name="_Toc152045519"/>
      <w:bookmarkStart w:id="4" w:name="_Toc246996909"/>
      <w:bookmarkStart w:id="5" w:name="_Toc144974487"/>
      <w:bookmarkStart w:id="6" w:name="_Toc246996166"/>
      <w:bookmarkStart w:id="7" w:name="_Toc15204229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宋体" w:hAnsi="宋体" w:eastAsia="宋体" w:cs="宋体"/>
          <w:sz w:val="28"/>
          <w:szCs w:val="28"/>
          <w:highlight w:val="none"/>
          <w:lang w:val="en-US" w:eastAsia="zh-CN"/>
        </w:rPr>
      </w:pPr>
      <w:bookmarkStart w:id="8" w:name="_Toc152042296"/>
      <w:bookmarkStart w:id="9" w:name="_Toc246996910"/>
      <w:bookmarkStart w:id="10" w:name="_Toc296602411"/>
      <w:bookmarkStart w:id="11" w:name="_Toc144974488"/>
      <w:bookmarkStart w:id="12" w:name="_Toc246996167"/>
      <w:bookmarkStart w:id="13" w:name="_Toc179632537"/>
      <w:bookmarkStart w:id="14" w:name="_Toc247085681"/>
      <w:bookmarkStart w:id="15" w:name="_Toc152045520"/>
      <w:r>
        <w:rPr>
          <w:rFonts w:hint="eastAsia" w:ascii="宋体" w:hAnsi="宋体" w:eastAsia="宋体" w:cs="宋体"/>
          <w:sz w:val="28"/>
          <w:szCs w:val="28"/>
          <w:highlight w:val="none"/>
          <w:lang w:val="en-US" w:eastAsia="zh-CN"/>
        </w:rPr>
        <w:t>（一）项目名称</w:t>
      </w:r>
      <w:r>
        <w:rPr>
          <w:rFonts w:hint="eastAsia" w:ascii="宋体" w:hAnsi="宋体" w:cs="宋体"/>
          <w:sz w:val="28"/>
          <w:szCs w:val="28"/>
          <w:highlight w:val="none"/>
          <w:lang w:val="en-US" w:eastAsia="zh-CN"/>
        </w:rPr>
        <w:t>：</w:t>
      </w:r>
      <w:r>
        <w:rPr>
          <w:rFonts w:hint="eastAsia" w:ascii="宋体" w:hAnsi="宋体" w:eastAsia="宋体" w:cs="宋体"/>
          <w:sz w:val="28"/>
          <w:szCs w:val="28"/>
          <w:highlight w:val="none"/>
          <w:u w:val="none"/>
          <w:lang w:val="en-US" w:eastAsia="zh-CN"/>
        </w:rPr>
        <w:t xml:space="preserve">亳蒙高速公路一期绿化工程苗木采购项目  </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（二）资金来源</w:t>
      </w:r>
      <w:r>
        <w:rPr>
          <w:rFonts w:hint="eastAsia" w:ascii="宋体" w:hAnsi="宋体" w:cs="宋体"/>
          <w:sz w:val="28"/>
          <w:szCs w:val="28"/>
          <w:highlight w:val="none"/>
          <w:lang w:val="en-US" w:eastAsia="zh-CN"/>
        </w:rPr>
        <w:t>：</w:t>
      </w:r>
      <w:r>
        <w:rPr>
          <w:rFonts w:hint="eastAsia" w:ascii="宋体" w:hAnsi="宋体" w:eastAsia="宋体" w:cs="宋体"/>
          <w:sz w:val="28"/>
          <w:szCs w:val="28"/>
          <w:highlight w:val="none"/>
          <w:u w:val="none"/>
          <w:lang w:val="en-US" w:eastAsia="zh-CN"/>
        </w:rPr>
        <w:t xml:space="preserve">企业自筹  </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（三）招标人</w:t>
      </w:r>
      <w:r>
        <w:rPr>
          <w:rFonts w:hint="eastAsia" w:ascii="宋体" w:hAnsi="宋体" w:cs="宋体"/>
          <w:sz w:val="28"/>
          <w:szCs w:val="28"/>
          <w:highlight w:val="none"/>
          <w:lang w:val="en-US" w:eastAsia="zh-CN"/>
        </w:rPr>
        <w:t>：</w:t>
      </w:r>
      <w:r>
        <w:rPr>
          <w:rFonts w:hint="eastAsia" w:ascii="宋体" w:hAnsi="宋体" w:eastAsia="宋体" w:cs="宋体"/>
          <w:sz w:val="28"/>
          <w:szCs w:val="28"/>
          <w:highlight w:val="none"/>
          <w:u w:val="none"/>
          <w:lang w:val="en-US" w:eastAsia="zh-CN"/>
        </w:rPr>
        <w:t xml:space="preserve">安徽通康建设工程有限公司 </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项目已具备招标条件，现对该项目进行公开招标。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（一）项目概况：亳蒙高速公路一期绿化工程主要施工内容为中央分隔带绿化、路侧绿化、立德枢纽绿化、机场互通绿化等施工图设计内容。主要工程量：撒播草种及铺植草皮149233㎡，乔木2343株，灌木29914株。</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二）招标范围：亳蒙高速公路一期绿化工程图纸和工程量清单范围内的中央分隔带绿化、路侧绿化、立德枢纽绿化、机场互通绿化等施工图设计内容的苗木供应（含乔木、灌木、撒播草种和铺植草皮等），具体详见施工图纸、采购清单，工程量以实际完成合格工程量为准。承包方式为：苗木供应（含装卸费用）及现场栽种、养护期间技术服务。</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（三）质量标准：符合国家、地方、行业现行相关规范合格标准，符合工程量清单、施工图纸要求。养护期限1年（养护期间提供技术指导服务），苗木成活率≥96%，具体要求详见（公路工程质量检验评定标准JTG F80/1-2017。</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（四）交货地点：亳州市谯城区立德镇、涡阳县标里镇。</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 xml:space="preserve">（五）交货期：自合同签订之日起 </w:t>
      </w:r>
      <w:r>
        <w:rPr>
          <w:rFonts w:hint="eastAsia" w:ascii="宋体" w:hAnsi="宋体" w:eastAsia="宋体" w:cs="宋体"/>
          <w:sz w:val="28"/>
          <w:szCs w:val="28"/>
          <w:highlight w:val="none"/>
          <w:u w:val="single"/>
          <w:lang w:val="en-US" w:eastAsia="zh-CN"/>
        </w:rPr>
        <w:t xml:space="preserve">1 </w:t>
      </w:r>
      <w:r>
        <w:rPr>
          <w:rFonts w:hint="eastAsia" w:ascii="宋体" w:hAnsi="宋体" w:eastAsia="宋体" w:cs="宋体"/>
          <w:sz w:val="28"/>
          <w:szCs w:val="28"/>
          <w:highlight w:val="none"/>
          <w:lang w:val="en-US" w:eastAsia="zh-CN"/>
        </w:rPr>
        <w:t>年，投标人接到招标人通知后5天内到达现场，主要供应期间2-4月份，10-12月份。</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 xml:space="preserve">（六）最高投标限价（含9%增值税专用发票）： </w:t>
      </w:r>
      <w:r>
        <w:rPr>
          <w:rFonts w:hint="eastAsia" w:ascii="宋体" w:hAnsi="宋体" w:eastAsia="宋体" w:cs="宋体"/>
          <w:sz w:val="28"/>
          <w:szCs w:val="28"/>
          <w:highlight w:val="none"/>
          <w:u w:val="single"/>
          <w:lang w:val="en-US" w:eastAsia="zh-CN"/>
        </w:rPr>
        <w:t xml:space="preserve"> 680万元 </w:t>
      </w:r>
      <w:r>
        <w:rPr>
          <w:rFonts w:hint="eastAsia" w:ascii="宋体" w:hAnsi="宋体" w:eastAsia="宋体" w:cs="宋体"/>
          <w:sz w:val="28"/>
          <w:szCs w:val="28"/>
          <w:highlight w:val="none"/>
          <w:lang w:val="en-US" w:eastAsia="zh-CN"/>
        </w:rPr>
        <w:t xml:space="preserve"> ，按固定单价报价。投标报价超出限价或为可能影响合同履约的异常低价的，按无效投标处理；投标报价应包括为完成本项目招标范围内各阶段工作内容所需的全部费用，中标后不予调整，其他未尽事宜应统一考虑在报价内。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00" w:lineRule="exact"/>
        <w:ind w:firstLine="560" w:firstLineChars="200"/>
        <w:textAlignment w:val="auto"/>
        <w:rPr>
          <w:rFonts w:hint="eastAsia" w:ascii="宋体" w:hAnsi="宋体" w:eastAsia="宋体" w:cs="宋体"/>
          <w:sz w:val="28"/>
          <w:szCs w:val="28"/>
          <w:highlight w:val="none"/>
          <w:lang w:val="en-US" w:eastAsia="zh-CN"/>
        </w:rPr>
      </w:pPr>
      <w:r>
        <w:rPr>
          <w:rFonts w:hint="default" w:ascii="宋体" w:hAnsi="宋体" w:eastAsia="宋体" w:cs="宋体"/>
          <w:sz w:val="28"/>
          <w:szCs w:val="28"/>
          <w:highlight w:val="none"/>
          <w:lang w:val="en-US" w:eastAsia="zh-CN"/>
        </w:rPr>
        <w:t>（一）</w:t>
      </w:r>
      <w:r>
        <w:rPr>
          <w:rFonts w:hint="eastAsia" w:ascii="宋体" w:hAnsi="宋体" w:eastAsia="宋体" w:cs="宋体"/>
          <w:sz w:val="28"/>
          <w:szCs w:val="28"/>
          <w:highlight w:val="none"/>
          <w:lang w:val="en-US" w:eastAsia="zh-CN"/>
        </w:rPr>
        <w:t>具有独立法人资格，并在人员、资金等方面具有承担本项目的能力。</w:t>
      </w:r>
    </w:p>
    <w:p>
      <w:pPr>
        <w:keepNext w:val="0"/>
        <w:keepLines w:val="0"/>
        <w:pageBreakBefore w:val="0"/>
        <w:widowControl w:val="0"/>
        <w:kinsoku/>
        <w:wordWrap w:val="0"/>
        <w:overflowPunct/>
        <w:topLinePunct w:val="0"/>
        <w:autoSpaceDE/>
        <w:autoSpaceDN/>
        <w:bidi w:val="0"/>
        <w:adjustRightInd/>
        <w:snapToGrid/>
        <w:spacing w:line="400" w:lineRule="exact"/>
        <w:ind w:firstLine="560" w:firstLineChars="200"/>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（二）提供2020年1月1日以来至少1项已完成单项合同金额不低于500万元的高速公路苗木供应或施工业绩。</w:t>
      </w:r>
    </w:p>
    <w:p>
      <w:pPr>
        <w:keepNext w:val="0"/>
        <w:keepLines w:val="0"/>
        <w:pageBreakBefore w:val="0"/>
        <w:widowControl w:val="0"/>
        <w:kinsoku/>
        <w:wordWrap w:val="0"/>
        <w:overflowPunct/>
        <w:topLinePunct w:val="0"/>
        <w:autoSpaceDE/>
        <w:autoSpaceDN/>
        <w:bidi w:val="0"/>
        <w:adjustRightInd/>
        <w:snapToGrid/>
        <w:spacing w:line="400" w:lineRule="exact"/>
        <w:ind w:firstLine="560" w:firstLineChars="200"/>
        <w:textAlignment w:val="auto"/>
        <w:rPr>
          <w:rFonts w:hint="eastAsia" w:ascii="宋体" w:hAnsi="宋体" w:eastAsia="宋体" w:cs="宋体"/>
          <w:sz w:val="28"/>
          <w:szCs w:val="28"/>
          <w:highlight w:val="none"/>
          <w:lang w:val="en-US" w:eastAsia="zh-CN"/>
        </w:rPr>
      </w:pPr>
      <w:r>
        <w:rPr>
          <w:rFonts w:hint="default" w:ascii="宋体" w:hAnsi="宋体" w:eastAsia="宋体" w:cs="宋体"/>
          <w:sz w:val="28"/>
          <w:szCs w:val="28"/>
          <w:highlight w:val="none"/>
          <w:lang w:val="en-US" w:eastAsia="zh-CN"/>
        </w:rPr>
        <w:t>注：</w:t>
      </w:r>
      <w:r>
        <w:rPr>
          <w:rFonts w:hint="eastAsia" w:ascii="宋体" w:hAnsi="宋体" w:eastAsia="宋体" w:cs="宋体"/>
          <w:sz w:val="28"/>
          <w:szCs w:val="28"/>
          <w:highlight w:val="none"/>
          <w:lang w:val="en-US" w:eastAsia="zh-CN"/>
        </w:rPr>
        <w:t>业绩时间以合同签订时间为准。投标人须</w:t>
      </w:r>
      <w:r>
        <w:rPr>
          <w:rFonts w:hint="default" w:ascii="宋体" w:hAnsi="宋体" w:eastAsia="宋体" w:cs="宋体"/>
          <w:sz w:val="28"/>
          <w:szCs w:val="28"/>
          <w:highlight w:val="none"/>
          <w:lang w:val="en-US" w:eastAsia="zh-CN"/>
        </w:rPr>
        <w:t>提供业绩合同复印件或扫描件</w:t>
      </w:r>
      <w:r>
        <w:rPr>
          <w:rFonts w:hint="eastAsia" w:ascii="宋体" w:hAnsi="宋体" w:eastAsia="宋体" w:cs="宋体"/>
          <w:sz w:val="28"/>
          <w:szCs w:val="28"/>
          <w:highlight w:val="none"/>
          <w:lang w:val="en-US" w:eastAsia="zh-CN"/>
        </w:rPr>
        <w:t>以及对应合同不低于100万元的发票复印件</w:t>
      </w:r>
      <w:r>
        <w:rPr>
          <w:rFonts w:hint="default" w:ascii="宋体" w:hAnsi="宋体" w:eastAsia="宋体" w:cs="宋体"/>
          <w:sz w:val="28"/>
          <w:szCs w:val="28"/>
          <w:highlight w:val="none"/>
          <w:lang w:val="en-US" w:eastAsia="zh-CN"/>
        </w:rPr>
        <w:t>，加盖投标人公章并装订入投标文件中。</w:t>
      </w:r>
    </w:p>
    <w:p>
      <w:pPr>
        <w:keepNext w:val="0"/>
        <w:keepLines w:val="0"/>
        <w:pageBreakBefore w:val="0"/>
        <w:widowControl w:val="0"/>
        <w:kinsoku/>
        <w:wordWrap w:val="0"/>
        <w:overflowPunct/>
        <w:topLinePunct w:val="0"/>
        <w:autoSpaceDE/>
        <w:autoSpaceDN/>
        <w:bidi w:val="0"/>
        <w:adjustRightInd/>
        <w:snapToGrid/>
        <w:spacing w:line="400" w:lineRule="exact"/>
        <w:ind w:firstLine="560" w:firstLineChars="200"/>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（三）投标人（含分公司，不含子公司）存在以下不良信用记录情形之一的，不得推荐为中标候选人，不得确定为中标人。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400" w:lineRule="exact"/>
        <w:ind w:firstLine="560" w:firstLineChars="200"/>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00" w:lineRule="exact"/>
        <w:ind w:firstLine="560" w:firstLineChars="200"/>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00" w:lineRule="exact"/>
        <w:ind w:firstLine="560" w:firstLineChars="200"/>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00" w:lineRule="exact"/>
        <w:ind w:firstLine="560" w:firstLineChars="200"/>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注：</w:t>
      </w:r>
      <w:r>
        <w:rPr>
          <w:rFonts w:hint="eastAsia" w:ascii="宋体" w:hAnsi="宋体" w:cs="宋体"/>
          <w:sz w:val="28"/>
          <w:szCs w:val="28"/>
          <w:highlight w:val="none"/>
          <w:lang w:val="en-US" w:eastAsia="zh-CN"/>
        </w:rPr>
        <w:t>以上情形以“信用中国”（www.creditchina.gov.cn）发布的为准，有限制期限的按规定期限执行（以现场查询为准）</w:t>
      </w:r>
      <w:r>
        <w:rPr>
          <w:rFonts w:hint="eastAsia" w:ascii="宋体" w:hAnsi="宋体" w:eastAsia="宋体" w:cs="宋体"/>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00" w:lineRule="exact"/>
        <w:ind w:firstLine="560" w:firstLineChars="200"/>
        <w:textAlignment w:val="auto"/>
        <w:rPr>
          <w:rFonts w:hint="eastAsia" w:ascii="宋体" w:hAnsi="宋体" w:eastAsia="宋体" w:cs="宋体"/>
          <w:sz w:val="28"/>
          <w:szCs w:val="28"/>
          <w:highlight w:val="none"/>
          <w:lang w:val="en-US" w:eastAsia="zh-CN"/>
        </w:rPr>
      </w:pPr>
      <w:r>
        <w:rPr>
          <w:rFonts w:hint="eastAsia" w:ascii="宋体" w:hAnsi="宋体" w:cs="宋体"/>
          <w:sz w:val="28"/>
          <w:szCs w:val="28"/>
          <w:highlight w:val="none"/>
          <w:lang w:val="en-US" w:eastAsia="zh-CN"/>
        </w:rPr>
        <w:t>（四）</w:t>
      </w:r>
      <w:r>
        <w:rPr>
          <w:rFonts w:hint="eastAsia" w:ascii="宋体" w:hAnsi="宋体" w:eastAsia="宋体" w:cs="宋体"/>
          <w:sz w:val="28"/>
          <w:szCs w:val="28"/>
          <w:highlight w:val="none"/>
          <w:lang w:val="en-US" w:eastAsia="zh-CN"/>
        </w:rPr>
        <w:t>投标人如在以往承接</w:t>
      </w:r>
      <w:r>
        <w:rPr>
          <w:rFonts w:hint="eastAsia" w:ascii="宋体" w:hAnsi="宋体" w:cs="宋体"/>
          <w:sz w:val="28"/>
          <w:szCs w:val="28"/>
          <w:highlight w:val="none"/>
          <w:lang w:val="en-US" w:eastAsia="zh-CN"/>
        </w:rPr>
        <w:t>交控集团及下属企业</w:t>
      </w:r>
      <w:r>
        <w:rPr>
          <w:rFonts w:hint="eastAsia" w:ascii="宋体" w:hAnsi="宋体" w:eastAsia="宋体" w:cs="宋体"/>
          <w:sz w:val="28"/>
          <w:szCs w:val="28"/>
          <w:highlight w:val="none"/>
          <w:lang w:val="en-US" w:eastAsia="zh-CN"/>
        </w:rPr>
        <w:t>项目过程中被记入“黑名单”，不得参加本次招标投标活动</w:t>
      </w:r>
      <w:r>
        <w:rPr>
          <w:rFonts w:hint="eastAsia" w:ascii="宋体" w:hAnsi="宋体" w:cs="宋体"/>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00" w:lineRule="exact"/>
        <w:ind w:firstLine="560" w:firstLineChars="200"/>
        <w:textAlignment w:val="auto"/>
        <w:rPr>
          <w:rFonts w:hint="eastAsia" w:ascii="宋体" w:hAnsi="宋体" w:cs="宋体"/>
          <w:sz w:val="28"/>
          <w:szCs w:val="28"/>
          <w:highlight w:val="none"/>
          <w:lang w:val="en-US" w:eastAsia="zh-CN"/>
        </w:rPr>
      </w:pPr>
      <w:r>
        <w:rPr>
          <w:rFonts w:hint="eastAsia" w:ascii="宋体" w:hAnsi="宋体" w:eastAsia="宋体" w:cs="宋体"/>
          <w:sz w:val="28"/>
          <w:szCs w:val="28"/>
          <w:highlight w:val="none"/>
          <w:lang w:val="en-US" w:eastAsia="zh-CN"/>
        </w:rPr>
        <w:t>（</w:t>
      </w:r>
      <w:r>
        <w:rPr>
          <w:rFonts w:hint="eastAsia" w:ascii="宋体" w:hAnsi="宋体" w:cs="宋体"/>
          <w:sz w:val="28"/>
          <w:szCs w:val="28"/>
          <w:highlight w:val="none"/>
          <w:lang w:val="en-US" w:eastAsia="zh-CN"/>
        </w:rPr>
        <w:t>五</w:t>
      </w:r>
      <w:r>
        <w:rPr>
          <w:rFonts w:hint="eastAsia" w:ascii="宋体" w:hAnsi="宋体" w:eastAsia="宋体" w:cs="宋体"/>
          <w:sz w:val="28"/>
          <w:szCs w:val="28"/>
          <w:highlight w:val="none"/>
          <w:lang w:val="en-US" w:eastAsia="zh-CN"/>
        </w:rPr>
        <w:t>）本次招标</w:t>
      </w:r>
      <w:r>
        <w:rPr>
          <w:rFonts w:hint="eastAsia" w:ascii="宋体" w:hAnsi="宋体" w:eastAsia="宋体" w:cs="宋体"/>
          <w:b/>
          <w:bCs/>
          <w:color w:val="auto"/>
          <w:sz w:val="28"/>
          <w:szCs w:val="28"/>
          <w:highlight w:val="none"/>
          <w:lang w:val="en-US" w:eastAsia="zh-CN"/>
        </w:rPr>
        <w:t>不接受</w:t>
      </w:r>
      <w:r>
        <w:rPr>
          <w:rFonts w:hint="eastAsia" w:ascii="宋体" w:hAnsi="宋体" w:eastAsia="宋体" w:cs="宋体"/>
          <w:sz w:val="28"/>
          <w:szCs w:val="28"/>
          <w:highlight w:val="none"/>
          <w:lang w:val="en-US" w:eastAsia="zh-CN"/>
        </w:rPr>
        <w:t>联合体投标</w:t>
      </w:r>
      <w:r>
        <w:rPr>
          <w:rFonts w:hint="eastAsia" w:ascii="宋体" w:hAnsi="宋体" w:cs="宋体"/>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00" w:lineRule="exact"/>
        <w:ind w:firstLine="560" w:firstLineChars="200"/>
        <w:textAlignment w:val="auto"/>
        <w:rPr>
          <w:rFonts w:hint="default"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（六）其他要求：本次招标要求投标人委托代理人须是投标人单位正式员工，投标人须提供</w:t>
      </w:r>
      <w:r>
        <w:rPr>
          <w:rFonts w:hint="default" w:ascii="宋体" w:hAnsi="宋体" w:eastAsia="宋体" w:cs="宋体"/>
          <w:sz w:val="28"/>
          <w:szCs w:val="28"/>
          <w:highlight w:val="none"/>
          <w:lang w:val="en-US" w:eastAsia="zh-CN"/>
        </w:rPr>
        <w:t>2022</w:t>
      </w:r>
      <w:r>
        <w:rPr>
          <w:rFonts w:hint="eastAsia" w:ascii="宋体" w:hAnsi="宋体" w:eastAsia="宋体" w:cs="宋体"/>
          <w:sz w:val="28"/>
          <w:szCs w:val="28"/>
          <w:highlight w:val="none"/>
          <w:lang w:val="en-US" w:eastAsia="zh-CN"/>
        </w:rPr>
        <w:t>年6月以来为其缴纳的任意连续</w:t>
      </w:r>
      <w:r>
        <w:rPr>
          <w:rFonts w:hint="default" w:ascii="宋体" w:hAnsi="宋体" w:eastAsia="宋体" w:cs="宋体"/>
          <w:sz w:val="28"/>
          <w:szCs w:val="28"/>
          <w:highlight w:val="none"/>
          <w:lang w:val="en-US" w:eastAsia="zh-CN"/>
        </w:rPr>
        <w:t>3</w:t>
      </w:r>
      <w:r>
        <w:rPr>
          <w:rFonts w:hint="eastAsia" w:ascii="宋体" w:hAnsi="宋体" w:eastAsia="宋体" w:cs="宋体"/>
          <w:sz w:val="28"/>
          <w:szCs w:val="28"/>
          <w:highlight w:val="none"/>
          <w:lang w:val="en-US" w:eastAsia="zh-CN"/>
        </w:rPr>
        <w:t>个月的社保缴费证明复印件，加盖投标人单位公章，并装订入投标文件中。</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560" w:firstLineChars="200"/>
        <w:textAlignment w:val="auto"/>
        <w:rPr>
          <w:rFonts w:hint="default" w:ascii="宋体" w:hAnsi="宋体" w:eastAsia="宋体" w:cs="宋体"/>
          <w:sz w:val="28"/>
          <w:szCs w:val="28"/>
          <w:highlight w:val="none"/>
          <w:lang w:val="en-US" w:eastAsia="zh-CN"/>
        </w:rPr>
      </w:pPr>
      <w:r>
        <w:rPr>
          <w:rFonts w:hint="default" w:ascii="宋体" w:hAnsi="宋体" w:eastAsia="宋体" w:cs="宋体"/>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宋体" w:hAnsi="宋体" w:eastAsia="宋体" w:cs="宋体"/>
          <w:i w:val="0"/>
          <w:iCs w:val="0"/>
          <w:color w:val="000000"/>
          <w:sz w:val="28"/>
          <w:szCs w:val="28"/>
          <w:highlight w:val="none"/>
          <w:lang w:val="en-US" w:eastAsia="zh-CN"/>
        </w:rPr>
      </w:pPr>
      <w:r>
        <w:rPr>
          <w:rFonts w:hint="eastAsia" w:ascii="宋体" w:hAnsi="宋体" w:eastAsia="宋体" w:cs="宋体"/>
          <w:sz w:val="28"/>
          <w:szCs w:val="28"/>
          <w:highlight w:val="none"/>
          <w:lang w:val="en-US" w:eastAsia="zh-CN"/>
        </w:rPr>
        <w:t>（一）开标时间（投标截止时间）</w:t>
      </w:r>
      <w:r>
        <w:rPr>
          <w:rFonts w:hint="eastAsia" w:ascii="宋体" w:hAnsi="宋体" w:cs="宋体"/>
          <w:sz w:val="28"/>
          <w:szCs w:val="28"/>
          <w:highlight w:val="none"/>
          <w:lang w:val="en-US" w:eastAsia="zh-CN"/>
        </w:rPr>
        <w:t>：</w:t>
      </w:r>
      <w:r>
        <w:rPr>
          <w:rFonts w:hint="eastAsia" w:ascii="宋体" w:hAnsi="宋体" w:eastAsia="宋体" w:cs="宋体"/>
          <w:i/>
          <w:iCs/>
          <w:color w:val="000000"/>
          <w:sz w:val="28"/>
          <w:szCs w:val="28"/>
          <w:highlight w:val="none"/>
          <w:u w:val="single"/>
          <w:lang w:val="en-US" w:eastAsia="zh-CN"/>
        </w:rPr>
        <w:t xml:space="preserve">  </w:t>
      </w:r>
      <w:r>
        <w:rPr>
          <w:rFonts w:hint="eastAsia" w:ascii="宋体" w:hAnsi="宋体" w:cs="宋体"/>
          <w:i/>
          <w:iCs/>
          <w:color w:val="000000"/>
          <w:sz w:val="28"/>
          <w:szCs w:val="28"/>
          <w:highlight w:val="none"/>
          <w:u w:val="single"/>
          <w:lang w:val="en-US" w:eastAsia="zh-CN"/>
        </w:rPr>
        <w:t>2023</w:t>
      </w:r>
      <w:r>
        <w:rPr>
          <w:rFonts w:hint="eastAsia" w:ascii="宋体" w:hAnsi="宋体" w:eastAsia="宋体" w:cs="宋体"/>
          <w:i/>
          <w:iCs/>
          <w:color w:val="000000"/>
          <w:sz w:val="28"/>
          <w:szCs w:val="28"/>
          <w:highlight w:val="none"/>
          <w:u w:val="single"/>
          <w:lang w:val="en-US" w:eastAsia="zh-CN"/>
        </w:rPr>
        <w:t xml:space="preserve"> </w:t>
      </w:r>
      <w:r>
        <w:rPr>
          <w:rFonts w:hint="eastAsia" w:ascii="宋体" w:hAnsi="宋体" w:eastAsia="宋体" w:cs="宋体"/>
          <w:color w:val="000000"/>
          <w:sz w:val="28"/>
          <w:szCs w:val="28"/>
          <w:highlight w:val="none"/>
          <w:lang w:val="en-US" w:eastAsia="zh-CN"/>
        </w:rPr>
        <w:t>年</w:t>
      </w:r>
      <w:r>
        <w:rPr>
          <w:rFonts w:hint="eastAsia" w:ascii="宋体" w:hAnsi="宋体" w:eastAsia="宋体" w:cs="宋体"/>
          <w:i/>
          <w:iCs/>
          <w:color w:val="000000"/>
          <w:sz w:val="28"/>
          <w:szCs w:val="28"/>
          <w:highlight w:val="none"/>
          <w:u w:val="single"/>
          <w:lang w:val="en-US" w:eastAsia="zh-CN"/>
        </w:rPr>
        <w:t xml:space="preserve"> </w:t>
      </w:r>
      <w:r>
        <w:rPr>
          <w:rFonts w:hint="eastAsia" w:ascii="宋体" w:hAnsi="宋体" w:cs="宋体"/>
          <w:i/>
          <w:iCs/>
          <w:color w:val="000000"/>
          <w:sz w:val="28"/>
          <w:szCs w:val="28"/>
          <w:highlight w:val="none"/>
          <w:u w:val="single"/>
          <w:lang w:val="en-US" w:eastAsia="zh-CN"/>
        </w:rPr>
        <w:t>1</w:t>
      </w:r>
      <w:r>
        <w:rPr>
          <w:rFonts w:hint="eastAsia" w:ascii="宋体" w:hAnsi="宋体" w:eastAsia="宋体" w:cs="宋体"/>
          <w:i/>
          <w:iCs/>
          <w:color w:val="000000"/>
          <w:sz w:val="28"/>
          <w:szCs w:val="28"/>
          <w:highlight w:val="none"/>
          <w:u w:val="single"/>
          <w:lang w:val="en-US" w:eastAsia="zh-CN"/>
        </w:rPr>
        <w:t xml:space="preserve">  </w:t>
      </w:r>
      <w:r>
        <w:rPr>
          <w:rFonts w:hint="eastAsia" w:ascii="宋体" w:hAnsi="宋体" w:eastAsia="宋体" w:cs="宋体"/>
          <w:color w:val="000000"/>
          <w:sz w:val="28"/>
          <w:szCs w:val="28"/>
          <w:highlight w:val="none"/>
          <w:lang w:val="en-US" w:eastAsia="zh-CN"/>
        </w:rPr>
        <w:t>月</w:t>
      </w:r>
      <w:r>
        <w:rPr>
          <w:rFonts w:hint="eastAsia" w:ascii="宋体" w:hAnsi="宋体" w:eastAsia="宋体" w:cs="宋体"/>
          <w:i/>
          <w:iCs/>
          <w:color w:val="000000"/>
          <w:sz w:val="28"/>
          <w:szCs w:val="28"/>
          <w:highlight w:val="none"/>
          <w:u w:val="single"/>
          <w:lang w:val="en-US" w:eastAsia="zh-CN"/>
        </w:rPr>
        <w:t xml:space="preserve"> </w:t>
      </w:r>
      <w:r>
        <w:rPr>
          <w:rFonts w:hint="eastAsia" w:ascii="宋体" w:hAnsi="宋体" w:cs="宋体"/>
          <w:i/>
          <w:iCs/>
          <w:color w:val="000000"/>
          <w:sz w:val="28"/>
          <w:szCs w:val="28"/>
          <w:highlight w:val="none"/>
          <w:u w:val="single"/>
          <w:lang w:val="en-US" w:eastAsia="zh-CN"/>
        </w:rPr>
        <w:t>17</w:t>
      </w:r>
      <w:r>
        <w:rPr>
          <w:rFonts w:hint="eastAsia" w:ascii="宋体" w:hAnsi="宋体" w:eastAsia="宋体" w:cs="宋体"/>
          <w:i/>
          <w:iCs/>
          <w:color w:val="000000"/>
          <w:sz w:val="28"/>
          <w:szCs w:val="28"/>
          <w:highlight w:val="none"/>
          <w:u w:val="single"/>
          <w:lang w:val="en-US" w:eastAsia="zh-CN"/>
        </w:rPr>
        <w:t xml:space="preserve">  </w:t>
      </w:r>
      <w:r>
        <w:rPr>
          <w:rFonts w:hint="eastAsia" w:ascii="宋体" w:hAnsi="宋体" w:eastAsia="宋体" w:cs="宋体"/>
          <w:color w:val="000000"/>
          <w:sz w:val="28"/>
          <w:szCs w:val="28"/>
          <w:highlight w:val="none"/>
          <w:lang w:val="en-US" w:eastAsia="zh-CN"/>
        </w:rPr>
        <w:t>日</w:t>
      </w:r>
      <w:r>
        <w:rPr>
          <w:rFonts w:hint="eastAsia" w:ascii="宋体" w:hAnsi="宋体" w:eastAsia="宋体" w:cs="宋体"/>
          <w:i/>
          <w:iCs/>
          <w:color w:val="000000"/>
          <w:sz w:val="28"/>
          <w:szCs w:val="28"/>
          <w:highlight w:val="none"/>
          <w:u w:val="single"/>
          <w:lang w:val="en-US" w:eastAsia="zh-CN"/>
        </w:rPr>
        <w:t xml:space="preserve"> </w:t>
      </w:r>
      <w:r>
        <w:rPr>
          <w:rFonts w:hint="eastAsia" w:ascii="宋体" w:hAnsi="宋体" w:cs="宋体"/>
          <w:i/>
          <w:iCs/>
          <w:color w:val="000000"/>
          <w:sz w:val="28"/>
          <w:szCs w:val="28"/>
          <w:highlight w:val="none"/>
          <w:u w:val="single"/>
          <w:lang w:val="en-US" w:eastAsia="zh-CN"/>
        </w:rPr>
        <w:t>9</w:t>
      </w:r>
      <w:r>
        <w:rPr>
          <w:rFonts w:hint="eastAsia" w:ascii="宋体" w:hAnsi="宋体" w:eastAsia="宋体" w:cs="宋体"/>
          <w:i/>
          <w:iCs/>
          <w:color w:val="000000"/>
          <w:sz w:val="28"/>
          <w:szCs w:val="28"/>
          <w:highlight w:val="none"/>
          <w:u w:val="single"/>
          <w:lang w:val="en-US" w:eastAsia="zh-CN"/>
        </w:rPr>
        <w:t xml:space="preserve"> </w:t>
      </w:r>
      <w:r>
        <w:rPr>
          <w:rFonts w:hint="eastAsia" w:ascii="宋体" w:hAnsi="宋体" w:eastAsia="宋体" w:cs="宋体"/>
          <w:i w:val="0"/>
          <w:iCs w:val="0"/>
          <w:color w:val="000000"/>
          <w:sz w:val="28"/>
          <w:szCs w:val="28"/>
          <w:highlight w:val="none"/>
          <w:u w:val="none"/>
          <w:lang w:val="en-US" w:eastAsia="zh-CN"/>
        </w:rPr>
        <w:t>时</w:t>
      </w:r>
      <w:r>
        <w:rPr>
          <w:rFonts w:hint="eastAsia" w:ascii="宋体" w:hAnsi="宋体" w:cs="宋体"/>
          <w:i w:val="0"/>
          <w:iCs w:val="0"/>
          <w:color w:val="000000"/>
          <w:sz w:val="28"/>
          <w:szCs w:val="28"/>
          <w:highlight w:val="none"/>
          <w:u w:val="single"/>
          <w:lang w:val="en-US" w:eastAsia="zh-CN"/>
        </w:rPr>
        <w:t xml:space="preserve"> </w:t>
      </w:r>
      <w:r>
        <w:rPr>
          <w:rFonts w:hint="eastAsia" w:ascii="宋体" w:hAnsi="宋体" w:cs="宋体"/>
          <w:i/>
          <w:iCs/>
          <w:color w:val="000000"/>
          <w:sz w:val="28"/>
          <w:szCs w:val="28"/>
          <w:highlight w:val="none"/>
          <w:u w:val="single"/>
          <w:lang w:val="en-US" w:eastAsia="zh-CN"/>
        </w:rPr>
        <w:t>00</w:t>
      </w:r>
      <w:r>
        <w:rPr>
          <w:rFonts w:hint="eastAsia" w:ascii="宋体" w:hAnsi="宋体" w:eastAsia="宋体" w:cs="宋体"/>
          <w:i/>
          <w:iCs/>
          <w:color w:val="000000"/>
          <w:sz w:val="28"/>
          <w:szCs w:val="28"/>
          <w:highlight w:val="none"/>
          <w:u w:val="single"/>
          <w:lang w:val="en-US" w:eastAsia="zh-CN"/>
        </w:rPr>
        <w:t xml:space="preserve"> </w:t>
      </w:r>
      <w:r>
        <w:rPr>
          <w:rFonts w:hint="eastAsia" w:ascii="宋体" w:hAnsi="宋体" w:eastAsia="宋体" w:cs="宋体"/>
          <w:i w:val="0"/>
          <w:iCs w:val="0"/>
          <w:color w:val="000000"/>
          <w:sz w:val="28"/>
          <w:szCs w:val="28"/>
          <w:highlight w:val="none"/>
          <w:u w:val="none"/>
          <w:lang w:val="en-US" w:eastAsia="zh-CN"/>
        </w:rPr>
        <w:t>分</w:t>
      </w:r>
      <w:r>
        <w:rPr>
          <w:rFonts w:hint="eastAsia" w:ascii="宋体" w:hAnsi="宋体" w:cs="宋体"/>
          <w:i w:val="0"/>
          <w:iCs w:val="0"/>
          <w:color w:val="000000"/>
          <w:sz w:val="28"/>
          <w:szCs w:val="28"/>
          <w:highlight w:val="none"/>
          <w:u w:val="none"/>
          <w:lang w:val="en-US" w:eastAsia="zh-CN"/>
        </w:rPr>
        <w:t>（北京时间）</w:t>
      </w:r>
      <w:r>
        <w:rPr>
          <w:rFonts w:hint="eastAsia" w:ascii="宋体" w:hAnsi="宋体" w:cs="宋体"/>
          <w:i w:val="0"/>
          <w:iCs w:val="0"/>
          <w:color w:val="000000"/>
          <w:sz w:val="28"/>
          <w:szCs w:val="28"/>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宋体" w:hAnsi="宋体" w:eastAsia="宋体" w:cs="宋体"/>
          <w:sz w:val="28"/>
          <w:szCs w:val="28"/>
          <w:highlight w:val="none"/>
          <w:lang w:val="en-US" w:eastAsia="zh-CN"/>
        </w:rPr>
      </w:pPr>
      <w:r>
        <w:rPr>
          <w:rFonts w:hint="eastAsia" w:ascii="宋体" w:hAnsi="宋体" w:cs="宋体"/>
          <w:i w:val="0"/>
          <w:iCs w:val="0"/>
          <w:color w:val="000000"/>
          <w:sz w:val="28"/>
          <w:szCs w:val="28"/>
          <w:highlight w:val="none"/>
          <w:lang w:val="en-US" w:eastAsia="zh-CN"/>
        </w:rPr>
        <w:t>（二）开标</w:t>
      </w:r>
      <w:r>
        <w:rPr>
          <w:rFonts w:hint="eastAsia" w:ascii="宋体" w:hAnsi="宋体" w:eastAsia="宋体" w:cs="宋体"/>
          <w:i w:val="0"/>
          <w:iCs w:val="0"/>
          <w:color w:val="000000"/>
          <w:sz w:val="28"/>
          <w:szCs w:val="28"/>
          <w:highlight w:val="none"/>
          <w:lang w:val="en-US" w:eastAsia="zh-CN"/>
        </w:rPr>
        <w:t>地点</w:t>
      </w:r>
      <w:r>
        <w:rPr>
          <w:rFonts w:hint="eastAsia" w:ascii="宋体" w:hAnsi="宋体" w:cs="宋体"/>
          <w:i w:val="0"/>
          <w:iCs w:val="0"/>
          <w:color w:val="000000"/>
          <w:sz w:val="28"/>
          <w:szCs w:val="28"/>
          <w:highlight w:val="none"/>
          <w:lang w:val="en-US" w:eastAsia="zh-CN"/>
        </w:rPr>
        <w:t>：</w:t>
      </w:r>
      <w:r>
        <w:rPr>
          <w:rFonts w:hint="eastAsia" w:ascii="宋体" w:hAnsi="宋体" w:eastAsia="宋体" w:cs="宋体"/>
          <w:i w:val="0"/>
          <w:iCs w:val="0"/>
          <w:color w:val="000000"/>
          <w:sz w:val="28"/>
          <w:szCs w:val="28"/>
          <w:highlight w:val="none"/>
          <w:u w:val="single"/>
          <w:lang w:val="en-US" w:eastAsia="zh-CN"/>
        </w:rPr>
        <w:t>亳州交通投资控股集团有限公司</w:t>
      </w:r>
      <w:r>
        <w:rPr>
          <w:rFonts w:hint="eastAsia" w:ascii="宋体" w:hAnsi="宋体" w:cs="宋体"/>
          <w:i w:val="0"/>
          <w:iCs w:val="0"/>
          <w:color w:val="000000"/>
          <w:sz w:val="28"/>
          <w:szCs w:val="28"/>
          <w:highlight w:val="none"/>
          <w:u w:val="single"/>
          <w:lang w:val="en-US" w:eastAsia="zh-CN"/>
        </w:rPr>
        <w:t>15</w:t>
      </w:r>
      <w:r>
        <w:rPr>
          <w:rFonts w:hint="eastAsia" w:ascii="宋体" w:hAnsi="宋体" w:eastAsia="宋体" w:cs="宋体"/>
          <w:i w:val="0"/>
          <w:iCs w:val="0"/>
          <w:color w:val="000000"/>
          <w:sz w:val="28"/>
          <w:szCs w:val="28"/>
          <w:highlight w:val="none"/>
          <w:u w:val="single"/>
          <w:lang w:val="en-US" w:eastAsia="zh-CN"/>
        </w:rPr>
        <w:t>楼</w:t>
      </w:r>
      <w:r>
        <w:rPr>
          <w:rFonts w:hint="eastAsia" w:ascii="宋体" w:hAnsi="宋体" w:cs="宋体"/>
          <w:i w:val="0"/>
          <w:iCs w:val="0"/>
          <w:color w:val="000000"/>
          <w:sz w:val="28"/>
          <w:szCs w:val="28"/>
          <w:highlight w:val="none"/>
          <w:u w:val="single"/>
          <w:lang w:val="en-US" w:eastAsia="zh-CN"/>
        </w:rPr>
        <w:t>开标</w:t>
      </w:r>
      <w:r>
        <w:rPr>
          <w:rFonts w:hint="eastAsia" w:ascii="宋体" w:hAnsi="宋体" w:eastAsia="宋体" w:cs="宋体"/>
          <w:i w:val="0"/>
          <w:iCs w:val="0"/>
          <w:color w:val="000000"/>
          <w:sz w:val="28"/>
          <w:szCs w:val="28"/>
          <w:highlight w:val="none"/>
          <w:u w:val="single"/>
          <w:lang w:val="en-US" w:eastAsia="zh-CN"/>
        </w:rPr>
        <w:t>室（药都大道与希夷大道交叉口东北角</w:t>
      </w:r>
      <w:r>
        <w:rPr>
          <w:rFonts w:hint="eastAsia" w:ascii="宋体" w:hAnsi="宋体" w:cs="宋体"/>
          <w:i w:val="0"/>
          <w:iCs w:val="0"/>
          <w:color w:val="000000"/>
          <w:sz w:val="28"/>
          <w:szCs w:val="28"/>
          <w:highlight w:val="none"/>
          <w:u w:val="single"/>
          <w:lang w:val="en-US" w:eastAsia="zh-CN"/>
        </w:rPr>
        <w:t>15</w:t>
      </w:r>
      <w:r>
        <w:rPr>
          <w:rFonts w:hint="eastAsia" w:ascii="宋体" w:hAnsi="宋体" w:eastAsia="宋体" w:cs="宋体"/>
          <w:i w:val="0"/>
          <w:iCs w:val="0"/>
          <w:color w:val="000000"/>
          <w:sz w:val="28"/>
          <w:szCs w:val="28"/>
          <w:highlight w:val="none"/>
          <w:u w:val="single"/>
          <w:lang w:val="en-US" w:eastAsia="zh-CN"/>
        </w:rPr>
        <w:t>楼）</w:t>
      </w:r>
      <w:r>
        <w:rPr>
          <w:rFonts w:hint="eastAsia" w:ascii="宋体" w:hAnsi="宋体" w:cs="宋体"/>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00" w:lineRule="exact"/>
        <w:ind w:firstLine="560" w:firstLineChars="200"/>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w:t>
      </w:r>
      <w:r>
        <w:rPr>
          <w:rFonts w:hint="eastAsia" w:ascii="宋体" w:hAnsi="宋体" w:cs="宋体"/>
          <w:sz w:val="28"/>
          <w:szCs w:val="28"/>
          <w:highlight w:val="none"/>
          <w:lang w:val="en-US" w:eastAsia="zh-CN"/>
        </w:rPr>
        <w:t>三</w:t>
      </w:r>
      <w:r>
        <w:rPr>
          <w:rFonts w:hint="eastAsia" w:ascii="宋体" w:hAnsi="宋体" w:eastAsia="宋体" w:cs="宋体"/>
          <w:sz w:val="28"/>
          <w:szCs w:val="28"/>
          <w:highlight w:val="none"/>
          <w:lang w:val="en-US" w:eastAsia="zh-CN"/>
        </w:rPr>
        <w:t>）逾期送达的、未送达指定地点的或者不按照招标文件要求密封的投标文件，招标人将予以拒收</w:t>
      </w:r>
      <w:r>
        <w:rPr>
          <w:rFonts w:hint="eastAsia" w:ascii="宋体" w:hAnsi="宋体" w:cs="宋体"/>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00" w:lineRule="exact"/>
        <w:ind w:firstLine="560" w:firstLineChars="200"/>
        <w:textAlignment w:val="auto"/>
        <w:rPr>
          <w:rFonts w:hint="default" w:ascii="宋体" w:hAnsi="宋体" w:eastAsia="宋体" w:cs="宋体"/>
          <w:sz w:val="28"/>
          <w:szCs w:val="28"/>
          <w:highlight w:val="none"/>
          <w:lang w:val="en-US" w:eastAsia="zh-CN"/>
        </w:rPr>
      </w:pPr>
      <w:r>
        <w:rPr>
          <w:rFonts w:hint="eastAsia" w:ascii="宋体" w:hAnsi="宋体" w:cs="宋体"/>
          <w:sz w:val="28"/>
          <w:szCs w:val="28"/>
          <w:highlight w:val="none"/>
          <w:lang w:val="en-US" w:eastAsia="zh-CN"/>
        </w:rPr>
        <w:t>（四）</w:t>
      </w:r>
      <w:r>
        <w:rPr>
          <w:rFonts w:hint="default" w:ascii="宋体" w:hAnsi="宋体" w:eastAsia="宋体" w:cs="宋体"/>
          <w:sz w:val="28"/>
          <w:szCs w:val="28"/>
          <w:highlight w:val="none"/>
          <w:lang w:val="en-US" w:eastAsia="zh-CN"/>
        </w:rPr>
        <w:t>本次招标</w:t>
      </w:r>
      <w:r>
        <w:rPr>
          <w:rFonts w:hint="default" w:ascii="宋体" w:hAnsi="宋体" w:eastAsia="宋体" w:cs="宋体"/>
          <w:color w:val="FF0000"/>
          <w:sz w:val="28"/>
          <w:szCs w:val="28"/>
          <w:highlight w:val="none"/>
          <w:lang w:val="en-US" w:eastAsia="zh-CN"/>
        </w:rPr>
        <w:t>允许</w:t>
      </w:r>
      <w:r>
        <w:rPr>
          <w:rFonts w:hint="default" w:ascii="宋体" w:hAnsi="宋体" w:eastAsia="宋体" w:cs="宋体"/>
          <w:sz w:val="28"/>
          <w:szCs w:val="28"/>
          <w:highlight w:val="none"/>
          <w:lang w:val="en-US" w:eastAsia="zh-CN"/>
        </w:rPr>
        <w:t>投标人以邮寄方式递交投标文件。投标人采用邮寄方式递交投标文件的，投标文件送达时间以招标平台签收快递时间为准。邮寄信息同招标平台联系方式，投标人寄出投标文件后，应电话通知招标平台工作人员，以便招标平台工作人员及时签收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宋体" w:hAnsi="宋体" w:eastAsia="宋体" w:cs="宋体"/>
          <w:sz w:val="28"/>
          <w:szCs w:val="28"/>
          <w:highlight w:val="none"/>
          <w:lang w:val="en-US" w:eastAsia="zh-CN"/>
        </w:rPr>
        <w:t>本项目投标保证金：</w:t>
      </w:r>
      <w:r>
        <w:rPr>
          <w:rFonts w:hint="default" w:ascii="宋体" w:hAnsi="宋体" w:eastAsia="宋体" w:cs="宋体"/>
          <w:sz w:val="28"/>
          <w:szCs w:val="28"/>
          <w:highlight w:val="none"/>
          <w:u w:val="single"/>
          <w:lang w:val="en-US" w:eastAsia="zh-CN"/>
        </w:rPr>
        <w:t xml:space="preserve"> </w:t>
      </w:r>
      <w:r>
        <w:rPr>
          <w:rFonts w:hint="eastAsia" w:ascii="宋体" w:hAnsi="宋体" w:cs="宋体"/>
          <w:sz w:val="28"/>
          <w:szCs w:val="28"/>
          <w:highlight w:val="none"/>
          <w:u w:val="single"/>
          <w:lang w:val="en-US" w:eastAsia="zh-CN"/>
        </w:rPr>
        <w:t xml:space="preserve">拾万元 </w:t>
      </w:r>
      <w:r>
        <w:rPr>
          <w:rFonts w:hint="default" w:ascii="宋体" w:hAnsi="宋体" w:eastAsia="宋体" w:cs="宋体"/>
          <w:sz w:val="28"/>
          <w:szCs w:val="28"/>
          <w:highlight w:val="none"/>
          <w:lang w:val="en-US" w:eastAsia="zh-CN"/>
        </w:rPr>
        <w:t>（人民币），缴纳方式详见招标文件。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00" w:lineRule="exact"/>
        <w:ind w:firstLine="560" w:firstLineChars="200"/>
        <w:textAlignment w:val="auto"/>
        <w:rPr>
          <w:rFonts w:hint="default" w:ascii="宋体" w:hAnsi="宋体" w:eastAsia="宋体" w:cs="宋体"/>
          <w:sz w:val="28"/>
          <w:szCs w:val="28"/>
          <w:highlight w:val="none"/>
          <w:lang w:val="en-US" w:eastAsia="zh-CN"/>
        </w:rPr>
      </w:pPr>
      <w:r>
        <w:rPr>
          <w:rFonts w:hint="default" w:ascii="宋体" w:hAnsi="宋体" w:eastAsia="宋体" w:cs="宋体"/>
          <w:sz w:val="28"/>
          <w:szCs w:val="28"/>
          <w:highlight w:val="none"/>
          <w:lang w:val="en-US" w:eastAsia="zh-CN"/>
        </w:rPr>
        <w:t>招</w:t>
      </w:r>
      <w:r>
        <w:rPr>
          <w:rFonts w:hint="eastAsia" w:ascii="宋体" w:hAnsi="宋体" w:eastAsia="宋体" w:cs="宋体"/>
          <w:sz w:val="28"/>
          <w:szCs w:val="28"/>
          <w:highlight w:val="none"/>
          <w:lang w:val="en-US" w:eastAsia="zh-CN"/>
        </w:rPr>
        <w:t xml:space="preserve"> </w:t>
      </w:r>
      <w:r>
        <w:rPr>
          <w:rFonts w:hint="default" w:ascii="宋体" w:hAnsi="宋体" w:eastAsia="宋体" w:cs="宋体"/>
          <w:sz w:val="28"/>
          <w:szCs w:val="28"/>
          <w:highlight w:val="none"/>
          <w:lang w:val="en-US" w:eastAsia="zh-CN"/>
        </w:rPr>
        <w:t>标</w:t>
      </w:r>
      <w:r>
        <w:rPr>
          <w:rFonts w:hint="eastAsia" w:ascii="宋体" w:hAnsi="宋体" w:eastAsia="宋体" w:cs="宋体"/>
          <w:sz w:val="28"/>
          <w:szCs w:val="28"/>
          <w:highlight w:val="none"/>
          <w:lang w:val="en-US" w:eastAsia="zh-CN"/>
        </w:rPr>
        <w:t xml:space="preserve"> </w:t>
      </w:r>
      <w:r>
        <w:rPr>
          <w:rFonts w:hint="default" w:ascii="宋体" w:hAnsi="宋体" w:eastAsia="宋体" w:cs="宋体"/>
          <w:sz w:val="28"/>
          <w:szCs w:val="28"/>
          <w:highlight w:val="none"/>
          <w:lang w:val="en-US" w:eastAsia="zh-CN"/>
        </w:rPr>
        <w:t>人：</w:t>
      </w:r>
      <w:r>
        <w:rPr>
          <w:rFonts w:hint="eastAsia" w:ascii="宋体" w:hAnsi="宋体" w:eastAsia="宋体" w:cs="宋体"/>
          <w:sz w:val="28"/>
          <w:szCs w:val="28"/>
          <w:highlight w:val="none"/>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400" w:lineRule="exact"/>
        <w:ind w:firstLine="560" w:firstLineChars="200"/>
        <w:textAlignment w:val="auto"/>
        <w:rPr>
          <w:rFonts w:hint="default" w:ascii="宋体" w:hAnsi="宋体" w:eastAsia="宋体" w:cs="宋体"/>
          <w:sz w:val="28"/>
          <w:szCs w:val="28"/>
          <w:highlight w:val="none"/>
          <w:lang w:val="en-US" w:eastAsia="zh-CN"/>
        </w:rPr>
      </w:pPr>
      <w:r>
        <w:rPr>
          <w:rFonts w:hint="default" w:ascii="宋体" w:hAnsi="宋体" w:eastAsia="宋体" w:cs="宋体"/>
          <w:sz w:val="28"/>
          <w:szCs w:val="28"/>
          <w:highlight w:val="none"/>
          <w:lang w:val="en-US" w:eastAsia="zh-CN"/>
        </w:rPr>
        <w:t>地</w:t>
      </w:r>
      <w:r>
        <w:rPr>
          <w:rFonts w:hint="eastAsia" w:ascii="宋体" w:hAnsi="宋体" w:eastAsia="宋体" w:cs="宋体"/>
          <w:sz w:val="28"/>
          <w:szCs w:val="28"/>
          <w:highlight w:val="none"/>
          <w:lang w:val="en-US" w:eastAsia="zh-CN"/>
        </w:rPr>
        <w:t xml:space="preserve">    </w:t>
      </w:r>
      <w:r>
        <w:rPr>
          <w:rFonts w:hint="default" w:ascii="宋体" w:hAnsi="宋体" w:eastAsia="宋体" w:cs="宋体"/>
          <w:sz w:val="28"/>
          <w:szCs w:val="28"/>
          <w:highlight w:val="none"/>
          <w:lang w:val="en-US" w:eastAsia="zh-CN"/>
        </w:rPr>
        <w:t>址：安徽省亳州市谯城区大杨镇省道309线亳州收费站</w:t>
      </w:r>
    </w:p>
    <w:p>
      <w:pPr>
        <w:keepNext w:val="0"/>
        <w:keepLines w:val="0"/>
        <w:pageBreakBefore w:val="0"/>
        <w:widowControl w:val="0"/>
        <w:kinsoku/>
        <w:wordWrap w:val="0"/>
        <w:overflowPunct/>
        <w:topLinePunct w:val="0"/>
        <w:autoSpaceDE/>
        <w:autoSpaceDN/>
        <w:bidi w:val="0"/>
        <w:adjustRightInd/>
        <w:snapToGrid/>
        <w:spacing w:line="400" w:lineRule="exact"/>
        <w:ind w:firstLine="560" w:firstLineChars="200"/>
        <w:textAlignment w:val="auto"/>
        <w:rPr>
          <w:rFonts w:hint="eastAsia" w:ascii="宋体" w:hAnsi="宋体" w:eastAsia="宋体" w:cs="宋体"/>
          <w:sz w:val="28"/>
          <w:szCs w:val="28"/>
          <w:highlight w:val="none"/>
          <w:lang w:val="en-US" w:eastAsia="zh-CN"/>
        </w:rPr>
      </w:pPr>
      <w:r>
        <w:rPr>
          <w:rFonts w:hint="default" w:ascii="宋体" w:hAnsi="宋体" w:eastAsia="宋体" w:cs="宋体"/>
          <w:sz w:val="28"/>
          <w:szCs w:val="28"/>
          <w:highlight w:val="none"/>
          <w:lang w:val="en-US" w:eastAsia="zh-CN"/>
        </w:rPr>
        <w:t>联</w:t>
      </w:r>
      <w:r>
        <w:rPr>
          <w:rFonts w:hint="eastAsia" w:ascii="宋体" w:hAnsi="宋体" w:eastAsia="宋体" w:cs="宋体"/>
          <w:sz w:val="28"/>
          <w:szCs w:val="28"/>
          <w:highlight w:val="none"/>
          <w:lang w:val="en-US" w:eastAsia="zh-CN"/>
        </w:rPr>
        <w:t xml:space="preserve"> </w:t>
      </w:r>
      <w:r>
        <w:rPr>
          <w:rFonts w:hint="default" w:ascii="宋体" w:hAnsi="宋体" w:eastAsia="宋体" w:cs="宋体"/>
          <w:sz w:val="28"/>
          <w:szCs w:val="28"/>
          <w:highlight w:val="none"/>
          <w:lang w:val="en-US" w:eastAsia="zh-CN"/>
        </w:rPr>
        <w:t>系</w:t>
      </w:r>
      <w:r>
        <w:rPr>
          <w:rFonts w:hint="eastAsia" w:ascii="宋体" w:hAnsi="宋体" w:eastAsia="宋体" w:cs="宋体"/>
          <w:sz w:val="28"/>
          <w:szCs w:val="28"/>
          <w:highlight w:val="none"/>
          <w:lang w:val="en-US" w:eastAsia="zh-CN"/>
        </w:rPr>
        <w:t xml:space="preserve"> </w:t>
      </w:r>
      <w:r>
        <w:rPr>
          <w:rFonts w:hint="default" w:ascii="宋体" w:hAnsi="宋体" w:eastAsia="宋体" w:cs="宋体"/>
          <w:sz w:val="28"/>
          <w:szCs w:val="28"/>
          <w:highlight w:val="none"/>
          <w:lang w:val="en-US" w:eastAsia="zh-CN"/>
        </w:rPr>
        <w:t>人：</w:t>
      </w:r>
      <w:r>
        <w:rPr>
          <w:rFonts w:hint="eastAsia" w:ascii="宋体" w:hAnsi="宋体" w:eastAsia="宋体" w:cs="宋体"/>
          <w:sz w:val="28"/>
          <w:szCs w:val="28"/>
          <w:highlight w:val="none"/>
          <w:lang w:val="en-US" w:eastAsia="zh-CN"/>
        </w:rPr>
        <w:t>王工</w:t>
      </w:r>
    </w:p>
    <w:p>
      <w:pPr>
        <w:keepNext w:val="0"/>
        <w:keepLines w:val="0"/>
        <w:pageBreakBefore w:val="0"/>
        <w:widowControl w:val="0"/>
        <w:kinsoku/>
        <w:wordWrap w:val="0"/>
        <w:overflowPunct/>
        <w:topLinePunct w:val="0"/>
        <w:autoSpaceDE/>
        <w:autoSpaceDN/>
        <w:bidi w:val="0"/>
        <w:adjustRightInd/>
        <w:snapToGrid/>
        <w:spacing w:line="400" w:lineRule="exact"/>
        <w:ind w:firstLine="560" w:firstLineChars="200"/>
        <w:textAlignment w:val="auto"/>
        <w:rPr>
          <w:rFonts w:hint="default"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电    话</w:t>
      </w:r>
      <w:r>
        <w:rPr>
          <w:rFonts w:hint="default" w:ascii="宋体" w:hAnsi="宋体" w:eastAsia="宋体" w:cs="宋体"/>
          <w:sz w:val="28"/>
          <w:szCs w:val="28"/>
          <w:highlight w:val="none"/>
          <w:lang w:val="en-US" w:eastAsia="zh-CN"/>
        </w:rPr>
        <w:t>：</w:t>
      </w:r>
      <w:r>
        <w:rPr>
          <w:rFonts w:hint="eastAsia" w:ascii="宋体" w:hAnsi="宋体" w:eastAsia="宋体" w:cs="宋体"/>
          <w:sz w:val="28"/>
          <w:szCs w:val="28"/>
          <w:highlight w:val="none"/>
          <w:lang w:val="en-US" w:eastAsia="zh-CN"/>
        </w:rPr>
        <w:t>19155257536</w:t>
      </w:r>
      <w:r>
        <w:rPr>
          <w:rFonts w:hint="eastAsia" w:ascii="宋体" w:hAnsi="宋体" w:cs="宋体"/>
          <w:sz w:val="28"/>
          <w:szCs w:val="28"/>
          <w:highlight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00" w:lineRule="exact"/>
        <w:ind w:firstLine="560" w:firstLineChars="200"/>
        <w:textAlignment w:val="auto"/>
        <w:rPr>
          <w:rFonts w:hint="eastAsia" w:ascii="宋体" w:hAnsi="宋体" w:eastAsia="宋体" w:cs="宋体"/>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ind w:firstLine="560" w:firstLineChars="200"/>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00" w:lineRule="exact"/>
        <w:ind w:firstLine="560" w:firstLineChars="200"/>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00" w:lineRule="exact"/>
        <w:ind w:firstLine="560" w:firstLineChars="200"/>
        <w:textAlignment w:val="auto"/>
        <w:rPr>
          <w:rFonts w:hint="default"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00" w:lineRule="exact"/>
        <w:ind w:firstLine="560" w:firstLineChars="200"/>
        <w:textAlignment w:val="auto"/>
        <w:rPr>
          <w:rFonts w:hint="default"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4480" w:firstLineChars="1600"/>
        <w:textAlignment w:val="auto"/>
        <w:rPr>
          <w:rFonts w:hint="eastAsia" w:ascii="宋体" w:hAnsi="宋体" w:eastAsia="宋体" w:cs="宋体"/>
          <w:i/>
          <w:iCs/>
          <w:color w:val="FF0000"/>
          <w:sz w:val="28"/>
          <w:szCs w:val="28"/>
          <w:highlight w:val="none"/>
          <w:u w:val="single"/>
          <w:lang w:val="en-US" w:eastAsia="zh-CN"/>
        </w:rPr>
      </w:pPr>
      <w:r>
        <w:rPr>
          <w:rFonts w:hint="eastAsia" w:ascii="宋体" w:hAnsi="宋体" w:eastAsia="宋体" w:cs="宋体"/>
          <w:sz w:val="28"/>
          <w:szCs w:val="28"/>
          <w:highlight w:val="none"/>
          <w:lang w:val="en-US" w:eastAsia="zh-CN"/>
        </w:rPr>
        <w:t xml:space="preserve"> 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center"/>
        <w:textAlignment w:val="auto"/>
        <w:rPr>
          <w:rFonts w:hint="default" w:ascii="Times New Roman" w:hAnsi="Times New Roman" w:eastAsia="仿宋_GB2312" w:cs="Times New Roman"/>
          <w:kern w:val="0"/>
          <w:sz w:val="32"/>
          <w:szCs w:val="32"/>
          <w:highlight w:val="none"/>
          <w:lang w:val="en-US" w:eastAsia="zh-CN"/>
        </w:rPr>
      </w:pPr>
      <w:r>
        <w:rPr>
          <w:rFonts w:hint="eastAsia" w:ascii="宋体" w:hAnsi="宋体" w:cs="宋体"/>
          <w:i w:val="0"/>
          <w:iCs w:val="0"/>
          <w:color w:val="auto"/>
          <w:sz w:val="28"/>
          <w:szCs w:val="28"/>
          <w:highlight w:val="none"/>
          <w:u w:val="none"/>
          <w:lang w:val="en-US" w:eastAsia="zh-CN"/>
        </w:rPr>
        <w:t xml:space="preserve">                            </w:t>
      </w:r>
      <w:r>
        <w:rPr>
          <w:rFonts w:hint="eastAsia" w:ascii="宋体" w:hAnsi="宋体" w:eastAsia="宋体" w:cs="宋体"/>
          <w:i w:val="0"/>
          <w:iCs w:val="0"/>
          <w:color w:val="auto"/>
          <w:sz w:val="28"/>
          <w:szCs w:val="28"/>
          <w:highlight w:val="none"/>
          <w:u w:val="none"/>
          <w:lang w:val="en-US" w:eastAsia="zh-CN"/>
        </w:rPr>
        <w:t>2023年1月</w:t>
      </w:r>
      <w:r>
        <w:rPr>
          <w:rFonts w:hint="eastAsia" w:ascii="宋体" w:hAnsi="宋体" w:cs="宋体"/>
          <w:i w:val="0"/>
          <w:iCs w:val="0"/>
          <w:color w:val="auto"/>
          <w:sz w:val="28"/>
          <w:szCs w:val="28"/>
          <w:highlight w:val="none"/>
          <w:u w:val="none"/>
          <w:lang w:val="en-US" w:eastAsia="zh-CN"/>
        </w:rPr>
        <w:t>9</w:t>
      </w:r>
      <w:r>
        <w:rPr>
          <w:rFonts w:hint="eastAsia" w:ascii="宋体" w:hAnsi="宋体" w:eastAsia="宋体" w:cs="宋体"/>
          <w:i w:val="0"/>
          <w:iCs w:val="0"/>
          <w:color w:val="auto"/>
          <w:sz w:val="28"/>
          <w:szCs w:val="28"/>
          <w:highlight w:val="none"/>
          <w:u w:val="none"/>
          <w:lang w:val="en-US" w:eastAsia="zh-CN"/>
        </w:rPr>
        <w:t>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宋体" w:hAnsi="宋体" w:eastAsia="宋体" w:cs="宋体"/>
          <w:b/>
          <w:bCs/>
          <w:sz w:val="32"/>
          <w:szCs w:val="32"/>
          <w:highlight w:val="none"/>
          <w:lang w:val="en-US" w:eastAsia="zh-CN"/>
        </w:rPr>
      </w:pPr>
      <w:r>
        <w:rPr>
          <w:rFonts w:hint="default" w:ascii="宋体" w:hAnsi="宋体" w:eastAsia="宋体" w:cs="宋体"/>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宋体" w:hAnsi="宋体" w:eastAsia="宋体" w:cs="宋体"/>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宋体" w:hAnsi="宋体" w:eastAsia="宋体" w:cs="宋体"/>
          <w:b/>
          <w:bCs/>
          <w:sz w:val="28"/>
          <w:szCs w:val="28"/>
          <w:highlight w:val="none"/>
          <w:lang w:val="en-US" w:eastAsia="zh-CN"/>
        </w:rPr>
      </w:pPr>
      <w:r>
        <w:rPr>
          <w:rFonts w:hint="eastAsia" w:ascii="宋体" w:hAnsi="宋体" w:eastAsia="宋体" w:cs="宋体"/>
          <w:b/>
          <w:bCs/>
          <w:sz w:val="28"/>
          <w:szCs w:val="28"/>
          <w:highlight w:val="none"/>
          <w:lang w:val="en-US" w:eastAsia="zh-CN"/>
        </w:rPr>
        <w:t>投标人须知前附表</w:t>
      </w:r>
    </w:p>
    <w:tbl>
      <w:tblPr>
        <w:tblStyle w:val="7"/>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322"/>
        <w:gridCol w:w="519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3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51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3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51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宋体" w:cs="Times New Roman"/>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3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eastAsia="宋体" w:cs="Times New Roman"/>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51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3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51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3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51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宋体" w:cs="Times New Roman"/>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eastAsia="宋体" w:cs="Times New Roman"/>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3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51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宋体" w:cs="Times New Roman"/>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3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51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Cs w:val="21"/>
                <w:highlight w:val="none"/>
                <w:lang w:val="en-US" w:eastAsia="zh-CN"/>
              </w:rPr>
            </w:pPr>
            <w:r>
              <w:rPr>
                <w:rFonts w:hint="eastAsia" w:ascii="Times New Roman" w:hAnsi="Times New Roman" w:cs="Times New Roman"/>
                <w:szCs w:val="21"/>
                <w:highlight w:val="none"/>
                <w:lang w:val="en-US" w:eastAsia="zh-CN"/>
              </w:rPr>
              <w:t>1.3.2</w:t>
            </w:r>
          </w:p>
        </w:tc>
        <w:tc>
          <w:tcPr>
            <w:tcW w:w="23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eastAsia="宋体" w:cs="Times New Roman"/>
                <w:szCs w:val="21"/>
                <w:highlight w:val="none"/>
                <w:lang w:val="en-US" w:eastAsia="zh-CN"/>
              </w:rPr>
            </w:pPr>
            <w:r>
              <w:rPr>
                <w:rFonts w:hint="eastAsia" w:ascii="Times New Roman" w:hAnsi="Times New Roman" w:cs="Times New Roman"/>
                <w:szCs w:val="21"/>
                <w:highlight w:val="none"/>
                <w:lang w:val="en-US" w:eastAsia="zh-CN"/>
              </w:rPr>
              <w:t>交货期</w:t>
            </w:r>
          </w:p>
        </w:tc>
        <w:tc>
          <w:tcPr>
            <w:tcW w:w="51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交货期：投标人接到招标人通知后5天内到达现场，主要供应时间2-4月，10-12月期间。</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 xml:space="preserve">计划开始交货日期： </w:t>
            </w:r>
            <w:r>
              <w:rPr>
                <w:rFonts w:hint="eastAsia" w:ascii="Times New Roman" w:hAnsi="Times New Roman" w:cs="Times New Roman"/>
                <w:szCs w:val="21"/>
                <w:highlight w:val="none"/>
                <w:u w:val="single"/>
                <w:lang w:val="en-US" w:eastAsia="zh-CN"/>
              </w:rPr>
              <w:t xml:space="preserve">  2023 </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 xml:space="preserve"> 2  </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 xml:space="preserve">  10 </w:t>
            </w:r>
            <w:r>
              <w:rPr>
                <w:rFonts w:hint="eastAsia" w:ascii="Times New Roman" w:hAnsi="Times New Roman" w:cs="Times New Roman"/>
                <w:szCs w:val="21"/>
                <w:highlight w:val="none"/>
                <w:u w:val="none"/>
                <w:lang w:val="en-US" w:eastAsia="zh-CN"/>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23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交货地点</w:t>
            </w:r>
          </w:p>
        </w:tc>
        <w:tc>
          <w:tcPr>
            <w:tcW w:w="51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1.3.4</w:t>
            </w:r>
          </w:p>
        </w:tc>
        <w:tc>
          <w:tcPr>
            <w:tcW w:w="23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技术性能指标</w:t>
            </w:r>
          </w:p>
        </w:tc>
        <w:tc>
          <w:tcPr>
            <w:tcW w:w="51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 xml:space="preserve">        不要求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1.3.4</w:t>
            </w:r>
          </w:p>
        </w:tc>
        <w:tc>
          <w:tcPr>
            <w:tcW w:w="23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质量标准</w:t>
            </w:r>
          </w:p>
        </w:tc>
        <w:tc>
          <w:tcPr>
            <w:tcW w:w="51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6"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1.4.1</w:t>
            </w:r>
          </w:p>
        </w:tc>
        <w:tc>
          <w:tcPr>
            <w:tcW w:w="23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投标人资质条件、能力</w:t>
            </w:r>
            <w:r>
              <w:rPr>
                <w:rFonts w:hint="eastAsia" w:ascii="Times New Roman" w:hAnsi="Times New Roman" w:cs="Times New Roman"/>
                <w:szCs w:val="21"/>
                <w:highlight w:val="none"/>
                <w:lang w:val="en-US" w:eastAsia="zh-CN"/>
              </w:rPr>
              <w:t>、信誉</w:t>
            </w:r>
          </w:p>
        </w:tc>
        <w:tc>
          <w:tcPr>
            <w:tcW w:w="51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rPr>
                <w:rFonts w:hint="eastAsia" w:ascii="Times New Roman" w:hAnsi="Times New Roman" w:eastAsia="宋体" w:cs="Times New Roman"/>
                <w:szCs w:val="21"/>
                <w:highlight w:val="none"/>
              </w:rPr>
            </w:pPr>
            <w:r>
              <w:rPr>
                <w:rFonts w:hint="eastAsia" w:ascii="Times New Roman" w:hAnsi="Times New Roman" w:eastAsia="宋体" w:cs="Times New Roman"/>
                <w:szCs w:val="21"/>
                <w:highlight w:val="none"/>
              </w:rPr>
              <w:t>1</w:t>
            </w:r>
            <w:r>
              <w:rPr>
                <w:rFonts w:hint="eastAsia" w:ascii="Times New Roman" w:hAnsi="Times New Roman" w:eastAsia="宋体" w:cs="Times New Roman"/>
                <w:szCs w:val="21"/>
                <w:highlight w:val="none"/>
                <w:lang w:eastAsia="zh-CN"/>
              </w:rPr>
              <w:t>.</w:t>
            </w:r>
            <w:r>
              <w:rPr>
                <w:rFonts w:hint="eastAsia" w:ascii="Times New Roman" w:hAnsi="Times New Roman" w:eastAsia="宋体" w:cs="Times New Roman"/>
                <w:szCs w:val="21"/>
                <w:highlight w:val="none"/>
              </w:rPr>
              <w:t>投标人资格要求：详见招标公告。</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rPr>
                <w:rFonts w:hint="eastAsia" w:ascii="Times New Roman" w:hAnsi="Times New Roman" w:eastAsia="宋体" w:cs="Times New Roman"/>
                <w:szCs w:val="21"/>
                <w:highlight w:val="none"/>
              </w:rPr>
            </w:pPr>
            <w:r>
              <w:rPr>
                <w:rFonts w:hint="eastAsia" w:ascii="Times New Roman" w:hAnsi="Times New Roman" w:eastAsia="宋体" w:cs="Times New Roman"/>
                <w:szCs w:val="21"/>
                <w:highlight w:val="none"/>
                <w:lang w:val="en-US" w:eastAsia="zh-CN"/>
              </w:rPr>
              <w:t>2</w:t>
            </w:r>
            <w:r>
              <w:rPr>
                <w:rFonts w:hint="eastAsia" w:ascii="Times New Roman" w:hAnsi="Times New Roman" w:eastAsia="宋体" w:cs="Times New Roman"/>
                <w:szCs w:val="21"/>
                <w:highlight w:val="none"/>
                <w:lang w:eastAsia="zh-CN"/>
              </w:rPr>
              <w:t>.</w:t>
            </w:r>
            <w:r>
              <w:rPr>
                <w:rFonts w:hint="eastAsia" w:ascii="Times New Roman" w:hAnsi="Times New Roman" w:eastAsia="宋体" w:cs="Times New Roman"/>
                <w:szCs w:val="21"/>
                <w:highlight w:val="none"/>
              </w:rPr>
              <w:t>财务要求：</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rPr>
                <w:rFonts w:hint="eastAsia" w:ascii="Times New Roman" w:hAnsi="Times New Roman" w:eastAsia="宋体" w:cs="Times New Roman"/>
                <w:color w:val="FF0000"/>
                <w:szCs w:val="21"/>
                <w:highlight w:val="none"/>
              </w:rPr>
            </w:pPr>
            <w:r>
              <w:rPr>
                <w:rFonts w:hint="eastAsia" w:ascii="Times New Roman" w:hAnsi="Times New Roman" w:eastAsia="宋体" w:cs="Times New Roman"/>
                <w:color w:val="FF0000"/>
                <w:szCs w:val="21"/>
                <w:highlight w:val="none"/>
              </w:rPr>
              <w:t>不需要</w:t>
            </w:r>
            <w:r>
              <w:rPr>
                <w:rFonts w:hint="eastAsia" w:ascii="Times New Roman" w:hAnsi="Times New Roman" w:eastAsia="宋体" w:cs="Times New Roman"/>
                <w:color w:val="FF0000"/>
                <w:szCs w:val="21"/>
                <w:highlight w:val="none"/>
              </w:rPr>
              <w:sym w:font="Wingdings 2" w:char="0052"/>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rPr>
                <w:rFonts w:hint="default" w:ascii="Times New Roman" w:hAnsi="Times New Roman" w:cs="Times New Roman"/>
                <w:szCs w:val="21"/>
                <w:highlight w:val="none"/>
              </w:rPr>
            </w:pPr>
            <w:r>
              <w:rPr>
                <w:rFonts w:hint="eastAsia" w:ascii="Times New Roman" w:hAnsi="Times New Roman" w:eastAsia="宋体" w:cs="Times New Roman"/>
                <w:szCs w:val="21"/>
                <w:highlight w:val="none"/>
                <w:lang w:val="en-US" w:eastAsia="zh-CN"/>
              </w:rPr>
              <w:t>3</w:t>
            </w:r>
            <w:r>
              <w:rPr>
                <w:rFonts w:hint="eastAsia" w:ascii="Times New Roman" w:hAnsi="Times New Roman" w:eastAsia="宋体" w:cs="Times New Roman"/>
                <w:szCs w:val="21"/>
                <w:highlight w:val="none"/>
                <w:lang w:eastAsia="zh-CN"/>
              </w:rPr>
              <w:t>.</w:t>
            </w:r>
            <w:r>
              <w:rPr>
                <w:rFonts w:hint="eastAsia" w:ascii="Times New Roman" w:hAnsi="Times New Roman" w:eastAsia="宋体" w:cs="Times New Roman"/>
                <w:szCs w:val="21"/>
                <w:highlight w:val="none"/>
              </w:rPr>
              <w:t>其他要求：</w:t>
            </w:r>
            <w:r>
              <w:rPr>
                <w:rFonts w:hint="eastAsia" w:hAnsi="宋体"/>
                <w:sz w:val="21"/>
                <w:szCs w:val="21"/>
                <w:lang w:val="en-US" w:eastAsia="zh-CN"/>
              </w:rPr>
              <w:t xml:space="preserve"> 无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1.4.2</w:t>
            </w:r>
          </w:p>
        </w:tc>
        <w:tc>
          <w:tcPr>
            <w:tcW w:w="23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51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highlight w:val="none"/>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 xml:space="preserve">接受 </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仿宋_GB2312" w:cs="Times New Roman"/>
                <w:color w:val="FF0000"/>
                <w:sz w:val="24"/>
                <w:szCs w:val="24"/>
                <w:highlight w:val="none"/>
                <w:lang w:val="en-US" w:eastAsia="zh-CN"/>
              </w:rPr>
              <w:sym w:font="Wingdings" w:char="00A8"/>
            </w:r>
            <w:r>
              <w:rPr>
                <w:rFonts w:hint="eastAsia" w:ascii="Times New Roman" w:hAnsi="Times New Roman" w:eastAsia="仿宋_GB2312" w:cs="Times New Roman"/>
                <w:color w:val="FF0000"/>
                <w:sz w:val="24"/>
                <w:szCs w:val="24"/>
                <w:highlight w:val="none"/>
                <w:lang w:val="en-US" w:eastAsia="zh-CN"/>
              </w:rPr>
              <w:t xml:space="preserve">  </w:t>
            </w:r>
            <w:r>
              <w:rPr>
                <w:rFonts w:hint="eastAsia" w:ascii="Times New Roman" w:hAnsi="Times New Roman" w:cs="Times New Roman"/>
                <w:color w:val="FF0000"/>
                <w:sz w:val="21"/>
                <w:szCs w:val="21"/>
                <w:highlight w:val="none"/>
                <w:lang w:val="en-US" w:eastAsia="zh-CN"/>
              </w:rPr>
              <w:t xml:space="preserve">接受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23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51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eastAsia" w:hAnsi="宋体"/>
                <w:color w:val="auto"/>
                <w:sz w:val="21"/>
                <w:szCs w:val="21"/>
                <w:highlight w:val="none"/>
                <w:lang w:val="en-US" w:eastAsia="zh-CN"/>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Cs w:val="21"/>
                <w:highlight w:val="none"/>
                <w:lang w:val="en-US" w:eastAsia="zh-CN"/>
              </w:rPr>
            </w:pPr>
            <w:r>
              <w:rPr>
                <w:rFonts w:hint="eastAsia" w:ascii="Times New Roman" w:hAnsi="Times New Roman" w:cs="Times New Roman"/>
                <w:szCs w:val="21"/>
                <w:highlight w:val="none"/>
                <w:lang w:val="en-US" w:eastAsia="zh-CN"/>
              </w:rPr>
              <w:t>1.9.1</w:t>
            </w:r>
          </w:p>
        </w:tc>
        <w:tc>
          <w:tcPr>
            <w:tcW w:w="23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51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eastAsia="宋体" w:cs="Times New Roman"/>
                <w:color w:val="auto"/>
                <w:szCs w:val="21"/>
                <w:highlight w:val="none"/>
                <w:lang w:val="en-US" w:eastAsia="zh-CN"/>
              </w:rPr>
            </w:pPr>
            <w:r>
              <w:rPr>
                <w:rFonts w:hint="default" w:ascii="Times New Roman" w:hAnsi="Times New Roman" w:eastAsia="仿宋_GB2312" w:cs="Times New Roman"/>
                <w:color w:val="FF0000"/>
                <w:sz w:val="24"/>
                <w:szCs w:val="24"/>
                <w:highlight w:val="none"/>
                <w:lang w:val="en-US" w:eastAsia="zh-CN"/>
              </w:rPr>
              <w:sym w:font="Wingdings" w:char="00FE"/>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仿宋_GB2312" w:cs="Times New Roman"/>
                <w:color w:val="FF0000"/>
                <w:sz w:val="24"/>
                <w:szCs w:val="24"/>
                <w:highlight w:val="none"/>
                <w:lang w:val="en-US" w:eastAsia="zh-CN"/>
              </w:rPr>
              <w:sym w:font="Wingdings" w:char="00A8"/>
            </w:r>
            <w:r>
              <w:rPr>
                <w:rFonts w:hint="default" w:ascii="Times New Roman" w:hAnsi="Times New Roman" w:cs="Times New Roman"/>
                <w:color w:val="FF0000"/>
                <w:sz w:val="21"/>
                <w:szCs w:val="21"/>
                <w:highlight w:val="none"/>
              </w:rPr>
              <w:t>召开</w:t>
            </w:r>
            <w:r>
              <w:rPr>
                <w:rFonts w:hint="eastAsia" w:ascii="Times New Roman" w:hAnsi="Times New Roman" w:cs="Times New Roman"/>
                <w:color w:val="FF0000"/>
                <w:sz w:val="21"/>
                <w:szCs w:val="21"/>
                <w:highlight w:val="none"/>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Cs w:val="21"/>
                <w:highlight w:val="none"/>
                <w:lang w:val="en-US" w:eastAsia="zh-CN"/>
              </w:rPr>
            </w:pPr>
            <w:r>
              <w:rPr>
                <w:rFonts w:hint="eastAsia" w:ascii="Times New Roman" w:hAnsi="Times New Roman" w:cs="Times New Roman"/>
                <w:szCs w:val="21"/>
                <w:highlight w:val="none"/>
                <w:lang w:val="en-US" w:eastAsia="zh-CN"/>
              </w:rPr>
              <w:t>1.9.2</w:t>
            </w:r>
          </w:p>
        </w:tc>
        <w:tc>
          <w:tcPr>
            <w:tcW w:w="2322"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51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时间：</w:t>
            </w:r>
            <w:r>
              <w:rPr>
                <w:rFonts w:hint="eastAsia" w:ascii="Times New Roman" w:hAnsi="Times New Roman" w:cs="Times New Roman"/>
                <w:i/>
                <w:iCs/>
                <w:color w:val="FF0000"/>
                <w:szCs w:val="21"/>
                <w:highlight w:val="none"/>
                <w:u w:val="singl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2322"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51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形式：</w:t>
            </w:r>
            <w:r>
              <w:rPr>
                <w:rFonts w:hint="eastAsia" w:ascii="Times New Roman" w:hAnsi="Times New Roman" w:cs="Times New Roman"/>
                <w:i/>
                <w:iCs/>
                <w:color w:val="FF0000"/>
                <w:szCs w:val="21"/>
                <w:highlight w:val="none"/>
                <w:u w:val="singl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Cs w:val="21"/>
                <w:highlight w:val="none"/>
                <w:lang w:val="en-US" w:eastAsia="zh-CN"/>
              </w:rPr>
            </w:pPr>
            <w:r>
              <w:rPr>
                <w:rFonts w:hint="eastAsia" w:ascii="Times New Roman" w:hAnsi="Times New Roman" w:cs="Times New Roman"/>
                <w:szCs w:val="21"/>
                <w:highlight w:val="none"/>
                <w:lang w:val="en-US" w:eastAsia="zh-CN"/>
              </w:rPr>
              <w:t>1.9.3</w:t>
            </w:r>
          </w:p>
        </w:tc>
        <w:tc>
          <w:tcPr>
            <w:tcW w:w="23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51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i/>
                <w:iCs/>
                <w:color w:val="auto"/>
                <w:szCs w:val="21"/>
                <w:highlight w:val="none"/>
                <w:u w:val="singl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Cs w:val="21"/>
                <w:highlight w:val="none"/>
                <w:lang w:val="en-US" w:eastAsia="zh-CN"/>
              </w:rPr>
            </w:pPr>
            <w:r>
              <w:rPr>
                <w:rFonts w:hint="eastAsia" w:ascii="Times New Roman" w:hAnsi="Times New Roman" w:cs="Times New Roman"/>
                <w:szCs w:val="21"/>
                <w:highlight w:val="none"/>
                <w:lang w:val="en-US" w:eastAsia="zh-CN"/>
              </w:rPr>
              <w:t>1.10.1</w:t>
            </w:r>
          </w:p>
        </w:tc>
        <w:tc>
          <w:tcPr>
            <w:tcW w:w="23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eastAsia="宋体" w:cs="Times New Roman"/>
                <w:szCs w:val="21"/>
                <w:highlight w:val="none"/>
                <w:lang w:val="en-US" w:eastAsia="zh-CN"/>
              </w:rPr>
            </w:pPr>
            <w:r>
              <w:rPr>
                <w:rFonts w:hint="eastAsia" w:ascii="Times New Roman" w:hAnsi="Times New Roman" w:cs="Times New Roman"/>
                <w:szCs w:val="21"/>
                <w:highlight w:val="none"/>
                <w:lang w:val="en-US" w:eastAsia="zh-CN"/>
              </w:rPr>
              <w:t>分包</w:t>
            </w:r>
          </w:p>
        </w:tc>
        <w:tc>
          <w:tcPr>
            <w:tcW w:w="51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eastAsia="宋体" w:cs="Times New Roman"/>
                <w:color w:val="FF0000"/>
                <w:sz w:val="21"/>
                <w:szCs w:val="21"/>
                <w:highlight w:val="none"/>
                <w:lang w:val="en-US" w:eastAsia="zh-CN"/>
              </w:rPr>
            </w:pPr>
            <w:r>
              <w:rPr>
                <w:rFonts w:hint="default" w:ascii="Times New Roman" w:hAnsi="Times New Roman" w:eastAsia="仿宋_GB2312" w:cs="Times New Roman"/>
                <w:color w:val="FF0000"/>
                <w:sz w:val="24"/>
                <w:szCs w:val="24"/>
                <w:highlight w:val="none"/>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eastAsia="仿宋_GB2312" w:cs="Times New Roman"/>
                <w:color w:val="FF0000"/>
                <w:sz w:val="24"/>
                <w:szCs w:val="24"/>
                <w:highlight w:val="none"/>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分包内容要求：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Cs w:val="21"/>
                <w:highlight w:val="none"/>
                <w:lang w:val="en-US" w:eastAsia="zh-CN"/>
              </w:rPr>
            </w:pPr>
            <w:r>
              <w:rPr>
                <w:rFonts w:hint="eastAsia" w:ascii="Times New Roman" w:hAnsi="Times New Roman" w:cs="Times New Roman"/>
                <w:szCs w:val="21"/>
                <w:highlight w:val="none"/>
                <w:lang w:val="en-US" w:eastAsia="zh-CN"/>
              </w:rPr>
              <w:t>1.11.1</w:t>
            </w:r>
          </w:p>
        </w:tc>
        <w:tc>
          <w:tcPr>
            <w:tcW w:w="23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51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eastAsia" w:hAnsi="宋体"/>
                <w:sz w:val="21"/>
                <w:szCs w:val="21"/>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1.11.3</w:t>
            </w:r>
          </w:p>
        </w:tc>
        <w:tc>
          <w:tcPr>
            <w:tcW w:w="23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其他可以被接受的技术支持资料</w:t>
            </w:r>
          </w:p>
        </w:tc>
        <w:tc>
          <w:tcPr>
            <w:tcW w:w="51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eastAsia" w:hAnsi="宋体"/>
                <w:sz w:val="21"/>
                <w:szCs w:val="21"/>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1.11.4</w:t>
            </w:r>
          </w:p>
        </w:tc>
        <w:tc>
          <w:tcPr>
            <w:tcW w:w="23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51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240" w:lineRule="auto"/>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3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51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240" w:lineRule="auto"/>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Cs w:val="21"/>
                <w:highlight w:val="none"/>
                <w:lang w:val="en-US" w:eastAsia="zh-CN"/>
              </w:rPr>
            </w:pPr>
            <w:r>
              <w:rPr>
                <w:rFonts w:hint="eastAsia" w:ascii="Times New Roman" w:hAnsi="Times New Roman" w:cs="Times New Roman"/>
                <w:szCs w:val="21"/>
                <w:highlight w:val="none"/>
                <w:lang w:val="en-US" w:eastAsia="zh-CN"/>
              </w:rPr>
              <w:t>2.2.1</w:t>
            </w:r>
          </w:p>
        </w:tc>
        <w:tc>
          <w:tcPr>
            <w:tcW w:w="2322"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Cs w:val="21"/>
                <w:highlight w:val="none"/>
                <w:lang w:val="en-US" w:eastAsia="zh-CN"/>
              </w:rPr>
            </w:pPr>
            <w:r>
              <w:rPr>
                <w:rFonts w:hint="default" w:ascii="Times New Roman" w:hAnsi="Times New Roman" w:cs="Times New Roman"/>
                <w:szCs w:val="21"/>
                <w:highlight w:val="none"/>
              </w:rPr>
              <w:t>投标人要求澄清招标文件</w:t>
            </w:r>
          </w:p>
        </w:tc>
        <w:tc>
          <w:tcPr>
            <w:tcW w:w="51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时间：距投标截止时间止3日前，投标人应仔细阅读和检查招标文件的全部内容。如发现缺页或附件不全，应及时向招标人提出，以便补齐。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2322"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51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3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51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u w:val="none"/>
                <w:lang w:val="en-US" w:eastAsia="zh-CN"/>
              </w:rPr>
              <w:t>投标截止时间前，招标文件的澄清将在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322"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51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招标文件的澄清在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2322"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51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23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51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u w:val="none"/>
                <w:lang w:val="en-US" w:eastAsia="zh-CN"/>
              </w:rPr>
              <w:t>投标截止时间前，招标文件的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322"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51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2322"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51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23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51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240" w:lineRule="auto"/>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23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51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240" w:lineRule="auto"/>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23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51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宋体" w:hAnsi="宋体" w:eastAsia="宋体" w:cs="宋体"/>
                <w:szCs w:val="21"/>
                <w:highlight w:val="none"/>
                <w:lang w:val="en-US" w:eastAsia="zh-CN"/>
              </w:rPr>
              <w:t>有</w:t>
            </w:r>
            <w:r>
              <w:rPr>
                <w:rFonts w:hint="eastAsia" w:ascii="宋体" w:hAnsi="宋体" w:cs="宋体"/>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3.2.5</w:t>
            </w:r>
          </w:p>
        </w:tc>
        <w:tc>
          <w:tcPr>
            <w:tcW w:w="23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投标报价的其他要求</w:t>
            </w:r>
          </w:p>
        </w:tc>
        <w:tc>
          <w:tcPr>
            <w:tcW w:w="51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 xml:space="preserve">        无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3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51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3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51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240" w:lineRule="auto"/>
              <w:ind w:firstLine="308" w:firstLineChars="147"/>
              <w:jc w:val="left"/>
              <w:rPr>
                <w:rFonts w:hint="default" w:ascii="Times New Roman" w:hAnsi="Times New Roman" w:cs="Times New Roman"/>
                <w:color w:val="FF0000"/>
                <w:szCs w:val="21"/>
                <w:highlight w:val="none"/>
              </w:rPr>
            </w:pPr>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rPr>
              <w:sym w:font="Wingdings 2" w:char="0052"/>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240" w:lineRule="auto"/>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r>
              <w:rPr>
                <w:rFonts w:hint="eastAsia" w:ascii="Times New Roman" w:hAnsi="Times New Roman" w:cs="Times New Roman"/>
                <w:color w:val="auto"/>
                <w:szCs w:val="21"/>
                <w:highlight w:val="none"/>
                <w:u w:val="single"/>
                <w:lang w:val="en-US" w:eastAsia="zh-CN"/>
              </w:rPr>
              <w:t xml:space="preserve">  拾万元整      </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240" w:lineRule="auto"/>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240" w:lineRule="auto"/>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240" w:lineRule="auto"/>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240" w:lineRule="auto"/>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BZJK-2023- 01 号保证金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240" w:lineRule="auto"/>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240" w:lineRule="auto"/>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240" w:lineRule="auto"/>
              <w:ind w:firstLine="420" w:firstLineChars="200"/>
              <w:jc w:val="both"/>
              <w:textAlignment w:val="auto"/>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（2）中标侯选人公示期满且确定中标人后，未中标人的投标保证金</w:t>
            </w:r>
            <w:r>
              <w:rPr>
                <w:rFonts w:hint="eastAsia" w:ascii="Times New Roman" w:hAnsi="Times New Roman" w:eastAsia="宋体" w:cs="Times New Roman"/>
                <w:szCs w:val="21"/>
                <w:highlight w:val="none"/>
                <w:lang w:val="en-US" w:eastAsia="zh-CN"/>
              </w:rPr>
              <w:t>在</w:t>
            </w:r>
            <w:r>
              <w:rPr>
                <w:rFonts w:hint="default" w:ascii="Times New Roman" w:hAnsi="Times New Roman" w:eastAsia="宋体" w:cs="Times New Roman"/>
                <w:szCs w:val="21"/>
                <w:highlight w:val="none"/>
              </w:rPr>
              <w:t>5日内直接退还至该投标人汇出帐户。</w:t>
            </w:r>
          </w:p>
          <w:p>
            <w:pPr>
              <w:keepNext w:val="0"/>
              <w:keepLines w:val="0"/>
              <w:pageBreakBefore w:val="0"/>
              <w:widowControl w:val="0"/>
              <w:kinsoku/>
              <w:wordWrap w:val="0"/>
              <w:overflowPunct/>
              <w:topLinePunct w:val="0"/>
              <w:autoSpaceDE/>
              <w:autoSpaceDN/>
              <w:bidi w:val="0"/>
              <w:adjustRightInd/>
              <w:snapToGrid/>
              <w:spacing w:line="240" w:lineRule="auto"/>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eastAsia="宋体" w:cs="Times New Roman"/>
                <w:szCs w:val="21"/>
                <w:highlight w:val="none"/>
                <w:lang w:val="en-US" w:eastAsia="zh-CN"/>
              </w:rPr>
              <w:t>（3）如有异议或投诉的项目，按相关规定处理。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3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51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240" w:lineRule="auto"/>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240" w:lineRule="auto"/>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240" w:lineRule="auto"/>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6</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23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51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rPr>
                <w:rFonts w:hint="eastAsia" w:ascii="宋体" w:hAnsi="宋体" w:cs="宋体"/>
                <w:i/>
                <w:iCs/>
                <w:color w:val="FF0000"/>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宋体" w:hAnsi="宋体" w:cs="宋体"/>
                <w:color w:val="FF0000"/>
                <w:szCs w:val="21"/>
                <w:highlight w:val="none"/>
                <w:lang w:val="en-US" w:eastAsia="zh-CN"/>
              </w:rPr>
              <w:t>无</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rPr>
                <w:rFonts w:hint="default" w:ascii="宋体" w:hAnsi="宋体" w:cs="宋体"/>
                <w:i/>
                <w:iCs/>
                <w:color w:val="FF0000"/>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宋体" w:hAnsi="宋体" w:cs="宋体"/>
                <w:color w:val="FF0000"/>
                <w:szCs w:val="21"/>
                <w:highlight w:val="none"/>
                <w:lang w:val="en-US" w:eastAsia="zh-CN"/>
              </w:rPr>
              <w:t>有，具体要求：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23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51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rPr>
                <w:rFonts w:hint="eastAsia" w:ascii="宋体" w:hAnsi="宋体" w:cs="宋体"/>
                <w:i/>
                <w:iCs/>
                <w:color w:val="FF0000"/>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宋体" w:hAnsi="宋体" w:cs="宋体"/>
                <w:color w:val="FF0000"/>
                <w:szCs w:val="21"/>
                <w:highlight w:val="none"/>
                <w:lang w:val="en-US" w:eastAsia="zh-CN"/>
              </w:rPr>
              <w:t>无</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宋体" w:hAnsi="宋体" w:cs="宋体"/>
                <w:color w:val="FF0000"/>
                <w:szCs w:val="21"/>
                <w:highlight w:val="none"/>
                <w:lang w:val="en-US" w:eastAsia="zh-CN"/>
              </w:rPr>
              <w:t>有，具体要求：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23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51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23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51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rPr>
                <w:rFonts w:hint="eastAsia" w:ascii="宋体" w:hAnsi="宋体" w:cs="宋体"/>
                <w:i/>
                <w:iCs/>
                <w:color w:val="FF0000"/>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宋体" w:hAnsi="宋体" w:cs="宋体"/>
                <w:color w:val="FF0000"/>
                <w:szCs w:val="21"/>
                <w:highlight w:val="none"/>
                <w:lang w:val="en-US" w:eastAsia="zh-CN"/>
              </w:rPr>
              <w:t>不允许</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宋体" w:hAnsi="宋体" w:cs="宋体"/>
                <w:color w:val="FF0000"/>
                <w:szCs w:val="21"/>
                <w:highlight w:val="none"/>
                <w:lang w:val="en-US" w:eastAsia="zh-CN"/>
              </w:rPr>
              <w:t xml:space="preserve">允许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w:t>
            </w:r>
          </w:p>
        </w:tc>
        <w:tc>
          <w:tcPr>
            <w:tcW w:w="23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51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23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51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宋体" w:hAnsi="宋体" w:cs="宋体"/>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宋体" w:hAnsi="宋体" w:cs="宋体"/>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宋体" w:hAnsi="宋体" w:cs="宋体"/>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宋体" w:hAnsi="宋体" w:cs="宋体"/>
                <w:color w:val="FF0000"/>
                <w:szCs w:val="21"/>
                <w:highlight w:val="none"/>
                <w:lang w:val="en-US" w:eastAsia="zh-CN"/>
              </w:rPr>
              <w:t xml:space="preserve">要求 </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23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51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宋体" w:hAnsi="宋体" w:cs="宋体"/>
                <w:i/>
                <w:iCs/>
                <w:color w:val="FF0000"/>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宋体" w:hAnsi="宋体" w:cs="宋体"/>
                <w:color w:val="FF0000"/>
                <w:szCs w:val="21"/>
                <w:highlight w:val="none"/>
                <w:lang w:val="en-US" w:eastAsia="zh-CN"/>
              </w:rPr>
              <w:t>不需要</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宋体" w:hAnsi="宋体" w:cs="宋体"/>
                <w:color w:val="FF0000"/>
                <w:szCs w:val="21"/>
                <w:highlight w:val="none"/>
                <w:lang w:val="en-US" w:eastAsia="zh-CN"/>
              </w:rPr>
              <w:t>需要，分册装订要求：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3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51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开标地址：</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招标人：</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lang w:val="en-US" w:eastAsia="zh-CN"/>
              </w:rPr>
              <w:t>（项目名称）投标文件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项目编号：BZJK-2023-</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23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51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4.2.2（A）</w:t>
            </w:r>
          </w:p>
        </w:tc>
        <w:tc>
          <w:tcPr>
            <w:tcW w:w="23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51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3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51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23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51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val="0"/>
              <w:overflowPunct/>
              <w:topLinePunct w:val="0"/>
              <w:autoSpaceDE/>
              <w:autoSpaceDN/>
              <w:bidi w:val="0"/>
              <w:adjustRightInd/>
              <w:snapToGrid/>
              <w:spacing w:line="240" w:lineRule="auto"/>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23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51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3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51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随机抽取</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6.3.2</w:t>
            </w:r>
          </w:p>
        </w:tc>
        <w:tc>
          <w:tcPr>
            <w:tcW w:w="23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51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3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51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亳州交通投资控股集团有限公司官网（www.bzjkjt.com）、安徽省招标投标信息网（www.ahtba.org.cn）及优质采云采购平台（www.youzhicai.com）</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w:t>
            </w:r>
          </w:p>
        </w:tc>
        <w:tc>
          <w:tcPr>
            <w:tcW w:w="23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51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23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51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宋体" w:cs="Times New Roman"/>
                <w:szCs w:val="21"/>
                <w:highlight w:val="yellow"/>
                <w:lang w:val="en-US" w:eastAsia="zh-CN"/>
              </w:rPr>
            </w:pPr>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中标价款的6%</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szCs w:val="21"/>
                <w:highlight w:val="none"/>
              </w:rPr>
              <w:t>履约保证金的退还：无违约行为发生或违约行为已处理的情况下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全部</w:t>
            </w:r>
            <w:r>
              <w:rPr>
                <w:rFonts w:hint="eastAsia" w:ascii="Times New Roman" w:hAnsi="Times New Roman" w:cs="Times New Roman"/>
                <w:color w:val="auto"/>
                <w:szCs w:val="21"/>
                <w:highlight w:val="none"/>
                <w:lang w:val="en-US" w:eastAsia="zh-CN"/>
              </w:rPr>
              <w:t>材料</w:t>
            </w:r>
            <w:r>
              <w:rPr>
                <w:rFonts w:hint="eastAsia" w:ascii="Times New Roman" w:hAnsi="Times New Roman" w:cs="Times New Roman"/>
                <w:szCs w:val="21"/>
                <w:highlight w:val="none"/>
                <w:lang w:val="en-US" w:eastAsia="zh-CN"/>
              </w:rPr>
              <w:t>验收合格后返还全部履约保证金（本金无息）</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23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51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Cs w:val="21"/>
                <w:highlight w:val="none"/>
                <w:lang w:val="en-US" w:eastAsia="zh-CN"/>
              </w:rPr>
            </w:pPr>
            <w:r>
              <w:rPr>
                <w:rFonts w:hint="eastAsia" w:ascii="Times New Roman" w:hAnsi="Times New Roman" w:cs="Times New Roman"/>
                <w:szCs w:val="21"/>
                <w:highlight w:val="none"/>
                <w:lang w:val="en-US" w:eastAsia="zh-CN"/>
              </w:rPr>
              <w:t>10.1</w:t>
            </w:r>
          </w:p>
        </w:tc>
        <w:tc>
          <w:tcPr>
            <w:tcW w:w="23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Cs w:val="21"/>
                <w:highlight w:val="none"/>
                <w:lang w:val="en-US" w:eastAsia="zh-CN"/>
              </w:rPr>
            </w:pPr>
            <w:r>
              <w:rPr>
                <w:rFonts w:hint="eastAsia" w:ascii="Times New Roman" w:hAnsi="Times New Roman" w:cs="Times New Roman"/>
                <w:szCs w:val="21"/>
                <w:highlight w:val="none"/>
                <w:lang w:val="en-US" w:eastAsia="zh-CN"/>
              </w:rPr>
              <w:t>解释权</w:t>
            </w:r>
          </w:p>
        </w:tc>
        <w:tc>
          <w:tcPr>
            <w:tcW w:w="51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240" w:lineRule="auto"/>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cs="Times New Roman"/>
                <w:szCs w:val="21"/>
                <w:highlight w:val="none"/>
                <w:lang w:val="en-US" w:eastAsia="zh-CN"/>
              </w:rPr>
              <w:t>增11.2</w:t>
            </w:r>
          </w:p>
        </w:tc>
        <w:tc>
          <w:tcPr>
            <w:tcW w:w="23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cs="Times New Roman"/>
                <w:szCs w:val="21"/>
                <w:highlight w:val="none"/>
                <w:lang w:val="en-US" w:eastAsia="zh-CN"/>
              </w:rPr>
              <w:t>不良行为记录</w:t>
            </w:r>
          </w:p>
        </w:tc>
        <w:tc>
          <w:tcPr>
            <w:tcW w:w="51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240" w:lineRule="auto"/>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240" w:lineRule="auto"/>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240" w:lineRule="auto"/>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240" w:lineRule="auto"/>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240" w:lineRule="auto"/>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240" w:lineRule="auto"/>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240" w:lineRule="auto"/>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240" w:lineRule="auto"/>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240" w:lineRule="auto"/>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240" w:lineRule="auto"/>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240" w:lineRule="auto"/>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240" w:lineRule="auto"/>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240" w:lineRule="auto"/>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240" w:lineRule="auto"/>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240" w:lineRule="auto"/>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240" w:lineRule="auto"/>
              <w:ind w:firstLine="420" w:firstLineChars="200"/>
              <w:jc w:val="both"/>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宋体" w:hAnsi="宋体" w:eastAsia="宋体" w:cs="宋体"/>
          <w:b/>
          <w:bCs/>
          <w:sz w:val="28"/>
          <w:szCs w:val="28"/>
          <w:highlight w:val="none"/>
          <w:lang w:val="en-US" w:eastAsia="zh-CN"/>
        </w:rPr>
      </w:pPr>
      <w:r>
        <w:rPr>
          <w:rFonts w:hint="eastAsia" w:ascii="黑体" w:hAnsi="黑体" w:eastAsia="黑体" w:cs="黑体"/>
          <w:color w:val="000000"/>
          <w:highlight w:val="none"/>
        </w:rPr>
        <w:t>说明：</w:t>
      </w:r>
      <w:r>
        <w:rPr>
          <w:rFonts w:hint="eastAsia" w:ascii="Times New Roman" w:hAnsi="Times New Roman" w:cs="Times New Roman"/>
          <w:color w:val="000000"/>
          <w:highlight w:val="none"/>
          <w:lang w:val="en-US" w:eastAsia="zh-CN"/>
        </w:rPr>
        <w:t>投标人须知正文部分直接引用国家发改委等九部委于2017年9月4日联合印发的</w:t>
      </w:r>
      <w:r>
        <w:rPr>
          <w:rFonts w:hint="eastAsia" w:ascii="Times New Roman" w:hAnsi="Times New Roman" w:cs="Times New Roman"/>
          <w:i/>
          <w:iCs/>
          <w:color w:val="FF0000"/>
          <w:highlight w:val="none"/>
          <w:u w:val="single"/>
          <w:lang w:val="en-US" w:eastAsia="zh-CN"/>
        </w:rPr>
        <w:t>《中华人民共和国标准设备采购招标文件》（2017年版）或《中华人民共和国标准材料采购招标文件》（2017年版）</w:t>
      </w:r>
      <w:r>
        <w:rPr>
          <w:rFonts w:hint="eastAsia" w:ascii="Times New Roman" w:hAnsi="Times New Roman" w:cs="Times New Roman"/>
          <w:color w:val="000000"/>
          <w:highlight w:val="none"/>
          <w:lang w:val="en-US" w:eastAsia="zh-CN"/>
        </w:rPr>
        <w:t>。</w:t>
      </w:r>
    </w:p>
    <w:p>
      <w:pPr>
        <w:jc w:val="center"/>
        <w:rPr>
          <w:rFonts w:hint="default" w:ascii="宋体" w:hAnsi="宋体" w:eastAsia="宋体" w:cs="宋体"/>
          <w:b/>
          <w:bCs/>
          <w:sz w:val="32"/>
          <w:szCs w:val="32"/>
          <w:highlight w:val="none"/>
          <w:lang w:val="en-US" w:eastAsia="zh-CN"/>
        </w:rPr>
      </w:pPr>
      <w:r>
        <w:rPr>
          <w:rFonts w:hint="default" w:ascii="宋体" w:hAnsi="宋体" w:eastAsia="宋体" w:cs="宋体"/>
          <w:b/>
          <w:bCs/>
          <w:sz w:val="32"/>
          <w:szCs w:val="32"/>
          <w:highlight w:val="none"/>
          <w:lang w:val="en-US" w:eastAsia="zh-CN"/>
        </w:rPr>
        <w:br w:type="page"/>
      </w:r>
      <w:r>
        <w:rPr>
          <w:rFonts w:hint="default" w:ascii="宋体" w:hAnsi="宋体" w:eastAsia="宋体" w:cs="宋体"/>
          <w:b/>
          <w:bCs/>
          <w:sz w:val="32"/>
          <w:szCs w:val="32"/>
          <w:highlight w:val="none"/>
          <w:lang w:val="en-US" w:eastAsia="zh-CN"/>
        </w:rPr>
        <w:t>第三章 评标办法</w:t>
      </w:r>
      <w:r>
        <w:rPr>
          <w:rFonts w:hint="eastAsia" w:ascii="宋体" w:hAnsi="宋体" w:eastAsia="宋体" w:cs="宋体"/>
          <w:b/>
          <w:bCs/>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宋体" w:hAnsi="宋体" w:eastAsia="宋体" w:cs="宋体"/>
          <w:b/>
          <w:bCs/>
          <w:sz w:val="28"/>
          <w:szCs w:val="28"/>
          <w:highlight w:val="none"/>
          <w:lang w:val="en-US" w:eastAsia="zh-CN"/>
        </w:rPr>
      </w:pPr>
      <w:r>
        <w:rPr>
          <w:rFonts w:hint="eastAsia" w:ascii="宋体" w:hAnsi="宋体" w:eastAsia="宋体" w:cs="宋体"/>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宋体" w:hAnsi="宋体" w:eastAsia="宋体" w:cs="宋体"/>
          <w:b/>
          <w:bCs/>
          <w:sz w:val="28"/>
          <w:szCs w:val="28"/>
          <w:highlight w:val="none"/>
          <w:lang w:val="en-US" w:eastAsia="zh-CN"/>
        </w:rPr>
      </w:pPr>
    </w:p>
    <w:tbl>
      <w:tblPr>
        <w:tblStyle w:val="7"/>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03"/>
        <w:gridCol w:w="997"/>
        <w:gridCol w:w="1938"/>
        <w:gridCol w:w="488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kern w:val="0"/>
                <w:sz w:val="24"/>
                <w:szCs w:val="24"/>
                <w:highlight w:val="none"/>
              </w:rPr>
            </w:pPr>
            <w:r>
              <w:rPr>
                <w:rFonts w:hint="default" w:ascii="Times New Roman" w:hAnsi="Times New Roman" w:eastAsia="宋体" w:cs="Times New Roman"/>
                <w:b/>
                <w:kern w:val="0"/>
                <w:sz w:val="24"/>
                <w:szCs w:val="24"/>
                <w:highlight w:val="none"/>
              </w:rPr>
              <w:t>条款号</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kern w:val="0"/>
                <w:sz w:val="24"/>
                <w:szCs w:val="24"/>
                <w:highlight w:val="none"/>
              </w:rPr>
            </w:pPr>
            <w:r>
              <w:rPr>
                <w:rFonts w:hint="default" w:ascii="Times New Roman" w:hAnsi="Times New Roman" w:eastAsia="宋体" w:cs="Times New Roman"/>
                <w:b/>
                <w:kern w:val="0"/>
                <w:sz w:val="24"/>
                <w:szCs w:val="24"/>
                <w:highlight w:val="none"/>
              </w:rPr>
              <w:t>评审因素</w:t>
            </w:r>
          </w:p>
        </w:tc>
        <w:tc>
          <w:tcPr>
            <w:tcW w:w="4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kern w:val="0"/>
                <w:sz w:val="24"/>
                <w:szCs w:val="24"/>
                <w:highlight w:val="none"/>
              </w:rPr>
            </w:pPr>
            <w:r>
              <w:rPr>
                <w:rFonts w:hint="default" w:ascii="Times New Roman" w:hAnsi="Times New Roman" w:eastAsia="宋体" w:cs="Times New Roman"/>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997"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形式评审标准</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投标人名称</w:t>
            </w:r>
          </w:p>
        </w:tc>
        <w:tc>
          <w:tcPr>
            <w:tcW w:w="4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与营业执照一致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p>
        </w:tc>
        <w:tc>
          <w:tcPr>
            <w:tcW w:w="997"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eastAsia="宋体" w:cs="Times New Roman"/>
                <w:kern w:val="0"/>
                <w:sz w:val="24"/>
                <w:szCs w:val="24"/>
                <w:highlight w:val="none"/>
              </w:rPr>
              <w:t>签字盖章</w:t>
            </w:r>
          </w:p>
        </w:tc>
        <w:tc>
          <w:tcPr>
            <w:tcW w:w="4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eastAsia="宋体" w:cs="Times New Roman"/>
                <w:kern w:val="0"/>
                <w:sz w:val="24"/>
                <w:szCs w:val="24"/>
                <w:highlight w:val="none"/>
                <w:lang w:eastAsia="zh-CN"/>
              </w:rPr>
            </w:pPr>
            <w:r>
              <w:rPr>
                <w:rFonts w:hint="default" w:ascii="Times New Roman" w:hAnsi="Times New Roman" w:eastAsia="宋体" w:cs="Times New Roman"/>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p>
        </w:tc>
        <w:tc>
          <w:tcPr>
            <w:tcW w:w="997"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投标文件格式</w:t>
            </w:r>
          </w:p>
        </w:tc>
        <w:tc>
          <w:tcPr>
            <w:tcW w:w="4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eastAsia="宋体" w:cs="Times New Roman"/>
                <w:kern w:val="0"/>
                <w:sz w:val="24"/>
                <w:szCs w:val="24"/>
                <w:highlight w:val="none"/>
                <w:lang w:eastAsia="zh-CN"/>
              </w:rPr>
            </w:pPr>
            <w:r>
              <w:rPr>
                <w:rFonts w:hint="default" w:ascii="Times New Roman" w:hAnsi="Times New Roman" w:eastAsia="宋体" w:cs="Times New Roman"/>
                <w:kern w:val="0"/>
                <w:sz w:val="24"/>
                <w:szCs w:val="24"/>
                <w:highlight w:val="none"/>
              </w:rPr>
              <w:t>符合</w:t>
            </w:r>
            <w:r>
              <w:rPr>
                <w:rFonts w:hint="default" w:ascii="Times New Roman" w:hAnsi="Times New Roman" w:eastAsia="宋体" w:cs="Times New Roman"/>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eastAsia="宋体" w:cs="Times New Roman"/>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eastAsia="宋体" w:cs="Times New Roman"/>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eastAsia="宋体" w:cs="Times New Roman"/>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p>
        </w:tc>
        <w:tc>
          <w:tcPr>
            <w:tcW w:w="997"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703"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997"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资格评审标准</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lang w:val="en-US" w:eastAsia="zh-CN"/>
              </w:rPr>
            </w:pPr>
            <w:r>
              <w:rPr>
                <w:rFonts w:hint="default" w:ascii="Times New Roman" w:hAnsi="Times New Roman" w:eastAsia="宋体" w:cs="Times New Roman"/>
                <w:kern w:val="0"/>
                <w:sz w:val="24"/>
                <w:szCs w:val="24"/>
                <w:highlight w:val="none"/>
              </w:rPr>
              <w:t>营业执照</w:t>
            </w:r>
          </w:p>
        </w:tc>
        <w:tc>
          <w:tcPr>
            <w:tcW w:w="4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宋体"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p>
        </w:tc>
        <w:tc>
          <w:tcPr>
            <w:tcW w:w="1938"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p>
        </w:tc>
        <w:tc>
          <w:tcPr>
            <w:tcW w:w="1938"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p>
        </w:tc>
        <w:tc>
          <w:tcPr>
            <w:tcW w:w="1938"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p>
        </w:tc>
        <w:tc>
          <w:tcPr>
            <w:tcW w:w="1938"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eastAsia="宋体" w:cs="Times New Roman"/>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信誉要求</w:t>
            </w:r>
          </w:p>
        </w:tc>
        <w:tc>
          <w:tcPr>
            <w:tcW w:w="4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eastAsia="宋体" w:cs="Times New Roman"/>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tc>
        <w:tc>
          <w:tcPr>
            <w:tcW w:w="4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p>
        </w:tc>
        <w:tc>
          <w:tcPr>
            <w:tcW w:w="1938"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p>
        </w:tc>
        <w:tc>
          <w:tcPr>
            <w:tcW w:w="1938"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eastAsia="宋体" w:cs="Times New Roman"/>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其他要求</w:t>
            </w:r>
          </w:p>
        </w:tc>
        <w:tc>
          <w:tcPr>
            <w:tcW w:w="4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eastAsia="宋体" w:cs="Times New Roman"/>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997"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响应性评审标准</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eastAsia="宋体" w:cs="Times New Roman"/>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eastAsia="宋体" w:cs="Times New Roman"/>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eastAsia="宋体" w:cs="Times New Roman"/>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eastAsia="宋体" w:cs="Times New Roman"/>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交货期</w:t>
            </w:r>
          </w:p>
        </w:tc>
        <w:tc>
          <w:tcPr>
            <w:tcW w:w="4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eastAsia="宋体" w:cs="Times New Roman"/>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eastAsia="宋体" w:cs="Times New Roman"/>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交货地点</w:t>
            </w:r>
          </w:p>
        </w:tc>
        <w:tc>
          <w:tcPr>
            <w:tcW w:w="4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eastAsia="宋体" w:cs="Times New Roman"/>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eastAsia="宋体" w:cs="Times New Roman"/>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eastAsia="宋体" w:cs="Times New Roman"/>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eastAsia="宋体" w:cs="Times New Roman"/>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eastAsia="宋体" w:cs="Times New Roman"/>
                <w:kern w:val="0"/>
                <w:sz w:val="24"/>
                <w:szCs w:val="24"/>
                <w:highlight w:val="none"/>
                <w:lang w:eastAsia="zh-CN"/>
              </w:rPr>
            </w:pPr>
            <w:r>
              <w:rPr>
                <w:rFonts w:hint="default" w:ascii="Times New Roman" w:hAnsi="Times New Roman" w:eastAsia="宋体" w:cs="Times New Roman"/>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eastAsia="宋体" w:cs="Times New Roman"/>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eastAsia="宋体" w:cs="Times New Roman"/>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权力义务</w:t>
            </w:r>
          </w:p>
        </w:tc>
        <w:tc>
          <w:tcPr>
            <w:tcW w:w="4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eastAsia="宋体"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符合第二章“投标人须知”第1.11.1项规定和第四章“合同条款及格式”中的实质性要求和条件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p>
        </w:tc>
        <w:tc>
          <w:tcPr>
            <w:tcW w:w="997"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eastAsia="宋体" w:cs="Times New Roman"/>
                <w:kern w:val="0"/>
                <w:sz w:val="24"/>
                <w:szCs w:val="24"/>
                <w:highlight w:val="yellow"/>
                <w:lang w:val="en-US" w:eastAsia="zh-CN" w:bidi="ar-SA"/>
              </w:rPr>
            </w:pPr>
            <w:r>
              <w:rPr>
                <w:rFonts w:hint="eastAsia" w:ascii="Times New Roman" w:hAnsi="Times New Roman" w:cs="Times New Roman"/>
                <w:kern w:val="0"/>
                <w:sz w:val="24"/>
                <w:szCs w:val="24"/>
                <w:highlight w:val="none"/>
                <w:lang w:val="en-US" w:eastAsia="zh-CN"/>
              </w:rPr>
              <w:t>技术支持资料</w:t>
            </w:r>
          </w:p>
        </w:tc>
        <w:tc>
          <w:tcPr>
            <w:tcW w:w="4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eastAsia="宋体" w:cs="Times New Roman"/>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符合第二章“投标人须知”第1.11.3项规定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p>
        </w:tc>
        <w:tc>
          <w:tcPr>
            <w:tcW w:w="997"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bCs/>
                <w:kern w:val="0"/>
                <w:sz w:val="24"/>
                <w:szCs w:val="24"/>
                <w:highlight w:val="none"/>
                <w:lang w:val="en-US" w:eastAsia="zh-CN"/>
              </w:rPr>
            </w:pPr>
            <w:bookmarkStart w:id="16" w:name="_Toc144974556"/>
            <w:bookmarkStart w:id="17" w:name="_Toc296602477"/>
            <w:bookmarkStart w:id="18" w:name="_Toc152042366"/>
            <w:bookmarkStart w:id="19" w:name="_Toc152045589"/>
            <w:bookmarkStart w:id="20" w:name="_Toc246996232"/>
            <w:bookmarkStart w:id="21" w:name="_Toc246996975"/>
            <w:bookmarkStart w:id="22" w:name="_Toc247085747"/>
            <w:bookmarkStart w:id="23" w:name="_Toc179632607"/>
            <w:r>
              <w:rPr>
                <w:rFonts w:hint="default" w:ascii="Times New Roman" w:hAnsi="Times New Roman" w:cs="Times New Roman"/>
                <w:b/>
                <w:bCs/>
                <w:kern w:val="0"/>
                <w:sz w:val="24"/>
                <w:szCs w:val="24"/>
                <w:highlight w:val="none"/>
                <w:lang w:val="en-US" w:eastAsia="zh-CN"/>
              </w:rPr>
              <w:t>条款号</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2.2.1</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imes New Roman" w:hAnsi="Times New Roman" w:cs="Times New Roman"/>
                <w:i w:val="0"/>
                <w:iCs w:val="0"/>
                <w:kern w:val="0"/>
                <w:sz w:val="24"/>
                <w:szCs w:val="24"/>
                <w:highlight w:val="none"/>
                <w:lang w:val="en-US" w:eastAsia="zh-CN"/>
              </w:rPr>
            </w:pPr>
            <w:r>
              <w:rPr>
                <w:rFonts w:hint="eastAsia" w:ascii="宋体" w:hAnsi="宋体" w:eastAsia="宋体" w:cs="宋体"/>
                <w:kern w:val="0"/>
                <w:sz w:val="21"/>
                <w:szCs w:val="21"/>
                <w:highlight w:val="none"/>
                <w:lang w:val="en-US" w:eastAsia="zh-CN"/>
              </w:rPr>
              <w:t>（总分100分）</w:t>
            </w:r>
          </w:p>
        </w:tc>
        <w:tc>
          <w:tcPr>
            <w:tcW w:w="4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textAlignment w:val="auto"/>
              <w:rPr>
                <w:rFonts w:hint="eastAsia" w:ascii="Times New Roman" w:hAnsi="Times New Roman" w:eastAsia="宋体" w:cs="Times New Roman"/>
                <w:i w:val="0"/>
                <w:iCs w:val="0"/>
                <w:color w:val="auto"/>
                <w:kern w:val="0"/>
                <w:sz w:val="24"/>
                <w:szCs w:val="24"/>
                <w:highlight w:val="none"/>
                <w:lang w:val="en-US" w:eastAsia="zh-CN"/>
              </w:rPr>
            </w:pPr>
            <w:r>
              <w:rPr>
                <w:rFonts w:hint="eastAsia" w:ascii="Times New Roman" w:hAnsi="Times New Roman" w:eastAsia="宋体" w:cs="Times New Roman"/>
                <w:i w:val="0"/>
                <w:iCs w:val="0"/>
                <w:color w:val="auto"/>
                <w:kern w:val="0"/>
                <w:sz w:val="24"/>
                <w:szCs w:val="24"/>
                <w:highlight w:val="none"/>
                <w:lang w:val="en-US" w:eastAsia="zh-CN"/>
              </w:rPr>
              <w:t>企业业绩：25分</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textAlignment w:val="auto"/>
              <w:rPr>
                <w:rFonts w:hint="eastAsia" w:ascii="Times New Roman" w:hAnsi="Times New Roman" w:eastAsia="宋体" w:cs="Times New Roman"/>
                <w:i w:val="0"/>
                <w:iCs w:val="0"/>
                <w:color w:val="auto"/>
                <w:kern w:val="0"/>
                <w:sz w:val="24"/>
                <w:szCs w:val="24"/>
                <w:highlight w:val="none"/>
                <w:lang w:val="en-US" w:eastAsia="zh-CN"/>
              </w:rPr>
            </w:pPr>
            <w:r>
              <w:rPr>
                <w:rFonts w:hint="eastAsia" w:ascii="Times New Roman" w:hAnsi="Times New Roman" w:eastAsia="宋体" w:cs="Times New Roman"/>
                <w:i w:val="0"/>
                <w:iCs w:val="0"/>
                <w:color w:val="auto"/>
                <w:kern w:val="0"/>
                <w:sz w:val="24"/>
                <w:szCs w:val="24"/>
                <w:highlight w:val="none"/>
                <w:lang w:val="en-US" w:eastAsia="zh-CN"/>
              </w:rPr>
              <w:t>技术方案：15分</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eastAsia="宋体" w:cs="Times New Roman"/>
                <w:i w:val="0"/>
                <w:iCs w:val="0"/>
                <w:kern w:val="0"/>
                <w:sz w:val="24"/>
                <w:szCs w:val="24"/>
                <w:highlight w:val="yellow"/>
                <w:lang w:val="en-US"/>
              </w:rPr>
            </w:pPr>
            <w:r>
              <w:rPr>
                <w:rFonts w:hint="eastAsia" w:ascii="Times New Roman" w:hAnsi="Times New Roman" w:eastAsia="宋体" w:cs="Times New Roman"/>
                <w:i w:val="0"/>
                <w:iCs w:val="0"/>
                <w:color w:val="auto"/>
                <w:kern w:val="0"/>
                <w:sz w:val="24"/>
                <w:szCs w:val="24"/>
                <w:highlight w:val="none"/>
                <w:lang w:val="en-US" w:eastAsia="zh-CN"/>
              </w:rPr>
              <w:t>投标报价：60分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2.2.2</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评标基准价计算方法</w:t>
            </w:r>
          </w:p>
        </w:tc>
        <w:tc>
          <w:tcPr>
            <w:tcW w:w="4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eastAsia="宋体" w:cs="Times New Roman"/>
                <w:i w:val="0"/>
                <w:iCs w:val="0"/>
                <w:color w:val="auto"/>
                <w:kern w:val="0"/>
                <w:sz w:val="24"/>
                <w:szCs w:val="24"/>
                <w:highlight w:val="none"/>
                <w:lang w:val="en-US" w:eastAsia="zh-CN"/>
              </w:rPr>
            </w:pPr>
            <w:r>
              <w:rPr>
                <w:rFonts w:hint="eastAsia" w:ascii="Times New Roman" w:hAnsi="Times New Roman" w:eastAsia="宋体" w:cs="Times New Roman"/>
                <w:i w:val="0"/>
                <w:iCs w:val="0"/>
                <w:color w:val="auto"/>
                <w:kern w:val="0"/>
                <w:sz w:val="24"/>
                <w:szCs w:val="24"/>
                <w:highlight w:val="none"/>
                <w:lang w:val="en-US" w:eastAsia="zh-CN"/>
              </w:rPr>
              <w:t>取所有有效报价（通过初步评审且不高于最高限价）的算术平均值作为评标基准价。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投标报价的偏差率计算公式</w:t>
            </w:r>
          </w:p>
        </w:tc>
        <w:tc>
          <w:tcPr>
            <w:tcW w:w="4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eastAsia="宋体"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偏差率=100%×（投标人报价</w:t>
            </w:r>
            <w:r>
              <w:rPr>
                <w:rFonts w:hint="eastAsia" w:ascii="宋体" w:hAnsi="宋体" w:eastAsia="宋体" w:cs="宋体"/>
                <w:i w:val="0"/>
                <w:iCs w:val="0"/>
                <w:color w:val="auto"/>
                <w:kern w:val="0"/>
                <w:sz w:val="24"/>
                <w:szCs w:val="24"/>
                <w:highlight w:val="none"/>
                <w:lang w:val="en-US" w:eastAsia="zh-CN"/>
              </w:rPr>
              <w:t>－</w:t>
            </w:r>
            <w:r>
              <w:rPr>
                <w:rFonts w:hint="eastAsia" w:ascii="Times New Roman" w:hAnsi="Times New Roman" w:cs="Times New Roman"/>
                <w:i w:val="0"/>
                <w:iCs w:val="0"/>
                <w:color w:val="auto"/>
                <w:kern w:val="0"/>
                <w:sz w:val="24"/>
                <w:szCs w:val="24"/>
                <w:highlight w:val="none"/>
                <w:lang w:val="en-US" w:eastAsia="zh-CN"/>
              </w:rPr>
              <w:t>评标基准价）/评标基准价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i w:val="0"/>
                <w:iCs w:val="0"/>
                <w:kern w:val="0"/>
                <w:sz w:val="24"/>
                <w:szCs w:val="24"/>
                <w:highlight w:val="none"/>
                <w:lang w:val="en-US" w:eastAsia="zh-CN"/>
              </w:rPr>
            </w:pPr>
            <w:r>
              <w:rPr>
                <w:rFonts w:hint="default" w:ascii="Times New Roman" w:hAnsi="Times New Roman" w:cs="Times New Roman"/>
                <w:b/>
                <w:bCs/>
                <w:i w:val="0"/>
                <w:iCs w:val="0"/>
                <w:kern w:val="0"/>
                <w:sz w:val="24"/>
                <w:szCs w:val="24"/>
                <w:highlight w:val="none"/>
                <w:lang w:val="en-US" w:eastAsia="zh-CN"/>
              </w:rPr>
              <w:t>评分因素</w:t>
            </w:r>
          </w:p>
        </w:tc>
        <w:tc>
          <w:tcPr>
            <w:tcW w:w="4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bCs/>
                <w:i w:val="0"/>
                <w:iCs w:val="0"/>
                <w:kern w:val="0"/>
                <w:sz w:val="24"/>
                <w:szCs w:val="24"/>
                <w:highlight w:val="none"/>
                <w:lang w:val="en-US" w:eastAsia="zh-CN"/>
              </w:rPr>
            </w:pPr>
            <w:r>
              <w:rPr>
                <w:rFonts w:hint="default" w:ascii="Times New Roman" w:hAnsi="Times New Roman" w:cs="Times New Roman"/>
                <w:b/>
                <w:bCs/>
                <w:i w:val="0"/>
                <w:iCs w:val="0"/>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997"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rPr>
                <w:rFonts w:hint="eastAsia" w:ascii="宋体" w:hAnsi="宋体" w:eastAsia="宋体" w:cs="宋体"/>
                <w:color w:val="auto"/>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rPr>
                <w:rFonts w:hint="eastAsia" w:ascii="宋体" w:hAnsi="宋体" w:eastAsia="宋体" w:cs="宋体"/>
                <w:color w:val="auto"/>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rPr>
                <w:rFonts w:hint="eastAsia" w:ascii="宋体" w:hAnsi="宋体" w:eastAsia="宋体" w:cs="宋体"/>
                <w:color w:val="auto"/>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rPr>
                <w:rFonts w:hint="eastAsia" w:ascii="宋体" w:hAnsi="宋体" w:eastAsia="宋体" w:cs="宋体"/>
                <w:kern w:val="0"/>
                <w:sz w:val="24"/>
                <w:szCs w:val="24"/>
                <w:highlight w:val="none"/>
                <w:lang w:val="en-US" w:eastAsia="zh-CN"/>
              </w:rPr>
            </w:pPr>
            <w:r>
              <w:rPr>
                <w:rFonts w:hint="eastAsia" w:ascii="宋体" w:hAnsi="宋体" w:cs="宋体"/>
                <w:color w:val="auto"/>
                <w:kern w:val="0"/>
                <w:sz w:val="24"/>
                <w:szCs w:val="24"/>
                <w:highlight w:val="none"/>
                <w:lang w:val="en-US" w:eastAsia="zh-CN"/>
              </w:rPr>
              <w:t>商务部分</w:t>
            </w:r>
            <w:r>
              <w:rPr>
                <w:rFonts w:hint="eastAsia" w:ascii="宋体" w:hAnsi="宋体" w:eastAsia="宋体" w:cs="宋体"/>
                <w:color w:val="auto"/>
                <w:kern w:val="0"/>
                <w:sz w:val="24"/>
                <w:szCs w:val="24"/>
                <w:highlight w:val="none"/>
                <w:lang w:val="en-US" w:eastAsia="zh-CN"/>
              </w:rPr>
              <w:t>（2</w:t>
            </w:r>
            <w:r>
              <w:rPr>
                <w:rFonts w:hint="eastAsia" w:ascii="宋体" w:hAnsi="宋体" w:cs="宋体"/>
                <w:color w:val="auto"/>
                <w:kern w:val="0"/>
                <w:sz w:val="24"/>
                <w:szCs w:val="24"/>
                <w:highlight w:val="none"/>
                <w:lang w:val="en-US" w:eastAsia="zh-CN"/>
              </w:rPr>
              <w:t>5</w:t>
            </w:r>
            <w:r>
              <w:rPr>
                <w:rFonts w:hint="eastAsia" w:ascii="宋体" w:hAnsi="宋体" w:eastAsia="宋体" w:cs="宋体"/>
                <w:color w:val="auto"/>
                <w:kern w:val="0"/>
                <w:sz w:val="24"/>
                <w:szCs w:val="24"/>
                <w:highlight w:val="none"/>
                <w:lang w:val="en-US" w:eastAsia="zh-CN"/>
              </w:rPr>
              <w:t>分）</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企业业绩</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宋体" w:hAnsi="宋体" w:eastAsia="宋体" w:cs="宋体"/>
                <w:i w:val="0"/>
                <w:iCs w:val="0"/>
                <w:color w:val="FF0000"/>
                <w:kern w:val="0"/>
                <w:sz w:val="24"/>
                <w:szCs w:val="24"/>
                <w:highlight w:val="yellow"/>
                <w:lang w:val="en-US" w:eastAsia="zh-CN"/>
              </w:rPr>
            </w:pPr>
            <w:r>
              <w:rPr>
                <w:rFonts w:hint="eastAsia" w:ascii="宋体" w:hAnsi="宋体" w:eastAsia="宋体" w:cs="宋体"/>
                <w:color w:val="auto"/>
                <w:kern w:val="0"/>
                <w:sz w:val="24"/>
                <w:szCs w:val="24"/>
                <w:highlight w:val="none"/>
                <w:lang w:val="en-US" w:eastAsia="zh-CN"/>
              </w:rPr>
              <w:t>(</w:t>
            </w:r>
            <w:r>
              <w:rPr>
                <w:rFonts w:hint="eastAsia" w:ascii="宋体" w:hAnsi="宋体" w:cs="宋体"/>
                <w:color w:val="auto"/>
                <w:kern w:val="0"/>
                <w:sz w:val="24"/>
                <w:szCs w:val="24"/>
                <w:highlight w:val="none"/>
                <w:lang w:val="en-US" w:eastAsia="zh-CN"/>
              </w:rPr>
              <w:t>9</w:t>
            </w:r>
            <w:r>
              <w:rPr>
                <w:rFonts w:hint="eastAsia" w:ascii="宋体" w:hAnsi="宋体" w:eastAsia="宋体" w:cs="宋体"/>
                <w:color w:val="auto"/>
                <w:kern w:val="0"/>
                <w:sz w:val="24"/>
                <w:szCs w:val="24"/>
                <w:highlight w:val="none"/>
                <w:lang w:val="en-US" w:eastAsia="zh-CN"/>
              </w:rPr>
              <w:t>分)</w:t>
            </w:r>
          </w:p>
        </w:tc>
        <w:tc>
          <w:tcPr>
            <w:tcW w:w="4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240" w:lineRule="auto"/>
              <w:ind w:firstLine="480" w:firstLineChars="200"/>
              <w:textAlignment w:val="auto"/>
              <w:rPr>
                <w:rFonts w:hint="eastAsia"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除招标公告投标人资格要求规定的业绩外，</w:t>
            </w:r>
            <w:r>
              <w:rPr>
                <w:rFonts w:hint="eastAsia" w:ascii="Times New Roman" w:hAnsi="Times New Roman" w:eastAsia="宋体" w:cs="Times New Roman"/>
                <w:i w:val="0"/>
                <w:iCs w:val="0"/>
                <w:color w:val="auto"/>
                <w:kern w:val="0"/>
                <w:sz w:val="24"/>
                <w:szCs w:val="24"/>
                <w:highlight w:val="none"/>
                <w:lang w:val="en-US" w:eastAsia="zh-CN"/>
              </w:rPr>
              <w:t>投标人每提供2020年1月1日以来已完成单项合同金额不低于500万元的高速公路苗木供应或施工业绩。</w:t>
            </w:r>
            <w:r>
              <w:rPr>
                <w:rFonts w:hint="eastAsia" w:ascii="宋体" w:hAnsi="宋体" w:eastAsia="宋体" w:cs="宋体"/>
                <w:kern w:val="0"/>
                <w:sz w:val="24"/>
                <w:szCs w:val="24"/>
                <w:highlight w:val="none"/>
                <w:lang w:val="en-US" w:eastAsia="zh-CN"/>
              </w:rPr>
              <w:t>每</w:t>
            </w:r>
            <w:r>
              <w:rPr>
                <w:rFonts w:hint="eastAsia" w:ascii="宋体" w:hAnsi="宋体" w:cs="宋体"/>
                <w:kern w:val="0"/>
                <w:sz w:val="24"/>
                <w:szCs w:val="24"/>
                <w:highlight w:val="none"/>
                <w:lang w:val="en-US" w:eastAsia="zh-CN"/>
              </w:rPr>
              <w:t>增加</w:t>
            </w:r>
            <w:r>
              <w:rPr>
                <w:rFonts w:hint="eastAsia" w:ascii="宋体" w:hAnsi="宋体" w:eastAsia="宋体" w:cs="宋体"/>
                <w:kern w:val="0"/>
                <w:sz w:val="24"/>
                <w:szCs w:val="24"/>
                <w:highlight w:val="none"/>
                <w:lang w:val="en-US" w:eastAsia="zh-CN"/>
              </w:rPr>
              <w:t>一项业绩，得</w:t>
            </w:r>
            <w:r>
              <w:rPr>
                <w:rFonts w:hint="eastAsia" w:ascii="宋体" w:hAnsi="宋体" w:cs="宋体"/>
                <w:kern w:val="0"/>
                <w:sz w:val="24"/>
                <w:szCs w:val="24"/>
                <w:highlight w:val="none"/>
                <w:lang w:val="en-US" w:eastAsia="zh-CN"/>
              </w:rPr>
              <w:t>3</w:t>
            </w:r>
            <w:r>
              <w:rPr>
                <w:rFonts w:hint="eastAsia" w:ascii="宋体" w:hAnsi="宋体" w:eastAsia="宋体" w:cs="宋体"/>
                <w:kern w:val="0"/>
                <w:sz w:val="24"/>
                <w:szCs w:val="24"/>
                <w:highlight w:val="none"/>
                <w:lang w:val="en-US" w:eastAsia="zh-CN"/>
              </w:rPr>
              <w:t>分； 满分</w:t>
            </w:r>
            <w:r>
              <w:rPr>
                <w:rFonts w:hint="eastAsia" w:ascii="宋体" w:hAnsi="宋体" w:cs="宋体"/>
                <w:kern w:val="0"/>
                <w:sz w:val="24"/>
                <w:szCs w:val="24"/>
                <w:highlight w:val="none"/>
                <w:lang w:val="en-US" w:eastAsia="zh-CN"/>
              </w:rPr>
              <w:t>9</w:t>
            </w:r>
            <w:r>
              <w:rPr>
                <w:rFonts w:hint="eastAsia" w:ascii="宋体" w:hAnsi="宋体" w:eastAsia="宋体" w:cs="宋体"/>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240" w:lineRule="auto"/>
              <w:ind w:firstLine="420" w:firstLineChars="200"/>
              <w:textAlignment w:val="auto"/>
              <w:rPr>
                <w:rFonts w:hint="eastAsia" w:ascii="宋体" w:hAnsi="宋体" w:eastAsia="宋体" w:cs="宋体"/>
                <w:i w:val="0"/>
                <w:iCs w:val="0"/>
                <w:kern w:val="0"/>
                <w:sz w:val="24"/>
                <w:szCs w:val="24"/>
                <w:highlight w:val="none"/>
                <w:lang w:val="en-US" w:eastAsia="zh-CN"/>
              </w:rPr>
            </w:pPr>
            <w:r>
              <w:rPr>
                <w:rFonts w:hint="eastAsia" w:ascii="宋体" w:hAnsi="宋体" w:cs="宋体"/>
                <w:kern w:val="0"/>
                <w:sz w:val="21"/>
                <w:szCs w:val="21"/>
                <w:highlight w:val="none"/>
                <w:lang w:val="en-US" w:eastAsia="zh-CN"/>
              </w:rPr>
              <w:t>注：</w:t>
            </w:r>
            <w:r>
              <w:rPr>
                <w:rFonts w:hint="eastAsia" w:ascii="宋体" w:hAnsi="宋体" w:eastAsia="宋体" w:cs="宋体"/>
                <w:sz w:val="21"/>
                <w:szCs w:val="21"/>
                <w:highlight w:val="none"/>
                <w:lang w:val="en-US" w:eastAsia="zh-CN"/>
              </w:rPr>
              <w:t>投标人须</w:t>
            </w:r>
            <w:r>
              <w:rPr>
                <w:rFonts w:hint="default" w:ascii="宋体" w:hAnsi="宋体" w:eastAsia="宋体" w:cs="宋体"/>
                <w:sz w:val="21"/>
                <w:szCs w:val="21"/>
                <w:highlight w:val="none"/>
                <w:lang w:val="en-US" w:eastAsia="zh-CN"/>
              </w:rPr>
              <w:t>提供业绩合同复印件或扫描件</w:t>
            </w:r>
            <w:r>
              <w:rPr>
                <w:rFonts w:hint="eastAsia" w:ascii="宋体" w:hAnsi="宋体" w:eastAsia="宋体" w:cs="宋体"/>
                <w:sz w:val="21"/>
                <w:szCs w:val="21"/>
                <w:highlight w:val="none"/>
                <w:lang w:val="en-US" w:eastAsia="zh-CN"/>
              </w:rPr>
              <w:t>以及对应合同不低于100万元的发票复印件</w:t>
            </w:r>
            <w:r>
              <w:rPr>
                <w:rFonts w:hint="default" w:ascii="宋体" w:hAnsi="宋体" w:eastAsia="宋体" w:cs="宋体"/>
                <w:sz w:val="21"/>
                <w:szCs w:val="21"/>
                <w:highlight w:val="none"/>
                <w:lang w:val="en-US" w:eastAsia="zh-CN"/>
              </w:rPr>
              <w:t>，加盖投标人公章并装订入投标文件中。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240" w:lineRule="auto"/>
              <w:ind w:firstLine="480" w:firstLineChars="200"/>
              <w:jc w:val="both"/>
              <w:textAlignment w:val="auto"/>
              <w:rPr>
                <w:rFonts w:hint="eastAsia" w:ascii="宋体" w:hAnsi="宋体" w:eastAsia="宋体" w:cs="宋体"/>
                <w:kern w:val="0"/>
                <w:sz w:val="24"/>
                <w:szCs w:val="24"/>
                <w:highlight w:val="none"/>
                <w:lang w:val="en-US" w:eastAsia="zh-CN"/>
              </w:rPr>
            </w:pP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color w:val="auto"/>
                <w:kern w:val="0"/>
                <w:sz w:val="24"/>
                <w:szCs w:val="24"/>
                <w:highlight w:val="none"/>
                <w:lang w:val="en-US" w:eastAsia="zh-CN"/>
              </w:rPr>
            </w:pPr>
            <w:r>
              <w:rPr>
                <w:rFonts w:hint="eastAsia" w:ascii="宋体" w:hAnsi="宋体" w:cs="宋体"/>
                <w:color w:val="auto"/>
                <w:kern w:val="0"/>
                <w:sz w:val="24"/>
                <w:szCs w:val="24"/>
                <w:highlight w:val="none"/>
                <w:lang w:val="en-US" w:eastAsia="zh-CN"/>
              </w:rPr>
              <w:t>苗圃基地（5分）</w:t>
            </w:r>
          </w:p>
        </w:tc>
        <w:tc>
          <w:tcPr>
            <w:tcW w:w="4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240" w:lineRule="auto"/>
              <w:ind w:firstLine="480" w:firstLineChars="200"/>
              <w:textAlignment w:val="auto"/>
              <w:rPr>
                <w:rFonts w:hint="eastAsia"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投标人如能提供不小于300亩自有的苗圃基地得1分，每增加100亩得2分，满分5分。</w:t>
            </w:r>
          </w:p>
          <w:p>
            <w:pPr>
              <w:keepNext w:val="0"/>
              <w:keepLines w:val="0"/>
              <w:pageBreakBefore w:val="0"/>
              <w:widowControl w:val="0"/>
              <w:kinsoku/>
              <w:wordWrap w:val="0"/>
              <w:overflowPunct/>
              <w:topLinePunct w:val="0"/>
              <w:autoSpaceDE/>
              <w:autoSpaceDN/>
              <w:bidi w:val="0"/>
              <w:adjustRightInd/>
              <w:snapToGrid/>
              <w:spacing w:line="240" w:lineRule="auto"/>
              <w:ind w:firstLine="420" w:firstLineChars="200"/>
              <w:textAlignment w:val="auto"/>
              <w:rPr>
                <w:rFonts w:hint="default"/>
                <w:lang w:val="en-US" w:eastAsia="zh-CN"/>
              </w:rPr>
            </w:pPr>
            <w:r>
              <w:rPr>
                <w:rFonts w:hint="eastAsia" w:ascii="宋体" w:hAnsi="宋体" w:eastAsia="宋体" w:cs="宋体"/>
                <w:kern w:val="0"/>
                <w:sz w:val="21"/>
                <w:szCs w:val="21"/>
                <w:highlight w:val="none"/>
                <w:lang w:val="en-US" w:eastAsia="zh-CN"/>
              </w:rPr>
              <w:t>注：需提供用地证明（租用合同或协议等）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240" w:lineRule="auto"/>
              <w:ind w:firstLine="480" w:firstLineChars="200"/>
              <w:jc w:val="both"/>
              <w:textAlignment w:val="auto"/>
              <w:rPr>
                <w:rFonts w:hint="eastAsia" w:ascii="宋体" w:hAnsi="宋体" w:eastAsia="宋体" w:cs="宋体"/>
                <w:kern w:val="0"/>
                <w:sz w:val="24"/>
                <w:szCs w:val="24"/>
                <w:highlight w:val="none"/>
                <w:lang w:val="en-US" w:eastAsia="zh-CN"/>
              </w:rPr>
            </w:pP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宋体" w:hAnsi="宋体" w:eastAsia="宋体" w:cs="宋体"/>
                <w:i w:val="0"/>
                <w:iCs w:val="0"/>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拟派项目负责人类似业绩（</w:t>
            </w:r>
            <w:r>
              <w:rPr>
                <w:rFonts w:hint="eastAsia" w:ascii="宋体" w:hAnsi="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lang w:val="en-US" w:eastAsia="zh-CN"/>
              </w:rPr>
              <w:t>分）</w:t>
            </w:r>
          </w:p>
        </w:tc>
        <w:tc>
          <w:tcPr>
            <w:tcW w:w="4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240" w:lineRule="auto"/>
              <w:jc w:val="left"/>
              <w:textAlignment w:val="auto"/>
              <w:rPr>
                <w:rFonts w:hint="eastAsia"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拟派</w:t>
            </w:r>
            <w:r>
              <w:rPr>
                <w:rFonts w:hint="eastAsia" w:ascii="宋体" w:hAnsi="宋体" w:eastAsia="宋体" w:cs="宋体"/>
                <w:color w:val="auto"/>
                <w:kern w:val="0"/>
                <w:sz w:val="24"/>
                <w:szCs w:val="24"/>
                <w:highlight w:val="none"/>
                <w:lang w:val="en-US" w:eastAsia="zh-CN"/>
              </w:rPr>
              <w:t>项目负责人</w:t>
            </w:r>
            <w:r>
              <w:rPr>
                <w:rFonts w:hint="eastAsia" w:ascii="宋体" w:hAnsi="宋体" w:eastAsia="宋体" w:cs="宋体"/>
                <w:kern w:val="0"/>
                <w:sz w:val="24"/>
                <w:szCs w:val="24"/>
                <w:highlight w:val="none"/>
                <w:lang w:val="en-US" w:eastAsia="zh-CN"/>
              </w:rPr>
              <w:t>以项目负责人身份完成1个已完工的单项合同金额不少于 500万元高速公路苗木供应或施工业绩，得</w:t>
            </w:r>
            <w:r>
              <w:rPr>
                <w:rFonts w:hint="eastAsia" w:ascii="宋体" w:hAnsi="宋体" w:cs="宋体"/>
                <w:kern w:val="0"/>
                <w:sz w:val="24"/>
                <w:szCs w:val="24"/>
                <w:highlight w:val="none"/>
                <w:lang w:val="en-US" w:eastAsia="zh-CN"/>
              </w:rPr>
              <w:t>1.5</w:t>
            </w:r>
            <w:r>
              <w:rPr>
                <w:rFonts w:hint="eastAsia" w:ascii="宋体" w:hAnsi="宋体" w:eastAsia="宋体" w:cs="宋体"/>
                <w:kern w:val="0"/>
                <w:sz w:val="24"/>
                <w:szCs w:val="24"/>
                <w:highlight w:val="none"/>
                <w:lang w:val="en-US" w:eastAsia="zh-CN"/>
              </w:rPr>
              <w:t>分； 满分</w:t>
            </w:r>
            <w:r>
              <w:rPr>
                <w:rFonts w:hint="eastAsia" w:ascii="宋体" w:hAnsi="宋体" w:cs="宋体"/>
                <w:kern w:val="0"/>
                <w:sz w:val="24"/>
                <w:szCs w:val="24"/>
                <w:highlight w:val="none"/>
                <w:lang w:val="en-US" w:eastAsia="zh-CN"/>
              </w:rPr>
              <w:t>3</w:t>
            </w:r>
            <w:r>
              <w:rPr>
                <w:rFonts w:hint="eastAsia" w:ascii="宋体" w:hAnsi="宋体" w:eastAsia="宋体" w:cs="宋体"/>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240" w:lineRule="auto"/>
              <w:jc w:val="left"/>
              <w:textAlignment w:val="auto"/>
              <w:rPr>
                <w:rFonts w:hint="eastAsia" w:ascii="宋体" w:hAnsi="宋体" w:eastAsia="宋体" w:cs="宋体"/>
                <w:i w:val="0"/>
                <w:iCs w:val="0"/>
                <w:kern w:val="0"/>
                <w:sz w:val="24"/>
                <w:szCs w:val="24"/>
                <w:highlight w:val="none"/>
                <w:lang w:val="en-US" w:eastAsia="zh-CN"/>
              </w:rPr>
            </w:pPr>
            <w:r>
              <w:rPr>
                <w:rFonts w:hint="eastAsia" w:ascii="宋体" w:hAnsi="宋体" w:eastAsia="宋体" w:cs="宋体"/>
                <w:kern w:val="0"/>
                <w:sz w:val="24"/>
                <w:szCs w:val="24"/>
                <w:highlight w:val="none"/>
                <w:lang w:val="en-US" w:eastAsia="zh-CN"/>
              </w:rPr>
              <w:t>（提供</w:t>
            </w:r>
            <w:r>
              <w:rPr>
                <w:rFonts w:hint="eastAsia"/>
                <w:sz w:val="24"/>
                <w:szCs w:val="24"/>
                <w:lang w:val="en-US" w:eastAsia="zh-CN"/>
              </w:rPr>
              <w:t>合同协议书、竣工验收证书或发包人证明</w:t>
            </w:r>
            <w:r>
              <w:rPr>
                <w:rFonts w:hint="eastAsia" w:ascii="宋体" w:hAnsi="宋体" w:eastAsia="宋体" w:cs="宋体"/>
                <w:kern w:val="0"/>
                <w:sz w:val="24"/>
                <w:szCs w:val="24"/>
                <w:highlight w:val="none"/>
                <w:lang w:val="en-US" w:eastAsia="zh-CN"/>
              </w:rPr>
              <w:t>，否则不得分）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997"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240" w:lineRule="auto"/>
              <w:ind w:firstLine="480" w:firstLineChars="200"/>
              <w:jc w:val="both"/>
              <w:textAlignment w:val="auto"/>
              <w:rPr>
                <w:rFonts w:hint="eastAsia" w:ascii="宋体" w:hAnsi="宋体" w:eastAsia="宋体" w:cs="宋体"/>
                <w:kern w:val="0"/>
                <w:sz w:val="24"/>
                <w:szCs w:val="24"/>
                <w:highlight w:val="none"/>
                <w:lang w:val="en-US" w:eastAsia="zh-CN"/>
              </w:rPr>
            </w:pP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宋体" w:hAnsi="宋体" w:eastAsia="宋体" w:cs="宋体"/>
                <w:i w:val="0"/>
                <w:iCs w:val="0"/>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成活率（</w:t>
            </w:r>
            <w:r>
              <w:rPr>
                <w:rFonts w:hint="eastAsia" w:ascii="宋体" w:hAnsi="宋体" w:cs="宋体"/>
                <w:color w:val="auto"/>
                <w:kern w:val="0"/>
                <w:sz w:val="24"/>
                <w:szCs w:val="24"/>
                <w:highlight w:val="none"/>
                <w:lang w:val="en-US" w:eastAsia="zh-CN"/>
              </w:rPr>
              <w:t>8</w:t>
            </w:r>
            <w:r>
              <w:rPr>
                <w:rFonts w:hint="eastAsia" w:ascii="宋体" w:hAnsi="宋体" w:eastAsia="宋体" w:cs="宋体"/>
                <w:color w:val="auto"/>
                <w:kern w:val="0"/>
                <w:sz w:val="24"/>
                <w:szCs w:val="24"/>
                <w:highlight w:val="none"/>
                <w:lang w:val="en-US" w:eastAsia="zh-CN"/>
              </w:rPr>
              <w:t>分）</w:t>
            </w:r>
          </w:p>
        </w:tc>
        <w:tc>
          <w:tcPr>
            <w:tcW w:w="4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240" w:lineRule="auto"/>
              <w:jc w:val="left"/>
              <w:textAlignment w:val="auto"/>
              <w:rPr>
                <w:rFonts w:hint="eastAsia" w:ascii="宋体" w:hAnsi="宋体" w:eastAsia="宋体" w:cs="宋体"/>
                <w:i w:val="0"/>
                <w:iCs w:val="0"/>
                <w:kern w:val="0"/>
                <w:sz w:val="24"/>
                <w:szCs w:val="24"/>
                <w:highlight w:val="none"/>
                <w:lang w:val="en-US" w:eastAsia="zh-CN"/>
              </w:rPr>
            </w:pPr>
            <w:r>
              <w:rPr>
                <w:rFonts w:hint="eastAsia" w:ascii="宋体" w:hAnsi="宋体" w:eastAsia="宋体" w:cs="宋体"/>
                <w:kern w:val="0"/>
                <w:sz w:val="24"/>
                <w:szCs w:val="24"/>
                <w:highlight w:val="none"/>
                <w:lang w:val="en-US" w:eastAsia="zh-CN"/>
              </w:rPr>
              <w:t>承诺成活率比</w:t>
            </w:r>
            <w:r>
              <w:rPr>
                <w:rFonts w:hint="eastAsia" w:ascii="宋体" w:hAnsi="宋体" w:cs="宋体"/>
                <w:kern w:val="0"/>
                <w:sz w:val="24"/>
                <w:szCs w:val="24"/>
                <w:highlight w:val="none"/>
                <w:lang w:val="en-US" w:eastAsia="zh-CN"/>
              </w:rPr>
              <w:t>96%</w:t>
            </w:r>
            <w:r>
              <w:rPr>
                <w:rFonts w:hint="eastAsia" w:ascii="宋体" w:hAnsi="宋体" w:eastAsia="宋体" w:cs="宋体"/>
                <w:kern w:val="0"/>
                <w:sz w:val="24"/>
                <w:szCs w:val="24"/>
                <w:highlight w:val="none"/>
                <w:lang w:val="en-US" w:eastAsia="zh-CN"/>
              </w:rPr>
              <w:t>每提高1%得2分，满分</w:t>
            </w:r>
            <w:r>
              <w:rPr>
                <w:rFonts w:hint="eastAsia" w:ascii="宋体" w:hAnsi="宋体" w:cs="宋体"/>
                <w:kern w:val="0"/>
                <w:sz w:val="24"/>
                <w:szCs w:val="24"/>
                <w:highlight w:val="none"/>
                <w:lang w:val="en-US" w:eastAsia="zh-CN"/>
              </w:rPr>
              <w:t>8</w:t>
            </w:r>
            <w:r>
              <w:rPr>
                <w:rFonts w:hint="eastAsia" w:ascii="宋体" w:hAnsi="宋体" w:eastAsia="宋体" w:cs="宋体"/>
                <w:kern w:val="0"/>
                <w:sz w:val="24"/>
                <w:szCs w:val="24"/>
                <w:highlight w:val="none"/>
                <w:lang w:val="en-US" w:eastAsia="zh-CN"/>
              </w:rPr>
              <w:t>分</w:t>
            </w:r>
            <w:r>
              <w:rPr>
                <w:rFonts w:hint="eastAsia" w:ascii="宋体" w:hAnsi="宋体" w:cs="宋体"/>
                <w:kern w:val="0"/>
                <w:sz w:val="24"/>
                <w:szCs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eastAsia="宋体" w:cs="Times New Roman"/>
                <w:kern w:val="0"/>
                <w:sz w:val="24"/>
                <w:szCs w:val="24"/>
                <w:highlight w:val="none"/>
                <w:lang w:val="en-US" w:eastAsia="zh-CN"/>
              </w:rPr>
              <w:t>2.2.4（2）</w:t>
            </w:r>
          </w:p>
        </w:tc>
        <w:tc>
          <w:tcPr>
            <w:tcW w:w="997"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rPr>
                <w:rFonts w:hint="eastAsia" w:ascii="宋体" w:hAnsi="宋体" w:eastAsia="宋体" w:cs="宋体"/>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技术</w:t>
            </w:r>
            <w:r>
              <w:rPr>
                <w:rFonts w:hint="eastAsia" w:ascii="宋体" w:hAnsi="宋体" w:cs="宋体"/>
                <w:color w:val="auto"/>
                <w:kern w:val="0"/>
                <w:sz w:val="24"/>
                <w:szCs w:val="24"/>
                <w:highlight w:val="none"/>
                <w:lang w:val="en-US" w:eastAsia="zh-CN"/>
              </w:rPr>
              <w:t>部分</w:t>
            </w:r>
            <w:r>
              <w:rPr>
                <w:rFonts w:hint="eastAsia" w:ascii="宋体" w:hAnsi="宋体" w:eastAsia="宋体" w:cs="宋体"/>
                <w:color w:val="auto"/>
                <w:kern w:val="0"/>
                <w:sz w:val="24"/>
                <w:szCs w:val="24"/>
                <w:highlight w:val="none"/>
                <w:lang w:val="en-US" w:eastAsia="zh-CN"/>
              </w:rPr>
              <w:t>（1</w:t>
            </w:r>
            <w:r>
              <w:rPr>
                <w:rFonts w:hint="eastAsia" w:ascii="宋体" w:hAnsi="宋体" w:cs="宋体"/>
                <w:color w:val="auto"/>
                <w:kern w:val="0"/>
                <w:sz w:val="24"/>
                <w:szCs w:val="24"/>
                <w:highlight w:val="none"/>
                <w:lang w:val="en-US" w:eastAsia="zh-CN"/>
              </w:rPr>
              <w:t>5</w:t>
            </w:r>
            <w:r>
              <w:rPr>
                <w:rFonts w:hint="eastAsia" w:ascii="宋体" w:hAnsi="宋体" w:eastAsia="宋体" w:cs="宋体"/>
                <w:color w:val="auto"/>
                <w:kern w:val="0"/>
                <w:sz w:val="24"/>
                <w:szCs w:val="24"/>
                <w:highlight w:val="none"/>
                <w:lang w:val="en-US" w:eastAsia="zh-CN"/>
              </w:rPr>
              <w:t>分）</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宋体" w:hAnsi="宋体" w:eastAsia="宋体" w:cs="宋体"/>
                <w:i w:val="0"/>
                <w:iCs w:val="0"/>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技术方案（1</w:t>
            </w:r>
            <w:r>
              <w:rPr>
                <w:rFonts w:hint="eastAsia" w:ascii="宋体" w:hAnsi="宋体" w:cs="宋体"/>
                <w:color w:val="auto"/>
                <w:kern w:val="0"/>
                <w:sz w:val="24"/>
                <w:szCs w:val="24"/>
                <w:highlight w:val="none"/>
                <w:lang w:val="en-US" w:eastAsia="zh-CN"/>
              </w:rPr>
              <w:t>5</w:t>
            </w:r>
            <w:r>
              <w:rPr>
                <w:rFonts w:hint="eastAsia" w:ascii="宋体" w:hAnsi="宋体" w:eastAsia="宋体" w:cs="宋体"/>
                <w:color w:val="auto"/>
                <w:kern w:val="0"/>
                <w:sz w:val="24"/>
                <w:szCs w:val="24"/>
                <w:highlight w:val="none"/>
                <w:lang w:val="en-US" w:eastAsia="zh-CN"/>
              </w:rPr>
              <w:t>分）</w:t>
            </w:r>
          </w:p>
        </w:tc>
        <w:tc>
          <w:tcPr>
            <w:tcW w:w="4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240" w:lineRule="auto"/>
              <w:jc w:val="left"/>
              <w:textAlignment w:val="auto"/>
              <w:rPr>
                <w:rFonts w:hint="default" w:ascii="宋体" w:hAnsi="宋体" w:eastAsia="宋体" w:cs="宋体"/>
                <w:i w:val="0"/>
                <w:iCs w:val="0"/>
                <w:kern w:val="0"/>
                <w:sz w:val="24"/>
                <w:szCs w:val="24"/>
                <w:highlight w:val="none"/>
                <w:lang w:val="en-US" w:eastAsia="zh-CN"/>
              </w:rPr>
            </w:pPr>
            <w:r>
              <w:rPr>
                <w:rFonts w:hint="eastAsia" w:ascii="宋体" w:hAnsi="宋体" w:cs="宋体"/>
                <w:kern w:val="0"/>
                <w:sz w:val="24"/>
                <w:szCs w:val="24"/>
                <w:highlight w:val="none"/>
                <w:lang w:val="en-US" w:eastAsia="zh-CN"/>
              </w:rPr>
              <w:t>1.</w:t>
            </w:r>
            <w:r>
              <w:rPr>
                <w:rFonts w:hint="eastAsia" w:ascii="宋体" w:hAnsi="宋体" w:eastAsia="宋体" w:cs="宋体"/>
                <w:kern w:val="0"/>
                <w:sz w:val="24"/>
                <w:szCs w:val="24"/>
                <w:highlight w:val="none"/>
                <w:lang w:val="en-US" w:eastAsia="zh-CN"/>
              </w:rPr>
              <w:t>苗木供应方案3分</w:t>
            </w:r>
            <w:r>
              <w:rPr>
                <w:rFonts w:hint="eastAsia" w:ascii="宋体" w:hAnsi="宋体" w:cs="宋体"/>
                <w:kern w:val="0"/>
                <w:sz w:val="24"/>
                <w:szCs w:val="24"/>
                <w:highlight w:val="none"/>
                <w:lang w:val="en-US" w:eastAsia="zh-CN"/>
              </w:rPr>
              <w:t>，</w:t>
            </w:r>
            <w:r>
              <w:rPr>
                <w:rFonts w:hint="eastAsia" w:ascii="宋体" w:hAnsi="宋体" w:eastAsia="宋体" w:cs="宋体"/>
                <w:kern w:val="0"/>
                <w:sz w:val="24"/>
                <w:szCs w:val="24"/>
                <w:highlight w:val="none"/>
                <w:lang w:val="en-US" w:eastAsia="zh-CN"/>
              </w:rPr>
              <w:t>优秀得3分，良好得2分，一般得1分</w:t>
            </w:r>
            <w:r>
              <w:rPr>
                <w:rFonts w:hint="eastAsia"/>
                <w:lang w:eastAsia="zh-CN"/>
              </w:rPr>
              <w:t>。</w:t>
            </w:r>
            <w:r>
              <w:rPr>
                <w:rFonts w:hint="eastAsia" w:ascii="宋体" w:hAnsi="宋体" w:cs="宋体"/>
                <w:kern w:val="0"/>
                <w:sz w:val="24"/>
                <w:szCs w:val="24"/>
                <w:highlight w:val="none"/>
                <w:lang w:val="en-US" w:eastAsia="zh-CN"/>
              </w:rPr>
              <w:t>2.</w:t>
            </w:r>
            <w:r>
              <w:rPr>
                <w:rFonts w:hint="eastAsia" w:ascii="宋体" w:hAnsi="宋体" w:eastAsia="宋体" w:cs="宋体"/>
                <w:kern w:val="0"/>
                <w:sz w:val="24"/>
                <w:szCs w:val="24"/>
                <w:highlight w:val="none"/>
                <w:lang w:val="en-US" w:eastAsia="zh-CN"/>
              </w:rPr>
              <w:t>种植</w:t>
            </w:r>
            <w:r>
              <w:rPr>
                <w:rFonts w:hint="eastAsia" w:ascii="宋体" w:hAnsi="宋体" w:cs="宋体"/>
                <w:kern w:val="0"/>
                <w:sz w:val="24"/>
                <w:szCs w:val="24"/>
                <w:highlight w:val="none"/>
                <w:lang w:val="en-US" w:eastAsia="zh-CN"/>
              </w:rPr>
              <w:t>指导</w:t>
            </w:r>
            <w:r>
              <w:rPr>
                <w:rFonts w:hint="eastAsia" w:ascii="宋体" w:hAnsi="宋体" w:eastAsia="宋体" w:cs="宋体"/>
                <w:kern w:val="0"/>
                <w:sz w:val="24"/>
                <w:szCs w:val="24"/>
                <w:highlight w:val="none"/>
                <w:lang w:val="en-US" w:eastAsia="zh-CN"/>
              </w:rPr>
              <w:t>方案</w:t>
            </w:r>
            <w:r>
              <w:rPr>
                <w:rFonts w:hint="eastAsia" w:ascii="宋体" w:hAnsi="宋体" w:cs="宋体"/>
                <w:kern w:val="0"/>
                <w:sz w:val="24"/>
                <w:szCs w:val="24"/>
                <w:highlight w:val="none"/>
                <w:lang w:val="en-US" w:eastAsia="zh-CN"/>
              </w:rPr>
              <w:t>5</w:t>
            </w:r>
            <w:r>
              <w:rPr>
                <w:rFonts w:hint="eastAsia" w:ascii="宋体" w:hAnsi="宋体" w:eastAsia="宋体" w:cs="宋体"/>
                <w:kern w:val="0"/>
                <w:sz w:val="24"/>
                <w:szCs w:val="24"/>
                <w:highlight w:val="none"/>
                <w:lang w:val="en-US" w:eastAsia="zh-CN"/>
              </w:rPr>
              <w:t>分</w:t>
            </w:r>
            <w:r>
              <w:rPr>
                <w:rFonts w:hint="eastAsia" w:ascii="宋体" w:hAnsi="宋体" w:cs="宋体"/>
                <w:kern w:val="0"/>
                <w:sz w:val="24"/>
                <w:szCs w:val="24"/>
                <w:highlight w:val="none"/>
                <w:lang w:val="en-US" w:eastAsia="zh-CN"/>
              </w:rPr>
              <w:t>，</w:t>
            </w:r>
            <w:r>
              <w:rPr>
                <w:rFonts w:hint="eastAsia" w:ascii="宋体" w:hAnsi="宋体" w:eastAsia="宋体" w:cs="宋体"/>
                <w:kern w:val="0"/>
                <w:sz w:val="24"/>
                <w:szCs w:val="24"/>
                <w:highlight w:val="none"/>
                <w:lang w:val="en-US" w:eastAsia="zh-CN"/>
              </w:rPr>
              <w:t>优秀得5分，良好得3-4分，一般得1-</w:t>
            </w:r>
            <w:r>
              <w:rPr>
                <w:rFonts w:hint="eastAsia" w:ascii="宋体" w:hAnsi="宋体" w:cs="宋体"/>
                <w:kern w:val="0"/>
                <w:sz w:val="24"/>
                <w:szCs w:val="24"/>
                <w:highlight w:val="none"/>
                <w:lang w:val="en-US" w:eastAsia="zh-CN"/>
              </w:rPr>
              <w:t>2</w:t>
            </w:r>
            <w:r>
              <w:rPr>
                <w:rFonts w:hint="eastAsia" w:ascii="宋体" w:hAnsi="宋体" w:eastAsia="宋体" w:cs="宋体"/>
                <w:kern w:val="0"/>
                <w:sz w:val="24"/>
                <w:szCs w:val="24"/>
                <w:highlight w:val="none"/>
                <w:lang w:val="en-US" w:eastAsia="zh-CN"/>
              </w:rPr>
              <w:t>分</w:t>
            </w:r>
            <w:r>
              <w:rPr>
                <w:rFonts w:hint="eastAsia" w:eastAsia="宋体"/>
                <w:lang w:eastAsia="zh-CN"/>
              </w:rPr>
              <w:t>。</w:t>
            </w:r>
            <w:r>
              <w:rPr>
                <w:rFonts w:hint="eastAsia" w:ascii="宋体" w:hAnsi="宋体" w:cs="宋体"/>
                <w:kern w:val="0"/>
                <w:sz w:val="24"/>
                <w:szCs w:val="24"/>
                <w:highlight w:val="none"/>
                <w:lang w:val="en-US" w:eastAsia="zh-CN"/>
              </w:rPr>
              <w:t>3.</w:t>
            </w:r>
            <w:r>
              <w:rPr>
                <w:rFonts w:hint="eastAsia" w:ascii="宋体" w:hAnsi="宋体" w:eastAsia="宋体" w:cs="宋体"/>
                <w:kern w:val="0"/>
                <w:sz w:val="24"/>
                <w:szCs w:val="24"/>
                <w:highlight w:val="none"/>
                <w:lang w:val="en-US" w:eastAsia="zh-CN"/>
              </w:rPr>
              <w:t>养护</w:t>
            </w:r>
            <w:r>
              <w:rPr>
                <w:rFonts w:hint="eastAsia" w:ascii="宋体" w:hAnsi="宋体" w:cs="宋体"/>
                <w:kern w:val="0"/>
                <w:sz w:val="24"/>
                <w:szCs w:val="24"/>
                <w:highlight w:val="none"/>
                <w:lang w:val="en-US" w:eastAsia="zh-CN"/>
              </w:rPr>
              <w:t>指导</w:t>
            </w:r>
            <w:r>
              <w:rPr>
                <w:rFonts w:hint="eastAsia" w:ascii="宋体" w:hAnsi="宋体" w:eastAsia="宋体" w:cs="宋体"/>
                <w:kern w:val="0"/>
                <w:sz w:val="24"/>
                <w:szCs w:val="24"/>
                <w:highlight w:val="none"/>
                <w:lang w:val="en-US" w:eastAsia="zh-CN"/>
              </w:rPr>
              <w:t>方案6分。优秀得</w:t>
            </w:r>
            <w:r>
              <w:rPr>
                <w:rFonts w:hint="eastAsia" w:ascii="宋体" w:hAnsi="宋体" w:cs="宋体"/>
                <w:kern w:val="0"/>
                <w:sz w:val="24"/>
                <w:szCs w:val="24"/>
                <w:highlight w:val="none"/>
                <w:lang w:val="en-US" w:eastAsia="zh-CN"/>
              </w:rPr>
              <w:t>5</w:t>
            </w:r>
            <w:r>
              <w:rPr>
                <w:rFonts w:hint="eastAsia" w:ascii="宋体" w:hAnsi="宋体" w:eastAsia="宋体" w:cs="宋体"/>
                <w:kern w:val="0"/>
                <w:sz w:val="24"/>
                <w:szCs w:val="24"/>
                <w:highlight w:val="none"/>
                <w:lang w:val="en-US" w:eastAsia="zh-CN"/>
              </w:rPr>
              <w:t>-</w:t>
            </w:r>
            <w:r>
              <w:rPr>
                <w:rFonts w:hint="eastAsia" w:ascii="宋体" w:hAnsi="宋体" w:cs="宋体"/>
                <w:kern w:val="0"/>
                <w:sz w:val="24"/>
                <w:szCs w:val="24"/>
                <w:highlight w:val="none"/>
                <w:lang w:val="en-US" w:eastAsia="zh-CN"/>
              </w:rPr>
              <w:t>6</w:t>
            </w:r>
            <w:r>
              <w:rPr>
                <w:rFonts w:hint="eastAsia" w:ascii="宋体" w:hAnsi="宋体" w:eastAsia="宋体" w:cs="宋体"/>
                <w:kern w:val="0"/>
                <w:sz w:val="24"/>
                <w:szCs w:val="24"/>
                <w:highlight w:val="none"/>
                <w:lang w:val="en-US" w:eastAsia="zh-CN"/>
              </w:rPr>
              <w:t>分，良好得</w:t>
            </w:r>
            <w:r>
              <w:rPr>
                <w:rFonts w:hint="eastAsia" w:ascii="宋体" w:hAnsi="宋体" w:cs="宋体"/>
                <w:kern w:val="0"/>
                <w:sz w:val="24"/>
                <w:szCs w:val="24"/>
                <w:highlight w:val="none"/>
                <w:lang w:val="en-US" w:eastAsia="zh-CN"/>
              </w:rPr>
              <w:t>3</w:t>
            </w:r>
            <w:r>
              <w:rPr>
                <w:rFonts w:hint="eastAsia" w:ascii="宋体" w:hAnsi="宋体" w:eastAsia="宋体" w:cs="宋体"/>
                <w:kern w:val="0"/>
                <w:sz w:val="24"/>
                <w:szCs w:val="24"/>
                <w:highlight w:val="none"/>
                <w:lang w:val="en-US" w:eastAsia="zh-CN"/>
              </w:rPr>
              <w:t>-</w:t>
            </w:r>
            <w:r>
              <w:rPr>
                <w:rFonts w:hint="eastAsia" w:ascii="宋体" w:hAnsi="宋体" w:cs="宋体"/>
                <w:kern w:val="0"/>
                <w:sz w:val="24"/>
                <w:szCs w:val="24"/>
                <w:highlight w:val="none"/>
                <w:lang w:val="en-US" w:eastAsia="zh-CN"/>
              </w:rPr>
              <w:t>4</w:t>
            </w:r>
            <w:r>
              <w:rPr>
                <w:rFonts w:hint="eastAsia" w:ascii="宋体" w:hAnsi="宋体" w:eastAsia="宋体" w:cs="宋体"/>
                <w:kern w:val="0"/>
                <w:sz w:val="24"/>
                <w:szCs w:val="24"/>
                <w:highlight w:val="none"/>
                <w:lang w:val="en-US" w:eastAsia="zh-CN"/>
              </w:rPr>
              <w:t>分，一般得</w:t>
            </w:r>
            <w:r>
              <w:rPr>
                <w:rFonts w:hint="eastAsia" w:ascii="宋体" w:hAnsi="宋体" w:cs="宋体"/>
                <w:kern w:val="0"/>
                <w:sz w:val="24"/>
                <w:szCs w:val="24"/>
                <w:highlight w:val="none"/>
                <w:lang w:val="en-US" w:eastAsia="zh-CN"/>
              </w:rPr>
              <w:t>1</w:t>
            </w:r>
            <w:r>
              <w:rPr>
                <w:rFonts w:hint="eastAsia" w:ascii="宋体" w:hAnsi="宋体" w:eastAsia="宋体" w:cs="宋体"/>
                <w:kern w:val="0"/>
                <w:sz w:val="24"/>
                <w:szCs w:val="24"/>
                <w:highlight w:val="none"/>
                <w:lang w:val="en-US" w:eastAsia="zh-CN"/>
              </w:rPr>
              <w:t>-</w:t>
            </w:r>
            <w:r>
              <w:rPr>
                <w:rFonts w:hint="eastAsia" w:ascii="宋体" w:hAnsi="宋体" w:cs="宋体"/>
                <w:kern w:val="0"/>
                <w:sz w:val="24"/>
                <w:szCs w:val="24"/>
                <w:highlight w:val="none"/>
                <w:lang w:val="en-US" w:eastAsia="zh-CN"/>
              </w:rPr>
              <w:t>2</w:t>
            </w:r>
            <w:r>
              <w:rPr>
                <w:rFonts w:hint="eastAsia" w:ascii="宋体" w:hAnsi="宋体" w:eastAsia="宋体" w:cs="宋体"/>
                <w:kern w:val="0"/>
                <w:sz w:val="24"/>
                <w:szCs w:val="24"/>
                <w:highlight w:val="none"/>
                <w:lang w:val="en-US" w:eastAsia="zh-CN"/>
              </w:rPr>
              <w:t>分</w:t>
            </w:r>
            <w:r>
              <w:rPr>
                <w:rFonts w:hint="eastAsia"/>
                <w:lang w:eastAsia="zh-CN"/>
              </w:rPr>
              <w:t>。</w:t>
            </w:r>
            <w:r>
              <w:rPr>
                <w:rFonts w:hint="eastAsia"/>
                <w:lang w:val="en-US" w:eastAsia="zh-CN"/>
              </w:rPr>
              <w:t>4.其他：1分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eastAsia="宋体" w:cs="Times New Roman"/>
                <w:kern w:val="0"/>
                <w:sz w:val="24"/>
                <w:szCs w:val="24"/>
                <w:highlight w:val="none"/>
                <w:lang w:val="en-US" w:eastAsia="zh-CN"/>
              </w:rPr>
            </w:pPr>
            <w:r>
              <w:rPr>
                <w:rFonts w:hint="eastAsia" w:ascii="Times New Roman" w:hAnsi="Times New Roman" w:eastAsia="宋体" w:cs="Times New Roman"/>
                <w:kern w:val="0"/>
                <w:sz w:val="24"/>
                <w:szCs w:val="24"/>
                <w:highlight w:val="none"/>
                <w:lang w:val="en-US" w:eastAsia="zh-CN"/>
              </w:rPr>
              <w:t>2.2.4（3）</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tc>
        <w:tc>
          <w:tcPr>
            <w:tcW w:w="997"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宋体" w:hAnsi="宋体" w:eastAsia="宋体" w:cs="宋体"/>
                <w:i w:val="0"/>
                <w:iCs w:val="0"/>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投标报价（60分）</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i w:val="0"/>
                <w:iCs w:val="0"/>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投标报价</w:t>
            </w:r>
            <w:r>
              <w:rPr>
                <w:rFonts w:hint="eastAsia" w:ascii="宋体" w:hAnsi="宋体" w:eastAsia="宋体" w:cs="宋体"/>
                <w:kern w:val="0"/>
                <w:sz w:val="24"/>
                <w:szCs w:val="24"/>
                <w:highlight w:val="none"/>
                <w:lang w:val="en-US" w:eastAsia="zh-CN"/>
              </w:rPr>
              <w:t>（60分）</w:t>
            </w:r>
          </w:p>
        </w:tc>
        <w:tc>
          <w:tcPr>
            <w:tcW w:w="4882" w:type="dxa"/>
            <w:tcBorders>
              <w:top w:val="single" w:color="auto" w:sz="4" w:space="0"/>
              <w:left w:val="single" w:color="auto" w:sz="4" w:space="0"/>
              <w:bottom w:val="single" w:color="auto" w:sz="4" w:space="0"/>
              <w:right w:val="single" w:color="auto" w:sz="4" w:space="0"/>
            </w:tcBorders>
            <w:noWrap w:val="0"/>
            <w:vAlign w:val="center"/>
          </w:tcPr>
          <w:p>
            <w:pPr>
              <w:pStyle w:val="10"/>
              <w:spacing w:before="72" w:line="240" w:lineRule="auto"/>
              <w:ind w:left="128" w:right="48" w:firstLine="480" w:firstLineChars="200"/>
              <w:jc w:val="both"/>
              <w:rPr>
                <w:rFonts w:hint="eastAsia"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取所有有效投标报价的算术平均值作为评标基准价（5家及以上去掉一个最高价和最低价），各投标人的投标报价得分按以下公式计算：</w:t>
            </w:r>
          </w:p>
          <w:p>
            <w:pPr>
              <w:pStyle w:val="10"/>
              <w:spacing w:before="72" w:line="240" w:lineRule="auto"/>
              <w:ind w:left="128" w:right="48"/>
              <w:jc w:val="both"/>
              <w:rPr>
                <w:rFonts w:hint="eastAsia"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（1）投标人的投标报价等于评标基准价得60分；</w:t>
            </w:r>
          </w:p>
          <w:p>
            <w:pPr>
              <w:pStyle w:val="10"/>
              <w:spacing w:before="72" w:line="240" w:lineRule="auto"/>
              <w:ind w:left="128" w:right="48"/>
              <w:jc w:val="both"/>
              <w:rPr>
                <w:rFonts w:hint="eastAsia"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（2）投标人的投标报价高于评标基准价：60-（投标人投标报价-评标基准价）/评标基准价*100*0.5；</w:t>
            </w:r>
          </w:p>
          <w:p>
            <w:pPr>
              <w:pStyle w:val="10"/>
              <w:spacing w:before="72" w:line="240" w:lineRule="auto"/>
              <w:ind w:left="128" w:right="48"/>
              <w:jc w:val="both"/>
              <w:rPr>
                <w:rFonts w:hint="eastAsia"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（3）投标人的投标报价低于评标基准价：60+（投标人投标报价-评标基准价）/评标基准价*100*0.3。</w:t>
            </w:r>
          </w:p>
          <w:p>
            <w:pPr>
              <w:pStyle w:val="10"/>
              <w:spacing w:before="72" w:line="240" w:lineRule="auto"/>
              <w:ind w:left="128" w:leftChars="0" w:right="48" w:rightChars="0"/>
              <w:jc w:val="both"/>
              <w:rPr>
                <w:rFonts w:hint="eastAsia" w:ascii="宋体" w:hAnsi="宋体" w:eastAsia="宋体" w:cs="宋体"/>
                <w:i w:val="0"/>
                <w:iCs w:val="0"/>
                <w:kern w:val="0"/>
                <w:sz w:val="24"/>
                <w:szCs w:val="24"/>
                <w:highlight w:val="none"/>
                <w:lang w:val="en-US" w:eastAsia="zh-CN"/>
              </w:rPr>
            </w:pPr>
            <w:r>
              <w:rPr>
                <w:rFonts w:hint="eastAsia" w:ascii="宋体" w:hAnsi="宋体" w:eastAsia="宋体" w:cs="宋体"/>
                <w:kern w:val="0"/>
                <w:sz w:val="24"/>
                <w:szCs w:val="24"/>
                <w:highlight w:val="none"/>
                <w:lang w:val="en-US" w:eastAsia="zh-CN"/>
              </w:rPr>
              <w:t>最多扣10分，最终计算结果四舍五入保留两位小数。</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宋体" w:cs="Times New Roman"/>
          <w:b/>
          <w:bCs/>
          <w:kern w:val="0"/>
          <w:sz w:val="28"/>
          <w:szCs w:val="28"/>
          <w:highlight w:val="none"/>
          <w:lang w:val="en-US"/>
        </w:rPr>
      </w:pPr>
      <w:r>
        <w:rPr>
          <w:rFonts w:hint="default" w:ascii="Times New Roman" w:hAnsi="Times New Roman" w:eastAsia="黑体" w:cs="Times New Roman"/>
          <w:sz w:val="21"/>
          <w:szCs w:val="21"/>
          <w:u w:val="none"/>
          <w:lang w:val="en-US" w:eastAsia="zh-CN"/>
        </w:rPr>
        <w:t>说明</w:t>
      </w:r>
      <w:r>
        <w:rPr>
          <w:rFonts w:hint="default" w:ascii="Times New Roman" w:hAnsi="Times New Roman" w:eastAsia="宋体" w:cs="Times New Roman"/>
          <w:sz w:val="21"/>
          <w:szCs w:val="21"/>
          <w:u w:val="none"/>
          <w:lang w:val="en-US" w:eastAsia="zh-CN"/>
        </w:rPr>
        <w:t>：评分区间一律按左闭右开</w:t>
      </w:r>
      <w:r>
        <w:rPr>
          <w:rFonts w:hint="default" w:ascii="Times New Roman" w:hAnsi="Times New Roman" w:cs="Times New Roman"/>
          <w:sz w:val="21"/>
          <w:szCs w:val="21"/>
          <w:u w:val="none"/>
          <w:lang w:val="en-US" w:eastAsia="zh-CN"/>
        </w:rPr>
        <w:t>计算</w:t>
      </w:r>
      <w:r>
        <w:rPr>
          <w:rFonts w:hint="eastAsia" w:ascii="Times New Roman" w:hAnsi="Times New Roman" w:cs="Times New Roman"/>
          <w:sz w:val="21"/>
          <w:szCs w:val="21"/>
          <w:u w:val="none"/>
          <w:lang w:val="en-US" w:eastAsia="zh-CN"/>
        </w:rPr>
        <w:t>，评分保留2位小数。</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宋体" w:cs="Times New Roman"/>
          <w:b/>
          <w:bCs/>
          <w:kern w:val="0"/>
          <w:sz w:val="28"/>
          <w:szCs w:val="28"/>
          <w:highlight w:val="none"/>
        </w:rPr>
      </w:pPr>
    </w:p>
    <w:p>
      <w:pPr>
        <w:rPr>
          <w:rFonts w:hint="default" w:ascii="Times New Roman" w:hAnsi="Times New Roman" w:eastAsia="宋体" w:cs="Times New Roman"/>
          <w:b/>
          <w:bCs/>
          <w:kern w:val="0"/>
          <w:sz w:val="28"/>
          <w:szCs w:val="28"/>
          <w:highlight w:val="none"/>
        </w:rPr>
      </w:pPr>
      <w:r>
        <w:rPr>
          <w:rFonts w:hint="default" w:ascii="Times New Roman" w:hAnsi="Times New Roman" w:eastAsia="宋体" w:cs="Times New Roman"/>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eastAsia="宋体" w:cs="Times New Roman"/>
          <w:kern w:val="0"/>
          <w:sz w:val="24"/>
          <w:szCs w:val="24"/>
          <w:highlight w:val="none"/>
          <w:lang w:val="en-US" w:eastAsia="zh-CN"/>
        </w:rPr>
      </w:pPr>
      <w:r>
        <w:rPr>
          <w:rFonts w:hint="default" w:ascii="Times New Roman" w:hAnsi="Times New Roman" w:eastAsia="宋体" w:cs="Times New Roman"/>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宋体" w:cs="Times New Roman"/>
          <w:b/>
          <w:bCs/>
          <w:kern w:val="0"/>
          <w:sz w:val="28"/>
          <w:szCs w:val="28"/>
          <w:highlight w:val="none"/>
        </w:rPr>
      </w:pPr>
      <w:bookmarkStart w:id="24" w:name="_Toc144974557"/>
      <w:bookmarkStart w:id="25" w:name="_Toc247085748"/>
      <w:bookmarkStart w:id="26" w:name="_Toc296602478"/>
      <w:bookmarkStart w:id="27" w:name="_Toc152045590"/>
      <w:bookmarkStart w:id="28" w:name="_Toc246996976"/>
      <w:bookmarkStart w:id="29" w:name="_Toc152042367"/>
      <w:bookmarkStart w:id="30" w:name="_Toc179632608"/>
      <w:bookmarkStart w:id="31" w:name="_Toc246996233"/>
      <w:r>
        <w:rPr>
          <w:rFonts w:hint="default" w:ascii="Times New Roman" w:hAnsi="Times New Roman" w:eastAsia="宋体" w:cs="Times New Roman"/>
          <w:b/>
          <w:bCs/>
          <w:kern w:val="0"/>
          <w:sz w:val="28"/>
          <w:szCs w:val="28"/>
          <w:highlight w:val="none"/>
        </w:rPr>
        <w:t>2. 评审标准</w:t>
      </w:r>
      <w:bookmarkEnd w:id="24"/>
      <w:bookmarkEnd w:id="25"/>
      <w:bookmarkEnd w:id="26"/>
      <w:bookmarkEnd w:id="27"/>
      <w:bookmarkEnd w:id="28"/>
      <w:bookmarkEnd w:id="29"/>
      <w:bookmarkEnd w:id="30"/>
      <w:bookmarkEnd w:id="31"/>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宋体" w:cs="Times New Roman"/>
          <w:b/>
          <w:bCs/>
          <w:kern w:val="0"/>
          <w:sz w:val="28"/>
          <w:szCs w:val="28"/>
          <w:highlight w:val="none"/>
        </w:rPr>
      </w:pPr>
      <w:bookmarkStart w:id="32" w:name="_Toc246996977"/>
      <w:bookmarkStart w:id="33" w:name="_Toc247085749"/>
      <w:bookmarkStart w:id="34" w:name="_Toc296602479"/>
      <w:bookmarkStart w:id="35" w:name="_Toc179632609"/>
      <w:bookmarkStart w:id="36" w:name="_Toc152045591"/>
      <w:bookmarkStart w:id="37" w:name="_Toc144974558"/>
      <w:bookmarkStart w:id="38" w:name="_Toc152042368"/>
      <w:bookmarkStart w:id="39" w:name="_Toc246996234"/>
      <w:r>
        <w:rPr>
          <w:rFonts w:hint="default" w:ascii="Times New Roman" w:hAnsi="Times New Roman" w:eastAsia="宋体" w:cs="Times New Roman"/>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eastAsia="宋体" w:cs="Times New Roman"/>
          <w:b/>
          <w:bCs/>
          <w:kern w:val="0"/>
          <w:sz w:val="28"/>
          <w:szCs w:val="28"/>
          <w:highlight w:val="none"/>
        </w:rPr>
        <w:t>评审标准</w:t>
      </w:r>
      <w:bookmarkEnd w:id="32"/>
      <w:bookmarkEnd w:id="33"/>
      <w:bookmarkEnd w:id="34"/>
      <w:bookmarkEnd w:id="35"/>
      <w:bookmarkEnd w:id="36"/>
      <w:bookmarkEnd w:id="37"/>
      <w:bookmarkEnd w:id="38"/>
      <w:bookmarkEnd w:id="3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宋体" w:cs="Times New Roman"/>
          <w:b/>
          <w:bCs/>
          <w:kern w:val="0"/>
          <w:sz w:val="28"/>
          <w:szCs w:val="28"/>
          <w:highlight w:val="none"/>
          <w:lang w:val="en-US"/>
        </w:rPr>
      </w:pPr>
      <w:bookmarkStart w:id="40" w:name="_Toc179632611"/>
      <w:bookmarkStart w:id="41" w:name="_Toc247085751"/>
      <w:bookmarkStart w:id="42" w:name="_Toc296602481"/>
      <w:bookmarkStart w:id="43" w:name="_Toc246996979"/>
      <w:bookmarkStart w:id="44" w:name="_Toc144974560"/>
      <w:bookmarkStart w:id="45" w:name="_Toc152045593"/>
      <w:bookmarkStart w:id="46" w:name="_Toc152042370"/>
      <w:bookmarkStart w:id="47" w:name="_Toc246996236"/>
      <w:r>
        <w:rPr>
          <w:rFonts w:hint="default" w:ascii="Times New Roman" w:hAnsi="Times New Roman" w:eastAsia="宋体" w:cs="Times New Roman"/>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eastAsia="宋体" w:cs="Times New Roman"/>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eastAsia="宋体" w:cs="Times New Roman"/>
          <w:kern w:val="0"/>
          <w:sz w:val="24"/>
          <w:szCs w:val="24"/>
          <w:highlight w:val="yellow"/>
        </w:rPr>
      </w:pPr>
      <w:r>
        <w:rPr>
          <w:rFonts w:hint="default" w:ascii="Times New Roman" w:hAnsi="Times New Roman" w:eastAsia="宋体" w:cs="Times New Roman"/>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（1）</w:t>
      </w:r>
      <w:r>
        <w:rPr>
          <w:rFonts w:hint="eastAsia" w:ascii="Times New Roman" w:hAnsi="Times New Roman" w:cs="Times New Roman"/>
          <w:kern w:val="0"/>
          <w:sz w:val="24"/>
          <w:szCs w:val="24"/>
          <w:highlight w:val="none"/>
          <w:lang w:val="en-US" w:eastAsia="zh-CN"/>
        </w:rPr>
        <w:t>商务部分</w:t>
      </w:r>
      <w:r>
        <w:rPr>
          <w:rFonts w:hint="default" w:ascii="Times New Roman" w:hAnsi="Times New Roman" w:eastAsia="宋体" w:cs="Times New Roman"/>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（2）</w:t>
      </w:r>
      <w:r>
        <w:rPr>
          <w:rFonts w:hint="eastAsia" w:ascii="Times New Roman" w:hAnsi="Times New Roman" w:cs="Times New Roman"/>
          <w:kern w:val="0"/>
          <w:sz w:val="24"/>
          <w:szCs w:val="24"/>
          <w:highlight w:val="none"/>
          <w:lang w:val="en-US" w:eastAsia="zh-CN"/>
        </w:rPr>
        <w:t>技术部分</w:t>
      </w:r>
      <w:r>
        <w:rPr>
          <w:rFonts w:hint="default" w:ascii="Times New Roman" w:hAnsi="Times New Roman" w:eastAsia="宋体" w:cs="Times New Roman"/>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w:t>
      </w:r>
      <w:r>
        <w:rPr>
          <w:rFonts w:hint="eastAsia" w:ascii="Times New Roman" w:hAnsi="Times New Roman" w:eastAsia="宋体" w:cs="Times New Roman"/>
          <w:kern w:val="0"/>
          <w:sz w:val="24"/>
          <w:szCs w:val="24"/>
          <w:highlight w:val="none"/>
          <w:lang w:val="en-US" w:eastAsia="zh-CN"/>
        </w:rPr>
        <w:t>3</w:t>
      </w:r>
      <w:r>
        <w:rPr>
          <w:rFonts w:hint="default" w:ascii="Times New Roman" w:hAnsi="Times New Roman" w:eastAsia="宋体" w:cs="Times New Roman"/>
          <w:kern w:val="0"/>
          <w:sz w:val="24"/>
          <w:szCs w:val="24"/>
          <w:highlight w:val="none"/>
        </w:rPr>
        <w:t>）</w:t>
      </w:r>
      <w:r>
        <w:rPr>
          <w:rFonts w:hint="eastAsia" w:ascii="Times New Roman" w:hAnsi="Times New Roman" w:eastAsia="宋体" w:cs="Times New Roman"/>
          <w:kern w:val="0"/>
          <w:sz w:val="24"/>
          <w:szCs w:val="24"/>
          <w:highlight w:val="none"/>
          <w:lang w:val="en-US" w:eastAsia="zh-CN"/>
        </w:rPr>
        <w:t>投标报价</w:t>
      </w:r>
      <w:r>
        <w:rPr>
          <w:rFonts w:hint="default" w:ascii="Times New Roman" w:hAnsi="Times New Roman" w:eastAsia="宋体" w:cs="Times New Roman"/>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eastAsia="宋体" w:cs="Times New Roman"/>
          <w:color w:val="000000"/>
          <w:kern w:val="0"/>
          <w:sz w:val="24"/>
          <w:szCs w:val="24"/>
          <w:highlight w:val="none"/>
        </w:rPr>
      </w:pPr>
      <w:r>
        <w:rPr>
          <w:rFonts w:hint="default" w:ascii="Times New Roman" w:hAnsi="Times New Roman" w:eastAsia="宋体" w:cs="Times New Roman"/>
          <w:kern w:val="0"/>
          <w:sz w:val="24"/>
          <w:szCs w:val="24"/>
          <w:highlight w:val="none"/>
        </w:rPr>
        <w:t>（1）</w:t>
      </w:r>
      <w:r>
        <w:rPr>
          <w:rFonts w:hint="eastAsia" w:ascii="Times New Roman" w:hAnsi="Times New Roman" w:cs="Times New Roman"/>
          <w:color w:val="000000"/>
          <w:kern w:val="0"/>
          <w:sz w:val="24"/>
          <w:szCs w:val="24"/>
          <w:highlight w:val="none"/>
          <w:lang w:val="en-US" w:eastAsia="zh-CN"/>
        </w:rPr>
        <w:t>商务部分</w:t>
      </w:r>
      <w:r>
        <w:rPr>
          <w:rFonts w:hint="eastAsia" w:ascii="Times New Roman" w:hAnsi="Times New Roman" w:eastAsia="宋体" w:cs="Times New Roman"/>
          <w:color w:val="000000"/>
          <w:kern w:val="0"/>
          <w:sz w:val="24"/>
          <w:szCs w:val="24"/>
          <w:highlight w:val="none"/>
          <w:lang w:val="en-US" w:eastAsia="zh-CN"/>
        </w:rPr>
        <w:t>评分标准</w:t>
      </w:r>
      <w:r>
        <w:rPr>
          <w:rFonts w:hint="default" w:ascii="Times New Roman" w:hAnsi="Times New Roman" w:eastAsia="宋体" w:cs="Times New Roman"/>
          <w:color w:val="000000"/>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eastAsia="宋体" w:cs="Times New Roman"/>
          <w:color w:val="000000"/>
          <w:kern w:val="0"/>
          <w:sz w:val="24"/>
          <w:szCs w:val="24"/>
          <w:highlight w:val="none"/>
        </w:rPr>
      </w:pPr>
      <w:r>
        <w:rPr>
          <w:rFonts w:hint="default" w:ascii="Times New Roman" w:hAnsi="Times New Roman" w:eastAsia="宋体" w:cs="Times New Roman"/>
          <w:color w:val="000000"/>
          <w:kern w:val="0"/>
          <w:sz w:val="24"/>
          <w:szCs w:val="24"/>
          <w:highlight w:val="none"/>
        </w:rPr>
        <w:t>（2）</w:t>
      </w:r>
      <w:r>
        <w:rPr>
          <w:rFonts w:hint="eastAsia" w:ascii="Times New Roman" w:hAnsi="Times New Roman" w:cs="Times New Roman"/>
          <w:color w:val="000000"/>
          <w:kern w:val="0"/>
          <w:sz w:val="24"/>
          <w:szCs w:val="24"/>
          <w:highlight w:val="none"/>
          <w:lang w:val="en-US" w:eastAsia="zh-CN"/>
        </w:rPr>
        <w:t>技术部分</w:t>
      </w:r>
      <w:r>
        <w:rPr>
          <w:rFonts w:hint="eastAsia" w:ascii="Times New Roman" w:hAnsi="Times New Roman" w:eastAsia="宋体" w:cs="Times New Roman"/>
          <w:color w:val="000000"/>
          <w:kern w:val="0"/>
          <w:sz w:val="24"/>
          <w:szCs w:val="24"/>
          <w:highlight w:val="none"/>
          <w:lang w:val="en-US" w:eastAsia="zh-CN"/>
        </w:rPr>
        <w:t>评分标准</w:t>
      </w:r>
      <w:r>
        <w:rPr>
          <w:rFonts w:hint="default" w:ascii="Times New Roman" w:hAnsi="Times New Roman" w:eastAsia="宋体" w:cs="Times New Roman"/>
          <w:color w:val="000000"/>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eastAsia="宋体" w:cs="Times New Roman"/>
          <w:color w:val="000000"/>
          <w:kern w:val="0"/>
          <w:sz w:val="24"/>
          <w:szCs w:val="24"/>
          <w:highlight w:val="none"/>
        </w:rPr>
      </w:pPr>
      <w:r>
        <w:rPr>
          <w:rFonts w:hint="default" w:ascii="Times New Roman" w:hAnsi="Times New Roman" w:eastAsia="宋体" w:cs="Times New Roman"/>
          <w:color w:val="000000"/>
          <w:kern w:val="0"/>
          <w:sz w:val="24"/>
          <w:szCs w:val="24"/>
          <w:highlight w:val="none"/>
        </w:rPr>
        <w:t>（</w:t>
      </w:r>
      <w:r>
        <w:rPr>
          <w:rFonts w:hint="eastAsia" w:ascii="Times New Roman" w:hAnsi="Times New Roman" w:eastAsia="宋体" w:cs="Times New Roman"/>
          <w:color w:val="000000"/>
          <w:kern w:val="0"/>
          <w:sz w:val="24"/>
          <w:szCs w:val="24"/>
          <w:highlight w:val="none"/>
          <w:lang w:val="en-US" w:eastAsia="zh-CN"/>
        </w:rPr>
        <w:t>3</w:t>
      </w:r>
      <w:r>
        <w:rPr>
          <w:rFonts w:hint="default" w:ascii="Times New Roman" w:hAnsi="Times New Roman" w:eastAsia="宋体" w:cs="Times New Roman"/>
          <w:color w:val="000000"/>
          <w:kern w:val="0"/>
          <w:sz w:val="24"/>
          <w:szCs w:val="24"/>
          <w:highlight w:val="none"/>
        </w:rPr>
        <w:t>）</w:t>
      </w:r>
      <w:r>
        <w:rPr>
          <w:rFonts w:hint="eastAsia" w:ascii="Times New Roman" w:hAnsi="Times New Roman" w:eastAsia="宋体" w:cs="Times New Roman"/>
          <w:color w:val="000000"/>
          <w:kern w:val="0"/>
          <w:sz w:val="24"/>
          <w:szCs w:val="24"/>
          <w:highlight w:val="none"/>
          <w:lang w:val="en-US" w:eastAsia="zh-CN"/>
        </w:rPr>
        <w:t>投标报价评分标准</w:t>
      </w:r>
      <w:r>
        <w:rPr>
          <w:rFonts w:hint="default" w:ascii="Times New Roman" w:hAnsi="Times New Roman" w:eastAsia="宋体" w:cs="Times New Roman"/>
          <w:color w:val="000000"/>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宋体" w:cs="Times New Roman"/>
          <w:b/>
          <w:bCs/>
          <w:kern w:val="0"/>
          <w:sz w:val="28"/>
          <w:szCs w:val="28"/>
          <w:highlight w:val="none"/>
        </w:rPr>
      </w:pPr>
      <w:r>
        <w:rPr>
          <w:rFonts w:hint="default" w:ascii="Times New Roman" w:hAnsi="Times New Roman" w:eastAsia="宋体" w:cs="Times New Roman"/>
          <w:b/>
          <w:bCs/>
          <w:kern w:val="0"/>
          <w:sz w:val="28"/>
          <w:szCs w:val="28"/>
          <w:highlight w:val="none"/>
        </w:rPr>
        <w:t>3. 评标程序</w:t>
      </w:r>
      <w:bookmarkEnd w:id="40"/>
      <w:bookmarkEnd w:id="41"/>
      <w:bookmarkEnd w:id="42"/>
      <w:bookmarkEnd w:id="43"/>
      <w:bookmarkEnd w:id="44"/>
      <w:bookmarkEnd w:id="45"/>
      <w:bookmarkEnd w:id="46"/>
      <w:bookmarkEnd w:id="47"/>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宋体" w:cs="Times New Roman"/>
          <w:b/>
          <w:bCs/>
          <w:kern w:val="0"/>
          <w:sz w:val="28"/>
          <w:szCs w:val="28"/>
          <w:highlight w:val="none"/>
        </w:rPr>
      </w:pPr>
      <w:bookmarkStart w:id="48" w:name="_Toc246996237"/>
      <w:bookmarkStart w:id="49" w:name="_Toc246996980"/>
      <w:bookmarkStart w:id="50" w:name="_Toc152042371"/>
      <w:bookmarkStart w:id="51" w:name="_Toc144974561"/>
      <w:bookmarkStart w:id="52" w:name="_Toc296602482"/>
      <w:bookmarkStart w:id="53" w:name="_Toc152045594"/>
      <w:bookmarkStart w:id="54" w:name="_Toc179632612"/>
      <w:bookmarkStart w:id="55" w:name="_Toc247085752"/>
      <w:r>
        <w:rPr>
          <w:rFonts w:hint="default" w:ascii="Times New Roman" w:hAnsi="Times New Roman" w:eastAsia="宋体" w:cs="Times New Roman"/>
          <w:b/>
          <w:bCs/>
          <w:kern w:val="0"/>
          <w:sz w:val="28"/>
          <w:szCs w:val="28"/>
          <w:highlight w:val="none"/>
        </w:rPr>
        <w:t>3.1 初步评审</w:t>
      </w:r>
      <w:bookmarkEnd w:id="48"/>
      <w:bookmarkEnd w:id="49"/>
      <w:bookmarkEnd w:id="50"/>
      <w:bookmarkEnd w:id="51"/>
      <w:bookmarkEnd w:id="52"/>
      <w:bookmarkEnd w:id="53"/>
      <w:bookmarkEnd w:id="54"/>
      <w:bookmarkEnd w:id="55"/>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eastAsia="宋体" w:cs="Times New Roman"/>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w:t>
      </w:r>
      <w:r>
        <w:rPr>
          <w:rFonts w:hint="default" w:ascii="Times New Roman" w:hAnsi="Times New Roman" w:eastAsia="宋体" w:cs="Times New Roman"/>
          <w:kern w:val="0"/>
          <w:sz w:val="24"/>
          <w:szCs w:val="24"/>
          <w:highlight w:val="none"/>
        </w:rPr>
        <w:t>有关证明和证件的原件，以便核验。评标委员会依据本章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eastAsia="宋体" w:cs="Times New Roman"/>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eastAsia="宋体" w:cs="Times New Roman"/>
          <w:kern w:val="0"/>
          <w:sz w:val="24"/>
          <w:szCs w:val="24"/>
          <w:highlight w:val="none"/>
        </w:rPr>
        <w:t>（1）</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eastAsia="宋体" w:cs="Times New Roman"/>
          <w:kern w:val="0"/>
          <w:sz w:val="24"/>
          <w:szCs w:val="24"/>
          <w:highlight w:val="none"/>
        </w:rPr>
        <w:t>）不按评标委员会要求澄清、说明或补正的。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eastAsia="宋体" w:cs="Times New Roman"/>
          <w:kern w:val="0"/>
          <w:sz w:val="24"/>
          <w:szCs w:val="24"/>
          <w:highlight w:val="none"/>
        </w:rPr>
        <w:t>3.1.3投标报价有算术错误的，评标委员会按以下原则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eastAsia="宋体" w:cs="Times New Roman"/>
          <w:kern w:val="0"/>
          <w:sz w:val="24"/>
          <w:szCs w:val="24"/>
          <w:highlight w:val="none"/>
          <w:lang w:val="en-US" w:eastAsia="zh-CN"/>
        </w:rPr>
      </w:pPr>
      <w:r>
        <w:rPr>
          <w:rFonts w:hint="default" w:ascii="Times New Roman" w:hAnsi="Times New Roman" w:eastAsia="宋体" w:cs="Times New Roman"/>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宋体" w:cs="Times New Roman"/>
          <w:b/>
          <w:bCs/>
          <w:kern w:val="0"/>
          <w:sz w:val="28"/>
          <w:szCs w:val="28"/>
          <w:highlight w:val="none"/>
        </w:rPr>
      </w:pPr>
      <w:bookmarkStart w:id="56" w:name="_Toc152042372"/>
      <w:bookmarkStart w:id="57" w:name="_Toc144974562"/>
      <w:bookmarkStart w:id="58" w:name="_Toc246996238"/>
      <w:bookmarkStart w:id="59" w:name="_Toc296602483"/>
      <w:bookmarkStart w:id="60" w:name="_Toc152045595"/>
      <w:bookmarkStart w:id="61" w:name="_Toc246996981"/>
      <w:bookmarkStart w:id="62" w:name="_Toc179632613"/>
      <w:bookmarkStart w:id="63" w:name="_Toc247085753"/>
      <w:r>
        <w:rPr>
          <w:rFonts w:hint="default" w:ascii="Times New Roman" w:hAnsi="Times New Roman" w:eastAsia="宋体" w:cs="Times New Roman"/>
          <w:b/>
          <w:bCs/>
          <w:kern w:val="0"/>
          <w:sz w:val="28"/>
          <w:szCs w:val="28"/>
          <w:highlight w:val="none"/>
        </w:rPr>
        <w:t>3.2 详细评审</w:t>
      </w:r>
      <w:bookmarkEnd w:id="56"/>
      <w:bookmarkEnd w:id="57"/>
      <w:bookmarkEnd w:id="58"/>
      <w:bookmarkEnd w:id="59"/>
      <w:bookmarkEnd w:id="60"/>
      <w:bookmarkEnd w:id="61"/>
      <w:bookmarkEnd w:id="62"/>
      <w:bookmarkEnd w:id="63"/>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eastAsia="宋体" w:cs="Times New Roman"/>
          <w:kern w:val="0"/>
          <w:sz w:val="24"/>
          <w:szCs w:val="24"/>
          <w:highlight w:val="none"/>
        </w:rPr>
      </w:pPr>
      <w:bookmarkStart w:id="64" w:name="_Toc144974563"/>
      <w:bookmarkStart w:id="65" w:name="_Toc247085754"/>
      <w:bookmarkStart w:id="66" w:name="_Toc152045596"/>
      <w:bookmarkStart w:id="67" w:name="_Toc246996239"/>
      <w:bookmarkStart w:id="68" w:name="_Toc179632614"/>
      <w:bookmarkStart w:id="69" w:name="_Toc152042373"/>
      <w:bookmarkStart w:id="70" w:name="_Toc296602484"/>
      <w:bookmarkStart w:id="71" w:name="_Toc246996982"/>
      <w:r>
        <w:rPr>
          <w:rFonts w:hint="default" w:ascii="Times New Roman" w:hAnsi="Times New Roman" w:eastAsia="宋体" w:cs="Times New Roman"/>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eastAsia="宋体" w:cs="Times New Roman"/>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（1）按本章</w:t>
      </w:r>
      <w:r>
        <w:rPr>
          <w:rFonts w:hint="eastAsia" w:ascii="Times New Roman" w:hAnsi="Times New Roman" w:cs="Times New Roman"/>
          <w:kern w:val="0"/>
          <w:sz w:val="24"/>
          <w:szCs w:val="24"/>
          <w:highlight w:val="none"/>
          <w:lang w:val="en-US" w:eastAsia="zh-CN"/>
        </w:rPr>
        <w:t>第2.2.4（1）目规定的评审因素和分值对</w:t>
      </w:r>
      <w:r>
        <w:rPr>
          <w:rFonts w:hint="eastAsia" w:ascii="Times New Roman" w:hAnsi="Times New Roman" w:cs="Times New Roman"/>
          <w:color w:val="000000"/>
          <w:kern w:val="0"/>
          <w:sz w:val="24"/>
          <w:szCs w:val="24"/>
          <w:highlight w:val="none"/>
          <w:lang w:val="en-US" w:eastAsia="zh-CN"/>
        </w:rPr>
        <w:t>商务部分</w:t>
      </w:r>
      <w:r>
        <w:rPr>
          <w:rFonts w:hint="eastAsia" w:ascii="Times New Roman" w:hAnsi="Times New Roman" w:cs="Times New Roman"/>
          <w:kern w:val="0"/>
          <w:sz w:val="24"/>
          <w:szCs w:val="24"/>
          <w:highlight w:val="none"/>
          <w:lang w:val="en-US" w:eastAsia="zh-CN"/>
        </w:rPr>
        <w:t>计算出得分A；</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第2.2.4（2）目规定的评审因素和分值对</w:t>
      </w:r>
      <w:r>
        <w:rPr>
          <w:rFonts w:hint="eastAsia" w:ascii="Times New Roman" w:hAnsi="Times New Roman" w:cs="Times New Roman"/>
          <w:color w:val="000000"/>
          <w:kern w:val="0"/>
          <w:sz w:val="24"/>
          <w:szCs w:val="24"/>
          <w:highlight w:val="none"/>
          <w:lang w:val="en-US" w:eastAsia="zh-CN"/>
        </w:rPr>
        <w:t>技术部分计算出得分B；</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kern w:val="0"/>
          <w:sz w:val="24"/>
          <w:szCs w:val="24"/>
          <w:highlight w:val="none"/>
          <w:lang w:val="en-US" w:eastAsia="zh-CN"/>
        </w:rPr>
      </w:pPr>
      <w:r>
        <w:rPr>
          <w:rFonts w:hint="default" w:ascii="Times New Roman" w:hAnsi="Times New Roman" w:cs="Times New Roman"/>
          <w:color w:val="000000"/>
          <w:kern w:val="0"/>
          <w:sz w:val="24"/>
          <w:szCs w:val="24"/>
          <w:highlight w:val="none"/>
          <w:lang w:val="en-US" w:eastAsia="zh-CN"/>
        </w:rPr>
        <w:t>（</w:t>
      </w:r>
      <w:r>
        <w:rPr>
          <w:rFonts w:hint="eastAsia" w:ascii="Times New Roman" w:hAnsi="Times New Roman" w:cs="Times New Roman"/>
          <w:color w:val="000000"/>
          <w:kern w:val="0"/>
          <w:sz w:val="24"/>
          <w:szCs w:val="24"/>
          <w:highlight w:val="none"/>
          <w:lang w:val="en-US" w:eastAsia="zh-CN"/>
        </w:rPr>
        <w:t>3</w:t>
      </w:r>
      <w:r>
        <w:rPr>
          <w:rFonts w:hint="default" w:ascii="Times New Roman" w:hAnsi="Times New Roman" w:cs="Times New Roman"/>
          <w:color w:val="000000"/>
          <w:kern w:val="0"/>
          <w:sz w:val="24"/>
          <w:szCs w:val="24"/>
          <w:highlight w:val="none"/>
          <w:lang w:val="en-US" w:eastAsia="zh-CN"/>
        </w:rPr>
        <w:t>）按本章</w:t>
      </w:r>
      <w:r>
        <w:rPr>
          <w:rFonts w:hint="eastAsia" w:ascii="Times New Roman" w:hAnsi="Times New Roman" w:cs="Times New Roman"/>
          <w:color w:val="000000"/>
          <w:kern w:val="0"/>
          <w:sz w:val="24"/>
          <w:szCs w:val="24"/>
          <w:highlight w:val="none"/>
          <w:lang w:val="en-US" w:eastAsia="zh-CN"/>
        </w:rPr>
        <w:t>第2.2.4（3）目规定的评审因素和分值对投标报价计算出得分C；</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3.2.2 评分分值计算保留小数点后两位，小数点后第三位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eastAsia="宋体" w:cs="Times New Roman"/>
          <w:kern w:val="0"/>
          <w:sz w:val="24"/>
          <w:szCs w:val="24"/>
          <w:highlight w:val="none"/>
        </w:rPr>
      </w:pPr>
      <w:r>
        <w:rPr>
          <w:rFonts w:hint="default" w:ascii="Times New Roman" w:hAnsi="Times New Roman" w:cs="Times New Roman"/>
          <w:kern w:val="0"/>
          <w:sz w:val="24"/>
          <w:szCs w:val="24"/>
          <w:highlight w:val="none"/>
          <w:lang w:val="en-US" w:eastAsia="zh-CN"/>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或者低于招标控制价的85%时，使得其投标报价可能低于其个别成本的，应当要求投标人作出书面说明并提供相应的证明材料。投标人</w:t>
      </w:r>
      <w:r>
        <w:rPr>
          <w:rFonts w:hint="default" w:ascii="Times New Roman" w:hAnsi="Times New Roman" w:eastAsia="宋体" w:cs="Times New Roman"/>
          <w:kern w:val="0"/>
          <w:sz w:val="24"/>
          <w:szCs w:val="24"/>
          <w:highlight w:val="none"/>
        </w:rPr>
        <w:t>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宋体" w:cs="Times New Roman"/>
          <w:b/>
          <w:bCs/>
          <w:kern w:val="0"/>
          <w:sz w:val="28"/>
          <w:szCs w:val="28"/>
          <w:highlight w:val="none"/>
        </w:rPr>
      </w:pPr>
      <w:r>
        <w:rPr>
          <w:rFonts w:hint="default" w:ascii="Times New Roman" w:hAnsi="Times New Roman" w:eastAsia="宋体" w:cs="Times New Roman"/>
          <w:b/>
          <w:bCs/>
          <w:kern w:val="0"/>
          <w:sz w:val="28"/>
          <w:szCs w:val="28"/>
          <w:highlight w:val="none"/>
        </w:rPr>
        <w:t>3.3 投标文件的澄清</w:t>
      </w:r>
      <w:bookmarkEnd w:id="64"/>
      <w:r>
        <w:rPr>
          <w:rFonts w:hint="default" w:ascii="Times New Roman" w:hAnsi="Times New Roman" w:eastAsia="宋体" w:cs="Times New Roman"/>
          <w:b/>
          <w:bCs/>
          <w:kern w:val="0"/>
          <w:sz w:val="28"/>
          <w:szCs w:val="28"/>
          <w:highlight w:val="none"/>
        </w:rPr>
        <w:t>和补正</w:t>
      </w:r>
      <w:bookmarkEnd w:id="65"/>
      <w:bookmarkEnd w:id="66"/>
      <w:bookmarkEnd w:id="67"/>
      <w:bookmarkEnd w:id="68"/>
      <w:bookmarkEnd w:id="69"/>
      <w:bookmarkEnd w:id="70"/>
      <w:bookmarkEnd w:id="7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eastAsia="宋体" w:cs="Times New Roman"/>
          <w:kern w:val="0"/>
          <w:sz w:val="24"/>
          <w:szCs w:val="24"/>
          <w:highlight w:val="none"/>
          <w:lang w:val="en-US" w:eastAsia="zh-CN"/>
        </w:rPr>
      </w:pPr>
      <w:r>
        <w:rPr>
          <w:rFonts w:hint="default" w:ascii="Times New Roman" w:hAnsi="Times New Roman" w:eastAsia="宋体" w:cs="Times New Roman"/>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eastAsia="宋体" w:cs="Times New Roman"/>
          <w:kern w:val="0"/>
          <w:sz w:val="24"/>
          <w:szCs w:val="24"/>
          <w:highlight w:val="none"/>
          <w:lang w:val="en-US" w:eastAsia="zh-CN"/>
        </w:rPr>
      </w:pPr>
      <w:r>
        <w:rPr>
          <w:rFonts w:hint="default" w:ascii="Times New Roman" w:hAnsi="Times New Roman" w:eastAsia="宋体" w:cs="Times New Roman"/>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eastAsia="宋体" w:cs="Times New Roman"/>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宋体" w:cs="Times New Roman"/>
          <w:b/>
          <w:bCs/>
          <w:kern w:val="0"/>
          <w:sz w:val="28"/>
          <w:szCs w:val="28"/>
          <w:highlight w:val="none"/>
          <w:lang w:val="en-US" w:eastAsia="zh-CN"/>
        </w:rPr>
      </w:pPr>
      <w:r>
        <w:rPr>
          <w:rFonts w:hint="eastAsia" w:ascii="Times New Roman" w:hAnsi="Times New Roman" w:eastAsia="宋体" w:cs="Times New Roman"/>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w:t>
      </w:r>
      <w:r>
        <w:rPr>
          <w:rFonts w:hint="eastAsia" w:ascii="Times New Roman" w:hAnsi="Times New Roman" w:cs="Times New Roman"/>
          <w:color w:val="auto"/>
          <w:kern w:val="0"/>
          <w:sz w:val="24"/>
          <w:szCs w:val="24"/>
          <w:highlight w:val="none"/>
          <w:lang w:val="en-US" w:eastAsia="zh-CN"/>
        </w:rPr>
        <w:t xml:space="preserve">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宋体" w:cs="Times New Roman"/>
          <w:b/>
          <w:bCs/>
          <w:kern w:val="0"/>
          <w:sz w:val="28"/>
          <w:szCs w:val="28"/>
          <w:highlight w:val="none"/>
        </w:rPr>
      </w:pPr>
      <w:r>
        <w:rPr>
          <w:rFonts w:hint="default" w:ascii="Times New Roman" w:hAnsi="Times New Roman" w:eastAsia="宋体" w:cs="Times New Roman"/>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eastAsia="宋体" w:cs="Times New Roman"/>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eastAsia="宋体" w:cs="Times New Roman"/>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eastAsia="宋体" w:cs="Times New Roman"/>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eastAsia="宋体" w:cs="Times New Roman"/>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eastAsia="宋体" w:cs="Times New Roman"/>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eastAsia="宋体" w:cs="Times New Roman"/>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宋体" w:hAnsi="宋体" w:eastAsia="宋体" w:cs="宋体"/>
          <w:b/>
          <w:bCs/>
          <w:sz w:val="32"/>
          <w:szCs w:val="32"/>
          <w:highlight w:val="none"/>
          <w:lang w:val="en-US" w:eastAsia="zh-CN"/>
        </w:rPr>
      </w:pPr>
      <w:r>
        <w:rPr>
          <w:rFonts w:hint="eastAsia" w:ascii="宋体" w:hAnsi="宋体" w:eastAsia="宋体" w:cs="宋体"/>
          <w:b/>
          <w:bCs/>
          <w:sz w:val="32"/>
          <w:szCs w:val="32"/>
          <w:highlight w:val="none"/>
          <w:lang w:val="en-US" w:eastAsia="zh-CN"/>
        </w:rPr>
        <w:t xml:space="preserve">第四章 </w:t>
      </w:r>
      <w:r>
        <w:rPr>
          <w:rFonts w:hint="default" w:ascii="宋体" w:hAnsi="宋体" w:eastAsia="宋体" w:cs="宋体"/>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宋体" w:hAnsi="宋体" w:eastAsia="宋体" w:cs="宋体"/>
          <w:b/>
          <w:bCs/>
          <w:sz w:val="32"/>
          <w:szCs w:val="32"/>
          <w:highlight w:val="none"/>
          <w:lang w:val="en-US" w:eastAsia="zh-CN"/>
        </w:rPr>
      </w:pPr>
      <w:r>
        <w:rPr>
          <w:rFonts w:hint="eastAsia" w:ascii="宋体" w:hAnsi="宋体" w:eastAsia="宋体" w:cs="宋体"/>
          <w:b/>
          <w:bCs/>
          <w:sz w:val="32"/>
          <w:szCs w:val="32"/>
          <w:highlight w:val="none"/>
          <w:lang w:val="en-US" w:eastAsia="zh-CN"/>
        </w:rPr>
        <w:t>合同条款前附表</w:t>
      </w:r>
    </w:p>
    <w:tbl>
      <w:tblPr>
        <w:tblStyle w:val="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850" w:type="dxa"/>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    安徽通康建设工程有限公司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noWrap w:val="0"/>
            <w:vAlign w:val="center"/>
          </w:tcPr>
          <w:p>
            <w:pPr>
              <w:snapToGrid w:val="0"/>
              <w:spacing w:line="240" w:lineRule="auto"/>
              <w:ind w:firstLine="420"/>
              <w:rPr>
                <w:rFonts w:hint="eastAsia"/>
                <w:highlight w:val="none"/>
              </w:rPr>
            </w:pPr>
            <w:r>
              <w:rPr>
                <w:rFonts w:hint="eastAsia"/>
                <w:szCs w:val="21"/>
                <w:highlight w:val="none"/>
                <w:lang w:val="en-US" w:eastAsia="zh-CN"/>
              </w:rPr>
              <w:t>2.1</w:t>
            </w:r>
            <w:r>
              <w:rPr>
                <w:rFonts w:hint="eastAsia"/>
                <w:szCs w:val="21"/>
                <w:highlight w:val="none"/>
              </w:rPr>
              <w:t>合同内的</w:t>
            </w:r>
            <w:r>
              <w:rPr>
                <w:rFonts w:hint="eastAsia"/>
                <w:szCs w:val="21"/>
                <w:highlight w:val="none"/>
                <w:lang w:val="en-US" w:eastAsia="zh-CN"/>
              </w:rPr>
              <w:t>价</w:t>
            </w:r>
            <w:r>
              <w:rPr>
                <w:rFonts w:hint="eastAsia"/>
                <w:szCs w:val="21"/>
                <w:highlight w:val="none"/>
              </w:rPr>
              <w:t>款按</w:t>
            </w:r>
            <w:r>
              <w:rPr>
                <w:szCs w:val="21"/>
                <w:highlight w:val="none"/>
              </w:rPr>
              <w:t>月支付进度款，</w:t>
            </w:r>
            <w:r>
              <w:rPr>
                <w:rFonts w:hint="eastAsia"/>
                <w:szCs w:val="21"/>
                <w:highlight w:val="none"/>
              </w:rPr>
              <w:t>每月20日报送上月度计量支付报表，即绿化成活率满足</w:t>
            </w:r>
            <w:r>
              <w:rPr>
                <w:rFonts w:hint="eastAsia"/>
                <w:szCs w:val="21"/>
                <w:highlight w:val="none"/>
                <w:lang w:val="en-US" w:eastAsia="zh-CN"/>
              </w:rPr>
              <w:t>规范要求</w:t>
            </w:r>
            <w:r>
              <w:rPr>
                <w:rFonts w:hint="eastAsia"/>
                <w:szCs w:val="21"/>
                <w:highlight w:val="none"/>
              </w:rPr>
              <w:t>且经验收合格后，支付核定价款的</w:t>
            </w:r>
            <w:r>
              <w:rPr>
                <w:rFonts w:hint="eastAsia"/>
                <w:szCs w:val="21"/>
                <w:highlight w:val="none"/>
                <w:lang w:val="en-US" w:eastAsia="zh-CN"/>
              </w:rPr>
              <w:t>80</w:t>
            </w:r>
            <w:r>
              <w:rPr>
                <w:rFonts w:hint="eastAsia"/>
                <w:szCs w:val="21"/>
                <w:highlight w:val="none"/>
              </w:rPr>
              <w:t>%；交工一年后成活率满足</w:t>
            </w:r>
            <w:r>
              <w:rPr>
                <w:rFonts w:hint="eastAsia"/>
                <w:szCs w:val="21"/>
                <w:highlight w:val="none"/>
                <w:lang w:val="en-US" w:eastAsia="zh-CN"/>
              </w:rPr>
              <w:t>规范要求和投标文件承诺及合同要求</w:t>
            </w:r>
            <w:r>
              <w:rPr>
                <w:rFonts w:hint="eastAsia"/>
                <w:szCs w:val="21"/>
                <w:highlight w:val="none"/>
              </w:rPr>
              <w:t>，累计支付核定工程价款的</w:t>
            </w:r>
            <w:r>
              <w:rPr>
                <w:rFonts w:hint="eastAsia"/>
                <w:szCs w:val="21"/>
                <w:highlight w:val="none"/>
                <w:lang w:val="en-US" w:eastAsia="zh-CN"/>
              </w:rPr>
              <w:t>100</w:t>
            </w:r>
            <w:r>
              <w:rPr>
                <w:rFonts w:hint="eastAsia"/>
                <w:szCs w:val="21"/>
                <w:highlight w:val="none"/>
              </w:rPr>
              <w:t>%。</w:t>
            </w:r>
            <w:r>
              <w:rPr>
                <w:szCs w:val="21"/>
                <w:highlight w:val="none"/>
              </w:rPr>
              <w:t>每期付款前</w:t>
            </w:r>
            <w:r>
              <w:rPr>
                <w:rFonts w:hint="eastAsia"/>
                <w:szCs w:val="21"/>
                <w:highlight w:val="none"/>
                <w:lang w:val="en-US" w:eastAsia="zh-CN"/>
              </w:rPr>
              <w:t>中标人</w:t>
            </w:r>
            <w:r>
              <w:rPr>
                <w:szCs w:val="21"/>
                <w:highlight w:val="none"/>
              </w:rPr>
              <w:t>应提供</w:t>
            </w:r>
            <w:r>
              <w:rPr>
                <w:rFonts w:hint="eastAsia"/>
                <w:szCs w:val="21"/>
                <w:highlight w:val="none"/>
                <w:lang w:val="en-US" w:eastAsia="zh-CN"/>
              </w:rPr>
              <w:t>招标人</w:t>
            </w:r>
            <w:r>
              <w:rPr>
                <w:szCs w:val="21"/>
                <w:highlight w:val="none"/>
              </w:rPr>
              <w:t>认可的发票，否则</w:t>
            </w:r>
            <w:r>
              <w:rPr>
                <w:rFonts w:hint="eastAsia"/>
                <w:szCs w:val="21"/>
                <w:highlight w:val="none"/>
              </w:rPr>
              <w:t>发包人</w:t>
            </w:r>
            <w:r>
              <w:rPr>
                <w:szCs w:val="21"/>
                <w:highlight w:val="none"/>
              </w:rPr>
              <w:t>有权</w:t>
            </w:r>
            <w:r>
              <w:rPr>
                <w:rFonts w:hint="eastAsia"/>
                <w:szCs w:val="21"/>
                <w:highlight w:val="none"/>
                <w:lang w:val="en-US" w:eastAsia="zh-CN"/>
              </w:rPr>
              <w:t>暂停</w:t>
            </w:r>
            <w:r>
              <w:rPr>
                <w:szCs w:val="21"/>
                <w:highlight w:val="none"/>
              </w:rPr>
              <w:t>付款</w:t>
            </w:r>
            <w:bookmarkStart w:id="136" w:name="_GoBack"/>
            <w:bookmarkEnd w:id="136"/>
            <w:r>
              <w:rPr>
                <w:szCs w:val="21"/>
                <w:highlight w:val="none"/>
              </w:rPr>
              <w:t>。</w:t>
            </w:r>
          </w:p>
          <w:p>
            <w:pPr>
              <w:snapToGrid w:val="0"/>
              <w:spacing w:line="240" w:lineRule="auto"/>
              <w:ind w:firstLine="420"/>
              <w:rPr>
                <w:rFonts w:hint="eastAsia" w:eastAsia="宋体" w:cs="Times New Roman"/>
                <w:szCs w:val="21"/>
                <w:highlight w:val="none"/>
                <w:lang w:val="en-US" w:eastAsia="zh-CN"/>
              </w:rPr>
            </w:pPr>
            <w:r>
              <w:rPr>
                <w:rFonts w:hint="eastAsia" w:ascii="宋体" w:hAnsi="宋体" w:eastAsia="宋体" w:cs="宋体"/>
                <w:b w:val="0"/>
                <w:bCs/>
                <w:color w:val="000000"/>
                <w:sz w:val="21"/>
                <w:szCs w:val="21"/>
              </w:rPr>
              <w:t>所有款项支付，</w:t>
            </w:r>
            <w:r>
              <w:rPr>
                <w:rFonts w:hint="eastAsia"/>
                <w:szCs w:val="21"/>
                <w:highlight w:val="none"/>
                <w:lang w:val="en-US" w:eastAsia="zh-CN"/>
              </w:rPr>
              <w:t>招标人</w:t>
            </w:r>
            <w:r>
              <w:rPr>
                <w:rFonts w:hint="eastAsia" w:ascii="宋体" w:hAnsi="宋体" w:eastAsia="宋体" w:cs="宋体"/>
                <w:b w:val="0"/>
                <w:bCs/>
                <w:color w:val="000000"/>
                <w:sz w:val="21"/>
                <w:szCs w:val="21"/>
              </w:rPr>
              <w:t>应与</w:t>
            </w:r>
            <w:r>
              <w:rPr>
                <w:rFonts w:hint="eastAsia"/>
                <w:szCs w:val="21"/>
                <w:highlight w:val="none"/>
                <w:lang w:val="en-US" w:eastAsia="zh-CN"/>
              </w:rPr>
              <w:t>中标人</w:t>
            </w:r>
            <w:r>
              <w:rPr>
                <w:rFonts w:hint="eastAsia" w:ascii="宋体" w:hAnsi="宋体" w:eastAsia="宋体" w:cs="宋体"/>
                <w:b w:val="0"/>
                <w:bCs/>
                <w:color w:val="000000"/>
                <w:sz w:val="21"/>
                <w:szCs w:val="21"/>
              </w:rPr>
              <w:t>委托的代理人签字确认付款对象、方式和金额后，视</w:t>
            </w:r>
            <w:r>
              <w:rPr>
                <w:rFonts w:hint="eastAsia"/>
                <w:szCs w:val="21"/>
                <w:highlight w:val="none"/>
                <w:lang w:val="en-US" w:eastAsia="zh-CN"/>
              </w:rPr>
              <w:t>招标人</w:t>
            </w:r>
            <w:r>
              <w:rPr>
                <w:rFonts w:hint="eastAsia" w:ascii="宋体" w:hAnsi="宋体" w:eastAsia="宋体" w:cs="宋体"/>
                <w:b w:val="0"/>
                <w:bCs/>
                <w:color w:val="000000"/>
                <w:sz w:val="21"/>
                <w:szCs w:val="21"/>
              </w:rPr>
              <w:t>资金状况向</w:t>
            </w:r>
            <w:r>
              <w:rPr>
                <w:rFonts w:hint="eastAsia"/>
                <w:szCs w:val="21"/>
                <w:highlight w:val="none"/>
                <w:lang w:val="en-US" w:eastAsia="zh-CN"/>
              </w:rPr>
              <w:t>中标人</w:t>
            </w:r>
            <w:r>
              <w:rPr>
                <w:rFonts w:hint="eastAsia" w:ascii="宋体" w:hAnsi="宋体" w:eastAsia="宋体" w:cs="宋体"/>
                <w:b w:val="0"/>
                <w:bCs/>
                <w:color w:val="000000"/>
                <w:sz w:val="21"/>
                <w:szCs w:val="21"/>
              </w:rPr>
              <w:t>分期支付，根据风险分担原则，发生下列情形之一的，</w:t>
            </w:r>
            <w:r>
              <w:rPr>
                <w:rFonts w:hint="eastAsia"/>
                <w:szCs w:val="21"/>
                <w:highlight w:val="none"/>
                <w:lang w:val="en-US" w:eastAsia="zh-CN"/>
              </w:rPr>
              <w:t>招标人</w:t>
            </w:r>
            <w:r>
              <w:rPr>
                <w:rFonts w:hint="eastAsia" w:ascii="宋体" w:hAnsi="宋体" w:eastAsia="宋体" w:cs="宋体"/>
                <w:b w:val="0"/>
                <w:bCs/>
                <w:color w:val="000000"/>
                <w:sz w:val="21"/>
                <w:szCs w:val="21"/>
              </w:rPr>
              <w:t>有权对应支付给</w:t>
            </w:r>
            <w:r>
              <w:rPr>
                <w:rFonts w:hint="eastAsia"/>
                <w:szCs w:val="21"/>
                <w:highlight w:val="none"/>
                <w:lang w:val="en-US" w:eastAsia="zh-CN"/>
              </w:rPr>
              <w:t>中标人</w:t>
            </w:r>
            <w:r>
              <w:rPr>
                <w:rFonts w:hint="eastAsia" w:ascii="宋体" w:hAnsi="宋体" w:eastAsia="宋体" w:cs="宋体"/>
                <w:b w:val="0"/>
                <w:bCs/>
                <w:color w:val="000000"/>
                <w:sz w:val="21"/>
                <w:szCs w:val="21"/>
              </w:rPr>
              <w:t>的款额和期限作相应调整和顺延或采取其他相应解决措施，并不承</w:t>
            </w:r>
            <w:r>
              <w:rPr>
                <w:rFonts w:hint="eastAsia" w:eastAsia="宋体" w:cs="Times New Roman"/>
                <w:szCs w:val="21"/>
                <w:highlight w:val="none"/>
                <w:lang w:val="en-US" w:eastAsia="zh-CN"/>
              </w:rPr>
              <w:t>担由此而产生的违约责任和利息。</w:t>
            </w:r>
          </w:p>
          <w:p>
            <w:pPr>
              <w:snapToGrid w:val="0"/>
              <w:spacing w:line="240" w:lineRule="auto"/>
              <w:ind w:firstLine="420"/>
              <w:rPr>
                <w:rFonts w:hint="eastAsia" w:eastAsia="宋体" w:cs="Times New Roman"/>
                <w:szCs w:val="21"/>
                <w:highlight w:val="none"/>
                <w:lang w:val="en-US" w:eastAsia="zh-CN"/>
              </w:rPr>
            </w:pPr>
            <w:r>
              <w:rPr>
                <w:rFonts w:hint="eastAsia" w:eastAsia="宋体" w:cs="Times New Roman"/>
                <w:szCs w:val="21"/>
                <w:highlight w:val="none"/>
                <w:lang w:val="en-US" w:eastAsia="zh-CN"/>
              </w:rPr>
              <w:t xml:space="preserve">2.1.1 工程建设单位（即：发包人、业主）未将工程款按约支付给招标人； </w:t>
            </w:r>
          </w:p>
          <w:p>
            <w:pPr>
              <w:snapToGrid w:val="0"/>
              <w:spacing w:line="240" w:lineRule="auto"/>
              <w:ind w:firstLine="420"/>
              <w:rPr>
                <w:rFonts w:hint="eastAsia" w:eastAsia="宋体" w:cs="Times New Roman"/>
                <w:szCs w:val="21"/>
                <w:highlight w:val="none"/>
                <w:lang w:val="en-US" w:eastAsia="zh-CN"/>
              </w:rPr>
            </w:pPr>
            <w:r>
              <w:rPr>
                <w:rFonts w:hint="eastAsia" w:eastAsia="宋体" w:cs="Times New Roman"/>
                <w:szCs w:val="21"/>
                <w:highlight w:val="none"/>
                <w:lang w:val="en-US" w:eastAsia="zh-CN"/>
              </w:rPr>
              <w:t xml:space="preserve">2.1.2 中标人因履行本合同与第三人签订的聘用、雇佣等劳动合同、租赁、买卖等经济合同已经或可能发生纠纷，且中标人依法应当承担合同债务而未妥善处理的； </w:t>
            </w:r>
          </w:p>
          <w:p>
            <w:pPr>
              <w:snapToGrid w:val="0"/>
              <w:spacing w:line="240" w:lineRule="auto"/>
              <w:ind w:firstLine="420"/>
              <w:rPr>
                <w:rFonts w:hint="eastAsia" w:eastAsia="宋体" w:cs="Times New Roman"/>
                <w:szCs w:val="21"/>
                <w:highlight w:val="none"/>
                <w:lang w:val="en-US" w:eastAsia="zh-CN"/>
              </w:rPr>
            </w:pPr>
            <w:r>
              <w:rPr>
                <w:rFonts w:hint="eastAsia" w:eastAsia="宋体" w:cs="Times New Roman"/>
                <w:szCs w:val="21"/>
                <w:highlight w:val="none"/>
                <w:lang w:val="en-US" w:eastAsia="zh-CN"/>
              </w:rPr>
              <w:t>2.1.3 中标人在履行与招标人签订的合同期间，因发生侵权纠纷、工伤、交通等事故，且中标人依法应当承担责任而未妥善处理的；</w:t>
            </w:r>
          </w:p>
          <w:p>
            <w:pPr>
              <w:snapToGrid w:val="0"/>
              <w:spacing w:line="240" w:lineRule="auto"/>
              <w:ind w:firstLine="420"/>
              <w:rPr>
                <w:rFonts w:hint="eastAsia" w:eastAsia="宋体" w:cs="Times New Roman"/>
                <w:szCs w:val="21"/>
                <w:highlight w:val="none"/>
                <w:lang w:val="en-US" w:eastAsia="zh-CN"/>
              </w:rPr>
            </w:pPr>
            <w:r>
              <w:rPr>
                <w:rFonts w:hint="eastAsia" w:eastAsia="宋体" w:cs="Times New Roman"/>
                <w:szCs w:val="21"/>
                <w:highlight w:val="none"/>
                <w:lang w:val="en-US" w:eastAsia="zh-CN"/>
              </w:rPr>
              <w:t>2.1.4中标人擅自使用招标人企业和（或）其项目经理部、队部等名称、名义对外进行经济活动被甲方发现的；</w:t>
            </w:r>
          </w:p>
          <w:p>
            <w:pPr>
              <w:snapToGrid w:val="0"/>
              <w:spacing w:line="240" w:lineRule="auto"/>
              <w:ind w:firstLine="420"/>
              <w:rPr>
                <w:rFonts w:hint="default" w:ascii="Times New Roman" w:hAnsi="Times New Roman" w:cs="Times New Roman"/>
                <w:kern w:val="0"/>
                <w:sz w:val="24"/>
                <w:szCs w:val="24"/>
                <w:highlight w:val="none"/>
                <w:shd w:val="clear" w:color="auto" w:fill="auto"/>
                <w:vertAlign w:val="baseline"/>
                <w:lang w:val="en-US" w:eastAsia="zh-CN"/>
              </w:rPr>
            </w:pPr>
            <w:r>
              <w:rPr>
                <w:rFonts w:hint="eastAsia" w:eastAsia="宋体" w:cs="Times New Roman"/>
                <w:szCs w:val="21"/>
                <w:highlight w:val="none"/>
                <w:lang w:val="en-US" w:eastAsia="zh-CN"/>
              </w:rPr>
              <w:t>2.1.5 中标人实施其他损害招标人权益行为的。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253" w:type="dxa"/>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自交工验收合格之日起</w:t>
            </w:r>
            <w:r>
              <w:rPr>
                <w:rFonts w:hint="eastAsia" w:ascii="Times New Roman" w:hAnsi="Times New Roman" w:cs="Times New Roman"/>
                <w:kern w:val="0"/>
                <w:sz w:val="24"/>
                <w:szCs w:val="24"/>
                <w:highlight w:val="none"/>
                <w:u w:val="single"/>
                <w:shd w:val="clear" w:color="auto" w:fill="auto"/>
                <w:vertAlign w:val="baseline"/>
                <w:lang w:val="en-US" w:eastAsia="zh-CN"/>
              </w:rPr>
              <w:t xml:space="preserve"> 1 </w:t>
            </w:r>
            <w:r>
              <w:rPr>
                <w:rFonts w:hint="eastAsia" w:ascii="Times New Roman" w:hAnsi="Times New Roman" w:cs="Times New Roman"/>
                <w:kern w:val="0"/>
                <w:sz w:val="24"/>
                <w:szCs w:val="24"/>
                <w:highlight w:val="none"/>
                <w:shd w:val="clear" w:color="auto" w:fill="auto"/>
                <w:vertAlign w:val="baseline"/>
                <w:lang w:val="en-US" w:eastAsia="zh-CN"/>
              </w:rPr>
              <w:t>年。</w:t>
            </w:r>
            <w:r>
              <w:rPr>
                <w:rFonts w:hint="eastAsia" w:ascii="Times New Roman" w:hAnsi="Times New Roman" w:cs="Times New Roman"/>
                <w:color w:val="FF0000"/>
                <w:kern w:val="0"/>
                <w:sz w:val="24"/>
                <w:szCs w:val="24"/>
                <w:highlight w:val="none"/>
                <w:shd w:val="clear" w:color="auto" w:fill="auto"/>
                <w:vertAlign w:val="baseli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w:t>
            </w:r>
          </w:p>
        </w:tc>
        <w:tc>
          <w:tcPr>
            <w:tcW w:w="6253" w:type="dxa"/>
            <w:noWrap w:val="0"/>
            <w:vAlign w:val="center"/>
          </w:tcPr>
          <w:p>
            <w:pPr>
              <w:bidi w:val="0"/>
              <w:rPr>
                <w:rFonts w:hint="eastAsia" w:ascii="宋体" w:hAnsi="宋体" w:eastAsia="宋体" w:cs="宋体"/>
              </w:rPr>
            </w:pPr>
            <w:r>
              <w:rPr>
                <w:rFonts w:hint="eastAsia" w:ascii="宋体" w:hAnsi="宋体" w:eastAsia="宋体" w:cs="宋体"/>
                <w:lang w:val="en-US" w:eastAsia="zh-CN"/>
              </w:rPr>
              <w:t>4.1</w:t>
            </w:r>
            <w:r>
              <w:rPr>
                <w:rFonts w:hint="eastAsia" w:ascii="宋体" w:hAnsi="宋体" w:eastAsia="宋体" w:cs="宋体"/>
              </w:rPr>
              <w:t>苗木的规格、形态必须经</w:t>
            </w:r>
            <w:r>
              <w:rPr>
                <w:rFonts w:hint="eastAsia" w:ascii="宋体" w:hAnsi="宋体" w:eastAsia="宋体" w:cs="宋体"/>
                <w:lang w:val="en-US" w:eastAsia="zh-CN"/>
              </w:rPr>
              <w:t>招标人</w:t>
            </w:r>
            <w:r>
              <w:rPr>
                <w:rFonts w:hint="eastAsia" w:ascii="宋体" w:hAnsi="宋体" w:eastAsia="宋体" w:cs="宋体"/>
              </w:rPr>
              <w:t>工程师审核确认，否则，</w:t>
            </w:r>
            <w:r>
              <w:rPr>
                <w:rFonts w:hint="eastAsia" w:ascii="宋体" w:hAnsi="宋体" w:eastAsia="宋体" w:cs="宋体"/>
                <w:lang w:val="en-US" w:eastAsia="zh-CN"/>
              </w:rPr>
              <w:t>招标人</w:t>
            </w:r>
            <w:r>
              <w:rPr>
                <w:rFonts w:hint="eastAsia" w:ascii="宋体" w:hAnsi="宋体" w:eastAsia="宋体" w:cs="宋体"/>
              </w:rPr>
              <w:t>有权要求更换。如有特殊情况，需经</w:t>
            </w:r>
            <w:r>
              <w:rPr>
                <w:rFonts w:hint="eastAsia" w:ascii="宋体" w:hAnsi="宋体" w:eastAsia="宋体" w:cs="宋体"/>
                <w:lang w:val="en-US" w:eastAsia="zh-CN"/>
              </w:rPr>
              <w:t>招标人</w:t>
            </w:r>
            <w:r>
              <w:rPr>
                <w:rFonts w:hint="eastAsia" w:ascii="宋体" w:hAnsi="宋体" w:eastAsia="宋体" w:cs="宋体"/>
              </w:rPr>
              <w:t>及设计单位同意，方可进行苗木种植。对于特殊位置的主景树以及比较重要的高大乔木，</w:t>
            </w:r>
            <w:r>
              <w:rPr>
                <w:rFonts w:hint="eastAsia" w:ascii="宋体" w:hAnsi="宋体" w:eastAsia="宋体" w:cs="宋体"/>
                <w:lang w:val="en-US" w:eastAsia="zh-CN"/>
              </w:rPr>
              <w:t>中标人</w:t>
            </w:r>
            <w:r>
              <w:rPr>
                <w:rFonts w:hint="eastAsia" w:ascii="宋体" w:hAnsi="宋体" w:eastAsia="宋体" w:cs="宋体"/>
              </w:rPr>
              <w:t>必须在到场前做好拍照、编号、记录等工作交甲方确认，以便</w:t>
            </w:r>
            <w:r>
              <w:rPr>
                <w:rFonts w:hint="eastAsia" w:ascii="宋体" w:hAnsi="宋体" w:eastAsia="宋体" w:cs="宋体"/>
                <w:lang w:val="en-US" w:eastAsia="zh-CN"/>
              </w:rPr>
              <w:t>招标人</w:t>
            </w:r>
            <w:r>
              <w:rPr>
                <w:rFonts w:hint="eastAsia" w:ascii="宋体" w:hAnsi="宋体" w:eastAsia="宋体" w:cs="宋体"/>
              </w:rPr>
              <w:t xml:space="preserve">选择和备案。 </w:t>
            </w:r>
          </w:p>
          <w:p>
            <w:pPr>
              <w:bidi w:val="0"/>
              <w:rPr>
                <w:rFonts w:hint="eastAsia" w:ascii="宋体" w:hAnsi="宋体" w:eastAsia="宋体" w:cs="宋体"/>
              </w:rPr>
            </w:pPr>
            <w:r>
              <w:rPr>
                <w:rFonts w:hint="eastAsia" w:ascii="宋体" w:hAnsi="宋体" w:eastAsia="宋体" w:cs="宋体"/>
                <w:lang w:val="en-US" w:eastAsia="zh-CN"/>
              </w:rPr>
              <w:t>4.2</w:t>
            </w:r>
            <w:r>
              <w:rPr>
                <w:rFonts w:hint="eastAsia" w:ascii="宋体" w:hAnsi="宋体" w:eastAsia="宋体" w:cs="宋体"/>
              </w:rPr>
              <w:t>验收标准：乔木及中下层灌木规格按照设计图纸规定尺寸验收，乔木须为熟货，小于图纸要求规格的苗木以实际规格为准；大于图纸要求规格的苗木视同图纸规格验收；冠幅和高度如有一项达不到图纸规格，按就低原则结算</w:t>
            </w:r>
            <w:r>
              <w:rPr>
                <w:rFonts w:hint="eastAsia" w:ascii="宋体" w:hAnsi="宋体" w:eastAsia="宋体" w:cs="宋体"/>
                <w:lang w:eastAsia="zh-CN"/>
              </w:rPr>
              <w:t>。</w:t>
            </w:r>
            <w:r>
              <w:rPr>
                <w:rFonts w:hint="eastAsia" w:ascii="宋体" w:hAnsi="宋体" w:eastAsia="宋体" w:cs="宋体"/>
                <w:lang w:val="en-US" w:eastAsia="zh-CN"/>
              </w:rPr>
              <w:t>冠幅、高度、胸径等如交工一年后仍不满足图纸要求按合同相关内容处理</w:t>
            </w:r>
            <w:r>
              <w:rPr>
                <w:rFonts w:hint="eastAsia" w:ascii="宋体" w:hAnsi="宋体" w:eastAsia="宋体" w:cs="宋体"/>
              </w:rPr>
              <w:t>。</w:t>
            </w:r>
          </w:p>
          <w:p>
            <w:pPr>
              <w:bidi w:val="0"/>
              <w:rPr>
                <w:rFonts w:hint="eastAsia" w:ascii="宋体" w:hAnsi="宋体" w:eastAsia="宋体" w:cs="宋体"/>
              </w:rPr>
            </w:pPr>
            <w:r>
              <w:rPr>
                <w:rFonts w:hint="eastAsia" w:ascii="宋体" w:hAnsi="宋体" w:eastAsia="宋体" w:cs="宋体"/>
                <w:lang w:val="en-US" w:eastAsia="zh-CN"/>
              </w:rPr>
              <w:t>4.3中标人</w:t>
            </w:r>
            <w:r>
              <w:rPr>
                <w:rFonts w:hint="eastAsia" w:ascii="宋体" w:hAnsi="宋体" w:eastAsia="宋体" w:cs="宋体"/>
              </w:rPr>
              <w:t>更改苗木品种、规格等，</w:t>
            </w:r>
            <w:r>
              <w:rPr>
                <w:rFonts w:hint="eastAsia" w:ascii="宋体" w:hAnsi="宋体" w:eastAsia="宋体" w:cs="宋体"/>
                <w:lang w:val="en-US" w:eastAsia="zh-CN"/>
              </w:rPr>
              <w:t>招标人</w:t>
            </w:r>
            <w:r>
              <w:rPr>
                <w:rFonts w:hint="eastAsia" w:ascii="宋体" w:hAnsi="宋体" w:eastAsia="宋体" w:cs="宋体"/>
              </w:rPr>
              <w:t>有权要求</w:t>
            </w:r>
            <w:r>
              <w:rPr>
                <w:rFonts w:hint="eastAsia" w:ascii="宋体" w:hAnsi="宋体" w:eastAsia="宋体" w:cs="宋体"/>
                <w:lang w:val="en-US" w:eastAsia="zh-CN"/>
              </w:rPr>
              <w:t>中标人</w:t>
            </w:r>
            <w:r>
              <w:rPr>
                <w:rFonts w:hint="eastAsia" w:ascii="宋体" w:hAnsi="宋体" w:eastAsia="宋体" w:cs="宋体"/>
              </w:rPr>
              <w:t>在三日内无条件更换，</w:t>
            </w:r>
            <w:r>
              <w:rPr>
                <w:rFonts w:hint="eastAsia" w:ascii="宋体" w:hAnsi="宋体" w:eastAsia="宋体" w:cs="宋体"/>
                <w:lang w:val="en-US" w:eastAsia="zh-CN"/>
              </w:rPr>
              <w:t>中标人</w:t>
            </w:r>
            <w:r>
              <w:rPr>
                <w:rFonts w:hint="eastAsia" w:ascii="宋体" w:hAnsi="宋体" w:eastAsia="宋体" w:cs="宋体"/>
              </w:rPr>
              <w:t>须支付规定苗木单价壹倍违约金，给</w:t>
            </w:r>
            <w:r>
              <w:rPr>
                <w:rFonts w:hint="eastAsia" w:ascii="宋体" w:hAnsi="宋体" w:eastAsia="宋体" w:cs="宋体"/>
                <w:lang w:val="en-US" w:eastAsia="zh-CN"/>
              </w:rPr>
              <w:t>招标人</w:t>
            </w:r>
            <w:r>
              <w:rPr>
                <w:rFonts w:hint="eastAsia" w:ascii="宋体" w:hAnsi="宋体" w:eastAsia="宋体" w:cs="宋体"/>
              </w:rPr>
              <w:t xml:space="preserve">造成损失的还应承担赔偿责任。 </w:t>
            </w:r>
          </w:p>
          <w:p>
            <w:pPr>
              <w:bidi w:val="0"/>
              <w:rPr>
                <w:rFonts w:hint="eastAsia" w:ascii="宋体" w:hAnsi="宋体" w:eastAsia="宋体" w:cs="宋体"/>
              </w:rPr>
            </w:pPr>
            <w:r>
              <w:rPr>
                <w:rFonts w:hint="eastAsia" w:ascii="宋体" w:hAnsi="宋体" w:eastAsia="宋体" w:cs="宋体"/>
                <w:lang w:val="en-US" w:eastAsia="zh-CN"/>
              </w:rPr>
              <w:t>4.4</w:t>
            </w:r>
            <w:r>
              <w:rPr>
                <w:rFonts w:hint="eastAsia" w:ascii="宋体" w:hAnsi="宋体" w:eastAsia="宋体" w:cs="宋体"/>
              </w:rPr>
              <w:t>胸径：指乔木主干离地表面1.</w:t>
            </w:r>
            <w:r>
              <w:rPr>
                <w:rFonts w:hint="eastAsia" w:ascii="宋体" w:hAnsi="宋体" w:eastAsia="宋体" w:cs="宋体"/>
                <w:lang w:val="en-US" w:eastAsia="zh-CN"/>
              </w:rPr>
              <w:t>3</w:t>
            </w:r>
            <w:r>
              <w:rPr>
                <w:rFonts w:hint="eastAsia" w:ascii="宋体" w:hAnsi="宋体" w:eastAsia="宋体" w:cs="宋体"/>
              </w:rPr>
              <w:t>米处的直径。冠幅：指乔木树冠垂直投影面的直径。树高：指从地表面到苗木正常生长顶端的垂直高度。</w:t>
            </w:r>
          </w:p>
          <w:p>
            <w:pPr>
              <w:bidi w:val="0"/>
              <w:rPr>
                <w:rFonts w:hint="eastAsia" w:ascii="宋体" w:hAnsi="宋体" w:eastAsia="宋体" w:cs="宋体"/>
                <w:lang w:val="en-US" w:eastAsia="zh-CN"/>
              </w:rPr>
            </w:pPr>
            <w:r>
              <w:rPr>
                <w:rFonts w:hint="eastAsia" w:ascii="宋体" w:hAnsi="宋体" w:eastAsia="宋体" w:cs="宋体"/>
                <w:lang w:val="en-US" w:eastAsia="zh-CN"/>
              </w:rPr>
              <w:t xml:space="preserve">4.5苗木采购种植完成后，中标人应向招标人提交苗木采购验收单及详细资料一份，以供招标人进行结算审核。 </w:t>
            </w:r>
          </w:p>
          <w:p>
            <w:pPr>
              <w:bidi w:val="0"/>
              <w:rPr>
                <w:rFonts w:hint="eastAsia" w:ascii="宋体" w:hAnsi="宋体" w:eastAsia="宋体" w:cs="宋体"/>
                <w:lang w:val="en-US" w:eastAsia="zh-CN"/>
              </w:rPr>
            </w:pPr>
            <w:r>
              <w:rPr>
                <w:rFonts w:hint="eastAsia" w:ascii="宋体" w:hAnsi="宋体" w:eastAsia="宋体" w:cs="宋体"/>
                <w:lang w:val="en-US" w:eastAsia="zh-CN"/>
              </w:rPr>
              <w:t xml:space="preserve">4.6中标人进场苗木规格未在清单列表范围内的，如清单中约定了12～l3CM、14～16CM的苗木价格，现场验收为13～14CM之间，按l3CM结算。   </w:t>
            </w:r>
          </w:p>
          <w:p>
            <w:pPr>
              <w:bidi w:val="0"/>
              <w:rPr>
                <w:rFonts w:hint="eastAsia" w:ascii="宋体" w:hAnsi="宋体" w:eastAsia="宋体" w:cs="宋体"/>
              </w:rPr>
            </w:pPr>
            <w:r>
              <w:rPr>
                <w:rFonts w:hint="eastAsia" w:ascii="宋体" w:hAnsi="宋体" w:eastAsia="宋体" w:cs="宋体"/>
              </w:rPr>
              <w:t>有下列情况之一经</w:t>
            </w:r>
            <w:r>
              <w:rPr>
                <w:rFonts w:hint="eastAsia" w:ascii="宋体" w:hAnsi="宋体" w:cs="宋体"/>
                <w:lang w:val="en-US" w:eastAsia="zh-CN"/>
              </w:rPr>
              <w:t>招标人</w:t>
            </w:r>
            <w:r>
              <w:rPr>
                <w:rFonts w:hint="eastAsia" w:ascii="宋体" w:hAnsi="宋体" w:eastAsia="宋体" w:cs="宋体"/>
              </w:rPr>
              <w:t>书面警告一次无效者，</w:t>
            </w:r>
            <w:r>
              <w:rPr>
                <w:rFonts w:hint="eastAsia" w:ascii="宋体" w:hAnsi="宋体" w:cs="宋体"/>
                <w:lang w:val="en-US" w:eastAsia="zh-CN"/>
              </w:rPr>
              <w:t>招标人</w:t>
            </w:r>
            <w:r>
              <w:rPr>
                <w:rFonts w:hint="eastAsia" w:ascii="宋体" w:hAnsi="宋体" w:eastAsia="宋体" w:cs="宋体"/>
              </w:rPr>
              <w:t xml:space="preserve">有权解除本合同： </w:t>
            </w:r>
          </w:p>
          <w:p>
            <w:pPr>
              <w:bidi w:val="0"/>
              <w:rPr>
                <w:rFonts w:hint="eastAsia" w:ascii="宋体" w:hAnsi="宋体" w:eastAsia="宋体" w:cs="宋体"/>
              </w:rPr>
            </w:pPr>
            <w:r>
              <w:rPr>
                <w:rFonts w:hint="eastAsia" w:ascii="宋体" w:hAnsi="宋体" w:cs="宋体"/>
                <w:lang w:val="en-US" w:eastAsia="zh-CN"/>
              </w:rPr>
              <w:t>4.7</w:t>
            </w:r>
            <w:r>
              <w:rPr>
                <w:rFonts w:hint="eastAsia" w:ascii="宋体" w:hAnsi="宋体" w:eastAsia="宋体" w:cs="宋体"/>
              </w:rPr>
              <w:t>非因</w:t>
            </w:r>
            <w:r>
              <w:rPr>
                <w:rFonts w:hint="eastAsia" w:ascii="宋体" w:hAnsi="宋体" w:cs="宋体"/>
                <w:lang w:val="en-US" w:eastAsia="zh-CN"/>
              </w:rPr>
              <w:t>招标人</w:t>
            </w:r>
            <w:r>
              <w:rPr>
                <w:rFonts w:hint="eastAsia" w:ascii="宋体" w:hAnsi="宋体" w:eastAsia="宋体" w:cs="宋体"/>
              </w:rPr>
              <w:t>原因未按</w:t>
            </w:r>
            <w:r>
              <w:rPr>
                <w:rFonts w:hint="eastAsia" w:ascii="宋体" w:hAnsi="宋体" w:cs="宋体"/>
                <w:lang w:val="en-US" w:eastAsia="zh-CN"/>
              </w:rPr>
              <w:t>供货要求和时间供货时</w:t>
            </w:r>
            <w:r>
              <w:rPr>
                <w:rFonts w:hint="eastAsia" w:ascii="宋体" w:hAnsi="宋体" w:eastAsia="宋体" w:cs="宋体"/>
              </w:rPr>
              <w:t>，在</w:t>
            </w:r>
            <w:r>
              <w:rPr>
                <w:rFonts w:hint="eastAsia" w:ascii="宋体" w:hAnsi="宋体" w:cs="宋体"/>
                <w:lang w:val="en-US" w:eastAsia="zh-CN"/>
              </w:rPr>
              <w:t>招标人</w:t>
            </w:r>
            <w:r>
              <w:rPr>
                <w:rFonts w:hint="eastAsia" w:ascii="宋体" w:hAnsi="宋体" w:eastAsia="宋体" w:cs="宋体"/>
              </w:rPr>
              <w:t xml:space="preserve">书面通知后一周内仍无改观。 </w:t>
            </w:r>
          </w:p>
          <w:p>
            <w:pPr>
              <w:bidi w:val="0"/>
              <w:rPr>
                <w:rFonts w:hint="eastAsia" w:ascii="宋体" w:hAnsi="宋体" w:eastAsia="宋体" w:cs="宋体"/>
              </w:rPr>
            </w:pPr>
            <w:r>
              <w:rPr>
                <w:rFonts w:hint="eastAsia" w:ascii="宋体" w:hAnsi="宋体" w:cs="宋体"/>
                <w:lang w:val="en-US" w:eastAsia="zh-CN"/>
              </w:rPr>
              <w:t>4.8</w:t>
            </w:r>
            <w:r>
              <w:rPr>
                <w:rFonts w:hint="eastAsia" w:ascii="宋体" w:hAnsi="宋体" w:eastAsia="宋体" w:cs="宋体"/>
              </w:rPr>
              <w:t>本工程禁止转包，否则</w:t>
            </w:r>
            <w:r>
              <w:rPr>
                <w:rFonts w:hint="eastAsia" w:ascii="宋体" w:hAnsi="宋体" w:cs="宋体"/>
                <w:lang w:val="en-US" w:eastAsia="zh-CN"/>
              </w:rPr>
              <w:t>招标人</w:t>
            </w:r>
            <w:r>
              <w:rPr>
                <w:rFonts w:hint="eastAsia" w:ascii="宋体" w:hAnsi="宋体" w:eastAsia="宋体" w:cs="宋体"/>
              </w:rPr>
              <w:t>有权解除合同，且</w:t>
            </w:r>
            <w:r>
              <w:rPr>
                <w:rFonts w:hint="eastAsia" w:ascii="宋体" w:hAnsi="宋体" w:cs="宋体"/>
                <w:lang w:val="en-US" w:eastAsia="zh-CN"/>
              </w:rPr>
              <w:t>中标人</w:t>
            </w:r>
            <w:r>
              <w:rPr>
                <w:rFonts w:hint="eastAsia" w:ascii="宋体" w:hAnsi="宋体" w:eastAsia="宋体" w:cs="宋体"/>
              </w:rPr>
              <w:t xml:space="preserve">需承担由此造成的一切损失。 </w:t>
            </w:r>
          </w:p>
          <w:p>
            <w:pPr>
              <w:bidi w:val="0"/>
              <w:rPr>
                <w:rFonts w:hint="eastAsia" w:ascii="宋体" w:hAnsi="宋体" w:eastAsia="宋体" w:cs="宋体"/>
              </w:rPr>
            </w:pPr>
            <w:r>
              <w:rPr>
                <w:rFonts w:hint="eastAsia" w:ascii="宋体" w:hAnsi="宋体" w:cs="宋体"/>
                <w:lang w:val="en-US" w:eastAsia="zh-CN"/>
              </w:rPr>
              <w:t>4.9招标人</w:t>
            </w:r>
            <w:r>
              <w:rPr>
                <w:rFonts w:hint="eastAsia" w:ascii="宋体" w:hAnsi="宋体" w:eastAsia="宋体" w:cs="宋体"/>
              </w:rPr>
              <w:t>根据本合同行使单方解除权后，在结算时</w:t>
            </w:r>
            <w:r>
              <w:rPr>
                <w:rFonts w:hint="eastAsia" w:ascii="宋体" w:hAnsi="宋体" w:cs="宋体"/>
                <w:lang w:val="en-US" w:eastAsia="zh-CN"/>
              </w:rPr>
              <w:t>招标人</w:t>
            </w:r>
            <w:r>
              <w:rPr>
                <w:rFonts w:hint="eastAsia" w:ascii="宋体" w:hAnsi="宋体" w:eastAsia="宋体" w:cs="宋体"/>
              </w:rPr>
              <w:t>有权只按经</w:t>
            </w:r>
            <w:r>
              <w:rPr>
                <w:rFonts w:hint="eastAsia" w:ascii="宋体" w:hAnsi="宋体" w:cs="宋体"/>
                <w:lang w:val="en-US" w:eastAsia="zh-CN"/>
              </w:rPr>
              <w:t>招标人</w:t>
            </w:r>
            <w:r>
              <w:rPr>
                <w:rFonts w:hint="eastAsia" w:ascii="宋体" w:hAnsi="宋体" w:eastAsia="宋体" w:cs="宋体"/>
              </w:rPr>
              <w:t>审核签认合格工程量的</w:t>
            </w:r>
            <w:r>
              <w:rPr>
                <w:rFonts w:hint="eastAsia" w:ascii="宋体" w:hAnsi="宋体" w:cs="宋体"/>
                <w:lang w:val="en-US" w:eastAsia="zh-CN"/>
              </w:rPr>
              <w:t>8</w:t>
            </w:r>
            <w:r>
              <w:rPr>
                <w:rFonts w:hint="eastAsia" w:ascii="宋体" w:hAnsi="宋体" w:eastAsia="宋体" w:cs="宋体"/>
              </w:rPr>
              <w:t>0%办理结算，剩余金额作为</w:t>
            </w:r>
            <w:r>
              <w:rPr>
                <w:rFonts w:hint="eastAsia" w:ascii="宋体" w:hAnsi="宋体" w:cs="宋体"/>
                <w:lang w:val="en-US" w:eastAsia="zh-CN"/>
              </w:rPr>
              <w:t>中标人</w:t>
            </w:r>
            <w:r>
              <w:rPr>
                <w:rFonts w:hint="eastAsia" w:ascii="宋体" w:hAnsi="宋体" w:eastAsia="宋体" w:cs="宋体"/>
              </w:rPr>
              <w:t>向甲方支付的违约金；因此解除合同而给</w:t>
            </w:r>
            <w:r>
              <w:rPr>
                <w:rFonts w:hint="eastAsia" w:ascii="宋体" w:hAnsi="宋体" w:cs="宋体"/>
                <w:lang w:val="en-US" w:eastAsia="zh-CN"/>
              </w:rPr>
              <w:t>招标人</w:t>
            </w:r>
            <w:r>
              <w:rPr>
                <w:rFonts w:hint="eastAsia" w:ascii="宋体" w:hAnsi="宋体" w:eastAsia="宋体" w:cs="宋体"/>
              </w:rPr>
              <w:t>造成损失的，</w:t>
            </w:r>
            <w:r>
              <w:rPr>
                <w:rFonts w:hint="eastAsia" w:ascii="宋体" w:hAnsi="宋体" w:cs="宋体"/>
                <w:lang w:val="en-US" w:eastAsia="zh-CN"/>
              </w:rPr>
              <w:t>中标人</w:t>
            </w:r>
            <w:r>
              <w:rPr>
                <w:rFonts w:hint="eastAsia" w:ascii="宋体" w:hAnsi="宋体" w:eastAsia="宋体" w:cs="宋体"/>
              </w:rPr>
              <w:t xml:space="preserve">还应承担赔偿责任。 </w:t>
            </w:r>
          </w:p>
          <w:p>
            <w:pPr>
              <w:bidi w:val="0"/>
              <w:rPr>
                <w:rFonts w:hint="eastAsia" w:ascii="宋体" w:hAnsi="宋体" w:eastAsia="宋体" w:cs="宋体"/>
                <w:b/>
                <w:bCs/>
              </w:rPr>
            </w:pPr>
            <w:r>
              <w:rPr>
                <w:rFonts w:hint="eastAsia" w:ascii="宋体" w:hAnsi="宋体" w:cs="宋体"/>
                <w:b/>
                <w:bCs/>
                <w:lang w:val="en-US" w:eastAsia="zh-CN"/>
              </w:rPr>
              <w:t>4.10</w:t>
            </w:r>
            <w:r>
              <w:rPr>
                <w:rFonts w:hint="eastAsia" w:ascii="宋体" w:hAnsi="宋体" w:eastAsia="宋体" w:cs="宋体"/>
                <w:b/>
                <w:bCs/>
              </w:rPr>
              <w:t>因</w:t>
            </w:r>
            <w:r>
              <w:rPr>
                <w:rFonts w:hint="eastAsia" w:ascii="宋体" w:hAnsi="宋体" w:cs="宋体"/>
                <w:b/>
                <w:bCs/>
                <w:lang w:val="en-US" w:eastAsia="zh-CN"/>
              </w:rPr>
              <w:t>中标人</w:t>
            </w:r>
            <w:r>
              <w:rPr>
                <w:rFonts w:hint="eastAsia" w:ascii="宋体" w:hAnsi="宋体" w:eastAsia="宋体" w:cs="宋体"/>
                <w:b/>
                <w:bCs/>
              </w:rPr>
              <w:t>开具的增值税专用发票不规范、不合法或涉嫌虚开发票引起税务问题的，</w:t>
            </w:r>
            <w:r>
              <w:rPr>
                <w:rFonts w:hint="eastAsia" w:ascii="宋体" w:hAnsi="宋体" w:cs="宋体"/>
                <w:b/>
                <w:bCs/>
                <w:lang w:val="en-US" w:eastAsia="zh-CN"/>
              </w:rPr>
              <w:t>中标人</w:t>
            </w:r>
            <w:r>
              <w:rPr>
                <w:rFonts w:hint="eastAsia" w:ascii="宋体" w:hAnsi="宋体" w:eastAsia="宋体" w:cs="宋体"/>
                <w:b/>
                <w:bCs/>
              </w:rPr>
              <w:t>需依法向甲方重新开具发票，并向</w:t>
            </w:r>
            <w:r>
              <w:rPr>
                <w:rFonts w:hint="eastAsia" w:ascii="宋体" w:hAnsi="宋体" w:cs="宋体"/>
                <w:b/>
                <w:bCs/>
                <w:lang w:val="en-US" w:eastAsia="zh-CN"/>
              </w:rPr>
              <w:t>招标人</w:t>
            </w:r>
            <w:r>
              <w:rPr>
                <w:rFonts w:hint="eastAsia" w:ascii="宋体" w:hAnsi="宋体" w:eastAsia="宋体" w:cs="宋体"/>
                <w:b/>
                <w:bCs/>
              </w:rPr>
              <w:t>承担赔偿责任，包括但不限于税款、滞纳金、罚款及相关损失等。</w:t>
            </w:r>
          </w:p>
          <w:p>
            <w:pPr>
              <w:bidi w:val="0"/>
              <w:rPr>
                <w:rFonts w:hint="eastAsia" w:ascii="宋体" w:hAnsi="宋体" w:eastAsia="宋体" w:cs="宋体"/>
                <w:b/>
                <w:bCs/>
              </w:rPr>
            </w:pPr>
            <w:r>
              <w:rPr>
                <w:rFonts w:hint="eastAsia" w:ascii="宋体" w:hAnsi="宋体" w:cs="宋体"/>
                <w:b/>
                <w:bCs/>
                <w:lang w:val="en-US" w:eastAsia="zh-CN"/>
              </w:rPr>
              <w:t>4.11</w:t>
            </w:r>
            <w:r>
              <w:rPr>
                <w:rFonts w:hint="eastAsia" w:ascii="宋体" w:hAnsi="宋体" w:eastAsia="宋体" w:cs="宋体"/>
                <w:b/>
                <w:bCs/>
              </w:rPr>
              <w:t>因</w:t>
            </w:r>
            <w:r>
              <w:rPr>
                <w:rFonts w:hint="eastAsia" w:ascii="宋体" w:hAnsi="宋体" w:cs="宋体"/>
                <w:b/>
                <w:bCs/>
                <w:lang w:val="en-US" w:eastAsia="zh-CN"/>
              </w:rPr>
              <w:t>中标人</w:t>
            </w:r>
            <w:r>
              <w:rPr>
                <w:rFonts w:hint="eastAsia" w:ascii="宋体" w:hAnsi="宋体" w:eastAsia="宋体" w:cs="宋体"/>
                <w:b/>
                <w:bCs/>
              </w:rPr>
              <w:t>开具的增值税专用发票不及时给</w:t>
            </w:r>
            <w:r>
              <w:rPr>
                <w:rFonts w:hint="eastAsia" w:ascii="宋体" w:hAnsi="宋体" w:cs="宋体"/>
                <w:b/>
                <w:bCs/>
                <w:lang w:val="en-US" w:eastAsia="zh-CN"/>
              </w:rPr>
              <w:t>招标人</w:t>
            </w:r>
            <w:r>
              <w:rPr>
                <w:rFonts w:hint="eastAsia" w:ascii="宋体" w:hAnsi="宋体" w:eastAsia="宋体" w:cs="宋体"/>
                <w:b/>
                <w:bCs/>
              </w:rPr>
              <w:t>造成无法及时认证、抵扣发票等情形的，</w:t>
            </w:r>
            <w:r>
              <w:rPr>
                <w:rFonts w:hint="eastAsia" w:ascii="宋体" w:hAnsi="宋体" w:cs="宋体"/>
                <w:b/>
                <w:bCs/>
                <w:lang w:val="en-US" w:eastAsia="zh-CN"/>
              </w:rPr>
              <w:t>中标人</w:t>
            </w:r>
            <w:r>
              <w:rPr>
                <w:rFonts w:hint="eastAsia" w:ascii="宋体" w:hAnsi="宋体" w:eastAsia="宋体" w:cs="宋体"/>
                <w:b/>
                <w:bCs/>
              </w:rPr>
              <w:t>需向</w:t>
            </w:r>
            <w:r>
              <w:rPr>
                <w:rFonts w:hint="eastAsia" w:ascii="宋体" w:hAnsi="宋体" w:cs="宋体"/>
                <w:b/>
                <w:bCs/>
                <w:lang w:val="en-US" w:eastAsia="zh-CN"/>
              </w:rPr>
              <w:t>招标人</w:t>
            </w:r>
            <w:r>
              <w:rPr>
                <w:rFonts w:hint="eastAsia" w:ascii="宋体" w:hAnsi="宋体" w:eastAsia="宋体" w:cs="宋体"/>
                <w:b/>
                <w:bCs/>
              </w:rPr>
              <w:t>承担赔偿责任，包括但不限于税款、滞纳金、罚款及相关损失等。</w:t>
            </w:r>
          </w:p>
          <w:p>
            <w:pPr>
              <w:bidi w:val="0"/>
              <w:rPr>
                <w:rFonts w:hint="eastAsia" w:ascii="宋体" w:hAnsi="宋体" w:eastAsia="宋体" w:cs="宋体"/>
                <w:b/>
                <w:bCs/>
              </w:rPr>
            </w:pPr>
            <w:r>
              <w:rPr>
                <w:rFonts w:hint="eastAsia" w:ascii="宋体" w:hAnsi="宋体" w:cs="宋体"/>
                <w:b/>
                <w:bCs/>
                <w:lang w:val="en-US" w:eastAsia="zh-CN"/>
              </w:rPr>
              <w:t>4.12中标人</w:t>
            </w:r>
            <w:r>
              <w:rPr>
                <w:rFonts w:hint="eastAsia" w:ascii="宋体" w:hAnsi="宋体" w:eastAsia="宋体" w:cs="宋体"/>
                <w:b/>
                <w:bCs/>
              </w:rPr>
              <w:t>向</w:t>
            </w:r>
            <w:r>
              <w:rPr>
                <w:rFonts w:hint="eastAsia" w:ascii="宋体" w:hAnsi="宋体" w:cs="宋体"/>
                <w:b/>
                <w:bCs/>
                <w:lang w:val="en-US" w:eastAsia="zh-CN"/>
              </w:rPr>
              <w:t>招标人</w:t>
            </w:r>
            <w:r>
              <w:rPr>
                <w:rFonts w:hint="eastAsia" w:ascii="宋体" w:hAnsi="宋体" w:eastAsia="宋体" w:cs="宋体"/>
                <w:b/>
                <w:bCs/>
              </w:rPr>
              <w:t>开具的增值税专用发票，</w:t>
            </w:r>
            <w:r>
              <w:rPr>
                <w:rFonts w:hint="eastAsia" w:ascii="宋体" w:hAnsi="宋体" w:cs="宋体"/>
                <w:b/>
                <w:bCs/>
                <w:lang w:val="en-US" w:eastAsia="zh-CN"/>
              </w:rPr>
              <w:t>中标人</w:t>
            </w:r>
            <w:r>
              <w:rPr>
                <w:rFonts w:hint="eastAsia" w:ascii="宋体" w:hAnsi="宋体" w:eastAsia="宋体" w:cs="宋体"/>
                <w:b/>
                <w:bCs/>
              </w:rPr>
              <w:t>必须确保发票票面信息全部真实。因发票票面信息有误导致发票不能抵扣税款或者被认定为虚开的，</w:t>
            </w:r>
            <w:r>
              <w:rPr>
                <w:rFonts w:hint="eastAsia" w:ascii="宋体" w:hAnsi="宋体" w:cs="宋体"/>
                <w:b/>
                <w:bCs/>
                <w:lang w:val="en-US" w:eastAsia="zh-CN"/>
              </w:rPr>
              <w:t>中标人标人</w:t>
            </w:r>
            <w:r>
              <w:rPr>
                <w:rFonts w:hint="eastAsia" w:ascii="宋体" w:hAnsi="宋体" w:eastAsia="宋体" w:cs="宋体"/>
                <w:b/>
                <w:bCs/>
              </w:rPr>
              <w:t>需向</w:t>
            </w:r>
            <w:r>
              <w:rPr>
                <w:rFonts w:hint="eastAsia" w:ascii="宋体" w:hAnsi="宋体" w:cs="宋体"/>
                <w:b/>
                <w:bCs/>
                <w:lang w:val="en-US" w:eastAsia="zh-CN"/>
              </w:rPr>
              <w:t>招标人</w:t>
            </w:r>
            <w:r>
              <w:rPr>
                <w:rFonts w:hint="eastAsia" w:ascii="宋体" w:hAnsi="宋体" w:eastAsia="宋体" w:cs="宋体"/>
                <w:b/>
                <w:bCs/>
              </w:rPr>
              <w:t>承担赔偿责任，包括但不限于税款、滞纳金、罚款及相关损失等。</w:t>
            </w:r>
          </w:p>
          <w:p>
            <w:pPr>
              <w:bidi w:val="0"/>
              <w:rPr>
                <w:rFonts w:hint="default" w:ascii="Times New Roman" w:hAnsi="Times New Roman" w:cs="Times New Roman"/>
                <w:kern w:val="0"/>
                <w:szCs w:val="24"/>
                <w:highlight w:val="none"/>
                <w:shd w:val="clear" w:color="auto" w:fill="auto"/>
                <w:vertAlign w:val="baseline"/>
                <w:lang w:val="en-US" w:eastAsia="zh-CN"/>
              </w:rPr>
            </w:pPr>
            <w:r>
              <w:rPr>
                <w:rFonts w:hint="eastAsia" w:ascii="宋体" w:hAnsi="宋体" w:cs="宋体"/>
                <w:lang w:val="en-US" w:eastAsia="zh-CN"/>
              </w:rPr>
              <w:t>4.13本项目施工时间至2023年12月30日，养护时间至2024年12月30日，</w:t>
            </w:r>
            <w:r>
              <w:rPr>
                <w:rFonts w:hint="eastAsia" w:ascii="宋体" w:hAnsi="宋体" w:eastAsia="宋体" w:cs="宋体"/>
                <w:lang w:val="en-US" w:eastAsia="zh-CN"/>
              </w:rPr>
              <w:t>在苗木供应、栽种、养护期间项目负责人未经批准离开工地的或月度施工期间考勤不足</w:t>
            </w:r>
            <w:r>
              <w:rPr>
                <w:rFonts w:hint="eastAsia" w:ascii="宋体" w:hAnsi="宋体" w:cs="宋体"/>
                <w:lang w:val="en-US" w:eastAsia="zh-CN"/>
              </w:rPr>
              <w:t>22天</w:t>
            </w:r>
            <w:r>
              <w:rPr>
                <w:rFonts w:hint="eastAsia" w:ascii="宋体" w:hAnsi="宋体" w:eastAsia="宋体" w:cs="宋体"/>
                <w:lang w:val="en-US" w:eastAsia="zh-CN"/>
              </w:rPr>
              <w:t>的，按2000元/人/天进行处罚。</w:t>
            </w:r>
            <w:r>
              <w:rPr>
                <w:rFonts w:hint="eastAsia" w:ascii="宋体" w:hAnsi="宋体" w:cs="宋体"/>
                <w:lang w:val="en-US" w:eastAsia="zh-CN"/>
              </w:rPr>
              <w:t>所</w:t>
            </w:r>
            <w:r>
              <w:rPr>
                <w:rFonts w:hint="eastAsia" w:ascii="宋体" w:hAnsi="宋体" w:eastAsia="宋体" w:cs="宋体"/>
                <w:lang w:val="en-US" w:eastAsia="zh-CN"/>
              </w:rPr>
              <w:t>派2名技术人员负责苗木供应及栽种、养护期间的驻场技术指导。未经批准离开工地的或月度施工期间考勤不足</w:t>
            </w:r>
            <w:r>
              <w:rPr>
                <w:rFonts w:hint="eastAsia" w:ascii="宋体" w:hAnsi="宋体" w:cs="宋体"/>
                <w:lang w:val="en-US" w:eastAsia="zh-CN"/>
              </w:rPr>
              <w:t>26天</w:t>
            </w:r>
            <w:r>
              <w:rPr>
                <w:rFonts w:hint="eastAsia" w:ascii="宋体" w:hAnsi="宋体" w:eastAsia="宋体" w:cs="宋体"/>
                <w:lang w:val="en-US" w:eastAsia="zh-CN"/>
              </w:rPr>
              <w:t>的，按1000元/人/天进行处罚。</w:t>
            </w:r>
            <w:r>
              <w:rPr>
                <w:rFonts w:hint="eastAsia" w:ascii="宋体" w:hAnsi="宋体" w:cs="宋体"/>
                <w:lang w:val="en-US" w:eastAsia="zh-CN"/>
              </w:rPr>
              <w:t>具体考勤方式参照建设单位管理要求另行协商。</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宋体" w:hAnsi="宋体" w:eastAsia="宋体" w:cs="宋体"/>
          <w:b/>
          <w:bCs/>
          <w:sz w:val="32"/>
          <w:szCs w:val="32"/>
          <w:highlight w:val="none"/>
          <w:lang w:val="en-US" w:eastAsia="zh-CN"/>
        </w:rPr>
      </w:pPr>
      <w:r>
        <w:rPr>
          <w:rFonts w:hint="eastAsia" w:ascii="宋体" w:hAnsi="宋体" w:eastAsia="宋体" w:cs="宋体"/>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宋体" w:hAnsi="宋体" w:eastAsia="宋体" w:cs="宋体"/>
          <w:b/>
          <w:bCs/>
          <w:sz w:val="32"/>
          <w:szCs w:val="32"/>
          <w:highlight w:val="none"/>
          <w:lang w:val="en-US" w:eastAsia="zh-CN"/>
        </w:rPr>
      </w:pPr>
      <w:r>
        <w:rPr>
          <w:rFonts w:hint="eastAsia" w:ascii="宋体" w:hAnsi="宋体" w:eastAsia="宋体" w:cs="宋体"/>
          <w:b/>
          <w:bCs/>
          <w:sz w:val="32"/>
          <w:szCs w:val="32"/>
          <w:highlight w:val="none"/>
          <w:lang w:val="en-US" w:eastAsia="zh-CN"/>
        </w:rPr>
        <w:t xml:space="preserve">第五章 </w:t>
      </w:r>
      <w:bookmarkEnd w:id="16"/>
      <w:bookmarkEnd w:id="17"/>
      <w:bookmarkEnd w:id="18"/>
      <w:bookmarkEnd w:id="19"/>
      <w:bookmarkEnd w:id="20"/>
      <w:bookmarkEnd w:id="21"/>
      <w:bookmarkEnd w:id="22"/>
      <w:bookmarkEnd w:id="23"/>
      <w:r>
        <w:rPr>
          <w:rFonts w:hint="eastAsia" w:ascii="宋体" w:hAnsi="宋体" w:eastAsia="宋体" w:cs="宋体"/>
          <w:b/>
          <w:bCs/>
          <w:sz w:val="32"/>
          <w:szCs w:val="32"/>
          <w:highlight w:val="none"/>
          <w:lang w:val="en-US" w:eastAsia="zh-CN"/>
        </w:rPr>
        <w:t>供货要求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8"/>
          <w:szCs w:val="28"/>
          <w:highlight w:val="none"/>
          <w:lang w:val="en-US" w:eastAsia="zh-CN"/>
        </w:rPr>
        <w:t>一、项目概况及总体要求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eastAsia="宋体" w:cs="Times New Roman"/>
          <w:kern w:val="0"/>
          <w:sz w:val="24"/>
          <w:szCs w:val="24"/>
          <w:highlight w:val="none"/>
          <w:lang w:val="en-US" w:eastAsia="zh-CN"/>
        </w:rPr>
        <w:t>亳蒙高速公路一期绿化工程主要施工内容为中央分隔带绿化、路侧绿化、立德枢纽绿化、机场互通绿化等施工图设计内容。主要工程量：撒播草种及铺植草皮149233㎡，乔木2343株，灌木29914株。</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二、材料需求一览表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eastAsia="宋体" w:cs="Times New Roman"/>
          <w:kern w:val="0"/>
          <w:sz w:val="24"/>
          <w:szCs w:val="24"/>
          <w:highlight w:val="none"/>
          <w:lang w:val="en-US" w:eastAsia="zh-CN"/>
        </w:rPr>
      </w:pPr>
      <w:r>
        <w:rPr>
          <w:rFonts w:hint="eastAsia" w:ascii="Times New Roman" w:hAnsi="Times New Roman" w:eastAsia="宋体" w:cs="Times New Roman"/>
          <w:kern w:val="0"/>
          <w:sz w:val="24"/>
          <w:szCs w:val="24"/>
          <w:highlight w:val="none"/>
          <w:lang w:val="en-US" w:eastAsia="zh-CN"/>
        </w:rPr>
        <w:t>详见工程量清单</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8"/>
          <w:szCs w:val="28"/>
          <w:highlight w:val="none"/>
          <w:lang w:val="en-US" w:eastAsia="zh-CN"/>
        </w:rPr>
        <w:t>三、质量标准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详见工程量清单及图纸</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8"/>
          <w:szCs w:val="28"/>
          <w:highlight w:val="none"/>
          <w:lang w:val="en-US" w:eastAsia="zh-CN"/>
        </w:rPr>
        <w:t>四、检验考核要求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lang w:val="en-US" w:eastAsia="zh-CN"/>
        </w:rPr>
      </w:pPr>
      <w:r>
        <w:rPr>
          <w:rFonts w:hint="eastAsia" w:ascii="Times New Roman" w:hAnsi="Times New Roman" w:eastAsia="宋体" w:cs="Times New Roman"/>
          <w:kern w:val="0"/>
          <w:sz w:val="24"/>
          <w:szCs w:val="24"/>
          <w:highlight w:val="none"/>
          <w:lang w:val="en-US" w:eastAsia="zh-CN"/>
        </w:rPr>
        <w:t>1.由于供应期间价格波动幅度，投标人需充分考虑价格、运输费用上涨带来的风险。招标人一律不调整价差，一旦中标，投标人不得因材料上涨而向招标人提出额外要求。建设单位要求增加清单未有的项，按照中标下浮的比例进行结算。建设单位要求删除或减少清单项目及数量，本项直接从合同中删除或减除且招标人不承担违约责任。</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eastAsia="宋体" w:cs="Times New Roman"/>
          <w:kern w:val="0"/>
          <w:sz w:val="24"/>
          <w:szCs w:val="24"/>
          <w:highlight w:val="none"/>
          <w:lang w:val="en-US" w:eastAsia="zh-CN"/>
        </w:rPr>
        <w:t>2.</w:t>
      </w:r>
      <w:r>
        <w:rPr>
          <w:rFonts w:hint="default" w:ascii="Times New Roman" w:hAnsi="Times New Roman" w:eastAsia="宋体" w:cs="Times New Roman"/>
          <w:kern w:val="0"/>
          <w:sz w:val="24"/>
          <w:szCs w:val="24"/>
          <w:highlight w:val="none"/>
          <w:lang w:val="en-US" w:eastAsia="zh-CN"/>
        </w:rPr>
        <w:t>投标人应在开标前对设计图纸、工程量清单进行仔细核对。如有错漏项，投标人应及时与招标人联系，递交纸质材料，要求招标人对招标文件予以澄清。否则，投标人不得再以设计图纸或工程量清单错漏等原因要求招标人调整合同价款。</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五、相关服务要求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lang w:val="en-US" w:eastAsia="zh-CN"/>
        </w:rPr>
      </w:pPr>
      <w:r>
        <w:rPr>
          <w:rFonts w:hint="eastAsia" w:ascii="Times New Roman" w:hAnsi="Times New Roman" w:eastAsia="宋体" w:cs="Times New Roman"/>
          <w:kern w:val="0"/>
          <w:sz w:val="24"/>
          <w:szCs w:val="24"/>
          <w:highlight w:val="none"/>
          <w:lang w:val="en-US" w:eastAsia="zh-CN"/>
        </w:rPr>
        <w:t>1.投标人派遣的技术人员需全面负责苗木供应期间的联络、协调，苗木供应和栽种、养护期间的技术指导（包括但不限于指导人员栽种、养护，提醒招标人配备工人、工机具、设备、其他辅材等）。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lang w:val="en-US" w:eastAsia="zh-CN"/>
        </w:rPr>
      </w:pPr>
      <w:r>
        <w:rPr>
          <w:rFonts w:hint="eastAsia" w:ascii="Times New Roman" w:hAnsi="Times New Roman" w:eastAsia="宋体" w:cs="Times New Roman"/>
          <w:kern w:val="0"/>
          <w:sz w:val="24"/>
          <w:szCs w:val="24"/>
          <w:highlight w:val="none"/>
          <w:lang w:val="en-US" w:eastAsia="zh-CN"/>
        </w:rPr>
        <w:t>2.投标人需派项目负责人1名和技术人员2名，负责苗木供应及栽种、养护期间的联络协调、现场驻场技术指导。所派人员须具备苗木修剪、栽种、养护等专业技术知识，同时具备一定沟通、协调能力。</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eastAsia="宋体" w:cs="Times New Roman"/>
          <w:kern w:val="0"/>
          <w:sz w:val="24"/>
          <w:szCs w:val="24"/>
          <w:highlight w:val="none"/>
          <w:lang w:val="en-US" w:eastAsia="zh-CN"/>
        </w:rPr>
        <w:t>3.养护期内，如发现绿植苗木成活率低于承诺成活率，投标人免费向招标人补供相应品种的绿植苗木，由招标人负责补栽，直至达到承诺成活率为止。</w:t>
      </w: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bCs/>
          <w:sz w:val="32"/>
          <w:szCs w:val="32"/>
          <w:highlight w:val="none"/>
          <w:lang w:val="en-US" w:eastAsia="zh-CN"/>
        </w:rPr>
      </w:pPr>
      <w:r>
        <w:rPr>
          <w:rFonts w:hint="default" w:ascii="Times New Roman" w:hAnsi="Times New Roman" w:eastAsia="宋体" w:cs="Times New Roman"/>
          <w:b/>
          <w:bCs/>
          <w:sz w:val="32"/>
          <w:szCs w:val="32"/>
          <w:highlight w:val="none"/>
          <w:lang w:val="en-US" w:eastAsia="zh-CN"/>
        </w:rPr>
        <w:t>第</w:t>
      </w:r>
      <w:r>
        <w:rPr>
          <w:rFonts w:hint="eastAsia" w:ascii="Times New Roman" w:hAnsi="Times New Roman" w:eastAsia="宋体" w:cs="Times New Roman"/>
          <w:b/>
          <w:bCs/>
          <w:sz w:val="32"/>
          <w:szCs w:val="32"/>
          <w:highlight w:val="none"/>
          <w:lang w:val="en-US" w:eastAsia="zh-CN"/>
        </w:rPr>
        <w:t>六</w:t>
      </w:r>
      <w:r>
        <w:rPr>
          <w:rFonts w:hint="default" w:ascii="Times New Roman" w:hAnsi="Times New Roman" w:eastAsia="宋体" w:cs="Times New Roman"/>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72" w:name="_Toc144974856"/>
      <w:bookmarkStart w:id="73" w:name="_Toc247527827"/>
      <w:bookmarkStart w:id="74" w:name="_Toc300835209"/>
      <w:bookmarkStart w:id="75" w:name="_Toc247514246"/>
      <w:bookmarkStart w:id="76" w:name="_Toc152045787"/>
      <w:bookmarkStart w:id="77" w:name="_Toc152042576"/>
      <w:r>
        <w:rPr>
          <w:rFonts w:hint="default" w:ascii="Times New Roman" w:hAnsi="Times New Roman" w:cs="Times New Roman"/>
        </w:rPr>
        <w:t>目    录</w:t>
      </w:r>
      <w:bookmarkEnd w:id="72"/>
      <w:bookmarkEnd w:id="73"/>
      <w:bookmarkEnd w:id="74"/>
      <w:bookmarkEnd w:id="75"/>
      <w:bookmarkEnd w:id="76"/>
      <w:bookmarkEnd w:id="77"/>
    </w:p>
    <w:p>
      <w:pPr>
        <w:spacing w:line="540" w:lineRule="exact"/>
        <w:rPr>
          <w:rFonts w:hint="default" w:ascii="Times New Roman" w:hAnsi="Times New Roman" w:cs="Times New Roman"/>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一、投标函</w:t>
      </w:r>
    </w:p>
    <w:p>
      <w:pPr>
        <w:spacing w:line="540" w:lineRule="exact"/>
        <w:rPr>
          <w:rFonts w:hint="default" w:ascii="Times New Roman" w:hAnsi="Times New Roman" w:eastAsia="宋体" w:cs="Times New Roman"/>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身份证明（适用于无委托代理人的情况）</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四、商务和技术偏差表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五、分项报价表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六、资格审查资料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七、投标产品性能指标的详细描述</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八、相关服务计划</w:t>
      </w:r>
    </w:p>
    <w:p>
      <w:pPr>
        <w:spacing w:line="540" w:lineRule="exact"/>
        <w:rPr>
          <w:rFonts w:hint="default" w:ascii="Times New Roman" w:hAnsi="Times New Roman" w:eastAsia="宋体" w:cs="Times New Roman"/>
          <w:highlight w:val="none"/>
          <w:lang w:val="en-US" w:eastAsia="zh-CN"/>
        </w:rPr>
      </w:pPr>
      <w:r>
        <w:rPr>
          <w:rFonts w:hint="eastAsia" w:ascii="Times New Roman" w:hAnsi="Times New Roman" w:cs="Times New Roman"/>
          <w:highlight w:val="none"/>
          <w:lang w:val="en-US" w:eastAsia="zh-CN"/>
        </w:rPr>
        <w:t>九</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p>
    <w:p>
      <w:pPr>
        <w:pStyle w:val="2"/>
        <w:rPr>
          <w:rFonts w:hint="default" w:ascii="Times New Roman" w:hAnsi="Times New Roman" w:eastAsia="黑体" w:cs="Times New Roman"/>
          <w:sz w:val="20"/>
          <w:szCs w:val="20"/>
        </w:rPr>
      </w:pPr>
    </w:p>
    <w:p>
      <w:pPr>
        <w:pStyle w:val="2"/>
        <w:rPr>
          <w:rFonts w:hint="default" w:ascii="Times New Roman" w:hAnsi="Times New Roman" w:eastAsia="黑体" w:cs="Times New Roman"/>
          <w:sz w:val="20"/>
          <w:szCs w:val="20"/>
        </w:rPr>
      </w:pPr>
    </w:p>
    <w:p>
      <w:pPr>
        <w:pStyle w:val="2"/>
        <w:rPr>
          <w:rFonts w:hint="default" w:ascii="Times New Roman" w:hAnsi="Times New Roman" w:eastAsia="黑体" w:cs="Times New Roman"/>
          <w:sz w:val="20"/>
          <w:szCs w:val="20"/>
        </w:rPr>
      </w:pPr>
    </w:p>
    <w:p>
      <w:pPr>
        <w:pStyle w:val="2"/>
        <w:rPr>
          <w:rFonts w:hint="default" w:ascii="Times New Roman" w:hAnsi="Times New Roman" w:eastAsia="黑体" w:cs="Times New Roman"/>
          <w:sz w:val="20"/>
          <w:szCs w:val="20"/>
        </w:rPr>
      </w:pPr>
    </w:p>
    <w:p>
      <w:pPr>
        <w:pStyle w:val="2"/>
        <w:rPr>
          <w:rFonts w:hint="default" w:ascii="Times New Roman" w:hAnsi="Times New Roman" w:eastAsia="黑体" w:cs="Times New Roman"/>
          <w:sz w:val="20"/>
          <w:szCs w:val="20"/>
        </w:rPr>
      </w:pPr>
    </w:p>
    <w:p>
      <w:pPr>
        <w:pStyle w:val="2"/>
        <w:rPr>
          <w:rFonts w:hint="default" w:ascii="Times New Roman" w:hAnsi="Times New Roman" w:eastAsia="黑体" w:cs="Times New Roman"/>
          <w:sz w:val="20"/>
          <w:szCs w:val="20"/>
        </w:rPr>
      </w:pPr>
    </w:p>
    <w:p>
      <w:pPr>
        <w:pStyle w:val="2"/>
        <w:rPr>
          <w:rFonts w:hint="default" w:ascii="Times New Roman" w:hAnsi="Times New Roman" w:eastAsia="黑体" w:cs="Times New Roman"/>
          <w:sz w:val="20"/>
          <w:szCs w:val="20"/>
        </w:rPr>
      </w:pPr>
    </w:p>
    <w:p>
      <w:pPr>
        <w:pStyle w:val="3"/>
        <w:jc w:val="center"/>
        <w:rPr>
          <w:rFonts w:hint="default" w:ascii="Times New Roman" w:hAnsi="Times New Roman" w:cs="Times New Roman"/>
          <w:sz w:val="20"/>
          <w:szCs w:val="20"/>
        </w:rPr>
      </w:pPr>
      <w:bookmarkStart w:id="78" w:name="_Toc300835210"/>
      <w:bookmarkStart w:id="79" w:name="_Toc152045788"/>
      <w:bookmarkStart w:id="80" w:name="_Toc144974857"/>
      <w:bookmarkStart w:id="81" w:name="_Toc247514247"/>
      <w:bookmarkStart w:id="82" w:name="_Toc247527828"/>
      <w:bookmarkStart w:id="83" w:name="_Toc152042577"/>
      <w:r>
        <w:rPr>
          <w:rFonts w:hint="default" w:ascii="Times New Roman" w:hAnsi="Times New Roman" w:cs="Times New Roman"/>
        </w:rPr>
        <w:t>一、投标函</w:t>
      </w:r>
      <w:bookmarkEnd w:id="78"/>
      <w:bookmarkEnd w:id="79"/>
      <w:bookmarkEnd w:id="80"/>
      <w:bookmarkEnd w:id="81"/>
      <w:bookmarkEnd w:id="82"/>
      <w:bookmarkEnd w:id="83"/>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eastAsia" w:ascii="Times New Roman" w:hAnsi="Times New Roman" w:eastAsia="宋体" w:cs="Times New Roman"/>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采购招标项目招标文件的全部内容，愿意以人民币（大写）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）提供完成本项目全部供货内容</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并按合同约定履行义务。苗木成活率：</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 xml:space="preserve"> </w:t>
      </w:r>
      <w:r>
        <w:rPr>
          <w:rFonts w:hint="eastAsia" w:ascii="Times New Roman" w:hAnsi="Times New Roman" w:cs="Times New Roman"/>
          <w:szCs w:val="21"/>
          <w:u w:val="none"/>
          <w:lang w:val="en-US" w:eastAsia="zh-CN"/>
        </w:rPr>
        <w:t>%</w:t>
      </w:r>
      <w:r>
        <w:rPr>
          <w:rFonts w:hint="default" w:ascii="Times New Roman" w:hAnsi="Times New Roman" w:cs="Times New Roman"/>
          <w:szCs w:val="21"/>
          <w:u w:val="none"/>
        </w:rPr>
        <w:t xml:space="preserve">  </w:t>
      </w:r>
      <w:r>
        <w:rPr>
          <w:rFonts w:hint="eastAsia" w:ascii="Times New Roman" w:hAnsi="Times New Roman" w:cs="Times New Roman"/>
          <w:szCs w:val="21"/>
          <w:u w:val="none"/>
          <w:lang w:eastAsia="zh-CN"/>
        </w:rPr>
        <w:t>。</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投标函；（2）法定代表人（单位负责人）身份证明或授权委托书；（3）投标保证金（如有）；（4）商务和技术偏差表；（5）分项报价表；（6）资格审查资料；（7）投标产品性能指标的详细描述；（8）相关服务计划；（9）其他资料......</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3.我方承诺除商务和技术偏差表列出的偏差外，我方响应招标文件的全部要求。</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4.我方承诺在招标文件规定的投标有效期内不撤销投标文件。</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5.如我方中标，我方承诺：</w:t>
      </w:r>
    </w:p>
    <w:p>
      <w:pPr>
        <w:spacing w:line="440" w:lineRule="exact"/>
        <w:ind w:firstLine="718" w:firstLineChars="342"/>
        <w:rPr>
          <w:rFonts w:hint="eastAsia" w:ascii="Times New Roman" w:hAnsi="Times New Roman" w:eastAsia="宋体" w:cs="Times New Roman"/>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rPr>
          <w:rFonts w:hint="default" w:ascii="Times New Roman" w:hAnsi="Times New Roman" w:cs="Times New Roman"/>
        </w:rPr>
      </w:pPr>
      <w:bookmarkStart w:id="84" w:name="_Toc144974860"/>
      <w:bookmarkStart w:id="85" w:name="_Toc152042580"/>
      <w:bookmarkStart w:id="86" w:name="_Toc152045791"/>
      <w:bookmarkStart w:id="87" w:name="_Toc247514283"/>
      <w:bookmarkStart w:id="88" w:name="_Toc247527831"/>
      <w:bookmarkStart w:id="89" w:name="_Toc300835213"/>
      <w:r>
        <w:rPr>
          <w:rFonts w:hint="default" w:ascii="Times New Roman" w:hAnsi="Times New Roman" w:cs="Times New Roman"/>
        </w:rPr>
        <w:br w:type="page"/>
      </w:r>
    </w:p>
    <w:p>
      <w:pPr>
        <w:pStyle w:val="3"/>
        <w:jc w:val="center"/>
        <w:rPr>
          <w:rFonts w:hint="default" w:ascii="Times New Roman" w:hAnsi="Times New Roman" w:cs="Times New Roman"/>
        </w:rPr>
      </w:pPr>
      <w:r>
        <w:rPr>
          <w:rFonts w:hint="default" w:ascii="Times New Roman" w:hAnsi="Times New Roman" w:cs="Times New Roman"/>
        </w:rPr>
        <w:t>二、法定代表人</w:t>
      </w:r>
      <w:r>
        <w:rPr>
          <w:rFonts w:hint="eastAsia" w:ascii="Times New Roman" w:hAnsi="Times New Roman" w:cs="Times New Roman"/>
          <w:lang w:eastAsia="zh-CN"/>
        </w:rPr>
        <w:t>（</w:t>
      </w:r>
      <w:r>
        <w:rPr>
          <w:rFonts w:hint="eastAsia" w:ascii="Times New Roman" w:hAnsi="Times New Roman" w:cs="Times New Roman"/>
          <w:lang w:val="en-US" w:eastAsia="zh-CN"/>
        </w:rPr>
        <w:t>单位负责人</w:t>
      </w:r>
      <w:r>
        <w:rPr>
          <w:rFonts w:hint="eastAsia" w:ascii="Times New Roman" w:hAnsi="Times New Roman" w:cs="Times New Roman"/>
          <w:lang w:eastAsia="zh-CN"/>
        </w:rPr>
        <w:t>）</w:t>
      </w:r>
      <w:r>
        <w:rPr>
          <w:rFonts w:hint="default" w:ascii="Times New Roman" w:hAnsi="Times New Roman" w:cs="Times New Roman"/>
        </w:rPr>
        <w:t>身份证明</w:t>
      </w:r>
      <w:bookmarkEnd w:id="84"/>
      <w:bookmarkEnd w:id="85"/>
      <w:bookmarkEnd w:id="86"/>
      <w:bookmarkEnd w:id="87"/>
      <w:bookmarkEnd w:id="88"/>
      <w:bookmarkEnd w:id="89"/>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90" w:name="_Toc152045792"/>
      <w:bookmarkStart w:id="91" w:name="_Toc152042581"/>
      <w:bookmarkStart w:id="92" w:name="_Toc247514284"/>
      <w:bookmarkStart w:id="93" w:name="_Toc300835214"/>
      <w:bookmarkStart w:id="94" w:name="_Toc247527832"/>
      <w:bookmarkStart w:id="95" w:name="_Toc144974861"/>
      <w:r>
        <w:rPr>
          <w:rFonts w:hint="default" w:ascii="Times New Roman" w:hAnsi="Times New Roman" w:cs="Times New Roman"/>
        </w:rPr>
        <w:t>二、授权委托书</w:t>
      </w:r>
      <w:bookmarkEnd w:id="90"/>
      <w:bookmarkEnd w:id="91"/>
      <w:bookmarkEnd w:id="92"/>
      <w:bookmarkEnd w:id="93"/>
      <w:bookmarkEnd w:id="94"/>
      <w:bookmarkEnd w:id="95"/>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w:t>
      </w:r>
      <w:r>
        <w:rPr>
          <w:rFonts w:hint="eastAsia" w:ascii="Times New Roman" w:hAnsi="Times New Roman" w:cs="Times New Roman"/>
          <w:i/>
          <w:iCs/>
          <w:color w:val="auto"/>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的投标文件、签订合同和处理有关事宜，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委托代理人身份证复印件，</w:t>
      </w:r>
      <w:r>
        <w:rPr>
          <w:rFonts w:hint="eastAsia"/>
          <w:lang w:val="en-US" w:eastAsia="zh-CN"/>
        </w:rPr>
        <w:t>委托代理人2022年6月以来任意连续3个月的社保缴费证明复印件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注：本授权委托书需由投标人加盖单位公章并由其法定代表人（单位负责人）和委托代理人签字。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highlight w:val="none"/>
        </w:rPr>
      </w:pPr>
      <w:bookmarkStart w:id="96" w:name="_Toc152045794"/>
      <w:bookmarkStart w:id="97" w:name="_Toc152042583"/>
      <w:bookmarkStart w:id="98" w:name="_Toc300835216"/>
      <w:bookmarkStart w:id="99" w:name="_Toc144974862"/>
      <w:bookmarkStart w:id="100" w:name="_Toc247527834"/>
      <w:bookmarkStart w:id="101" w:name="_Toc247514286"/>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96"/>
      <w:bookmarkEnd w:id="97"/>
      <w:bookmarkEnd w:id="98"/>
      <w:bookmarkEnd w:id="99"/>
      <w:bookmarkEnd w:id="100"/>
      <w:bookmarkEnd w:id="101"/>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eastAsia="宋体" w:cs="Times New Roman"/>
          <w:b w:val="0"/>
          <w:bCs/>
          <w:color w:val="000000"/>
          <w:kern w:val="0"/>
          <w:sz w:val="24"/>
          <w:szCs w:val="24"/>
          <w:highlight w:val="none"/>
        </w:rPr>
      </w:pPr>
      <w:bookmarkStart w:id="102" w:name="_Toc296602998"/>
      <w:r>
        <w:rPr>
          <w:rFonts w:hint="default" w:ascii="Times New Roman" w:hAnsi="Times New Roman" w:eastAsia="宋体" w:cs="Times New Roman"/>
          <w:b w:val="0"/>
          <w:bCs/>
          <w:color w:val="000000"/>
          <w:kern w:val="0"/>
          <w:sz w:val="24"/>
          <w:szCs w:val="24"/>
          <w:highlight w:val="none"/>
        </w:rPr>
        <w:t>1</w:t>
      </w:r>
      <w:r>
        <w:rPr>
          <w:rFonts w:hint="default" w:ascii="Times New Roman" w:hAnsi="Times New Roman" w:eastAsia="宋体" w:cs="Times New Roman"/>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eastAsia="宋体" w:cs="Times New Roman"/>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eastAsia="宋体" w:cs="Times New Roman"/>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eastAsia="宋体" w:cs="Times New Roman"/>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eastAsia="宋体" w:cs="Times New Roman"/>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eastAsia="宋体" w:cs="Times New Roman"/>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eastAsia="宋体" w:cs="Times New Roman"/>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eastAsia="宋体" w:cs="Times New Roman"/>
          <w:b w:val="0"/>
          <w:bCs/>
          <w:color w:val="000000"/>
          <w:kern w:val="0"/>
          <w:sz w:val="24"/>
          <w:szCs w:val="24"/>
          <w:highlight w:val="none"/>
        </w:rPr>
      </w:pPr>
      <w:r>
        <w:rPr>
          <w:rFonts w:hint="default" w:ascii="Times New Roman" w:hAnsi="Times New Roman" w:eastAsia="宋体" w:cs="Times New Roman"/>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eastAsia="宋体" w:cs="Times New Roman"/>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eastAsia="宋体" w:cs="Times New Roman"/>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eastAsia="宋体" w:cs="Times New Roman"/>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eastAsia="宋体" w:cs="Times New Roman"/>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eastAsia="宋体" w:cs="Times New Roman"/>
          <w:b/>
          <w:color w:val="000000"/>
          <w:kern w:val="0"/>
          <w:sz w:val="24"/>
          <w:szCs w:val="24"/>
          <w:highlight w:val="none"/>
        </w:rPr>
        <w:t>备注：</w:t>
      </w:r>
      <w:r>
        <w:rPr>
          <w:rFonts w:hint="default" w:ascii="Times New Roman" w:hAnsi="Times New Roman" w:eastAsia="宋体" w:cs="Times New Roman"/>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102"/>
    <w:p>
      <w:pPr>
        <w:rPr>
          <w:rFonts w:hint="default" w:ascii="Times New Roman" w:hAnsi="Times New Roman" w:cs="Times New Roman"/>
        </w:rPr>
      </w:pPr>
      <w:bookmarkStart w:id="103" w:name="_Toc247527835"/>
      <w:bookmarkStart w:id="104" w:name="_Toc144974863"/>
      <w:bookmarkStart w:id="105" w:name="_Toc152045795"/>
      <w:bookmarkStart w:id="106" w:name="_Toc300835218"/>
      <w:bookmarkStart w:id="107" w:name="_Toc247514287"/>
      <w:bookmarkStart w:id="108" w:name="_Toc152042584"/>
      <w:r>
        <w:rPr>
          <w:rFonts w:hint="default" w:ascii="Times New Roman" w:hAnsi="Times New Roman" w:cs="Times New Roman"/>
        </w:rPr>
        <w:br w:type="page"/>
      </w:r>
    </w:p>
    <w:p>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103"/>
      <w:bookmarkEnd w:id="104"/>
      <w:bookmarkEnd w:id="105"/>
      <w:bookmarkEnd w:id="106"/>
      <w:bookmarkEnd w:id="107"/>
      <w:bookmarkEnd w:id="108"/>
      <w:r>
        <w:rPr>
          <w:rFonts w:hint="eastAsia" w:ascii="Times New Roman" w:hAnsi="Times New Roman" w:cs="Times New Roman"/>
          <w:lang w:val="en-US" w:eastAsia="zh-CN"/>
        </w:rPr>
        <w:t>商务和技术偏差表</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835"/>
        <w:gridCol w:w="2835"/>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noWrap w:val="0"/>
            <w:vAlign w:val="center"/>
          </w:tcPr>
          <w:p>
            <w:pPr>
              <w:jc w:val="center"/>
              <w:rPr>
                <w:rFonts w:hint="eastAsia" w:ascii="Times New Roman" w:hAnsi="Times New Roman" w:eastAsia="宋体" w:cs="Times New Roman"/>
                <w:b/>
                <w:bCs/>
                <w:vertAlign w:val="baseline"/>
                <w:lang w:val="en-US" w:eastAsia="zh-CN"/>
              </w:rPr>
            </w:pPr>
            <w:bookmarkStart w:id="109" w:name="_Toc247527836"/>
            <w:bookmarkStart w:id="110" w:name="_Toc152045796"/>
            <w:bookmarkStart w:id="111" w:name="_Toc152042585"/>
            <w:bookmarkStart w:id="112" w:name="_Toc300835221"/>
            <w:bookmarkStart w:id="113" w:name="_Toc144974864"/>
            <w:bookmarkStart w:id="114" w:name="_Toc247514288"/>
            <w:r>
              <w:rPr>
                <w:rFonts w:hint="eastAsia" w:ascii="Times New Roman" w:hAnsi="Times New Roman" w:cs="Times New Roman"/>
                <w:b/>
                <w:bCs/>
                <w:vertAlign w:val="baseline"/>
                <w:lang w:val="en-US" w:eastAsia="zh-CN"/>
              </w:rPr>
              <w:t>序号</w:t>
            </w:r>
          </w:p>
        </w:tc>
        <w:tc>
          <w:tcPr>
            <w:tcW w:w="2835" w:type="dxa"/>
            <w:noWrap w:val="0"/>
            <w:vAlign w:val="center"/>
          </w:tcPr>
          <w:p>
            <w:pPr>
              <w:jc w:val="center"/>
              <w:rPr>
                <w:rFonts w:hint="default" w:ascii="Times New Roman" w:hAnsi="Times New Roman" w:eastAsia="宋体" w:cs="Times New Roman"/>
                <w:b/>
                <w:bCs/>
                <w:vertAlign w:val="baseline"/>
                <w:lang w:val="en-US" w:eastAsia="zh-CN"/>
              </w:rPr>
            </w:pPr>
            <w:r>
              <w:rPr>
                <w:rFonts w:hint="eastAsia" w:ascii="Times New Roman" w:hAnsi="Times New Roman" w:cs="Times New Roman"/>
                <w:b/>
                <w:bCs/>
                <w:vertAlign w:val="baseline"/>
                <w:lang w:val="en-US" w:eastAsia="zh-CN"/>
              </w:rPr>
              <w:t>招标文件章节及条款号</w:t>
            </w:r>
          </w:p>
        </w:tc>
        <w:tc>
          <w:tcPr>
            <w:tcW w:w="2835" w:type="dxa"/>
            <w:noWrap w:val="0"/>
            <w:vAlign w:val="center"/>
          </w:tcPr>
          <w:p>
            <w:pPr>
              <w:jc w:val="center"/>
              <w:rPr>
                <w:rFonts w:hint="default" w:ascii="Times New Roman" w:hAnsi="Times New Roman" w:eastAsia="宋体" w:cs="Times New Roman"/>
                <w:b/>
                <w:bCs/>
                <w:vertAlign w:val="baseline"/>
                <w:lang w:val="en-US" w:eastAsia="zh-CN"/>
              </w:rPr>
            </w:pPr>
            <w:r>
              <w:rPr>
                <w:rFonts w:hint="eastAsia" w:ascii="Times New Roman" w:hAnsi="Times New Roman" w:cs="Times New Roman"/>
                <w:b/>
                <w:bCs/>
                <w:vertAlign w:val="baseline"/>
                <w:lang w:val="en-US" w:eastAsia="zh-CN"/>
              </w:rPr>
              <w:t>投标文件章节及条款号</w:t>
            </w:r>
          </w:p>
        </w:tc>
        <w:tc>
          <w:tcPr>
            <w:tcW w:w="2001" w:type="dxa"/>
            <w:noWrap w:val="0"/>
            <w:vAlign w:val="center"/>
          </w:tcPr>
          <w:p>
            <w:pPr>
              <w:jc w:val="center"/>
              <w:rPr>
                <w:rFonts w:hint="default" w:ascii="Times New Roman" w:hAnsi="Times New Roman" w:eastAsia="宋体" w:cs="Times New Roman"/>
                <w:b/>
                <w:bCs/>
                <w:vertAlign w:val="baseline"/>
                <w:lang w:val="en-US" w:eastAsia="zh-CN"/>
              </w:rPr>
            </w:pPr>
            <w:r>
              <w:rPr>
                <w:rFonts w:hint="eastAsia" w:ascii="Times New Roman" w:hAnsi="Times New Roman" w:cs="Times New Roman"/>
                <w:b/>
                <w:bCs/>
                <w:vertAlign w:val="baseline"/>
                <w:lang w:val="en-US" w:eastAsia="zh-CN"/>
              </w:rPr>
              <w:t>偏差说明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noWrap w:val="0"/>
            <w:vAlign w:val="center"/>
          </w:tcPr>
          <w:p>
            <w:pPr>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1</w:t>
            </w:r>
          </w:p>
        </w:tc>
        <w:tc>
          <w:tcPr>
            <w:tcW w:w="2835" w:type="dxa"/>
            <w:noWrap w:val="0"/>
            <w:vAlign w:val="center"/>
          </w:tcPr>
          <w:p>
            <w:pPr>
              <w:jc w:val="center"/>
              <w:rPr>
                <w:rFonts w:hint="default" w:ascii="Times New Roman" w:hAnsi="Times New Roman" w:cs="Times New Roman"/>
                <w:vertAlign w:val="baseline"/>
              </w:rPr>
            </w:pPr>
          </w:p>
        </w:tc>
        <w:tc>
          <w:tcPr>
            <w:tcW w:w="2835" w:type="dxa"/>
            <w:noWrap w:val="0"/>
            <w:vAlign w:val="center"/>
          </w:tcPr>
          <w:p>
            <w:pPr>
              <w:jc w:val="center"/>
              <w:rPr>
                <w:rFonts w:hint="default" w:ascii="Times New Roman" w:hAnsi="Times New Roman" w:cs="Times New Roman"/>
                <w:vertAlign w:val="baseline"/>
              </w:rPr>
            </w:pPr>
          </w:p>
        </w:tc>
        <w:tc>
          <w:tcPr>
            <w:tcW w:w="2001" w:type="dxa"/>
            <w:noWrap w:val="0"/>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noWrap w:val="0"/>
            <w:vAlign w:val="center"/>
          </w:tcPr>
          <w:p>
            <w:pPr>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2</w:t>
            </w:r>
          </w:p>
        </w:tc>
        <w:tc>
          <w:tcPr>
            <w:tcW w:w="2835" w:type="dxa"/>
            <w:noWrap w:val="0"/>
            <w:vAlign w:val="center"/>
          </w:tcPr>
          <w:p>
            <w:pPr>
              <w:jc w:val="center"/>
              <w:rPr>
                <w:rFonts w:hint="default" w:ascii="Times New Roman" w:hAnsi="Times New Roman" w:cs="Times New Roman"/>
                <w:vertAlign w:val="baseline"/>
              </w:rPr>
            </w:pPr>
          </w:p>
        </w:tc>
        <w:tc>
          <w:tcPr>
            <w:tcW w:w="2835" w:type="dxa"/>
            <w:noWrap w:val="0"/>
            <w:vAlign w:val="center"/>
          </w:tcPr>
          <w:p>
            <w:pPr>
              <w:jc w:val="center"/>
              <w:rPr>
                <w:rFonts w:hint="default" w:ascii="Times New Roman" w:hAnsi="Times New Roman" w:cs="Times New Roman"/>
                <w:vertAlign w:val="baseline"/>
              </w:rPr>
            </w:pPr>
          </w:p>
        </w:tc>
        <w:tc>
          <w:tcPr>
            <w:tcW w:w="2001" w:type="dxa"/>
            <w:noWrap w:val="0"/>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noWrap w:val="0"/>
            <w:vAlign w:val="center"/>
          </w:tcPr>
          <w:p>
            <w:pPr>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3</w:t>
            </w:r>
          </w:p>
        </w:tc>
        <w:tc>
          <w:tcPr>
            <w:tcW w:w="2835" w:type="dxa"/>
            <w:noWrap w:val="0"/>
            <w:vAlign w:val="center"/>
          </w:tcPr>
          <w:p>
            <w:pPr>
              <w:jc w:val="center"/>
              <w:rPr>
                <w:rFonts w:hint="default" w:ascii="Times New Roman" w:hAnsi="Times New Roman" w:cs="Times New Roman"/>
                <w:vertAlign w:val="baseline"/>
              </w:rPr>
            </w:pPr>
          </w:p>
        </w:tc>
        <w:tc>
          <w:tcPr>
            <w:tcW w:w="2835" w:type="dxa"/>
            <w:noWrap w:val="0"/>
            <w:vAlign w:val="center"/>
          </w:tcPr>
          <w:p>
            <w:pPr>
              <w:jc w:val="center"/>
              <w:rPr>
                <w:rFonts w:hint="default" w:ascii="Times New Roman" w:hAnsi="Times New Roman" w:cs="Times New Roman"/>
                <w:vertAlign w:val="baseline"/>
              </w:rPr>
            </w:pPr>
          </w:p>
        </w:tc>
        <w:tc>
          <w:tcPr>
            <w:tcW w:w="2001" w:type="dxa"/>
            <w:noWrap w:val="0"/>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noWrap w:val="0"/>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835" w:type="dxa"/>
            <w:noWrap w:val="0"/>
            <w:vAlign w:val="center"/>
          </w:tcPr>
          <w:p>
            <w:pPr>
              <w:jc w:val="center"/>
              <w:rPr>
                <w:rFonts w:hint="default" w:ascii="Times New Roman" w:hAnsi="Times New Roman" w:cs="Times New Roman"/>
                <w:vertAlign w:val="baseline"/>
              </w:rPr>
            </w:pPr>
          </w:p>
        </w:tc>
        <w:tc>
          <w:tcPr>
            <w:tcW w:w="2835" w:type="dxa"/>
            <w:noWrap w:val="0"/>
            <w:vAlign w:val="center"/>
          </w:tcPr>
          <w:p>
            <w:pPr>
              <w:jc w:val="center"/>
              <w:rPr>
                <w:rFonts w:hint="default" w:ascii="Times New Roman" w:hAnsi="Times New Roman" w:cs="Times New Roman"/>
                <w:vertAlign w:val="baseline"/>
              </w:rPr>
            </w:pPr>
          </w:p>
        </w:tc>
        <w:tc>
          <w:tcPr>
            <w:tcW w:w="2001" w:type="dxa"/>
            <w:noWrap w:val="0"/>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noWrap w:val="0"/>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835" w:type="dxa"/>
            <w:noWrap w:val="0"/>
            <w:vAlign w:val="center"/>
          </w:tcPr>
          <w:p>
            <w:pPr>
              <w:jc w:val="center"/>
              <w:rPr>
                <w:rFonts w:hint="default" w:ascii="Times New Roman" w:hAnsi="Times New Roman" w:cs="Times New Roman"/>
                <w:vertAlign w:val="baseline"/>
              </w:rPr>
            </w:pPr>
          </w:p>
        </w:tc>
        <w:tc>
          <w:tcPr>
            <w:tcW w:w="2835" w:type="dxa"/>
            <w:noWrap w:val="0"/>
            <w:vAlign w:val="center"/>
          </w:tcPr>
          <w:p>
            <w:pPr>
              <w:jc w:val="center"/>
              <w:rPr>
                <w:rFonts w:hint="default" w:ascii="Times New Roman" w:hAnsi="Times New Roman" w:cs="Times New Roman"/>
                <w:vertAlign w:val="baseline"/>
              </w:rPr>
            </w:pPr>
          </w:p>
        </w:tc>
        <w:tc>
          <w:tcPr>
            <w:tcW w:w="2001" w:type="dxa"/>
            <w:noWrap w:val="0"/>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noWrap w:val="0"/>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835" w:type="dxa"/>
            <w:noWrap w:val="0"/>
            <w:vAlign w:val="center"/>
          </w:tcPr>
          <w:p>
            <w:pPr>
              <w:jc w:val="center"/>
              <w:rPr>
                <w:rFonts w:hint="default" w:ascii="Times New Roman" w:hAnsi="Times New Roman" w:cs="Times New Roman"/>
                <w:vertAlign w:val="baseline"/>
              </w:rPr>
            </w:pPr>
          </w:p>
        </w:tc>
        <w:tc>
          <w:tcPr>
            <w:tcW w:w="2835" w:type="dxa"/>
            <w:noWrap w:val="0"/>
            <w:vAlign w:val="center"/>
          </w:tcPr>
          <w:p>
            <w:pPr>
              <w:jc w:val="center"/>
              <w:rPr>
                <w:rFonts w:hint="default" w:ascii="Times New Roman" w:hAnsi="Times New Roman" w:cs="Times New Roman"/>
                <w:vertAlign w:val="baseline"/>
              </w:rPr>
            </w:pPr>
          </w:p>
        </w:tc>
        <w:tc>
          <w:tcPr>
            <w:tcW w:w="2001" w:type="dxa"/>
            <w:noWrap w:val="0"/>
            <w:vAlign w:val="center"/>
          </w:tcPr>
          <w:p>
            <w:pPr>
              <w:jc w:val="center"/>
              <w:rPr>
                <w:rFonts w:hint="default" w:ascii="Times New Roman" w:hAnsi="Times New Roman" w:cs="Times New Roman"/>
                <w:vertAlign w:val="baseline"/>
              </w:rPr>
            </w:pPr>
          </w:p>
        </w:tc>
      </w:tr>
    </w:tbl>
    <w:p>
      <w:pPr>
        <w:ind w:firstLine="420" w:firstLineChars="200"/>
        <w:rPr>
          <w:rFonts w:hint="default" w:ascii="Times New Roman" w:hAnsi="Times New Roman" w:eastAsia="宋体" w:cs="Times New Roman"/>
          <w:lang w:val="en-US" w:eastAsia="zh-CN"/>
        </w:rPr>
      </w:pPr>
      <w:r>
        <w:rPr>
          <w:rFonts w:hint="eastAsia" w:ascii="Times New Roman" w:hAnsi="Times New Roman" w:cs="Times New Roman"/>
          <w:lang w:val="en-US" w:eastAsia="zh-CN"/>
        </w:rPr>
        <w:t>投标人保证：除商务和技术偏差表列出的偏差外，投标人响应招标文件的全部要求。</w:t>
      </w: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bookmarkEnd w:id="109"/>
      <w:bookmarkEnd w:id="110"/>
      <w:bookmarkEnd w:id="111"/>
      <w:bookmarkEnd w:id="112"/>
      <w:bookmarkEnd w:id="113"/>
      <w:bookmarkEnd w:id="114"/>
      <w:r>
        <w:rPr>
          <w:rFonts w:hint="eastAsia" w:ascii="Times New Roman" w:hAnsi="Times New Roman" w:cs="Times New Roman"/>
          <w:highlight w:val="none"/>
          <w:lang w:val="en-US" w:eastAsia="zh-CN"/>
        </w:rPr>
        <w:t>分项报价表</w:t>
      </w:r>
    </w:p>
    <w:p>
      <w:pPr>
        <w:spacing w:line="440" w:lineRule="exact"/>
        <w:rPr>
          <w:rFonts w:hint="default" w:ascii="Times New Roman" w:hAnsi="Times New Roman" w:eastAsia="黑体" w:cs="Times New Roman"/>
          <w:szCs w:val="21"/>
          <w:highlight w:val="green"/>
        </w:rPr>
      </w:pPr>
    </w:p>
    <w:p>
      <w:pPr>
        <w:tabs>
          <w:tab w:val="left" w:pos="720"/>
        </w:tabs>
        <w:spacing w:line="440" w:lineRule="exact"/>
        <w:ind w:firstLine="420" w:firstLineChars="200"/>
        <w:rPr>
          <w:rFonts w:hint="default" w:ascii="Times New Roman" w:hAnsi="Times New Roman" w:eastAsia="宋体" w:cs="Times New Roman"/>
          <w:szCs w:val="21"/>
          <w:lang w:val="en-US" w:eastAsia="zh-CN"/>
        </w:rPr>
      </w:pPr>
      <w:bookmarkStart w:id="115" w:name="_Toc300835223"/>
      <w:r>
        <w:rPr>
          <w:rFonts w:hint="eastAsia" w:ascii="Times New Roman" w:hAnsi="Times New Roman" w:cs="Times New Roman"/>
          <w:szCs w:val="21"/>
          <w:lang w:val="en-US" w:eastAsia="zh-CN"/>
        </w:rPr>
        <w:t>1. 分项报价表说明</w:t>
      </w:r>
    </w:p>
    <w:p>
      <w:pPr>
        <w:tabs>
          <w:tab w:val="left" w:pos="720"/>
        </w:tabs>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 分项报价表</w:t>
      </w:r>
    </w:p>
    <w:p>
      <w:pPr>
        <w:tabs>
          <w:tab w:val="left" w:pos="720"/>
        </w:tabs>
        <w:spacing w:line="440" w:lineRule="exact"/>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单位：人民币元</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417"/>
        <w:gridCol w:w="850"/>
        <w:gridCol w:w="850"/>
        <w:gridCol w:w="1417"/>
        <w:gridCol w:w="1417"/>
        <w:gridCol w:w="17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0" w:type="dxa"/>
            <w:noWrap w:val="0"/>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序号</w:t>
            </w:r>
          </w:p>
        </w:tc>
        <w:tc>
          <w:tcPr>
            <w:tcW w:w="1417" w:type="dxa"/>
            <w:noWrap w:val="0"/>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分项名称</w:t>
            </w:r>
          </w:p>
        </w:tc>
        <w:tc>
          <w:tcPr>
            <w:tcW w:w="850" w:type="dxa"/>
            <w:noWrap w:val="0"/>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单位</w:t>
            </w:r>
          </w:p>
        </w:tc>
        <w:tc>
          <w:tcPr>
            <w:tcW w:w="850" w:type="dxa"/>
            <w:noWrap w:val="0"/>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数量</w:t>
            </w:r>
          </w:p>
        </w:tc>
        <w:tc>
          <w:tcPr>
            <w:tcW w:w="1417" w:type="dxa"/>
            <w:noWrap w:val="0"/>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单价（元）</w:t>
            </w:r>
          </w:p>
        </w:tc>
        <w:tc>
          <w:tcPr>
            <w:tcW w:w="1417" w:type="dxa"/>
            <w:noWrap w:val="0"/>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总价（元）</w:t>
            </w:r>
          </w:p>
        </w:tc>
        <w:tc>
          <w:tcPr>
            <w:tcW w:w="1718" w:type="dxa"/>
            <w:noWrap w:val="0"/>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noWrap w:val="0"/>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1</w:t>
            </w:r>
          </w:p>
        </w:tc>
        <w:tc>
          <w:tcPr>
            <w:tcW w:w="1417" w:type="dxa"/>
            <w:noWrap w:val="0"/>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noWrap w:val="0"/>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noWrap w:val="0"/>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noWrap w:val="0"/>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noWrap w:val="0"/>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noWrap w:val="0"/>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noWrap w:val="0"/>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2</w:t>
            </w:r>
          </w:p>
        </w:tc>
        <w:tc>
          <w:tcPr>
            <w:tcW w:w="1417" w:type="dxa"/>
            <w:noWrap w:val="0"/>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noWrap w:val="0"/>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noWrap w:val="0"/>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noWrap w:val="0"/>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noWrap w:val="0"/>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noWrap w:val="0"/>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noWrap w:val="0"/>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3</w:t>
            </w:r>
          </w:p>
        </w:tc>
        <w:tc>
          <w:tcPr>
            <w:tcW w:w="1417" w:type="dxa"/>
            <w:noWrap w:val="0"/>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noWrap w:val="0"/>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noWrap w:val="0"/>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noWrap w:val="0"/>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noWrap w:val="0"/>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noWrap w:val="0"/>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noWrap w:val="0"/>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4</w:t>
            </w:r>
          </w:p>
        </w:tc>
        <w:tc>
          <w:tcPr>
            <w:tcW w:w="1417" w:type="dxa"/>
            <w:noWrap w:val="0"/>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noWrap w:val="0"/>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noWrap w:val="0"/>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noWrap w:val="0"/>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noWrap w:val="0"/>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noWrap w:val="0"/>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noWrap w:val="0"/>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5</w:t>
            </w:r>
          </w:p>
        </w:tc>
        <w:tc>
          <w:tcPr>
            <w:tcW w:w="1417" w:type="dxa"/>
            <w:noWrap w:val="0"/>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noWrap w:val="0"/>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noWrap w:val="0"/>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noWrap w:val="0"/>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noWrap w:val="0"/>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noWrap w:val="0"/>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noWrap w:val="0"/>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w:t>
            </w:r>
          </w:p>
        </w:tc>
        <w:tc>
          <w:tcPr>
            <w:tcW w:w="1417" w:type="dxa"/>
            <w:noWrap w:val="0"/>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w:t>
            </w:r>
          </w:p>
        </w:tc>
        <w:tc>
          <w:tcPr>
            <w:tcW w:w="850" w:type="dxa"/>
            <w:noWrap w:val="0"/>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noWrap w:val="0"/>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noWrap w:val="0"/>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noWrap w:val="0"/>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noWrap w:val="0"/>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4" w:type="dxa"/>
            <w:gridSpan w:val="5"/>
            <w:noWrap w:val="0"/>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b/>
                <w:bCs/>
                <w:szCs w:val="21"/>
                <w:vertAlign w:val="baseline"/>
                <w:lang w:val="en-US" w:eastAsia="zh-CN"/>
              </w:rPr>
              <w:t>合计报价</w:t>
            </w:r>
          </w:p>
        </w:tc>
        <w:tc>
          <w:tcPr>
            <w:tcW w:w="1417" w:type="dxa"/>
            <w:noWrap w:val="0"/>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noWrap w:val="0"/>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bl>
    <w:p>
      <w:pPr>
        <w:tabs>
          <w:tab w:val="left" w:pos="720"/>
        </w:tabs>
        <w:spacing w:line="440" w:lineRule="exact"/>
        <w:rPr>
          <w:rFonts w:hint="eastAsia" w:ascii="Times New Roman" w:hAnsi="Times New Roman" w:cs="Times New Roman"/>
          <w:szCs w:val="21"/>
          <w:lang w:val="en-US" w:eastAsia="zh-CN"/>
        </w:rPr>
      </w:pPr>
      <w:r>
        <w:rPr>
          <w:rFonts w:hint="eastAsia" w:ascii="Times New Roman" w:hAnsi="Times New Roman" w:cs="Times New Roman"/>
          <w:lang w:val="en-US" w:eastAsia="zh-CN"/>
        </w:rPr>
        <w:t>注：投标人可根据行业具体情况及招标项目特点对上表格式进行调整。</w:t>
      </w:r>
    </w:p>
    <w:p>
      <w:pPr>
        <w:tabs>
          <w:tab w:val="left" w:pos="720"/>
        </w:tabs>
        <w:spacing w:line="440" w:lineRule="exact"/>
        <w:rPr>
          <w:rFonts w:hint="eastAsia" w:ascii="Times New Roman" w:hAnsi="Times New Roman" w:cs="Times New Roman"/>
          <w:szCs w:val="21"/>
          <w:lang w:val="en-US" w:eastAsia="zh-CN"/>
        </w:rPr>
      </w:pPr>
    </w:p>
    <w:p>
      <w:pPr>
        <w:tabs>
          <w:tab w:val="left" w:pos="720"/>
        </w:tabs>
        <w:spacing w:line="440" w:lineRule="exact"/>
        <w:rPr>
          <w:rFonts w:hint="eastAsia" w:ascii="Times New Roman" w:hAnsi="Times New Roman" w:cs="Times New Roman"/>
          <w:szCs w:val="21"/>
          <w:lang w:val="en-US" w:eastAsia="zh-CN"/>
        </w:rPr>
      </w:pPr>
    </w:p>
    <w:p>
      <w:pPr>
        <w:tabs>
          <w:tab w:val="left" w:pos="720"/>
        </w:tabs>
        <w:spacing w:line="440" w:lineRule="exact"/>
        <w:rPr>
          <w:rFonts w:hint="default" w:ascii="Times New Roman" w:hAnsi="Times New Roman" w:cs="Times New Roman"/>
          <w:szCs w:val="21"/>
          <w:lang w:val="en-US" w:eastAsia="zh-CN"/>
        </w:rPr>
      </w:pPr>
    </w:p>
    <w:p>
      <w:pPr>
        <w:rPr>
          <w:rFonts w:hint="default" w:ascii="Times New Roman" w:hAnsi="Times New Roman" w:cs="Times New Roman"/>
          <w:szCs w:val="21"/>
        </w:rPr>
      </w:pPr>
      <w:r>
        <w:rPr>
          <w:sz w:val="20"/>
        </w:rPr>
        <w:br w:type="page"/>
      </w:r>
    </w:p>
    <w:bookmarkEnd w:id="115"/>
    <w:p>
      <w:pPr>
        <w:pStyle w:val="3"/>
        <w:jc w:val="center"/>
        <w:rPr>
          <w:rFonts w:hint="eastAsia"/>
          <w:highlight w:val="none"/>
        </w:rPr>
      </w:pPr>
      <w:bookmarkStart w:id="116" w:name="_Toc144974876"/>
      <w:bookmarkStart w:id="117" w:name="_Toc152042592"/>
      <w:bookmarkStart w:id="118" w:name="_Toc144974871"/>
      <w:bookmarkStart w:id="119" w:name="_Toc247527848"/>
      <w:bookmarkStart w:id="120" w:name="_Toc246996369"/>
      <w:bookmarkStart w:id="121" w:name="_Toc152045803"/>
      <w:bookmarkStart w:id="122" w:name="_Toc247514300"/>
      <w:bookmarkStart w:id="123" w:name="_Toc296602614"/>
      <w:bookmarkStart w:id="124" w:name="_Toc179632823"/>
      <w:bookmarkStart w:id="125" w:name="_Toc246997112"/>
      <w:bookmarkStart w:id="126" w:name="_Toc152042597"/>
      <w:bookmarkStart w:id="127" w:name="_Toc300835224"/>
      <w:bookmarkStart w:id="128" w:name="_Toc152045808"/>
      <w:bookmarkStart w:id="129" w:name="_Toc247085887"/>
      <w:r>
        <w:rPr>
          <w:rFonts w:hint="eastAsia"/>
          <w:highlight w:val="none"/>
          <w:lang w:val="en-US" w:eastAsia="zh-CN"/>
        </w:rPr>
        <w:t>六</w:t>
      </w:r>
      <w:r>
        <w:rPr>
          <w:highlight w:val="none"/>
        </w:rPr>
        <w:t>、资格审查资料</w:t>
      </w:r>
    </w:p>
    <w:p>
      <w:pPr>
        <w:pStyle w:val="4"/>
        <w:jc w:val="both"/>
        <w:rPr>
          <w:rFonts w:hint="eastAsia"/>
        </w:rPr>
      </w:pPr>
      <w:r>
        <w:t>（一）基本情况表</w:t>
      </w:r>
    </w:p>
    <w:tbl>
      <w:tblPr>
        <w:tblStyle w:val="7"/>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宋体"/>
                <w:szCs w:val="21"/>
                <w:lang w:val="en-US" w:eastAsia="zh-CN"/>
              </w:rPr>
            </w:pPr>
            <w:r>
              <w:rPr>
                <w:rFonts w:hint="eastAsia"/>
                <w:szCs w:val="21"/>
                <w:lang w:val="en-US" w:eastAsia="zh-CN"/>
              </w:rPr>
              <w:t>注册资金</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成立时间</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宋体"/>
                <w:szCs w:val="21"/>
                <w:lang w:val="en-US" w:eastAsia="zh-CN"/>
              </w:rPr>
            </w:pPr>
            <w:r>
              <w:rPr>
                <w:rFonts w:hint="eastAsia"/>
                <w:szCs w:val="21"/>
                <w:lang w:val="en-US" w:eastAsia="zh-CN"/>
              </w:rPr>
              <w:t>注册地址</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宋体"/>
                <w:szCs w:val="21"/>
                <w:lang w:val="en-US" w:eastAsia="zh-CN"/>
              </w:rPr>
            </w:pPr>
            <w:r>
              <w:rPr>
                <w:rFonts w:hint="eastAsia"/>
                <w:szCs w:val="21"/>
                <w:lang w:val="en-US" w:eastAsia="zh-CN"/>
              </w:rPr>
              <w:t>邮政编码</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员工总数</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80" w:hRule="atLeast"/>
        </w:trPr>
        <w:tc>
          <w:tcPr>
            <w:tcW w:w="2551"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宋体"/>
                <w:szCs w:val="21"/>
                <w:lang w:val="en-US" w:eastAsia="zh-CN"/>
              </w:rPr>
            </w:pPr>
            <w:r>
              <w:rPr>
                <w:rFonts w:hint="eastAsia"/>
                <w:szCs w:val="21"/>
                <w:lang w:val="en-US" w:eastAsia="zh-CN"/>
              </w:rPr>
              <w:t>联系人</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宋体"/>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80" w:hRule="atLeast"/>
        </w:trPr>
        <w:tc>
          <w:tcPr>
            <w:tcW w:w="2551"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宋体"/>
                <w:szCs w:val="21"/>
                <w:lang w:val="en-US" w:eastAsia="zh-CN"/>
              </w:rPr>
            </w:pPr>
            <w:r>
              <w:rPr>
                <w:rFonts w:hint="eastAsia"/>
                <w:szCs w:val="21"/>
                <w:lang w:val="en-US" w:eastAsia="zh-CN"/>
              </w:rPr>
              <w:t>网址</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宋体"/>
                <w:szCs w:val="21"/>
                <w:lang w:val="en-US" w:eastAsia="zh-CN"/>
              </w:rPr>
            </w:pPr>
            <w:r>
              <w:rPr>
                <w:rFonts w:hint="eastAsia"/>
                <w:szCs w:val="21"/>
                <w:lang w:val="en-US" w:eastAsia="zh-CN"/>
              </w:rPr>
              <w:t>传真</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80"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r>
              <w:rPr>
                <w:rFonts w:hint="eastAsia"/>
                <w:szCs w:val="21"/>
                <w:lang w:val="en-US" w:eastAsia="zh-CN"/>
              </w:rPr>
              <w:t>法定代表人</w:t>
            </w:r>
          </w:p>
          <w:p>
            <w:pPr>
              <w:topLinePunct/>
              <w:spacing w:line="440" w:lineRule="exact"/>
              <w:jc w:val="center"/>
              <w:rPr>
                <w:rFonts w:hint="default"/>
                <w:szCs w:val="21"/>
                <w:lang w:val="en-US" w:eastAsia="zh-CN"/>
              </w:rPr>
            </w:pPr>
            <w:r>
              <w:rPr>
                <w:rFonts w:hint="eastAsia"/>
                <w:szCs w:val="21"/>
                <w:lang w:val="en-US" w:eastAsia="zh-CN"/>
              </w:rPr>
              <w:t>（单位负责人）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姓名</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宋体"/>
                <w:szCs w:val="21"/>
                <w:lang w:val="en-US" w:eastAsia="zh-CN"/>
              </w:rPr>
            </w:pPr>
            <w:r>
              <w:rPr>
                <w:rFonts w:hint="eastAsia"/>
                <w:szCs w:val="21"/>
                <w:lang w:val="en-US" w:eastAsia="zh-CN"/>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宋体"/>
                <w:szCs w:val="21"/>
                <w:lang w:val="en-US" w:eastAsia="zh-CN"/>
              </w:rPr>
            </w:pPr>
            <w:r>
              <w:rPr>
                <w:rFonts w:hint="eastAsia"/>
                <w:szCs w:val="21"/>
                <w:lang w:val="en-US" w:eastAsia="zh-CN"/>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近三年营业额</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70"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宋体"/>
                <w:szCs w:val="21"/>
                <w:highlight w:val="red"/>
                <w:lang w:val="en-US" w:eastAsia="zh-CN"/>
              </w:rPr>
            </w:pPr>
            <w:r>
              <w:rPr>
                <w:rFonts w:hint="eastAsia"/>
                <w:szCs w:val="21"/>
                <w:highlight w:val="none"/>
                <w:lang w:val="en-US" w:eastAsia="zh-CN"/>
              </w:rPr>
              <w:t>投标人须知要求投标产品制造商需具有的资质证书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highlight w:val="red"/>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lang w:val="en-US" w:eastAsia="zh-CN"/>
        </w:rPr>
      </w:pPr>
      <w:r>
        <w:rPr>
          <w:rFonts w:hint="default" w:ascii="Times New Roman" w:hAnsi="Times New Roman" w:cs="Times New Roman"/>
          <w:lang w:val="en-US" w:eastAsia="zh-CN"/>
        </w:rPr>
        <w:t>注：“投标人基本情况表”应附投标人营业执照和组织机构代码证的复印件（按照“三证合一”或“五证合一”登记制度进行登记的，可仅提供营业执照复印件）</w:t>
      </w:r>
    </w:p>
    <w:p>
      <w:pPr>
        <w:rPr>
          <w:rFonts w:hint="default" w:ascii="Times New Roman" w:hAnsi="Times New Roman" w:cs="Times New Roman"/>
          <w:lang w:val="en-US" w:eastAsia="zh-CN"/>
        </w:rPr>
      </w:pPr>
    </w:p>
    <w:p>
      <w:pPr>
        <w:rPr>
          <w:rFonts w:hint="eastAsia"/>
        </w:rPr>
      </w:pPr>
      <w:r>
        <w:rPr>
          <w:rFonts w:hint="eastAsia"/>
        </w:rPr>
        <w:br w:type="page"/>
      </w:r>
    </w:p>
    <w:p>
      <w:pPr>
        <w:pStyle w:val="4"/>
        <w:jc w:val="both"/>
      </w:pPr>
      <w:bookmarkStart w:id="130" w:name="_Toc247085889"/>
      <w:bookmarkStart w:id="131" w:name="_Toc246997114"/>
      <w:bookmarkStart w:id="132" w:name="_Toc246996371"/>
      <w:bookmarkStart w:id="133" w:name="_Toc296602616"/>
      <w:r>
        <w:t>（二）</w:t>
      </w:r>
      <w:r>
        <w:rPr>
          <w:rFonts w:hint="eastAsia"/>
          <w:lang w:eastAsia="zh-CN"/>
        </w:rPr>
        <w:t>项目负责人</w:t>
      </w:r>
      <w:r>
        <w:t>简历表</w:t>
      </w:r>
      <w:bookmarkEnd w:id="130"/>
      <w:bookmarkEnd w:id="131"/>
      <w:bookmarkEnd w:id="132"/>
      <w:bookmarkEnd w:id="133"/>
    </w:p>
    <w:p>
      <w:pPr>
        <w:topLinePunct/>
        <w:spacing w:line="440" w:lineRule="exact"/>
        <w:jc w:val="center"/>
        <w:rPr>
          <w:rFonts w:eastAsia="黑体"/>
          <w:sz w:val="23"/>
          <w:szCs w:val="23"/>
        </w:rPr>
      </w:pP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hint="eastAsia" w:ascii="宋体" w:hAnsi="宋体"/>
                <w:szCs w:val="21"/>
                <w:lang w:eastAsia="zh-CN"/>
              </w:rPr>
              <w:t>招标人</w:t>
            </w:r>
            <w:r>
              <w:rPr>
                <w:rFonts w:ascii="宋体" w:hAnsi="宋体"/>
                <w:szCs w:val="21"/>
              </w:rPr>
              <w:t>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spacing w:line="400" w:lineRule="exact"/>
        <w:rPr>
          <w:rFonts w:hint="default"/>
          <w:highlight w:val="none"/>
          <w:lang w:val="en-US" w:eastAsia="zh-CN"/>
        </w:rPr>
      </w:pPr>
      <w:r>
        <w:rPr>
          <w:rFonts w:hint="eastAsia"/>
          <w:highlight w:val="none"/>
          <w:lang w:val="en-US" w:eastAsia="zh-CN"/>
        </w:rPr>
        <w:t>注：</w:t>
      </w:r>
    </w:p>
    <w:p>
      <w:pPr>
        <w:spacing w:line="400" w:lineRule="exact"/>
        <w:ind w:firstLine="420" w:firstLineChars="200"/>
        <w:rPr>
          <w:rFonts w:hint="eastAsia" w:eastAsia="宋体"/>
          <w:highlight w:val="none"/>
          <w:lang w:eastAsia="zh-CN"/>
        </w:rPr>
      </w:pPr>
      <w:r>
        <w:rPr>
          <w:rFonts w:hint="eastAsia"/>
          <w:highlight w:val="none"/>
          <w:lang w:val="en-US" w:eastAsia="zh-CN"/>
        </w:rPr>
        <w:t>项目负责人简历应附身份证、学历证（如有）、职称证（如有）、执业资格证书（如有）复印件</w:t>
      </w:r>
      <w:r>
        <w:rPr>
          <w:rFonts w:hint="eastAsia"/>
          <w:highlight w:val="none"/>
        </w:rPr>
        <w:t>，管理过的项目业绩须附</w:t>
      </w:r>
      <w:r>
        <w:rPr>
          <w:rFonts w:hint="eastAsia"/>
          <w:highlight w:val="none"/>
          <w:lang w:val="en-US" w:eastAsia="zh-CN"/>
        </w:rPr>
        <w:t>相关证明材料</w:t>
      </w:r>
      <w:r>
        <w:rPr>
          <w:rFonts w:hint="eastAsia"/>
          <w:highlight w:val="none"/>
        </w:rPr>
        <w:t>复印件</w:t>
      </w:r>
      <w:r>
        <w:rPr>
          <w:rFonts w:hint="eastAsia"/>
          <w:highlight w:val="none"/>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highlight w:val="none"/>
          <w:lang w:val="en-US" w:eastAsia="zh-CN"/>
        </w:rPr>
        <w:t>其他主要人员应附身份证、学历证（如有）、职称证（如有）、有关证书（如有）</w:t>
      </w:r>
      <w:r>
        <w:rPr>
          <w:rFonts w:hint="eastAsia"/>
          <w:highlight w:val="none"/>
        </w:rPr>
        <w:t>复印件</w:t>
      </w:r>
      <w:r>
        <w:rPr>
          <w:rFonts w:hint="eastAsia"/>
          <w:highlight w:val="none"/>
          <w:lang w:eastAsia="zh-CN"/>
        </w:rPr>
        <w:t>。</w:t>
      </w:r>
    </w:p>
    <w:p>
      <w:pPr>
        <w:rPr>
          <w:rFonts w:hint="default" w:ascii="Times New Roman" w:hAnsi="Times New Roman" w:cs="Times New Roman"/>
        </w:rPr>
      </w:pP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（三）近年完成的类似项目情况表</w:t>
      </w:r>
    </w:p>
    <w:p>
      <w:pPr>
        <w:spacing w:line="440" w:lineRule="exact"/>
        <w:jc w:val="center"/>
        <w:rPr>
          <w:rFonts w:hint="default" w:ascii="Times New Roman" w:hAnsi="Times New Roman" w:eastAsia="黑体" w:cs="Times New Roman"/>
          <w:sz w:val="23"/>
          <w:szCs w:val="23"/>
        </w:rPr>
      </w:pPr>
    </w:p>
    <w:tbl>
      <w:tblPr>
        <w:tblStyle w:val="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产品</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eastAsia="宋体" w:cs="Times New Roman"/>
                <w:szCs w:val="21"/>
                <w:lang w:val="en-US" w:eastAsia="zh-CN"/>
              </w:rPr>
            </w:pPr>
            <w:r>
              <w:rPr>
                <w:rFonts w:hint="eastAsia" w:ascii="Times New Roman" w:hAnsi="Times New Roman" w:cs="Times New Roman"/>
                <w:szCs w:val="21"/>
                <w:lang w:val="en-US" w:eastAsia="zh-CN"/>
              </w:rPr>
              <w:t>规格和型号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eastAsia="宋体" w:cs="Times New Roman"/>
                <w:szCs w:val="21"/>
                <w:lang w:val="en-US" w:eastAsia="zh-CN"/>
              </w:rPr>
            </w:pPr>
            <w:r>
              <w:rPr>
                <w:rFonts w:hint="eastAsia" w:ascii="Times New Roman" w:hAnsi="Times New Roman" w:cs="Times New Roman"/>
                <w:szCs w:val="21"/>
                <w:lang w:val="en-US" w:eastAsia="zh-CN"/>
              </w:rPr>
              <w:t>买方名称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eastAsia="宋体" w:cs="Times New Roman"/>
                <w:szCs w:val="21"/>
                <w:lang w:val="en-US" w:eastAsia="zh-CN"/>
              </w:rPr>
            </w:pPr>
            <w:r>
              <w:rPr>
                <w:rFonts w:hint="eastAsia" w:ascii="Times New Roman" w:hAnsi="Times New Roman" w:cs="Times New Roman"/>
                <w:szCs w:val="21"/>
                <w:lang w:val="en-US" w:eastAsia="zh-CN"/>
              </w:rPr>
              <w:t>买方联系人及电话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eastAsia="宋体" w:cs="Times New Roman"/>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附：3.5.3 “近年完成的类似项目情况表”应附中标通知书或合同协议书、不低于100万元的发票等的复印件，具体时间要求见投标人须知前附表。每张表格只填写一个项目，并标明序号。</w:t>
      </w:r>
    </w:p>
    <w:p>
      <w:pPr>
        <w:rPr>
          <w:rFonts w:hint="eastAsia"/>
        </w:rPr>
      </w:pPr>
    </w:p>
    <w:p>
      <w:pPr>
        <w:pStyle w:val="2"/>
        <w:keepNext w:val="0"/>
        <w:keepLines w:val="0"/>
        <w:pageBreakBefore w:val="0"/>
        <w:widowControl w:val="0"/>
        <w:kinsoku/>
        <w:wordWrap/>
        <w:overflowPunct/>
        <w:topLinePunct w:val="0"/>
        <w:autoSpaceDE/>
        <w:autoSpaceDN/>
        <w:bidi w:val="0"/>
        <w:adjustRightInd w:val="0"/>
        <w:snapToGrid/>
        <w:textAlignment w:val="auto"/>
        <w:outlineLvl w:val="9"/>
        <w:rPr>
          <w:rFonts w:hint="eastAsia"/>
        </w:rPr>
      </w:pPr>
    </w:p>
    <w:p>
      <w:pPr>
        <w:pStyle w:val="2"/>
        <w:keepNext w:val="0"/>
        <w:keepLines w:val="0"/>
        <w:pageBreakBefore w:val="0"/>
        <w:widowControl w:val="0"/>
        <w:kinsoku/>
        <w:wordWrap/>
        <w:overflowPunct/>
        <w:topLinePunct w:val="0"/>
        <w:autoSpaceDE/>
        <w:autoSpaceDN/>
        <w:bidi w:val="0"/>
        <w:adjustRightInd w:val="0"/>
        <w:snapToGrid/>
        <w:textAlignment w:val="auto"/>
        <w:outlineLvl w:val="9"/>
        <w:rPr>
          <w:rFonts w:hint="eastAsia"/>
        </w:rPr>
      </w:pPr>
    </w:p>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p>
      <w:pPr>
        <w:pStyle w:val="3"/>
        <w:jc w:val="center"/>
        <w:rPr>
          <w:rFonts w:hint="default" w:eastAsia="黑体"/>
          <w:szCs w:val="21"/>
          <w:lang w:val="en-US" w:eastAsia="zh-CN"/>
        </w:rPr>
      </w:pPr>
      <w:r>
        <w:rPr>
          <w:rFonts w:hint="default" w:ascii="Times New Roman" w:hAnsi="Times New Roman" w:cs="Times New Roman"/>
        </w:rPr>
        <w:br w:type="page"/>
      </w:r>
      <w:r>
        <w:rPr>
          <w:rFonts w:hint="eastAsia"/>
          <w:lang w:val="en-US" w:eastAsia="zh-CN"/>
        </w:rPr>
        <w:t>七、投标产品性能指标的详细描述</w:t>
      </w:r>
    </w:p>
    <w:p>
      <w:pPr>
        <w:rPr>
          <w:rFonts w:hint="default" w:ascii="Times New Roman" w:hAnsi="Times New Roman" w:cs="Times New Roman"/>
        </w:rPr>
      </w:pPr>
      <w:r>
        <w:rPr>
          <w:rFonts w:hint="eastAsia" w:ascii="宋体" w:hAnsi="宋体" w:eastAsia="宋体" w:cs="宋体"/>
          <w:kern w:val="0"/>
          <w:sz w:val="24"/>
          <w:szCs w:val="24"/>
          <w:highlight w:val="none"/>
          <w:lang w:val="en-US" w:eastAsia="zh-CN"/>
        </w:rPr>
        <w:t>如供货超出图纸要求胸径、冠幅、高度等苗木可以在此列项说明</w:t>
      </w:r>
      <w:r>
        <w:rPr>
          <w:rFonts w:hint="default" w:ascii="Times New Roman" w:hAnsi="Times New Roman" w:cs="Times New Roman"/>
        </w:rPr>
        <w:br w:type="page"/>
      </w:r>
    </w:p>
    <w:p>
      <w:pPr>
        <w:pStyle w:val="3"/>
        <w:keepNext/>
        <w:keepLines/>
        <w:pageBreakBefore w:val="0"/>
        <w:widowControl w:val="0"/>
        <w:kinsoku/>
        <w:wordWrap/>
        <w:overflowPunct/>
        <w:topLinePunct w:val="0"/>
        <w:autoSpaceDE/>
        <w:autoSpaceDN/>
        <w:bidi w:val="0"/>
        <w:adjustRightInd/>
        <w:snapToGrid/>
        <w:spacing w:line="416" w:lineRule="auto"/>
        <w:jc w:val="center"/>
        <w:textAlignment w:val="auto"/>
        <w:rPr>
          <w:rFonts w:hint="default"/>
          <w:lang w:val="en-US" w:eastAsia="zh-CN"/>
        </w:rPr>
      </w:pPr>
      <w:r>
        <w:rPr>
          <w:rFonts w:hint="eastAsia"/>
          <w:lang w:val="en-US" w:eastAsia="zh-CN"/>
        </w:rPr>
        <w:t>八、相关服务计划</w:t>
      </w:r>
    </w:p>
    <w:p>
      <w:pPr>
        <w:jc w:val="both"/>
        <w:rPr>
          <w:rFonts w:hint="default" w:ascii="Times New Roman" w:hAnsi="Times New Roman" w:cs="Times New Roman"/>
        </w:rPr>
      </w:pPr>
      <w:r>
        <w:rPr>
          <w:rFonts w:hint="eastAsia" w:ascii="宋体" w:hAnsi="宋体" w:eastAsia="宋体" w:cs="宋体"/>
          <w:kern w:val="0"/>
          <w:sz w:val="24"/>
          <w:szCs w:val="24"/>
          <w:highlight w:val="none"/>
          <w:lang w:val="en-US" w:eastAsia="zh-CN"/>
        </w:rPr>
        <w:t>编写技术方案，方案包括但不限于苗木供应方案、种植指导方案、养护指导方案等。</w:t>
      </w:r>
    </w:p>
    <w:p>
      <w:pPr>
        <w:keepNext w:val="0"/>
        <w:keepLines w:val="0"/>
        <w:pageBreakBefore w:val="0"/>
        <w:widowControl w:val="0"/>
        <w:kinsoku/>
        <w:wordWrap/>
        <w:overflowPunct/>
        <w:topLinePunct w:val="0"/>
        <w:autoSpaceDE/>
        <w:autoSpaceDN/>
        <w:bidi w:val="0"/>
        <w:adjustRightInd/>
        <w:snapToGrid/>
        <w:spacing w:before="260" w:after="260" w:line="440" w:lineRule="exact"/>
        <w:jc w:val="center"/>
        <w:textAlignment w:val="auto"/>
        <w:outlineLvl w:val="1"/>
        <w:rPr>
          <w:rFonts w:hint="default" w:ascii="Times New Roman" w:hAnsi="Times New Roman" w:cs="Times New Roman"/>
        </w:rPr>
      </w:pPr>
      <w:r>
        <w:rPr>
          <w:rFonts w:hint="default" w:ascii="Times New Roman" w:hAnsi="Times New Roman" w:cs="Times New Roman"/>
        </w:rPr>
        <w:br w:type="page"/>
      </w:r>
      <w:bookmarkStart w:id="134" w:name="_Toc300835233"/>
      <w:bookmarkStart w:id="135" w:name="_Toc271821942"/>
      <w:r>
        <w:rPr>
          <w:rStyle w:val="11"/>
          <w:rFonts w:hint="eastAsia"/>
          <w:lang w:val="en-US" w:eastAsia="zh-CN"/>
        </w:rPr>
        <w:t>九</w:t>
      </w:r>
      <w:r>
        <w:rPr>
          <w:rStyle w:val="11"/>
          <w:rFonts w:hint="default"/>
          <w:lang w:val="en-US" w:eastAsia="zh-CN"/>
        </w:rPr>
        <w:t>、其他资料</w:t>
      </w:r>
      <w:bookmarkEnd w:id="134"/>
      <w:bookmarkEnd w:id="135"/>
    </w:p>
    <w:p>
      <w:pPr>
        <w:ind w:firstLine="420" w:firstLineChars="200"/>
        <w:rPr>
          <w:rFonts w:hint="eastAsia" w:ascii="Times New Roman" w:hAnsi="Times New Roman" w:eastAsia="宋体"/>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pPr>
        <w:spacing w:line="400" w:lineRule="exact"/>
        <w:rPr>
          <w:rFonts w:hint="default" w:ascii="Times New Roman" w:hAnsi="Times New Roman" w:cs="Times New Roman"/>
        </w:rPr>
      </w:pPr>
    </w:p>
    <w:p>
      <w:pPr>
        <w:rPr>
          <w:rFonts w:hint="default" w:ascii="Times New Roman" w:hAnsi="Times New Roman" w:eastAsia="宋体" w:cs="Times New Roman"/>
          <w:b w:val="0"/>
          <w:bCs w:val="0"/>
          <w:kern w:val="0"/>
          <w:sz w:val="24"/>
          <w:szCs w:val="24"/>
          <w:highlight w:val="none"/>
          <w:lang w:val="en-US" w:eastAsia="zh-CN" w:bidi="ar-S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Wingdings 2">
    <w:panose1 w:val="05020102010507070707"/>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rFonts w:hint="eastAsia"/>
        <w:lang w:eastAsia="zh-CN"/>
      </w:rPr>
      <w:tab/>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ZmU1NzVmNjhkMDIxNjU5ZDRhNTBkNWVmYjUyMGYifQ=="/>
  </w:docVars>
  <w:rsids>
    <w:rsidRoot w:val="00000000"/>
    <w:rsid w:val="12811699"/>
    <w:rsid w:val="2AD26B41"/>
    <w:rsid w:val="56131107"/>
    <w:rsid w:val="7DD462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2"/>
    <w:basedOn w:val="1"/>
    <w:next w:val="1"/>
    <w:link w:val="1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标4"/>
    <w:basedOn w:val="1"/>
    <w:qFormat/>
    <w:uiPriority w:val="0"/>
    <w:pPr>
      <w:adjustRightInd w:val="0"/>
      <w:spacing w:before="240" w:after="360" w:line="240" w:lineRule="exact"/>
      <w:ind w:firstLine="0" w:firstLineChars="0"/>
      <w:outlineLvl w:val="3"/>
    </w:pPr>
    <w:rPr>
      <w:rFonts w:ascii="Arial" w:hAnsi="Arial" w:cs="Arial"/>
      <w:b/>
      <w:bCs/>
      <w:kern w:val="24"/>
    </w:rPr>
  </w:style>
  <w:style w:type="paragraph" w:styleId="5">
    <w:name w:val="annotation text"/>
    <w:basedOn w:val="1"/>
    <w:qFormat/>
    <w:uiPriority w:val="0"/>
    <w:pPr>
      <w:jc w:val="left"/>
    </w:pPr>
    <w:rPr>
      <w:rFonts w:ascii="Calibri" w:hAnsi="Calibri" w:eastAsia="宋体"/>
      <w:sz w:val="28"/>
    </w:rPr>
  </w:style>
  <w:style w:type="paragraph" w:styleId="6">
    <w:name w:val="footer"/>
    <w:basedOn w:val="1"/>
    <w:qFormat/>
    <w:uiPriority w:val="0"/>
    <w:pPr>
      <w:tabs>
        <w:tab w:val="center" w:pos="4153"/>
        <w:tab w:val="right" w:pos="8306"/>
      </w:tabs>
      <w:snapToGrid w:val="0"/>
      <w:jc w:val="left"/>
    </w:pPr>
    <w:rPr>
      <w:sz w:val="18"/>
      <w:szCs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Table Paragraph"/>
    <w:basedOn w:val="1"/>
    <w:qFormat/>
    <w:uiPriority w:val="1"/>
    <w:rPr>
      <w:rFonts w:ascii="宋体" w:hAnsi="宋体" w:eastAsia="宋体" w:cs="宋体"/>
    </w:rPr>
  </w:style>
  <w:style w:type="character" w:customStyle="1" w:styleId="11">
    <w:name w:val="标题 2 Char"/>
    <w:link w:val="3"/>
    <w:qFormat/>
    <w:uiPriority w:val="0"/>
    <w:rPr>
      <w:rFonts w:ascii="Arial" w:hAnsi="Arial" w:eastAsia="黑体"/>
      <w:b/>
      <w:bCs/>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2020-12-04T07:15:00Z</dcterms:created>
  <dc:creator>59218</dc:creator>
  <cp:lastModifiedBy>TiMe</cp:lastModifiedBy>
  <dcterms:modified xsi:type="dcterms:W3CDTF">2023-01-09T08:14:47Z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E866AE0A9D7641D890F4D300F00EF93E</vt:lpwstr>
  </property>
</Properties>
</file>