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亳州市安源公交首末站充电桩改造项目低压改造工程招标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color w:val="auto"/>
          <w:kern w:val="0"/>
          <w:sz w:val="28"/>
          <w:szCs w:val="28"/>
          <w:highlight w:val="none"/>
          <w:lang w:val="en-US" w:eastAsia="zh-CN"/>
        </w:rPr>
      </w:pPr>
      <w:r>
        <w:rPr>
          <w:rFonts w:hint="default" w:ascii="Times New Roman" w:hAnsi="Times New Roman" w:eastAsia="楷体" w:cs="Times New Roman"/>
          <w:color w:val="auto"/>
          <w:kern w:val="0"/>
          <w:sz w:val="28"/>
          <w:szCs w:val="28"/>
          <w:highlight w:val="none"/>
          <w:lang w:val="en-US" w:eastAsia="zh-CN"/>
        </w:rPr>
        <w:t>项目编号</w:t>
      </w:r>
      <w:r>
        <w:rPr>
          <w:rFonts w:hint="default" w:ascii="Times New Roman" w:hAnsi="Times New Roman" w:eastAsia="楷体" w:cs="Times New Roman"/>
          <w:color w:val="auto"/>
          <w:kern w:val="0"/>
          <w:sz w:val="28"/>
          <w:szCs w:val="28"/>
          <w:highlight w:val="none"/>
          <w:shd w:val="clear" w:color="auto" w:fill="auto"/>
          <w:lang w:val="en-US" w:eastAsia="zh-CN"/>
        </w:rPr>
        <w:t>：</w:t>
      </w:r>
      <w:r>
        <w:rPr>
          <w:rFonts w:hint="eastAsia" w:ascii="Times New Roman" w:hAnsi="Times New Roman" w:eastAsia="楷体" w:cs="Times New Roman"/>
          <w:color w:val="auto"/>
          <w:kern w:val="0"/>
          <w:sz w:val="28"/>
          <w:szCs w:val="28"/>
          <w:highlight w:val="none"/>
          <w:shd w:val="clear" w:color="auto" w:fill="auto"/>
          <w:lang w:val="en-US" w:eastAsia="zh-CN"/>
        </w:rPr>
        <w:t>BZJK-2022-053号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r>
        <w:rPr>
          <w:rFonts w:hint="eastAsia" w:ascii="Times New Roman" w:hAnsi="Times New Roman" w:eastAsia="楷体" w:cs="Times New Roman"/>
          <w:kern w:val="0"/>
          <w:sz w:val="32"/>
          <w:szCs w:val="32"/>
          <w:highlight w:val="none"/>
          <w:shd w:val="clear" w:color="auto" w:fill="auto"/>
          <w:lang w:val="en-US" w:eastAsia="zh-CN"/>
        </w:rPr>
        <w:t>安徽省安车交通运输集团有限公司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r>
        <w:rPr>
          <w:rFonts w:hint="eastAsia" w:ascii="Times New Roman" w:hAnsi="Times New Roman" w:eastAsia="楷体" w:cs="Times New Roman"/>
          <w:kern w:val="0"/>
          <w:sz w:val="32"/>
          <w:szCs w:val="32"/>
          <w:highlight w:val="none"/>
          <w:shd w:val="clear" w:color="auto" w:fill="auto"/>
          <w:lang w:val="en-US" w:eastAsia="zh-CN"/>
        </w:rPr>
        <w:t>二〇二</w:t>
      </w:r>
      <w:r>
        <w:rPr>
          <w:rFonts w:hint="eastAsia" w:ascii="Times New Roman" w:hAnsi="Times New Roman" w:eastAsia="楷体" w:cs="Times New Roman"/>
          <w:color w:val="auto"/>
          <w:kern w:val="0"/>
          <w:sz w:val="32"/>
          <w:szCs w:val="32"/>
          <w:highlight w:val="none"/>
          <w:shd w:val="clear" w:color="auto" w:fill="auto"/>
          <w:lang w:val="en-US" w:eastAsia="zh-CN"/>
        </w:rPr>
        <w:t>二</w:t>
      </w:r>
      <w:r>
        <w:rPr>
          <w:rFonts w:hint="eastAsia" w:ascii="Times New Roman" w:hAnsi="Times New Roman" w:eastAsia="楷体" w:cs="Times New Roman"/>
          <w:kern w:val="0"/>
          <w:sz w:val="32"/>
          <w:szCs w:val="32"/>
          <w:highlight w:val="none"/>
          <w:shd w:val="clear" w:color="auto" w:fill="auto"/>
          <w:lang w:val="en-US" w:eastAsia="zh-CN"/>
        </w:rPr>
        <w:t>年</w:t>
      </w:r>
      <w:r>
        <w:rPr>
          <w:rFonts w:hint="eastAsia" w:ascii="Times New Roman" w:hAnsi="Times New Roman" w:eastAsia="楷体" w:cs="Times New Roman"/>
          <w:color w:val="0000FF"/>
          <w:kern w:val="0"/>
          <w:sz w:val="32"/>
          <w:szCs w:val="32"/>
          <w:highlight w:val="none"/>
          <w:shd w:val="clear" w:color="auto" w:fill="auto"/>
          <w:lang w:val="en-US" w:eastAsia="zh-CN"/>
        </w:rPr>
        <w:t>十一</w:t>
      </w:r>
      <w:r>
        <w:rPr>
          <w:rFonts w:hint="eastAsia" w:ascii="Times New Roman" w:hAnsi="Times New Roman" w:eastAsia="楷体" w:cs="Times New Roman"/>
          <w:color w:val="auto"/>
          <w:kern w:val="0"/>
          <w:sz w:val="32"/>
          <w:szCs w:val="32"/>
          <w:highlight w:val="none"/>
          <w:shd w:val="clear" w:color="auto" w:fill="auto"/>
          <w:lang w:val="en-US" w:eastAsia="zh-CN"/>
        </w:rPr>
        <w:t>月</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第二章 投标人须知...................................................................</w:t>
      </w:r>
      <w:r>
        <w:rPr>
          <w:rFonts w:hint="eastAsia" w:ascii="Times New Roman" w:hAnsi="Times New Roman" w:eastAsia="黑体" w:cs="Times New Roman"/>
          <w:color w:val="auto"/>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eastAsia"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第三章 评标办法</w:t>
      </w:r>
      <w:r>
        <w:rPr>
          <w:rFonts w:hint="eastAsia" w:ascii="Times New Roman" w:hAnsi="Times New Roman" w:eastAsia="黑体" w:cs="Times New Roman"/>
          <w:color w:val="auto"/>
          <w:kern w:val="0"/>
          <w:sz w:val="32"/>
          <w:szCs w:val="32"/>
          <w:highlight w:val="none"/>
          <w:lang w:val="en-US" w:eastAsia="zh-CN"/>
        </w:rPr>
        <w:t>（综合评估法）</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12</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四</w:t>
      </w:r>
      <w:r>
        <w:rPr>
          <w:rFonts w:hint="default" w:ascii="Times New Roman" w:hAnsi="Times New Roman" w:eastAsia="黑体" w:cs="Times New Roman"/>
          <w:color w:val="auto"/>
          <w:kern w:val="0"/>
          <w:sz w:val="32"/>
          <w:szCs w:val="32"/>
          <w:highlight w:val="none"/>
          <w:lang w:val="en-US" w:eastAsia="zh-CN"/>
        </w:rPr>
        <w:t>章 合同条款及格式......................................</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19</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五</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技术标准和要求</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20</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六</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投标文件格式</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30</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72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宋体" w:hAnsi="宋体" w:eastAsia="宋体" w:cs="宋体"/>
          <w:b/>
          <w:bCs/>
          <w:sz w:val="32"/>
          <w:szCs w:val="32"/>
          <w:highlight w:val="none"/>
          <w:lang w:val="en-US" w:eastAsia="zh-CN"/>
        </w:rPr>
      </w:pPr>
      <w:r>
        <w:rPr>
          <w:rFonts w:hint="eastAsia" w:ascii="宋体" w:hAnsi="宋体" w:eastAsia="宋体" w:cs="宋体"/>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lang w:val="en-US" w:eastAsia="zh-CN"/>
        </w:rPr>
        <w:t>亳州市安源公交首末站充电桩改造项目低压改造工程招标公告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152042295"/>
      <w:bookmarkStart w:id="1" w:name="_Toc246996909"/>
      <w:bookmarkStart w:id="2" w:name="_Toc179632536"/>
      <w:bookmarkStart w:id="3" w:name="_Toc246996166"/>
      <w:bookmarkStart w:id="4" w:name="_Toc144974487"/>
      <w:bookmarkStart w:id="5" w:name="_Toc247085680"/>
      <w:bookmarkStart w:id="6" w:name="_Toc296602410"/>
      <w:bookmarkStart w:id="7" w:name="_Toc152045519"/>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8" w:name="_Toc144974488"/>
      <w:bookmarkStart w:id="9" w:name="_Toc246996167"/>
      <w:bookmarkStart w:id="10" w:name="_Toc296602411"/>
      <w:bookmarkStart w:id="11" w:name="_Toc152045520"/>
      <w:bookmarkStart w:id="12" w:name="_Toc246996910"/>
      <w:bookmarkStart w:id="13" w:name="_Toc179632537"/>
      <w:bookmarkStart w:id="14" w:name="_Toc247085681"/>
      <w:bookmarkStart w:id="15" w:name="_Toc152042296"/>
      <w:r>
        <w:rPr>
          <w:rFonts w:ascii="Times New Roman" w:hAnsi="Times New Roman" w:eastAsia="仿宋_GB2312" w:cs="Times New Roman"/>
          <w:sz w:val="28"/>
          <w:szCs w:val="28"/>
          <w:highlight w:val="none"/>
        </w:rPr>
        <w:t>本招标项目为</w:t>
      </w:r>
      <w:r>
        <w:rPr>
          <w:rFonts w:hint="default" w:ascii="Times New Roman" w:hAnsi="Times New Roman" w:eastAsia="仿宋_GB2312" w:cs="Times New Roman"/>
          <w:sz w:val="28"/>
          <w:szCs w:val="28"/>
          <w:highlight w:val="none"/>
          <w:u w:val="single"/>
          <w:lang w:val="en-US" w:eastAsia="zh-CN"/>
        </w:rPr>
        <w:t>亳州市安源公交首末站充电桩改造项目</w:t>
      </w:r>
      <w:r>
        <w:rPr>
          <w:rFonts w:hint="default" w:ascii="Times New Roman" w:hAnsi="Times New Roman" w:eastAsia="仿宋_GB2312" w:cs="Times New Roman"/>
          <w:sz w:val="28"/>
          <w:szCs w:val="28"/>
          <w:highlight w:val="none"/>
          <w:u w:val="single"/>
        </w:rPr>
        <w:t>低压改造工程招标</w:t>
      </w:r>
      <w:r>
        <w:rPr>
          <w:rFonts w:ascii="Times New Roman" w:hAnsi="Times New Roman" w:eastAsia="仿宋_GB2312" w:cs="Times New Roman"/>
          <w:sz w:val="28"/>
          <w:szCs w:val="28"/>
          <w:highlight w:val="none"/>
          <w:u w:val="single"/>
        </w:rPr>
        <w:t>（项目编号：</w:t>
      </w:r>
      <w:r>
        <w:rPr>
          <w:rFonts w:hint="eastAsia" w:ascii="Times New Roman" w:hAnsi="Times New Roman" w:eastAsia="仿宋_GB2312" w:cs="Times New Roman"/>
          <w:sz w:val="28"/>
          <w:szCs w:val="28"/>
          <w:highlight w:val="none"/>
          <w:u w:val="single"/>
          <w:lang w:eastAsia="zh-CN"/>
        </w:rPr>
        <w:t>BZJK-2022-053号</w:t>
      </w:r>
      <w:r>
        <w:rPr>
          <w:rFonts w:ascii="Times New Roman" w:hAnsi="Times New Roman" w:eastAsia="仿宋_GB2312" w:cs="Times New Roman"/>
          <w:sz w:val="28"/>
          <w:szCs w:val="28"/>
          <w:highlight w:val="none"/>
          <w:u w:val="single"/>
        </w:rPr>
        <w:t>）</w:t>
      </w:r>
      <w:r>
        <w:rPr>
          <w:rFonts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rPr>
        <w:t>项目业主为</w:t>
      </w:r>
      <w:r>
        <w:rPr>
          <w:rFonts w:hint="eastAsia" w:ascii="Times New Roman" w:hAnsi="Times New Roman" w:eastAsia="仿宋_GB2312" w:cs="Times New Roman"/>
          <w:sz w:val="28"/>
          <w:szCs w:val="28"/>
          <w:highlight w:val="none"/>
          <w:u w:val="single"/>
        </w:rPr>
        <w:t>安徽省安车交通运输集团有限公司</w:t>
      </w:r>
      <w:r>
        <w:rPr>
          <w:rFonts w:hint="eastAsia"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lang w:val="en-US" w:eastAsia="zh-CN"/>
        </w:rPr>
        <w:t>建设</w:t>
      </w:r>
      <w:r>
        <w:rPr>
          <w:rFonts w:hint="eastAsia" w:ascii="Times New Roman" w:hAnsi="Times New Roman" w:eastAsia="仿宋_GB2312" w:cs="Times New Roman"/>
          <w:sz w:val="28"/>
          <w:szCs w:val="28"/>
          <w:highlight w:val="none"/>
        </w:rPr>
        <w:t>资金来自</w:t>
      </w:r>
      <w:r>
        <w:rPr>
          <w:rFonts w:hint="eastAsia" w:ascii="Times New Roman" w:hAnsi="Times New Roman" w:eastAsia="仿宋_GB2312" w:cs="Times New Roman"/>
          <w:sz w:val="28"/>
          <w:szCs w:val="28"/>
          <w:highlight w:val="none"/>
          <w:u w:val="single"/>
          <w:lang w:val="en-US" w:eastAsia="zh-CN"/>
        </w:rPr>
        <w:t>自筹资金</w:t>
      </w:r>
      <w:r>
        <w:rPr>
          <w:rFonts w:hint="eastAsia"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lang w:val="en-US" w:eastAsia="zh-CN"/>
        </w:rPr>
        <w:t>项目出资比例为</w:t>
      </w:r>
      <w:r>
        <w:rPr>
          <w:rFonts w:hint="eastAsia" w:ascii="Times New Roman" w:hAnsi="Times New Roman" w:eastAsia="仿宋_GB2312" w:cs="Times New Roman"/>
          <w:sz w:val="28"/>
          <w:szCs w:val="28"/>
          <w:highlight w:val="none"/>
          <w:u w:val="single"/>
          <w:lang w:val="en-US" w:eastAsia="zh-CN"/>
        </w:rPr>
        <w:t>100%</w:t>
      </w:r>
      <w:r>
        <w:rPr>
          <w:rFonts w:hint="eastAsia" w:ascii="Times New Roman" w:hAnsi="Times New Roman" w:eastAsia="仿宋_GB2312" w:cs="Times New Roman"/>
          <w:sz w:val="28"/>
          <w:szCs w:val="28"/>
          <w:highlight w:val="none"/>
          <w:u w:val="none"/>
          <w:lang w:val="en-US" w:eastAsia="zh-CN"/>
        </w:rPr>
        <w:t>，</w:t>
      </w:r>
      <w:r>
        <w:rPr>
          <w:rFonts w:ascii="Times New Roman" w:hAnsi="Times New Roman" w:eastAsia="仿宋_GB2312" w:cs="Times New Roman"/>
          <w:sz w:val="28"/>
          <w:szCs w:val="28"/>
          <w:highlight w:val="none"/>
        </w:rPr>
        <w:t>招标人为</w:t>
      </w:r>
      <w:r>
        <w:rPr>
          <w:rFonts w:hint="eastAsia" w:ascii="Times New Roman" w:hAnsi="Times New Roman" w:eastAsia="仿宋_GB2312" w:cs="Times New Roman"/>
          <w:sz w:val="28"/>
          <w:szCs w:val="28"/>
          <w:highlight w:val="none"/>
          <w:u w:val="single"/>
        </w:rPr>
        <w:t>安徽省安车交通运输集团有限公司</w:t>
      </w:r>
      <w:r>
        <w:rPr>
          <w:rFonts w:ascii="Times New Roman" w:hAnsi="Times New Roman" w:eastAsia="仿宋_GB2312" w:cs="Times New Roman"/>
          <w:sz w:val="28"/>
          <w:szCs w:val="28"/>
          <w:highlight w:val="none"/>
        </w:rPr>
        <w:t>。项目已具备招标条件，现对该项</w:t>
      </w:r>
      <w:r>
        <w:rPr>
          <w:rFonts w:ascii="Times New Roman" w:hAnsi="Times New Roman" w:eastAsia="仿宋_GB2312" w:cs="Times New Roman"/>
          <w:sz w:val="28"/>
          <w:szCs w:val="28"/>
          <w:highlight w:val="none"/>
          <w:u w:val="none"/>
        </w:rPr>
        <w:t>目</w:t>
      </w:r>
      <w:r>
        <w:rPr>
          <w:rFonts w:hint="eastAsia" w:ascii="Times New Roman" w:hAnsi="Times New Roman" w:eastAsia="仿宋_GB2312" w:cs="Times New Roman"/>
          <w:sz w:val="28"/>
          <w:szCs w:val="28"/>
          <w:highlight w:val="none"/>
          <w:u w:val="none"/>
          <w:lang w:val="en-US" w:eastAsia="zh-CN"/>
        </w:rPr>
        <w:t>施工</w:t>
      </w:r>
      <w:r>
        <w:rPr>
          <w:rFonts w:ascii="Times New Roman" w:hAnsi="Times New Roman" w:eastAsia="仿宋_GB2312" w:cs="Times New Roman"/>
          <w:sz w:val="28"/>
          <w:szCs w:val="28"/>
          <w:highlight w:val="none"/>
          <w:u w:val="none"/>
        </w:rPr>
        <w:t>进</w:t>
      </w:r>
      <w:r>
        <w:rPr>
          <w:rFonts w:ascii="Times New Roman" w:hAnsi="Times New Roman" w:eastAsia="仿宋_GB2312" w:cs="Times New Roman"/>
          <w:sz w:val="28"/>
          <w:szCs w:val="28"/>
          <w:highlight w:val="none"/>
        </w:rPr>
        <w:t>行</w:t>
      </w:r>
      <w:r>
        <w:rPr>
          <w:rFonts w:ascii="Times New Roman" w:hAnsi="Times New Roman" w:eastAsia="仿宋_GB2312" w:cs="Times New Roman"/>
          <w:sz w:val="28"/>
          <w:szCs w:val="28"/>
          <w:highlight w:val="none"/>
          <w:u w:val="single"/>
        </w:rPr>
        <w:t>公开招标</w:t>
      </w:r>
      <w:r>
        <w:rPr>
          <w:rFonts w:ascii="Times New Roman" w:hAnsi="Times New Roman" w:eastAsia="仿宋_GB2312" w:cs="Times New Roman"/>
          <w:sz w:val="28"/>
          <w:szCs w:val="28"/>
          <w:highlight w:val="none"/>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（一）项目概况：亳州市安源公交首末站项目采购包含箱式变压器改造及调试、计量装置、120KW充电桩6台、低压施工、电缆及辅料、充电桩基础、土建材料及安装等工程。</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招标范围：以“交钥匙”方式，按照审核确认的设计图纸、工程量清单及招标人要求，完成亳州市安源公交首末站充电桩改造项目低压改造工程材料及设备采购、施工、安装、调试、竣工验收、正式送电、缺陷责任期内工程质量保修等全部工作，具体工作内容详见设计图纸、工程量清单。</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（三）质量要求：符合国家、地方、行业现行相关规范合格标准，符合设计图纸、图集规定标准，通过招标人、供电主管部门验收，满足招标文件第五章技术标准和要求。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（四）计划工期：20日历天，具体开工日期以招标人通知为准。</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（五）最高投标限价：投标人按</w:t>
      </w:r>
      <w:r>
        <w:rPr>
          <w:rFonts w:hint="eastAsia" w:ascii="Times New Roman" w:hAnsi="Times New Roman" w:eastAsia="仿宋_GB2312" w:cs="Times New Roman"/>
          <w:sz w:val="28"/>
          <w:szCs w:val="28"/>
          <w:highlight w:val="none"/>
          <w:u w:val="single"/>
          <w:lang w:val="en-US" w:eastAsia="zh-CN"/>
        </w:rPr>
        <w:t>固定总价</w:t>
      </w:r>
      <w:r>
        <w:rPr>
          <w:rFonts w:hint="eastAsia" w:ascii="Times New Roman" w:hAnsi="Times New Roman" w:eastAsia="仿宋_GB2312" w:cs="Times New Roman"/>
          <w:sz w:val="28"/>
          <w:szCs w:val="28"/>
          <w:highlight w:val="none"/>
          <w:lang w:val="en-US" w:eastAsia="zh-CN"/>
        </w:rPr>
        <w:t>投标报价，最高投标限价为人民币(大写)陆拾万零贰仟零玖拾伍元捌角捌分，(小写)602095.88元。投标报价超出限价或为可能影响合同履约的异常低价的，按无效投标处理；投标报价应包括为完成本招标项目各阶段工作内容以及后期服务所需的全部费用及税金；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本次招标要求投标人须符合《政府采购法》第二十二条规定，营业执照经营范围与本项目招标范围相符，并在人员、设备、资金等方面具有相应的施工能力；</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本次招标要求投标人须具备电力工程施工总承包三级及以上或输变电工程专业承包三级及以上《建筑业企业资质证书》，同时须具备在有效期内的承装类五级及以上、承修类五级及以上、承试类五级及以上《承装（修、试）电力设施许可证》，以及在有效期内的《安全生产许可证》；</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本次招标要求投标人拟派项目负责人须具备注册在投标人单位的机电工程专业二级及以上注册建造师执业资格证书，同时具备有效的安全考核合格证B证，符合注册建造师执业管理办法规定。投标人须提供2022年1月以来为其缴纳的任意连续3个月的社保缴费证明复印件，加盖投标人单位公章，并装订入投标文件中；</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（四）本次招标要求投标人委托代理人须是投标人单位正式员工，投标人须提供2022年1月以来为其缴纳的任意连续3个月的社保缴费证明复印件，加盖投标人单位公章，并装订入投标文件中；</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（五）投标人如在以往承接亳州交控集团或其子公司项目过程中存在不良行为记录的，不得参加本次招标投标活动；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（六）本次招标</w:t>
      </w:r>
      <w:r>
        <w:rPr>
          <w:rFonts w:hint="eastAsia" w:ascii="Times New Roman" w:hAnsi="Times New Roman" w:eastAsia="仿宋_GB2312" w:cs="Times New Roman"/>
          <w:sz w:val="28"/>
          <w:szCs w:val="28"/>
          <w:highlight w:val="none"/>
          <w:u w:val="single"/>
          <w:lang w:val="en-US" w:eastAsia="zh-CN"/>
        </w:rPr>
        <w:t>不接受</w:t>
      </w:r>
      <w:r>
        <w:rPr>
          <w:rFonts w:hint="eastAsia" w:ascii="Times New Roman" w:hAnsi="Times New Roman" w:eastAsia="仿宋_GB2312" w:cs="Times New Roman"/>
          <w:sz w:val="28"/>
          <w:szCs w:val="28"/>
          <w:highlight w:val="none"/>
          <w:lang w:val="en-US" w:eastAsia="zh-CN"/>
        </w:rPr>
        <w:t>联合体投标。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凡有意参加投标者，请于投标文件递交截止时间前到</w:t>
      </w:r>
      <w:r>
        <w:rPr>
          <w:rFonts w:hint="default" w:ascii="Times New Roman" w:hAnsi="Times New Roman" w:eastAsia="仿宋_GB2312" w:cs="Times New Roman"/>
          <w:sz w:val="28"/>
          <w:szCs w:val="28"/>
          <w:highlight w:val="none"/>
          <w:u w:val="single"/>
          <w:lang w:val="en-US" w:eastAsia="zh-CN"/>
        </w:rPr>
        <w:t>亳州交通投资控股集团有限公司官网（www.bzjkjt.com）</w:t>
      </w:r>
      <w:r>
        <w:rPr>
          <w:rFonts w:hint="default" w:ascii="Times New Roman" w:hAnsi="Times New Roman" w:eastAsia="仿宋_GB2312" w:cs="Times New Roman"/>
          <w:sz w:val="28"/>
          <w:szCs w:val="28"/>
          <w:highlight w:val="none"/>
          <w:lang w:val="en-US" w:eastAsia="zh-CN"/>
        </w:rPr>
        <w:t>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文件递交的截止时间（投标截止时间，下同）为</w:t>
      </w:r>
      <w:r>
        <w:rPr>
          <w:rFonts w:hint="eastAsia" w:ascii="Times New Roman" w:hAnsi="Times New Roman" w:eastAsia="仿宋_GB2312" w:cs="Times New Roman"/>
          <w:sz w:val="28"/>
          <w:szCs w:val="28"/>
          <w:highlight w:val="none"/>
          <w:u w:val="single"/>
          <w:lang w:val="en-US" w:eastAsia="zh-CN"/>
        </w:rPr>
        <w:t>2022</w:t>
      </w:r>
      <w:r>
        <w:rPr>
          <w:rFonts w:hint="eastAsia" w:ascii="Times New Roman" w:hAnsi="Times New Roman" w:eastAsia="仿宋_GB2312" w:cs="Times New Roman"/>
          <w:sz w:val="28"/>
          <w:szCs w:val="28"/>
          <w:highlight w:val="none"/>
          <w:lang w:val="en-US" w:eastAsia="zh-CN"/>
        </w:rPr>
        <w:t>年</w:t>
      </w:r>
      <w:r>
        <w:rPr>
          <w:rFonts w:hint="eastAsia" w:ascii="Times New Roman" w:hAnsi="Times New Roman" w:eastAsia="仿宋_GB2312" w:cs="Times New Roman"/>
          <w:sz w:val="28"/>
          <w:szCs w:val="28"/>
          <w:highlight w:val="none"/>
          <w:u w:val="single"/>
          <w:lang w:val="en-US" w:eastAsia="zh-CN"/>
        </w:rPr>
        <w:t>11</w:t>
      </w:r>
      <w:r>
        <w:rPr>
          <w:rFonts w:hint="eastAsia" w:ascii="Times New Roman" w:hAnsi="Times New Roman" w:eastAsia="仿宋_GB2312" w:cs="Times New Roman"/>
          <w:sz w:val="28"/>
          <w:szCs w:val="28"/>
          <w:highlight w:val="none"/>
          <w:lang w:val="en-US" w:eastAsia="zh-CN"/>
        </w:rPr>
        <w:t>月</w:t>
      </w:r>
      <w:r>
        <w:rPr>
          <w:rFonts w:hint="eastAsia" w:ascii="Times New Roman" w:hAnsi="Times New Roman" w:eastAsia="仿宋_GB2312" w:cs="Times New Roman"/>
          <w:color w:val="000000"/>
          <w:sz w:val="28"/>
          <w:szCs w:val="28"/>
          <w:highlight w:val="none"/>
          <w:u w:val="single"/>
          <w:lang w:val="en-US" w:eastAsia="zh-CN"/>
        </w:rPr>
        <w:t>24</w:t>
      </w:r>
      <w:r>
        <w:rPr>
          <w:rFonts w:hint="eastAsia" w:ascii="Times New Roman" w:hAnsi="Times New Roman" w:eastAsia="仿宋_GB2312" w:cs="Times New Roman"/>
          <w:sz w:val="28"/>
          <w:szCs w:val="28"/>
          <w:highlight w:val="none"/>
          <w:lang w:val="en-US" w:eastAsia="zh-CN"/>
        </w:rPr>
        <w:t>日</w:t>
      </w:r>
      <w:r>
        <w:rPr>
          <w:rFonts w:hint="eastAsia" w:ascii="Times New Roman" w:hAnsi="Times New Roman" w:eastAsia="仿宋_GB2312" w:cs="Times New Roman"/>
          <w:sz w:val="28"/>
          <w:szCs w:val="28"/>
          <w:highlight w:val="none"/>
          <w:u w:val="single"/>
          <w:lang w:val="en-US" w:eastAsia="zh-CN"/>
        </w:rPr>
        <w:t>9</w:t>
      </w:r>
      <w:r>
        <w:rPr>
          <w:rFonts w:hint="default" w:ascii="Times New Roman" w:hAnsi="Times New Roman" w:eastAsia="仿宋_GB2312" w:cs="Times New Roman"/>
          <w:sz w:val="28"/>
          <w:szCs w:val="28"/>
          <w:highlight w:val="none"/>
          <w:lang w:val="en-US" w:eastAsia="zh-CN"/>
        </w:rPr>
        <w:t>时</w:t>
      </w:r>
      <w:r>
        <w:rPr>
          <w:rFonts w:hint="default" w:ascii="Times New Roman" w:hAnsi="Times New Roman" w:eastAsia="仿宋_GB2312" w:cs="Times New Roman"/>
          <w:sz w:val="28"/>
          <w:szCs w:val="28"/>
          <w:highlight w:val="none"/>
          <w:u w:val="single"/>
          <w:lang w:val="en-US" w:eastAsia="zh-CN"/>
        </w:rPr>
        <w:t>00</w:t>
      </w:r>
      <w:r>
        <w:rPr>
          <w:rFonts w:hint="default" w:ascii="Times New Roman" w:hAnsi="Times New Roman" w:eastAsia="仿宋_GB2312" w:cs="Times New Roman"/>
          <w:sz w:val="28"/>
          <w:szCs w:val="28"/>
          <w:highlight w:val="none"/>
          <w:lang w:val="en-US" w:eastAsia="zh-CN"/>
        </w:rPr>
        <w:t>分，地点</w:t>
      </w:r>
      <w:r>
        <w:rPr>
          <w:rFonts w:hint="eastAsia" w:ascii="Times New Roman" w:hAnsi="Times New Roman" w:eastAsia="仿宋_GB2312" w:cs="Times New Roman"/>
          <w:sz w:val="28"/>
          <w:szCs w:val="28"/>
          <w:highlight w:val="none"/>
          <w:lang w:val="en-US" w:eastAsia="zh-CN"/>
        </w:rPr>
        <w:t>：</w:t>
      </w:r>
      <w:r>
        <w:rPr>
          <w:rFonts w:hint="eastAsia" w:ascii="Times New Roman" w:hAnsi="Times New Roman" w:eastAsia="仿宋_GB2312" w:cs="Times New Roman"/>
          <w:color w:val="000000"/>
          <w:sz w:val="28"/>
          <w:szCs w:val="28"/>
          <w:highlight w:val="none"/>
          <w:u w:val="single"/>
        </w:rPr>
        <w:t>亳州交通投资控股集团有限公司</w:t>
      </w:r>
      <w:r>
        <w:rPr>
          <w:rFonts w:hint="eastAsia" w:ascii="Times New Roman" w:hAnsi="Times New Roman" w:eastAsia="仿宋_GB2312" w:cs="Times New Roman"/>
          <w:color w:val="000000"/>
          <w:sz w:val="28"/>
          <w:szCs w:val="28"/>
          <w:highlight w:val="none"/>
          <w:u w:val="single"/>
          <w:lang w:eastAsia="zh-CN"/>
        </w:rPr>
        <w:t>1</w:t>
      </w:r>
      <w:r>
        <w:rPr>
          <w:rFonts w:hint="eastAsia" w:ascii="Times New Roman" w:hAnsi="Times New Roman" w:eastAsia="仿宋_GB2312" w:cs="Times New Roman"/>
          <w:color w:val="000000"/>
          <w:sz w:val="28"/>
          <w:szCs w:val="28"/>
          <w:highlight w:val="none"/>
          <w:u w:val="single"/>
          <w:lang w:val="en-US" w:eastAsia="zh-CN"/>
        </w:rPr>
        <w:t>5</w:t>
      </w:r>
      <w:r>
        <w:rPr>
          <w:rFonts w:hint="eastAsia" w:ascii="Times New Roman" w:hAnsi="Times New Roman" w:eastAsia="仿宋_GB2312" w:cs="Times New Roman"/>
          <w:color w:val="000000"/>
          <w:sz w:val="28"/>
          <w:szCs w:val="28"/>
          <w:highlight w:val="none"/>
          <w:u w:val="single"/>
        </w:rPr>
        <w:t>楼</w:t>
      </w:r>
      <w:r>
        <w:rPr>
          <w:rFonts w:hint="eastAsia" w:ascii="Times New Roman" w:hAnsi="Times New Roman" w:eastAsia="仿宋_GB2312" w:cs="Times New Roman"/>
          <w:color w:val="000000"/>
          <w:sz w:val="28"/>
          <w:szCs w:val="28"/>
          <w:highlight w:val="none"/>
          <w:u w:val="single"/>
          <w:lang w:val="en-US" w:eastAsia="zh-CN"/>
        </w:rPr>
        <w:t>开标</w:t>
      </w:r>
      <w:r>
        <w:rPr>
          <w:rFonts w:hint="eastAsia" w:ascii="Times New Roman" w:hAnsi="Times New Roman" w:eastAsia="仿宋_GB2312" w:cs="Times New Roman"/>
          <w:color w:val="000000"/>
          <w:sz w:val="28"/>
          <w:szCs w:val="28"/>
          <w:highlight w:val="none"/>
          <w:u w:val="single"/>
        </w:rPr>
        <w:t>室（药都路与希夷大道交叉口东北角</w:t>
      </w:r>
      <w:r>
        <w:rPr>
          <w:rFonts w:hint="eastAsia" w:ascii="Times New Roman" w:hAnsi="Times New Roman" w:eastAsia="仿宋_GB2312" w:cs="Times New Roman"/>
          <w:color w:val="000000"/>
          <w:sz w:val="28"/>
          <w:szCs w:val="28"/>
          <w:highlight w:val="none"/>
          <w:u w:val="single"/>
          <w:lang w:eastAsia="zh-CN"/>
        </w:rPr>
        <w:t>1</w:t>
      </w:r>
      <w:r>
        <w:rPr>
          <w:rFonts w:hint="eastAsia" w:ascii="Times New Roman" w:hAnsi="Times New Roman" w:eastAsia="仿宋_GB2312" w:cs="Times New Roman"/>
          <w:color w:val="000000"/>
          <w:sz w:val="28"/>
          <w:szCs w:val="28"/>
          <w:highlight w:val="none"/>
          <w:u w:val="single"/>
          <w:lang w:val="en-US" w:eastAsia="zh-CN"/>
        </w:rPr>
        <w:t>5</w:t>
      </w:r>
      <w:r>
        <w:rPr>
          <w:rFonts w:hint="eastAsia" w:ascii="Times New Roman" w:hAnsi="Times New Roman" w:eastAsia="仿宋_GB2312" w:cs="Times New Roman"/>
          <w:color w:val="000000"/>
          <w:sz w:val="28"/>
          <w:szCs w:val="28"/>
          <w:highlight w:val="none"/>
          <w:u w:val="single"/>
        </w:rPr>
        <w:t>楼）</w:t>
      </w:r>
      <w:r>
        <w:rPr>
          <w:rFonts w:hint="default"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（二）逾期送达的、未送达指定地点的</w:t>
      </w:r>
      <w:r>
        <w:rPr>
          <w:rFonts w:hint="eastAsia" w:ascii="Times New Roman" w:hAnsi="Times New Roman" w:eastAsia="仿宋_GB2312" w:cs="Times New Roman"/>
          <w:sz w:val="28"/>
          <w:szCs w:val="28"/>
          <w:highlight w:val="none"/>
          <w:lang w:val="en-US" w:eastAsia="zh-CN"/>
        </w:rPr>
        <w:t>或者不按照招标文件要求密封的投标文件，招标人将予以拒收。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为响应亳州市疫情防控要求，本次招标允许投标人以邮寄方式递交投标文件。投标人采用邮寄方式递交投标文件的，投标文件送达时间以招标平台签收快递时间为准。邮寄信息同招标平台联系方式，投标人寄出投标文件后，应电话通知招标平台工作人员，以便招标平台工作人员及时签收投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六、发布公告的媒介</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本次招标公告同时在</w:t>
      </w:r>
      <w:r>
        <w:rPr>
          <w:rFonts w:hint="default" w:ascii="Times New Roman" w:hAnsi="Times New Roman" w:eastAsia="仿宋_GB2312" w:cs="Times New Roman"/>
          <w:sz w:val="28"/>
          <w:szCs w:val="28"/>
          <w:highlight w:val="none"/>
          <w:u w:val="single"/>
          <w:lang w:val="en-US" w:eastAsia="zh-CN"/>
        </w:rPr>
        <w:t>亳州交通投资控股集团有限公司官网（www.bzjkjt.com）、安徽省招标投标信息网（www.ahtba.org.cn）及优质采云采购平台（www.youzhicai.com）</w:t>
      </w:r>
      <w:r>
        <w:rPr>
          <w:rFonts w:hint="default" w:ascii="Times New Roman" w:hAnsi="Times New Roman" w:eastAsia="仿宋_GB2312" w:cs="Times New Roman"/>
          <w:sz w:val="28"/>
          <w:szCs w:val="28"/>
          <w:highlight w:val="none"/>
          <w:lang w:val="en-US" w:eastAsia="zh-CN"/>
        </w:rPr>
        <w:t>上发布</w:t>
      </w:r>
      <w:r>
        <w:rPr>
          <w:rFonts w:hint="eastAsia"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招</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标</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人：安徽省安车交通运输集团有限公司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地</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址：亳州市高新区银杏路与宋汤河路交叉口</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联</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系</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郭先生</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w:t>
      </w:r>
      <w:r>
        <w:rPr>
          <w:rFonts w:hint="default" w:ascii="Times New Roman" w:hAnsi="Times New Roman" w:eastAsia="仿宋_GB2312" w:cs="Times New Roman"/>
          <w:sz w:val="28"/>
          <w:szCs w:val="28"/>
          <w:highlight w:val="none"/>
          <w:lang w:val="en-US" w:eastAsia="zh-CN"/>
        </w:rPr>
        <w:t>：17756789966</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地    址：亳州市谯城区药都路1289号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default" w:ascii="Times New Roman" w:hAnsi="Times New Roman" w:eastAsia="仿宋_GB2312" w:cs="Times New Roman"/>
          <w:i w:val="0"/>
          <w:iCs w:val="0"/>
          <w:color w:val="auto"/>
          <w:sz w:val="28"/>
          <w:szCs w:val="28"/>
          <w:highlight w:val="none"/>
          <w:u w:val="none"/>
          <w:lang w:val="en-US" w:eastAsia="zh-CN"/>
        </w:rPr>
      </w:pPr>
      <w:r>
        <w:rPr>
          <w:rFonts w:hint="default" w:ascii="Times New Roman" w:hAnsi="Times New Roman" w:eastAsia="仿宋_GB2312" w:cs="Times New Roman"/>
          <w:i w:val="0"/>
          <w:iCs w:val="0"/>
          <w:color w:val="auto"/>
          <w:sz w:val="28"/>
          <w:szCs w:val="28"/>
          <w:highlight w:val="none"/>
          <w:u w:val="none"/>
          <w:lang w:val="en-US" w:eastAsia="zh-CN"/>
        </w:rPr>
        <w:t>安徽省安车交通运输集团有限公司</w:t>
      </w:r>
    </w:p>
    <w:p>
      <w:pPr>
        <w:keepNext w:val="0"/>
        <w:keepLines w:val="0"/>
        <w:pageBreakBefore w:val="0"/>
        <w:widowControl w:val="0"/>
        <w:kinsoku/>
        <w:wordWrap/>
        <w:overflowPunct/>
        <w:topLinePunct w:val="0"/>
        <w:autoSpaceDE/>
        <w:autoSpaceDN/>
        <w:bidi w:val="0"/>
        <w:adjustRightInd/>
        <w:snapToGrid/>
        <w:spacing w:line="480" w:lineRule="exact"/>
        <w:ind w:firstLine="5040" w:firstLineChars="1800"/>
        <w:textAlignment w:val="auto"/>
        <w:rPr>
          <w:rFonts w:hint="default" w:ascii="Times New Roman" w:hAnsi="Times New Roman" w:eastAsia="仿宋_GB2312" w:cs="Times New Roman"/>
          <w:i w:val="0"/>
          <w:iCs w:val="0"/>
          <w:color w:val="auto"/>
          <w:sz w:val="28"/>
          <w:szCs w:val="28"/>
          <w:highlight w:val="none"/>
          <w:u w:val="none"/>
          <w:lang w:val="en-US" w:eastAsia="zh-CN"/>
        </w:rPr>
      </w:pPr>
      <w:r>
        <w:rPr>
          <w:rFonts w:hint="default" w:ascii="Times New Roman" w:hAnsi="Times New Roman" w:eastAsia="仿宋_GB2312" w:cs="Times New Roman"/>
          <w:i w:val="0"/>
          <w:iCs w:val="0"/>
          <w:color w:val="auto"/>
          <w:sz w:val="28"/>
          <w:szCs w:val="28"/>
          <w:highlight w:val="none"/>
          <w:u w:val="none"/>
          <w:lang w:val="en-US" w:eastAsia="zh-CN"/>
        </w:rPr>
        <w:t>202</w:t>
      </w:r>
      <w:r>
        <w:rPr>
          <w:rFonts w:hint="eastAsia" w:ascii="Times New Roman" w:hAnsi="Times New Roman" w:eastAsia="仿宋_GB2312" w:cs="Times New Roman"/>
          <w:i w:val="0"/>
          <w:iCs w:val="0"/>
          <w:color w:val="auto"/>
          <w:sz w:val="28"/>
          <w:szCs w:val="28"/>
          <w:highlight w:val="none"/>
          <w:u w:val="none"/>
          <w:lang w:val="en-US" w:eastAsia="zh-CN"/>
        </w:rPr>
        <w:t>2</w:t>
      </w:r>
      <w:r>
        <w:rPr>
          <w:rFonts w:hint="default" w:ascii="Times New Roman" w:hAnsi="Times New Roman" w:eastAsia="仿宋_GB2312" w:cs="Times New Roman"/>
          <w:i w:val="0"/>
          <w:iCs w:val="0"/>
          <w:color w:val="auto"/>
          <w:sz w:val="28"/>
          <w:szCs w:val="28"/>
          <w:highlight w:val="none"/>
          <w:u w:val="none"/>
          <w:lang w:val="en-US" w:eastAsia="zh-CN"/>
        </w:rPr>
        <w:t>年</w:t>
      </w:r>
      <w:r>
        <w:rPr>
          <w:rFonts w:hint="eastAsia" w:ascii="Times New Roman" w:hAnsi="Times New Roman" w:eastAsia="仿宋_GB2312" w:cs="Times New Roman"/>
          <w:i w:val="0"/>
          <w:iCs w:val="0"/>
          <w:color w:val="auto"/>
          <w:sz w:val="28"/>
          <w:szCs w:val="28"/>
          <w:highlight w:val="none"/>
          <w:u w:val="none"/>
          <w:lang w:val="en-US" w:eastAsia="zh-CN"/>
        </w:rPr>
        <w:t>11</w:t>
      </w:r>
      <w:r>
        <w:rPr>
          <w:rFonts w:hint="default" w:ascii="Times New Roman" w:hAnsi="Times New Roman" w:eastAsia="仿宋_GB2312" w:cs="Times New Roman"/>
          <w:i w:val="0"/>
          <w:iCs w:val="0"/>
          <w:color w:val="auto"/>
          <w:sz w:val="28"/>
          <w:szCs w:val="28"/>
          <w:highlight w:val="none"/>
          <w:u w:val="none"/>
          <w:lang w:val="en-US" w:eastAsia="zh-CN"/>
        </w:rPr>
        <w:t>月</w:t>
      </w:r>
      <w:r>
        <w:rPr>
          <w:rFonts w:hint="eastAsia" w:ascii="Times New Roman" w:hAnsi="Times New Roman" w:eastAsia="仿宋_GB2312" w:cs="Times New Roman"/>
          <w:i w:val="0"/>
          <w:iCs w:val="0"/>
          <w:color w:val="000000"/>
          <w:sz w:val="28"/>
          <w:szCs w:val="28"/>
          <w:highlight w:val="none"/>
          <w:u w:val="none"/>
          <w:lang w:val="en-US" w:eastAsia="zh-CN"/>
        </w:rPr>
        <w:t>18</w:t>
      </w:r>
      <w:bookmarkStart w:id="115" w:name="_GoBack"/>
      <w:bookmarkEnd w:id="115"/>
      <w:r>
        <w:rPr>
          <w:rFonts w:hint="default" w:ascii="Times New Roman" w:hAnsi="Times New Roman" w:eastAsia="仿宋_GB2312" w:cs="Times New Roman"/>
          <w:i w:val="0"/>
          <w:iCs w:val="0"/>
          <w:color w:val="auto"/>
          <w:sz w:val="28"/>
          <w:szCs w:val="28"/>
          <w:highlight w:val="none"/>
          <w:u w:val="none"/>
          <w:lang w:val="en-US" w:eastAsia="zh-CN"/>
        </w:rPr>
        <w:t>日</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kern w:val="0"/>
          <w:sz w:val="32"/>
          <w:szCs w:val="32"/>
          <w:highlight w:val="none"/>
          <w:lang w:val="en-US" w:eastAsia="zh-CN"/>
        </w:rPr>
      </w:pP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宋体" w:hAnsi="宋体" w:eastAsia="宋体" w:cs="宋体"/>
          <w:b/>
          <w:bCs/>
          <w:sz w:val="32"/>
          <w:szCs w:val="32"/>
          <w:highlight w:val="none"/>
          <w:lang w:val="en-US" w:eastAsia="zh-CN"/>
        </w:rPr>
      </w:pPr>
      <w:r>
        <w:rPr>
          <w:rFonts w:hint="default" w:ascii="宋体" w:hAnsi="宋体" w:eastAsia="宋体" w:cs="宋体"/>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宋体" w:hAnsi="宋体" w:eastAsia="宋体" w:cs="宋体"/>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宋体" w:hAnsi="宋体" w:eastAsia="宋体" w:cs="宋体"/>
          <w:b/>
          <w:bCs/>
          <w:sz w:val="28"/>
          <w:szCs w:val="28"/>
          <w:highlight w:val="none"/>
          <w:lang w:val="en-US" w:eastAsia="zh-CN"/>
        </w:rPr>
      </w:pPr>
      <w:r>
        <w:rPr>
          <w:rFonts w:hint="eastAsia" w:ascii="宋体" w:hAnsi="宋体" w:eastAsia="宋体" w:cs="宋体"/>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宋体" w:hAnsi="宋体" w:eastAsia="宋体" w:cs="宋体"/>
          <w:b/>
          <w:bCs/>
          <w:sz w:val="28"/>
          <w:szCs w:val="28"/>
          <w:highlight w:val="none"/>
          <w:lang w:val="en-US" w:eastAsia="zh-CN"/>
        </w:rPr>
      </w:pPr>
    </w:p>
    <w:tbl>
      <w:tblPr>
        <w:tblStyle w:val="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3780"/>
        <w:gridCol w:w="37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宋体" w:cs="Times New Roman"/>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eastAsia="宋体" w:cs="Times New Roman"/>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szCs w:val="21"/>
                <w:highlight w:val="none"/>
                <w:lang w:val="en-US" w:eastAsia="zh-CN"/>
              </w:rPr>
            </w:pPr>
            <w:r>
              <w:rPr>
                <w:rFonts w:hint="eastAsia" w:ascii="Times New Roman" w:hAnsi="Times New Roman" w:cs="Times New Roman"/>
                <w:szCs w:val="21"/>
                <w:highlight w:val="none"/>
                <w:lang w:val="en-US" w:eastAsia="zh-CN"/>
              </w:rPr>
              <w:t>1.1.5</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建设地点</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宋体" w:cs="Times New Roman"/>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eastAsia="宋体" w:cs="Times New Roman"/>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宋体" w:cs="Times New Roman"/>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计划工期</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1.3.3</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质量要求</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szCs w:val="21"/>
                <w:highlight w:val="none"/>
                <w:lang w:val="en-US" w:eastAsia="zh-CN"/>
              </w:rPr>
            </w:pPr>
            <w:r>
              <w:rPr>
                <w:rFonts w:hint="default" w:ascii="Times New Roman" w:hAnsi="Times New Roman" w:cs="Times New Roman"/>
                <w:szCs w:val="21"/>
                <w:highlight w:val="none"/>
              </w:rPr>
              <w:t>投标人资质条件、能力</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踏勘现场</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 w:val="21"/>
                <w:szCs w:val="21"/>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组织，自行踏勘现场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1.10.1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投标预备会</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 w:val="21"/>
                <w:szCs w:val="21"/>
                <w:highlight w:val="none"/>
              </w:rPr>
              <w:t>不召开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szCs w:val="21"/>
                <w:highlight w:val="none"/>
                <w:lang w:val="en-US" w:eastAsia="zh-CN"/>
              </w:rPr>
            </w:pPr>
            <w:r>
              <w:rPr>
                <w:rFonts w:hint="eastAsia" w:ascii="Times New Roman" w:hAnsi="Times New Roman" w:cs="Times New Roman"/>
                <w:szCs w:val="21"/>
                <w:highlight w:val="none"/>
                <w:lang w:val="en-US" w:eastAsia="zh-CN"/>
              </w:rPr>
              <w:t>1.10.2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szCs w:val="21"/>
                <w:highlight w:val="none"/>
                <w:lang w:val="en-US" w:eastAsia="zh-CN"/>
              </w:rPr>
            </w:pPr>
            <w:r>
              <w:rPr>
                <w:rFonts w:hint="eastAsia" w:ascii="Times New Roman" w:hAnsi="Times New Roman" w:cs="Times New Roman"/>
                <w:szCs w:val="21"/>
                <w:highlight w:val="none"/>
                <w:lang w:val="en-US" w:eastAsia="zh-CN"/>
              </w:rPr>
              <w:t>投标人提出问题的截止时间</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szCs w:val="21"/>
                <w:highlight w:val="none"/>
                <w:lang w:val="en-US" w:eastAsia="zh-CN"/>
              </w:rPr>
            </w:pPr>
            <w:r>
              <w:rPr>
                <w:rFonts w:hint="eastAsia" w:ascii="Times New Roman" w:hAnsi="Times New Roman" w:cs="Times New Roman"/>
                <w:szCs w:val="21"/>
                <w:highlight w:val="none"/>
                <w:lang w:val="en-US" w:eastAsia="zh-CN"/>
              </w:rPr>
              <w:t>1.10.3</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招标人书面澄清的时间</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偏离</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eastAsia="仿宋_GB2312" w:cs="Times New Roman"/>
                <w:sz w:val="24"/>
                <w:szCs w:val="24"/>
                <w:highlight w:val="none"/>
                <w:lang w:val="en-US" w:eastAsia="zh-CN"/>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vMerge w:val="restart"/>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szCs w:val="21"/>
                <w:highlight w:val="none"/>
                <w:lang w:val="en-US" w:eastAsia="zh-CN"/>
              </w:rPr>
            </w:pPr>
            <w:r>
              <w:rPr>
                <w:rFonts w:hint="eastAsia" w:ascii="Times New Roman" w:hAnsi="Times New Roman" w:cs="Times New Roman"/>
                <w:szCs w:val="21"/>
                <w:highlight w:val="none"/>
                <w:lang w:val="en-US" w:eastAsia="zh-CN"/>
              </w:rPr>
              <w:t>2.2.1</w:t>
            </w:r>
          </w:p>
        </w:tc>
        <w:tc>
          <w:tcPr>
            <w:tcW w:w="3780" w:type="dxa"/>
            <w:vMerge w:val="restart"/>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szCs w:val="21"/>
                <w:highlight w:val="none"/>
                <w:lang w:val="en-US" w:eastAsia="zh-CN"/>
              </w:rPr>
            </w:pPr>
            <w:r>
              <w:rPr>
                <w:rFonts w:hint="default" w:ascii="Times New Roman" w:hAnsi="Times New Roman" w:cs="Times New Roman"/>
                <w:szCs w:val="21"/>
                <w:highlight w:val="none"/>
              </w:rPr>
              <w:t>投标人要求澄清招标文件</w:t>
            </w:r>
            <w:r>
              <w:rPr>
                <w:rFonts w:hint="eastAsia" w:ascii="Times New Roman" w:hAnsi="Times New Roman" w:cs="Times New Roman"/>
                <w:szCs w:val="21"/>
                <w:highlight w:val="none"/>
                <w:lang w:val="en-US" w:eastAsia="zh-CN"/>
              </w:rPr>
              <w:t>的截止时间</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w:t>
            </w:r>
            <w:r>
              <w:rPr>
                <w:rFonts w:hint="eastAsia" w:ascii="Times New Roman" w:hAnsi="Times New Roman" w:cs="Times New Roman"/>
                <w:szCs w:val="21"/>
                <w:highlight w:val="none"/>
                <w:u w:val="single"/>
                <w:lang w:val="en-US" w:eastAsia="zh-CN"/>
              </w:rPr>
              <w:t>3日</w:t>
            </w:r>
            <w:r>
              <w:rPr>
                <w:rFonts w:hint="eastAsia" w:ascii="Times New Roman" w:hAnsi="Times New Roman" w:cs="Times New Roman"/>
                <w:szCs w:val="21"/>
                <w:highlight w:val="none"/>
                <w:u w:val="none"/>
                <w:lang w:val="en-US" w:eastAsia="zh-CN"/>
              </w:rPr>
              <w:t>前，投标人应仔细阅读和检查招标文件的全部内容。如发现缺页或附件不全，应及时向招标人提出，以便补齐。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vMerge w:val="continue"/>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宋体" w:cs="Times New Roman"/>
                <w:kern w:val="2"/>
                <w:sz w:val="21"/>
                <w:szCs w:val="21"/>
                <w:highlight w:val="none"/>
                <w:u w:val="single"/>
                <w:lang w:val="en-US" w:eastAsia="zh-CN" w:bidi="ar-SA"/>
              </w:rPr>
            </w:pPr>
            <w:r>
              <w:rPr>
                <w:rFonts w:hint="eastAsia" w:ascii="Times New Roman" w:hAnsi="Times New Roman" w:cs="Times New Roman"/>
                <w:szCs w:val="21"/>
                <w:highlight w:val="none"/>
                <w:u w:val="single"/>
                <w:lang w:val="en-US" w:eastAsia="zh-CN"/>
              </w:rPr>
              <w:t>2022</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color w:val="000000"/>
                <w:szCs w:val="21"/>
                <w:highlight w:val="none"/>
                <w:u w:val="single"/>
                <w:lang w:val="en-US" w:eastAsia="zh-CN"/>
              </w:rPr>
              <w:t>11</w:t>
            </w:r>
            <w:r>
              <w:rPr>
                <w:rFonts w:hint="eastAsia" w:ascii="Times New Roman" w:hAnsi="Times New Roman" w:cs="Times New Roman"/>
                <w:color w:val="000000"/>
                <w:szCs w:val="21"/>
                <w:highlight w:val="none"/>
                <w:u w:val="none"/>
                <w:lang w:val="en-US" w:eastAsia="zh-CN"/>
              </w:rPr>
              <w:t>月</w:t>
            </w:r>
            <w:r>
              <w:rPr>
                <w:rFonts w:hint="eastAsia" w:ascii="Times New Roman" w:hAnsi="Times New Roman" w:cs="Times New Roman"/>
                <w:color w:val="000000"/>
                <w:szCs w:val="21"/>
                <w:highlight w:val="none"/>
                <w:u w:val="single"/>
                <w:lang w:val="en-US" w:eastAsia="zh-CN"/>
              </w:rPr>
              <w:t>24</w:t>
            </w:r>
            <w:r>
              <w:rPr>
                <w:rFonts w:hint="eastAsia" w:ascii="Times New Roman" w:hAnsi="Times New Roman" w:cs="Times New Roman"/>
                <w:szCs w:val="21"/>
                <w:highlight w:val="none"/>
                <w:u w:val="none"/>
                <w:lang w:val="en-US" w:eastAsia="zh-CN"/>
              </w:rPr>
              <w:t>日</w:t>
            </w:r>
            <w:r>
              <w:rPr>
                <w:rFonts w:hint="eastAsia" w:ascii="Times New Roman" w:hAnsi="Times New Roman" w:cs="Times New Roman"/>
                <w:szCs w:val="21"/>
                <w:highlight w:val="none"/>
                <w:u w:val="single"/>
                <w:lang w:val="en-US" w:eastAsia="zh-CN"/>
              </w:rPr>
              <w:t>9</w:t>
            </w:r>
            <w:r>
              <w:rPr>
                <w:rFonts w:hint="eastAsia" w:ascii="Times New Roman" w:hAnsi="Times New Roman" w:cs="Times New Roman"/>
                <w:szCs w:val="21"/>
                <w:highlight w:val="none"/>
                <w:u w:val="none"/>
                <w:lang w:val="en-US" w:eastAsia="zh-CN"/>
              </w:rPr>
              <w:t>时</w:t>
            </w:r>
            <w:r>
              <w:rPr>
                <w:rFonts w:hint="eastAsia" w:ascii="Times New Roman" w:hAnsi="Times New Roman" w:cs="Times New Roman"/>
                <w:szCs w:val="21"/>
                <w:highlight w:val="none"/>
                <w:u w:val="single"/>
                <w:lang w:val="en-US" w:eastAsia="zh-CN"/>
              </w:rPr>
              <w:t>00</w:t>
            </w:r>
            <w:r>
              <w:rPr>
                <w:rFonts w:hint="eastAsia" w:ascii="Times New Roman" w:hAnsi="Times New Roman" w:cs="Times New Roman"/>
                <w:szCs w:val="21"/>
                <w:highlight w:val="none"/>
                <w:u w:val="none"/>
                <w:lang w:val="en-US" w:eastAsia="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vMerge w:val="restart"/>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3780" w:type="dxa"/>
            <w:vMerge w:val="restart"/>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投标人确认收到招标文件澄清的时间</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招标文件的澄清在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及优质采云采购平台（www.youzhicai.com）</w:t>
            </w:r>
            <w:r>
              <w:rPr>
                <w:rFonts w:hint="default" w:ascii="Times New Roman" w:hAnsi="Times New Roman" w:cs="Times New Roman"/>
                <w:szCs w:val="21"/>
                <w:highlight w:val="none"/>
                <w:u w:val="none"/>
              </w:rPr>
              <w:t>上的发布时间，视为投标人确认收到招标文件澄清的时间。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vMerge w:val="continue"/>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w:t>
            </w:r>
            <w:r>
              <w:rPr>
                <w:rFonts w:hint="default" w:ascii="Times New Roman" w:hAnsi="Times New Roman" w:cs="Times New Roman"/>
                <w:i/>
                <w:iCs/>
                <w:color w:val="FF0000"/>
                <w:szCs w:val="21"/>
                <w:highlight w:val="none"/>
                <w:u w:val="single"/>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rPr>
              <w:t>，请及时与招标人联系。否则，造成的一切后果由投标人自行承担。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vMerge w:val="restart"/>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3780" w:type="dxa"/>
            <w:vMerge w:val="restart"/>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招标人确认收到招标文件修改的时间</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在</w:t>
            </w:r>
            <w:r>
              <w:rPr>
                <w:rFonts w:hint="default" w:ascii="Times New Roman" w:hAnsi="Times New Roman" w:cs="Times New Roman"/>
                <w:i/>
                <w:iCs/>
                <w:color w:val="FF0000"/>
                <w:szCs w:val="21"/>
                <w:highlight w:val="none"/>
                <w:u w:val="single"/>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rPr>
              <w:t>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的时间。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vMerge w:val="continue"/>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w:t>
            </w:r>
            <w:r>
              <w:rPr>
                <w:rFonts w:hint="default" w:ascii="Times New Roman" w:hAnsi="Times New Roman" w:cs="Times New Roman"/>
                <w:i/>
                <w:iCs/>
                <w:color w:val="FF0000"/>
                <w:szCs w:val="21"/>
                <w:highlight w:val="none"/>
                <w:u w:val="single"/>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rPr>
              <w:t>，请及时与招标人联系。否则，造成的一切后果由投标人自行承担。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3.1.1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构成投标文件的其他资料</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投标人的书面澄清、说明和补正（但</w:t>
            </w:r>
            <w:r>
              <w:rPr>
                <w:rFonts w:hint="eastAsia" w:ascii="Times New Roman" w:hAnsi="Times New Roman" w:cs="Times New Roman"/>
                <w:szCs w:val="21"/>
                <w:highlight w:val="none"/>
                <w:lang w:val="en-US" w:eastAsia="zh-CN"/>
              </w:rPr>
              <w:t>不得超出投标文件的范围且不得改变投标文件的实质性内容）。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3.2.3</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宋体" w:hAnsi="宋体" w:eastAsia="宋体" w:cs="宋体"/>
                <w:szCs w:val="21"/>
                <w:highlight w:val="none"/>
                <w:lang w:val="en-US" w:eastAsia="zh-CN"/>
              </w:rPr>
              <w:t>有</w:t>
            </w:r>
            <w:r>
              <w:rPr>
                <w:rFonts w:hint="eastAsia" w:ascii="宋体" w:hAnsi="宋体" w:cs="宋体"/>
                <w:szCs w:val="21"/>
                <w:highlight w:val="none"/>
                <w:lang w:val="en-US" w:eastAsia="zh-CN"/>
              </w:rPr>
              <w:t>，最高投标限价：</w:t>
            </w: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Cs w:val="21"/>
                <w:highlight w:val="none"/>
              </w:rPr>
              <w:t>要求</w:t>
            </w:r>
            <w:r>
              <w:rPr>
                <w:rFonts w:hint="eastAsia" w:ascii="Times New Roman" w:hAnsi="Times New Roman" w:cs="Times New Roman"/>
                <w:szCs w:val="21"/>
                <w:highlight w:val="none"/>
                <w:lang w:val="en-US" w:eastAsia="zh-CN"/>
              </w:rPr>
              <w:t>递交投标保证金</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投标保证金的金额：人民币（大写）</w:t>
            </w:r>
            <w:r>
              <w:rPr>
                <w:rFonts w:hint="eastAsia" w:ascii="Times New Roman" w:hAnsi="Times New Roman" w:cs="Times New Roman"/>
                <w:color w:val="000000"/>
                <w:szCs w:val="21"/>
                <w:highlight w:val="none"/>
                <w:u w:val="single"/>
                <w:lang w:val="en-US" w:eastAsia="zh-CN"/>
              </w:rPr>
              <w:t>壹万元整</w:t>
            </w:r>
            <w:r>
              <w:rPr>
                <w:rFonts w:hint="eastAsia" w:ascii="Times New Roman" w:hAnsi="Times New Roman" w:cs="Times New Roman"/>
                <w:color w:val="000000"/>
                <w:szCs w:val="21"/>
                <w:highlight w:val="none"/>
                <w:u w:val="none"/>
                <w:lang w:val="en-US" w:eastAsia="zh-CN"/>
              </w:rPr>
              <w:t>元整</w:t>
            </w:r>
            <w:r>
              <w:rPr>
                <w:rFonts w:hint="default" w:ascii="Times New Roman" w:hAnsi="Times New Roman" w:cs="Times New Roman"/>
                <w:color w:val="000000"/>
                <w:szCs w:val="21"/>
                <w:highlight w:val="none"/>
              </w:rPr>
              <w:t>，（小写）</w:t>
            </w:r>
            <w:r>
              <w:rPr>
                <w:rFonts w:hint="eastAsia" w:ascii="Times New Roman" w:hAnsi="Times New Roman" w:cs="Times New Roman"/>
                <w:color w:val="000000"/>
                <w:szCs w:val="21"/>
                <w:highlight w:val="none"/>
                <w:u w:val="single"/>
                <w:lang w:val="en-US" w:eastAsia="zh-CN"/>
              </w:rPr>
              <w:t>10000</w:t>
            </w:r>
            <w:r>
              <w:rPr>
                <w:rFonts w:hint="eastAsia" w:ascii="Times New Roman" w:hAnsi="Times New Roman" w:cs="Times New Roman"/>
                <w:szCs w:val="21"/>
                <w:highlight w:val="none"/>
                <w:u w:val="none"/>
                <w:lang w:val="en-US" w:eastAsia="zh-CN"/>
              </w:rPr>
              <w:t>元</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r>
              <w:rPr>
                <w:rFonts w:hint="eastAsia" w:ascii="Times New Roman" w:hAnsi="Times New Roman" w:cs="Times New Roman"/>
                <w:b w:val="0"/>
                <w:bCs w:val="0"/>
                <w:i w:val="0"/>
                <w:iCs w:val="0"/>
                <w:color w:val="FF0000"/>
                <w:szCs w:val="21"/>
                <w:highlight w:val="none"/>
                <w:u w:val="single"/>
                <w:lang w:val="en-US" w:eastAsia="zh-CN"/>
              </w:rPr>
              <w:t>BZJK-2022-053保证金</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w:t>
            </w:r>
            <w:r>
              <w:rPr>
                <w:rFonts w:hint="eastAsia" w:ascii="Times New Roman" w:hAnsi="Times New Roman" w:cs="Times New Roman"/>
                <w:szCs w:val="21"/>
                <w:highlight w:val="none"/>
                <w:lang w:val="en-US" w:eastAsia="zh-CN"/>
              </w:rPr>
              <w:t>5个工作</w:t>
            </w:r>
            <w:r>
              <w:rPr>
                <w:rFonts w:hint="default" w:ascii="Times New Roman" w:hAnsi="Times New Roman" w:cs="Times New Roman"/>
                <w:szCs w:val="21"/>
                <w:highlight w:val="none"/>
              </w:rPr>
              <w:t>日内直接退还至该投标人汇出帐户。</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在5个工作</w:t>
            </w:r>
            <w:r>
              <w:rPr>
                <w:rFonts w:hint="default" w:ascii="Times New Roman" w:hAnsi="Times New Roman" w:cs="Times New Roman"/>
                <w:szCs w:val="21"/>
                <w:highlight w:val="none"/>
              </w:rPr>
              <w:t>日内直接退还至该投标人汇出帐户。</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eastAsia="宋体" w:cs="Times New Roman"/>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3</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如有异议或投诉的项目，按相关规定处理。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增3.4.4</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其他可以不予退还投标保证金的情形</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近年财务状况的年份要求</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single"/>
                <w:lang w:val="en-US" w:eastAsia="zh-CN"/>
              </w:rPr>
              <w:t>2018</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日至</w:t>
            </w:r>
            <w:r>
              <w:rPr>
                <w:rFonts w:hint="eastAsia" w:ascii="Times New Roman" w:hAnsi="Times New Roman" w:cs="Times New Roman"/>
                <w:szCs w:val="21"/>
                <w:highlight w:val="none"/>
                <w:u w:val="single"/>
                <w:lang w:val="en-US" w:eastAsia="zh-CN"/>
              </w:rPr>
              <w:t>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3.6.3</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盖章：</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eastAsia="宋体" w:cs="Times New Roman"/>
                <w:szCs w:val="21"/>
                <w:highlight w:val="none"/>
                <w:lang w:eastAsia="zh-CN"/>
              </w:rPr>
            </w:pPr>
            <w:r>
              <w:rPr>
                <w:rFonts w:hint="default" w:ascii="Times New Roman" w:hAnsi="Times New Roman" w:cs="Times New Roman"/>
                <w:szCs w:val="21"/>
                <w:highlight w:val="none"/>
              </w:rPr>
              <w:t>除另有规定外，投标文件封面、封套封口处及文件中规定盖章处均须加盖投标人公章（鲜章），不得使用其它如带有专用章、合同章、财务章、业务章、下属单位或分支机构印章代替，否则其投标无效</w:t>
            </w:r>
            <w:r>
              <w:rPr>
                <w:rFonts w:hint="eastAsia" w:ascii="Times New Roman" w:hAnsi="Times New Roman" w:cs="Times New Roman"/>
                <w:szCs w:val="21"/>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签字：</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eastAsia="仿宋_GB2312" w:cs="Times New Roman"/>
                <w:sz w:val="24"/>
                <w:szCs w:val="24"/>
                <w:highlight w:val="none"/>
                <w:lang w:val="en-US" w:eastAsia="zh-CN"/>
              </w:rPr>
            </w:pPr>
            <w:r>
              <w:rPr>
                <w:rFonts w:hint="default" w:ascii="Times New Roman" w:hAnsi="Times New Roman" w:cs="Times New Roman"/>
                <w:szCs w:val="21"/>
                <w:highlight w:val="none"/>
              </w:rPr>
              <w:t>除文件另有规定外，均应为手写签字，否则其投标无效。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3.6.4</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投标文件副本份数</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仿宋_GB2312" w:cs="Times New Roman"/>
                <w:sz w:val="24"/>
                <w:szCs w:val="24"/>
                <w:highlight w:val="none"/>
                <w:lang w:val="en-US" w:eastAsia="zh-CN"/>
              </w:rPr>
            </w:pPr>
            <w:r>
              <w:rPr>
                <w:rFonts w:hint="eastAsia" w:ascii="Times New Roman" w:hAnsi="Times New Roman" w:cs="Times New Roman"/>
                <w:szCs w:val="21"/>
                <w:highlight w:val="none"/>
                <w:u w:val="none"/>
                <w:lang w:val="en-US" w:eastAsia="zh-CN"/>
              </w:rPr>
              <w:t>正本1份、副本4份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3.6.5</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装订要求</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仿宋_GB2312" w:cs="Times New Roman"/>
                <w:sz w:val="24"/>
                <w:szCs w:val="24"/>
                <w:highlight w:val="none"/>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开标地址：</w:t>
            </w:r>
            <w:r>
              <w:rPr>
                <w:rFonts w:hint="eastAsia" w:ascii="Times New Roman" w:hAnsi="Times New Roman" w:cs="Times New Roman"/>
                <w:szCs w:val="21"/>
                <w:highlight w:val="none"/>
              </w:rPr>
              <w:t>亳州交通投资控股集团有限公司15楼开标室</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招标人名称：安徽省安车交通运输集团有限公司</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single"/>
                <w:lang w:val="en-US" w:eastAsia="zh-CN"/>
              </w:rPr>
              <w:t>亳州市安源公交首末站充电桩改造项目低压改造工程</w:t>
            </w:r>
            <w:r>
              <w:rPr>
                <w:rFonts w:hint="eastAsia" w:ascii="Times New Roman" w:hAnsi="Times New Roman" w:cs="Times New Roman"/>
                <w:szCs w:val="21"/>
                <w:highlight w:val="no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招标项目</w:t>
            </w:r>
            <w:r>
              <w:rPr>
                <w:rFonts w:hint="eastAsia" w:ascii="Times New Roman" w:hAnsi="Times New Roman" w:cs="Times New Roman"/>
                <w:color w:val="000000"/>
                <w:szCs w:val="21"/>
                <w:highlight w:val="none"/>
                <w:lang w:val="en-US" w:eastAsia="zh-CN"/>
              </w:rPr>
              <w:t>编号：BZJK-2022-053号</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在</w:t>
            </w:r>
            <w:r>
              <w:rPr>
                <w:rFonts w:hint="eastAsia" w:ascii="Times New Roman" w:hAnsi="Times New Roman" w:cs="Times New Roman"/>
                <w:color w:val="000000"/>
                <w:szCs w:val="21"/>
                <w:highlight w:val="none"/>
                <w:u w:val="single"/>
                <w:lang w:val="en-US" w:eastAsia="zh-CN"/>
              </w:rPr>
              <w:t>2022</w:t>
            </w:r>
            <w:r>
              <w:rPr>
                <w:rFonts w:hint="eastAsia" w:ascii="Times New Roman" w:hAnsi="Times New Roman" w:cs="Times New Roman"/>
                <w:color w:val="000000"/>
                <w:szCs w:val="21"/>
                <w:highlight w:val="none"/>
                <w:u w:val="none"/>
                <w:lang w:val="en-US" w:eastAsia="zh-CN"/>
              </w:rPr>
              <w:t>年</w:t>
            </w:r>
            <w:r>
              <w:rPr>
                <w:rFonts w:hint="eastAsia" w:ascii="Times New Roman" w:hAnsi="Times New Roman" w:cs="Times New Roman"/>
                <w:color w:val="000000"/>
                <w:szCs w:val="21"/>
                <w:highlight w:val="none"/>
                <w:u w:val="single"/>
                <w:lang w:val="en-US" w:eastAsia="zh-CN"/>
              </w:rPr>
              <w:t>11</w:t>
            </w:r>
            <w:r>
              <w:rPr>
                <w:rFonts w:hint="eastAsia" w:ascii="Times New Roman" w:hAnsi="Times New Roman" w:cs="Times New Roman"/>
                <w:color w:val="000000"/>
                <w:szCs w:val="21"/>
                <w:highlight w:val="none"/>
                <w:u w:val="none"/>
                <w:lang w:val="en-US" w:eastAsia="zh-CN"/>
              </w:rPr>
              <w:t>月</w:t>
            </w:r>
            <w:r>
              <w:rPr>
                <w:rFonts w:hint="eastAsia" w:ascii="Times New Roman" w:hAnsi="Times New Roman" w:cs="Times New Roman"/>
                <w:color w:val="000000"/>
                <w:szCs w:val="21"/>
                <w:highlight w:val="none"/>
                <w:u w:val="single"/>
                <w:lang w:val="en-US" w:eastAsia="zh-CN"/>
              </w:rPr>
              <w:t>24</w:t>
            </w:r>
            <w:r>
              <w:rPr>
                <w:rFonts w:hint="eastAsia" w:ascii="Times New Roman" w:hAnsi="Times New Roman" w:cs="Times New Roman"/>
                <w:color w:val="000000"/>
                <w:szCs w:val="21"/>
                <w:highlight w:val="none"/>
                <w:u w:val="none"/>
                <w:lang w:val="en-US" w:eastAsia="zh-CN"/>
              </w:rPr>
              <w:t>日</w:t>
            </w:r>
            <w:r>
              <w:rPr>
                <w:rFonts w:hint="eastAsia" w:ascii="Times New Roman" w:hAnsi="Times New Roman" w:cs="Times New Roman"/>
                <w:color w:val="000000"/>
                <w:szCs w:val="21"/>
                <w:highlight w:val="none"/>
                <w:u w:val="single"/>
                <w:lang w:val="en-US" w:eastAsia="zh-CN"/>
              </w:rPr>
              <w:t>9</w:t>
            </w:r>
            <w:r>
              <w:rPr>
                <w:rFonts w:hint="eastAsia" w:ascii="Times New Roman" w:hAnsi="Times New Roman" w:cs="Times New Roman"/>
                <w:color w:val="000000"/>
                <w:szCs w:val="21"/>
                <w:highlight w:val="none"/>
                <w:u w:val="none"/>
                <w:lang w:val="en-US" w:eastAsia="zh-CN"/>
              </w:rPr>
              <w:t>时</w:t>
            </w:r>
            <w:r>
              <w:rPr>
                <w:rFonts w:hint="eastAsia" w:ascii="Times New Roman" w:hAnsi="Times New Roman" w:cs="Times New Roman"/>
                <w:szCs w:val="21"/>
                <w:highlight w:val="none"/>
                <w:u w:val="single"/>
                <w:lang w:val="en-US" w:eastAsia="zh-CN"/>
              </w:rPr>
              <w:t>00</w:t>
            </w:r>
            <w:r>
              <w:rPr>
                <w:rFonts w:hint="eastAsia" w:ascii="Times New Roman" w:hAnsi="Times New Roman" w:cs="Times New Roman"/>
                <w:szCs w:val="21"/>
                <w:highlight w:val="none"/>
                <w:u w:val="none"/>
                <w:lang w:val="en-US" w:eastAsia="zh-CN"/>
              </w:rPr>
              <w:t>分</w:t>
            </w:r>
            <w:r>
              <w:rPr>
                <w:rFonts w:hint="eastAsia" w:ascii="Times New Roman" w:hAnsi="Times New Roman" w:cs="Times New Roman"/>
                <w:szCs w:val="21"/>
                <w:highlight w:val="none"/>
                <w:lang w:val="en-US" w:eastAsia="zh-CN"/>
              </w:rPr>
              <w:t>前不得开启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373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开标时间：同投标截止时间</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开标地点：同递交投标文件地点</w:t>
            </w:r>
          </w:p>
          <w:p>
            <w:pPr>
              <w:keepNext w:val="0"/>
              <w:keepLines w:val="0"/>
              <w:pageBreakBefore w:val="0"/>
              <w:widowControl w:val="0"/>
              <w:kinsoku/>
              <w:wordWrap/>
              <w:overflowPunct/>
              <w:topLinePunct w:val="0"/>
              <w:autoSpaceDE/>
              <w:autoSpaceDN/>
              <w:bidi w:val="0"/>
              <w:adjustRightInd/>
              <w:snapToGrid/>
              <w:spacing w:line="440" w:lineRule="exact"/>
              <w:ind w:firstLine="422" w:firstLineChars="200"/>
              <w:jc w:val="both"/>
              <w:textAlignment w:val="auto"/>
              <w:rPr>
                <w:rFonts w:hint="default" w:ascii="Times New Roman" w:hAnsi="Times New Roman" w:cs="Times New Roman"/>
                <w:b/>
                <w:bCs/>
                <w:szCs w:val="21"/>
                <w:highlight w:val="none"/>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r>
              <w:rPr>
                <w:rFonts w:hint="eastAsia" w:ascii="Times New Roman" w:hAnsi="Times New Roman" w:cs="Times New Roman"/>
                <w:b/>
                <w:bCs/>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由投标人代表、招标平台工作人员共同检查确认。</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开标顺序：</w:t>
            </w:r>
            <w:r>
              <w:rPr>
                <w:rFonts w:hint="default" w:ascii="Times New Roman" w:hAnsi="Times New Roman" w:cs="Times New Roman"/>
                <w:szCs w:val="21"/>
                <w:highlight w:val="none"/>
                <w:u w:val="none"/>
              </w:rPr>
              <w:t>按签到正顺序开标。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w:t>
            </w:r>
            <w:r>
              <w:rPr>
                <w:rFonts w:hint="eastAsia" w:ascii="Times New Roman" w:hAnsi="Times New Roman" w:cs="Times New Roman"/>
                <w:szCs w:val="21"/>
                <w:highlight w:val="none"/>
                <w:u w:val="single"/>
                <w:lang w:val="en-US" w:eastAsia="zh-CN"/>
              </w:rPr>
              <w:t>5</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其中招标人代表</w:t>
            </w:r>
            <w:r>
              <w:rPr>
                <w:rFonts w:hint="eastAsia" w:ascii="Times New Roman" w:hAnsi="Times New Roman" w:cs="Times New Roman"/>
                <w:szCs w:val="21"/>
                <w:highlight w:val="none"/>
                <w:u w:val="single"/>
                <w:lang w:val="en-US" w:eastAsia="zh-CN"/>
              </w:rPr>
              <w:t>1</w:t>
            </w:r>
            <w:r>
              <w:rPr>
                <w:rFonts w:hint="default" w:ascii="Times New Roman" w:hAnsi="Times New Roman" w:cs="Times New Roman"/>
                <w:szCs w:val="21"/>
                <w:highlight w:val="none"/>
              </w:rPr>
              <w:t>人，专家</w:t>
            </w:r>
            <w:r>
              <w:rPr>
                <w:rFonts w:hint="eastAsia" w:ascii="Times New Roman" w:hAnsi="Times New Roman" w:cs="Times New Roman"/>
                <w:szCs w:val="21"/>
                <w:highlight w:val="none"/>
                <w:u w:val="single"/>
                <w:lang w:val="en-US" w:eastAsia="zh-CN"/>
              </w:rPr>
              <w:t>4</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评标专家确定方式：</w:t>
            </w:r>
            <w:r>
              <w:rPr>
                <w:rFonts w:hint="eastAsia" w:ascii="Times New Roman" w:hAnsi="Times New Roman" w:cs="Times New Roman"/>
                <w:szCs w:val="21"/>
                <w:highlight w:val="none"/>
                <w:lang w:val="en-US" w:eastAsia="zh-CN"/>
              </w:rPr>
              <w:t>按有关规定抽取</w:t>
            </w:r>
            <w:r>
              <w:rPr>
                <w:rFonts w:hint="default" w:ascii="Times New Roman" w:hAnsi="Times New Roman" w:cs="Times New Roman"/>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imes New Roman" w:hAnsi="Times New Roman" w:cs="Times New Roman"/>
                <w:szCs w:val="21"/>
                <w:highlight w:val="none"/>
                <w:lang w:val="en-US" w:eastAsia="zh-CN"/>
              </w:rPr>
              <w:t>否，推荐的中标候选人数：3人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公示媒介：</w:t>
            </w:r>
            <w:r>
              <w:rPr>
                <w:rFonts w:hint="default" w:ascii="Times New Roman" w:hAnsi="Times New Roman" w:cs="Times New Roman"/>
                <w:i/>
                <w:iCs/>
                <w:color w:val="FF0000"/>
                <w:szCs w:val="21"/>
                <w:highlight w:val="none"/>
                <w:u w:val="single"/>
              </w:rPr>
              <w:t>亳州交通投资控股集团有限公司官网（www.bzjkjt.com）、安徽省招标投标信息网（www.ahtba.org.cn）及优质采云采购平台（www.youzhicai.com）</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000000"/>
                <w:szCs w:val="21"/>
                <w:highlight w:val="none"/>
                <w:lang w:val="en-US" w:eastAsia="zh-CN"/>
              </w:rPr>
              <w:t>3</w:t>
            </w:r>
            <w:r>
              <w:rPr>
                <w:rFonts w:hint="default" w:ascii="Times New Roman" w:hAnsi="Times New Roman" w:cs="Times New Roman"/>
                <w:color w:val="auto"/>
                <w:szCs w:val="21"/>
                <w:highlight w:val="none"/>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b/>
                <w:bCs/>
                <w:szCs w:val="21"/>
                <w:highlight w:val="none"/>
              </w:rPr>
              <w:t>履约</w:t>
            </w:r>
            <w:r>
              <w:rPr>
                <w:rFonts w:hint="eastAsia" w:ascii="Times New Roman" w:hAnsi="Times New Roman" w:cs="Times New Roman"/>
                <w:b/>
                <w:bCs/>
                <w:szCs w:val="21"/>
                <w:highlight w:val="none"/>
                <w:lang w:val="en-US" w:eastAsia="zh-CN"/>
              </w:rPr>
              <w:t>担保</w:t>
            </w:r>
            <w:r>
              <w:rPr>
                <w:rFonts w:hint="default" w:ascii="Times New Roman" w:hAnsi="Times New Roman" w:cs="Times New Roman"/>
                <w:b/>
                <w:bCs/>
                <w:szCs w:val="21"/>
                <w:highlight w:val="none"/>
              </w:rPr>
              <w:t>的形式：</w:t>
            </w:r>
            <w:r>
              <w:rPr>
                <w:rFonts w:hint="default" w:ascii="Times New Roman" w:hAnsi="Times New Roman" w:cs="Times New Roman"/>
                <w:szCs w:val="21"/>
                <w:highlight w:val="none"/>
              </w:rPr>
              <w:t>中标后，投标保证金自动转为履约保证金，履约保证金不足部分由中标人在收到中标通知书1</w:t>
            </w:r>
            <w:r>
              <w:rPr>
                <w:rFonts w:hint="eastAsia" w:ascii="Times New Roman" w:hAnsi="Times New Roman" w:cs="Times New Roman"/>
                <w:szCs w:val="21"/>
                <w:highlight w:val="none"/>
                <w:lang w:val="en-US" w:eastAsia="zh-CN"/>
              </w:rPr>
              <w:t>0</w:t>
            </w:r>
            <w:r>
              <w:rPr>
                <w:rFonts w:hint="default" w:ascii="Times New Roman" w:hAnsi="Times New Roman" w:cs="Times New Roman"/>
                <w:szCs w:val="21"/>
                <w:highlight w:val="none"/>
              </w:rPr>
              <w:t>日内从其基本账户开户行银行汇款</w:t>
            </w:r>
            <w:r>
              <w:rPr>
                <w:rFonts w:hint="eastAsia" w:ascii="Times New Roman" w:hAnsi="Times New Roman" w:cs="Times New Roman"/>
                <w:szCs w:val="21"/>
                <w:highlight w:val="none"/>
                <w:lang w:val="en-US" w:eastAsia="zh-CN"/>
              </w:rPr>
              <w:t>或开具保函</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rPr>
              <w:t>履约</w:t>
            </w:r>
            <w:r>
              <w:rPr>
                <w:rFonts w:hint="eastAsia" w:ascii="Times New Roman" w:hAnsi="Times New Roman" w:cs="Times New Roman"/>
                <w:b/>
                <w:bCs/>
                <w:szCs w:val="21"/>
                <w:highlight w:val="none"/>
                <w:lang w:val="en-US" w:eastAsia="zh-CN"/>
              </w:rPr>
              <w:t>担保</w:t>
            </w:r>
            <w:r>
              <w:rPr>
                <w:rFonts w:hint="default" w:ascii="Times New Roman" w:hAnsi="Times New Roman" w:cs="Times New Roman"/>
                <w:b/>
                <w:bCs/>
                <w:szCs w:val="21"/>
                <w:highlight w:val="none"/>
              </w:rPr>
              <w:t>的金额：</w:t>
            </w:r>
            <w:r>
              <w:rPr>
                <w:rFonts w:hint="eastAsia" w:ascii="Times New Roman" w:hAnsi="Times New Roman" w:cs="Times New Roman"/>
                <w:szCs w:val="21"/>
                <w:highlight w:val="none"/>
                <w:lang w:val="en-US" w:eastAsia="zh-CN"/>
              </w:rPr>
              <w:t>同投标保证金</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rPr>
              <w:t>履约</w:t>
            </w:r>
            <w:r>
              <w:rPr>
                <w:rFonts w:hint="eastAsia" w:ascii="Times New Roman" w:hAnsi="Times New Roman" w:cs="Times New Roman"/>
                <w:b/>
                <w:bCs/>
                <w:szCs w:val="21"/>
                <w:highlight w:val="none"/>
                <w:lang w:val="en-US" w:eastAsia="zh-CN"/>
              </w:rPr>
              <w:t>担保</w:t>
            </w:r>
            <w:r>
              <w:rPr>
                <w:rFonts w:hint="default" w:ascii="Times New Roman" w:hAnsi="Times New Roman" w:cs="Times New Roman"/>
                <w:b/>
                <w:bCs/>
                <w:szCs w:val="21"/>
                <w:highlight w:val="none"/>
              </w:rPr>
              <w:t>的退还：</w:t>
            </w:r>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val="en-US" w:eastAsia="zh-CN"/>
              </w:rPr>
              <w:t>工程竣工验收合格后退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履约保证金（无息本金）。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522" w:type="dxa"/>
            <w:gridSpan w:val="3"/>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仿宋_GB2312" w:cs="Times New Roman"/>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szCs w:val="21"/>
                <w:highlight w:val="none"/>
                <w:lang w:val="en-US" w:eastAsia="zh-CN"/>
              </w:rPr>
            </w:pPr>
            <w:r>
              <w:rPr>
                <w:rFonts w:hint="eastAsia" w:ascii="Times New Roman" w:hAnsi="Times New Roman" w:cs="Times New Roman"/>
                <w:szCs w:val="21"/>
                <w:highlight w:val="none"/>
                <w:lang w:val="en-US" w:eastAsia="zh-CN"/>
              </w:rPr>
              <w:t>9</w:t>
            </w:r>
          </w:p>
        </w:tc>
        <w:tc>
          <w:tcPr>
            <w:tcW w:w="7514" w:type="dxa"/>
            <w:gridSpan w:val="2"/>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电子招标投标</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Cs w:val="21"/>
                <w:highlight w:val="none"/>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szCs w:val="21"/>
                <w:highlight w:val="none"/>
                <w:lang w:val="en-US" w:eastAsia="zh-CN"/>
              </w:rPr>
            </w:pPr>
            <w:r>
              <w:rPr>
                <w:rFonts w:hint="eastAsia" w:ascii="Times New Roman" w:hAnsi="Times New Roman" w:cs="Times New Roman"/>
                <w:szCs w:val="21"/>
                <w:highlight w:val="none"/>
                <w:lang w:val="en-US" w:eastAsia="zh-CN"/>
              </w:rPr>
              <w:t>增11.1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szCs w:val="21"/>
                <w:highlight w:val="none"/>
                <w:lang w:val="en-US" w:eastAsia="zh-CN"/>
              </w:rPr>
            </w:pPr>
            <w:r>
              <w:rPr>
                <w:rFonts w:hint="eastAsia" w:ascii="Times New Roman" w:hAnsi="Times New Roman" w:cs="Times New Roman"/>
                <w:szCs w:val="21"/>
                <w:highlight w:val="none"/>
                <w:lang w:val="en-US" w:eastAsia="zh-CN"/>
              </w:rPr>
              <w:t>解释权</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w:t>
            </w:r>
            <w:r>
              <w:rPr>
                <w:rFonts w:hint="eastAsia" w:ascii="Times New Roman" w:hAnsi="Times New Roman" w:cs="Times New Roman"/>
                <w:szCs w:val="21"/>
                <w:highlight w:val="none"/>
                <w:lang w:val="en-US" w:eastAsia="zh-CN"/>
              </w:rPr>
              <w:t>部分</w:t>
            </w:r>
            <w:r>
              <w:rPr>
                <w:rFonts w:hint="default" w:ascii="Times New Roman" w:hAnsi="Times New Roman" w:cs="Times New Roman"/>
                <w:szCs w:val="21"/>
                <w:highlight w:val="none"/>
              </w:rPr>
              <w:t>的，以合同文件约定内容为准，且以专用合同条款约定的合同文件优先顺序解释；除招标文件中有特别规定外，仅适用于招标投标阶段的规定，按招标公告（投标邀请书）、投标人须知、评标办法、投标文件格式的先后顺序解释；同一组成文件中就同一事项的规定或约定不一致的，以编排顺序在后者为准；同一组成文件不同版本之间</w:t>
            </w:r>
            <w:r>
              <w:rPr>
                <w:rFonts w:hint="eastAsia" w:ascii="Times New Roman" w:hAnsi="Times New Roman" w:cs="Times New Roman"/>
                <w:szCs w:val="21"/>
                <w:highlight w:val="none"/>
                <w:lang w:val="en-US" w:eastAsia="zh-CN"/>
              </w:rPr>
              <w:t>内容</w:t>
            </w:r>
            <w:r>
              <w:rPr>
                <w:rFonts w:hint="default" w:ascii="Times New Roman" w:hAnsi="Times New Roman" w:cs="Times New Roman"/>
                <w:szCs w:val="21"/>
                <w:highlight w:val="none"/>
              </w:rPr>
              <w:t>有不一致的，以形成时间在后者为准。</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按本款前述规定仍不能形成结论的，由招标人负责解释。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增11.2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不良行为记录</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（十四）其他不良行为。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40" w:lineRule="exact"/>
        <w:ind w:firstLine="422" w:firstLineChars="200"/>
        <w:jc w:val="both"/>
        <w:textAlignment w:val="auto"/>
        <w:rPr>
          <w:rFonts w:hint="eastAsia" w:ascii="Times New Roman" w:hAnsi="Times New Roman" w:cs="Times New Roman"/>
          <w:color w:val="000000"/>
          <w:highlight w:val="none"/>
          <w:lang w:val="en-US" w:eastAsia="zh-CN"/>
        </w:rPr>
      </w:pPr>
      <w:r>
        <w:rPr>
          <w:rFonts w:hint="eastAsia" w:ascii="Times New Roman" w:hAnsi="Times New Roman" w:cs="Times New Roman"/>
          <w:b/>
          <w:bCs/>
          <w:color w:val="000000"/>
          <w:highlight w:val="none"/>
          <w:lang w:val="en-US" w:eastAsia="zh-CN"/>
        </w:rPr>
        <w:t>说明：</w:t>
      </w:r>
      <w:r>
        <w:rPr>
          <w:rFonts w:hint="eastAsia" w:ascii="Times New Roman" w:hAnsi="Times New Roman" w:cs="Times New Roman"/>
          <w:color w:val="000000"/>
          <w:highlight w:val="none"/>
          <w:lang w:val="en-US" w:eastAsia="zh-CN"/>
        </w:rPr>
        <w:t>投标人须知正文部分直接引用国家发改委等九部委于2011年12月20日联合印发的</w:t>
      </w:r>
      <w:r>
        <w:rPr>
          <w:rFonts w:hint="eastAsia" w:ascii="Times New Roman" w:hAnsi="Times New Roman" w:cs="Times New Roman"/>
          <w:color w:val="000000"/>
          <w:highlight w:val="none"/>
          <w:u w:val="single"/>
          <w:lang w:val="en-US" w:eastAsia="zh-CN"/>
        </w:rPr>
        <w:t>《中华人民共和国简明标准施工招标文件》（2012年版）</w:t>
      </w:r>
      <w:r>
        <w:rPr>
          <w:rFonts w:hint="eastAsia" w:ascii="Times New Roman" w:hAnsi="Times New Roman" w:cs="Times New Roman"/>
          <w:color w:val="000000"/>
          <w:highlight w:val="none"/>
          <w:lang w:val="en-US" w:eastAsia="zh-CN"/>
        </w:rPr>
        <w:t>。</w:t>
      </w:r>
    </w:p>
    <w:p>
      <w:pPr>
        <w:rPr>
          <w:rFonts w:hint="default" w:ascii="宋体" w:hAnsi="宋体" w:eastAsia="宋体" w:cs="宋体"/>
          <w:b/>
          <w:bCs/>
          <w:sz w:val="32"/>
          <w:szCs w:val="32"/>
          <w:highlight w:val="none"/>
          <w:lang w:val="en-US" w:eastAsia="zh-CN"/>
        </w:rPr>
      </w:pPr>
      <w:r>
        <w:rPr>
          <w:rFonts w:hint="default" w:ascii="宋体" w:hAnsi="宋体" w:eastAsia="宋体" w:cs="宋体"/>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宋体" w:hAnsi="宋体" w:eastAsia="宋体" w:cs="宋体"/>
          <w:b/>
          <w:bCs/>
          <w:color w:val="auto"/>
          <w:sz w:val="32"/>
          <w:szCs w:val="32"/>
          <w:highlight w:val="none"/>
          <w:lang w:val="en-US" w:eastAsia="zh-CN"/>
        </w:rPr>
      </w:pPr>
      <w:r>
        <w:rPr>
          <w:rFonts w:hint="default" w:ascii="宋体" w:hAnsi="宋体" w:eastAsia="宋体" w:cs="宋体"/>
          <w:b/>
          <w:bCs/>
          <w:color w:val="auto"/>
          <w:sz w:val="32"/>
          <w:szCs w:val="32"/>
          <w:highlight w:val="none"/>
          <w:lang w:val="en-US" w:eastAsia="zh-CN"/>
        </w:rPr>
        <w:t>第三章 评标办法</w:t>
      </w:r>
      <w:r>
        <w:rPr>
          <w:rFonts w:hint="eastAsia" w:ascii="宋体" w:hAnsi="宋体" w:eastAsia="宋体" w:cs="宋体"/>
          <w:b/>
          <w:bCs/>
          <w:color w:val="auto"/>
          <w:sz w:val="32"/>
          <w:szCs w:val="32"/>
          <w:highlight w:val="none"/>
          <w:lang w:val="en-US" w:eastAsia="zh-CN"/>
        </w:rPr>
        <w:t>（综合评估法）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宋体" w:hAnsi="宋体" w:eastAsia="宋体" w:cs="宋体"/>
          <w:b/>
          <w:bCs/>
          <w:sz w:val="28"/>
          <w:szCs w:val="28"/>
          <w:highlight w:val="none"/>
          <w:lang w:val="en-US" w:eastAsia="zh-CN"/>
        </w:rPr>
      </w:pPr>
      <w:r>
        <w:rPr>
          <w:rFonts w:hint="eastAsia" w:ascii="宋体" w:hAnsi="宋体" w:eastAsia="宋体" w:cs="宋体"/>
          <w:b/>
          <w:bCs/>
          <w:sz w:val="28"/>
          <w:szCs w:val="28"/>
          <w:highlight w:val="none"/>
          <w:lang w:val="en-US" w:eastAsia="zh-CN"/>
        </w:rPr>
        <w:t>评标办法前附表</w:t>
      </w:r>
    </w:p>
    <w:tbl>
      <w:tblPr>
        <w:tblStyle w:val="8"/>
        <w:tblpPr w:leftFromText="180" w:rightFromText="180" w:vertAnchor="text" w:horzAnchor="page" w:tblpX="1801" w:tblpY="464"/>
        <w:tblOverlap w:val="never"/>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kern w:val="0"/>
                <w:sz w:val="24"/>
                <w:szCs w:val="24"/>
                <w:highlight w:val="none"/>
              </w:rPr>
            </w:pPr>
            <w:r>
              <w:rPr>
                <w:rFonts w:hint="default" w:ascii="Times New Roman" w:hAnsi="Times New Roman" w:eastAsia="宋体" w:cs="Times New Roman"/>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kern w:val="0"/>
                <w:sz w:val="24"/>
                <w:szCs w:val="24"/>
                <w:highlight w:val="none"/>
              </w:rPr>
            </w:pPr>
            <w:r>
              <w:rPr>
                <w:rFonts w:hint="default" w:ascii="Times New Roman" w:hAnsi="Times New Roman" w:eastAsia="宋体" w:cs="Times New Roman"/>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kern w:val="0"/>
                <w:sz w:val="24"/>
                <w:szCs w:val="24"/>
                <w:highlight w:val="none"/>
              </w:rPr>
            </w:pPr>
            <w:r>
              <w:rPr>
                <w:rFonts w:hint="default" w:ascii="Times New Roman" w:hAnsi="Times New Roman" w:eastAsia="宋体" w:cs="Times New Roman"/>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kern w:val="0"/>
                <w:sz w:val="24"/>
                <w:szCs w:val="24"/>
                <w:highlight w:val="none"/>
              </w:rPr>
            </w:pPr>
            <w:r>
              <w:rPr>
                <w:rFonts w:hint="default" w:ascii="Times New Roman" w:hAnsi="Times New Roman" w:eastAsia="宋体" w:cs="Times New Roman"/>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kern w:val="0"/>
                <w:sz w:val="24"/>
                <w:szCs w:val="24"/>
                <w:highlight w:val="none"/>
              </w:rPr>
            </w:pPr>
            <w:r>
              <w:rPr>
                <w:rFonts w:hint="default" w:ascii="Times New Roman" w:hAnsi="Times New Roman" w:eastAsia="宋体" w:cs="Times New Roman"/>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default" w:ascii="Times New Roman" w:hAnsi="Times New Roman" w:eastAsia="宋体" w:cs="Times New Roman"/>
                <w:kern w:val="0"/>
                <w:sz w:val="24"/>
                <w:szCs w:val="24"/>
                <w:highlight w:val="none"/>
              </w:rPr>
            </w:pPr>
            <w:r>
              <w:rPr>
                <w:rFonts w:hint="default" w:ascii="Times New Roman" w:hAnsi="Times New Roman" w:eastAsia="宋体" w:cs="Times New Roman"/>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eastAsia="宋体" w:cs="Times New Roman"/>
                <w:kern w:val="0"/>
                <w:sz w:val="24"/>
                <w:szCs w:val="24"/>
                <w:highlight w:val="none"/>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eastAsia="宋体" w:cs="Times New Roman"/>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imes New Roman" w:hAnsi="Times New Roman" w:eastAsia="宋体" w:cs="Times New Roman"/>
                <w:kern w:val="0"/>
                <w:sz w:val="24"/>
                <w:szCs w:val="24"/>
                <w:highlight w:val="none"/>
                <w:lang w:eastAsia="zh-CN"/>
              </w:rPr>
            </w:pPr>
            <w:r>
              <w:rPr>
                <w:rFonts w:hint="default" w:ascii="Times New Roman" w:hAnsi="Times New Roman" w:eastAsia="宋体" w:cs="Times New Roman"/>
                <w:kern w:val="0"/>
                <w:sz w:val="24"/>
                <w:szCs w:val="24"/>
                <w:highlight w:val="none"/>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kern w:val="0"/>
                <w:sz w:val="24"/>
                <w:szCs w:val="24"/>
                <w:highlight w:val="none"/>
              </w:rPr>
            </w:pPr>
            <w:r>
              <w:rPr>
                <w:rFonts w:hint="default" w:ascii="Times New Roman" w:hAnsi="Times New Roman" w:eastAsia="宋体" w:cs="Times New Roman"/>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imes New Roman" w:hAnsi="Times New Roman" w:eastAsia="宋体" w:cs="Times New Roman"/>
                <w:kern w:val="0"/>
                <w:sz w:val="24"/>
                <w:szCs w:val="24"/>
                <w:highlight w:val="none"/>
                <w:lang w:eastAsia="zh-CN"/>
              </w:rPr>
            </w:pPr>
            <w:r>
              <w:rPr>
                <w:rFonts w:hint="default" w:ascii="Times New Roman" w:hAnsi="Times New Roman" w:eastAsia="宋体" w:cs="Times New Roman"/>
                <w:kern w:val="0"/>
                <w:sz w:val="24"/>
                <w:szCs w:val="24"/>
                <w:highlight w:val="none"/>
              </w:rPr>
              <w:t>符合</w:t>
            </w:r>
            <w:r>
              <w:rPr>
                <w:rFonts w:hint="default" w:ascii="Times New Roman" w:hAnsi="Times New Roman" w:eastAsia="宋体" w:cs="Times New Roman"/>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eastAsia="宋体" w:cs="Times New Roman"/>
                <w:color w:val="auto"/>
                <w:kern w:val="0"/>
                <w:sz w:val="24"/>
                <w:szCs w:val="24"/>
                <w:highlight w:val="none"/>
              </w:rPr>
              <w:t>章</w:t>
            </w:r>
            <w:r>
              <w:rPr>
                <w:rFonts w:hint="eastAsia" w:ascii="Times New Roman" w:hAnsi="Times New Roman" w:cs="Times New Roman"/>
                <w:kern w:val="0"/>
                <w:sz w:val="24"/>
                <w:szCs w:val="24"/>
                <w:highlight w:val="none"/>
                <w:lang w:eastAsia="zh-CN"/>
              </w:rPr>
              <w:t>“</w:t>
            </w:r>
            <w:r>
              <w:rPr>
                <w:rFonts w:hint="default" w:ascii="Times New Roman" w:hAnsi="Times New Roman" w:eastAsia="宋体" w:cs="Times New Roman"/>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eastAsia="宋体" w:cs="Times New Roman"/>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kern w:val="0"/>
                <w:sz w:val="24"/>
                <w:szCs w:val="24"/>
                <w:highlight w:val="none"/>
              </w:rPr>
            </w:pPr>
            <w:r>
              <w:rPr>
                <w:rFonts w:hint="default" w:ascii="Times New Roman" w:hAnsi="Times New Roman" w:eastAsia="宋体" w:cs="Times New Roman"/>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kern w:val="0"/>
                <w:sz w:val="24"/>
                <w:szCs w:val="24"/>
                <w:highlight w:val="none"/>
                <w:lang w:val="en-US" w:eastAsia="zh-CN"/>
              </w:rPr>
            </w:pPr>
            <w:r>
              <w:rPr>
                <w:rFonts w:hint="default" w:ascii="Times New Roman" w:hAnsi="Times New Roman" w:eastAsia="宋体" w:cs="Times New Roman"/>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eastAsia="宋体" w:cs="Times New Roman"/>
                <w:kern w:val="0"/>
                <w:sz w:val="24"/>
                <w:szCs w:val="24"/>
                <w:highlight w:val="none"/>
                <w:lang w:val="en-US" w:eastAsia="zh-CN"/>
              </w:rPr>
            </w:pPr>
            <w:r>
              <w:rPr>
                <w:rFonts w:hint="default" w:ascii="Times New Roman" w:hAnsi="Times New Roman" w:eastAsia="宋体" w:cs="Times New Roman"/>
                <w:kern w:val="0"/>
                <w:sz w:val="24"/>
                <w:szCs w:val="24"/>
                <w:highlight w:val="none"/>
              </w:rPr>
              <w:t>具备有效的营业执照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安全生产许可证</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具备有效的安全生产许可证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项目负责人</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tc>
        <w:tc>
          <w:tcPr>
            <w:tcW w:w="850" w:type="dxa"/>
            <w:vMerge w:val="continue"/>
            <w:tcBorders>
              <w:right w:val="single" w:color="auto" w:sz="4" w:space="0"/>
            </w:tcBorders>
            <w:noWrap w:val="0"/>
            <w:vAlign w:val="center"/>
          </w:tcPr>
          <w:p/>
        </w:tc>
        <w:tc>
          <w:tcPr>
            <w:tcW w:w="1984" w:type="dxa"/>
            <w:tcBorders>
              <w:top w:val="single" w:color="auto" w:sz="4" w:space="0"/>
              <w:left w:val="single" w:color="auto" w:sz="4" w:space="0"/>
              <w:bottom w:val="single" w:color="auto" w:sz="4" w:space="0"/>
              <w:right w:val="single" w:color="auto" w:sz="4" w:space="0"/>
            </w:tcBorders>
            <w:noWrap w:val="0"/>
            <w:vAlign w:val="top"/>
          </w:tcPr>
          <w:p/>
        </w:tc>
        <w:tc>
          <w:tcPr>
            <w:tcW w:w="4836" w:type="dxa"/>
            <w:tcBorders>
              <w:top w:val="single" w:color="auto" w:sz="4" w:space="0"/>
              <w:left w:val="single" w:color="auto" w:sz="4" w:space="0"/>
              <w:bottom w:val="single" w:color="auto" w:sz="4" w:space="0"/>
              <w:right w:val="single" w:color="auto" w:sz="4" w:space="0"/>
            </w:tcBorders>
            <w:noWrap w:val="0"/>
            <w:vAlign w:val="center"/>
          </w:tc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不存在禁止投标的情形</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不存在第二章“投标人须知”第1.4.2项、第1.4.3项规定的任何一种情形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kern w:val="0"/>
                <w:sz w:val="24"/>
                <w:szCs w:val="24"/>
                <w:highlight w:val="none"/>
              </w:rPr>
            </w:pPr>
            <w:r>
              <w:rPr>
                <w:rFonts w:hint="default" w:ascii="Times New Roman" w:hAnsi="Times New Roman" w:eastAsia="宋体" w:cs="Times New Roman"/>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default" w:ascii="Times New Roman" w:hAnsi="Times New Roman" w:eastAsia="宋体" w:cs="Times New Roman"/>
                <w:kern w:val="0"/>
                <w:sz w:val="24"/>
                <w:szCs w:val="24"/>
                <w:highlight w:val="none"/>
              </w:rPr>
            </w:pPr>
            <w:r>
              <w:rPr>
                <w:rFonts w:hint="default" w:ascii="Times New Roman" w:hAnsi="Times New Roman" w:eastAsia="宋体" w:cs="Times New Roman"/>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eastAsia="宋体" w:cs="Times New Roman"/>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eastAsia="宋体" w:cs="Times New Roman"/>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default" w:ascii="Times New Roman" w:hAnsi="Times New Roman" w:eastAsia="宋体" w:cs="Times New Roman"/>
                <w:kern w:val="0"/>
                <w:sz w:val="24"/>
                <w:szCs w:val="24"/>
                <w:highlight w:val="none"/>
              </w:rPr>
            </w:pPr>
            <w:r>
              <w:rPr>
                <w:rFonts w:hint="default" w:ascii="Times New Roman" w:hAnsi="Times New Roman" w:eastAsia="宋体" w:cs="Times New Roman"/>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eastAsia="宋体" w:cs="Times New Roman"/>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eastAsia="宋体" w:cs="Times New Roman"/>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default" w:ascii="Times New Roman" w:hAnsi="Times New Roman" w:eastAsia="宋体" w:cs="Times New Roman"/>
                <w:kern w:val="0"/>
                <w:sz w:val="24"/>
                <w:szCs w:val="24"/>
                <w:highlight w:val="none"/>
              </w:rPr>
            </w:pPr>
            <w:r>
              <w:rPr>
                <w:rFonts w:hint="default" w:ascii="Times New Roman" w:hAnsi="Times New Roman" w:eastAsia="宋体" w:cs="Times New Roman"/>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eastAsia="宋体" w:cs="Times New Roman"/>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eastAsia="宋体" w:cs="Times New Roman"/>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工程质量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default" w:ascii="Times New Roman" w:hAnsi="Times New Roman" w:eastAsia="宋体" w:cs="Times New Roman"/>
                <w:kern w:val="0"/>
                <w:sz w:val="24"/>
                <w:szCs w:val="24"/>
                <w:highlight w:val="none"/>
              </w:rPr>
            </w:pPr>
            <w:r>
              <w:rPr>
                <w:rFonts w:hint="default" w:ascii="Times New Roman" w:hAnsi="Times New Roman" w:eastAsia="宋体" w:cs="Times New Roman"/>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eastAsia="宋体" w:cs="Times New Roman"/>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eastAsia="宋体" w:cs="Times New Roman"/>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default" w:ascii="Times New Roman" w:hAnsi="Times New Roman" w:eastAsia="宋体" w:cs="Times New Roman"/>
                <w:kern w:val="0"/>
                <w:sz w:val="24"/>
                <w:szCs w:val="24"/>
                <w:highlight w:val="none"/>
              </w:rPr>
            </w:pPr>
            <w:r>
              <w:rPr>
                <w:rFonts w:hint="default" w:ascii="Times New Roman" w:hAnsi="Times New Roman" w:eastAsia="宋体" w:cs="Times New Roman"/>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eastAsia="宋体" w:cs="Times New Roman"/>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eastAsia="宋体" w:cs="Times New Roman"/>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default" w:ascii="Times New Roman" w:hAnsi="Times New Roman" w:eastAsia="宋体" w:cs="Times New Roman"/>
                <w:kern w:val="0"/>
                <w:sz w:val="24"/>
                <w:szCs w:val="24"/>
                <w:highlight w:val="none"/>
                <w:lang w:val="en-US" w:eastAsia="zh-CN"/>
              </w:rPr>
            </w:pPr>
            <w:r>
              <w:rPr>
                <w:rFonts w:hint="default" w:ascii="Times New Roman" w:hAnsi="Times New Roman" w:eastAsia="宋体" w:cs="Times New Roman"/>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eastAsia="宋体" w:cs="Times New Roman"/>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eastAsia="宋体" w:cs="Times New Roman"/>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default" w:ascii="Times New Roman" w:hAnsi="Times New Roman" w:eastAsia="宋体"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w:t>
            </w:r>
            <w:r>
              <w:rPr>
                <w:rFonts w:hint="default" w:ascii="Times New Roman" w:hAnsi="Times New Roman" w:eastAsia="宋体" w:cs="Times New Roman"/>
                <w:kern w:val="0"/>
                <w:sz w:val="24"/>
                <w:szCs w:val="24"/>
                <w:highlight w:val="none"/>
                <w:lang w:val="en-US" w:eastAsia="zh-CN"/>
              </w:rPr>
              <w:t>第</w:t>
            </w:r>
            <w:r>
              <w:rPr>
                <w:rFonts w:hint="eastAsia" w:ascii="Times New Roman" w:hAnsi="Times New Roman" w:cs="Times New Roman"/>
                <w:kern w:val="0"/>
                <w:sz w:val="24"/>
                <w:szCs w:val="24"/>
                <w:highlight w:val="none"/>
                <w:lang w:val="en-US" w:eastAsia="zh-CN"/>
              </w:rPr>
              <w:t>四</w:t>
            </w:r>
            <w:r>
              <w:rPr>
                <w:rFonts w:hint="default" w:ascii="Times New Roman" w:hAnsi="Times New Roman" w:eastAsia="宋体" w:cs="Times New Roman"/>
                <w:kern w:val="0"/>
                <w:sz w:val="24"/>
                <w:szCs w:val="24"/>
                <w:highlight w:val="none"/>
                <w:lang w:val="en-US" w:eastAsia="zh-CN"/>
              </w:rPr>
              <w:t>章</w:t>
            </w:r>
            <w:r>
              <w:rPr>
                <w:rFonts w:hint="eastAsia" w:ascii="Times New Roman" w:hAnsi="Times New Roman" w:cs="Times New Roman"/>
                <w:kern w:val="0"/>
                <w:sz w:val="24"/>
                <w:szCs w:val="24"/>
                <w:highlight w:val="none"/>
                <w:lang w:val="en-US" w:eastAsia="zh-CN"/>
              </w:rPr>
              <w:t>“</w:t>
            </w:r>
            <w:r>
              <w:rPr>
                <w:rFonts w:hint="default" w:ascii="Times New Roman" w:hAnsi="Times New Roman" w:eastAsia="宋体" w:cs="Times New Roman"/>
                <w:kern w:val="0"/>
                <w:sz w:val="24"/>
                <w:szCs w:val="24"/>
                <w:highlight w:val="none"/>
                <w:lang w:val="en-US" w:eastAsia="zh-CN"/>
              </w:rPr>
              <w:t>合同条款及格式</w:t>
            </w:r>
            <w:r>
              <w:rPr>
                <w:rFonts w:hint="eastAsia" w:ascii="Times New Roman" w:hAnsi="Times New Roman" w:cs="Times New Roman"/>
                <w:kern w:val="0"/>
                <w:sz w:val="24"/>
                <w:szCs w:val="24"/>
                <w:highlight w:val="none"/>
                <w:lang w:val="en-US" w:eastAsia="zh-CN"/>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kern w:val="0"/>
                <w:sz w:val="24"/>
                <w:szCs w:val="24"/>
                <w:highlight w:val="none"/>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技术标准和要求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符合第五章“技术标准和要求”规定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eastAsia="宋体" w:cs="Times New Roman"/>
                <w:b/>
                <w:bCs/>
                <w:kern w:val="0"/>
                <w:sz w:val="24"/>
                <w:szCs w:val="24"/>
                <w:highlight w:val="none"/>
                <w:lang w:val="en-US" w:eastAsia="zh-CN" w:bidi="ar-SA"/>
              </w:rPr>
            </w:pPr>
            <w:bookmarkStart w:id="16" w:name="_Toc296602477"/>
            <w:bookmarkStart w:id="17" w:name="_Toc152042366"/>
            <w:bookmarkStart w:id="18" w:name="_Toc247085747"/>
            <w:bookmarkStart w:id="19" w:name="_Toc246996232"/>
            <w:bookmarkStart w:id="20" w:name="_Toc246996975"/>
            <w:bookmarkStart w:id="21" w:name="_Toc179632607"/>
            <w:bookmarkStart w:id="22" w:name="_Toc152045589"/>
            <w:bookmarkStart w:id="23" w:name="_Toc144974556"/>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eastAsia="宋体" w:cs="Times New Roman"/>
                <w:b/>
                <w:bCs/>
                <w:kern w:val="0"/>
                <w:sz w:val="24"/>
                <w:szCs w:val="24"/>
                <w:highlight w:val="none"/>
                <w:lang w:val="en-US" w:eastAsia="zh-CN" w:bidi="ar-SA"/>
              </w:rPr>
            </w:pPr>
            <w:r>
              <w:rPr>
                <w:rFonts w:hint="default" w:ascii="Times New Roman" w:hAnsi="Times New Roman" w:cs="Times New Roman"/>
                <w:b/>
                <w:bCs/>
                <w:kern w:val="0"/>
                <w:sz w:val="24"/>
                <w:szCs w:val="24"/>
                <w:highlight w:val="none"/>
                <w:lang w:val="en-US" w:eastAsia="zh-CN"/>
              </w:rPr>
              <w:t>条款内容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eastAsia="宋体" w:cs="Times New Roman"/>
                <w:b/>
                <w:bCs/>
                <w:kern w:val="0"/>
                <w:sz w:val="24"/>
                <w:szCs w:val="24"/>
                <w:highlight w:val="none"/>
                <w:lang w:val="en-US" w:eastAsia="zh-CN" w:bidi="ar-SA"/>
              </w:rPr>
            </w:pPr>
            <w:r>
              <w:rPr>
                <w:rFonts w:hint="default" w:ascii="Times New Roman" w:hAnsi="Times New Roman" w:cs="Times New Roman"/>
                <w:b/>
                <w:bCs/>
                <w:kern w:val="0"/>
                <w:sz w:val="24"/>
                <w:szCs w:val="24"/>
                <w:highlight w:val="none"/>
                <w:lang w:val="en-US" w:eastAsia="zh-CN"/>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eastAsia="宋体" w:cs="Times New Roman"/>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2.2.1</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分值构成</w:t>
            </w:r>
          </w:p>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eastAsia="宋体" w:cs="Times New Roman"/>
                <w:kern w:val="0"/>
                <w:sz w:val="24"/>
                <w:szCs w:val="24"/>
                <w:highlight w:val="none"/>
                <w:lang w:val="en-US" w:eastAsia="zh-CN" w:bidi="ar-SA"/>
              </w:rPr>
            </w:pPr>
            <w:r>
              <w:rPr>
                <w:rFonts w:hint="default" w:ascii="Times New Roman" w:hAnsi="Times New Roman" w:cs="Times New Roman"/>
                <w:kern w:val="0"/>
                <w:sz w:val="24"/>
                <w:szCs w:val="24"/>
                <w:highlight w:val="none"/>
                <w:lang w:val="en-US" w:eastAsia="zh-CN"/>
              </w:rPr>
              <w:t>（总分100分）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技术部分：</w:t>
            </w:r>
            <w:r>
              <w:rPr>
                <w:rFonts w:hint="eastAsia" w:ascii="Times New Roman" w:hAnsi="Times New Roman" w:cs="Times New Roman"/>
                <w:color w:val="auto"/>
                <w:kern w:val="0"/>
                <w:sz w:val="24"/>
                <w:szCs w:val="24"/>
                <w:highlight w:val="none"/>
                <w:u w:val="single"/>
                <w:lang w:val="en-US" w:eastAsia="zh-CN"/>
              </w:rPr>
              <w:t>30</w:t>
            </w:r>
            <w:r>
              <w:rPr>
                <w:rFonts w:hint="eastAsia" w:ascii="Times New Roman" w:hAnsi="Times New Roman" w:cs="Times New Roman"/>
                <w:color w:val="auto"/>
                <w:kern w:val="0"/>
                <w:sz w:val="24"/>
                <w:szCs w:val="24"/>
                <w:highlight w:val="none"/>
                <w:lang w:val="en-US" w:eastAsia="zh-CN"/>
              </w:rPr>
              <w:t>分</w:t>
            </w:r>
          </w:p>
          <w:p>
            <w:pPr>
              <w:keepNext w:val="0"/>
              <w:keepLines w:val="0"/>
              <w:pageBreakBefore w:val="0"/>
              <w:widowControl w:val="0"/>
              <w:kinsoku/>
              <w:wordWrap w:val="0"/>
              <w:overflowPunct/>
              <w:topLinePunct w:val="0"/>
              <w:autoSpaceDE/>
              <w:autoSpaceDN/>
              <w:bidi w:val="0"/>
              <w:adjustRightInd/>
              <w:snapToGrid/>
              <w:spacing w:line="46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商务部分：</w:t>
            </w:r>
            <w:r>
              <w:rPr>
                <w:rFonts w:hint="eastAsia" w:ascii="Times New Roman" w:hAnsi="Times New Roman" w:cs="Times New Roman"/>
                <w:color w:val="auto"/>
                <w:kern w:val="0"/>
                <w:sz w:val="24"/>
                <w:szCs w:val="24"/>
                <w:highlight w:val="none"/>
                <w:u w:val="single"/>
                <w:lang w:val="en-US" w:eastAsia="zh-CN"/>
              </w:rPr>
              <w:t>30</w:t>
            </w:r>
            <w:r>
              <w:rPr>
                <w:rFonts w:hint="eastAsia" w:ascii="Times New Roman" w:hAnsi="Times New Roman" w:cs="Times New Roman"/>
                <w:color w:val="auto"/>
                <w:kern w:val="0"/>
                <w:sz w:val="24"/>
                <w:szCs w:val="24"/>
                <w:highlight w:val="none"/>
                <w:lang w:val="en-US" w:eastAsia="zh-CN"/>
              </w:rPr>
              <w:t>分</w:t>
            </w:r>
          </w:p>
          <w:p>
            <w:pPr>
              <w:keepNext w:val="0"/>
              <w:keepLines w:val="0"/>
              <w:pageBreakBefore w:val="0"/>
              <w:widowControl w:val="0"/>
              <w:kinsoku/>
              <w:wordWrap w:val="0"/>
              <w:overflowPunct/>
              <w:topLinePunct w:val="0"/>
              <w:autoSpaceDE/>
              <w:autoSpaceDN/>
              <w:bidi w:val="0"/>
              <w:adjustRightInd/>
              <w:snapToGrid/>
              <w:spacing w:line="460" w:lineRule="exact"/>
              <w:textAlignment w:val="auto"/>
              <w:rPr>
                <w:rFonts w:hint="eastAsia" w:ascii="Times New Roman" w:hAnsi="Times New Roman" w:eastAsia="宋体" w:cs="Times New Roman"/>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投标报价：</w:t>
            </w:r>
            <w:r>
              <w:rPr>
                <w:rFonts w:hint="eastAsia" w:ascii="Times New Roman" w:hAnsi="Times New Roman" w:cs="Times New Roman"/>
                <w:color w:val="auto"/>
                <w:kern w:val="0"/>
                <w:sz w:val="24"/>
                <w:szCs w:val="24"/>
                <w:highlight w:val="none"/>
                <w:u w:val="single"/>
                <w:lang w:val="en-US" w:eastAsia="zh-CN"/>
              </w:rPr>
              <w:t>40</w:t>
            </w:r>
            <w:r>
              <w:rPr>
                <w:rFonts w:hint="eastAsia" w:ascii="Times New Roman" w:hAnsi="Times New Roman" w:cs="Times New Roman"/>
                <w:color w:val="auto"/>
                <w:kern w:val="0"/>
                <w:sz w:val="24"/>
                <w:szCs w:val="24"/>
                <w:highlight w:val="none"/>
                <w:lang w:val="en-US" w:eastAsia="zh-CN"/>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eastAsia="宋体" w:cs="Times New Roman"/>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2.2.2</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eastAsia="宋体" w:cs="Times New Roman"/>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评标基准价计算方法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ind w:firstLine="480" w:firstLineChars="200"/>
              <w:jc w:val="both"/>
              <w:textAlignment w:val="auto"/>
              <w:rPr>
                <w:rFonts w:hint="eastAsia" w:ascii="Times New Roman" w:hAnsi="Times New Roman" w:eastAsia="宋体" w:cs="Times New Roman"/>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详见2.2.4（3）投标报价评分标准。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eastAsia="宋体" w:cs="Times New Roman"/>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2.2.3</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eastAsia="宋体" w:cs="Times New Roman"/>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投标报价的偏差率计算公式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ind w:firstLine="480" w:firstLineChars="200"/>
              <w:jc w:val="both"/>
              <w:textAlignment w:val="auto"/>
              <w:rPr>
                <w:rFonts w:hint="eastAsia" w:ascii="Times New Roman" w:hAnsi="Times New Roman" w:eastAsia="宋体" w:cs="Times New Roman"/>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详见2.2.4（3）投标报价评分标准。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eastAsia="宋体" w:cs="Times New Roman"/>
                <w:b/>
                <w:bCs/>
                <w:kern w:val="0"/>
                <w:sz w:val="24"/>
                <w:szCs w:val="24"/>
                <w:highlight w:val="none"/>
                <w:lang w:val="en-US" w:eastAsia="zh-CN" w:bidi="ar-SA"/>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eastAsia="宋体" w:cs="Times New Roman"/>
                <w:b/>
                <w:bCs/>
                <w:kern w:val="0"/>
                <w:sz w:val="24"/>
                <w:szCs w:val="24"/>
                <w:highlight w:val="none"/>
                <w:lang w:val="en-US" w:eastAsia="zh-CN" w:bidi="ar-SA"/>
              </w:rPr>
            </w:pPr>
            <w:r>
              <w:rPr>
                <w:rFonts w:hint="default" w:ascii="Times New Roman" w:hAnsi="Times New Roman" w:cs="Times New Roman"/>
                <w:b/>
                <w:bCs/>
                <w:kern w:val="0"/>
                <w:sz w:val="24"/>
                <w:szCs w:val="24"/>
                <w:highlight w:val="none"/>
                <w:lang w:val="en-US" w:eastAsia="zh-CN"/>
              </w:rPr>
              <w:t>评分因素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eastAsia="宋体" w:cs="Times New Roman"/>
                <w:b/>
                <w:bCs/>
                <w:kern w:val="0"/>
                <w:sz w:val="24"/>
                <w:szCs w:val="24"/>
                <w:highlight w:val="none"/>
                <w:lang w:val="en-US" w:eastAsia="zh-CN" w:bidi="ar-SA"/>
              </w:rPr>
            </w:pPr>
            <w:r>
              <w:rPr>
                <w:rFonts w:hint="default" w:ascii="Times New Roman" w:hAnsi="Times New Roman" w:cs="Times New Roman"/>
                <w:b/>
                <w:bCs/>
                <w:kern w:val="0"/>
                <w:sz w:val="24"/>
                <w:szCs w:val="24"/>
                <w:highlight w:val="none"/>
                <w:lang w:val="en-US" w:eastAsia="zh-CN"/>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2.2.4（1）</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技术评分标准（30分）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技术性能指标</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响应情况</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投标人投标设备技术性能指标全部符合招标文件第五章技术标准和要求的得20分。</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投标人投标设备技术性能指标每有1项出现负偏离的扣2分，最低扣至0分。</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注：1.投标人应提供投标设备（120kw一体式直流充电桩）带有CMA或CNAS标识的型式试验报告复印件，加盖投标人单位公章，并装订入投标文件中；</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2.招标文件第五章技术标准和要求标有“★”的条款为关键技术参数，投标人必须响应或优于响应，否则其投标无效。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red"/>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施工组织设计</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投标人针对本项目编制施工组织设计，包括但不限于项目概况、施工方案、质量保障措施、进度计划、投标设备供货、安装、调试方案、项目疑难点分析等内容。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本项满分</w:t>
            </w:r>
            <w:r>
              <w:rPr>
                <w:rFonts w:hint="eastAsia" w:ascii="Times New Roman" w:hAnsi="Times New Roman" w:cs="Times New Roman"/>
                <w:kern w:val="0"/>
                <w:sz w:val="24"/>
                <w:szCs w:val="24"/>
                <w:highlight w:val="none"/>
                <w:lang w:val="en-US" w:eastAsia="zh-CN"/>
              </w:rPr>
              <w:t>10</w:t>
            </w:r>
            <w:r>
              <w:rPr>
                <w:rFonts w:hint="default" w:ascii="Times New Roman" w:hAnsi="Times New Roman" w:cs="Times New Roman"/>
                <w:kern w:val="0"/>
                <w:sz w:val="24"/>
                <w:szCs w:val="24"/>
                <w:highlight w:val="none"/>
                <w:lang w:val="en-US" w:eastAsia="zh-CN"/>
              </w:rPr>
              <w:t>分，评委根据方案的完整性、实用性酌情给分，优得</w:t>
            </w:r>
            <w:r>
              <w:rPr>
                <w:rFonts w:hint="eastAsia" w:ascii="Times New Roman" w:hAnsi="Times New Roman" w:cs="Times New Roman"/>
                <w:kern w:val="0"/>
                <w:sz w:val="24"/>
                <w:szCs w:val="24"/>
                <w:highlight w:val="none"/>
                <w:lang w:val="en-US" w:eastAsia="zh-CN"/>
              </w:rPr>
              <w:t>7—10</w:t>
            </w:r>
            <w:r>
              <w:rPr>
                <w:rFonts w:hint="default" w:ascii="Times New Roman" w:hAnsi="Times New Roman" w:cs="Times New Roman"/>
                <w:kern w:val="0"/>
                <w:sz w:val="24"/>
                <w:szCs w:val="24"/>
                <w:highlight w:val="none"/>
                <w:lang w:val="en-US" w:eastAsia="zh-CN"/>
              </w:rPr>
              <w:t>分，</w:t>
            </w:r>
            <w:r>
              <w:rPr>
                <w:rFonts w:hint="eastAsia" w:ascii="Times New Roman" w:hAnsi="Times New Roman" w:cs="Times New Roman"/>
                <w:kern w:val="0"/>
                <w:sz w:val="24"/>
                <w:szCs w:val="24"/>
                <w:highlight w:val="none"/>
                <w:lang w:val="en-US" w:eastAsia="zh-CN"/>
              </w:rPr>
              <w:t>良得4—7分，</w:t>
            </w:r>
            <w:r>
              <w:rPr>
                <w:rFonts w:hint="default" w:ascii="Times New Roman" w:hAnsi="Times New Roman" w:cs="Times New Roman"/>
                <w:kern w:val="0"/>
                <w:sz w:val="24"/>
                <w:szCs w:val="24"/>
                <w:highlight w:val="none"/>
                <w:lang w:val="en-US" w:eastAsia="zh-CN"/>
              </w:rPr>
              <w:t>一般得</w:t>
            </w:r>
            <w:r>
              <w:rPr>
                <w:rFonts w:hint="eastAsia" w:ascii="Times New Roman" w:hAnsi="Times New Roman" w:cs="Times New Roman"/>
                <w:kern w:val="0"/>
                <w:sz w:val="24"/>
                <w:szCs w:val="24"/>
                <w:highlight w:val="none"/>
                <w:lang w:val="en-US" w:eastAsia="zh-CN"/>
              </w:rPr>
              <w:t>1—4</w:t>
            </w:r>
            <w:r>
              <w:rPr>
                <w:rFonts w:hint="default" w:ascii="Times New Roman" w:hAnsi="Times New Roman" w:cs="Times New Roman"/>
                <w:kern w:val="0"/>
                <w:sz w:val="24"/>
                <w:szCs w:val="24"/>
                <w:highlight w:val="none"/>
                <w:lang w:val="en-US" w:eastAsia="zh-CN"/>
              </w:rPr>
              <w:t>分，</w:t>
            </w:r>
            <w:r>
              <w:rPr>
                <w:rFonts w:hint="eastAsia" w:ascii="Times New Roman" w:hAnsi="Times New Roman" w:cs="Times New Roman"/>
                <w:kern w:val="0"/>
                <w:sz w:val="24"/>
                <w:szCs w:val="24"/>
                <w:highlight w:val="none"/>
                <w:lang w:val="en-US" w:eastAsia="zh-CN"/>
              </w:rPr>
              <w:t>差得1分，</w:t>
            </w:r>
            <w:r>
              <w:rPr>
                <w:rFonts w:hint="default" w:ascii="Times New Roman" w:hAnsi="Times New Roman" w:cs="Times New Roman"/>
                <w:kern w:val="0"/>
                <w:sz w:val="24"/>
                <w:szCs w:val="24"/>
                <w:highlight w:val="none"/>
                <w:lang w:val="en-US" w:eastAsia="zh-CN"/>
              </w:rPr>
              <w:t>没有提供方案的不得分。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商务评分标准（30分）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企业荣誉</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eastAsia="黑体" w:cs="Times New Roman"/>
                <w:b w:val="0"/>
                <w:bCs w:val="0"/>
                <w:kern w:val="0"/>
                <w:sz w:val="24"/>
                <w:szCs w:val="24"/>
                <w:highlight w:val="none"/>
                <w:lang w:val="en-US" w:eastAsia="zh-CN"/>
              </w:rPr>
            </w:pPr>
            <w:r>
              <w:rPr>
                <w:rFonts w:hint="eastAsia" w:ascii="Times New Roman" w:hAnsi="Times New Roman" w:eastAsia="黑体" w:cs="Times New Roman"/>
                <w:b w:val="0"/>
                <w:bCs w:val="0"/>
                <w:kern w:val="0"/>
                <w:sz w:val="24"/>
                <w:szCs w:val="24"/>
                <w:highlight w:val="none"/>
                <w:lang w:val="en-US" w:eastAsia="zh-CN"/>
              </w:rPr>
              <w:t>1.管理体系认证证书（6分）</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具有经中国国家认证认可监督管理委员会认证机构颁发的ISO9001质量管理体系认证证书、ISO14001环境管理体系认证证书以及ISO45001职业健康安全管理体系认证证书(充电桩类)，且在有效期内的，每提供1项得2分，满分6分。</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投标人须提供认证证书复印件，并装订入投标文件中。证书中应能体现发证机构已获得认监委认证或能体现该证书可在认监委网站查询，否则须同时在投标文件中提供在认监委网站对证书发证机构的查询截图作为评审依据。</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eastAsia="黑体" w:cs="Times New Roman"/>
                <w:b w:val="0"/>
                <w:bCs w:val="0"/>
                <w:kern w:val="0"/>
                <w:sz w:val="24"/>
                <w:szCs w:val="24"/>
                <w:highlight w:val="none"/>
                <w:lang w:val="en-US" w:eastAsia="zh-CN"/>
              </w:rPr>
            </w:pPr>
            <w:r>
              <w:rPr>
                <w:rFonts w:hint="eastAsia" w:ascii="Times New Roman" w:hAnsi="Times New Roman" w:eastAsia="黑体" w:cs="Times New Roman"/>
                <w:b w:val="0"/>
                <w:bCs w:val="0"/>
                <w:kern w:val="0"/>
                <w:sz w:val="24"/>
                <w:szCs w:val="24"/>
                <w:highlight w:val="none"/>
                <w:lang w:val="en-US" w:eastAsia="zh-CN"/>
              </w:rPr>
              <w:t>2.企业获奖（4分）</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投标人曾获市级及以上行政主管部门颁发奖项的，每提供1项得2分，本项满分4分，多分不计。</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注：投标人须提供奖项复印件，装订入投标文件中。</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企业业绩</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（12分）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投标人每提供1个单项合同金额不低于50万元的类似项目业绩得4分，本项满分12分，多分不计。</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类似项目业绩是指投标人自2018年1月1日至今承接过的电力工程施工业绩，业绩时间以合同签订时间为准。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注：投标人须提供业绩合同复印件，装订入投标文件中。</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投标设备</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售后服务</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（8分）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eastAsia="黑体" w:cs="Times New Roman"/>
                <w:b w:val="0"/>
                <w:bCs w:val="0"/>
                <w:kern w:val="0"/>
                <w:sz w:val="24"/>
                <w:szCs w:val="24"/>
                <w:highlight w:val="none"/>
                <w:lang w:val="en-US" w:eastAsia="zh-CN"/>
              </w:rPr>
            </w:pPr>
            <w:r>
              <w:rPr>
                <w:rFonts w:hint="eastAsia" w:ascii="Times New Roman" w:hAnsi="Times New Roman" w:eastAsia="黑体" w:cs="Times New Roman"/>
                <w:b w:val="0"/>
                <w:bCs w:val="0"/>
                <w:kern w:val="0"/>
                <w:sz w:val="24"/>
                <w:szCs w:val="24"/>
                <w:highlight w:val="none"/>
                <w:lang w:val="en-US" w:eastAsia="zh-CN"/>
              </w:rPr>
              <w:t>1.售后服务点（2分）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投标人在安徽省内设有分公司或子公司或服务网点的得2分。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注：投标人须提供售后服务点详细地址、售后联系人、联系方式等信息，并装订入投标文件中。</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eastAsia="黑体" w:cs="Times New Roman"/>
                <w:b w:val="0"/>
                <w:bCs w:val="0"/>
                <w:kern w:val="0"/>
                <w:sz w:val="24"/>
                <w:szCs w:val="24"/>
                <w:highlight w:val="none"/>
                <w:lang w:val="en-US" w:eastAsia="zh-CN"/>
              </w:rPr>
            </w:pPr>
            <w:r>
              <w:rPr>
                <w:rFonts w:hint="eastAsia" w:ascii="Times New Roman" w:hAnsi="Times New Roman" w:eastAsia="黑体" w:cs="Times New Roman"/>
                <w:b w:val="0"/>
                <w:bCs w:val="0"/>
                <w:kern w:val="0"/>
                <w:sz w:val="24"/>
                <w:szCs w:val="24"/>
                <w:highlight w:val="none"/>
                <w:lang w:val="en-US" w:eastAsia="zh-CN"/>
              </w:rPr>
              <w:t>2.售后服务响应时限（1分）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承诺提供7×24小时全天候电话技术支持服务，对于招标人以书面或电话形式提出的质量、服务等问题，投标人于1小时内予以答复响应，需要投标人委派技术、服务人员的，于4小时内到达现场，并于24小时内解决问题的得1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注：投标人须针对售后服务响应时限出具承诺书，加盖投标人单位公章，并装订入投标文件中。</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eastAsia="黑体" w:cs="Times New Roman"/>
                <w:b w:val="0"/>
                <w:bCs w:val="0"/>
                <w:kern w:val="0"/>
                <w:sz w:val="24"/>
                <w:szCs w:val="24"/>
                <w:highlight w:val="none"/>
                <w:lang w:val="en-US" w:eastAsia="zh-CN"/>
              </w:rPr>
            </w:pPr>
            <w:r>
              <w:rPr>
                <w:rFonts w:hint="eastAsia" w:ascii="Times New Roman" w:hAnsi="Times New Roman" w:eastAsia="黑体" w:cs="Times New Roman"/>
                <w:b w:val="0"/>
                <w:bCs w:val="0"/>
                <w:kern w:val="0"/>
                <w:sz w:val="24"/>
                <w:szCs w:val="24"/>
                <w:highlight w:val="none"/>
                <w:lang w:val="en-US" w:eastAsia="zh-CN"/>
              </w:rPr>
              <w:t>3.售后服务方案（5分）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针对本项目编制售后服务方案，包括但不限于售后服务机构设置及联系方式、响应时限承诺、投标设备常见故障分析及解决方案、备品备件及易损件价格清单、质保期内售后服务计划、质保期外售后服务计划等。</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本项满分</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kern w:val="0"/>
                <w:sz w:val="24"/>
                <w:szCs w:val="24"/>
                <w:highlight w:val="none"/>
                <w:lang w:val="en-US" w:eastAsia="zh-CN"/>
              </w:rPr>
              <w:t>分，评委根据方案的完整性、实用性酌情给分，优得</w:t>
            </w:r>
            <w:r>
              <w:rPr>
                <w:rFonts w:hint="eastAsia" w:ascii="Times New Roman" w:hAnsi="Times New Roman" w:cs="Times New Roman"/>
                <w:kern w:val="0"/>
                <w:sz w:val="24"/>
                <w:szCs w:val="24"/>
                <w:highlight w:val="none"/>
                <w:lang w:val="en-US" w:eastAsia="zh-CN"/>
              </w:rPr>
              <w:t>3—5</w:t>
            </w:r>
            <w:r>
              <w:rPr>
                <w:rFonts w:hint="default" w:ascii="Times New Roman" w:hAnsi="Times New Roman" w:cs="Times New Roman"/>
                <w:kern w:val="0"/>
                <w:sz w:val="24"/>
                <w:szCs w:val="24"/>
                <w:highlight w:val="none"/>
                <w:lang w:val="en-US" w:eastAsia="zh-CN"/>
              </w:rPr>
              <w:t>分，一般得</w:t>
            </w:r>
            <w:r>
              <w:rPr>
                <w:rFonts w:hint="eastAsia" w:ascii="Times New Roman" w:hAnsi="Times New Roman" w:cs="Times New Roman"/>
                <w:kern w:val="0"/>
                <w:sz w:val="24"/>
                <w:szCs w:val="24"/>
                <w:highlight w:val="none"/>
                <w:lang w:val="en-US" w:eastAsia="zh-CN"/>
              </w:rPr>
              <w:t>1—3</w:t>
            </w:r>
            <w:r>
              <w:rPr>
                <w:rFonts w:hint="default" w:ascii="Times New Roman" w:hAnsi="Times New Roman" w:cs="Times New Roman"/>
                <w:kern w:val="0"/>
                <w:sz w:val="24"/>
                <w:szCs w:val="24"/>
                <w:highlight w:val="none"/>
                <w:lang w:val="en-US" w:eastAsia="zh-CN"/>
              </w:rPr>
              <w:t>分，</w:t>
            </w:r>
            <w:r>
              <w:rPr>
                <w:rFonts w:hint="eastAsia" w:ascii="Times New Roman" w:hAnsi="Times New Roman" w:cs="Times New Roman"/>
                <w:kern w:val="0"/>
                <w:sz w:val="24"/>
                <w:szCs w:val="24"/>
                <w:highlight w:val="none"/>
                <w:lang w:val="en-US" w:eastAsia="zh-CN"/>
              </w:rPr>
              <w:t>差得1分，</w:t>
            </w:r>
            <w:r>
              <w:rPr>
                <w:rFonts w:hint="default" w:ascii="Times New Roman" w:hAnsi="Times New Roman" w:cs="Times New Roman"/>
                <w:kern w:val="0"/>
                <w:sz w:val="24"/>
                <w:szCs w:val="24"/>
                <w:highlight w:val="none"/>
                <w:lang w:val="en-US" w:eastAsia="zh-CN"/>
              </w:rPr>
              <w:t>没有提供方案的不得分。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2.2.4（3）</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投标报价评分标准（40分）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偏差率</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取所有通过初步评审的投标人的最低投标报价作为评标基准价，得分计算公式如下：</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得分=（评标基准价/投标报价）×40</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若评标委员会认定该投标人投标报价为可能影响合同履约的异常低价或不以中标为目的投标报价的，可以否决其投标。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注：保留得分小数点后两位，第三位四舍五入。</w:t>
            </w: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default" w:ascii="Times New Roman" w:hAnsi="Times New Roman" w:cs="Times New Roman"/>
          <w:b/>
          <w:bCs/>
          <w:highlight w:val="none"/>
          <w:lang w:val="en-US" w:eastAsia="zh-CN"/>
        </w:rPr>
        <w:t>说明：</w:t>
      </w:r>
      <w:r>
        <w:rPr>
          <w:rFonts w:hint="default" w:ascii="Times New Roman" w:hAnsi="Times New Roman" w:cs="Times New Roman"/>
          <w:highlight w:val="none"/>
          <w:lang w:val="en-US" w:eastAsia="zh-CN"/>
        </w:rPr>
        <w:t>评分区间一律按左闭右开计算</w:t>
      </w:r>
      <w:r>
        <w:rPr>
          <w:rFonts w:hint="eastAsia" w:ascii="Times New Roman" w:hAnsi="Times New Roman" w:cs="Times New Roman"/>
          <w:highlight w:val="none"/>
          <w:lang w:val="en-US" w:eastAsia="zh-CN"/>
        </w:rPr>
        <w:t>，评分保留2位小数。</w:t>
      </w:r>
    </w:p>
    <w:p>
      <w:pPr>
        <w:rPr>
          <w:rFonts w:hint="default" w:ascii="Times New Roman" w:hAnsi="Times New Roman" w:eastAsia="宋体" w:cs="Times New Roman"/>
          <w:b/>
          <w:bCs/>
          <w:kern w:val="0"/>
          <w:sz w:val="28"/>
          <w:szCs w:val="28"/>
          <w:highlight w:val="none"/>
        </w:rPr>
      </w:pPr>
      <w:r>
        <w:rPr>
          <w:rFonts w:hint="default" w:ascii="Times New Roman" w:hAnsi="Times New Roman" w:eastAsia="宋体" w:cs="Times New Roman"/>
          <w:b/>
          <w:bCs/>
          <w:kern w:val="0"/>
          <w:sz w:val="28"/>
          <w:szCs w:val="28"/>
          <w:highlight w:val="none"/>
        </w:rPr>
        <w:br w:type="page"/>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宋体" w:cs="Times New Roman"/>
          <w:b/>
          <w:bCs/>
          <w:kern w:val="0"/>
          <w:sz w:val="28"/>
          <w:szCs w:val="28"/>
          <w:highlight w:val="none"/>
        </w:rPr>
      </w:pPr>
      <w:r>
        <w:rPr>
          <w:rFonts w:hint="default" w:ascii="Times New Roman" w:hAnsi="Times New Roman" w:eastAsia="宋体" w:cs="Times New Roman"/>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eastAsia="宋体" w:cs="Times New Roman"/>
          <w:kern w:val="0"/>
          <w:sz w:val="24"/>
          <w:szCs w:val="24"/>
          <w:highlight w:val="none"/>
        </w:rPr>
        <w:t>本次评标采用</w:t>
      </w:r>
      <w:r>
        <w:rPr>
          <w:rFonts w:hint="eastAsia" w:ascii="Times New Roman" w:hAnsi="Times New Roman" w:cs="Times New Roman"/>
          <w:kern w:val="0"/>
          <w:sz w:val="24"/>
          <w:szCs w:val="24"/>
          <w:highlight w:val="none"/>
          <w:lang w:val="en-US" w:eastAsia="zh-CN"/>
        </w:rPr>
        <w:t>综合评估法。评标委员会对满足招标文件实质要求的投标文件，按照本章第2.2款规定的评分标准进行打分，并按得分由高到低顺序推荐中标候选人，或根据招标人授权直接确定中标人，但投标报价低于其成本的除外。</w:t>
      </w:r>
    </w:p>
    <w:p>
      <w:pPr>
        <w:keepNext w:val="0"/>
        <w:keepLines w:val="0"/>
        <w:pageBreakBefore w:val="0"/>
        <w:widowControl w:val="0"/>
        <w:shd w:val="clear" w:color="auto" w:fill="auto"/>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eastAsia="宋体" w:cs="Times New Roman"/>
          <w:kern w:val="0"/>
          <w:sz w:val="24"/>
          <w:szCs w:val="24"/>
          <w:highlight w:val="none"/>
        </w:rPr>
      </w:pPr>
      <w:r>
        <w:rPr>
          <w:rFonts w:hint="default" w:ascii="Times New Roman" w:hAnsi="Times New Roman" w:eastAsia="宋体" w:cs="Times New Roman"/>
          <w:kern w:val="0"/>
          <w:sz w:val="24"/>
          <w:szCs w:val="24"/>
          <w:highlight w:val="none"/>
        </w:rPr>
        <w:t>综合评分相等时，以投标报价低的优先；投标报价也相等的，以</w:t>
      </w:r>
      <w:r>
        <w:rPr>
          <w:rFonts w:hint="eastAsia" w:ascii="Times New Roman" w:hAnsi="Times New Roman" w:cs="Times New Roman"/>
          <w:kern w:val="0"/>
          <w:sz w:val="24"/>
          <w:szCs w:val="24"/>
          <w:highlight w:val="none"/>
          <w:lang w:val="en-US" w:eastAsia="zh-CN"/>
        </w:rPr>
        <w:t>技术部分</w:t>
      </w:r>
      <w:r>
        <w:rPr>
          <w:rFonts w:hint="default" w:ascii="Times New Roman" w:hAnsi="Times New Roman" w:eastAsia="宋体" w:cs="Times New Roman"/>
          <w:kern w:val="0"/>
          <w:sz w:val="24"/>
          <w:szCs w:val="24"/>
          <w:highlight w:val="none"/>
        </w:rPr>
        <w:t>得分高的优先；如</w:t>
      </w:r>
      <w:r>
        <w:rPr>
          <w:rFonts w:hint="eastAsia" w:ascii="Times New Roman" w:hAnsi="Times New Roman" w:cs="Times New Roman"/>
          <w:kern w:val="0"/>
          <w:sz w:val="24"/>
          <w:szCs w:val="24"/>
          <w:highlight w:val="none"/>
          <w:lang w:val="en-US" w:eastAsia="zh-CN"/>
        </w:rPr>
        <w:t>技术部分</w:t>
      </w:r>
      <w:r>
        <w:rPr>
          <w:rFonts w:hint="default" w:ascii="Times New Roman" w:hAnsi="Times New Roman" w:eastAsia="宋体" w:cs="Times New Roman"/>
          <w:kern w:val="0"/>
          <w:sz w:val="24"/>
          <w:szCs w:val="24"/>
          <w:highlight w:val="none"/>
        </w:rPr>
        <w:t>得分也相等，由招标人或其授权的评标委员会自行确定（一般宜采用投票制，少数服从多数）。</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宋体" w:cs="Times New Roman"/>
          <w:b/>
          <w:bCs/>
          <w:kern w:val="0"/>
          <w:sz w:val="28"/>
          <w:szCs w:val="28"/>
          <w:highlight w:val="none"/>
        </w:rPr>
      </w:pPr>
      <w:r>
        <w:rPr>
          <w:rFonts w:hint="default" w:ascii="Times New Roman" w:hAnsi="Times New Roman" w:eastAsia="宋体" w:cs="Times New Roman"/>
          <w:b/>
          <w:bCs/>
          <w:kern w:val="0"/>
          <w:sz w:val="28"/>
          <w:szCs w:val="28"/>
          <w:highlight w:val="none"/>
        </w:rPr>
        <w:t>2. 评审标准</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宋体" w:cs="Times New Roman"/>
          <w:b/>
          <w:bCs/>
          <w:kern w:val="0"/>
          <w:sz w:val="28"/>
          <w:szCs w:val="28"/>
          <w:highlight w:val="none"/>
        </w:rPr>
      </w:pPr>
      <w:r>
        <w:rPr>
          <w:rFonts w:hint="default" w:ascii="Times New Roman" w:hAnsi="Times New Roman" w:eastAsia="宋体" w:cs="Times New Roman"/>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eastAsia="宋体" w:cs="Times New Roman"/>
          <w:b/>
          <w:bCs/>
          <w:kern w:val="0"/>
          <w:sz w:val="28"/>
          <w:szCs w:val="28"/>
          <w:highlight w:val="none"/>
        </w:rPr>
        <w:t>评审标准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eastAsia="宋体" w:cs="Times New Roman"/>
          <w:kern w:val="0"/>
          <w:sz w:val="24"/>
          <w:szCs w:val="24"/>
          <w:highlight w:val="none"/>
        </w:rPr>
      </w:pPr>
      <w:r>
        <w:rPr>
          <w:rFonts w:hint="default" w:ascii="Times New Roman" w:hAnsi="Times New Roman" w:eastAsia="宋体" w:cs="Times New Roman"/>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eastAsia="宋体" w:cs="Times New Roman"/>
          <w:kern w:val="0"/>
          <w:sz w:val="24"/>
          <w:szCs w:val="24"/>
          <w:highlight w:val="none"/>
        </w:rPr>
      </w:pPr>
      <w:r>
        <w:rPr>
          <w:rFonts w:hint="default" w:ascii="Times New Roman" w:hAnsi="Times New Roman" w:eastAsia="宋体" w:cs="Times New Roman"/>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eastAsia="宋体" w:cs="Times New Roman"/>
          <w:kern w:val="0"/>
          <w:sz w:val="24"/>
          <w:szCs w:val="24"/>
          <w:highlight w:val="none"/>
          <w:lang w:val="en-US" w:eastAsia="zh-CN"/>
        </w:rPr>
      </w:pPr>
      <w:r>
        <w:rPr>
          <w:rFonts w:hint="default" w:ascii="Times New Roman" w:hAnsi="Times New Roman" w:eastAsia="宋体" w:cs="Times New Roman"/>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宋体" w:cs="Times New Roman"/>
          <w:b/>
          <w:bCs/>
          <w:kern w:val="0"/>
          <w:sz w:val="28"/>
          <w:szCs w:val="28"/>
          <w:highlight w:val="none"/>
          <w:lang w:val="en-US"/>
        </w:rPr>
      </w:pPr>
      <w:r>
        <w:rPr>
          <w:rFonts w:hint="default" w:ascii="Times New Roman" w:hAnsi="Times New Roman" w:eastAsia="宋体" w:cs="Times New Roman"/>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eastAsia="宋体" w:cs="Times New Roman"/>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分值构成与评分标准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2.2.1 分值构成</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（1）技术部分：</w:t>
      </w:r>
      <w:r>
        <w:rPr>
          <w:rFonts w:hint="default" w:ascii="Times New Roman" w:hAnsi="Times New Roman" w:eastAsia="宋体" w:cs="Times New Roman"/>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（2）商务部分：</w:t>
      </w:r>
      <w:r>
        <w:rPr>
          <w:rFonts w:hint="default" w:ascii="Times New Roman" w:hAnsi="Times New Roman" w:eastAsia="宋体" w:cs="Times New Roman"/>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（3）投标报价：</w:t>
      </w:r>
      <w:r>
        <w:rPr>
          <w:rFonts w:hint="default" w:ascii="Times New Roman" w:hAnsi="Times New Roman" w:eastAsia="宋体" w:cs="Times New Roman"/>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2.2.2 评标基准价计算</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评标基准价计算方法：</w:t>
      </w:r>
      <w:r>
        <w:rPr>
          <w:rFonts w:hint="default" w:ascii="Times New Roman" w:hAnsi="Times New Roman" w:eastAsia="宋体" w:cs="Times New Roman"/>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2.2.3 投标报价的偏差率计算</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投标报价的偏差率计算公式：见评标办法前附表。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 评分标准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（1）技术部分评分标准：</w:t>
      </w:r>
      <w:r>
        <w:rPr>
          <w:rFonts w:hint="default" w:ascii="Times New Roman" w:hAnsi="Times New Roman" w:eastAsia="宋体" w:cs="Times New Roman"/>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（2）商务部分评分标准：</w:t>
      </w:r>
      <w:r>
        <w:rPr>
          <w:rFonts w:hint="default" w:ascii="Times New Roman" w:hAnsi="Times New Roman" w:eastAsia="宋体" w:cs="Times New Roman"/>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（3）投标报价评分标准：</w:t>
      </w:r>
      <w:r>
        <w:rPr>
          <w:rFonts w:hint="default" w:ascii="Times New Roman" w:hAnsi="Times New Roman" w:eastAsia="宋体" w:cs="Times New Roman"/>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宋体" w:cs="Times New Roman"/>
          <w:b/>
          <w:bCs/>
          <w:kern w:val="0"/>
          <w:sz w:val="28"/>
          <w:szCs w:val="28"/>
          <w:highlight w:val="none"/>
        </w:rPr>
      </w:pPr>
      <w:r>
        <w:rPr>
          <w:rFonts w:hint="default" w:ascii="Times New Roman" w:hAnsi="Times New Roman" w:eastAsia="宋体" w:cs="Times New Roman"/>
          <w:b/>
          <w:bCs/>
          <w:kern w:val="0"/>
          <w:sz w:val="28"/>
          <w:szCs w:val="28"/>
          <w:highlight w:val="none"/>
        </w:rPr>
        <w:t>3. 评标程序</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宋体" w:cs="Times New Roman"/>
          <w:b/>
          <w:bCs/>
          <w:kern w:val="0"/>
          <w:sz w:val="28"/>
          <w:szCs w:val="28"/>
          <w:highlight w:val="none"/>
        </w:rPr>
      </w:pPr>
      <w:r>
        <w:rPr>
          <w:rFonts w:hint="default" w:ascii="Times New Roman" w:hAnsi="Times New Roman" w:eastAsia="宋体" w:cs="Times New Roman"/>
          <w:b/>
          <w:bCs/>
          <w:kern w:val="0"/>
          <w:sz w:val="28"/>
          <w:szCs w:val="28"/>
          <w:highlight w:val="none"/>
        </w:rPr>
        <w:t>3.1 初步评审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eastAsia="宋体" w:cs="Times New Roman"/>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eastAsia="宋体" w:cs="Times New Roman"/>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第3.5.1项至第3.5.4项规定的有关证明和证件的原件，以便核验。评标委员会依据本章第2.1款规定的标准对投标文件进行初步评审。有一项不符合评审标准的，评标委员会应当否决其投标。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eastAsia="宋体" w:cs="Times New Roman"/>
          <w:kern w:val="0"/>
          <w:sz w:val="24"/>
          <w:szCs w:val="24"/>
          <w:highlight w:val="none"/>
          <w:lang w:val="en-US" w:eastAsia="zh-CN"/>
        </w:rPr>
      </w:pPr>
      <w:r>
        <w:rPr>
          <w:rFonts w:hint="default" w:ascii="Times New Roman" w:hAnsi="Times New Roman" w:eastAsia="宋体" w:cs="Times New Roman"/>
          <w:kern w:val="0"/>
          <w:sz w:val="24"/>
          <w:szCs w:val="24"/>
          <w:highlight w:val="none"/>
        </w:rPr>
        <w:t>3.1.2 投标人有以下情形之一的，</w:t>
      </w:r>
      <w:r>
        <w:rPr>
          <w:rFonts w:hint="eastAsia" w:ascii="Times New Roman" w:hAnsi="Times New Roman" w:cs="Times New Roman"/>
          <w:kern w:val="0"/>
          <w:sz w:val="24"/>
          <w:szCs w:val="24"/>
          <w:highlight w:val="none"/>
          <w:lang w:val="en-US" w:eastAsia="zh-CN"/>
        </w:rPr>
        <w:t>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eastAsia="宋体" w:cs="Times New Roman"/>
          <w:kern w:val="0"/>
          <w:sz w:val="24"/>
          <w:szCs w:val="24"/>
          <w:highlight w:val="none"/>
        </w:rPr>
      </w:pPr>
      <w:r>
        <w:rPr>
          <w:rFonts w:hint="default" w:ascii="Times New Roman" w:hAnsi="Times New Roman" w:eastAsia="宋体" w:cs="Times New Roman"/>
          <w:kern w:val="0"/>
          <w:sz w:val="24"/>
          <w:szCs w:val="24"/>
          <w:highlight w:val="none"/>
        </w:rPr>
        <w:t>3.1.3投标报价有算术错误</w:t>
      </w:r>
      <w:r>
        <w:rPr>
          <w:rFonts w:hint="eastAsia" w:ascii="Times New Roman" w:hAnsi="Times New Roman" w:cs="Times New Roman"/>
          <w:kern w:val="0"/>
          <w:sz w:val="24"/>
          <w:szCs w:val="24"/>
          <w:highlight w:val="none"/>
          <w:lang w:val="en-US" w:eastAsia="zh-CN"/>
        </w:rPr>
        <w:t>的，</w:t>
      </w:r>
      <w:r>
        <w:rPr>
          <w:rFonts w:hint="default" w:ascii="Times New Roman" w:hAnsi="Times New Roman" w:eastAsia="宋体" w:cs="Times New Roman"/>
          <w:kern w:val="0"/>
          <w:sz w:val="24"/>
          <w:szCs w:val="24"/>
          <w:highlight w:val="none"/>
        </w:rPr>
        <w:t>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eastAsia="宋体" w:cs="Times New Roman"/>
          <w:kern w:val="0"/>
          <w:sz w:val="24"/>
          <w:szCs w:val="24"/>
          <w:highlight w:val="none"/>
        </w:rPr>
      </w:pPr>
      <w:r>
        <w:rPr>
          <w:rFonts w:hint="default" w:ascii="Times New Roman" w:hAnsi="Times New Roman" w:eastAsia="宋体" w:cs="Times New Roman"/>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eastAsia="宋体" w:cs="Times New Roman"/>
          <w:kern w:val="0"/>
          <w:sz w:val="24"/>
          <w:szCs w:val="24"/>
          <w:highlight w:val="none"/>
          <w:lang w:val="en-US" w:eastAsia="zh-CN"/>
        </w:rPr>
      </w:pPr>
      <w:r>
        <w:rPr>
          <w:rFonts w:hint="default" w:ascii="Times New Roman" w:hAnsi="Times New Roman" w:eastAsia="宋体" w:cs="Times New Roman"/>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宋体" w:cs="Times New Roman"/>
          <w:b/>
          <w:bCs/>
          <w:kern w:val="0"/>
          <w:sz w:val="28"/>
          <w:szCs w:val="28"/>
          <w:highlight w:val="none"/>
        </w:rPr>
      </w:pPr>
      <w:r>
        <w:rPr>
          <w:rFonts w:hint="default" w:ascii="Times New Roman" w:hAnsi="Times New Roman" w:eastAsia="宋体" w:cs="Times New Roman"/>
          <w:b/>
          <w:bCs/>
          <w:kern w:val="0"/>
          <w:sz w:val="28"/>
          <w:szCs w:val="28"/>
          <w:highlight w:val="none"/>
        </w:rPr>
        <w:t>3.2 详细评审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eastAsia="宋体" w:cs="Times New Roman"/>
          <w:kern w:val="0"/>
          <w:sz w:val="24"/>
          <w:szCs w:val="24"/>
          <w:highlight w:val="none"/>
        </w:rPr>
        <w:t>3.2.1 评标委员会</w:t>
      </w:r>
      <w:r>
        <w:rPr>
          <w:rFonts w:hint="eastAsia" w:ascii="Times New Roman" w:hAnsi="Times New Roman" w:cs="Times New Roman"/>
          <w:kern w:val="0"/>
          <w:sz w:val="24"/>
          <w:szCs w:val="24"/>
          <w:highlight w:val="none"/>
          <w:lang w:val="en-US" w:eastAsia="zh-CN"/>
        </w:rPr>
        <w:t>按本章第2.2.款规定的量化因素和分值进行打分，并计算出综合评估得分。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（1）按本章第2.2.4（1）目规定的评审因素和分值对技术部分计算出得分A；</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（2）按本章第2.2.4（2）目规定的评审因素和分值对商务部分计算出得分B；</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（3）按本章第2.2.4（3）目规定的评审因素和分值对投标报价计算出得分C。</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3.2.2 评分分值计算保留小数点后两位，小数点后第三位“四舍五入”。</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3.2.3 投标人得分=A+B+C。</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3.2.4 评标委员会发现投标人的报价明显低于其他投标报价，或者在设有标底时明显低于标底，使得其投标报价可能低于其个别成本的，应当要求该投标人作出书面说明并提供相应的证明材料。投标人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宋体" w:cs="Times New Roman"/>
          <w:b/>
          <w:bCs/>
          <w:kern w:val="0"/>
          <w:sz w:val="28"/>
          <w:szCs w:val="28"/>
          <w:highlight w:val="none"/>
        </w:rPr>
      </w:pPr>
      <w:r>
        <w:rPr>
          <w:rFonts w:hint="default" w:ascii="Times New Roman" w:hAnsi="Times New Roman" w:eastAsia="宋体" w:cs="Times New Roman"/>
          <w:b/>
          <w:bCs/>
          <w:kern w:val="0"/>
          <w:sz w:val="28"/>
          <w:szCs w:val="28"/>
          <w:highlight w:val="none"/>
        </w:rPr>
        <w:t>3.3 投标文件的澄清和补正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eastAsia="宋体" w:cs="Times New Roman"/>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所提交的投标文件中不明确的内容进行书面澄清或说明，或者对细微偏差进行补正。评标委员会不接受投标人主动提出的澄清、说明或补正。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eastAsia="宋体" w:cs="Times New Roman"/>
          <w:kern w:val="0"/>
          <w:sz w:val="24"/>
          <w:szCs w:val="24"/>
          <w:highlight w:val="none"/>
          <w:lang w:val="en-US" w:eastAsia="zh-CN"/>
        </w:rPr>
      </w:pPr>
      <w:r>
        <w:rPr>
          <w:rFonts w:hint="default" w:ascii="Times New Roman" w:hAnsi="Times New Roman" w:eastAsia="宋体" w:cs="Times New Roman"/>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eastAsia="宋体" w:cs="Times New Roman"/>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eastAsia="宋体" w:cs="Times New Roman"/>
          <w:kern w:val="0"/>
          <w:sz w:val="24"/>
          <w:szCs w:val="24"/>
          <w:highlight w:val="none"/>
        </w:rPr>
      </w:pPr>
      <w:r>
        <w:rPr>
          <w:rFonts w:hint="default" w:ascii="Times New Roman" w:hAnsi="Times New Roman" w:eastAsia="宋体" w:cs="Times New Roman"/>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宋体" w:cs="Times New Roman"/>
          <w:b/>
          <w:bCs/>
          <w:kern w:val="0"/>
          <w:sz w:val="28"/>
          <w:szCs w:val="28"/>
          <w:highlight w:val="none"/>
        </w:rPr>
      </w:pPr>
      <w:r>
        <w:rPr>
          <w:rFonts w:hint="default" w:ascii="Times New Roman" w:hAnsi="Times New Roman" w:eastAsia="宋体" w:cs="Times New Roman"/>
          <w:b/>
          <w:bCs/>
          <w:kern w:val="0"/>
          <w:sz w:val="28"/>
          <w:szCs w:val="28"/>
          <w:highlight w:val="none"/>
        </w:rPr>
        <w:t>3.4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eastAsia="宋体" w:cs="Times New Roman"/>
          <w:kern w:val="0"/>
          <w:sz w:val="24"/>
          <w:szCs w:val="24"/>
          <w:highlight w:val="none"/>
          <w:lang w:val="en-US" w:eastAsia="zh-CN"/>
        </w:rPr>
      </w:pPr>
      <w:r>
        <w:rPr>
          <w:rFonts w:hint="default" w:ascii="Times New Roman" w:hAnsi="Times New Roman" w:eastAsia="宋体" w:cs="Times New Roman"/>
          <w:kern w:val="0"/>
          <w:sz w:val="24"/>
          <w:szCs w:val="24"/>
          <w:highlight w:val="none"/>
        </w:rPr>
        <w:t>3.4.1 除第二章</w:t>
      </w:r>
      <w:r>
        <w:rPr>
          <w:rFonts w:hint="eastAsia" w:ascii="Times New Roman" w:hAnsi="Times New Roman" w:cs="Times New Roman"/>
          <w:kern w:val="0"/>
          <w:sz w:val="24"/>
          <w:szCs w:val="24"/>
          <w:highlight w:val="none"/>
          <w:lang w:eastAsia="zh-CN"/>
        </w:rPr>
        <w:t>“</w:t>
      </w:r>
      <w:r>
        <w:rPr>
          <w:rFonts w:hint="default" w:ascii="Times New Roman" w:hAnsi="Times New Roman" w:eastAsia="宋体" w:cs="Times New Roman"/>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eastAsia="宋体" w:cs="Times New Roman"/>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得分由高到低的顺序推荐中标候选人。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评标委员会完成评标后，应当向招标人提交书面评标报告。</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宋体" w:hAnsi="宋体" w:eastAsia="宋体" w:cs="宋体"/>
          <w:b/>
          <w:bCs/>
          <w:sz w:val="32"/>
          <w:szCs w:val="32"/>
          <w:highlight w:val="none"/>
          <w:lang w:val="en-US" w:eastAsia="zh-CN"/>
        </w:rPr>
      </w:pPr>
      <w:r>
        <w:rPr>
          <w:rFonts w:hint="eastAsia" w:ascii="宋体" w:hAnsi="宋体" w:eastAsia="宋体" w:cs="宋体"/>
          <w:b/>
          <w:bCs/>
          <w:sz w:val="32"/>
          <w:szCs w:val="32"/>
          <w:highlight w:val="none"/>
          <w:lang w:val="en-US" w:eastAsia="zh-CN"/>
        </w:rPr>
        <w:t xml:space="preserve">第四章 </w:t>
      </w:r>
      <w:r>
        <w:rPr>
          <w:rFonts w:hint="default" w:ascii="宋体" w:hAnsi="宋体" w:eastAsia="宋体" w:cs="宋体"/>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宋体" w:hAnsi="宋体" w:eastAsia="宋体" w:cs="宋体"/>
          <w:b/>
          <w:bCs/>
          <w:sz w:val="28"/>
          <w:szCs w:val="28"/>
          <w:highlight w:val="none"/>
          <w:lang w:val="en-US" w:eastAsia="zh-CN"/>
        </w:rPr>
      </w:pPr>
      <w:r>
        <w:rPr>
          <w:rFonts w:hint="eastAsia" w:ascii="宋体" w:hAnsi="宋体" w:eastAsia="宋体" w:cs="宋体"/>
          <w:b/>
          <w:bCs/>
          <w:sz w:val="28"/>
          <w:szCs w:val="28"/>
          <w:highlight w:val="none"/>
          <w:lang w:val="en-US" w:eastAsia="zh-CN"/>
        </w:rPr>
        <w:t>合同条款前附表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宋体" w:hAnsi="宋体" w:eastAsia="宋体" w:cs="宋体"/>
          <w:b/>
          <w:bCs/>
          <w:sz w:val="28"/>
          <w:szCs w:val="28"/>
          <w:highlight w:val="none"/>
          <w:lang w:val="en-US" w:eastAsia="zh-CN"/>
        </w:rPr>
      </w:pPr>
    </w:p>
    <w:tbl>
      <w:tblPr>
        <w:tblStyle w:val="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安徽省安车交通运输集团有限公司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项目验收合格后10日内支付合同价款的80%；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验收合格之日起1年后支付审定价款97%；</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余款3%作为质保金，工程质保期满无质量问题或质量问题已处理一次性付清余款（无息）。甲方以银行转账、票据等方式向乙方支付相应的货款。</w:t>
            </w:r>
          </w:p>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，否则招标人有权暂停付款。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工程质量缺陷责任期</w:t>
            </w:r>
          </w:p>
        </w:tc>
        <w:tc>
          <w:tcPr>
            <w:tcW w:w="6253" w:type="dxa"/>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自工程竣工验收合格之日起2年。</w:t>
            </w:r>
          </w:p>
        </w:tc>
      </w:tr>
    </w:tbl>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b/>
          <w:bCs/>
          <w:kern w:val="0"/>
          <w:sz w:val="24"/>
          <w:szCs w:val="24"/>
          <w:highlight w:val="none"/>
          <w:shd w:val="clear" w:color="auto" w:fill="auto"/>
          <w:vertAlign w:val="baseline"/>
          <w:lang w:val="en-US" w:eastAsia="zh-CN"/>
        </w:rPr>
        <w:t>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合同条款及格式由招标人与中标人在不违背招标文件内容和投标文件承诺的条件下友好协商签订。</w:t>
      </w:r>
    </w:p>
    <w:p>
      <w:pPr>
        <w:rPr>
          <w:rFonts w:hint="eastAsia" w:ascii="宋体" w:hAnsi="宋体" w:eastAsia="宋体" w:cs="宋体"/>
          <w:b/>
          <w:bCs/>
          <w:sz w:val="32"/>
          <w:szCs w:val="32"/>
          <w:highlight w:val="none"/>
          <w:lang w:val="en-US" w:eastAsia="zh-CN"/>
        </w:rPr>
      </w:pPr>
      <w:r>
        <w:rPr>
          <w:rFonts w:hint="eastAsia" w:ascii="宋体" w:hAnsi="宋体" w:eastAsia="宋体" w:cs="宋体"/>
          <w:b/>
          <w:bCs/>
          <w:sz w:val="32"/>
          <w:szCs w:val="32"/>
          <w:highlight w:val="none"/>
          <w:lang w:val="en-US" w:eastAsia="zh-CN"/>
        </w:rPr>
        <w:br w:type="page"/>
      </w:r>
    </w:p>
    <w:bookmarkEnd w:id="16"/>
    <w:bookmarkEnd w:id="17"/>
    <w:bookmarkEnd w:id="18"/>
    <w:bookmarkEnd w:id="19"/>
    <w:bookmarkEnd w:id="20"/>
    <w:bookmarkEnd w:id="21"/>
    <w:bookmarkEnd w:id="22"/>
    <w:bookmarkEnd w:id="23"/>
    <w:p>
      <w:pPr>
        <w:jc w:val="center"/>
        <w:rPr>
          <w:rFonts w:hint="default" w:ascii="Times New Roman" w:hAnsi="Times New Roman" w:eastAsia="宋体" w:cs="Times New Roman"/>
          <w:b/>
          <w:bCs/>
          <w:sz w:val="32"/>
          <w:szCs w:val="32"/>
          <w:highlight w:val="none"/>
          <w:lang w:val="en-US" w:eastAsia="zh-CN"/>
        </w:rPr>
      </w:pPr>
      <w:r>
        <w:rPr>
          <w:rFonts w:hint="eastAsia" w:ascii="Times New Roman" w:hAnsi="Times New Roman" w:eastAsia="宋体" w:cs="Times New Roman"/>
          <w:b/>
          <w:bCs/>
          <w:sz w:val="32"/>
          <w:szCs w:val="32"/>
          <w:highlight w:val="none"/>
          <w:lang w:val="en-US" w:eastAsia="zh-CN"/>
        </w:rPr>
        <w:t>第五章 技术标准和要求</w:t>
      </w:r>
    </w:p>
    <w:p>
      <w:pPr>
        <w:jc w:val="center"/>
        <w:rPr>
          <w:rFonts w:hint="eastAsia" w:ascii="Times New Roman" w:hAnsi="Times New Roman" w:eastAsia="宋体" w:cs="Times New Roman"/>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bookmarkStart w:id="24" w:name="_Toc311380858"/>
      <w:bookmarkStart w:id="25" w:name="_Toc311323979"/>
      <w:bookmarkStart w:id="26" w:name="_Toc428186998"/>
      <w:bookmarkStart w:id="27" w:name="_Toc311324098"/>
      <w:r>
        <w:rPr>
          <w:rFonts w:hint="eastAsia" w:ascii="Times New Roman" w:hAnsi="Times New Roman" w:cs="Times New Roman"/>
          <w:b/>
          <w:bCs/>
          <w:kern w:val="0"/>
          <w:sz w:val="24"/>
          <w:szCs w:val="24"/>
          <w:highlight w:val="none"/>
          <w:lang w:val="en-US" w:eastAsia="zh-CN"/>
        </w:rPr>
        <w:t>一、充电桩技术参数要求</w:t>
      </w:r>
    </w:p>
    <w:bookmarkEnd w:id="24"/>
    <w:bookmarkEnd w:id="25"/>
    <w:bookmarkEnd w:id="26"/>
    <w:bookmarkEnd w:id="27"/>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（一）充电桩技术标准规范要求</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2268"/>
        <w:gridCol w:w="54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5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bCs w:val="0"/>
                <w:color w:val="000000"/>
                <w:kern w:val="0"/>
                <w:sz w:val="21"/>
                <w:szCs w:val="21"/>
              </w:rPr>
            </w:pPr>
            <w:r>
              <w:rPr>
                <w:rFonts w:hint="default" w:ascii="Times New Roman" w:hAnsi="Times New Roman" w:eastAsia="宋体" w:cs="Times New Roman"/>
                <w:b/>
                <w:bCs w:val="0"/>
                <w:color w:val="000000"/>
                <w:kern w:val="0"/>
                <w:sz w:val="21"/>
                <w:szCs w:val="21"/>
              </w:rPr>
              <w:t>序号</w:t>
            </w:r>
          </w:p>
        </w:tc>
        <w:tc>
          <w:tcPr>
            <w:tcW w:w="226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bCs w:val="0"/>
                <w:color w:val="000000"/>
                <w:kern w:val="0"/>
                <w:sz w:val="21"/>
                <w:szCs w:val="21"/>
              </w:rPr>
            </w:pPr>
            <w:r>
              <w:rPr>
                <w:rFonts w:hint="default" w:ascii="Times New Roman" w:hAnsi="Times New Roman" w:eastAsia="宋体" w:cs="Times New Roman"/>
                <w:b/>
                <w:bCs w:val="0"/>
                <w:color w:val="000000"/>
                <w:kern w:val="0"/>
                <w:sz w:val="21"/>
                <w:szCs w:val="21"/>
              </w:rPr>
              <w:t>标准号</w:t>
            </w:r>
          </w:p>
        </w:tc>
        <w:tc>
          <w:tcPr>
            <w:tcW w:w="540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bCs w:val="0"/>
                <w:color w:val="000000"/>
                <w:kern w:val="0"/>
                <w:sz w:val="21"/>
                <w:szCs w:val="21"/>
              </w:rPr>
            </w:pPr>
            <w:r>
              <w:rPr>
                <w:rFonts w:hint="default" w:ascii="Times New Roman" w:hAnsi="Times New Roman" w:eastAsia="宋体" w:cs="Times New Roman"/>
                <w:b/>
                <w:bCs w:val="0"/>
                <w:color w:val="000000"/>
                <w:kern w:val="0"/>
                <w:sz w:val="21"/>
                <w:szCs w:val="21"/>
              </w:rPr>
              <w:t>标准名称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5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1</w:t>
            </w:r>
          </w:p>
        </w:tc>
        <w:tc>
          <w:tcPr>
            <w:tcW w:w="226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GB/T 29316-2012</w:t>
            </w:r>
          </w:p>
        </w:tc>
        <w:tc>
          <w:tcPr>
            <w:tcW w:w="540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电动汽车充换电设施电能质量技术要求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5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2</w:t>
            </w:r>
          </w:p>
        </w:tc>
        <w:tc>
          <w:tcPr>
            <w:tcW w:w="226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NB/T 33001-2018</w:t>
            </w:r>
          </w:p>
        </w:tc>
        <w:tc>
          <w:tcPr>
            <w:tcW w:w="540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电动汽车非车载传导式充电技术条件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5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3</w:t>
            </w:r>
          </w:p>
        </w:tc>
        <w:tc>
          <w:tcPr>
            <w:tcW w:w="226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GB/T 27930-2015</w:t>
            </w:r>
          </w:p>
        </w:tc>
        <w:tc>
          <w:tcPr>
            <w:tcW w:w="540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电动汽车非车载传导式充电机与电池管理系统之间的通信协议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5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4</w:t>
            </w:r>
          </w:p>
        </w:tc>
        <w:tc>
          <w:tcPr>
            <w:tcW w:w="226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GB/T 18487.1-2015</w:t>
            </w:r>
          </w:p>
        </w:tc>
        <w:tc>
          <w:tcPr>
            <w:tcW w:w="540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电动汽车传导充电系统  第1部分：通用要求 附录B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5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5</w:t>
            </w:r>
          </w:p>
        </w:tc>
        <w:tc>
          <w:tcPr>
            <w:tcW w:w="226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GB/T 29781-2013</w:t>
            </w:r>
          </w:p>
        </w:tc>
        <w:tc>
          <w:tcPr>
            <w:tcW w:w="540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电动汽车充电站通用要求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5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6</w:t>
            </w:r>
          </w:p>
        </w:tc>
        <w:tc>
          <w:tcPr>
            <w:tcW w:w="226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GB 50996-2014</w:t>
            </w:r>
          </w:p>
        </w:tc>
        <w:tc>
          <w:tcPr>
            <w:tcW w:w="540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电动汽车充电站设计规范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5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7</w:t>
            </w:r>
          </w:p>
        </w:tc>
        <w:tc>
          <w:tcPr>
            <w:tcW w:w="226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NB/T 33008.1-2018</w:t>
            </w:r>
          </w:p>
        </w:tc>
        <w:tc>
          <w:tcPr>
            <w:tcW w:w="540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电动汽车充电设备检验试验规程 第1部分：非车载充电机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5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8</w:t>
            </w:r>
          </w:p>
        </w:tc>
        <w:tc>
          <w:tcPr>
            <w:tcW w:w="226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DL/T645-2007</w:t>
            </w:r>
          </w:p>
        </w:tc>
        <w:tc>
          <w:tcPr>
            <w:tcW w:w="540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多功能电能表通信协议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5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9</w:t>
            </w:r>
          </w:p>
        </w:tc>
        <w:tc>
          <w:tcPr>
            <w:tcW w:w="226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GB/T 20234.1-2015</w:t>
            </w:r>
          </w:p>
        </w:tc>
        <w:tc>
          <w:tcPr>
            <w:tcW w:w="540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电动汽车传导充电用连接装置 第1部分：通用要求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5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10</w:t>
            </w:r>
          </w:p>
        </w:tc>
        <w:tc>
          <w:tcPr>
            <w:tcW w:w="226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GB/T 20234.3-2015</w:t>
            </w:r>
          </w:p>
        </w:tc>
        <w:tc>
          <w:tcPr>
            <w:tcW w:w="540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电动汽车传导充电用连接装置 第3部分：直流充电接口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5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11</w:t>
            </w:r>
          </w:p>
        </w:tc>
        <w:tc>
          <w:tcPr>
            <w:tcW w:w="226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GB 4028-2008</w:t>
            </w:r>
          </w:p>
        </w:tc>
        <w:tc>
          <w:tcPr>
            <w:tcW w:w="540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外壳防护等级（IP代码）</w:t>
            </w:r>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注：标准若出现更新或替换，以新标准为准。未明确的标准要求，也以国家及行业最新标准为准。</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（二）120KW一体式直流充电机主要技术要求</w:t>
      </w:r>
    </w:p>
    <w:tbl>
      <w:tblPr>
        <w:tblStyle w:val="11"/>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50"/>
        <w:gridCol w:w="850"/>
        <w:gridCol w:w="2268"/>
        <w:gridCol w:w="850"/>
        <w:gridCol w:w="370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lang w:val="en-US" w:eastAsia="en-US"/>
              </w:rPr>
            </w:pPr>
            <w:r>
              <w:rPr>
                <w:rFonts w:hint="default" w:ascii="Times New Roman" w:hAnsi="Times New Roman" w:cs="Times New Roman"/>
                <w:b/>
                <w:bCs/>
                <w:lang w:val="en-US" w:eastAsia="en-US"/>
              </w:rPr>
              <w:t>名称</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lang w:val="en-US" w:eastAsia="zh-CN"/>
              </w:rPr>
            </w:pPr>
            <w:r>
              <w:rPr>
                <w:rFonts w:hint="default" w:ascii="Times New Roman" w:hAnsi="Times New Roman" w:cs="Times New Roman"/>
                <w:b/>
                <w:bCs/>
                <w:lang w:val="en-US" w:eastAsia="zh-CN"/>
              </w:rPr>
              <w:t>序号</w:t>
            </w:r>
          </w:p>
        </w:tc>
        <w:tc>
          <w:tcPr>
            <w:tcW w:w="226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lang w:val="en-US" w:eastAsia="en-US"/>
              </w:rPr>
            </w:pPr>
            <w:r>
              <w:rPr>
                <w:rFonts w:hint="default" w:ascii="Times New Roman" w:hAnsi="Times New Roman" w:cs="Times New Roman"/>
                <w:b/>
                <w:bCs/>
                <w:lang w:val="en-US" w:eastAsia="en-US"/>
              </w:rPr>
              <w:t>项目</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lang w:val="en-US" w:eastAsia="en-US"/>
              </w:rPr>
            </w:pPr>
            <w:r>
              <w:rPr>
                <w:rFonts w:hint="default" w:ascii="Times New Roman" w:hAnsi="Times New Roman" w:cs="Times New Roman"/>
                <w:b/>
                <w:bCs/>
                <w:lang w:val="en-US" w:eastAsia="en-US"/>
              </w:rPr>
              <w:t>单位</w:t>
            </w:r>
          </w:p>
        </w:tc>
        <w:tc>
          <w:tcPr>
            <w:tcW w:w="370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lang w:val="en-US" w:eastAsia="en-US"/>
              </w:rPr>
            </w:pPr>
            <w:r>
              <w:rPr>
                <w:rFonts w:hint="default" w:ascii="Times New Roman" w:hAnsi="Times New Roman" w:cs="Times New Roman"/>
                <w:b/>
                <w:bCs/>
                <w:lang w:val="en-US" w:eastAsia="en-US"/>
              </w:rPr>
              <w:t>标准参数值</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非车</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载整</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车直</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流充</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电机</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en-US"/>
              </w:rPr>
              <w:t>1</w:t>
            </w:r>
          </w:p>
        </w:tc>
        <w:tc>
          <w:tcPr>
            <w:tcW w:w="226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zh-CN"/>
              </w:rPr>
              <w:t>★</w:t>
            </w:r>
            <w:r>
              <w:rPr>
                <w:rFonts w:hint="default" w:ascii="Times New Roman" w:hAnsi="Times New Roman" w:cs="Times New Roman"/>
                <w:lang w:val="en-US" w:eastAsia="en-US"/>
              </w:rPr>
              <w:t>充电方式</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w:t>
            </w:r>
          </w:p>
        </w:tc>
        <w:tc>
          <w:tcPr>
            <w:tcW w:w="370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功率平均分配，单枪输出时功率可以达到120KW</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3</w:t>
            </w:r>
          </w:p>
        </w:tc>
        <w:tc>
          <w:tcPr>
            <w:tcW w:w="226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交流输入电压</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V</w:t>
            </w:r>
          </w:p>
        </w:tc>
        <w:tc>
          <w:tcPr>
            <w:tcW w:w="370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三相 380V±15%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4</w:t>
            </w:r>
          </w:p>
        </w:tc>
        <w:tc>
          <w:tcPr>
            <w:tcW w:w="226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直流输出电压</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V</w:t>
            </w:r>
          </w:p>
        </w:tc>
        <w:tc>
          <w:tcPr>
            <w:tcW w:w="370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en-US"/>
              </w:rPr>
              <w:t>200-</w:t>
            </w:r>
            <w:r>
              <w:rPr>
                <w:rFonts w:hint="default" w:ascii="Times New Roman" w:hAnsi="Times New Roman" w:cs="Times New Roman"/>
                <w:lang w:val="en-US" w:eastAsia="zh-CN"/>
              </w:rPr>
              <w:t>1000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5</w:t>
            </w:r>
          </w:p>
        </w:tc>
        <w:tc>
          <w:tcPr>
            <w:tcW w:w="226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★恒功率电压范围</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V</w:t>
            </w:r>
          </w:p>
        </w:tc>
        <w:tc>
          <w:tcPr>
            <w:tcW w:w="370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300-1000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6</w:t>
            </w:r>
          </w:p>
        </w:tc>
        <w:tc>
          <w:tcPr>
            <w:tcW w:w="226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交流电源频率</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Hz</w:t>
            </w:r>
          </w:p>
        </w:tc>
        <w:tc>
          <w:tcPr>
            <w:tcW w:w="370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50±1 Hz</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7</w:t>
            </w:r>
          </w:p>
        </w:tc>
        <w:tc>
          <w:tcPr>
            <w:tcW w:w="226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eastAsia="en-US"/>
              </w:rPr>
            </w:pPr>
            <w:r>
              <w:rPr>
                <w:rFonts w:hint="default" w:ascii="Times New Roman" w:hAnsi="Times New Roman" w:cs="Times New Roman"/>
                <w:lang w:val="en-US" w:eastAsia="zh-CN"/>
              </w:rPr>
              <w:t>★半载及以上</w:t>
            </w:r>
            <w:r>
              <w:rPr>
                <w:rFonts w:hint="default" w:ascii="Times New Roman" w:hAnsi="Times New Roman" w:cs="Times New Roman"/>
                <w:lang w:eastAsia="en-US"/>
              </w:rPr>
              <w:t>功率因数</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370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zh-CN"/>
              </w:rPr>
              <w:t>≥</w:t>
            </w:r>
            <w:r>
              <w:rPr>
                <w:rFonts w:hint="default" w:ascii="Times New Roman" w:hAnsi="Times New Roman" w:cs="Times New Roman"/>
                <w:lang w:val="en-US" w:eastAsia="en-US"/>
              </w:rPr>
              <w:t>0.99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8</w:t>
            </w:r>
          </w:p>
        </w:tc>
        <w:tc>
          <w:tcPr>
            <w:tcW w:w="226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zh-CN"/>
              </w:rPr>
              <w:t>★充电模块</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370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≥30kw</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9</w:t>
            </w:r>
          </w:p>
        </w:tc>
        <w:tc>
          <w:tcPr>
            <w:tcW w:w="226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zh-CN"/>
              </w:rPr>
              <w:t>★</w:t>
            </w:r>
            <w:r>
              <w:rPr>
                <w:rFonts w:hint="default" w:ascii="Times New Roman" w:hAnsi="Times New Roman" w:cs="Times New Roman"/>
                <w:lang w:val="en-US" w:eastAsia="en-US"/>
              </w:rPr>
              <w:t>输出电压设定误差</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w:t>
            </w:r>
          </w:p>
        </w:tc>
        <w:tc>
          <w:tcPr>
            <w:tcW w:w="370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≤±0.1</w:t>
            </w:r>
            <w:r>
              <w:rPr>
                <w:rFonts w:hint="default" w:ascii="Times New Roman" w:hAnsi="Times New Roman" w:cs="Times New Roman"/>
                <w:lang w:val="en-US" w:eastAsia="zh-CN"/>
              </w:rPr>
              <w:t>5</w:t>
            </w:r>
            <w:r>
              <w:rPr>
                <w:rFonts w:hint="default" w:ascii="Times New Roman" w:hAnsi="Times New Roman" w:cs="Times New Roman"/>
                <w:lang w:val="en-US" w:eastAsia="en-US"/>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10</w:t>
            </w:r>
          </w:p>
        </w:tc>
        <w:tc>
          <w:tcPr>
            <w:tcW w:w="226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zh-CN"/>
              </w:rPr>
              <w:t>★</w:t>
            </w:r>
            <w:r>
              <w:rPr>
                <w:rFonts w:hint="default" w:ascii="Times New Roman" w:hAnsi="Times New Roman" w:cs="Times New Roman"/>
                <w:lang w:val="en-US" w:eastAsia="en-US"/>
              </w:rPr>
              <w:t>输出电流设定误差</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w:t>
            </w:r>
          </w:p>
        </w:tc>
        <w:tc>
          <w:tcPr>
            <w:tcW w:w="370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电流≥30A时，≤±0.</w:t>
            </w:r>
            <w:r>
              <w:rPr>
                <w:rFonts w:hint="default" w:ascii="Times New Roman" w:hAnsi="Times New Roman" w:cs="Times New Roman"/>
                <w:lang w:val="en-US" w:eastAsia="zh-CN"/>
              </w:rPr>
              <w:t>3</w:t>
            </w:r>
            <w:r>
              <w:rPr>
                <w:rFonts w:hint="default" w:ascii="Times New Roman" w:hAnsi="Times New Roman" w:cs="Times New Roman"/>
                <w:lang w:val="en-US" w:eastAsia="en-US"/>
              </w:rPr>
              <w:t>%；电流＜30A时，≤±0.</w:t>
            </w:r>
            <w:r>
              <w:rPr>
                <w:rFonts w:hint="default" w:ascii="Times New Roman" w:hAnsi="Times New Roman" w:cs="Times New Roman"/>
                <w:lang w:val="en-US" w:eastAsia="zh-CN"/>
              </w:rPr>
              <w:t>1</w:t>
            </w:r>
            <w:r>
              <w:rPr>
                <w:rFonts w:hint="default" w:ascii="Times New Roman" w:hAnsi="Times New Roman" w:cs="Times New Roman"/>
                <w:lang w:val="en-US" w:eastAsia="en-US"/>
              </w:rPr>
              <w:t>A。</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11</w:t>
            </w:r>
          </w:p>
        </w:tc>
        <w:tc>
          <w:tcPr>
            <w:tcW w:w="226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稳压精度</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w:t>
            </w:r>
          </w:p>
        </w:tc>
        <w:tc>
          <w:tcPr>
            <w:tcW w:w="370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不超过±0.5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12</w:t>
            </w:r>
          </w:p>
        </w:tc>
        <w:tc>
          <w:tcPr>
            <w:tcW w:w="226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zh-CN"/>
              </w:rPr>
              <w:t>★</w:t>
            </w:r>
            <w:r>
              <w:rPr>
                <w:rFonts w:hint="default" w:ascii="Times New Roman" w:hAnsi="Times New Roman" w:cs="Times New Roman"/>
                <w:lang w:val="en-US" w:eastAsia="en-US"/>
              </w:rPr>
              <w:t>稳流精度</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w:t>
            </w:r>
          </w:p>
        </w:tc>
        <w:tc>
          <w:tcPr>
            <w:tcW w:w="370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en-US"/>
              </w:rPr>
              <w:t>≤±0.</w:t>
            </w:r>
            <w:r>
              <w:rPr>
                <w:rFonts w:hint="default" w:ascii="Times New Roman" w:hAnsi="Times New Roman" w:cs="Times New Roman"/>
                <w:lang w:val="en-US" w:eastAsia="zh-CN"/>
              </w:rPr>
              <w:t>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13</w:t>
            </w:r>
          </w:p>
        </w:tc>
        <w:tc>
          <w:tcPr>
            <w:tcW w:w="226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纹波系数</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w:t>
            </w:r>
          </w:p>
        </w:tc>
        <w:tc>
          <w:tcPr>
            <w:tcW w:w="370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有效值：不超过±0.5</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峰值：不超过±1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14</w:t>
            </w:r>
          </w:p>
        </w:tc>
        <w:tc>
          <w:tcPr>
            <w:tcW w:w="226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高频开关电源模块均流不平衡度</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p>
        </w:tc>
        <w:tc>
          <w:tcPr>
            <w:tcW w:w="370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15</w:t>
            </w:r>
          </w:p>
        </w:tc>
        <w:tc>
          <w:tcPr>
            <w:tcW w:w="226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输入冲击电流</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w:t>
            </w:r>
          </w:p>
        </w:tc>
        <w:tc>
          <w:tcPr>
            <w:tcW w:w="370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＜120额定输入电流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16</w:t>
            </w:r>
          </w:p>
        </w:tc>
        <w:tc>
          <w:tcPr>
            <w:tcW w:w="226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输出过冲电压</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w:t>
            </w:r>
          </w:p>
        </w:tc>
        <w:tc>
          <w:tcPr>
            <w:tcW w:w="370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＜110稳态输出电压</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17</w:t>
            </w:r>
          </w:p>
        </w:tc>
        <w:tc>
          <w:tcPr>
            <w:tcW w:w="226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满载效率</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w:t>
            </w:r>
          </w:p>
        </w:tc>
        <w:tc>
          <w:tcPr>
            <w:tcW w:w="370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≥95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18</w:t>
            </w:r>
          </w:p>
        </w:tc>
        <w:tc>
          <w:tcPr>
            <w:tcW w:w="226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噪声</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dB</w:t>
            </w:r>
          </w:p>
        </w:tc>
        <w:tc>
          <w:tcPr>
            <w:tcW w:w="370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＜75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19</w:t>
            </w:r>
          </w:p>
        </w:tc>
        <w:tc>
          <w:tcPr>
            <w:tcW w:w="226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静电放电抗扰度</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370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eastAsia" w:ascii="Times New Roman" w:hAnsi="Times New Roman" w:cs="Times New Roman"/>
                <w:lang w:val="en-US" w:eastAsia="zh-CN"/>
              </w:rPr>
              <w:t>不低于</w:t>
            </w:r>
            <w:r>
              <w:rPr>
                <w:rFonts w:hint="default" w:ascii="Times New Roman" w:hAnsi="Times New Roman" w:cs="Times New Roman"/>
                <w:lang w:val="en-US" w:eastAsia="en-US"/>
              </w:rPr>
              <w:t>3 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20</w:t>
            </w:r>
          </w:p>
        </w:tc>
        <w:tc>
          <w:tcPr>
            <w:tcW w:w="226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射频电磁场辐射抗扰度</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p>
        </w:tc>
        <w:tc>
          <w:tcPr>
            <w:tcW w:w="370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eastAsia" w:ascii="Times New Roman" w:hAnsi="Times New Roman" w:cs="Times New Roman"/>
                <w:lang w:val="en-US" w:eastAsia="zh-CN"/>
              </w:rPr>
              <w:t>不低于</w:t>
            </w:r>
            <w:r>
              <w:rPr>
                <w:rFonts w:hint="default" w:ascii="Times New Roman" w:hAnsi="Times New Roman" w:cs="Times New Roman"/>
                <w:lang w:val="en-US" w:eastAsia="en-US"/>
              </w:rPr>
              <w:t>3 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21</w:t>
            </w:r>
          </w:p>
        </w:tc>
        <w:tc>
          <w:tcPr>
            <w:tcW w:w="226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电快速瞬变脉冲群抗扰度</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p>
        </w:tc>
        <w:tc>
          <w:tcPr>
            <w:tcW w:w="370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eastAsia" w:ascii="Times New Roman" w:hAnsi="Times New Roman" w:cs="Times New Roman"/>
                <w:lang w:val="en-US" w:eastAsia="zh-CN"/>
              </w:rPr>
              <w:t>不低于</w:t>
            </w:r>
            <w:r>
              <w:rPr>
                <w:rFonts w:hint="default" w:ascii="Times New Roman" w:hAnsi="Times New Roman" w:cs="Times New Roman"/>
                <w:lang w:val="en-US" w:eastAsia="en-US"/>
              </w:rPr>
              <w:t>4 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22</w:t>
            </w:r>
          </w:p>
        </w:tc>
        <w:tc>
          <w:tcPr>
            <w:tcW w:w="226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浪涌（冲击）抗扰度</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370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eastAsia" w:ascii="Times New Roman" w:hAnsi="Times New Roman" w:cs="Times New Roman"/>
                <w:lang w:val="en-US" w:eastAsia="zh-CN"/>
              </w:rPr>
              <w:t>不低于</w:t>
            </w:r>
            <w:r>
              <w:rPr>
                <w:rFonts w:hint="default" w:ascii="Times New Roman" w:hAnsi="Times New Roman" w:cs="Times New Roman"/>
                <w:lang w:val="en-US" w:eastAsia="en-US"/>
              </w:rPr>
              <w:t>4 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23</w:t>
            </w:r>
          </w:p>
        </w:tc>
        <w:tc>
          <w:tcPr>
            <w:tcW w:w="226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谐波电流限值要求（THD）</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en-US"/>
              </w:rPr>
              <w:t>%</w:t>
            </w:r>
          </w:p>
        </w:tc>
        <w:tc>
          <w:tcPr>
            <w:tcW w:w="370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≤5（A 级设备）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24</w:t>
            </w:r>
          </w:p>
        </w:tc>
        <w:tc>
          <w:tcPr>
            <w:tcW w:w="226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w:t>
            </w:r>
            <w:r>
              <w:rPr>
                <w:rFonts w:hint="default" w:ascii="Times New Roman" w:hAnsi="Times New Roman" w:cs="Times New Roman"/>
                <w:lang w:val="en-US" w:eastAsia="en-US"/>
              </w:rPr>
              <w:t xml:space="preserve">待机损耗 </w:t>
            </w:r>
            <w:r>
              <w:rPr>
                <w:rFonts w:hint="default" w:ascii="Times New Roman" w:hAnsi="Times New Roman" w:cs="Times New Roman"/>
                <w:lang w:val="en-US" w:eastAsia="zh-CN"/>
              </w:rPr>
              <w:t>（N*50W）</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W</w:t>
            </w:r>
          </w:p>
        </w:tc>
        <w:tc>
          <w:tcPr>
            <w:tcW w:w="370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≤15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25</w:t>
            </w:r>
          </w:p>
        </w:tc>
        <w:tc>
          <w:tcPr>
            <w:tcW w:w="226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通信协议执行标准</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w:t>
            </w:r>
          </w:p>
        </w:tc>
        <w:tc>
          <w:tcPr>
            <w:tcW w:w="370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GB/T 27930-2015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26</w:t>
            </w:r>
          </w:p>
        </w:tc>
        <w:tc>
          <w:tcPr>
            <w:tcW w:w="226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充电机执行标准</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w:t>
            </w:r>
          </w:p>
        </w:tc>
        <w:tc>
          <w:tcPr>
            <w:tcW w:w="370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GB/T 18487.1-2015，GB/T 20234.1-2015，GB/T 20234.3-2015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27</w:t>
            </w:r>
          </w:p>
        </w:tc>
        <w:tc>
          <w:tcPr>
            <w:tcW w:w="226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zh-CN"/>
              </w:rPr>
              <w:t>★</w:t>
            </w:r>
            <w:r>
              <w:rPr>
                <w:rFonts w:hint="default" w:ascii="Times New Roman" w:hAnsi="Times New Roman" w:cs="Times New Roman"/>
                <w:lang w:val="en-US" w:eastAsia="en-US"/>
              </w:rPr>
              <w:t>防护等级</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370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不低于 IP54</w:t>
            </w:r>
          </w:p>
        </w:tc>
      </w:tr>
    </w:tbl>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（三）直流充电机功能要求</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1.充电设备的充电功能</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（1）充电设备具有为电动汽车安全自动充满电的功能。</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（2）充电启动可采用本地手动启动、刷卡启动或手机APP启动。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（3）充电设备支持采用移动端使用状况的查询，便于提前根据充电站使用情况，合理安排充电时间。</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（4）充电方式设定功能，可分为自动控制充电模式和手动设置充电模式两种。</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（5）充电机应能根据BMS充电电压、电流限值动态调整电压、电流实现恒功率充电模式。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（6）充电模块支持热拔插功能，在其中一个模块故障时，不影响整机工作。</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2.充电设备的保护功能</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（1）直流充电机应具有急停功能，即在紧急情况下，可从硬件上切断充电回路；急停回路应设计在交流侧，持续工作电流应小于AC380V/0.5A。</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（2）直流充电机在停止充电后输出端应确保无电流输出或回灌。</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应具备交流输入过/欠压保护、直流输出过欠/压保护、设置直流输出限压/限流值、过负荷保护、短路保护、漏电保护防倒灌保护、防雷保护、过热保护、电池反接、电池故障、电源缺相、断电重启等保护功能。</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（4）充电过程中，充电连接异常时，直流充电机应立即自动切断输出电源，并告警提示。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（5）应具备充电侧绝缘检测功能。</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（6）应在负载紧急跳开的情况下确保不损坏电路和元器件；</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7）充电插头与充电接口连接或断开时，充电接口不应带电，并进行连接或断开确认；在充电状态下断开充电插头，充电设备应即时断开相应充电接口的负荷开关，中断充电过程；当充电接口连接异常时，充电设备应立即自动切断相应充电接口的输出电源。</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3.充电设备的计量收费功能</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（1）电能计量装置应符合国家计量器具鉴定相关要求，保证电能计量准确性。</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（2）计量收费结算可通过本地计量，平台系统结算。</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（3）计量表计满足充电设备对上传速率、规约等要求。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（4）电能表具备通信功能，通信接口为RS485，通信协议应符合DL/T 645-2007《多功能电能表通讯协议》。</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（5）平台可对设备采集电能表电量数据，电量数据与界面显示同步一致。</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4.充电桩的智能功能</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（1）充电设备应具备自动检测功能。</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（2）充电设备应具备故障报警功能。</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直流充电机配置平台联网通讯功能,数据记录与上传功能。主要上传数据项包括充电开始时间、充电结束时间、充电电量、起始soc值、输出电压、输出电流、充电时长、充电设备实时状态（未连接、空闲、充电、预约锁定、故障等）、刷卡信息、电表读数等。</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5.软件升级功能</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（1）设备应具有本地和远程升级功能。</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6.其它要求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（1）充电连接装置</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满足国标GB/T 20234.3-2015电动汽车传导充电用连接装置 第3部分：直流充电接口要求。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（2）充电设备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1）设备体应外观线条流畅、整体紧凑、简洁时尚，与安装地点周边环境相协调。</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2）设备体应具备安装2G/3G/4G或有线通信模块，可以与充电服务运营管理系统建立通讯。</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3）设备体内部线束，应排布整齐、规整，标识清楚，捆扎牢固。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4）设备体内元器件应布局合理，易耗易损元件方便更换。</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5）设备体安装于户外时，应便于特殊天气条件下的日常维护。</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6）设备体应采用抗冲击力强、抗老化的材质。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7）设备体表面涂覆色泽层应均匀光洁，不起泡、不龟裂、不脱落。</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8）设备体结构设计及安装应具备防盗能力。</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9）非绝缘材料外壳应可靠接地，结构上应防止操作人员触及带电部件。</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10）人机交互的操作按键和显示界面应设置在便于人操作和查看的位置。</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（3）通风口要求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1）各通风口处开百叶窗式通风孔，且加装防尘网或其他装置，以满足防护等级的要求。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2）防尘网或其它装置应有耐腐蚀性，考虑可替换或方便清理。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（4）指示灯要求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具有红、黄、绿三种颜色指示灯功能，其中：</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1）红色指示灯表示电源状态，充电机供电正常时亮；</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2）黄色指示灯表示充电机有故障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3）绿色指示灯表示正在充电中；</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（5）线缆要求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1）应能保证相应设备顺利安装和便于日常维护操作。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2）应配置进出线留的足够空间。</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3）应具有配线端子标识的位置。</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4）过线区应预留足够的过线容量以满足直流充电机满配的接线操作要求。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5）过线区应考虑线缆引入、固定和接地时操作的便利性、可更换性和可扩容性，线缆引入孔处应进行密封，防止水和龃齿类动物进入直流充电机。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6）提供一定数量的绑扎线配件，方便绑扎线的基本要求。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7）充电枪线长度设置，根据设计图纸自行前往场站勘查满足公交车辆充电需求。</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二、运营平台技术要求</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（一）总体要求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本项目采购的平台需为公有云平台，招标人无需承担该平台所需的服务器等部署资源费。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提供《T/CEC 102-2016电动汽车充换电服务信息交换》系列标准接口，标准统一。</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通过互联互通子平台提供的开放接口。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支持上级政府监控平台、电子政务平台等数据上报，excel数据格式。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支持充电设施运营商、车辆制造商、第三方互联网平台互联互通，实现数据整合与共享。</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中标方所有的充电数据接口要免费接入招标人指定的平台。</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中标方所有数据免费接入招标人指定的充电桩平台。</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1.平台性能级安全要求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（1）性能效率要求：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1）单个用户，执行电桩查询操作，事务平均响应时间＜0.9秒</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2）单个用户，执行历史数据查询操作，事务平均响应时间＜0.1秒</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3）CPU占用率＜25％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4）内存占用率＜25％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（2）信息安全要求：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1）系统能够有效保护信息和数据，可以对登录ID进行识别，具有登录失败处理功能</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2）系统具有对正常访问的控制能力，可以禁止非授权用户创建、删除或修改操作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3）无高、中级别漏洞</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2.平台多用户持续保障要求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1）平台具备10000个充电桩的接入能力。平台支持大于5000充电终端的同时充电。</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2）平台五遥功能：平台可以实现“五遥”功能：遥测（遥测信息）、遥信（遥信信息）、遥控（遥控信息）、遥调（遥调信息）、遥视（视频信息）对充电站或充电设备进行智能管理。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3）可靠性：平台具备7*24小时连续无障碍运行的能力</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4）平台大数据应用：所投平台具备平台大数据应用、平台审计故障码故障提示检测功能（至少有25项），其中应包含：当出现超过3分钟无有效电流时、超过10分钟有电流电压但无电量时、非免费订单有电量无电费时、离线订单电量超过300度电时、非多枪同充订单上报电量超过1000度时，可返回有相应的故障提示。</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（二）平台功能要求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电站、设备的管理及监控：平台为运营商展示电站昨日充电数据概况（充电订单，充电总量，收益金额趋势统计及环比数据对比）；展示电站终端主要状态信息（故障、空闲、充电中）；展示重要财务和待办信息（可结算信息、待开票信息、终端协议状态和用户评论信息）。平台为充电大客户展示查看账户信息和充电信息概况（账户余额、授信余额、可申请开票金额、月度充电消费趋势图）。</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灵活计费：平台支持多种定价方式、应用场站、应用群体，以适应运营方对场站精细化运营的需求。包括定价设置、峰尖谷平电价、电价策略、客户差异化收费、占位收费、金额分配等。</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报表服务：平台应支持各类报表服务功能，包括报表查询，筛选，排序及导出功能，满足日常的管理需要。各报表支持多种筛选方式支持运营需要。</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远程控制、升级：实现远程控制，可以对故障的桩进行后台重启。可以实现远程升级操作。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智慧充电：平台应支持多种方式的智慧充电，在云端对充电桩硬件进行控制，下发配置，根据情况实时调整充电的策略以及内容。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客户管理功能：平台应支持对各种类型的充电用户进行管理，包括企业用户和个人用户，能够维护其运营及账号信息。</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多种启动方式：平台应支持多种启动方式，支撑场站精细化运营需要，并且需要在订单管理中可根据不同的充电启动方式进行订单的筛选。</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车辆管理：可以单个/批量添加车辆，绑定至部门，实现车辆管理。如有车辆正在充电，可以查看该车充电过程数据。</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运营管理：账户管理、订单管理、监控大屏、运营报表、活动管理、券管理、电卡管理、开票管理、评价管理、任务中心</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系统管理</w:t>
      </w:r>
      <w:bookmarkStart w:id="28" w:name="_Toc52117553"/>
      <w:r>
        <w:rPr>
          <w:rFonts w:hint="eastAsia" w:ascii="Times New Roman" w:hAnsi="Times New Roman" w:cs="Times New Roman"/>
          <w:kern w:val="0"/>
          <w:sz w:val="24"/>
          <w:szCs w:val="24"/>
          <w:highlight w:val="none"/>
          <w:lang w:val="en-US" w:eastAsia="zh-CN"/>
        </w:rPr>
        <w:t>：部门管理</w:t>
      </w:r>
      <w:bookmarkEnd w:id="28"/>
      <w:r>
        <w:rPr>
          <w:rFonts w:hint="eastAsia" w:ascii="Times New Roman" w:hAnsi="Times New Roman" w:cs="Times New Roman"/>
          <w:kern w:val="0"/>
          <w:sz w:val="24"/>
          <w:szCs w:val="24"/>
          <w:highlight w:val="none"/>
          <w:lang w:val="en-US" w:eastAsia="zh-CN"/>
        </w:rPr>
        <w:t>、员工管理、车辆管理、菜单权限、操作日志查询。</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兼容性：平台应充分考虑未来不同供应商、不同类型充电设施对接要求。</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三、运营终端（APP与微信小程序）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投标人需提供已在iOS App Store和所有Android应用市场中正式发布，可正常下载使用的APP，以及已正式发布可正常使用的微信小程序。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功能要求如下：</w:t>
      </w:r>
    </w:p>
    <w:tbl>
      <w:tblPr>
        <w:tblStyle w:val="8"/>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50"/>
        <w:gridCol w:w="1701"/>
        <w:gridCol w:w="597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b/>
                <w:bCs/>
                <w:lang w:val="en-US" w:eastAsia="zh-CN"/>
              </w:rPr>
            </w:pPr>
            <w:r>
              <w:rPr>
                <w:rFonts w:hint="default" w:ascii="Times New Roman" w:hAnsi="Times New Roman" w:cs="Times New Roman"/>
                <w:b/>
                <w:bCs/>
                <w:lang w:val="en-US" w:eastAsia="zh-CN"/>
              </w:rPr>
              <w:t>产品</w:t>
            </w: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b/>
                <w:bCs/>
                <w:lang w:val="en-US" w:eastAsia="zh-CN"/>
              </w:rPr>
            </w:pPr>
            <w:r>
              <w:rPr>
                <w:rFonts w:hint="default" w:ascii="Times New Roman" w:hAnsi="Times New Roman" w:cs="Times New Roman"/>
                <w:b/>
                <w:bCs/>
                <w:lang w:val="en-US" w:eastAsia="zh-CN"/>
              </w:rPr>
              <w:t>模块</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b/>
                <w:bCs/>
                <w:lang w:val="en-US" w:eastAsia="zh-CN"/>
              </w:rPr>
            </w:pPr>
            <w:r>
              <w:rPr>
                <w:rFonts w:hint="default" w:ascii="Times New Roman" w:hAnsi="Times New Roman" w:cs="Times New Roman"/>
                <w:b/>
                <w:bCs/>
                <w:lang w:val="en-US" w:eastAsia="zh-CN"/>
              </w:rPr>
              <w:t>功能说明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restart"/>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APP</w:t>
            </w: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多种登录方式</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1.</w:t>
            </w:r>
            <w:r>
              <w:rPr>
                <w:rFonts w:hint="default" w:ascii="Times New Roman" w:hAnsi="Times New Roman" w:cs="Times New Roman"/>
                <w:lang w:val="en-US" w:eastAsia="zh-CN"/>
              </w:rPr>
              <w:t>手机号+短信验证码</w:t>
            </w:r>
            <w:r>
              <w:rPr>
                <w:rFonts w:hint="eastAsia" w:ascii="Times New Roman" w:hAnsi="Times New Roman" w:cs="Times New Roman"/>
                <w:lang w:val="en-US" w:eastAsia="zh-CN"/>
              </w:rPr>
              <w:t>；</w:t>
            </w:r>
            <w:r>
              <w:rPr>
                <w:rFonts w:hint="default" w:ascii="Times New Roman" w:hAnsi="Times New Roman" w:cs="Times New Roman"/>
                <w:lang w:val="en-US" w:eastAsia="zh-CN"/>
              </w:rPr>
              <w:br w:type="textWrapping"/>
            </w:r>
            <w:r>
              <w:rPr>
                <w:rFonts w:hint="eastAsia" w:ascii="Times New Roman" w:hAnsi="Times New Roman" w:cs="Times New Roman"/>
                <w:lang w:val="en-US" w:eastAsia="zh-CN"/>
              </w:rPr>
              <w:t>2.</w:t>
            </w:r>
            <w:r>
              <w:rPr>
                <w:rFonts w:hint="default" w:ascii="Times New Roman" w:hAnsi="Times New Roman" w:cs="Times New Roman"/>
                <w:lang w:val="en-US" w:eastAsia="zh-CN"/>
              </w:rPr>
              <w:t>账号一键登录、第三方账号登录</w:t>
            </w:r>
            <w:r>
              <w:rPr>
                <w:rFonts w:hint="eastAsia" w:ascii="Times New Roman" w:hAnsi="Times New Roman" w:cs="Times New Roman"/>
                <w:lang w:val="en-US" w:eastAsia="zh-CN"/>
              </w:rPr>
              <w:t>；</w:t>
            </w:r>
            <w:r>
              <w:rPr>
                <w:rFonts w:hint="default" w:ascii="Times New Roman" w:hAnsi="Times New Roman" w:cs="Times New Roman"/>
                <w:lang w:val="en-US" w:eastAsia="zh-CN"/>
              </w:rPr>
              <w:br w:type="textWrapping"/>
            </w:r>
            <w:r>
              <w:rPr>
                <w:rFonts w:hint="eastAsia" w:ascii="Times New Roman" w:hAnsi="Times New Roman" w:cs="Times New Roman"/>
                <w:lang w:val="en-US" w:eastAsia="zh-CN"/>
              </w:rPr>
              <w:t>3.</w:t>
            </w:r>
            <w:r>
              <w:rPr>
                <w:rFonts w:hint="default" w:ascii="Times New Roman" w:hAnsi="Times New Roman" w:cs="Times New Roman"/>
                <w:lang w:val="en-US" w:eastAsia="zh-CN"/>
              </w:rPr>
              <w:t>手机号+密码登录</w:t>
            </w:r>
            <w:r>
              <w:rPr>
                <w:rFonts w:hint="eastAsia" w:ascii="Times New Roman" w:hAnsi="Times New Roman" w:cs="Times New Roman"/>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账户中心</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1.</w:t>
            </w:r>
            <w:r>
              <w:rPr>
                <w:rFonts w:hint="default" w:ascii="Times New Roman" w:hAnsi="Times New Roman" w:cs="Times New Roman"/>
                <w:lang w:val="en-US" w:eastAsia="zh-CN"/>
              </w:rPr>
              <w:t>用户基本信息、支付密码、登录密码、收货地址等基本信息</w:t>
            </w:r>
            <w:r>
              <w:rPr>
                <w:rFonts w:hint="eastAsia" w:ascii="Times New Roman" w:hAnsi="Times New Roman" w:cs="Times New Roman"/>
                <w:lang w:val="en-US" w:eastAsia="zh-CN"/>
              </w:rPr>
              <w:t>；</w:t>
            </w:r>
            <w:r>
              <w:rPr>
                <w:rFonts w:hint="default" w:ascii="Times New Roman" w:hAnsi="Times New Roman" w:cs="Times New Roman"/>
                <w:lang w:val="en-US" w:eastAsia="zh-CN"/>
              </w:rPr>
              <w:br w:type="textWrapping"/>
            </w:r>
            <w:r>
              <w:rPr>
                <w:rFonts w:hint="eastAsia" w:ascii="Times New Roman" w:hAnsi="Times New Roman" w:cs="Times New Roman"/>
                <w:lang w:val="en-US" w:eastAsia="zh-CN"/>
              </w:rPr>
              <w:t>2.</w:t>
            </w:r>
            <w:r>
              <w:rPr>
                <w:rFonts w:hint="default" w:ascii="Times New Roman" w:hAnsi="Times New Roman" w:cs="Times New Roman"/>
                <w:lang w:val="en-US" w:eastAsia="zh-CN"/>
              </w:rPr>
              <w:t>个人账户余额：金额信息、账户明细、充值（支付方式：支付宝支付、微信支付、招商一网通支付、云闪付等）</w:t>
            </w:r>
            <w:r>
              <w:rPr>
                <w:rFonts w:hint="eastAsia" w:ascii="Times New Roman" w:hAnsi="Times New Roman" w:cs="Times New Roman"/>
                <w:lang w:val="en-US" w:eastAsia="zh-CN"/>
              </w:rPr>
              <w:t>；</w:t>
            </w:r>
            <w:r>
              <w:rPr>
                <w:rFonts w:hint="default" w:ascii="Times New Roman" w:hAnsi="Times New Roman" w:cs="Times New Roman"/>
                <w:lang w:val="en-US" w:eastAsia="zh-CN"/>
              </w:rPr>
              <w:br w:type="textWrapping"/>
            </w:r>
            <w:r>
              <w:rPr>
                <w:rFonts w:hint="eastAsia" w:ascii="Times New Roman" w:hAnsi="Times New Roman" w:cs="Times New Roman"/>
                <w:lang w:val="en-US" w:eastAsia="zh-CN"/>
              </w:rPr>
              <w:t>3.</w:t>
            </w:r>
            <w:r>
              <w:rPr>
                <w:rFonts w:hint="default" w:ascii="Times New Roman" w:hAnsi="Times New Roman" w:cs="Times New Roman"/>
                <w:lang w:val="en-US" w:eastAsia="zh-CN"/>
              </w:rPr>
              <w:t>企业账户：企业账号列表、企业账号详情、申请企业账号</w:t>
            </w:r>
            <w:r>
              <w:rPr>
                <w:rFonts w:hint="eastAsia" w:ascii="Times New Roman" w:hAnsi="Times New Roman" w:cs="Times New Roman"/>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电站详情显示</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包括电站的终端列表（终端状态体现），用户评论，费用、成功充电车型、周边服务、可用时间和电站属性、充电桩各桩是否可用展示等。</w:t>
            </w:r>
            <w:r>
              <w:rPr>
                <w:rFonts w:hint="default" w:ascii="Times New Roman" w:hAnsi="Times New Roman" w:cs="Times New Roman"/>
                <w:lang w:val="en-US" w:eastAsia="zh-CN"/>
              </w:rPr>
              <w:br w:type="textWrapping"/>
            </w:r>
            <w:r>
              <w:rPr>
                <w:rFonts w:hint="eastAsia" w:ascii="Times New Roman" w:hAnsi="Times New Roman" w:cs="Times New Roman"/>
                <w:lang w:val="en-US" w:eastAsia="zh-CN"/>
              </w:rPr>
              <w:t>1.</w:t>
            </w:r>
            <w:r>
              <w:rPr>
                <w:rFonts w:hint="default" w:ascii="Times New Roman" w:hAnsi="Times New Roman" w:cs="Times New Roman"/>
                <w:lang w:val="en-US" w:eastAsia="zh-CN"/>
              </w:rPr>
              <w:t>支持切换地图模式展示（可搜索电桩，可导航找站）</w:t>
            </w:r>
            <w:r>
              <w:rPr>
                <w:rFonts w:hint="eastAsia" w:ascii="Times New Roman" w:hAnsi="Times New Roman" w:cs="Times New Roman"/>
                <w:lang w:val="en-US" w:eastAsia="zh-CN"/>
              </w:rPr>
              <w:t>；</w:t>
            </w:r>
            <w:r>
              <w:rPr>
                <w:rFonts w:hint="default" w:ascii="Times New Roman" w:hAnsi="Times New Roman" w:cs="Times New Roman"/>
                <w:lang w:val="en-US" w:eastAsia="zh-CN"/>
              </w:rPr>
              <w:br w:type="textWrapping"/>
            </w:r>
            <w:r>
              <w:rPr>
                <w:rFonts w:hint="eastAsia" w:ascii="Times New Roman" w:hAnsi="Times New Roman" w:cs="Times New Roman"/>
                <w:lang w:val="en-US" w:eastAsia="zh-CN"/>
              </w:rPr>
              <w:t>2.</w:t>
            </w:r>
            <w:r>
              <w:rPr>
                <w:rFonts w:hint="default" w:ascii="Times New Roman" w:hAnsi="Times New Roman" w:cs="Times New Roman"/>
                <w:lang w:val="en-US" w:eastAsia="zh-CN"/>
              </w:rPr>
              <w:t>支持筛选操作（根据距离、位置、快捷标签）</w:t>
            </w:r>
            <w:r>
              <w:rPr>
                <w:rFonts w:hint="eastAsia" w:ascii="Times New Roman" w:hAnsi="Times New Roman" w:cs="Times New Roman"/>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搜索功能</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1</w:t>
            </w:r>
            <w:r>
              <w:rPr>
                <w:rFonts w:hint="eastAsia" w:ascii="Times New Roman" w:hAnsi="Times New Roman" w:cs="Times New Roman"/>
                <w:lang w:val="en-US" w:eastAsia="zh-CN"/>
              </w:rPr>
              <w:t>.</w:t>
            </w:r>
            <w:r>
              <w:rPr>
                <w:rFonts w:hint="default" w:ascii="Times New Roman" w:hAnsi="Times New Roman" w:cs="Times New Roman"/>
                <w:lang w:val="en-US" w:eastAsia="zh-CN"/>
              </w:rPr>
              <w:t>功能入口：APP首页、离我最近电站列表、地图找站页面；</w:t>
            </w:r>
            <w:r>
              <w:rPr>
                <w:rFonts w:hint="default" w:ascii="Times New Roman" w:hAnsi="Times New Roman" w:cs="Times New Roman"/>
                <w:lang w:val="en-US" w:eastAsia="zh-CN"/>
              </w:rPr>
              <w:br w:type="textWrapping"/>
            </w:r>
            <w:r>
              <w:rPr>
                <w:rFonts w:hint="default" w:ascii="Times New Roman" w:hAnsi="Times New Roman" w:cs="Times New Roman"/>
                <w:lang w:val="en-US" w:eastAsia="zh-CN"/>
              </w:rPr>
              <w:t>2</w:t>
            </w:r>
            <w:r>
              <w:rPr>
                <w:rFonts w:hint="eastAsia" w:ascii="Times New Roman" w:hAnsi="Times New Roman" w:cs="Times New Roman"/>
                <w:lang w:val="en-US" w:eastAsia="zh-CN"/>
              </w:rPr>
              <w:t>.</w:t>
            </w:r>
            <w:r>
              <w:rPr>
                <w:rFonts w:hint="default" w:ascii="Times New Roman" w:hAnsi="Times New Roman" w:cs="Times New Roman"/>
                <w:lang w:val="en-US" w:eastAsia="zh-CN"/>
              </w:rPr>
              <w:t>支持根据地点、电站名称、电桩编号搜索；</w:t>
            </w:r>
            <w:r>
              <w:rPr>
                <w:rFonts w:hint="default" w:ascii="Times New Roman" w:hAnsi="Times New Roman" w:cs="Times New Roman"/>
                <w:lang w:val="en-US" w:eastAsia="zh-CN"/>
              </w:rPr>
              <w:br w:type="textWrapping"/>
            </w:r>
            <w:r>
              <w:rPr>
                <w:rFonts w:hint="default" w:ascii="Times New Roman" w:hAnsi="Times New Roman" w:cs="Times New Roman"/>
                <w:lang w:val="en-US" w:eastAsia="zh-CN"/>
              </w:rPr>
              <w:t>3</w:t>
            </w:r>
            <w:r>
              <w:rPr>
                <w:rFonts w:hint="eastAsia" w:ascii="Times New Roman" w:hAnsi="Times New Roman" w:cs="Times New Roman"/>
                <w:lang w:val="en-US" w:eastAsia="zh-CN"/>
              </w:rPr>
              <w:t>.</w:t>
            </w:r>
            <w:r>
              <w:rPr>
                <w:rFonts w:hint="default" w:ascii="Times New Roman" w:hAnsi="Times New Roman" w:cs="Times New Roman"/>
                <w:lang w:val="en-US" w:eastAsia="zh-CN"/>
              </w:rPr>
              <w:t>搜索功能以城市范围检索搜索内容；</w:t>
            </w:r>
            <w:r>
              <w:rPr>
                <w:rFonts w:hint="default" w:ascii="Times New Roman" w:hAnsi="Times New Roman" w:cs="Times New Roman"/>
                <w:lang w:val="en-US" w:eastAsia="zh-CN"/>
              </w:rPr>
              <w:br w:type="textWrapping"/>
            </w:r>
            <w:r>
              <w:rPr>
                <w:rFonts w:hint="default" w:ascii="Times New Roman" w:hAnsi="Times New Roman" w:cs="Times New Roman"/>
                <w:lang w:val="en-US" w:eastAsia="zh-CN"/>
              </w:rPr>
              <w:t>4</w:t>
            </w:r>
            <w:r>
              <w:rPr>
                <w:rFonts w:hint="eastAsia" w:ascii="Times New Roman" w:hAnsi="Times New Roman" w:cs="Times New Roman"/>
                <w:lang w:val="en-US" w:eastAsia="zh-CN"/>
              </w:rPr>
              <w:t>.</w:t>
            </w:r>
            <w:r>
              <w:rPr>
                <w:rFonts w:hint="default" w:ascii="Times New Roman" w:hAnsi="Times New Roman" w:cs="Times New Roman"/>
                <w:lang w:val="en-US" w:eastAsia="zh-CN"/>
              </w:rPr>
              <w:t>搜索结果包含两类：地址、电站</w:t>
            </w:r>
            <w:r>
              <w:rPr>
                <w:rFonts w:hint="eastAsia" w:ascii="Times New Roman" w:hAnsi="Times New Roman" w:cs="Times New Roman"/>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筛选功能</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1</w:t>
            </w:r>
            <w:r>
              <w:rPr>
                <w:rFonts w:hint="eastAsia" w:ascii="Times New Roman" w:hAnsi="Times New Roman" w:cs="Times New Roman"/>
                <w:lang w:val="en-US" w:eastAsia="zh-CN"/>
              </w:rPr>
              <w:t>.</w:t>
            </w:r>
            <w:r>
              <w:rPr>
                <w:rFonts w:hint="default" w:ascii="Times New Roman" w:hAnsi="Times New Roman" w:cs="Times New Roman"/>
                <w:lang w:val="en-US" w:eastAsia="zh-CN"/>
              </w:rPr>
              <w:t>快捷筛选：只看公共、只看空闲、高压快充、推荐站、只看自营、停车优惠、带枪；</w:t>
            </w:r>
            <w:r>
              <w:rPr>
                <w:rFonts w:hint="default" w:ascii="Times New Roman" w:hAnsi="Times New Roman" w:cs="Times New Roman"/>
                <w:lang w:val="en-US" w:eastAsia="zh-CN"/>
              </w:rPr>
              <w:br w:type="textWrapping"/>
            </w:r>
            <w:r>
              <w:rPr>
                <w:rFonts w:hint="default" w:ascii="Times New Roman" w:hAnsi="Times New Roman" w:cs="Times New Roman"/>
                <w:lang w:val="en-US" w:eastAsia="zh-CN"/>
              </w:rPr>
              <w:t>2</w:t>
            </w:r>
            <w:r>
              <w:rPr>
                <w:rFonts w:hint="eastAsia" w:ascii="Times New Roman" w:hAnsi="Times New Roman" w:cs="Times New Roman"/>
                <w:lang w:val="en-US" w:eastAsia="zh-CN"/>
              </w:rPr>
              <w:t>.</w:t>
            </w:r>
            <w:r>
              <w:rPr>
                <w:rFonts w:hint="default" w:ascii="Times New Roman" w:hAnsi="Times New Roman" w:cs="Times New Roman"/>
                <w:lang w:val="en-US" w:eastAsia="zh-CN"/>
              </w:rPr>
              <w:t>全量筛选：运营类型、电站筛选、人人电站筛选、保存搜索偏好</w:t>
            </w:r>
            <w:r>
              <w:rPr>
                <w:rFonts w:hint="eastAsia" w:ascii="Times New Roman" w:hAnsi="Times New Roman" w:cs="Times New Roman"/>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收藏功能</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收藏充电站、充电终端等</w:t>
            </w:r>
            <w:r>
              <w:rPr>
                <w:rFonts w:hint="eastAsia" w:ascii="Times New Roman" w:hAnsi="Times New Roman" w:cs="Times New Roman"/>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路径规矩及电站导航</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1</w:t>
            </w:r>
            <w:r>
              <w:rPr>
                <w:rFonts w:hint="eastAsia" w:ascii="Times New Roman" w:hAnsi="Times New Roman" w:cs="Times New Roman"/>
                <w:lang w:val="en-US" w:eastAsia="zh-CN"/>
              </w:rPr>
              <w:t>.</w:t>
            </w:r>
            <w:r>
              <w:rPr>
                <w:rFonts w:hint="default" w:ascii="Times New Roman" w:hAnsi="Times New Roman" w:cs="Times New Roman"/>
                <w:lang w:val="en-US" w:eastAsia="zh-CN"/>
              </w:rPr>
              <w:t>起讫地点间充电站路线规划功能</w:t>
            </w:r>
            <w:r>
              <w:rPr>
                <w:rFonts w:hint="eastAsia" w:ascii="Times New Roman" w:hAnsi="Times New Roman" w:cs="Times New Roman"/>
                <w:lang w:val="en-US" w:eastAsia="zh-CN"/>
              </w:rPr>
              <w:t>；</w:t>
            </w:r>
            <w:r>
              <w:rPr>
                <w:rFonts w:hint="default" w:ascii="Times New Roman" w:hAnsi="Times New Roman" w:cs="Times New Roman"/>
                <w:lang w:val="en-US" w:eastAsia="zh-CN"/>
              </w:rPr>
              <w:br w:type="textWrapping"/>
            </w:r>
            <w:r>
              <w:rPr>
                <w:rFonts w:hint="default" w:ascii="Times New Roman" w:hAnsi="Times New Roman" w:cs="Times New Roman"/>
                <w:lang w:val="en-US" w:eastAsia="zh-CN"/>
              </w:rPr>
              <w:t>2</w:t>
            </w:r>
            <w:r>
              <w:rPr>
                <w:rFonts w:hint="eastAsia" w:ascii="Times New Roman" w:hAnsi="Times New Roman" w:cs="Times New Roman"/>
                <w:lang w:val="en-US" w:eastAsia="zh-CN"/>
              </w:rPr>
              <w:t>.</w:t>
            </w:r>
            <w:r>
              <w:rPr>
                <w:rFonts w:hint="default" w:ascii="Times New Roman" w:hAnsi="Times New Roman" w:cs="Times New Roman"/>
                <w:lang w:val="en-US" w:eastAsia="zh-CN"/>
              </w:rPr>
              <w:t>能够通过跳转至第三方导航软件的的方式让用户可以对目的地充电站进行导航</w:t>
            </w:r>
            <w:r>
              <w:rPr>
                <w:rFonts w:hint="eastAsia" w:ascii="Times New Roman" w:hAnsi="Times New Roman" w:cs="Times New Roman"/>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即插即充</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用户可在手机端绑定Vin码，使用APP个人账户启动一笔订单后验证成功则可使用vin码充电</w:t>
            </w:r>
            <w:r>
              <w:rPr>
                <w:rFonts w:hint="eastAsia" w:ascii="Times New Roman" w:hAnsi="Times New Roman" w:cs="Times New Roman"/>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预约充电</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可结合地锁，实现预约充电、预约释放</w:t>
            </w:r>
            <w:r>
              <w:rPr>
                <w:rFonts w:hint="eastAsia" w:ascii="Times New Roman" w:hAnsi="Times New Roman" w:cs="Times New Roman"/>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扫码/手输设备编号充电</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可通过扫码/手输设备编号实现充电</w:t>
            </w:r>
            <w:r>
              <w:rPr>
                <w:rFonts w:hint="eastAsia" w:ascii="Times New Roman" w:hAnsi="Times New Roman" w:cs="Times New Roman"/>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支付方式</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支持多种支付方式：支付宝、微信、银联等多种支付方式；支持个人支付、企业支付、信用支付三种方式</w:t>
            </w:r>
            <w:r>
              <w:rPr>
                <w:rFonts w:hint="eastAsia" w:ascii="Times New Roman" w:hAnsi="Times New Roman" w:cs="Times New Roman"/>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充电进程监控</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实时查看：</w:t>
            </w:r>
            <w:r>
              <w:rPr>
                <w:rFonts w:hint="default" w:ascii="Times New Roman" w:hAnsi="Times New Roman" w:cs="Times New Roman"/>
                <w:lang w:val="en-US" w:eastAsia="zh-CN"/>
              </w:rPr>
              <w:br w:type="textWrapping"/>
            </w:r>
            <w:r>
              <w:rPr>
                <w:rFonts w:hint="default" w:ascii="Times New Roman" w:hAnsi="Times New Roman" w:cs="Times New Roman"/>
                <w:lang w:val="en-US" w:eastAsia="zh-CN"/>
              </w:rPr>
              <w:t>1</w:t>
            </w:r>
            <w:r>
              <w:rPr>
                <w:rFonts w:hint="eastAsia" w:ascii="Times New Roman" w:hAnsi="Times New Roman" w:cs="Times New Roman"/>
                <w:lang w:val="en-US" w:eastAsia="zh-CN"/>
              </w:rPr>
              <w:t>.</w:t>
            </w:r>
            <w:r>
              <w:rPr>
                <w:rFonts w:hint="default" w:ascii="Times New Roman" w:hAnsi="Times New Roman" w:cs="Times New Roman"/>
                <w:lang w:val="en-US" w:eastAsia="zh-CN"/>
              </w:rPr>
              <w:t>实时状态：充电订单的soc实时数据、充电量、充电费用、充电时长、设备编号、单价、北京时间</w:t>
            </w:r>
            <w:r>
              <w:rPr>
                <w:rFonts w:hint="eastAsia" w:ascii="Times New Roman" w:hAnsi="Times New Roman" w:cs="Times New Roman"/>
                <w:lang w:val="en-US" w:eastAsia="zh-CN"/>
              </w:rPr>
              <w:t>；</w:t>
            </w:r>
            <w:r>
              <w:rPr>
                <w:rFonts w:hint="default" w:ascii="Times New Roman" w:hAnsi="Times New Roman" w:cs="Times New Roman"/>
                <w:lang w:val="en-US" w:eastAsia="zh-CN"/>
              </w:rPr>
              <w:br w:type="textWrapping"/>
            </w:r>
            <w:r>
              <w:rPr>
                <w:rFonts w:hint="default" w:ascii="Times New Roman" w:hAnsi="Times New Roman" w:cs="Times New Roman"/>
                <w:lang w:val="en-US" w:eastAsia="zh-CN"/>
              </w:rPr>
              <w:t>2</w:t>
            </w:r>
            <w:r>
              <w:rPr>
                <w:rFonts w:hint="eastAsia" w:ascii="Times New Roman" w:hAnsi="Times New Roman" w:cs="Times New Roman"/>
                <w:lang w:val="en-US" w:eastAsia="zh-CN"/>
              </w:rPr>
              <w:t>.</w:t>
            </w:r>
            <w:r>
              <w:rPr>
                <w:rFonts w:hint="default" w:ascii="Times New Roman" w:hAnsi="Times New Roman" w:cs="Times New Roman"/>
                <w:lang w:val="en-US" w:eastAsia="zh-CN"/>
              </w:rPr>
              <w:t>充电参数：实时电流、实时功率、实时电压；soc曲线、温度曲线、功率曲线；电流、电压曲线</w:t>
            </w:r>
            <w:r>
              <w:rPr>
                <w:rFonts w:hint="eastAsia" w:ascii="Times New Roman" w:hAnsi="Times New Roman" w:cs="Times New Roman"/>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eastAsia" w:ascii="宋体" w:hAnsi="宋体" w:eastAsia="宋体" w:cs="宋体"/>
                <w:kern w:val="0"/>
                <w:sz w:val="21"/>
                <w:szCs w:val="21"/>
                <w:highlight w:val="none"/>
                <w:lang w:val="en-US" w:eastAsia="zh-CN"/>
              </w:rPr>
              <w:t>★</w:t>
            </w:r>
            <w:r>
              <w:rPr>
                <w:rFonts w:hint="eastAsia" w:ascii="宋体" w:hAnsi="宋体" w:eastAsia="宋体" w:cs="宋体"/>
                <w:sz w:val="21"/>
                <w:szCs w:val="21"/>
                <w:lang w:val="en-US" w:eastAsia="zh-CN"/>
              </w:rPr>
              <w:t>一号多</w:t>
            </w:r>
            <w:r>
              <w:rPr>
                <w:rFonts w:hint="default" w:ascii="Times New Roman" w:hAnsi="Times New Roman" w:cs="Times New Roman"/>
                <w:lang w:val="en-US" w:eastAsia="zh-CN"/>
              </w:rPr>
              <w:t>充</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用户可以申请最大充电数，实现一个账号给多辆车充电操作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远程断电</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可以远程断电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订单管理</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查看所有订单，包括充电订单、占用订单，及订单详情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发票管理</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对已充电订单发起开票申请并查看开票进度，修改开票信息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在线退款</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支持用户通过APP提出退款申请，提升用户便利性体验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客服咨询</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可在线咨询客服和电话咨询客服解决问题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故障报修</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故障报修，可上传图片并且可以文字描述提交审核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restart"/>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微信小程序</w:t>
            </w: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扫码/手输设备编号充电</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可通过扫码/手输设备编号实现充电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搜索电站信息</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地图和列表模式下均可输入关键字可查询电站信息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筛选电站</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按照城市、是否带枪、免费停车、全时段开发、电桩功率等来筛选电站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电站列表</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以列表形式展示充电站，可按照距离排序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支付方式</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选择金额或输入自定义金额进行微信支付；充电完成后多余金额即时原路返回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充电过程监控</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展示充电中桩编号、电流、电压、功率等信息；</w:t>
            </w:r>
          </w:p>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充电结束展示充电站、最终时长、充电度数、支付金额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充电记录</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按月份显示所有充电记录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开票管理</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引导用户登录APP提交开票申请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资金管理</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充电资金进入</w:t>
            </w:r>
            <w:r>
              <w:rPr>
                <w:rFonts w:hint="eastAsia" w:ascii="Times New Roman" w:hAnsi="Times New Roman" w:cs="Times New Roman"/>
                <w:lang w:val="en-US" w:eastAsia="zh-CN"/>
              </w:rPr>
              <w:t>招标人</w:t>
            </w:r>
            <w:r>
              <w:rPr>
                <w:rFonts w:hint="default" w:ascii="Times New Roman" w:hAnsi="Times New Roman" w:cs="Times New Roman"/>
                <w:lang w:val="en-US" w:eastAsia="zh-CN"/>
              </w:rPr>
              <w:t>指定微信支付商户号</w:t>
            </w:r>
          </w:p>
        </w:tc>
      </w:tr>
    </w:tbl>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四、检验考核要求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交货前，投标人应对货物质量、规格、性能、数量和重量等进行详细全面的检验，并出具一份证明货物符合招标文件要求及合同约定的检验证书，投标人的检验结果和细节应附在检验证书内。</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检验证书是付款时所需要的必要文件，但不作为货物质量、规格、数量及重量的最终检验结果。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投标设备运抵现场后，招标人可向质监或有关部门申请对货物的质量、规格、数量和重量进行检验，并出具检验证书，也可自行组织验收，也可委托第三方检测机构进行验收。</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设备的到货验收包括：数量、外观、质量、随机备件备品、装箱单、随机资料（质量检验合格证、图纸）及包装等。</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投标人向招标人交付设备后，招标人在运营实况下进行测试，如设备技术性能指标检验考核结果不符合本章技术标准和要求及投标文件承诺，投标人应无条件进行退换货处理。</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五、技术服务和质保期服务要求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1.招标人保留在签订合同前对本章技术标准和要求进行补充、修改的权利，投标人应予以配合；</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2.投标人应保证投标设备是原厂生产的全新未使用的合格产品，各类指标均符合国家强制性标准、制造商出厂检验标准以及行业标准；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3.投标设备的品牌、型号、规格、主要技术指标、质保期等均应详细明确，产品及其附件的铭牌、使用指南、警告指示等应以中文或英文或通用符号表示，且能准确无误反映产品信息；</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4.投标人应提交投标设备的技术文件，包括相应的每一套设备和仪器的中文技术文件，如产品目录、图纸、操作手册、使用说明、维护手册、服务指南等，这些文件应随同投标设备一起交付招标人；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5.招标人如需要，投标人应能说明投标设备的主要技术指标，能提供与指标相对应的在有效期内的检测报告，能提供质量保证承诺、售后服务条款和技术支持等相关材料；</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投标人投标设备（120kw一体式直流充电桩）质保期应不低于8年，其他投标设备质保期应不低于1年，制造商或国家有更长质保期规定的，应从其规定。质保期自货到验收合格之日起开始计算；在质保期内，投标人投标设备出现质量、技术等问题的，投标人应免费提供咨询、培训、技术指导等服务，同时应按照国家三包法向招标人提供质保；质保期结束后，投标人仍应免费向招标人提供技术咨询、简单维护等服务；如需设备维修、部件更换的，应以成本价向招标人提供备品备件及维修服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7.对于招标人以书面或电话形式提出的质量、服务等问题，投标人应于2小时内予以答复响应，需要投标人委派技术、服务人员的，应于24小时内到达现场；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8.投标人如有违反售后服务条款或质量承诺，给招标人造成损失的应承担赔偿责任；</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9.投标人应当向招标人提供投标设备操作培训，培训效果应达到招标人工作人员能够独立进行日常操作和简单维护的水平。</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六、投标说明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本章技术标准和要求，是为满足招标人采购需求的最低要求，并未对一切技术参数和要求作出规定，也未充分引述有关规范和标准，投标人应保证提供的投标设备是符合或优于招标文件规定和有关规范、标准的优质产品；</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2.为鼓励不同品牌充分竞争，如某设备的某项技术参数或要求属于个别品牌专有，则该技术参数、要求不具有限制性，投标人可对该技术参数或要求的响应情况进行说明，并经评标委员会审核确认；</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本章技术标准和要求，凡涉及参考品牌、推荐品牌（或参考型号、推荐型号）等表述的，均不具有限制性，投标人可自行选择其他品牌（或型号）投标，但投标人应当在投标文件中提供技术证明材料，以证明投标设备的质量、性能、参数等相当于或优于参考品牌、推荐品牌（或参考型号、推荐型号），否则其投标无效；</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4.标有“★”的参数为关键技术参数，必须响应或优于响应，否则其投标无效。</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b/>
          <w:bCs/>
          <w:i w:val="0"/>
          <w:iCs w:val="0"/>
          <w:kern w:val="0"/>
          <w:sz w:val="24"/>
          <w:szCs w:val="24"/>
          <w:highlight w:val="none"/>
          <w:lang w:val="en-US" w:eastAsia="zh-CN"/>
        </w:rPr>
      </w:pPr>
      <w:r>
        <w:rPr>
          <w:rFonts w:hint="eastAsia" w:ascii="Times New Roman" w:hAnsi="Times New Roman" w:cs="Times New Roman"/>
          <w:b/>
          <w:bCs/>
          <w:i w:val="0"/>
          <w:iCs w:val="0"/>
          <w:kern w:val="0"/>
          <w:sz w:val="24"/>
          <w:szCs w:val="24"/>
          <w:highlight w:val="none"/>
          <w:lang w:val="en-US" w:eastAsia="zh-CN"/>
        </w:rPr>
        <w:t>七、附件</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设计图纸、工程量清单。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应在开标前对设计图纸、工程量清单进行仔细核对。如有错漏项，投标人应及时与招标人联系，递交纸质材料，要求招标人对招标文件予以澄清。否则，投标人不得再以设计图纸或工程量清单错漏等原因要求招标人调整合同价款。</w:t>
      </w:r>
    </w:p>
    <w:p>
      <w:pPr>
        <w:rPr>
          <w:rFonts w:hint="default" w:ascii="Times New Roman" w:hAnsi="Times New Roman" w:eastAsia="宋体" w:cs="Times New Roman"/>
          <w:b/>
          <w:bCs/>
          <w:sz w:val="32"/>
          <w:szCs w:val="32"/>
          <w:highlight w:val="none"/>
          <w:lang w:val="en-US" w:eastAsia="zh-CN"/>
        </w:rPr>
      </w:pPr>
      <w:r>
        <w:rPr>
          <w:rFonts w:hint="default" w:ascii="Times New Roman" w:hAnsi="Times New Roman" w:eastAsia="宋体" w:cs="Times New Roman"/>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bCs/>
          <w:sz w:val="32"/>
          <w:szCs w:val="32"/>
          <w:highlight w:val="none"/>
          <w:lang w:val="en-US" w:eastAsia="zh-CN"/>
        </w:rPr>
      </w:pPr>
      <w:r>
        <w:rPr>
          <w:rFonts w:hint="default" w:ascii="Times New Roman" w:hAnsi="Times New Roman" w:eastAsia="宋体" w:cs="Times New Roman"/>
          <w:b/>
          <w:bCs/>
          <w:sz w:val="32"/>
          <w:szCs w:val="32"/>
          <w:highlight w:val="none"/>
          <w:lang w:val="en-US" w:eastAsia="zh-CN"/>
        </w:rPr>
        <w:t>第</w:t>
      </w:r>
      <w:r>
        <w:rPr>
          <w:rFonts w:hint="eastAsia" w:ascii="Times New Roman" w:hAnsi="Times New Roman" w:eastAsia="宋体" w:cs="Times New Roman"/>
          <w:b/>
          <w:bCs/>
          <w:sz w:val="32"/>
          <w:szCs w:val="32"/>
          <w:highlight w:val="none"/>
          <w:lang w:val="en-US" w:eastAsia="zh-CN"/>
        </w:rPr>
        <w:t>六</w:t>
      </w:r>
      <w:r>
        <w:rPr>
          <w:rFonts w:hint="default" w:ascii="Times New Roman" w:hAnsi="Times New Roman" w:eastAsia="宋体" w:cs="Times New Roman"/>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22</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2"/>
        <w:jc w:val="center"/>
        <w:rPr>
          <w:rFonts w:hint="default" w:ascii="Times New Roman" w:hAnsi="Times New Roman" w:cs="Times New Roman"/>
          <w:highlight w:val="none"/>
        </w:rPr>
      </w:pPr>
      <w:bookmarkStart w:id="29" w:name="_Toc300835209"/>
      <w:bookmarkStart w:id="30" w:name="_Toc247514246"/>
      <w:bookmarkStart w:id="31" w:name="_Toc152042576"/>
      <w:bookmarkStart w:id="32" w:name="_Toc144974856"/>
      <w:bookmarkStart w:id="33" w:name="_Toc247527827"/>
      <w:bookmarkStart w:id="34" w:name="_Toc152045787"/>
      <w:r>
        <w:rPr>
          <w:rFonts w:hint="default" w:ascii="Times New Roman" w:hAnsi="Times New Roman" w:cs="Times New Roman"/>
          <w:highlight w:val="none"/>
        </w:rPr>
        <w:t>目    录</w:t>
      </w:r>
    </w:p>
    <w:p>
      <w:pPr>
        <w:spacing w:line="540" w:lineRule="exact"/>
        <w:rPr>
          <w:rFonts w:hint="default" w:ascii="Times New Roman" w:hAnsi="Times New Roman" w:cs="Times New Roman"/>
          <w:highlight w:val="none"/>
        </w:rPr>
      </w:pP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一、投标函及投标函附录</w:t>
      </w: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二、法定代表人身份证明</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p>
    <w:p>
      <w:pPr>
        <w:spacing w:line="540" w:lineRule="exact"/>
        <w:rPr>
          <w:rFonts w:hint="default" w:ascii="Times New Roman" w:hAnsi="Times New Roman" w:cs="Times New Roman"/>
          <w:highlight w:val="none"/>
        </w:rPr>
      </w:pPr>
      <w:r>
        <w:rPr>
          <w:rFonts w:hint="default"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四、已标价工程量清单</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五、施工组织设计</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六、项目管理机构</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七、资格审查资料</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八、商务和技术偏差表</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九、投标设备技术性能指标的详细描述</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十、技术服务和质保期服务计划</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十一、其他资料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 xml:space="preserve"> </w:t>
      </w:r>
    </w:p>
    <w:p>
      <w:pPr>
        <w:spacing w:line="540" w:lineRule="exact"/>
        <w:rPr>
          <w:rFonts w:hint="default" w:ascii="Times New Roman" w:hAnsi="Times New Roman" w:eastAsia="黑体" w:cs="Times New Roman"/>
          <w:sz w:val="20"/>
          <w:szCs w:val="20"/>
          <w:highlight w:val="none"/>
        </w:rPr>
      </w:pPr>
      <w:r>
        <w:rPr>
          <w:rFonts w:hint="default" w:ascii="Times New Roman" w:hAnsi="Times New Roman" w:cs="Times New Roman"/>
          <w:highlight w:val="none"/>
        </w:rPr>
        <w:br w:type="page"/>
      </w:r>
    </w:p>
    <w:p>
      <w:pPr>
        <w:pStyle w:val="2"/>
        <w:spacing w:line="440" w:lineRule="exact"/>
        <w:jc w:val="center"/>
        <w:rPr>
          <w:rFonts w:hint="default" w:ascii="Times New Roman" w:hAnsi="Times New Roman" w:eastAsia="黑体" w:cs="Times New Roman"/>
          <w:sz w:val="20"/>
          <w:szCs w:val="20"/>
          <w:highlight w:val="none"/>
        </w:rPr>
      </w:pPr>
      <w:r>
        <w:rPr>
          <w:rFonts w:hint="default" w:ascii="Times New Roman" w:hAnsi="Times New Roman" w:cs="Times New Roman"/>
          <w:highlight w:val="none"/>
        </w:rPr>
        <w:t>一、投标函及投标函附录</w:t>
      </w:r>
    </w:p>
    <w:p>
      <w:pPr>
        <w:pStyle w:val="4"/>
        <w:rPr>
          <w:rFonts w:hint="default" w:ascii="Times New Roman" w:hAnsi="Times New Roman" w:cs="Times New Roman"/>
          <w:highlight w:val="none"/>
        </w:rPr>
      </w:pPr>
      <w:bookmarkStart w:id="35" w:name="_Toc247527829"/>
      <w:bookmarkStart w:id="36" w:name="_Toc144974858"/>
      <w:bookmarkStart w:id="37" w:name="_Toc300835211"/>
      <w:bookmarkStart w:id="38" w:name="_Toc152042578"/>
      <w:bookmarkStart w:id="39" w:name="_Toc152045789"/>
      <w:bookmarkStart w:id="40" w:name="_Toc247514248"/>
      <w:r>
        <w:rPr>
          <w:rFonts w:hint="default" w:ascii="Times New Roman" w:hAnsi="Times New Roman" w:cs="Times New Roman"/>
          <w:highlight w:val="none"/>
        </w:rPr>
        <w:t>（一）投标函</w:t>
      </w:r>
      <w:bookmarkEnd w:id="35"/>
      <w:bookmarkEnd w:id="36"/>
      <w:bookmarkEnd w:id="37"/>
      <w:bookmarkEnd w:id="38"/>
      <w:bookmarkEnd w:id="39"/>
      <w:bookmarkEnd w:id="40"/>
    </w:p>
    <w:p>
      <w:pPr>
        <w:spacing w:line="440" w:lineRule="exact"/>
        <w:rPr>
          <w:rFonts w:hint="default" w:ascii="Times New Roman" w:hAnsi="Times New Roman" w:cs="Times New Roman"/>
          <w:sz w:val="20"/>
          <w:szCs w:val="20"/>
          <w:highlight w:val="none"/>
        </w:rPr>
      </w:pP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（招标人名称）：</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Times New Roman" w:hAnsi="Times New Roman" w:cs="Times New Roman"/>
          <w:szCs w:val="21"/>
          <w:highlight w:val="none"/>
          <w:u w:val="none"/>
          <w:lang w:eastAsia="zh-CN"/>
        </w:rPr>
      </w:pPr>
      <w:r>
        <w:rPr>
          <w:rFonts w:hint="default" w:ascii="Times New Roman" w:hAnsi="Times New Roman" w:cs="Times New Roman"/>
          <w:szCs w:val="21"/>
          <w:highlight w:val="none"/>
        </w:rPr>
        <w:t>1．我方已仔细研究了</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rPr>
        <w:t>（项目名称）招标文件的全部内容，愿意以</w:t>
      </w:r>
      <w:r>
        <w:rPr>
          <w:rFonts w:hint="eastAsia" w:ascii="Times New Roman" w:hAnsi="Times New Roman" w:cs="Times New Roman"/>
          <w:szCs w:val="21"/>
          <w:highlight w:val="none"/>
          <w:lang w:val="en-US" w:eastAsia="zh-CN"/>
        </w:rPr>
        <w:t>人民币（大写）</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，（小写）</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元的投标总报价（其中，增值税税率为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val="en-US" w:eastAsia="zh-CN"/>
        </w:rPr>
        <w:t>），工期</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val="en-US" w:eastAsia="zh-CN"/>
        </w:rPr>
        <w:t>日历天，按合同约定实施和完成承包工程，修补工程中的任何缺陷，工程质量达到</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2．我方承诺在招标文件规定的投标有效期内不修改、撤销投标文件。</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3．随同本投标函提交投标保证金一份，金额为人民币（大写）</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4．如我方中标：</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（1）我方承诺在收到中标通知书后，在中标通知书规定的期限内与你方签订合同。</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（2）随同本投标函递交的投标函附录属于合同文件的组成部分。</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（3）我方承诺按照招标文件规定向你方递交履约担保。</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（4）我方承诺在合同约定的期限内完成并移交全部合同工程。</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5．</w:t>
      </w:r>
      <w:r>
        <w:rPr>
          <w:rFonts w:hint="default" w:ascii="Times New Roman" w:hAnsi="Times New Roman" w:cs="Times New Roman"/>
          <w:highlight w:val="none"/>
        </w:rPr>
        <w:t>我方在此声明，所递交的投标文件及有关资料内容完整、真实和准确，且不存在第二章</w:t>
      </w:r>
      <w:r>
        <w:rPr>
          <w:rFonts w:hint="eastAsia" w:ascii="Times New Roman" w:hAnsi="Times New Roman" w:cs="Times New Roman"/>
          <w:highlight w:val="none"/>
          <w:lang w:eastAsia="zh-CN"/>
        </w:rPr>
        <w:t>“</w:t>
      </w:r>
      <w:r>
        <w:rPr>
          <w:rFonts w:hint="default" w:ascii="Times New Roman" w:hAnsi="Times New Roman" w:cs="Times New Roman"/>
          <w:highlight w:val="none"/>
        </w:rPr>
        <w:t>投标人须知</w:t>
      </w:r>
      <w:r>
        <w:rPr>
          <w:rFonts w:hint="eastAsia" w:ascii="Times New Roman" w:hAnsi="Times New Roman" w:cs="Times New Roman"/>
          <w:highlight w:val="none"/>
          <w:lang w:eastAsia="zh-CN"/>
        </w:rPr>
        <w:t>”</w:t>
      </w:r>
      <w:r>
        <w:rPr>
          <w:rFonts w:hint="default" w:ascii="Times New Roman" w:hAnsi="Times New Roman" w:cs="Times New Roman"/>
          <w:highlight w:val="none"/>
        </w:rPr>
        <w:t>第1.4.</w:t>
      </w:r>
      <w:r>
        <w:rPr>
          <w:rFonts w:hint="eastAsia" w:ascii="Times New Roman" w:hAnsi="Times New Roman" w:cs="Times New Roman"/>
          <w:highlight w:val="none"/>
          <w:lang w:val="en-US" w:eastAsia="zh-CN"/>
        </w:rPr>
        <w:t>2</w:t>
      </w:r>
      <w:r>
        <w:rPr>
          <w:rFonts w:hint="default" w:ascii="Times New Roman" w:hAnsi="Times New Roman" w:cs="Times New Roman"/>
          <w:highlight w:val="none"/>
        </w:rPr>
        <w:t>项和第1.4.</w:t>
      </w:r>
      <w:r>
        <w:rPr>
          <w:rFonts w:hint="eastAsia" w:ascii="Times New Roman" w:hAnsi="Times New Roman" w:cs="Times New Roman"/>
          <w:highlight w:val="none"/>
          <w:lang w:val="en-US" w:eastAsia="zh-CN"/>
        </w:rPr>
        <w:t>3</w:t>
      </w:r>
      <w:r>
        <w:rPr>
          <w:rFonts w:hint="default" w:ascii="Times New Roman" w:hAnsi="Times New Roman" w:cs="Times New Roman"/>
          <w:highlight w:val="none"/>
        </w:rPr>
        <w:t>项规定的任何一种情形。</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6．</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（其他补充说明）。</w:t>
      </w:r>
    </w:p>
    <w:p>
      <w:pPr>
        <w:keepNext w:val="0"/>
        <w:keepLines w:val="0"/>
        <w:pageBreakBefore w:val="0"/>
        <w:widowControl w:val="0"/>
        <w:kinsoku/>
        <w:wordWrap/>
        <w:overflowPunct/>
        <w:topLinePunct w:val="0"/>
        <w:autoSpaceDE/>
        <w:autoSpaceDN/>
        <w:bidi w:val="0"/>
        <w:adjustRightInd/>
        <w:snapToGrid/>
        <w:spacing w:line="420" w:lineRule="exact"/>
        <w:ind w:firstLine="3675" w:firstLineChars="1750"/>
        <w:textAlignment w:val="auto"/>
        <w:rPr>
          <w:rFonts w:hint="default" w:ascii="Times New Roman" w:hAnsi="Times New Roman" w:cs="Times New Roman"/>
          <w:szCs w:val="21"/>
          <w:highlight w:val="none"/>
        </w:rPr>
      </w:pPr>
    </w:p>
    <w:p>
      <w:pPr>
        <w:keepNext w:val="0"/>
        <w:keepLines w:val="0"/>
        <w:pageBreakBefore w:val="0"/>
        <w:widowControl w:val="0"/>
        <w:kinsoku/>
        <w:wordWrap/>
        <w:overflowPunct/>
        <w:topLinePunct w:val="0"/>
        <w:autoSpaceDE/>
        <w:autoSpaceDN/>
        <w:bidi w:val="0"/>
        <w:adjustRightInd/>
        <w:snapToGrid/>
        <w:spacing w:line="420" w:lineRule="exact"/>
        <w:ind w:firstLine="3675" w:firstLineChars="1750"/>
        <w:textAlignment w:val="auto"/>
        <w:rPr>
          <w:rFonts w:hint="default" w:ascii="Times New Roman" w:hAnsi="Times New Roman" w:cs="Times New Roman"/>
          <w:szCs w:val="21"/>
          <w:highlight w:val="none"/>
        </w:rPr>
      </w:pPr>
    </w:p>
    <w:p>
      <w:pPr>
        <w:keepNext w:val="0"/>
        <w:keepLines w:val="0"/>
        <w:pageBreakBefore w:val="0"/>
        <w:widowControl w:val="0"/>
        <w:kinsoku/>
        <w:wordWrap/>
        <w:overflowPunct/>
        <w:topLinePunct w:val="0"/>
        <w:autoSpaceDE/>
        <w:autoSpaceDN/>
        <w:bidi w:val="0"/>
        <w:adjustRightInd/>
        <w:snapToGrid/>
        <w:spacing w:line="420" w:lineRule="exact"/>
        <w:ind w:firstLine="3675" w:firstLineChars="17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 标 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keepNext w:val="0"/>
        <w:keepLines w:val="0"/>
        <w:pageBreakBefore w:val="0"/>
        <w:widowControl w:val="0"/>
        <w:kinsoku/>
        <w:wordWrap/>
        <w:overflowPunct/>
        <w:topLinePunct w:val="0"/>
        <w:autoSpaceDE/>
        <w:autoSpaceDN/>
        <w:bidi w:val="0"/>
        <w:adjustRightInd/>
        <w:snapToGrid/>
        <w:spacing w:line="420" w:lineRule="exact"/>
        <w:ind w:firstLine="3675" w:firstLineChars="17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法定代表人或其委托代理人：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（签字）</w:t>
      </w:r>
    </w:p>
    <w:p>
      <w:pPr>
        <w:keepNext w:val="0"/>
        <w:keepLines w:val="0"/>
        <w:pageBreakBefore w:val="0"/>
        <w:widowControl w:val="0"/>
        <w:kinsoku/>
        <w:wordWrap/>
        <w:overflowPunct/>
        <w:topLinePunct w:val="0"/>
        <w:autoSpaceDE/>
        <w:autoSpaceDN/>
        <w:bidi w:val="0"/>
        <w:adjustRightInd/>
        <w:snapToGrid/>
        <w:spacing w:line="420" w:lineRule="exact"/>
        <w:ind w:firstLine="3675" w:firstLineChars="17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地址：</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3675" w:firstLineChars="1750"/>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网址</w:t>
      </w:r>
      <w:r>
        <w:rPr>
          <w:rFonts w:hint="default" w:ascii="Times New Roman" w:hAnsi="Times New Roman" w:cs="Times New Roman"/>
          <w:szCs w:val="21"/>
          <w:highlight w:val="none"/>
        </w:rPr>
        <w:t>：</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3675" w:firstLineChars="17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电话：</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3675" w:firstLineChars="17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传真：</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3675" w:firstLineChars="17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邮政编码：</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4725" w:firstLineChars="22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rPr>
          <w:rFonts w:hint="default" w:ascii="Times New Roman" w:hAnsi="Times New Roman" w:cs="Times New Roman"/>
          <w:highlight w:val="none"/>
        </w:rPr>
      </w:pPr>
      <w:bookmarkStart w:id="41" w:name="_Toc247514249"/>
      <w:bookmarkStart w:id="42" w:name="_Toc300835212"/>
      <w:bookmarkStart w:id="43" w:name="_Toc144974859"/>
      <w:bookmarkStart w:id="44" w:name="_Toc152045790"/>
      <w:bookmarkStart w:id="45" w:name="_Toc247527830"/>
      <w:bookmarkStart w:id="46" w:name="_Toc152042579"/>
      <w:r>
        <w:rPr>
          <w:rFonts w:hint="default" w:ascii="Times New Roman" w:hAnsi="Times New Roman" w:cs="Times New Roman"/>
          <w:highlight w:val="none"/>
        </w:rPr>
        <w:br w:type="page"/>
      </w:r>
    </w:p>
    <w:p>
      <w:pPr>
        <w:pStyle w:val="4"/>
        <w:rPr>
          <w:rFonts w:hint="default" w:ascii="Times New Roman" w:hAnsi="Times New Roman" w:cs="Times New Roman"/>
          <w:highlight w:val="none"/>
        </w:rPr>
      </w:pPr>
      <w:r>
        <w:rPr>
          <w:rFonts w:hint="default" w:ascii="Times New Roman" w:hAnsi="Times New Roman" w:cs="Times New Roman"/>
          <w:highlight w:val="none"/>
        </w:rPr>
        <w:t>（二）投标函附录</w:t>
      </w:r>
      <w:bookmarkEnd w:id="41"/>
      <w:bookmarkEnd w:id="42"/>
      <w:bookmarkEnd w:id="43"/>
      <w:bookmarkEnd w:id="44"/>
      <w:bookmarkEnd w:id="45"/>
      <w:bookmarkEnd w:id="46"/>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01"/>
        <w:gridCol w:w="4535"/>
        <w:gridCol w:w="14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序号</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条款名称</w:t>
            </w:r>
          </w:p>
        </w:tc>
        <w:tc>
          <w:tcPr>
            <w:tcW w:w="45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约定内容</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eastAsia="宋体" w:cs="Times New Roman"/>
                <w:szCs w:val="21"/>
                <w:highlight w:val="none"/>
                <w:lang w:val="en-US" w:eastAsia="zh-CN"/>
              </w:rPr>
            </w:pPr>
            <w:r>
              <w:rPr>
                <w:rFonts w:hint="eastAsia" w:ascii="Times New Roman" w:hAnsi="Times New Roman" w:cs="Times New Roman"/>
                <w:szCs w:val="21"/>
                <w:highlight w:val="none"/>
                <w:lang w:val="en-US" w:eastAsia="zh-CN"/>
              </w:rPr>
              <w:t>1</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szCs w:val="21"/>
                <w:highlight w:val="none"/>
                <w:lang w:val="en-US" w:eastAsia="zh-CN"/>
              </w:rPr>
            </w:pPr>
            <w:r>
              <w:rPr>
                <w:rFonts w:hint="eastAsia" w:ascii="Times New Roman" w:hAnsi="Times New Roman" w:cs="Times New Roman"/>
                <w:szCs w:val="21"/>
                <w:highlight w:val="none"/>
                <w:lang w:val="en-US" w:eastAsia="zh-CN"/>
              </w:rPr>
              <w:t>项目负责人</w:t>
            </w:r>
          </w:p>
        </w:tc>
        <w:tc>
          <w:tcPr>
            <w:tcW w:w="45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rPr>
            </w:pPr>
            <w:r>
              <w:rPr>
                <w:rFonts w:hint="default" w:ascii="Times New Roman" w:hAnsi="Times New Roman" w:cs="Times New Roman"/>
                <w:szCs w:val="21"/>
                <w:highlight w:val="none"/>
              </w:rPr>
              <w:t>姓名：</w:t>
            </w:r>
            <w:r>
              <w:rPr>
                <w:rFonts w:hint="eastAsia" w:ascii="Times New Roman" w:hAnsi="Times New Roman" w:cs="Times New Roman"/>
                <w:szCs w:val="21"/>
                <w:highlight w:val="none"/>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身份证号：</w:t>
            </w:r>
            <w:r>
              <w:rPr>
                <w:rFonts w:hint="eastAsia" w:ascii="Times New Roman" w:hAnsi="Times New Roman" w:cs="Times New Roman"/>
                <w:szCs w:val="21"/>
                <w:highlight w:val="none"/>
                <w:u w:val="single"/>
                <w:lang w:val="en-US" w:eastAsia="zh-CN"/>
              </w:rPr>
              <w:t xml:space="preserve">           </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eastAsia="宋体"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eastAsia="宋体" w:cs="Times New Roman"/>
                <w:szCs w:val="21"/>
                <w:highlight w:val="none"/>
                <w:lang w:eastAsia="zh-CN"/>
              </w:rPr>
            </w:pPr>
            <w:r>
              <w:rPr>
                <w:rFonts w:hint="eastAsia" w:ascii="Times New Roman" w:hAnsi="Times New Roman" w:cs="Times New Roman"/>
                <w:szCs w:val="21"/>
                <w:highlight w:val="none"/>
                <w:lang w:val="en-US" w:eastAsia="zh-CN"/>
              </w:rPr>
              <w:t>工期</w:t>
            </w:r>
          </w:p>
        </w:tc>
        <w:tc>
          <w:tcPr>
            <w:tcW w:w="45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天数：</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日历天</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eastAsia="宋体"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szCs w:val="21"/>
                <w:highlight w:val="none"/>
                <w:lang w:val="en-US" w:eastAsia="zh-CN"/>
              </w:rPr>
            </w:pPr>
            <w:r>
              <w:rPr>
                <w:rFonts w:hint="eastAsia" w:ascii="Times New Roman" w:hAnsi="Times New Roman" w:cs="Times New Roman"/>
                <w:szCs w:val="21"/>
                <w:highlight w:val="none"/>
                <w:lang w:val="en-US" w:eastAsia="zh-CN"/>
              </w:rPr>
              <w:t>缺陷责任期</w:t>
            </w:r>
          </w:p>
        </w:tc>
        <w:tc>
          <w:tcPr>
            <w:tcW w:w="45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lang w:val="en-US" w:eastAsia="zh-CN"/>
              </w:rPr>
              <w:t>自竣工验收合格之日起</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年</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eastAsia="宋体" w:cs="Times New Roman"/>
                <w:kern w:val="2"/>
                <w:sz w:val="21"/>
                <w:szCs w:val="21"/>
                <w:highlight w:val="none"/>
                <w:lang w:val="en-US" w:eastAsia="zh-CN" w:bidi="ar-SA"/>
              </w:rPr>
            </w:pPr>
            <w:r>
              <w:rPr>
                <w:rFonts w:hint="default" w:ascii="Times New Roman" w:hAnsi="Times New Roman" w:cs="Times New Roman"/>
                <w:szCs w:val="21"/>
                <w:highlight w:val="none"/>
              </w:rPr>
              <w:t>……</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eastAsia="宋体" w:cs="Times New Roman"/>
                <w:kern w:val="2"/>
                <w:sz w:val="21"/>
                <w:szCs w:val="21"/>
                <w:highlight w:val="none"/>
                <w:lang w:val="en-US" w:eastAsia="zh-CN" w:bidi="ar-SA"/>
              </w:rPr>
            </w:pPr>
            <w:r>
              <w:rPr>
                <w:rFonts w:hint="default" w:ascii="Times New Roman" w:hAnsi="Times New Roman" w:cs="Times New Roman"/>
                <w:szCs w:val="21"/>
                <w:highlight w:val="none"/>
              </w:rPr>
              <w:t>……</w:t>
            </w:r>
          </w:p>
        </w:tc>
        <w:tc>
          <w:tcPr>
            <w:tcW w:w="45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cs="Times New Roman"/>
                <w:szCs w:val="21"/>
                <w:highlight w:val="none"/>
              </w:rPr>
              <w:t>……</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p>
        </w:tc>
      </w:tr>
    </w:tbl>
    <w:p>
      <w:pPr>
        <w:spacing w:line="440" w:lineRule="exact"/>
        <w:rPr>
          <w:rFonts w:hint="default" w:ascii="Times New Roman" w:hAnsi="Times New Roman" w:eastAsia="黑体" w:cs="Times New Roman"/>
          <w:sz w:val="20"/>
          <w:szCs w:val="20"/>
          <w:highlight w:val="none"/>
        </w:rPr>
      </w:pPr>
      <w:r>
        <w:rPr>
          <w:rFonts w:hint="default" w:ascii="Times New Roman" w:hAnsi="Times New Roman" w:cs="Times New Roman"/>
          <w:szCs w:val="21"/>
          <w:highlight w:val="none"/>
        </w:rPr>
        <w:br w:type="page"/>
      </w:r>
    </w:p>
    <w:p>
      <w:pPr>
        <w:pStyle w:val="2"/>
        <w:jc w:val="center"/>
        <w:rPr>
          <w:rFonts w:hint="default" w:ascii="Times New Roman" w:hAnsi="Times New Roman" w:cs="Times New Roman"/>
          <w:highlight w:val="none"/>
        </w:rPr>
      </w:pPr>
      <w:r>
        <w:rPr>
          <w:rFonts w:hint="default" w:ascii="Times New Roman" w:hAnsi="Times New Roman" w:cs="Times New Roman"/>
          <w:highlight w:val="none"/>
        </w:rPr>
        <w:t>二、法定代表人身份证明</w:t>
      </w:r>
    </w:p>
    <w:p>
      <w:pPr>
        <w:spacing w:line="440" w:lineRule="exact"/>
        <w:rPr>
          <w:rFonts w:hint="default" w:ascii="Times New Roman" w:hAnsi="Times New Roman" w:cs="Times New Roman"/>
          <w:sz w:val="20"/>
          <w:szCs w:val="20"/>
          <w:highlight w:val="none"/>
        </w:rPr>
      </w:pP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投标人名称：</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单位性质：</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地址：</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成立时间：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经营期限：</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姓名：</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性别：</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年龄：</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职务：</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系</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（投标人名称）的法定代表人。</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特此证明。</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附：法定代表人身份证复印件</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 xml:space="preserve"> 投标人：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日</w:t>
      </w:r>
    </w:p>
    <w:p>
      <w:pPr>
        <w:spacing w:line="440" w:lineRule="exact"/>
        <w:jc w:val="center"/>
        <w:rPr>
          <w:rFonts w:hint="default" w:ascii="Times New Roman" w:hAnsi="Times New Roman" w:eastAsia="黑体" w:cs="Times New Roman"/>
          <w:sz w:val="20"/>
          <w:szCs w:val="20"/>
          <w:highlight w:val="none"/>
        </w:rPr>
      </w:pPr>
      <w:r>
        <w:rPr>
          <w:rFonts w:hint="default" w:ascii="Times New Roman" w:hAnsi="Times New Roman" w:eastAsia="黑体" w:cs="Times New Roman"/>
          <w:sz w:val="20"/>
          <w:szCs w:val="20"/>
          <w:highlight w:val="none"/>
        </w:rPr>
        <w:br w:type="page"/>
      </w:r>
    </w:p>
    <w:p>
      <w:pPr>
        <w:pStyle w:val="2"/>
        <w:jc w:val="center"/>
        <w:rPr>
          <w:rFonts w:hint="default" w:ascii="Times New Roman" w:hAnsi="Times New Roman" w:cs="Times New Roman"/>
          <w:highlight w:val="none"/>
        </w:rPr>
      </w:pPr>
      <w:r>
        <w:rPr>
          <w:rFonts w:hint="default" w:ascii="Times New Roman" w:hAnsi="Times New Roman" w:cs="Times New Roman"/>
          <w:highlight w:val="none"/>
        </w:rPr>
        <w:t>二、授权委托书</w:t>
      </w:r>
    </w:p>
    <w:p>
      <w:pPr>
        <w:spacing w:line="440" w:lineRule="exact"/>
        <w:rPr>
          <w:rFonts w:hint="default" w:ascii="Times New Roman" w:hAnsi="Times New Roman" w:eastAsia="黑体" w:cs="Times New Roman"/>
          <w:szCs w:val="21"/>
          <w:highlight w:val="none"/>
        </w:rPr>
      </w:pPr>
    </w:p>
    <w:p>
      <w:pPr>
        <w:topLinePunct/>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本人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（姓名）系</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（投标人名称）的法定代表人，现委托</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（姓名）为我方代理人。代理人根据授权，以我方名义签署、澄清、说明、补正、递交、撤回、修改</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（项目名称）投标文件、签订合同和处理有关事宜，其法律后果由我方承担。</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委托期限：</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代理人无转委托权。</w:t>
      </w:r>
    </w:p>
    <w:p>
      <w:pPr>
        <w:spacing w:line="440" w:lineRule="exact"/>
        <w:ind w:firstLine="420" w:firstLineChars="200"/>
        <w:rPr>
          <w:rFonts w:hint="default" w:ascii="Times New Roman" w:hAnsi="Times New Roman" w:eastAsia="宋体" w:cs="Times New Roman"/>
          <w:szCs w:val="21"/>
          <w:highlight w:val="none"/>
          <w:lang w:val="en-US" w:eastAsia="zh-CN"/>
        </w:rPr>
      </w:pPr>
      <w:r>
        <w:rPr>
          <w:rFonts w:hint="default" w:ascii="Times New Roman" w:hAnsi="Times New Roman" w:cs="Times New Roman"/>
          <w:szCs w:val="21"/>
          <w:highlight w:val="none"/>
        </w:rPr>
        <w:t>附：法定代表人身份证明</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委托代理人身份证复印件、委托代理人</w:t>
      </w:r>
      <w:r>
        <w:rPr>
          <w:rFonts w:hint="eastAsia" w:ascii="Times New Roman" w:hAnsi="Times New Roman" w:cs="Times New Roman"/>
          <w:color w:val="FF0000"/>
          <w:szCs w:val="21"/>
          <w:highlight w:val="none"/>
          <w:u w:val="single"/>
          <w:lang w:val="en-US" w:eastAsia="zh-CN"/>
        </w:rPr>
        <w:t>2022年1月以来任意连续3个月</w:t>
      </w:r>
      <w:r>
        <w:rPr>
          <w:rFonts w:hint="eastAsia" w:ascii="Times New Roman" w:hAnsi="Times New Roman" w:cs="Times New Roman"/>
          <w:szCs w:val="21"/>
          <w:highlight w:val="none"/>
          <w:lang w:val="en-US" w:eastAsia="zh-CN"/>
        </w:rPr>
        <w:t>的社保缴费证明复印件</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投标人：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rPr>
        <w:t>（盖单位章）</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法定代表人：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（签字</w:t>
      </w:r>
      <w:r>
        <w:rPr>
          <w:rFonts w:hint="eastAsia" w:ascii="Times New Roman" w:hAnsi="Times New Roman" w:cs="Times New Roman"/>
          <w:szCs w:val="21"/>
          <w:highlight w:val="none"/>
          <w:lang w:val="en-US" w:eastAsia="zh-CN"/>
        </w:rPr>
        <w:t>或签章</w:t>
      </w:r>
      <w:r>
        <w:rPr>
          <w:rFonts w:hint="default" w:ascii="Times New Roman" w:hAnsi="Times New Roman" w:cs="Times New Roman"/>
          <w:szCs w:val="21"/>
          <w:highlight w:val="none"/>
        </w:rPr>
        <w:t>）</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身份证号码：</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委托代理人：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（签字） </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u w:val="single"/>
        </w:rPr>
      </w:pPr>
      <w:r>
        <w:rPr>
          <w:rFonts w:hint="default" w:ascii="Times New Roman" w:hAnsi="Times New Roman" w:cs="Times New Roman"/>
          <w:szCs w:val="21"/>
          <w:highlight w:val="none"/>
        </w:rPr>
        <w:t>身份证号码：</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p>
    <w:p>
      <w:pPr>
        <w:spacing w:line="440" w:lineRule="exact"/>
        <w:rPr>
          <w:rFonts w:hint="default" w:ascii="Times New Roman" w:hAnsi="Times New Roman" w:cs="Times New Roman"/>
          <w:szCs w:val="21"/>
          <w:highlight w:val="none"/>
        </w:rPr>
      </w:pPr>
    </w:p>
    <w:p>
      <w:pPr>
        <w:spacing w:line="440" w:lineRule="exact"/>
        <w:ind w:firstLine="1575" w:firstLineChars="750"/>
        <w:rPr>
          <w:rFonts w:hint="default" w:ascii="Times New Roman" w:hAnsi="Times New Roman" w:eastAsia="黑体"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spacing w:line="400" w:lineRule="exact"/>
        <w:rPr>
          <w:rFonts w:hint="default" w:ascii="Times New Roman" w:hAnsi="Times New Roman" w:cs="Times New Roman"/>
          <w:highlight w:val="none"/>
        </w:rPr>
      </w:pPr>
      <w:r>
        <w:rPr>
          <w:rFonts w:hint="default" w:ascii="Times New Roman" w:hAnsi="Times New Roman" w:eastAsia="黑体" w:cs="Times New Roman"/>
          <w:sz w:val="20"/>
          <w:szCs w:val="20"/>
          <w:highlight w:val="none"/>
        </w:rPr>
        <w:br w:type="page"/>
      </w:r>
    </w:p>
    <w:p>
      <w:pPr>
        <w:pStyle w:val="2"/>
        <w:jc w:val="center"/>
        <w:rPr>
          <w:rFonts w:hint="default" w:ascii="Times New Roman" w:hAnsi="Times New Roman" w:cs="Times New Roman"/>
          <w:highlight w:val="none"/>
        </w:rPr>
      </w:pPr>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eastAsia="宋体" w:cs="Times New Roman"/>
          <w:b w:val="0"/>
          <w:bCs/>
          <w:color w:val="000000"/>
          <w:kern w:val="0"/>
          <w:sz w:val="24"/>
          <w:szCs w:val="24"/>
          <w:highlight w:val="none"/>
        </w:rPr>
      </w:pPr>
      <w:r>
        <w:rPr>
          <w:rFonts w:hint="default" w:ascii="Times New Roman" w:hAnsi="Times New Roman" w:eastAsia="宋体" w:cs="Times New Roman"/>
          <w:b w:val="0"/>
          <w:bCs/>
          <w:color w:val="000000"/>
          <w:kern w:val="0"/>
          <w:sz w:val="24"/>
          <w:szCs w:val="24"/>
          <w:highlight w:val="none"/>
        </w:rPr>
        <w:t>1</w:t>
      </w:r>
      <w:r>
        <w:rPr>
          <w:rFonts w:hint="default" w:ascii="Times New Roman" w:hAnsi="Times New Roman" w:eastAsia="宋体" w:cs="Times New Roman"/>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eastAsia="宋体" w:cs="Times New Roman"/>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eastAsia="宋体" w:cs="Times New Roman"/>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eastAsia="宋体" w:cs="Times New Roman"/>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eastAsia="宋体" w:cs="Times New Roman"/>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eastAsia="宋体" w:cs="Times New Roman"/>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eastAsia="宋体" w:cs="Times New Roman"/>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eastAsia="宋体" w:cs="Times New Roman"/>
          <w:b w:val="0"/>
          <w:bCs/>
          <w:color w:val="000000"/>
          <w:kern w:val="0"/>
          <w:sz w:val="24"/>
          <w:szCs w:val="24"/>
          <w:highlight w:val="none"/>
        </w:rPr>
      </w:pPr>
      <w:r>
        <w:rPr>
          <w:rFonts w:hint="default" w:ascii="Times New Roman" w:hAnsi="Times New Roman" w:eastAsia="宋体" w:cs="Times New Roman"/>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eastAsia="宋体" w:cs="Times New Roman"/>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eastAsia="宋体" w:cs="Times New Roman"/>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eastAsia="宋体" w:cs="Times New Roman"/>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eastAsia="宋体" w:cs="Times New Roman"/>
          <w:b w:val="0"/>
          <w:bCs/>
          <w:color w:val="000000"/>
          <w:kern w:val="0"/>
          <w:sz w:val="24"/>
          <w:szCs w:val="24"/>
          <w:highlight w:val="none"/>
        </w:rPr>
      </w:pPr>
    </w:p>
    <w:p>
      <w:pPr>
        <w:spacing w:line="440" w:lineRule="exact"/>
        <w:ind w:firstLine="482" w:firstLineChars="200"/>
        <w:rPr>
          <w:rFonts w:hint="eastAsia" w:ascii="Times New Roman" w:hAnsi="Times New Roman" w:eastAsia="宋体"/>
          <w:szCs w:val="21"/>
          <w:highlight w:val="none"/>
          <w:lang w:val="en-US" w:eastAsia="zh-CN"/>
        </w:rPr>
      </w:pPr>
      <w:r>
        <w:rPr>
          <w:rFonts w:hint="default" w:ascii="Times New Roman" w:hAnsi="Times New Roman" w:eastAsia="宋体" w:cs="Times New Roman"/>
          <w:b/>
          <w:color w:val="000000"/>
          <w:kern w:val="0"/>
          <w:sz w:val="24"/>
          <w:szCs w:val="24"/>
          <w:highlight w:val="none"/>
        </w:rPr>
        <w:t>备注：</w:t>
      </w:r>
      <w:r>
        <w:rPr>
          <w:rFonts w:hint="default" w:ascii="Times New Roman" w:hAnsi="Times New Roman" w:eastAsia="宋体" w:cs="Times New Roman"/>
          <w:color w:val="000000"/>
          <w:kern w:val="0"/>
          <w:sz w:val="24"/>
          <w:szCs w:val="24"/>
          <w:highlight w:val="none"/>
        </w:rPr>
        <w:t>缴纳保证金的开户行、账号等信息须与基本存款账户信息一致</w:t>
      </w:r>
      <w:r>
        <w:rPr>
          <w:rFonts w:hint="eastAsia" w:ascii="Times New Roman" w:hAnsi="Times New Roman" w:cs="Times New Roman"/>
          <w:color w:val="000000"/>
          <w:kern w:val="0"/>
          <w:sz w:val="24"/>
          <w:szCs w:val="24"/>
          <w:highlight w:val="none"/>
          <w:lang w:eastAsia="zh-CN"/>
        </w:rPr>
        <w:t>。</w:t>
      </w:r>
    </w:p>
    <w:p>
      <w:pPr>
        <w:spacing w:line="440" w:lineRule="exact"/>
        <w:rPr>
          <w:rFonts w:hint="default" w:ascii="Times New Roman" w:hAnsi="Times New Roman" w:cs="Times New Roman"/>
          <w:b/>
          <w:bCs/>
          <w:highlight w:val="none"/>
        </w:rPr>
      </w:pPr>
    </w:p>
    <w:p>
      <w:pPr>
        <w:rPr>
          <w:rFonts w:hint="default" w:ascii="Times New Roman" w:hAnsi="Times New Roman" w:cs="Times New Roman"/>
          <w:highlight w:val="none"/>
        </w:rPr>
      </w:pPr>
      <w:r>
        <w:rPr>
          <w:rFonts w:hint="default" w:ascii="Times New Roman" w:hAnsi="Times New Roman" w:cs="Times New Roman"/>
          <w:highlight w:val="none"/>
        </w:rPr>
        <w:br w:type="page"/>
      </w:r>
    </w:p>
    <w:p>
      <w:pPr>
        <w:pStyle w:val="2"/>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四</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已标价工程量清单</w:t>
      </w:r>
    </w:p>
    <w:p>
      <w:pPr>
        <w:rPr>
          <w:rFonts w:hint="default" w:ascii="Times New Roman" w:hAnsi="Times New Roman" w:cs="Times New Roman"/>
          <w:highlight w:val="none"/>
        </w:rPr>
      </w:pPr>
      <w:r>
        <w:rPr>
          <w:rFonts w:hint="default" w:ascii="Times New Roman" w:hAnsi="Times New Roman" w:cs="Times New Roman"/>
          <w:highlight w:val="none"/>
        </w:rPr>
        <w:br w:type="page"/>
      </w:r>
    </w:p>
    <w:p>
      <w:pPr>
        <w:pStyle w:val="2"/>
        <w:jc w:val="center"/>
        <w:rPr>
          <w:rFonts w:hint="default" w:ascii="Times New Roman" w:hAnsi="Times New Roman" w:eastAsia="黑体" w:cs="Times New Roman"/>
          <w:highlight w:val="none"/>
          <w:lang w:val="en-US" w:eastAsia="zh-CN"/>
        </w:rPr>
      </w:pPr>
      <w:r>
        <w:rPr>
          <w:rFonts w:hint="eastAsia" w:ascii="Times New Roman" w:hAnsi="Times New Roman" w:cs="Times New Roman"/>
          <w:b/>
          <w:bCs/>
          <w:i w:val="0"/>
          <w:iCs w:val="0"/>
          <w:highlight w:val="none"/>
          <w:lang w:val="en-US" w:eastAsia="zh-CN"/>
        </w:rPr>
        <w:t>五、施工组织设计</w:t>
      </w:r>
    </w:p>
    <w:p>
      <w:pPr>
        <w:spacing w:line="440" w:lineRule="exact"/>
        <w:rPr>
          <w:rFonts w:hint="default" w:ascii="Times New Roman" w:hAnsi="Times New Roman" w:eastAsia="黑体" w:cs="Times New Roman"/>
          <w:szCs w:val="21"/>
          <w:highlight w:val="none"/>
        </w:rPr>
      </w:pPr>
    </w:p>
    <w:p>
      <w:pPr>
        <w:tabs>
          <w:tab w:val="left" w:pos="720"/>
        </w:tabs>
        <w:spacing w:line="440" w:lineRule="exact"/>
        <w:ind w:firstLine="420" w:firstLineChars="200"/>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w:t>
      </w:r>
      <w:r>
        <w:rPr>
          <w:rFonts w:hint="default" w:ascii="Times New Roman" w:hAnsi="Times New Roman" w:cs="Times New Roman"/>
          <w:szCs w:val="21"/>
          <w:highlight w:val="none"/>
        </w:rPr>
        <w:t>投标人编制</w:t>
      </w:r>
      <w:r>
        <w:rPr>
          <w:rFonts w:hint="eastAsia" w:ascii="Times New Roman" w:hAnsi="Times New Roman" w:cs="Times New Roman"/>
          <w:szCs w:val="21"/>
          <w:highlight w:val="none"/>
          <w:lang w:val="en-US" w:eastAsia="zh-CN"/>
        </w:rPr>
        <w:t>施工组织设计</w:t>
      </w:r>
      <w:r>
        <w:rPr>
          <w:rFonts w:hint="default" w:ascii="Times New Roman" w:hAnsi="Times New Roman" w:cs="Times New Roman"/>
          <w:szCs w:val="21"/>
          <w:highlight w:val="none"/>
        </w:rPr>
        <w:t>的要求：</w:t>
      </w:r>
    </w:p>
    <w:p>
      <w:pPr>
        <w:tabs>
          <w:tab w:val="left" w:pos="720"/>
        </w:tabs>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编制时应简明扼要地说明施工方法，工程质量、安全生产、文明施工、环境保护、冬雨季施工、</w:t>
      </w:r>
      <w:r>
        <w:rPr>
          <w:rFonts w:hint="eastAsia" w:ascii="Times New Roman" w:hAnsi="Times New Roman" w:cs="Times New Roman"/>
          <w:szCs w:val="21"/>
          <w:highlight w:val="none"/>
          <w:lang w:val="en-US" w:eastAsia="zh-CN"/>
        </w:rPr>
        <w:t>工程进度、技术组织等主要措施。</w:t>
      </w:r>
      <w:r>
        <w:rPr>
          <w:rFonts w:hint="default" w:ascii="Times New Roman" w:hAnsi="Times New Roman" w:cs="Times New Roman"/>
          <w:szCs w:val="21"/>
          <w:highlight w:val="none"/>
        </w:rPr>
        <w:t>用图表形式阐明本项目的</w:t>
      </w:r>
      <w:r>
        <w:rPr>
          <w:rFonts w:hint="eastAsia" w:ascii="Times New Roman" w:hAnsi="Times New Roman" w:cs="Times New Roman"/>
          <w:szCs w:val="21"/>
          <w:highlight w:val="none"/>
          <w:lang w:val="en-US" w:eastAsia="zh-CN"/>
        </w:rPr>
        <w:t>进度计划以及</w:t>
      </w:r>
      <w:r>
        <w:rPr>
          <w:rFonts w:hint="default" w:ascii="Times New Roman" w:hAnsi="Times New Roman" w:cs="Times New Roman"/>
          <w:szCs w:val="21"/>
          <w:highlight w:val="none"/>
        </w:rPr>
        <w:t>拟投入主要施工设备、劳动力、项目管理机构等。</w:t>
      </w:r>
    </w:p>
    <w:p>
      <w:pPr>
        <w:tabs>
          <w:tab w:val="left" w:pos="720"/>
        </w:tabs>
        <w:spacing w:line="440" w:lineRule="exact"/>
        <w:ind w:firstLine="420" w:firstLineChars="200"/>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2.</w:t>
      </w:r>
      <w:r>
        <w:rPr>
          <w:rFonts w:hint="default" w:ascii="Times New Roman" w:hAnsi="Times New Roman" w:cs="Times New Roman"/>
          <w:szCs w:val="21"/>
          <w:highlight w:val="none"/>
        </w:rPr>
        <w:t>图表及格式要求：</w:t>
      </w:r>
    </w:p>
    <w:p>
      <w:pPr>
        <w:tabs>
          <w:tab w:val="left" w:pos="720"/>
        </w:tabs>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附表一</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拟投入的主要施工设备表</w:t>
      </w:r>
    </w:p>
    <w:p>
      <w:pPr>
        <w:tabs>
          <w:tab w:val="left" w:pos="720"/>
        </w:tabs>
        <w:spacing w:line="440" w:lineRule="exact"/>
        <w:ind w:firstLine="420" w:firstLineChars="200"/>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附表二 劳动力计划表</w:t>
      </w:r>
    </w:p>
    <w:p>
      <w:pPr>
        <w:tabs>
          <w:tab w:val="left" w:pos="720"/>
        </w:tabs>
        <w:spacing w:line="440" w:lineRule="exact"/>
        <w:ind w:firstLine="420" w:firstLineChars="200"/>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附表三 进度计划</w:t>
      </w:r>
    </w:p>
    <w:p>
      <w:pPr>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br w:type="page"/>
      </w:r>
    </w:p>
    <w:p>
      <w:pPr>
        <w:pStyle w:val="4"/>
        <w:rPr>
          <w:rFonts w:hint="eastAsia"/>
        </w:rPr>
      </w:pPr>
      <w:bookmarkStart w:id="47" w:name="_Toc246996365"/>
      <w:bookmarkStart w:id="48" w:name="_Toc179632817"/>
      <w:bookmarkStart w:id="49" w:name="_Toc152042586"/>
      <w:bookmarkStart w:id="50" w:name="_Toc144974865"/>
      <w:bookmarkStart w:id="51" w:name="_Toc247085883"/>
      <w:bookmarkStart w:id="52" w:name="_Toc152045797"/>
      <w:bookmarkStart w:id="53" w:name="_Toc296602610"/>
      <w:bookmarkStart w:id="54" w:name="_Toc246997108"/>
      <w:r>
        <w:t>附表一：拟投入本</w:t>
      </w:r>
      <w:r>
        <w:rPr>
          <w:rFonts w:hint="eastAsia"/>
        </w:rPr>
        <w:t>项目</w:t>
      </w:r>
      <w:r>
        <w:t>的主要施工设备表</w:t>
      </w:r>
      <w:bookmarkEnd w:id="47"/>
      <w:bookmarkEnd w:id="48"/>
      <w:bookmarkEnd w:id="49"/>
      <w:bookmarkEnd w:id="50"/>
      <w:bookmarkEnd w:id="51"/>
      <w:bookmarkEnd w:id="52"/>
      <w:bookmarkEnd w:id="53"/>
      <w:bookmarkEnd w:id="54"/>
    </w:p>
    <w:tbl>
      <w:tblPr>
        <w:tblStyle w:val="8"/>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1086"/>
        <w:gridCol w:w="761"/>
        <w:gridCol w:w="990"/>
        <w:gridCol w:w="672"/>
        <w:gridCol w:w="738"/>
        <w:gridCol w:w="1212"/>
        <w:gridCol w:w="874"/>
        <w:gridCol w:w="1055"/>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rPr>
                <w:szCs w:val="21"/>
              </w:rPr>
            </w:pPr>
            <w:r>
              <w:rPr>
                <w:szCs w:val="21"/>
              </w:rPr>
              <w:t>序号</w:t>
            </w:r>
          </w:p>
        </w:tc>
        <w:tc>
          <w:tcPr>
            <w:tcW w:w="1086" w:type="dxa"/>
            <w:noWrap w:val="0"/>
            <w:vAlign w:val="center"/>
          </w:tcPr>
          <w:p>
            <w:pPr>
              <w:spacing w:line="440" w:lineRule="exact"/>
              <w:jc w:val="center"/>
              <w:rPr>
                <w:szCs w:val="21"/>
              </w:rPr>
            </w:pPr>
            <w:r>
              <w:rPr>
                <w:szCs w:val="21"/>
              </w:rPr>
              <w:t>设备名称</w:t>
            </w:r>
          </w:p>
        </w:tc>
        <w:tc>
          <w:tcPr>
            <w:tcW w:w="761" w:type="dxa"/>
            <w:noWrap w:val="0"/>
            <w:vAlign w:val="center"/>
          </w:tcPr>
          <w:p>
            <w:pPr>
              <w:spacing w:line="440" w:lineRule="exact"/>
              <w:jc w:val="center"/>
              <w:rPr>
                <w:szCs w:val="21"/>
              </w:rPr>
            </w:pPr>
            <w:r>
              <w:rPr>
                <w:szCs w:val="21"/>
              </w:rPr>
              <w:t>型号</w:t>
            </w:r>
          </w:p>
          <w:p>
            <w:pPr>
              <w:spacing w:line="440" w:lineRule="exact"/>
              <w:jc w:val="center"/>
              <w:rPr>
                <w:szCs w:val="21"/>
              </w:rPr>
            </w:pPr>
            <w:r>
              <w:rPr>
                <w:szCs w:val="21"/>
              </w:rPr>
              <w:t>规格</w:t>
            </w:r>
          </w:p>
        </w:tc>
        <w:tc>
          <w:tcPr>
            <w:tcW w:w="990" w:type="dxa"/>
            <w:noWrap w:val="0"/>
            <w:vAlign w:val="center"/>
          </w:tcPr>
          <w:p>
            <w:pPr>
              <w:spacing w:line="440" w:lineRule="exact"/>
              <w:jc w:val="center"/>
              <w:rPr>
                <w:szCs w:val="21"/>
              </w:rPr>
            </w:pPr>
            <w:r>
              <w:rPr>
                <w:szCs w:val="21"/>
              </w:rPr>
              <w:t>数量</w:t>
            </w:r>
          </w:p>
        </w:tc>
        <w:tc>
          <w:tcPr>
            <w:tcW w:w="672" w:type="dxa"/>
            <w:noWrap w:val="0"/>
            <w:vAlign w:val="center"/>
          </w:tcPr>
          <w:p>
            <w:pPr>
              <w:spacing w:line="440" w:lineRule="exact"/>
              <w:jc w:val="center"/>
              <w:rPr>
                <w:szCs w:val="21"/>
              </w:rPr>
            </w:pPr>
            <w:r>
              <w:rPr>
                <w:szCs w:val="21"/>
              </w:rPr>
              <w:t>国别</w:t>
            </w:r>
          </w:p>
          <w:p>
            <w:pPr>
              <w:spacing w:line="440" w:lineRule="exact"/>
              <w:jc w:val="center"/>
              <w:rPr>
                <w:szCs w:val="21"/>
              </w:rPr>
            </w:pPr>
            <w:r>
              <w:rPr>
                <w:szCs w:val="21"/>
              </w:rPr>
              <w:t>产地</w:t>
            </w:r>
          </w:p>
        </w:tc>
        <w:tc>
          <w:tcPr>
            <w:tcW w:w="738" w:type="dxa"/>
            <w:noWrap w:val="0"/>
            <w:vAlign w:val="center"/>
          </w:tcPr>
          <w:p>
            <w:pPr>
              <w:spacing w:line="440" w:lineRule="exact"/>
              <w:jc w:val="center"/>
              <w:rPr>
                <w:szCs w:val="21"/>
              </w:rPr>
            </w:pPr>
            <w:r>
              <w:rPr>
                <w:szCs w:val="21"/>
              </w:rPr>
              <w:t>制造</w:t>
            </w:r>
          </w:p>
          <w:p>
            <w:pPr>
              <w:spacing w:line="440" w:lineRule="exact"/>
              <w:jc w:val="center"/>
              <w:rPr>
                <w:szCs w:val="21"/>
              </w:rPr>
            </w:pPr>
            <w:r>
              <w:rPr>
                <w:szCs w:val="21"/>
              </w:rPr>
              <w:t>年份</w:t>
            </w:r>
          </w:p>
        </w:tc>
        <w:tc>
          <w:tcPr>
            <w:tcW w:w="1212" w:type="dxa"/>
            <w:noWrap w:val="0"/>
            <w:vAlign w:val="center"/>
          </w:tcPr>
          <w:p>
            <w:pPr>
              <w:spacing w:line="440" w:lineRule="exact"/>
              <w:jc w:val="center"/>
              <w:rPr>
                <w:szCs w:val="21"/>
              </w:rPr>
            </w:pPr>
            <w:r>
              <w:rPr>
                <w:szCs w:val="21"/>
              </w:rPr>
              <w:t>额定功率（</w:t>
            </w:r>
            <w:r>
              <w:rPr>
                <w:rFonts w:hint="eastAsia"/>
                <w:szCs w:val="21"/>
              </w:rPr>
              <w:t>k</w:t>
            </w:r>
            <w:r>
              <w:rPr>
                <w:szCs w:val="21"/>
              </w:rPr>
              <w:t>W）</w:t>
            </w:r>
          </w:p>
        </w:tc>
        <w:tc>
          <w:tcPr>
            <w:tcW w:w="874" w:type="dxa"/>
            <w:noWrap w:val="0"/>
            <w:vAlign w:val="center"/>
          </w:tcPr>
          <w:p>
            <w:pPr>
              <w:spacing w:line="440" w:lineRule="exact"/>
              <w:jc w:val="center"/>
              <w:rPr>
                <w:szCs w:val="21"/>
              </w:rPr>
            </w:pPr>
            <w:r>
              <w:rPr>
                <w:szCs w:val="21"/>
              </w:rPr>
              <w:t>生产</w:t>
            </w:r>
          </w:p>
          <w:p>
            <w:pPr>
              <w:spacing w:line="440" w:lineRule="exact"/>
              <w:jc w:val="center"/>
              <w:rPr>
                <w:szCs w:val="21"/>
              </w:rPr>
            </w:pPr>
            <w:r>
              <w:rPr>
                <w:szCs w:val="21"/>
              </w:rPr>
              <w:t>能力</w:t>
            </w:r>
          </w:p>
        </w:tc>
        <w:tc>
          <w:tcPr>
            <w:tcW w:w="1055" w:type="dxa"/>
            <w:noWrap w:val="0"/>
            <w:vAlign w:val="center"/>
          </w:tcPr>
          <w:p>
            <w:pPr>
              <w:spacing w:line="440" w:lineRule="exact"/>
              <w:jc w:val="center"/>
              <w:rPr>
                <w:szCs w:val="21"/>
              </w:rPr>
            </w:pPr>
            <w:r>
              <w:rPr>
                <w:szCs w:val="21"/>
              </w:rPr>
              <w:t>用于施工部位</w:t>
            </w:r>
          </w:p>
        </w:tc>
        <w:tc>
          <w:tcPr>
            <w:tcW w:w="691" w:type="dxa"/>
            <w:noWrap w:val="0"/>
            <w:vAlign w:val="center"/>
          </w:tcPr>
          <w:p>
            <w:pPr>
              <w:spacing w:line="440" w:lineRule="exact"/>
              <w:jc w:val="center"/>
              <w:rPr>
                <w:szCs w:val="21"/>
              </w:rPr>
            </w:pPr>
            <w:r>
              <w:rPr>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szCs w:val="21"/>
              </w:rPr>
            </w:pPr>
          </w:p>
        </w:tc>
        <w:tc>
          <w:tcPr>
            <w:tcW w:w="1086" w:type="dxa"/>
            <w:noWrap w:val="0"/>
            <w:vAlign w:val="center"/>
          </w:tcPr>
          <w:p>
            <w:pPr>
              <w:spacing w:line="440" w:lineRule="exact"/>
              <w:jc w:val="center"/>
              <w:rPr>
                <w:szCs w:val="21"/>
              </w:rPr>
            </w:pPr>
          </w:p>
        </w:tc>
        <w:tc>
          <w:tcPr>
            <w:tcW w:w="761" w:type="dxa"/>
            <w:noWrap w:val="0"/>
            <w:vAlign w:val="center"/>
          </w:tcPr>
          <w:p>
            <w:pPr>
              <w:spacing w:line="440" w:lineRule="exact"/>
              <w:jc w:val="center"/>
              <w:rPr>
                <w:szCs w:val="21"/>
              </w:rPr>
            </w:pPr>
          </w:p>
        </w:tc>
        <w:tc>
          <w:tcPr>
            <w:tcW w:w="990" w:type="dxa"/>
            <w:noWrap w:val="0"/>
            <w:vAlign w:val="center"/>
          </w:tcPr>
          <w:p>
            <w:pPr>
              <w:spacing w:line="440" w:lineRule="exact"/>
              <w:jc w:val="center"/>
              <w:rPr>
                <w:szCs w:val="21"/>
              </w:rPr>
            </w:pPr>
          </w:p>
        </w:tc>
        <w:tc>
          <w:tcPr>
            <w:tcW w:w="672" w:type="dxa"/>
            <w:noWrap w:val="0"/>
            <w:vAlign w:val="center"/>
          </w:tcPr>
          <w:p>
            <w:pPr>
              <w:spacing w:line="440" w:lineRule="exact"/>
              <w:jc w:val="center"/>
              <w:rPr>
                <w:szCs w:val="21"/>
              </w:rPr>
            </w:pPr>
          </w:p>
        </w:tc>
        <w:tc>
          <w:tcPr>
            <w:tcW w:w="738" w:type="dxa"/>
            <w:noWrap w:val="0"/>
            <w:vAlign w:val="center"/>
          </w:tcPr>
          <w:p>
            <w:pPr>
              <w:spacing w:line="440" w:lineRule="exact"/>
              <w:jc w:val="center"/>
              <w:rPr>
                <w:szCs w:val="21"/>
              </w:rPr>
            </w:pPr>
          </w:p>
        </w:tc>
        <w:tc>
          <w:tcPr>
            <w:tcW w:w="1212" w:type="dxa"/>
            <w:noWrap w:val="0"/>
            <w:vAlign w:val="center"/>
          </w:tcPr>
          <w:p>
            <w:pPr>
              <w:spacing w:line="440" w:lineRule="exact"/>
              <w:jc w:val="center"/>
              <w:rPr>
                <w:szCs w:val="21"/>
              </w:rPr>
            </w:pPr>
          </w:p>
        </w:tc>
        <w:tc>
          <w:tcPr>
            <w:tcW w:w="874" w:type="dxa"/>
            <w:noWrap w:val="0"/>
            <w:vAlign w:val="center"/>
          </w:tcPr>
          <w:p>
            <w:pPr>
              <w:spacing w:line="440" w:lineRule="exact"/>
              <w:jc w:val="center"/>
              <w:rPr>
                <w:szCs w:val="21"/>
              </w:rPr>
            </w:pPr>
          </w:p>
        </w:tc>
        <w:tc>
          <w:tcPr>
            <w:tcW w:w="1055" w:type="dxa"/>
            <w:noWrap w:val="0"/>
            <w:vAlign w:val="center"/>
          </w:tcPr>
          <w:p>
            <w:pPr>
              <w:spacing w:line="440" w:lineRule="exact"/>
              <w:jc w:val="center"/>
              <w:rPr>
                <w:szCs w:val="21"/>
              </w:rPr>
            </w:pPr>
          </w:p>
        </w:tc>
        <w:tc>
          <w:tcPr>
            <w:tcW w:w="691"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szCs w:val="21"/>
              </w:rPr>
            </w:pPr>
          </w:p>
        </w:tc>
        <w:tc>
          <w:tcPr>
            <w:tcW w:w="1086" w:type="dxa"/>
            <w:noWrap w:val="0"/>
            <w:vAlign w:val="center"/>
          </w:tcPr>
          <w:p>
            <w:pPr>
              <w:spacing w:line="440" w:lineRule="exact"/>
              <w:jc w:val="center"/>
              <w:rPr>
                <w:szCs w:val="21"/>
              </w:rPr>
            </w:pPr>
          </w:p>
        </w:tc>
        <w:tc>
          <w:tcPr>
            <w:tcW w:w="761" w:type="dxa"/>
            <w:noWrap w:val="0"/>
            <w:vAlign w:val="center"/>
          </w:tcPr>
          <w:p>
            <w:pPr>
              <w:spacing w:line="440" w:lineRule="exact"/>
              <w:jc w:val="center"/>
              <w:rPr>
                <w:szCs w:val="21"/>
              </w:rPr>
            </w:pPr>
          </w:p>
        </w:tc>
        <w:tc>
          <w:tcPr>
            <w:tcW w:w="990" w:type="dxa"/>
            <w:noWrap w:val="0"/>
            <w:vAlign w:val="center"/>
          </w:tcPr>
          <w:p>
            <w:pPr>
              <w:spacing w:line="440" w:lineRule="exact"/>
              <w:jc w:val="center"/>
              <w:rPr>
                <w:szCs w:val="21"/>
              </w:rPr>
            </w:pPr>
          </w:p>
        </w:tc>
        <w:tc>
          <w:tcPr>
            <w:tcW w:w="672" w:type="dxa"/>
            <w:noWrap w:val="0"/>
            <w:vAlign w:val="center"/>
          </w:tcPr>
          <w:p>
            <w:pPr>
              <w:spacing w:line="440" w:lineRule="exact"/>
              <w:jc w:val="center"/>
              <w:rPr>
                <w:szCs w:val="21"/>
              </w:rPr>
            </w:pPr>
          </w:p>
        </w:tc>
        <w:tc>
          <w:tcPr>
            <w:tcW w:w="738" w:type="dxa"/>
            <w:noWrap w:val="0"/>
            <w:vAlign w:val="center"/>
          </w:tcPr>
          <w:p>
            <w:pPr>
              <w:spacing w:line="440" w:lineRule="exact"/>
              <w:jc w:val="center"/>
              <w:rPr>
                <w:szCs w:val="21"/>
              </w:rPr>
            </w:pPr>
          </w:p>
        </w:tc>
        <w:tc>
          <w:tcPr>
            <w:tcW w:w="1212" w:type="dxa"/>
            <w:noWrap w:val="0"/>
            <w:vAlign w:val="center"/>
          </w:tcPr>
          <w:p>
            <w:pPr>
              <w:spacing w:line="440" w:lineRule="exact"/>
              <w:jc w:val="center"/>
              <w:rPr>
                <w:szCs w:val="21"/>
              </w:rPr>
            </w:pPr>
          </w:p>
        </w:tc>
        <w:tc>
          <w:tcPr>
            <w:tcW w:w="874" w:type="dxa"/>
            <w:noWrap w:val="0"/>
            <w:vAlign w:val="center"/>
          </w:tcPr>
          <w:p>
            <w:pPr>
              <w:spacing w:line="440" w:lineRule="exact"/>
              <w:jc w:val="center"/>
              <w:rPr>
                <w:szCs w:val="21"/>
              </w:rPr>
            </w:pPr>
          </w:p>
        </w:tc>
        <w:tc>
          <w:tcPr>
            <w:tcW w:w="1055" w:type="dxa"/>
            <w:noWrap w:val="0"/>
            <w:vAlign w:val="center"/>
          </w:tcPr>
          <w:p>
            <w:pPr>
              <w:spacing w:line="440" w:lineRule="exact"/>
              <w:jc w:val="center"/>
              <w:rPr>
                <w:szCs w:val="21"/>
              </w:rPr>
            </w:pPr>
          </w:p>
        </w:tc>
        <w:tc>
          <w:tcPr>
            <w:tcW w:w="691"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bl>
    <w:p>
      <w:pPr>
        <w:spacing w:line="440" w:lineRule="exact"/>
        <w:rPr>
          <w:rFonts w:eastAsia="黑体"/>
          <w:sz w:val="20"/>
          <w:szCs w:val="20"/>
        </w:rPr>
      </w:pPr>
    </w:p>
    <w:p>
      <w:pPr>
        <w:spacing w:line="440" w:lineRule="exact"/>
        <w:rPr>
          <w:rFonts w:hint="eastAsia" w:eastAsia="黑体"/>
          <w:sz w:val="20"/>
          <w:szCs w:val="20"/>
        </w:rPr>
      </w:pPr>
      <w:r>
        <w:rPr>
          <w:rFonts w:eastAsia="黑体"/>
          <w:sz w:val="20"/>
          <w:szCs w:val="20"/>
        </w:rPr>
        <w:br w:type="page"/>
      </w:r>
    </w:p>
    <w:p>
      <w:pPr>
        <w:pStyle w:val="4"/>
      </w:pPr>
      <w:bookmarkStart w:id="55" w:name="_Toc247085884"/>
      <w:bookmarkStart w:id="56" w:name="_Toc144974867"/>
      <w:bookmarkStart w:id="57" w:name="_Toc179632819"/>
      <w:bookmarkStart w:id="58" w:name="_Toc152045799"/>
      <w:bookmarkStart w:id="59" w:name="_Toc246996366"/>
      <w:bookmarkStart w:id="60" w:name="_Toc246997109"/>
      <w:bookmarkStart w:id="61" w:name="_Toc296602611"/>
      <w:bookmarkStart w:id="62" w:name="_Toc152042588"/>
      <w:r>
        <w:t>附表</w:t>
      </w:r>
      <w:r>
        <w:rPr>
          <w:rFonts w:hint="eastAsia"/>
        </w:rPr>
        <w:t>二</w:t>
      </w:r>
      <w:r>
        <w:t>：劳动力计划表</w:t>
      </w:r>
      <w:bookmarkEnd w:id="55"/>
      <w:bookmarkEnd w:id="56"/>
      <w:bookmarkEnd w:id="57"/>
      <w:bookmarkEnd w:id="58"/>
      <w:bookmarkEnd w:id="59"/>
      <w:bookmarkEnd w:id="60"/>
      <w:bookmarkEnd w:id="61"/>
      <w:bookmarkEnd w:id="62"/>
    </w:p>
    <w:p>
      <w:pPr>
        <w:spacing w:line="440" w:lineRule="exact"/>
        <w:ind w:right="200"/>
        <w:jc w:val="right"/>
        <w:rPr>
          <w:rFonts w:eastAsia="黑体"/>
          <w:szCs w:val="21"/>
        </w:rPr>
      </w:pPr>
      <w:r>
        <w:rPr>
          <w:rFonts w:eastAsia="黑体"/>
          <w:szCs w:val="21"/>
        </w:rPr>
        <w:t>单位：人</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
        <w:gridCol w:w="1304"/>
        <w:gridCol w:w="1065"/>
        <w:gridCol w:w="1065"/>
        <w:gridCol w:w="1065"/>
        <w:gridCol w:w="1065"/>
        <w:gridCol w:w="1065"/>
        <w:gridCol w:w="1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szCs w:val="21"/>
              </w:rPr>
            </w:pPr>
            <w:r>
              <w:rPr>
                <w:szCs w:val="21"/>
              </w:rPr>
              <w:t>工种</w:t>
            </w:r>
          </w:p>
        </w:tc>
        <w:tc>
          <w:tcPr>
            <w:tcW w:w="7693" w:type="dxa"/>
            <w:gridSpan w:val="7"/>
            <w:noWrap w:val="0"/>
            <w:vAlign w:val="center"/>
          </w:tcPr>
          <w:p>
            <w:pPr>
              <w:spacing w:line="440" w:lineRule="exact"/>
              <w:jc w:val="center"/>
              <w:rPr>
                <w:szCs w:val="21"/>
              </w:rPr>
            </w:pPr>
            <w:r>
              <w:rPr>
                <w:szCs w:val="21"/>
              </w:rPr>
              <w:t>按工程施工阶段投入劳动力情况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szCs w:val="21"/>
              </w:rPr>
            </w:pPr>
          </w:p>
        </w:tc>
        <w:tc>
          <w:tcPr>
            <w:tcW w:w="1304" w:type="dxa"/>
            <w:noWrap w:val="0"/>
            <w:vAlign w:val="center"/>
          </w:tcPr>
          <w:p>
            <w:pPr>
              <w:spacing w:line="440" w:lineRule="exact"/>
              <w:jc w:val="center"/>
              <w:rPr>
                <w:szCs w:val="21"/>
              </w:rPr>
            </w:pPr>
          </w:p>
        </w:tc>
        <w:tc>
          <w:tcPr>
            <w:tcW w:w="1065" w:type="dxa"/>
            <w:noWrap w:val="0"/>
            <w:vAlign w:val="center"/>
          </w:tcPr>
          <w:p>
            <w:pPr>
              <w:spacing w:line="440" w:lineRule="exact"/>
              <w:jc w:val="center"/>
              <w:rPr>
                <w:szCs w:val="21"/>
              </w:rPr>
            </w:pPr>
          </w:p>
        </w:tc>
        <w:tc>
          <w:tcPr>
            <w:tcW w:w="1065" w:type="dxa"/>
            <w:noWrap w:val="0"/>
            <w:vAlign w:val="center"/>
          </w:tcPr>
          <w:p>
            <w:pPr>
              <w:spacing w:line="440" w:lineRule="exact"/>
              <w:jc w:val="center"/>
              <w:rPr>
                <w:szCs w:val="21"/>
              </w:rPr>
            </w:pPr>
          </w:p>
        </w:tc>
        <w:tc>
          <w:tcPr>
            <w:tcW w:w="1065" w:type="dxa"/>
            <w:noWrap w:val="0"/>
            <w:vAlign w:val="center"/>
          </w:tcPr>
          <w:p>
            <w:pPr>
              <w:spacing w:line="440" w:lineRule="exact"/>
              <w:jc w:val="center"/>
              <w:rPr>
                <w:szCs w:val="21"/>
              </w:rPr>
            </w:pPr>
          </w:p>
        </w:tc>
        <w:tc>
          <w:tcPr>
            <w:tcW w:w="1065" w:type="dxa"/>
            <w:noWrap w:val="0"/>
            <w:vAlign w:val="center"/>
          </w:tcPr>
          <w:p>
            <w:pPr>
              <w:spacing w:line="440" w:lineRule="exact"/>
              <w:jc w:val="center"/>
              <w:rPr>
                <w:szCs w:val="21"/>
              </w:rPr>
            </w:pPr>
          </w:p>
        </w:tc>
        <w:tc>
          <w:tcPr>
            <w:tcW w:w="1065" w:type="dxa"/>
            <w:noWrap w:val="0"/>
            <w:vAlign w:val="center"/>
          </w:tcPr>
          <w:p>
            <w:pPr>
              <w:spacing w:line="440" w:lineRule="exact"/>
              <w:jc w:val="center"/>
              <w:rPr>
                <w:szCs w:val="21"/>
              </w:rPr>
            </w:pPr>
          </w:p>
        </w:tc>
        <w:tc>
          <w:tcPr>
            <w:tcW w:w="1064"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szCs w:val="21"/>
              </w:rPr>
            </w:pPr>
          </w:p>
        </w:tc>
        <w:tc>
          <w:tcPr>
            <w:tcW w:w="1304" w:type="dxa"/>
            <w:noWrap w:val="0"/>
            <w:vAlign w:val="center"/>
          </w:tcPr>
          <w:p>
            <w:pPr>
              <w:spacing w:line="440" w:lineRule="exact"/>
              <w:jc w:val="center"/>
              <w:rPr>
                <w:szCs w:val="21"/>
              </w:rPr>
            </w:pPr>
          </w:p>
        </w:tc>
        <w:tc>
          <w:tcPr>
            <w:tcW w:w="1065" w:type="dxa"/>
            <w:noWrap w:val="0"/>
            <w:vAlign w:val="center"/>
          </w:tcPr>
          <w:p>
            <w:pPr>
              <w:spacing w:line="440" w:lineRule="exact"/>
              <w:jc w:val="center"/>
              <w:rPr>
                <w:szCs w:val="21"/>
              </w:rPr>
            </w:pPr>
          </w:p>
        </w:tc>
        <w:tc>
          <w:tcPr>
            <w:tcW w:w="1065" w:type="dxa"/>
            <w:noWrap w:val="0"/>
            <w:vAlign w:val="center"/>
          </w:tcPr>
          <w:p>
            <w:pPr>
              <w:spacing w:line="440" w:lineRule="exact"/>
              <w:jc w:val="center"/>
              <w:rPr>
                <w:szCs w:val="21"/>
              </w:rPr>
            </w:pPr>
          </w:p>
        </w:tc>
        <w:tc>
          <w:tcPr>
            <w:tcW w:w="1065" w:type="dxa"/>
            <w:noWrap w:val="0"/>
            <w:vAlign w:val="center"/>
          </w:tcPr>
          <w:p>
            <w:pPr>
              <w:spacing w:line="440" w:lineRule="exact"/>
              <w:jc w:val="center"/>
              <w:rPr>
                <w:szCs w:val="21"/>
              </w:rPr>
            </w:pPr>
          </w:p>
        </w:tc>
        <w:tc>
          <w:tcPr>
            <w:tcW w:w="1065" w:type="dxa"/>
            <w:noWrap w:val="0"/>
            <w:vAlign w:val="center"/>
          </w:tcPr>
          <w:p>
            <w:pPr>
              <w:spacing w:line="440" w:lineRule="exact"/>
              <w:jc w:val="center"/>
              <w:rPr>
                <w:szCs w:val="21"/>
              </w:rPr>
            </w:pPr>
          </w:p>
        </w:tc>
        <w:tc>
          <w:tcPr>
            <w:tcW w:w="1065" w:type="dxa"/>
            <w:noWrap w:val="0"/>
            <w:vAlign w:val="center"/>
          </w:tcPr>
          <w:p>
            <w:pPr>
              <w:spacing w:line="440" w:lineRule="exact"/>
              <w:jc w:val="center"/>
              <w:rPr>
                <w:szCs w:val="21"/>
              </w:rPr>
            </w:pPr>
          </w:p>
        </w:tc>
        <w:tc>
          <w:tcPr>
            <w:tcW w:w="1064"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rPr>
                <w:rFonts w:hint="eastAsia"/>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bl>
    <w:p>
      <w:pPr>
        <w:pStyle w:val="5"/>
      </w:pPr>
      <w:bookmarkStart w:id="63" w:name="_Toc152042589"/>
      <w:bookmarkStart w:id="64" w:name="_Toc152045800"/>
      <w:bookmarkStart w:id="65" w:name="_Toc246996367"/>
      <w:bookmarkStart w:id="66" w:name="_Toc246997110"/>
      <w:bookmarkStart w:id="67" w:name="_Toc179632820"/>
      <w:bookmarkStart w:id="68" w:name="_Toc144974868"/>
    </w:p>
    <w:p>
      <w:pPr>
        <w:pStyle w:val="5"/>
        <w:rPr>
          <w:rFonts w:hint="eastAsia"/>
        </w:rPr>
      </w:pPr>
      <w:r>
        <w:br w:type="page"/>
      </w:r>
    </w:p>
    <w:p>
      <w:pPr>
        <w:pStyle w:val="4"/>
      </w:pPr>
      <w:bookmarkStart w:id="69" w:name="_Toc296602612"/>
      <w:bookmarkStart w:id="70" w:name="_Toc247085885"/>
      <w:r>
        <w:t>附表</w:t>
      </w:r>
      <w:r>
        <w:rPr>
          <w:rFonts w:hint="eastAsia"/>
        </w:rPr>
        <w:t>三</w:t>
      </w:r>
      <w:r>
        <w:t>：进度</w:t>
      </w:r>
      <w:r>
        <w:rPr>
          <w:rFonts w:hint="eastAsia"/>
        </w:rPr>
        <w:t>计划</w:t>
      </w:r>
      <w:bookmarkEnd w:id="63"/>
      <w:bookmarkEnd w:id="64"/>
      <w:bookmarkEnd w:id="65"/>
      <w:bookmarkEnd w:id="66"/>
      <w:bookmarkEnd w:id="67"/>
      <w:bookmarkEnd w:id="68"/>
      <w:bookmarkEnd w:id="69"/>
      <w:bookmarkEnd w:id="70"/>
    </w:p>
    <w:p>
      <w:pPr>
        <w:spacing w:line="440" w:lineRule="exact"/>
        <w:rPr>
          <w:rFonts w:eastAsia="黑体"/>
          <w:sz w:val="20"/>
          <w:szCs w:val="20"/>
        </w:rPr>
      </w:pP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1. 投标人应递交施工进度网络图或施工进度表，说明按招标文件要求的计划工期进行施工的各个关键日期。</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施工进度表可采用网络图或横道图表示。</w:t>
      </w:r>
    </w:p>
    <w:p>
      <w:pPr>
        <w:tabs>
          <w:tab w:val="left" w:pos="720"/>
        </w:tabs>
        <w:spacing w:line="440" w:lineRule="exact"/>
        <w:rPr>
          <w:rFonts w:hint="eastAsia" w:ascii="Times New Roman" w:hAnsi="Times New Roman" w:cs="Times New Roman"/>
          <w:szCs w:val="21"/>
          <w:highlight w:val="none"/>
          <w:lang w:val="en-US" w:eastAsia="zh-CN"/>
        </w:rPr>
      </w:pPr>
    </w:p>
    <w:p>
      <w:pPr>
        <w:tabs>
          <w:tab w:val="left" w:pos="720"/>
        </w:tabs>
        <w:spacing w:line="440" w:lineRule="exact"/>
        <w:ind w:firstLine="420" w:firstLineChars="200"/>
        <w:rPr>
          <w:rFonts w:hint="eastAsia"/>
          <w:highlight w:val="none"/>
          <w:lang w:val="en-US" w:eastAsia="zh-CN"/>
        </w:rPr>
      </w:pPr>
      <w:r>
        <w:rPr>
          <w:rFonts w:hint="eastAsia"/>
          <w:highlight w:val="none"/>
          <w:lang w:val="en-US" w:eastAsia="zh-CN"/>
        </w:rPr>
        <w:br w:type="page"/>
      </w:r>
    </w:p>
    <w:p>
      <w:pPr>
        <w:pStyle w:val="2"/>
        <w:spacing w:line="440" w:lineRule="exact"/>
        <w:jc w:val="center"/>
        <w:rPr>
          <w:rFonts w:eastAsia="黑体"/>
          <w:sz w:val="23"/>
          <w:szCs w:val="23"/>
          <w:highlight w:val="none"/>
        </w:rPr>
      </w:pPr>
      <w:r>
        <w:rPr>
          <w:rFonts w:hint="eastAsia"/>
          <w:highlight w:val="none"/>
          <w:lang w:val="en-US" w:eastAsia="zh-CN"/>
        </w:rPr>
        <w:t>六</w:t>
      </w:r>
      <w:r>
        <w:rPr>
          <w:highlight w:val="none"/>
        </w:rPr>
        <w:t>、项目管理机构</w:t>
      </w:r>
    </w:p>
    <w:p>
      <w:pPr>
        <w:pStyle w:val="4"/>
        <w:jc w:val="both"/>
        <w:rPr>
          <w:highlight w:val="none"/>
        </w:rPr>
      </w:pPr>
      <w:bookmarkStart w:id="71" w:name="_Toc246997113"/>
      <w:bookmarkStart w:id="72" w:name="_Toc246996370"/>
      <w:bookmarkStart w:id="73" w:name="_Toc296602615"/>
      <w:bookmarkStart w:id="74" w:name="_Toc247085888"/>
      <w:r>
        <w:rPr>
          <w:highlight w:val="none"/>
        </w:rPr>
        <w:t>（一）项目管理机构组成表</w:t>
      </w:r>
      <w:bookmarkEnd w:id="71"/>
      <w:bookmarkEnd w:id="72"/>
      <w:bookmarkEnd w:id="73"/>
      <w:bookmarkEnd w:id="74"/>
    </w:p>
    <w:p>
      <w:pPr>
        <w:spacing w:line="440" w:lineRule="exact"/>
        <w:jc w:val="center"/>
        <w:rPr>
          <w:rFonts w:eastAsia="黑体"/>
          <w:sz w:val="23"/>
          <w:szCs w:val="23"/>
          <w:highlight w:val="none"/>
        </w:rPr>
      </w:pP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pPr>
              <w:spacing w:line="440" w:lineRule="exact"/>
              <w:jc w:val="center"/>
              <w:rPr>
                <w:szCs w:val="21"/>
                <w:highlight w:val="none"/>
              </w:rPr>
            </w:pPr>
            <w:r>
              <w:rPr>
                <w:szCs w:val="21"/>
                <w:highlight w:val="none"/>
              </w:rPr>
              <w:t>职务</w:t>
            </w:r>
          </w:p>
        </w:tc>
        <w:tc>
          <w:tcPr>
            <w:tcW w:w="721" w:type="dxa"/>
            <w:vMerge w:val="restart"/>
            <w:noWrap w:val="0"/>
            <w:vAlign w:val="center"/>
          </w:tcPr>
          <w:p>
            <w:pPr>
              <w:spacing w:line="440" w:lineRule="exact"/>
              <w:jc w:val="center"/>
              <w:rPr>
                <w:szCs w:val="21"/>
                <w:highlight w:val="none"/>
              </w:rPr>
            </w:pPr>
            <w:r>
              <w:rPr>
                <w:szCs w:val="21"/>
                <w:highlight w:val="none"/>
              </w:rPr>
              <w:t>姓名</w:t>
            </w:r>
          </w:p>
        </w:tc>
        <w:tc>
          <w:tcPr>
            <w:tcW w:w="719" w:type="dxa"/>
            <w:vMerge w:val="restart"/>
            <w:noWrap w:val="0"/>
            <w:vAlign w:val="center"/>
          </w:tcPr>
          <w:p>
            <w:pPr>
              <w:spacing w:line="440" w:lineRule="exact"/>
              <w:jc w:val="center"/>
              <w:rPr>
                <w:szCs w:val="21"/>
                <w:highlight w:val="none"/>
              </w:rPr>
            </w:pPr>
            <w:r>
              <w:rPr>
                <w:szCs w:val="21"/>
                <w:highlight w:val="none"/>
              </w:rPr>
              <w:t>职称</w:t>
            </w:r>
          </w:p>
        </w:tc>
        <w:tc>
          <w:tcPr>
            <w:tcW w:w="5763" w:type="dxa"/>
            <w:gridSpan w:val="5"/>
            <w:noWrap w:val="0"/>
            <w:vAlign w:val="center"/>
          </w:tcPr>
          <w:p>
            <w:pPr>
              <w:spacing w:line="440" w:lineRule="exact"/>
              <w:jc w:val="center"/>
              <w:rPr>
                <w:szCs w:val="21"/>
                <w:highlight w:val="none"/>
              </w:rPr>
            </w:pPr>
            <w:r>
              <w:rPr>
                <w:szCs w:val="21"/>
                <w:highlight w:val="none"/>
              </w:rPr>
              <w:t>执业或职业资格证明</w:t>
            </w:r>
          </w:p>
        </w:tc>
        <w:tc>
          <w:tcPr>
            <w:tcW w:w="672" w:type="dxa"/>
            <w:noWrap w:val="0"/>
            <w:vAlign w:val="center"/>
          </w:tcPr>
          <w:p>
            <w:pPr>
              <w:spacing w:line="440" w:lineRule="exact"/>
              <w:jc w:val="center"/>
              <w:rPr>
                <w:szCs w:val="21"/>
                <w:highlight w:val="none"/>
              </w:rPr>
            </w:pPr>
            <w:r>
              <w:rPr>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pPr>
              <w:spacing w:line="440" w:lineRule="exact"/>
              <w:jc w:val="center"/>
              <w:rPr>
                <w:szCs w:val="21"/>
                <w:highlight w:val="none"/>
              </w:rPr>
            </w:pPr>
          </w:p>
        </w:tc>
        <w:tc>
          <w:tcPr>
            <w:tcW w:w="721" w:type="dxa"/>
            <w:vMerge w:val="continue"/>
            <w:noWrap w:val="0"/>
            <w:vAlign w:val="center"/>
          </w:tcPr>
          <w:p>
            <w:pPr>
              <w:spacing w:line="440" w:lineRule="exact"/>
              <w:jc w:val="center"/>
              <w:rPr>
                <w:szCs w:val="21"/>
                <w:highlight w:val="none"/>
              </w:rPr>
            </w:pPr>
          </w:p>
        </w:tc>
        <w:tc>
          <w:tcPr>
            <w:tcW w:w="719" w:type="dxa"/>
            <w:vMerge w:val="continue"/>
            <w:noWrap w:val="0"/>
            <w:vAlign w:val="center"/>
          </w:tcPr>
          <w:p>
            <w:pPr>
              <w:spacing w:line="440" w:lineRule="exact"/>
              <w:jc w:val="center"/>
              <w:rPr>
                <w:szCs w:val="21"/>
                <w:highlight w:val="none"/>
              </w:rPr>
            </w:pPr>
          </w:p>
        </w:tc>
        <w:tc>
          <w:tcPr>
            <w:tcW w:w="1081" w:type="dxa"/>
            <w:noWrap w:val="0"/>
            <w:vAlign w:val="center"/>
          </w:tcPr>
          <w:p>
            <w:pPr>
              <w:spacing w:line="440" w:lineRule="exact"/>
              <w:jc w:val="center"/>
              <w:rPr>
                <w:szCs w:val="21"/>
                <w:highlight w:val="none"/>
              </w:rPr>
            </w:pPr>
            <w:r>
              <w:rPr>
                <w:szCs w:val="21"/>
                <w:highlight w:val="none"/>
              </w:rPr>
              <w:t>证书名称</w:t>
            </w:r>
          </w:p>
        </w:tc>
        <w:tc>
          <w:tcPr>
            <w:tcW w:w="719" w:type="dxa"/>
            <w:noWrap w:val="0"/>
            <w:vAlign w:val="center"/>
          </w:tcPr>
          <w:p>
            <w:pPr>
              <w:spacing w:line="440" w:lineRule="exact"/>
              <w:jc w:val="center"/>
              <w:rPr>
                <w:szCs w:val="21"/>
                <w:highlight w:val="none"/>
              </w:rPr>
            </w:pPr>
            <w:r>
              <w:rPr>
                <w:szCs w:val="21"/>
                <w:highlight w:val="none"/>
              </w:rPr>
              <w:t>级别</w:t>
            </w:r>
          </w:p>
        </w:tc>
        <w:tc>
          <w:tcPr>
            <w:tcW w:w="721" w:type="dxa"/>
            <w:noWrap w:val="0"/>
            <w:vAlign w:val="center"/>
          </w:tcPr>
          <w:p>
            <w:pPr>
              <w:spacing w:line="440" w:lineRule="exact"/>
              <w:jc w:val="center"/>
              <w:rPr>
                <w:szCs w:val="21"/>
                <w:highlight w:val="none"/>
              </w:rPr>
            </w:pPr>
            <w:r>
              <w:rPr>
                <w:szCs w:val="21"/>
                <w:highlight w:val="none"/>
              </w:rPr>
              <w:t>证号</w:t>
            </w:r>
          </w:p>
        </w:tc>
        <w:tc>
          <w:tcPr>
            <w:tcW w:w="719" w:type="dxa"/>
            <w:noWrap w:val="0"/>
            <w:vAlign w:val="center"/>
          </w:tcPr>
          <w:p>
            <w:pPr>
              <w:spacing w:line="440" w:lineRule="exact"/>
              <w:jc w:val="center"/>
              <w:rPr>
                <w:szCs w:val="21"/>
                <w:highlight w:val="none"/>
              </w:rPr>
            </w:pPr>
            <w:r>
              <w:rPr>
                <w:szCs w:val="21"/>
                <w:highlight w:val="none"/>
              </w:rPr>
              <w:t>专业</w:t>
            </w:r>
          </w:p>
        </w:tc>
        <w:tc>
          <w:tcPr>
            <w:tcW w:w="2523" w:type="dxa"/>
            <w:noWrap w:val="0"/>
            <w:vAlign w:val="center"/>
          </w:tcPr>
          <w:p>
            <w:pPr>
              <w:spacing w:line="440" w:lineRule="exact"/>
              <w:jc w:val="center"/>
              <w:rPr>
                <w:szCs w:val="21"/>
                <w:highlight w:val="none"/>
              </w:rPr>
            </w:pPr>
            <w:r>
              <w:rPr>
                <w:szCs w:val="21"/>
                <w:highlight w:val="none"/>
              </w:rPr>
              <w:t>养老保险</w:t>
            </w:r>
          </w:p>
        </w:tc>
        <w:tc>
          <w:tcPr>
            <w:tcW w:w="672" w:type="dxa"/>
            <w:noWrap w:val="0"/>
            <w:vAlign w:val="center"/>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pPr>
              <w:spacing w:line="440" w:lineRule="exact"/>
              <w:jc w:val="center"/>
              <w:rPr>
                <w:szCs w:val="21"/>
                <w:highlight w:val="none"/>
              </w:rPr>
            </w:pPr>
          </w:p>
        </w:tc>
        <w:tc>
          <w:tcPr>
            <w:tcW w:w="721" w:type="dxa"/>
            <w:noWrap w:val="0"/>
            <w:vAlign w:val="center"/>
          </w:tcPr>
          <w:p>
            <w:pPr>
              <w:spacing w:line="440" w:lineRule="exact"/>
              <w:jc w:val="center"/>
              <w:rPr>
                <w:szCs w:val="21"/>
                <w:highlight w:val="none"/>
              </w:rPr>
            </w:pPr>
          </w:p>
        </w:tc>
        <w:tc>
          <w:tcPr>
            <w:tcW w:w="719" w:type="dxa"/>
            <w:noWrap w:val="0"/>
            <w:vAlign w:val="center"/>
          </w:tcPr>
          <w:p>
            <w:pPr>
              <w:spacing w:line="440" w:lineRule="exact"/>
              <w:jc w:val="center"/>
              <w:rPr>
                <w:szCs w:val="21"/>
                <w:highlight w:val="none"/>
              </w:rPr>
            </w:pPr>
          </w:p>
        </w:tc>
        <w:tc>
          <w:tcPr>
            <w:tcW w:w="1081" w:type="dxa"/>
            <w:noWrap w:val="0"/>
            <w:vAlign w:val="center"/>
          </w:tcPr>
          <w:p>
            <w:pPr>
              <w:spacing w:line="440" w:lineRule="exact"/>
              <w:jc w:val="center"/>
              <w:rPr>
                <w:szCs w:val="21"/>
                <w:highlight w:val="none"/>
              </w:rPr>
            </w:pPr>
          </w:p>
        </w:tc>
        <w:tc>
          <w:tcPr>
            <w:tcW w:w="719" w:type="dxa"/>
            <w:noWrap w:val="0"/>
            <w:vAlign w:val="center"/>
          </w:tcPr>
          <w:p>
            <w:pPr>
              <w:spacing w:line="440" w:lineRule="exact"/>
              <w:jc w:val="center"/>
              <w:rPr>
                <w:szCs w:val="21"/>
                <w:highlight w:val="none"/>
              </w:rPr>
            </w:pPr>
          </w:p>
        </w:tc>
        <w:tc>
          <w:tcPr>
            <w:tcW w:w="721" w:type="dxa"/>
            <w:noWrap w:val="0"/>
            <w:vAlign w:val="center"/>
          </w:tcPr>
          <w:p>
            <w:pPr>
              <w:spacing w:line="440" w:lineRule="exact"/>
              <w:jc w:val="center"/>
              <w:rPr>
                <w:szCs w:val="21"/>
                <w:highlight w:val="none"/>
              </w:rPr>
            </w:pPr>
          </w:p>
        </w:tc>
        <w:tc>
          <w:tcPr>
            <w:tcW w:w="719" w:type="dxa"/>
            <w:noWrap w:val="0"/>
            <w:vAlign w:val="center"/>
          </w:tcPr>
          <w:p>
            <w:pPr>
              <w:spacing w:line="440" w:lineRule="exact"/>
              <w:jc w:val="center"/>
              <w:rPr>
                <w:szCs w:val="21"/>
                <w:highlight w:val="none"/>
              </w:rPr>
            </w:pPr>
          </w:p>
        </w:tc>
        <w:tc>
          <w:tcPr>
            <w:tcW w:w="2523" w:type="dxa"/>
            <w:noWrap w:val="0"/>
            <w:vAlign w:val="center"/>
          </w:tcPr>
          <w:p>
            <w:pPr>
              <w:spacing w:line="440" w:lineRule="exact"/>
              <w:jc w:val="center"/>
              <w:rPr>
                <w:szCs w:val="21"/>
                <w:highlight w:val="none"/>
              </w:rPr>
            </w:pPr>
          </w:p>
        </w:tc>
        <w:tc>
          <w:tcPr>
            <w:tcW w:w="672" w:type="dxa"/>
            <w:noWrap w:val="0"/>
            <w:vAlign w:val="center"/>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bl>
    <w:p>
      <w:pPr>
        <w:topLinePunct/>
        <w:spacing w:line="440" w:lineRule="exact"/>
        <w:jc w:val="center"/>
        <w:rPr>
          <w:sz w:val="20"/>
          <w:highlight w:val="none"/>
        </w:rPr>
      </w:pPr>
    </w:p>
    <w:p>
      <w:pPr>
        <w:topLinePunct/>
        <w:spacing w:line="440" w:lineRule="exact"/>
        <w:jc w:val="center"/>
        <w:rPr>
          <w:rFonts w:hint="eastAsia"/>
          <w:sz w:val="20"/>
          <w:highlight w:val="none"/>
        </w:rPr>
      </w:pPr>
      <w:r>
        <w:rPr>
          <w:sz w:val="20"/>
          <w:highlight w:val="none"/>
        </w:rPr>
        <w:br w:type="page"/>
      </w:r>
    </w:p>
    <w:p>
      <w:pPr>
        <w:pStyle w:val="4"/>
        <w:jc w:val="both"/>
        <w:rPr>
          <w:highlight w:val="none"/>
        </w:rPr>
      </w:pPr>
      <w:bookmarkStart w:id="75" w:name="_Toc246996371"/>
      <w:bookmarkStart w:id="76" w:name="_Toc247085889"/>
      <w:bookmarkStart w:id="77" w:name="_Toc246997114"/>
      <w:bookmarkStart w:id="78" w:name="_Toc296602616"/>
      <w:r>
        <w:rPr>
          <w:highlight w:val="none"/>
        </w:rPr>
        <w:t>（二）</w:t>
      </w:r>
      <w:r>
        <w:rPr>
          <w:rFonts w:hint="eastAsia"/>
          <w:highlight w:val="none"/>
          <w:lang w:val="en-US" w:eastAsia="zh-CN"/>
        </w:rPr>
        <w:t>项目负责人</w:t>
      </w:r>
      <w:r>
        <w:rPr>
          <w:highlight w:val="none"/>
        </w:rPr>
        <w:t>简历表</w:t>
      </w:r>
      <w:bookmarkEnd w:id="75"/>
      <w:bookmarkEnd w:id="76"/>
      <w:bookmarkEnd w:id="77"/>
      <w:bookmarkEnd w:id="78"/>
    </w:p>
    <w:p>
      <w:pPr>
        <w:spacing w:line="440" w:lineRule="exact"/>
        <w:jc w:val="center"/>
        <w:rPr>
          <w:rFonts w:eastAsia="黑体"/>
          <w:sz w:val="23"/>
          <w:szCs w:val="23"/>
          <w:highlight w:val="none"/>
        </w:rPr>
      </w:pP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highlight w:val="none"/>
              </w:rPr>
            </w:pPr>
            <w:r>
              <w:rPr>
                <w:rFonts w:ascii="宋体" w:hAnsi="宋体"/>
                <w:szCs w:val="21"/>
                <w:highlight w:val="none"/>
              </w:rPr>
              <w:t>姓  名</w:t>
            </w:r>
          </w:p>
        </w:tc>
        <w:tc>
          <w:tcPr>
            <w:tcW w:w="1079" w:type="dxa"/>
            <w:gridSpan w:val="2"/>
            <w:noWrap w:val="0"/>
            <w:vAlign w:val="center"/>
          </w:tcPr>
          <w:p>
            <w:pPr>
              <w:spacing w:line="440" w:lineRule="exact"/>
              <w:jc w:val="center"/>
              <w:rPr>
                <w:rFonts w:ascii="宋体" w:hAnsi="宋体"/>
                <w:szCs w:val="21"/>
                <w:highlight w:val="none"/>
              </w:rPr>
            </w:pPr>
          </w:p>
        </w:tc>
        <w:tc>
          <w:tcPr>
            <w:tcW w:w="927" w:type="dxa"/>
            <w:noWrap w:val="0"/>
            <w:vAlign w:val="center"/>
          </w:tcPr>
          <w:p>
            <w:pPr>
              <w:spacing w:line="440" w:lineRule="exact"/>
              <w:jc w:val="center"/>
              <w:rPr>
                <w:rFonts w:ascii="宋体" w:hAnsi="宋体"/>
                <w:szCs w:val="21"/>
                <w:highlight w:val="none"/>
              </w:rPr>
            </w:pPr>
            <w:r>
              <w:rPr>
                <w:rFonts w:ascii="宋体" w:hAnsi="宋体"/>
                <w:szCs w:val="21"/>
                <w:highlight w:val="none"/>
              </w:rPr>
              <w:t>年 龄</w:t>
            </w:r>
          </w:p>
        </w:tc>
        <w:tc>
          <w:tcPr>
            <w:tcW w:w="1065" w:type="dxa"/>
            <w:noWrap w:val="0"/>
            <w:vAlign w:val="center"/>
          </w:tcPr>
          <w:p>
            <w:pPr>
              <w:spacing w:line="440" w:lineRule="exact"/>
              <w:jc w:val="center"/>
              <w:rPr>
                <w:rFonts w:ascii="宋体" w:hAnsi="宋体"/>
                <w:szCs w:val="21"/>
                <w:highlight w:val="none"/>
              </w:rPr>
            </w:pPr>
          </w:p>
        </w:tc>
        <w:tc>
          <w:tcPr>
            <w:tcW w:w="2130" w:type="dxa"/>
            <w:gridSpan w:val="3"/>
            <w:noWrap w:val="0"/>
            <w:vAlign w:val="center"/>
          </w:tcPr>
          <w:p>
            <w:pPr>
              <w:spacing w:line="440" w:lineRule="exact"/>
              <w:jc w:val="center"/>
              <w:rPr>
                <w:rFonts w:ascii="宋体" w:hAnsi="宋体"/>
                <w:szCs w:val="21"/>
                <w:highlight w:val="none"/>
              </w:rPr>
            </w:pPr>
            <w:r>
              <w:rPr>
                <w:rFonts w:ascii="宋体" w:hAnsi="宋体"/>
                <w:szCs w:val="21"/>
                <w:highlight w:val="none"/>
              </w:rPr>
              <w:t>学历</w:t>
            </w:r>
          </w:p>
        </w:tc>
        <w:tc>
          <w:tcPr>
            <w:tcW w:w="2135" w:type="dxa"/>
            <w:noWrap w:val="0"/>
            <w:vAlign w:val="center"/>
          </w:tcPr>
          <w:p>
            <w:pPr>
              <w:spacing w:line="440" w:lineRule="exact"/>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highlight w:val="none"/>
              </w:rPr>
            </w:pPr>
            <w:r>
              <w:rPr>
                <w:rFonts w:ascii="宋体" w:hAnsi="宋体"/>
                <w:szCs w:val="21"/>
                <w:highlight w:val="none"/>
              </w:rPr>
              <w:t>职  称</w:t>
            </w:r>
          </w:p>
        </w:tc>
        <w:tc>
          <w:tcPr>
            <w:tcW w:w="1079" w:type="dxa"/>
            <w:gridSpan w:val="2"/>
            <w:noWrap w:val="0"/>
            <w:vAlign w:val="center"/>
          </w:tcPr>
          <w:p>
            <w:pPr>
              <w:spacing w:line="440" w:lineRule="exact"/>
              <w:jc w:val="center"/>
              <w:rPr>
                <w:rFonts w:ascii="宋体" w:hAnsi="宋体"/>
                <w:szCs w:val="21"/>
                <w:highlight w:val="none"/>
              </w:rPr>
            </w:pPr>
          </w:p>
        </w:tc>
        <w:tc>
          <w:tcPr>
            <w:tcW w:w="927" w:type="dxa"/>
            <w:noWrap w:val="0"/>
            <w:vAlign w:val="center"/>
          </w:tcPr>
          <w:p>
            <w:pPr>
              <w:spacing w:line="440" w:lineRule="exact"/>
              <w:jc w:val="center"/>
              <w:rPr>
                <w:rFonts w:ascii="宋体" w:hAnsi="宋体"/>
                <w:szCs w:val="21"/>
                <w:highlight w:val="none"/>
              </w:rPr>
            </w:pPr>
            <w:r>
              <w:rPr>
                <w:rFonts w:ascii="宋体" w:hAnsi="宋体"/>
                <w:szCs w:val="21"/>
                <w:highlight w:val="none"/>
              </w:rPr>
              <w:t>职 务</w:t>
            </w:r>
          </w:p>
        </w:tc>
        <w:tc>
          <w:tcPr>
            <w:tcW w:w="1065" w:type="dxa"/>
            <w:noWrap w:val="0"/>
            <w:vAlign w:val="center"/>
          </w:tcPr>
          <w:p>
            <w:pPr>
              <w:spacing w:line="440" w:lineRule="exact"/>
              <w:jc w:val="center"/>
              <w:rPr>
                <w:rFonts w:ascii="宋体" w:hAnsi="宋体"/>
                <w:szCs w:val="21"/>
                <w:highlight w:val="none"/>
              </w:rPr>
            </w:pPr>
          </w:p>
        </w:tc>
        <w:tc>
          <w:tcPr>
            <w:tcW w:w="2130" w:type="dxa"/>
            <w:gridSpan w:val="3"/>
            <w:noWrap w:val="0"/>
            <w:vAlign w:val="center"/>
          </w:tcPr>
          <w:p>
            <w:pPr>
              <w:spacing w:line="440" w:lineRule="exact"/>
              <w:jc w:val="center"/>
              <w:rPr>
                <w:rFonts w:ascii="宋体" w:hAnsi="宋体"/>
                <w:szCs w:val="21"/>
                <w:highlight w:val="none"/>
              </w:rPr>
            </w:pPr>
            <w:r>
              <w:rPr>
                <w:rFonts w:ascii="宋体" w:hAnsi="宋体"/>
                <w:szCs w:val="21"/>
                <w:highlight w:val="none"/>
              </w:rPr>
              <w:t>拟在本合同任职</w:t>
            </w:r>
          </w:p>
        </w:tc>
        <w:tc>
          <w:tcPr>
            <w:tcW w:w="2135" w:type="dxa"/>
            <w:noWrap w:val="0"/>
            <w:vAlign w:val="center"/>
          </w:tcPr>
          <w:p>
            <w:pPr>
              <w:spacing w:line="440" w:lineRule="exact"/>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rPr>
                <w:rFonts w:ascii="宋体" w:hAnsi="宋体"/>
                <w:szCs w:val="21"/>
                <w:highlight w:val="none"/>
              </w:rPr>
            </w:pPr>
            <w:r>
              <w:rPr>
                <w:rFonts w:ascii="宋体" w:hAnsi="宋体"/>
                <w:szCs w:val="21"/>
                <w:highlight w:val="none"/>
              </w:rPr>
              <w:t>毕业学校</w:t>
            </w:r>
          </w:p>
        </w:tc>
        <w:tc>
          <w:tcPr>
            <w:tcW w:w="7336" w:type="dxa"/>
            <w:gridSpan w:val="8"/>
            <w:noWrap w:val="0"/>
            <w:vAlign w:val="top"/>
          </w:tcPr>
          <w:p>
            <w:pPr>
              <w:spacing w:line="440" w:lineRule="exact"/>
              <w:rPr>
                <w:rFonts w:ascii="宋体" w:hAnsi="宋体"/>
                <w:szCs w:val="21"/>
                <w:highlight w:val="none"/>
              </w:rPr>
            </w:pPr>
            <w:r>
              <w:rPr>
                <w:rFonts w:ascii="宋体" w:hAnsi="宋体"/>
                <w:szCs w:val="21"/>
                <w:highlight w:val="none"/>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pPr>
              <w:spacing w:line="440" w:lineRule="exact"/>
              <w:rPr>
                <w:rFonts w:ascii="宋体" w:hAnsi="宋体"/>
                <w:szCs w:val="21"/>
                <w:highlight w:val="none"/>
              </w:rPr>
            </w:pPr>
            <w:r>
              <w:rPr>
                <w:rFonts w:ascii="宋体" w:hAnsi="宋体"/>
                <w:szCs w:val="21"/>
                <w:highlight w:val="none"/>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pPr>
              <w:spacing w:line="440" w:lineRule="exact"/>
              <w:rPr>
                <w:rFonts w:ascii="宋体" w:hAnsi="宋体"/>
                <w:szCs w:val="21"/>
                <w:highlight w:val="none"/>
              </w:rPr>
            </w:pPr>
            <w:r>
              <w:rPr>
                <w:rFonts w:ascii="宋体" w:hAnsi="宋体"/>
                <w:szCs w:val="21"/>
                <w:highlight w:val="none"/>
              </w:rPr>
              <w:t>时  间</w:t>
            </w:r>
          </w:p>
        </w:tc>
        <w:tc>
          <w:tcPr>
            <w:tcW w:w="3420" w:type="dxa"/>
            <w:gridSpan w:val="4"/>
            <w:noWrap w:val="0"/>
            <w:vAlign w:val="center"/>
          </w:tcPr>
          <w:p>
            <w:pPr>
              <w:spacing w:line="440" w:lineRule="exact"/>
              <w:rPr>
                <w:rFonts w:ascii="宋体" w:hAnsi="宋体"/>
                <w:szCs w:val="21"/>
                <w:highlight w:val="none"/>
              </w:rPr>
            </w:pPr>
            <w:r>
              <w:rPr>
                <w:rFonts w:ascii="宋体" w:hAnsi="宋体"/>
                <w:szCs w:val="21"/>
                <w:highlight w:val="none"/>
              </w:rPr>
              <w:t>参加过的类似项目</w:t>
            </w:r>
          </w:p>
        </w:tc>
        <w:tc>
          <w:tcPr>
            <w:tcW w:w="1261" w:type="dxa"/>
            <w:noWrap w:val="0"/>
            <w:vAlign w:val="center"/>
          </w:tcPr>
          <w:p>
            <w:pPr>
              <w:spacing w:line="440" w:lineRule="exact"/>
              <w:rPr>
                <w:rFonts w:ascii="宋体" w:hAnsi="宋体"/>
                <w:szCs w:val="21"/>
                <w:highlight w:val="none"/>
              </w:rPr>
            </w:pPr>
            <w:r>
              <w:rPr>
                <w:rFonts w:ascii="宋体" w:hAnsi="宋体"/>
                <w:szCs w:val="21"/>
                <w:highlight w:val="none"/>
              </w:rPr>
              <w:t>担任职务</w:t>
            </w:r>
          </w:p>
        </w:tc>
        <w:tc>
          <w:tcPr>
            <w:tcW w:w="2296" w:type="dxa"/>
            <w:gridSpan w:val="2"/>
            <w:noWrap w:val="0"/>
            <w:vAlign w:val="center"/>
          </w:tcPr>
          <w:p>
            <w:pPr>
              <w:spacing w:line="440" w:lineRule="exact"/>
              <w:rPr>
                <w:rFonts w:ascii="宋体" w:hAnsi="宋体"/>
                <w:szCs w:val="21"/>
                <w:highlight w:val="none"/>
              </w:rPr>
            </w:pPr>
            <w:r>
              <w:rPr>
                <w:rFonts w:ascii="宋体" w:hAnsi="宋体"/>
                <w:szCs w:val="21"/>
                <w:highlight w:val="none"/>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bl>
    <w:p>
      <w:pPr>
        <w:spacing w:line="40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注：</w:t>
      </w:r>
    </w:p>
    <w:p>
      <w:pPr>
        <w:spacing w:line="400" w:lineRule="exact"/>
        <w:ind w:firstLine="420" w:firstLineChars="200"/>
        <w:rPr>
          <w:rFonts w:hint="eastAsia" w:eastAsia="宋体"/>
          <w:highlight w:val="none"/>
          <w:lang w:eastAsia="zh-CN"/>
        </w:rPr>
      </w:pPr>
      <w:r>
        <w:rPr>
          <w:rFonts w:hint="eastAsia"/>
          <w:highlight w:val="none"/>
          <w:lang w:val="en-US" w:eastAsia="zh-CN"/>
        </w:rPr>
        <w:t>项目负责人简历应附身份证、学历证（如有）、职称证（如有）、执业资格证书、</w:t>
      </w:r>
      <w:r>
        <w:rPr>
          <w:rFonts w:hint="default" w:ascii="Times New Roman" w:hAnsi="Times New Roman" w:cs="Times New Roman"/>
          <w:color w:val="FF0000"/>
          <w:highlight w:val="none"/>
          <w:u w:val="single"/>
        </w:rPr>
        <w:t>202</w:t>
      </w:r>
      <w:r>
        <w:rPr>
          <w:rFonts w:hint="eastAsia" w:ascii="Times New Roman" w:hAnsi="Times New Roman" w:cs="Times New Roman"/>
          <w:color w:val="FF0000"/>
          <w:highlight w:val="none"/>
          <w:u w:val="single"/>
          <w:lang w:val="en-US" w:eastAsia="zh-CN"/>
        </w:rPr>
        <w:t>2</w:t>
      </w:r>
      <w:r>
        <w:rPr>
          <w:rFonts w:hint="default" w:ascii="Times New Roman" w:hAnsi="Times New Roman" w:cs="Times New Roman"/>
          <w:color w:val="FF0000"/>
          <w:highlight w:val="none"/>
          <w:u w:val="single"/>
        </w:rPr>
        <w:t>年</w:t>
      </w:r>
      <w:r>
        <w:rPr>
          <w:rFonts w:hint="eastAsia" w:ascii="Times New Roman" w:hAnsi="Times New Roman" w:cs="Times New Roman"/>
          <w:color w:val="FF0000"/>
          <w:highlight w:val="none"/>
          <w:u w:val="single"/>
          <w:lang w:val="en-US" w:eastAsia="zh-CN"/>
        </w:rPr>
        <w:t>1</w:t>
      </w:r>
      <w:r>
        <w:rPr>
          <w:rFonts w:hint="default" w:ascii="Times New Roman" w:hAnsi="Times New Roman" w:cs="Times New Roman"/>
          <w:color w:val="FF0000"/>
          <w:highlight w:val="none"/>
          <w:u w:val="single"/>
        </w:rPr>
        <w:t>月以来任意连续3个月</w:t>
      </w:r>
      <w:r>
        <w:rPr>
          <w:rFonts w:hint="eastAsia" w:ascii="Times New Roman" w:hAnsi="Times New Roman" w:cs="Times New Roman"/>
          <w:color w:val="auto"/>
          <w:highlight w:val="none"/>
          <w:u w:val="none"/>
          <w:lang w:val="en-US" w:eastAsia="zh-CN"/>
        </w:rPr>
        <w:t>的</w:t>
      </w:r>
      <w:r>
        <w:rPr>
          <w:rFonts w:hint="eastAsia"/>
          <w:highlight w:val="none"/>
          <w:lang w:val="en-US" w:eastAsia="zh-CN"/>
        </w:rPr>
        <w:t>社保缴费证明</w:t>
      </w:r>
      <w:r>
        <w:rPr>
          <w:rFonts w:hint="eastAsia"/>
          <w:highlight w:val="none"/>
        </w:rPr>
        <w:t>复印件，管理过的项目业绩须附合同协议书复印件</w:t>
      </w:r>
      <w:r>
        <w:rPr>
          <w:rFonts w:hint="eastAsia"/>
          <w:highlight w:val="none"/>
          <w:lang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eastAsia="宋体"/>
          <w:highlight w:val="none"/>
          <w:lang w:val="en-US" w:eastAsia="zh-CN"/>
        </w:rPr>
      </w:pPr>
      <w:r>
        <w:rPr>
          <w:rFonts w:hint="eastAsia"/>
          <w:highlight w:val="none"/>
          <w:lang w:val="en-US" w:eastAsia="zh-CN"/>
        </w:rPr>
        <w:t>其他主要人员应附身份证、学历证（如有）、职称证（如有）、有关证书和</w:t>
      </w:r>
      <w:r>
        <w:rPr>
          <w:rFonts w:hint="default" w:ascii="Times New Roman" w:hAnsi="Times New Roman" w:cs="Times New Roman"/>
          <w:color w:val="FF0000"/>
          <w:highlight w:val="none"/>
          <w:u w:val="single"/>
        </w:rPr>
        <w:t>202</w:t>
      </w:r>
      <w:r>
        <w:rPr>
          <w:rFonts w:hint="eastAsia" w:ascii="Times New Roman" w:hAnsi="Times New Roman" w:cs="Times New Roman"/>
          <w:color w:val="FF0000"/>
          <w:highlight w:val="none"/>
          <w:u w:val="single"/>
          <w:lang w:val="en-US" w:eastAsia="zh-CN"/>
        </w:rPr>
        <w:t>2</w:t>
      </w:r>
      <w:r>
        <w:rPr>
          <w:rFonts w:hint="default" w:ascii="Times New Roman" w:hAnsi="Times New Roman" w:cs="Times New Roman"/>
          <w:color w:val="FF0000"/>
          <w:highlight w:val="none"/>
          <w:u w:val="single"/>
        </w:rPr>
        <w:t>年</w:t>
      </w:r>
      <w:r>
        <w:rPr>
          <w:rFonts w:hint="eastAsia" w:ascii="Times New Roman" w:hAnsi="Times New Roman" w:cs="Times New Roman"/>
          <w:color w:val="FF0000"/>
          <w:highlight w:val="none"/>
          <w:u w:val="single"/>
          <w:lang w:val="en-US" w:eastAsia="zh-CN"/>
        </w:rPr>
        <w:t>1</w:t>
      </w:r>
      <w:r>
        <w:rPr>
          <w:rFonts w:hint="default" w:ascii="Times New Roman" w:hAnsi="Times New Roman" w:cs="Times New Roman"/>
          <w:color w:val="FF0000"/>
          <w:highlight w:val="none"/>
          <w:u w:val="single"/>
        </w:rPr>
        <w:t>月以来任意连续3个月</w:t>
      </w:r>
      <w:r>
        <w:rPr>
          <w:rFonts w:hint="eastAsia" w:ascii="Times New Roman" w:hAnsi="Times New Roman" w:cs="Times New Roman"/>
          <w:color w:val="auto"/>
          <w:highlight w:val="none"/>
          <w:u w:val="none"/>
          <w:lang w:val="en-US" w:eastAsia="zh-CN"/>
        </w:rPr>
        <w:t>的</w:t>
      </w:r>
      <w:r>
        <w:rPr>
          <w:rFonts w:hint="eastAsia"/>
          <w:highlight w:val="none"/>
          <w:lang w:val="en-US" w:eastAsia="zh-CN"/>
        </w:rPr>
        <w:t>社保缴费证明</w:t>
      </w:r>
      <w:r>
        <w:rPr>
          <w:rFonts w:hint="eastAsia"/>
          <w:highlight w:val="none"/>
        </w:rPr>
        <w:t>复印件</w:t>
      </w:r>
      <w:r>
        <w:rPr>
          <w:rFonts w:hint="eastAsia"/>
          <w:highlight w:val="none"/>
          <w:lang w:eastAsia="zh-CN"/>
        </w:rPr>
        <w:t>。</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highlight w:val="none"/>
        </w:rPr>
      </w:pPr>
    </w:p>
    <w:p>
      <w:pPr>
        <w:pStyle w:val="2"/>
        <w:jc w:val="center"/>
        <w:rPr>
          <w:rFonts w:hint="eastAsia"/>
          <w:highlight w:val="none"/>
        </w:rPr>
      </w:pPr>
      <w:bookmarkStart w:id="79" w:name="_Toc246997115"/>
      <w:bookmarkStart w:id="80" w:name="_Toc247085890"/>
      <w:bookmarkStart w:id="81" w:name="_Toc152042596"/>
      <w:bookmarkStart w:id="82" w:name="_Toc296602617"/>
      <w:bookmarkStart w:id="83" w:name="_Toc144974875"/>
      <w:bookmarkStart w:id="84" w:name="_Toc246996372"/>
      <w:bookmarkStart w:id="85" w:name="_Toc152045807"/>
      <w:bookmarkStart w:id="86" w:name="_Toc179632827"/>
      <w:r>
        <w:rPr>
          <w:rFonts w:hint="eastAsia"/>
          <w:highlight w:val="none"/>
          <w:lang w:val="en-US" w:eastAsia="zh-CN"/>
        </w:rPr>
        <w:t>七</w:t>
      </w:r>
      <w:r>
        <w:rPr>
          <w:highlight w:val="none"/>
        </w:rPr>
        <w:t>、资格审查资料</w:t>
      </w:r>
      <w:bookmarkEnd w:id="79"/>
      <w:bookmarkEnd w:id="80"/>
      <w:bookmarkEnd w:id="81"/>
      <w:bookmarkEnd w:id="82"/>
      <w:bookmarkEnd w:id="83"/>
      <w:bookmarkEnd w:id="84"/>
      <w:bookmarkEnd w:id="85"/>
      <w:bookmarkEnd w:id="86"/>
    </w:p>
    <w:p>
      <w:pPr>
        <w:pStyle w:val="4"/>
        <w:jc w:val="both"/>
        <w:rPr>
          <w:rFonts w:hint="eastAsia"/>
          <w:highlight w:val="none"/>
        </w:rPr>
      </w:pPr>
      <w:bookmarkStart w:id="87" w:name="_Toc247085891"/>
      <w:bookmarkStart w:id="88" w:name="_Toc179632828"/>
      <w:bookmarkStart w:id="89" w:name="_Toc296602618"/>
      <w:bookmarkStart w:id="90" w:name="_Toc246997116"/>
      <w:bookmarkStart w:id="91" w:name="_Toc246996373"/>
      <w:r>
        <w:rPr>
          <w:highlight w:val="none"/>
        </w:rPr>
        <w:t>（一）投标人基本情况表</w:t>
      </w:r>
      <w:bookmarkEnd w:id="87"/>
      <w:bookmarkEnd w:id="88"/>
      <w:bookmarkEnd w:id="89"/>
      <w:bookmarkEnd w:id="90"/>
      <w:bookmarkEnd w:id="91"/>
    </w:p>
    <w:tbl>
      <w:tblPr>
        <w:tblStyle w:val="8"/>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投标人名称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ind w:firstLine="105" w:firstLineChars="50"/>
              <w:jc w:val="center"/>
              <w:rPr>
                <w:szCs w:val="21"/>
                <w:highlight w:val="none"/>
              </w:rPr>
            </w:pPr>
            <w:r>
              <w:rPr>
                <w:szCs w:val="21"/>
                <w:highlight w:val="none"/>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宋体"/>
                <w:szCs w:val="21"/>
                <w:highlight w:val="none"/>
                <w:lang w:val="en-US" w:eastAsia="zh-CN"/>
              </w:rPr>
            </w:pPr>
            <w:r>
              <w:rPr>
                <w:szCs w:val="21"/>
                <w:highlight w:val="none"/>
              </w:rPr>
              <w:t>项目</w:t>
            </w:r>
            <w:r>
              <w:rPr>
                <w:rFonts w:hint="eastAsia"/>
                <w:szCs w:val="21"/>
                <w:highlight w:val="none"/>
                <w:lang w:val="en-US" w:eastAsia="zh-CN"/>
              </w:rPr>
              <w:t>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highlight w:val="none"/>
              </w:rPr>
            </w:pPr>
            <w:r>
              <w:rPr>
                <w:szCs w:val="21"/>
                <w:highlight w:val="none"/>
              </w:rPr>
              <w:t>技</w:t>
            </w:r>
            <w:r>
              <w:rPr>
                <w:rFonts w:hint="eastAsia"/>
                <w:szCs w:val="21"/>
                <w:highlight w:val="none"/>
              </w:rPr>
              <w:t xml:space="preserve">  </w:t>
            </w:r>
            <w:r>
              <w:rPr>
                <w:szCs w:val="21"/>
                <w:highlight w:val="none"/>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经营范围</w:t>
            </w:r>
          </w:p>
        </w:tc>
        <w:tc>
          <w:tcPr>
            <w:tcW w:w="6840" w:type="dxa"/>
            <w:gridSpan w:val="9"/>
            <w:tcBorders>
              <w:top w:val="single" w:color="auto" w:sz="4" w:space="0"/>
              <w:left w:val="single" w:color="auto" w:sz="4" w:space="0"/>
              <w:right w:val="single" w:color="auto" w:sz="4" w:space="0"/>
            </w:tcBorders>
            <w:noWrap w:val="0"/>
            <w:vAlign w:val="center"/>
          </w:tcPr>
          <w:p>
            <w:pPr>
              <w:topLinePunct/>
              <w:spacing w:line="440" w:lineRule="exact"/>
              <w:jc w:val="center"/>
              <w:rPr>
                <w:szCs w:val="21"/>
                <w:highlight w:val="none"/>
              </w:rPr>
            </w:pPr>
          </w:p>
          <w:p>
            <w:pPr>
              <w:topLinePunct/>
              <w:spacing w:line="440" w:lineRule="exact"/>
              <w:jc w:val="center"/>
              <w:rPr>
                <w:szCs w:val="21"/>
                <w:highlight w:val="none"/>
              </w:rPr>
            </w:pPr>
          </w:p>
          <w:p>
            <w:pPr>
              <w:topLinePunct/>
              <w:spacing w:line="440" w:lineRule="exact"/>
              <w:jc w:val="center"/>
              <w:rPr>
                <w:szCs w:val="21"/>
                <w:highlight w:val="none"/>
              </w:rPr>
            </w:pPr>
          </w:p>
          <w:p>
            <w:pPr>
              <w:topLinePunct/>
              <w:spacing w:line="440" w:lineRule="exact"/>
              <w:jc w:val="center"/>
              <w:rPr>
                <w:szCs w:val="21"/>
                <w:highlight w:val="none"/>
              </w:rPr>
            </w:pPr>
          </w:p>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 xml:space="preserve"> </w:t>
      </w:r>
      <w:r>
        <w:rPr>
          <w:rFonts w:hint="eastAsia" w:ascii="Times New Roman" w:hAnsi="Times New Roman" w:cs="Times New Roman"/>
          <w:highlight w:val="none"/>
          <w:lang w:val="en-US" w:eastAsia="zh-CN"/>
        </w:rPr>
        <w:t>注：</w:t>
      </w:r>
      <w:r>
        <w:rPr>
          <w:rFonts w:hint="eastAsia" w:ascii="Times New Roman" w:hAnsi="Times New Roman" w:cs="Times New Roman"/>
          <w:highlight w:val="none"/>
          <w:lang w:eastAsia="zh-CN"/>
        </w:rPr>
        <w:t>“</w:t>
      </w:r>
      <w:r>
        <w:rPr>
          <w:rFonts w:hint="default" w:ascii="Times New Roman" w:hAnsi="Times New Roman" w:cs="Times New Roman"/>
          <w:highlight w:val="none"/>
        </w:rPr>
        <w:t>投标人基本情况表</w:t>
      </w:r>
      <w:r>
        <w:rPr>
          <w:rFonts w:hint="eastAsia" w:ascii="Times New Roman" w:hAnsi="Times New Roman" w:cs="Times New Roman"/>
          <w:highlight w:val="none"/>
          <w:lang w:eastAsia="zh-CN"/>
        </w:rPr>
        <w:t>”</w:t>
      </w:r>
      <w:r>
        <w:rPr>
          <w:rFonts w:hint="default" w:ascii="Times New Roman" w:hAnsi="Times New Roman" w:cs="Times New Roman"/>
          <w:highlight w:val="none"/>
        </w:rPr>
        <w:t>应附投标人营业执照</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资质证书副本和安全生产许可证</w:t>
      </w:r>
      <w:r>
        <w:rPr>
          <w:rFonts w:hint="default" w:ascii="Times New Roman" w:hAnsi="Times New Roman" w:cs="Times New Roman"/>
          <w:highlight w:val="none"/>
        </w:rPr>
        <w:t>等材料的复印件。</w:t>
      </w:r>
    </w:p>
    <w:p>
      <w:pPr>
        <w:rPr>
          <w:rFonts w:hint="default" w:ascii="Times New Roman" w:hAnsi="Times New Roman" w:cs="Times New Roman"/>
          <w:highlight w:val="none"/>
        </w:rPr>
      </w:pPr>
    </w:p>
    <w:p>
      <w:pPr>
        <w:pStyle w:val="4"/>
        <w:rPr>
          <w:rFonts w:hint="default" w:ascii="Times New Roman" w:hAnsi="Times New Roman" w:cs="Times New Roman"/>
          <w:highlight w:val="none"/>
        </w:rPr>
      </w:pPr>
      <w:bookmarkStart w:id="92" w:name="_Toc152042599"/>
      <w:bookmarkStart w:id="93" w:name="_Toc247527850"/>
      <w:bookmarkStart w:id="94" w:name="_Toc144974878"/>
      <w:bookmarkStart w:id="95" w:name="_Toc300835226"/>
      <w:bookmarkStart w:id="96" w:name="_Toc152045810"/>
      <w:bookmarkStart w:id="97" w:name="_Toc247514302"/>
      <w:r>
        <w:rPr>
          <w:rFonts w:hint="default" w:ascii="Times New Roman" w:hAnsi="Times New Roman" w:cs="Times New Roman"/>
          <w:highlight w:val="none"/>
        </w:rPr>
        <w:t>（</w:t>
      </w:r>
      <w:r>
        <w:rPr>
          <w:rFonts w:hint="eastAsia" w:ascii="Times New Roman" w:hAnsi="Times New Roman" w:cs="Times New Roman"/>
          <w:highlight w:val="none"/>
          <w:lang w:val="en-US" w:eastAsia="zh-CN"/>
        </w:rPr>
        <w:t>二</w:t>
      </w:r>
      <w:r>
        <w:rPr>
          <w:rFonts w:hint="default" w:ascii="Times New Roman" w:hAnsi="Times New Roman" w:cs="Times New Roman"/>
          <w:highlight w:val="none"/>
        </w:rPr>
        <w:t>）近年完成的类似项目情况表</w:t>
      </w:r>
      <w:bookmarkEnd w:id="92"/>
      <w:bookmarkEnd w:id="93"/>
      <w:bookmarkEnd w:id="94"/>
      <w:bookmarkEnd w:id="95"/>
      <w:bookmarkEnd w:id="96"/>
      <w:bookmarkEnd w:id="97"/>
    </w:p>
    <w:p>
      <w:pPr>
        <w:spacing w:line="440" w:lineRule="exact"/>
        <w:jc w:val="center"/>
        <w:rPr>
          <w:rFonts w:hint="default" w:ascii="Times New Roman" w:hAnsi="Times New Roman" w:eastAsia="黑体" w:cs="Times New Roman"/>
          <w:sz w:val="23"/>
          <w:szCs w:val="23"/>
          <w:highlight w:val="none"/>
        </w:rPr>
      </w:pPr>
    </w:p>
    <w:tbl>
      <w:tblPr>
        <w:tblStyle w:val="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项目所在地</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发包人名称</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发包人地址</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发包人电话</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合同价格</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开工日期</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highlight w:val="none"/>
              </w:rPr>
              <w:t>竣工</w:t>
            </w:r>
            <w:r>
              <w:rPr>
                <w:rFonts w:hint="default" w:ascii="Times New Roman" w:hAnsi="Times New Roman" w:cs="Times New Roman"/>
                <w:szCs w:val="21"/>
                <w:highlight w:val="none"/>
              </w:rPr>
              <w:t>日期</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承担的工作</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工程质量</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269" w:type="dxa"/>
            <w:noWrap w:val="0"/>
            <w:vAlign w:val="center"/>
          </w:tcPr>
          <w:p>
            <w:pPr>
              <w:topLinePunct/>
              <w:spacing w:line="440" w:lineRule="exact"/>
              <w:jc w:val="center"/>
              <w:rPr>
                <w:rFonts w:hint="default" w:ascii="Times New Roman" w:hAnsi="Times New Roman" w:eastAsia="宋体" w:cs="Times New Roman"/>
                <w:szCs w:val="21"/>
                <w:highlight w:val="none"/>
                <w:lang w:val="en-US" w:eastAsia="zh-CN"/>
              </w:rPr>
            </w:pPr>
            <w:r>
              <w:rPr>
                <w:rFonts w:hint="default" w:ascii="Times New Roman" w:hAnsi="Times New Roman" w:cs="Times New Roman"/>
                <w:szCs w:val="21"/>
                <w:highlight w:val="none"/>
              </w:rPr>
              <w:t>项目</w:t>
            </w:r>
            <w:r>
              <w:rPr>
                <w:rFonts w:hint="eastAsia" w:ascii="Times New Roman" w:hAnsi="Times New Roman" w:cs="Times New Roman"/>
                <w:szCs w:val="21"/>
                <w:highlight w:val="none"/>
                <w:lang w:val="en-US" w:eastAsia="zh-CN"/>
              </w:rPr>
              <w:t>负责人</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技术负责人</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项目描述</w:t>
            </w:r>
          </w:p>
        </w:tc>
        <w:tc>
          <w:tcPr>
            <w:tcW w:w="6253" w:type="dxa"/>
            <w:noWrap w:val="0"/>
            <w:vAlign w:val="top"/>
          </w:tcPr>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备注</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rPr>
      </w:pPr>
      <w:bookmarkStart w:id="98" w:name="_Toc144974879"/>
      <w:bookmarkStart w:id="99" w:name="_Toc152042600"/>
      <w:bookmarkStart w:id="100" w:name="_Toc247527851"/>
      <w:bookmarkStart w:id="101" w:name="_Toc247514303"/>
      <w:bookmarkStart w:id="102" w:name="_Toc152045811"/>
      <w:r>
        <w:rPr>
          <w:rFonts w:hint="eastAsia" w:ascii="Times New Roman" w:hAnsi="Times New Roman" w:cs="Times New Roman"/>
          <w:highlight w:val="none"/>
          <w:lang w:val="en-US" w:eastAsia="zh-CN"/>
        </w:rPr>
        <w:t>注：“</w:t>
      </w:r>
      <w:r>
        <w:rPr>
          <w:rFonts w:hint="default" w:ascii="Times New Roman" w:hAnsi="Times New Roman" w:cs="Times New Roman"/>
          <w:highlight w:val="none"/>
        </w:rPr>
        <w:t>近年完成的类似项目情况表</w:t>
      </w:r>
      <w:r>
        <w:rPr>
          <w:rFonts w:hint="eastAsia" w:ascii="Times New Roman" w:hAnsi="Times New Roman" w:cs="Times New Roman"/>
          <w:highlight w:val="none"/>
          <w:lang w:eastAsia="zh-CN"/>
        </w:rPr>
        <w:t>”</w:t>
      </w:r>
      <w:r>
        <w:rPr>
          <w:rFonts w:hint="default" w:ascii="Times New Roman" w:hAnsi="Times New Roman" w:cs="Times New Roman"/>
          <w:highlight w:val="none"/>
        </w:rPr>
        <w:t>应附合同协议书复印件，具体年份要求见投标人须知前附表。每张表格只填写一个项目，并标明序号。</w:t>
      </w:r>
    </w:p>
    <w:p>
      <w:pPr>
        <w:pStyle w:val="4"/>
        <w:rPr>
          <w:rFonts w:hint="default" w:ascii="Times New Roman" w:hAnsi="Times New Roman" w:cs="Times New Roman"/>
          <w:highlight w:val="none"/>
        </w:rPr>
      </w:pPr>
      <w:bookmarkStart w:id="103" w:name="_Toc300835227"/>
      <w:r>
        <w:rPr>
          <w:rFonts w:hint="default" w:ascii="Times New Roman" w:hAnsi="Times New Roman" w:cs="Times New Roman"/>
          <w:highlight w:val="none"/>
        </w:rPr>
        <w:t>（</w:t>
      </w:r>
      <w:r>
        <w:rPr>
          <w:rFonts w:hint="eastAsia" w:ascii="Times New Roman" w:hAnsi="Times New Roman" w:cs="Times New Roman"/>
          <w:highlight w:val="none"/>
          <w:lang w:val="en-US" w:eastAsia="zh-CN"/>
        </w:rPr>
        <w:t>三</w:t>
      </w:r>
      <w:r>
        <w:rPr>
          <w:rFonts w:hint="default" w:ascii="Times New Roman" w:hAnsi="Times New Roman" w:cs="Times New Roman"/>
          <w:highlight w:val="none"/>
        </w:rPr>
        <w:t>）正在实施的和新承接的项目情况表</w:t>
      </w:r>
      <w:bookmarkEnd w:id="98"/>
      <w:bookmarkEnd w:id="99"/>
      <w:bookmarkEnd w:id="100"/>
      <w:bookmarkEnd w:id="101"/>
      <w:bookmarkEnd w:id="102"/>
      <w:bookmarkEnd w:id="103"/>
    </w:p>
    <w:p>
      <w:pPr>
        <w:spacing w:line="440" w:lineRule="exact"/>
        <w:rPr>
          <w:rFonts w:hint="default" w:ascii="Times New Roman" w:hAnsi="Times New Roman" w:eastAsia="黑体" w:cs="Times New Roman"/>
          <w:sz w:val="20"/>
          <w:szCs w:val="20"/>
          <w:highlight w:val="none"/>
        </w:rPr>
      </w:pPr>
    </w:p>
    <w:tbl>
      <w:tblPr>
        <w:tblStyle w:val="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9"/>
        <w:gridCol w:w="64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项目所在地</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发包人名称</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发包人地址</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发包人电话</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签约合同价</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开工日期</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计划</w:t>
            </w:r>
            <w:r>
              <w:rPr>
                <w:rFonts w:hint="default" w:ascii="Times New Roman" w:hAnsi="Times New Roman" w:cs="Times New Roman"/>
                <w:highlight w:val="none"/>
              </w:rPr>
              <w:t>竣工</w:t>
            </w:r>
            <w:r>
              <w:rPr>
                <w:rFonts w:hint="default" w:ascii="Times New Roman" w:hAnsi="Times New Roman" w:cs="Times New Roman"/>
                <w:szCs w:val="21"/>
                <w:highlight w:val="none"/>
              </w:rPr>
              <w:t>日期</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承担的工作</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工程质量</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119" w:type="dxa"/>
            <w:noWrap w:val="0"/>
            <w:vAlign w:val="center"/>
          </w:tcPr>
          <w:p>
            <w:pPr>
              <w:topLinePunct/>
              <w:spacing w:line="440" w:lineRule="exact"/>
              <w:jc w:val="center"/>
              <w:rPr>
                <w:rFonts w:hint="default" w:ascii="Times New Roman" w:hAnsi="Times New Roman" w:eastAsia="宋体" w:cs="Times New Roman"/>
                <w:szCs w:val="21"/>
                <w:highlight w:val="none"/>
                <w:lang w:val="en-US" w:eastAsia="zh-CN"/>
              </w:rPr>
            </w:pPr>
            <w:r>
              <w:rPr>
                <w:rFonts w:hint="default" w:ascii="Times New Roman" w:hAnsi="Times New Roman" w:cs="Times New Roman"/>
                <w:szCs w:val="21"/>
                <w:highlight w:val="none"/>
              </w:rPr>
              <w:t>项目</w:t>
            </w:r>
            <w:r>
              <w:rPr>
                <w:rFonts w:hint="eastAsia" w:ascii="Times New Roman" w:hAnsi="Times New Roman" w:cs="Times New Roman"/>
                <w:szCs w:val="21"/>
                <w:highlight w:val="none"/>
                <w:lang w:val="en-US" w:eastAsia="zh-CN"/>
              </w:rPr>
              <w:t>负责人</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技术负责人</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项目描述</w:t>
            </w:r>
          </w:p>
        </w:tc>
        <w:tc>
          <w:tcPr>
            <w:tcW w:w="6403" w:type="dxa"/>
            <w:noWrap w:val="0"/>
            <w:vAlign w:val="top"/>
          </w:tcPr>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备注</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bl>
    <w:p>
      <w:pPr>
        <w:spacing w:line="440" w:lineRule="exact"/>
        <w:ind w:firstLine="420" w:firstLineChars="200"/>
        <w:rPr>
          <w:rFonts w:hint="default" w:ascii="Times New Roman" w:hAnsi="Times New Roman" w:cs="Times New Roman"/>
          <w:highlight w:val="none"/>
        </w:rPr>
      </w:pPr>
      <w:bookmarkStart w:id="104" w:name="_Toc247527852"/>
      <w:bookmarkStart w:id="105" w:name="_Toc152042601"/>
      <w:bookmarkStart w:id="106" w:name="_Toc247514304"/>
      <w:bookmarkStart w:id="107" w:name="_Toc152045812"/>
      <w:bookmarkStart w:id="108" w:name="_Toc144974880"/>
      <w:r>
        <w:rPr>
          <w:rFonts w:hint="eastAsia" w:ascii="Times New Roman" w:hAnsi="Times New Roman" w:cs="Times New Roman"/>
          <w:highlight w:val="none"/>
          <w:lang w:val="en-US" w:eastAsia="zh-CN"/>
        </w:rPr>
        <w:t>注：</w:t>
      </w:r>
      <w:r>
        <w:rPr>
          <w:rFonts w:hint="eastAsia" w:ascii="Times New Roman" w:hAnsi="Times New Roman" w:cs="Times New Roman"/>
          <w:highlight w:val="none"/>
          <w:lang w:eastAsia="zh-CN"/>
        </w:rPr>
        <w:t>“</w:t>
      </w:r>
      <w:r>
        <w:rPr>
          <w:rFonts w:hint="default" w:ascii="Times New Roman" w:hAnsi="Times New Roman" w:cs="Times New Roman"/>
          <w:highlight w:val="none"/>
        </w:rPr>
        <w:t>正在</w:t>
      </w:r>
      <w:r>
        <w:rPr>
          <w:rFonts w:hint="eastAsia" w:ascii="Times New Roman" w:hAnsi="Times New Roman" w:cs="Times New Roman"/>
          <w:highlight w:val="none"/>
          <w:lang w:val="en-US" w:eastAsia="zh-CN"/>
        </w:rPr>
        <w:t>实施</w:t>
      </w:r>
      <w:r>
        <w:rPr>
          <w:rFonts w:hint="default" w:ascii="Times New Roman" w:hAnsi="Times New Roman" w:cs="Times New Roman"/>
          <w:highlight w:val="none"/>
        </w:rPr>
        <w:t>和新承接的项目情况表</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应</w:t>
      </w:r>
      <w:r>
        <w:rPr>
          <w:rFonts w:hint="default" w:ascii="Times New Roman" w:hAnsi="Times New Roman" w:cs="Times New Roman"/>
          <w:highlight w:val="none"/>
        </w:rPr>
        <w:t>附中标通知书或合同协议书复印件。每张表格只填写一个项目，并标明序号。</w:t>
      </w:r>
    </w:p>
    <w:p>
      <w:pPr>
        <w:spacing w:line="440" w:lineRule="exact"/>
        <w:rPr>
          <w:rFonts w:hint="default" w:ascii="Times New Roman" w:hAnsi="Times New Roman" w:cs="Times New Roman"/>
          <w:highlight w:val="none"/>
        </w:rPr>
      </w:pPr>
    </w:p>
    <w:bookmarkEnd w:id="104"/>
    <w:bookmarkEnd w:id="105"/>
    <w:bookmarkEnd w:id="106"/>
    <w:bookmarkEnd w:id="107"/>
    <w:bookmarkEnd w:id="108"/>
    <w:p>
      <w:pPr>
        <w:pStyle w:val="4"/>
        <w:rPr>
          <w:rFonts w:hint="default" w:ascii="Times New Roman" w:hAnsi="Times New Roman" w:eastAsia="宋体" w:cs="Times New Roman"/>
          <w:highlight w:val="none"/>
          <w:lang w:val="en-US" w:eastAsia="zh-CN"/>
        </w:rPr>
      </w:pPr>
      <w:r>
        <w:rPr>
          <w:rFonts w:hint="default" w:ascii="Times New Roman" w:hAnsi="Times New Roman" w:cs="Times New Roman"/>
          <w:highlight w:val="none"/>
        </w:rPr>
        <w:t>（</w:t>
      </w:r>
      <w:r>
        <w:rPr>
          <w:rFonts w:hint="eastAsia" w:ascii="Times New Roman" w:hAnsi="Times New Roman" w:cs="Times New Roman"/>
          <w:highlight w:val="none"/>
          <w:lang w:val="en-US" w:eastAsia="zh-CN"/>
        </w:rPr>
        <w:t>四</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其他资格审查资料</w:t>
      </w:r>
    </w:p>
    <w:p>
      <w:pPr>
        <w:spacing w:line="440" w:lineRule="exact"/>
        <w:ind w:firstLine="420" w:firstLineChars="200"/>
        <w:rPr>
          <w:rFonts w:hint="eastAsia" w:ascii="Times New Roman" w:hAnsi="Times New Roman"/>
          <w:highlight w:val="none"/>
          <w:lang w:val="en-US" w:eastAsia="zh-CN"/>
        </w:rPr>
      </w:pPr>
      <w:r>
        <w:rPr>
          <w:rFonts w:hint="eastAsia" w:ascii="Times New Roman" w:hAnsi="Times New Roman"/>
          <w:highlight w:val="none"/>
          <w:lang w:val="en-US" w:eastAsia="zh-CN"/>
        </w:rPr>
        <w:t>如有，按招标文件要求提供。</w:t>
      </w:r>
    </w:p>
    <w:p>
      <w:pPr>
        <w:rPr>
          <w:rFonts w:hint="eastAsia" w:ascii="Times New Roman" w:hAnsi="Times New Roman"/>
          <w:highlight w:val="none"/>
          <w:lang w:val="en-US" w:eastAsia="zh-CN"/>
        </w:rPr>
      </w:pPr>
      <w:r>
        <w:rPr>
          <w:rFonts w:hint="eastAsia" w:ascii="Times New Roman" w:hAnsi="Times New Roman"/>
          <w:highlight w:val="none"/>
          <w:lang w:val="en-US" w:eastAsia="zh-CN"/>
        </w:rPr>
        <w:br w:type="page"/>
      </w:r>
    </w:p>
    <w:p>
      <w:pPr>
        <w:pStyle w:val="2"/>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八</w:t>
      </w:r>
      <w:r>
        <w:rPr>
          <w:rFonts w:hint="default" w:ascii="Times New Roman" w:hAnsi="Times New Roman" w:cs="Times New Roman"/>
        </w:rPr>
        <w:t>、</w:t>
      </w:r>
      <w:r>
        <w:rPr>
          <w:rFonts w:hint="eastAsia" w:ascii="Times New Roman" w:hAnsi="Times New Roman" w:cs="Times New Roman"/>
          <w:lang w:val="en-US" w:eastAsia="zh-CN"/>
        </w:rPr>
        <w:t>商务和技术偏差表</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835"/>
        <w:gridCol w:w="2835"/>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noWrap w:val="0"/>
            <w:vAlign w:val="center"/>
          </w:tcPr>
          <w:p>
            <w:pPr>
              <w:jc w:val="center"/>
              <w:rPr>
                <w:rFonts w:hint="eastAsia" w:ascii="Times New Roman" w:hAnsi="Times New Roman" w:eastAsia="宋体" w:cs="Times New Roman"/>
                <w:b/>
                <w:bCs/>
                <w:vertAlign w:val="baseline"/>
                <w:lang w:val="en-US" w:eastAsia="zh-CN"/>
              </w:rPr>
            </w:pPr>
            <w:r>
              <w:rPr>
                <w:rFonts w:hint="eastAsia" w:ascii="Times New Roman" w:hAnsi="Times New Roman" w:cs="Times New Roman"/>
                <w:b/>
                <w:bCs/>
                <w:vertAlign w:val="baseline"/>
                <w:lang w:val="en-US" w:eastAsia="zh-CN"/>
              </w:rPr>
              <w:t>序号</w:t>
            </w:r>
          </w:p>
        </w:tc>
        <w:tc>
          <w:tcPr>
            <w:tcW w:w="2835" w:type="dxa"/>
            <w:noWrap w:val="0"/>
            <w:vAlign w:val="center"/>
          </w:tcPr>
          <w:p>
            <w:pPr>
              <w:jc w:val="center"/>
              <w:rPr>
                <w:rFonts w:hint="default" w:ascii="Times New Roman" w:hAnsi="Times New Roman" w:eastAsia="宋体" w:cs="Times New Roman"/>
                <w:b/>
                <w:bCs/>
                <w:vertAlign w:val="baseline"/>
                <w:lang w:val="en-US" w:eastAsia="zh-CN"/>
              </w:rPr>
            </w:pPr>
            <w:r>
              <w:rPr>
                <w:rFonts w:hint="eastAsia" w:ascii="Times New Roman" w:hAnsi="Times New Roman" w:cs="Times New Roman"/>
                <w:b/>
                <w:bCs/>
                <w:vertAlign w:val="baseline"/>
                <w:lang w:val="en-US" w:eastAsia="zh-CN"/>
              </w:rPr>
              <w:t>招标文件章节及条款号</w:t>
            </w:r>
          </w:p>
        </w:tc>
        <w:tc>
          <w:tcPr>
            <w:tcW w:w="2835" w:type="dxa"/>
            <w:noWrap w:val="0"/>
            <w:vAlign w:val="center"/>
          </w:tcPr>
          <w:p>
            <w:pPr>
              <w:jc w:val="center"/>
              <w:rPr>
                <w:rFonts w:hint="default" w:ascii="Times New Roman" w:hAnsi="Times New Roman" w:eastAsia="宋体" w:cs="Times New Roman"/>
                <w:b/>
                <w:bCs/>
                <w:vertAlign w:val="baseline"/>
                <w:lang w:val="en-US" w:eastAsia="zh-CN"/>
              </w:rPr>
            </w:pPr>
            <w:r>
              <w:rPr>
                <w:rFonts w:hint="eastAsia" w:ascii="Times New Roman" w:hAnsi="Times New Roman" w:cs="Times New Roman"/>
                <w:b/>
                <w:bCs/>
                <w:vertAlign w:val="baseline"/>
                <w:lang w:val="en-US" w:eastAsia="zh-CN"/>
              </w:rPr>
              <w:t>投标文件章节及条款号</w:t>
            </w:r>
          </w:p>
        </w:tc>
        <w:tc>
          <w:tcPr>
            <w:tcW w:w="2001" w:type="dxa"/>
            <w:noWrap w:val="0"/>
            <w:vAlign w:val="center"/>
          </w:tcPr>
          <w:p>
            <w:pPr>
              <w:jc w:val="center"/>
              <w:rPr>
                <w:rFonts w:hint="default" w:ascii="Times New Roman" w:hAnsi="Times New Roman" w:eastAsia="宋体" w:cs="Times New Roman"/>
                <w:b/>
                <w:bCs/>
                <w:vertAlign w:val="baseline"/>
                <w:lang w:val="en-US" w:eastAsia="zh-CN"/>
              </w:rPr>
            </w:pPr>
            <w:r>
              <w:rPr>
                <w:rFonts w:hint="eastAsia" w:ascii="Times New Roman" w:hAnsi="Times New Roman" w:cs="Times New Roman"/>
                <w:b/>
                <w:bCs/>
                <w:vertAlign w:val="baseline"/>
                <w:lang w:val="en-US" w:eastAsia="zh-CN"/>
              </w:rPr>
              <w:t>偏差说明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noWrap w:val="0"/>
            <w:vAlign w:val="center"/>
          </w:tcPr>
          <w:p>
            <w:pPr>
              <w:jc w:val="center"/>
              <w:rPr>
                <w:rFonts w:hint="eastAsia"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1</w:t>
            </w:r>
          </w:p>
        </w:tc>
        <w:tc>
          <w:tcPr>
            <w:tcW w:w="2835" w:type="dxa"/>
            <w:noWrap w:val="0"/>
            <w:vAlign w:val="center"/>
          </w:tcPr>
          <w:p>
            <w:pPr>
              <w:jc w:val="center"/>
              <w:rPr>
                <w:rFonts w:hint="default" w:ascii="Times New Roman" w:hAnsi="Times New Roman" w:cs="Times New Roman"/>
                <w:vertAlign w:val="baseline"/>
              </w:rPr>
            </w:pPr>
          </w:p>
        </w:tc>
        <w:tc>
          <w:tcPr>
            <w:tcW w:w="2835" w:type="dxa"/>
            <w:noWrap w:val="0"/>
            <w:vAlign w:val="center"/>
          </w:tcPr>
          <w:p>
            <w:pPr>
              <w:jc w:val="center"/>
              <w:rPr>
                <w:rFonts w:hint="default" w:ascii="Times New Roman" w:hAnsi="Times New Roman" w:cs="Times New Roman"/>
                <w:vertAlign w:val="baseline"/>
              </w:rPr>
            </w:pPr>
          </w:p>
        </w:tc>
        <w:tc>
          <w:tcPr>
            <w:tcW w:w="2001" w:type="dxa"/>
            <w:noWrap w:val="0"/>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noWrap w:val="0"/>
            <w:vAlign w:val="center"/>
          </w:tcPr>
          <w:p>
            <w:pPr>
              <w:jc w:val="center"/>
              <w:rPr>
                <w:rFonts w:hint="eastAsia"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2</w:t>
            </w:r>
          </w:p>
        </w:tc>
        <w:tc>
          <w:tcPr>
            <w:tcW w:w="2835" w:type="dxa"/>
            <w:noWrap w:val="0"/>
            <w:vAlign w:val="center"/>
          </w:tcPr>
          <w:p>
            <w:pPr>
              <w:jc w:val="center"/>
              <w:rPr>
                <w:rFonts w:hint="default" w:ascii="Times New Roman" w:hAnsi="Times New Roman" w:cs="Times New Roman"/>
                <w:vertAlign w:val="baseline"/>
              </w:rPr>
            </w:pPr>
          </w:p>
        </w:tc>
        <w:tc>
          <w:tcPr>
            <w:tcW w:w="2835" w:type="dxa"/>
            <w:noWrap w:val="0"/>
            <w:vAlign w:val="center"/>
          </w:tcPr>
          <w:p>
            <w:pPr>
              <w:jc w:val="center"/>
              <w:rPr>
                <w:rFonts w:hint="default" w:ascii="Times New Roman" w:hAnsi="Times New Roman" w:cs="Times New Roman"/>
                <w:vertAlign w:val="baseline"/>
              </w:rPr>
            </w:pPr>
          </w:p>
        </w:tc>
        <w:tc>
          <w:tcPr>
            <w:tcW w:w="2001" w:type="dxa"/>
            <w:noWrap w:val="0"/>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noWrap w:val="0"/>
            <w:vAlign w:val="center"/>
          </w:tcPr>
          <w:p>
            <w:pPr>
              <w:jc w:val="center"/>
              <w:rPr>
                <w:rFonts w:hint="eastAsia"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3</w:t>
            </w:r>
          </w:p>
        </w:tc>
        <w:tc>
          <w:tcPr>
            <w:tcW w:w="2835" w:type="dxa"/>
            <w:noWrap w:val="0"/>
            <w:vAlign w:val="center"/>
          </w:tcPr>
          <w:p>
            <w:pPr>
              <w:jc w:val="center"/>
              <w:rPr>
                <w:rFonts w:hint="default" w:ascii="Times New Roman" w:hAnsi="Times New Roman" w:cs="Times New Roman"/>
                <w:vertAlign w:val="baseline"/>
              </w:rPr>
            </w:pPr>
          </w:p>
        </w:tc>
        <w:tc>
          <w:tcPr>
            <w:tcW w:w="2835" w:type="dxa"/>
            <w:noWrap w:val="0"/>
            <w:vAlign w:val="center"/>
          </w:tcPr>
          <w:p>
            <w:pPr>
              <w:jc w:val="center"/>
              <w:rPr>
                <w:rFonts w:hint="default" w:ascii="Times New Roman" w:hAnsi="Times New Roman" w:cs="Times New Roman"/>
                <w:vertAlign w:val="baseline"/>
              </w:rPr>
            </w:pPr>
          </w:p>
        </w:tc>
        <w:tc>
          <w:tcPr>
            <w:tcW w:w="2001" w:type="dxa"/>
            <w:noWrap w:val="0"/>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noWrap w:val="0"/>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4</w:t>
            </w:r>
          </w:p>
        </w:tc>
        <w:tc>
          <w:tcPr>
            <w:tcW w:w="2835" w:type="dxa"/>
            <w:noWrap w:val="0"/>
            <w:vAlign w:val="center"/>
          </w:tcPr>
          <w:p>
            <w:pPr>
              <w:jc w:val="center"/>
              <w:rPr>
                <w:rFonts w:hint="default" w:ascii="Times New Roman" w:hAnsi="Times New Roman" w:cs="Times New Roman"/>
                <w:vertAlign w:val="baseline"/>
              </w:rPr>
            </w:pPr>
          </w:p>
        </w:tc>
        <w:tc>
          <w:tcPr>
            <w:tcW w:w="2835" w:type="dxa"/>
            <w:noWrap w:val="0"/>
            <w:vAlign w:val="center"/>
          </w:tcPr>
          <w:p>
            <w:pPr>
              <w:jc w:val="center"/>
              <w:rPr>
                <w:rFonts w:hint="default" w:ascii="Times New Roman" w:hAnsi="Times New Roman" w:cs="Times New Roman"/>
                <w:vertAlign w:val="baseline"/>
              </w:rPr>
            </w:pPr>
          </w:p>
        </w:tc>
        <w:tc>
          <w:tcPr>
            <w:tcW w:w="2001" w:type="dxa"/>
            <w:noWrap w:val="0"/>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noWrap w:val="0"/>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5</w:t>
            </w:r>
          </w:p>
        </w:tc>
        <w:tc>
          <w:tcPr>
            <w:tcW w:w="2835" w:type="dxa"/>
            <w:noWrap w:val="0"/>
            <w:vAlign w:val="center"/>
          </w:tcPr>
          <w:p>
            <w:pPr>
              <w:jc w:val="center"/>
              <w:rPr>
                <w:rFonts w:hint="default" w:ascii="Times New Roman" w:hAnsi="Times New Roman" w:cs="Times New Roman"/>
                <w:vertAlign w:val="baseline"/>
              </w:rPr>
            </w:pPr>
          </w:p>
        </w:tc>
        <w:tc>
          <w:tcPr>
            <w:tcW w:w="2835" w:type="dxa"/>
            <w:noWrap w:val="0"/>
            <w:vAlign w:val="center"/>
          </w:tcPr>
          <w:p>
            <w:pPr>
              <w:jc w:val="center"/>
              <w:rPr>
                <w:rFonts w:hint="default" w:ascii="Times New Roman" w:hAnsi="Times New Roman" w:cs="Times New Roman"/>
                <w:vertAlign w:val="baseline"/>
              </w:rPr>
            </w:pPr>
          </w:p>
        </w:tc>
        <w:tc>
          <w:tcPr>
            <w:tcW w:w="2001" w:type="dxa"/>
            <w:noWrap w:val="0"/>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noWrap w:val="0"/>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w:t>
            </w:r>
          </w:p>
        </w:tc>
        <w:tc>
          <w:tcPr>
            <w:tcW w:w="2835" w:type="dxa"/>
            <w:noWrap w:val="0"/>
            <w:vAlign w:val="center"/>
          </w:tcPr>
          <w:p>
            <w:pPr>
              <w:jc w:val="center"/>
              <w:rPr>
                <w:rFonts w:hint="default" w:ascii="Times New Roman" w:hAnsi="Times New Roman" w:cs="Times New Roman"/>
                <w:vertAlign w:val="baseline"/>
              </w:rPr>
            </w:pPr>
          </w:p>
        </w:tc>
        <w:tc>
          <w:tcPr>
            <w:tcW w:w="2835" w:type="dxa"/>
            <w:noWrap w:val="0"/>
            <w:vAlign w:val="center"/>
          </w:tcPr>
          <w:p>
            <w:pPr>
              <w:jc w:val="center"/>
              <w:rPr>
                <w:rFonts w:hint="default" w:ascii="Times New Roman" w:hAnsi="Times New Roman" w:cs="Times New Roman"/>
                <w:vertAlign w:val="baseline"/>
              </w:rPr>
            </w:pPr>
          </w:p>
        </w:tc>
        <w:tc>
          <w:tcPr>
            <w:tcW w:w="2001" w:type="dxa"/>
            <w:noWrap w:val="0"/>
            <w:vAlign w:val="center"/>
          </w:tcPr>
          <w:p>
            <w:pPr>
              <w:jc w:val="center"/>
              <w:rPr>
                <w:rFonts w:hint="default" w:ascii="Times New Roman" w:hAnsi="Times New Roman" w:cs="Times New Roman"/>
                <w:vertAlign w:val="baseline"/>
              </w:rPr>
            </w:pPr>
          </w:p>
        </w:tc>
      </w:tr>
    </w:tbl>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投标人保证：除商务和技术偏差表列出的偏差外，投标人响应招标文件的全部要求。</w:t>
      </w:r>
    </w:p>
    <w:p>
      <w:pPr>
        <w:rPr>
          <w:rFonts w:hint="eastAsia" w:ascii="Times New Roman" w:hAnsi="Times New Roman" w:cs="Times New Roman"/>
          <w:highlight w:val="none"/>
          <w:lang w:val="en-US" w:eastAsia="zh-CN"/>
        </w:rPr>
      </w:pPr>
    </w:p>
    <w:p>
      <w:pPr>
        <w:rPr>
          <w:rFonts w:hint="eastAsia" w:ascii="Times New Roman" w:hAnsi="Times New Roman" w:cs="Times New Roman"/>
          <w:highlight w:val="none"/>
          <w:lang w:val="en-US" w:eastAsia="zh-CN"/>
        </w:rPr>
      </w:pPr>
    </w:p>
    <w:p>
      <w:pP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br w:type="page"/>
      </w:r>
    </w:p>
    <w:p>
      <w:pPr>
        <w:pStyle w:val="2"/>
        <w:jc w:val="center"/>
        <w:rPr>
          <w:rFonts w:hint="default" w:ascii="Times New Roman" w:hAnsi="Times New Roman" w:cs="Times New Roman"/>
          <w:highlight w:val="none"/>
        </w:rPr>
      </w:pPr>
      <w:r>
        <w:rPr>
          <w:rFonts w:hint="eastAsia" w:ascii="Times New Roman" w:hAnsi="Times New Roman" w:cs="Times New Roman"/>
          <w:highlight w:val="none"/>
          <w:lang w:val="en-US" w:eastAsia="zh-CN"/>
        </w:rPr>
        <w:t>九</w:t>
      </w:r>
      <w:r>
        <w:rPr>
          <w:rFonts w:hint="default" w:ascii="Times New Roman" w:hAnsi="Times New Roman" w:cs="Times New Roman"/>
          <w:highlight w:val="none"/>
        </w:rPr>
        <w:t>、投标设备技术性能指标的详细描述</w:t>
      </w:r>
    </w:p>
    <w:p>
      <w:pPr>
        <w:rPr>
          <w:rFonts w:hint="default" w:ascii="Times New Roman" w:hAnsi="Times New Roman"/>
          <w:highlight w:val="none"/>
          <w:lang w:val="en-US" w:eastAsia="zh-CN"/>
        </w:rPr>
      </w:pPr>
    </w:p>
    <w:p>
      <w:pPr>
        <w:rPr>
          <w:rFonts w:hint="default" w:ascii="Times New Roman" w:hAnsi="Times New Roman"/>
          <w:highlight w:val="none"/>
          <w:lang w:val="en-US" w:eastAsia="zh-CN"/>
        </w:rPr>
      </w:pPr>
      <w:r>
        <w:rPr>
          <w:rFonts w:hint="default" w:ascii="Times New Roman" w:hAnsi="Times New Roman"/>
          <w:highlight w:val="none"/>
          <w:lang w:val="en-US" w:eastAsia="zh-CN"/>
        </w:rPr>
        <w:br w:type="page"/>
      </w:r>
    </w:p>
    <w:p>
      <w:pPr>
        <w:pStyle w:val="2"/>
        <w:jc w:val="center"/>
        <w:rPr>
          <w:rFonts w:hint="default" w:ascii="Times New Roman" w:hAnsi="Times New Roman" w:cs="Times New Roman"/>
          <w:highlight w:val="none"/>
        </w:rPr>
      </w:pPr>
      <w:r>
        <w:rPr>
          <w:rFonts w:hint="eastAsia" w:ascii="Times New Roman" w:hAnsi="Times New Roman" w:cs="Times New Roman"/>
          <w:highlight w:val="none"/>
          <w:lang w:val="en-US" w:eastAsia="zh-CN"/>
        </w:rPr>
        <w:t>十</w:t>
      </w:r>
      <w:r>
        <w:rPr>
          <w:rFonts w:hint="default" w:ascii="Times New Roman" w:hAnsi="Times New Roman" w:cs="Times New Roman"/>
          <w:highlight w:val="none"/>
        </w:rPr>
        <w:t>、技术服务和质保期服务计划</w:t>
      </w:r>
    </w:p>
    <w:p>
      <w:pPr>
        <w:spacing w:line="440" w:lineRule="exact"/>
        <w:rPr>
          <w:rFonts w:hint="default" w:ascii="Times New Roman" w:hAnsi="Times New Roman"/>
          <w:highlight w:val="none"/>
          <w:lang w:val="en-US" w:eastAsia="zh-CN"/>
        </w:rPr>
      </w:pPr>
    </w:p>
    <w:p>
      <w:pPr>
        <w:spacing w:line="440" w:lineRule="exact"/>
        <w:rPr>
          <w:rFonts w:hint="default" w:ascii="Times New Roman" w:hAnsi="Times New Roman" w:cs="Times New Roman"/>
          <w:highlight w:val="none"/>
        </w:rPr>
      </w:pPr>
      <w:r>
        <w:rPr>
          <w:rFonts w:hint="default" w:ascii="Times New Roman" w:hAnsi="Times New Roman" w:cs="Times New Roman"/>
          <w:highlight w:val="none"/>
        </w:rPr>
        <w:br w:type="page"/>
      </w:r>
      <w:bookmarkStart w:id="109" w:name="_Toc247514305"/>
      <w:bookmarkStart w:id="110" w:name="_Toc152045813"/>
      <w:bookmarkStart w:id="111" w:name="_Toc247527853"/>
      <w:bookmarkStart w:id="112" w:name="_Toc247530162"/>
      <w:bookmarkStart w:id="113" w:name="_Toc152042602"/>
      <w:bookmarkStart w:id="114" w:name="_Toc144974881"/>
    </w:p>
    <w:bookmarkEnd w:id="109"/>
    <w:bookmarkEnd w:id="110"/>
    <w:bookmarkEnd w:id="111"/>
    <w:bookmarkEnd w:id="112"/>
    <w:bookmarkEnd w:id="113"/>
    <w:bookmarkEnd w:id="114"/>
    <w:p>
      <w:pPr>
        <w:pStyle w:val="2"/>
        <w:jc w:val="center"/>
        <w:rPr>
          <w:rFonts w:hint="default" w:ascii="Times New Roman" w:hAnsi="Times New Roman" w:cs="Times New Roman"/>
          <w:highlight w:val="none"/>
        </w:rPr>
      </w:pPr>
      <w:r>
        <w:rPr>
          <w:rFonts w:hint="eastAsia" w:ascii="Times New Roman" w:hAnsi="Times New Roman" w:cs="Times New Roman"/>
          <w:highlight w:val="none"/>
          <w:lang w:val="en-US" w:eastAsia="zh-CN"/>
        </w:rPr>
        <w:t>十一</w:t>
      </w:r>
      <w:r>
        <w:rPr>
          <w:rFonts w:hint="default" w:ascii="Times New Roman" w:hAnsi="Times New Roman" w:cs="Times New Roman"/>
          <w:highlight w:val="none"/>
        </w:rPr>
        <w:t>、其他资料</w:t>
      </w:r>
    </w:p>
    <w:p>
      <w:pPr>
        <w:ind w:firstLine="420" w:firstLineChars="200"/>
        <w:rPr>
          <w:rFonts w:hint="default" w:ascii="Times New Roman" w:hAnsi="Times New Roman" w:cs="Times New Roman"/>
          <w:highlight w:val="none"/>
          <w:lang w:val="en-US" w:eastAsia="zh-CN"/>
        </w:rPr>
      </w:pPr>
      <w:r>
        <w:rPr>
          <w:rFonts w:hint="eastAsia" w:ascii="Times New Roman" w:hAnsi="Times New Roman"/>
          <w:highlight w:val="none"/>
        </w:rPr>
        <w:t>第</w:t>
      </w:r>
      <w:r>
        <w:rPr>
          <w:rFonts w:hint="eastAsia" w:ascii="Times New Roman" w:hAnsi="Times New Roman"/>
          <w:highlight w:val="none"/>
          <w:lang w:val="en-US" w:eastAsia="zh-CN"/>
        </w:rPr>
        <w:t>六</w:t>
      </w:r>
      <w:r>
        <w:rPr>
          <w:rFonts w:hint="eastAsia" w:ascii="Times New Roman" w:hAnsi="Times New Roman"/>
          <w:highlight w:val="none"/>
        </w:rPr>
        <w:t>章“投标文件格式”未详尽列举，但招标文件要求或</w:t>
      </w:r>
      <w:r>
        <w:rPr>
          <w:rFonts w:hint="eastAsia" w:ascii="Times New Roman" w:hAnsi="Times New Roman"/>
          <w:highlight w:val="none"/>
          <w:lang w:val="en-US" w:eastAsia="zh-CN"/>
        </w:rPr>
        <w:t>投标人认为</w:t>
      </w:r>
      <w:r>
        <w:rPr>
          <w:rFonts w:hint="eastAsia" w:ascii="Times New Roman" w:hAnsi="Times New Roman"/>
          <w:highlight w:val="none"/>
        </w:rPr>
        <w:t>有必要提供的资料</w:t>
      </w:r>
      <w:r>
        <w:rPr>
          <w:rFonts w:hint="eastAsia" w:ascii="Times New Roman" w:hAnsi="Times New Roman"/>
          <w:highlight w:val="none"/>
          <w:lang w:eastAsia="zh-CN"/>
        </w:rPr>
        <w:t>。</w:t>
      </w:r>
      <w:bookmarkEnd w:id="29"/>
      <w:bookmarkEnd w:id="30"/>
      <w:bookmarkEnd w:id="31"/>
      <w:bookmarkEnd w:id="32"/>
      <w:bookmarkEnd w:id="33"/>
      <w:bookmarkEnd w:id="34"/>
    </w:p>
    <w:p/>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6"/>
                            <w:rPr>
                              <w:rFonts w:hint="eastAsia" w:ascii="宋体" w:hAnsi="宋体" w:eastAsia="宋体" w:cs="宋体"/>
                              <w:sz w:val="28"/>
                              <w:szCs w:val="28"/>
                              <w:lang w:eastAsia="zh-CN"/>
                            </w:rPr>
                          </w:pPr>
                          <w:r>
                            <w:rPr>
                              <w:rFonts w:hint="eastAsia" w:ascii="宋体" w:hAnsi="宋体" w:eastAsia="宋体" w:cs="宋体"/>
                              <w:sz w:val="28"/>
                              <w:szCs w:val="28"/>
                              <w:lang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- 1 -</w:t>
                          </w:r>
                          <w:r>
                            <w:rPr>
                              <w:rFonts w:hint="eastAsia" w:ascii="宋体" w:hAnsi="宋体" w:eastAsia="宋体" w:cs="宋体"/>
                              <w:sz w:val="28"/>
                              <w:szCs w:val="28"/>
                              <w:lang w:eastAsia="zh-CN"/>
                            </w:rPr>
                            <w:fldChar w:fldCharType="end"/>
                          </w:r>
                          <w:r>
                            <w:rPr>
                              <w:rFonts w:hint="eastAsia" w:ascii="宋体" w:hAnsi="宋体" w:eastAsia="宋体" w:cs="宋体"/>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pPr>
                      <w:pStyle w:val="6"/>
                      <w:rPr>
                        <w:rFonts w:hint="eastAsia" w:ascii="宋体" w:hAnsi="宋体" w:eastAsia="宋体" w:cs="宋体"/>
                        <w:sz w:val="28"/>
                        <w:szCs w:val="28"/>
                        <w:lang w:eastAsia="zh-CN"/>
                      </w:rPr>
                    </w:pPr>
                    <w:r>
                      <w:rPr>
                        <w:rFonts w:hint="eastAsia" w:ascii="宋体" w:hAnsi="宋体" w:eastAsia="宋体" w:cs="宋体"/>
                        <w:sz w:val="28"/>
                        <w:szCs w:val="28"/>
                        <w:lang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- 1 -</w:t>
                    </w:r>
                    <w:r>
                      <w:rPr>
                        <w:rFonts w:hint="eastAsia" w:ascii="宋体" w:hAnsi="宋体" w:eastAsia="宋体" w:cs="宋体"/>
                        <w:sz w:val="28"/>
                        <w:szCs w:val="28"/>
                        <w:lang w:eastAsia="zh-CN"/>
                      </w:rPr>
                      <w:fldChar w:fldCharType="end"/>
                    </w:r>
                    <w:r>
                      <w:rPr>
                        <w:rFonts w:hint="eastAsia" w:ascii="宋体" w:hAnsi="宋体" w:eastAsia="宋体" w:cs="宋体"/>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ExZjUxNWE0NWJhMGEyZGI3ZWI3YTYxOTBiYmQ5M2YifQ=="/>
  </w:docVars>
  <w:rsids>
    <w:rsidRoot w:val="00000000"/>
    <w:rsid w:val="23204FC1"/>
    <w:rsid w:val="51CB56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3"/>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0">
    <w:name w:val="Default Paragraph Font"/>
    <w:semiHidden/>
    <w:uiPriority w:val="0"/>
  </w:style>
  <w:style w:type="table" w:default="1" w:styleId="8">
    <w:name w:val="Normal Table"/>
    <w:semiHidden/>
    <w:uiPriority w:val="0"/>
    <w:tblPr>
      <w:tblCellMar>
        <w:top w:w="0" w:type="dxa"/>
        <w:left w:w="108" w:type="dxa"/>
        <w:bottom w:w="0" w:type="dxa"/>
        <w:right w:w="108" w:type="dxa"/>
      </w:tblCellMar>
    </w:tblPr>
  </w:style>
  <w:style w:type="paragraph" w:styleId="3">
    <w:name w:val="Normal Indent"/>
    <w:qFormat/>
    <w:uiPriority w:val="0"/>
    <w:pPr>
      <w:widowControl w:val="0"/>
      <w:ind w:firstLine="420"/>
      <w:jc w:val="both"/>
    </w:pPr>
    <w:rPr>
      <w:rFonts w:ascii="Calibri" w:hAnsi="Calibri" w:eastAsia="宋体" w:cs="Times New Roman"/>
      <w:kern w:val="2"/>
      <w:sz w:val="21"/>
      <w:szCs w:val="20"/>
      <w:lang w:val="en-US" w:eastAsia="zh-CN" w:bidi="ar-SA"/>
    </w:rPr>
  </w:style>
  <w:style w:type="paragraph" w:styleId="5">
    <w:name w:val="Plain Text"/>
    <w:basedOn w:val="1"/>
    <w:qFormat/>
    <w:uiPriority w:val="0"/>
    <w:rPr>
      <w:rFonts w:ascii="宋体" w:hAnsi="Courier New"/>
      <w:szCs w:val="20"/>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1">
    <w:name w:val="Table Normal"/>
    <w:unhideWhenUsed/>
    <w:qFormat/>
    <w:uiPriority w:val="2"/>
    <w:pPr>
      <w:widowControl w:val="0"/>
      <w:autoSpaceDE w:val="0"/>
      <w:autoSpaceDN w:val="0"/>
    </w:pPr>
    <w:rPr>
      <w:kern w:val="0"/>
      <w:sz w:val="22"/>
      <w:lang w:eastAsia="en-US"/>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53</Pages>
  <Words>17655</Words>
  <Characters>19423</Characters>
  <Lines>0</Lines>
  <Paragraphs>0</Paragraphs>
  <TotalTime>0</TotalTime>
  <ScaleCrop>false</ScaleCrop>
  <LinksUpToDate>false</LinksUpToDate>
  <CharactersWithSpaces>20619</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2022-11-18T07:05:04Z</dcterms:created>
  <dc:creator>Administrator</dc:creator>
  <cp:lastModifiedBy>宅喵</cp:lastModifiedBy>
  <dcterms:modified xsi:type="dcterms:W3CDTF">2022-11-18T07:05:37Z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8184ABBA00C94AC5B6DBA6F52A75D1AC</vt:lpwstr>
  </property>
</Properties>
</file>