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bookmarkStart w:id="0" w:name="_Toc152045787"/>
      <w:bookmarkStart w:id="1" w:name="_Toc300835209"/>
      <w:bookmarkStart w:id="2" w:name="_Toc144974856"/>
      <w:bookmarkStart w:id="3" w:name="_Toc152042576"/>
      <w:bookmarkStart w:id="4" w:name="_Toc247514246"/>
      <w:bookmarkStart w:id="5" w:name="_Toc247527827"/>
      <w:r>
        <w:rPr>
          <w:rFonts w:hint="default" w:ascii="Times New Roman" w:hAnsi="Times New Roman" w:eastAsia="黑体" w:cs="Times New Roman"/>
          <w:kern w:val="0"/>
          <w:sz w:val="32"/>
          <w:szCs w:val="32"/>
          <w:highlight w:val="none"/>
          <w:lang w:val="en-US" w:eastAsia="zh-CN"/>
        </w:rPr>
        <w:t>华佗中医院公交场站充电桩、低压及配套安装工程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BZJK-2022-052号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年十</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华佗中医院公交场站充电桩、低压及配套安装工程</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6" w:name="_Toc296602410"/>
      <w:bookmarkStart w:id="7" w:name="_Toc247085680"/>
      <w:bookmarkStart w:id="8" w:name="_Toc246996166"/>
      <w:bookmarkStart w:id="9" w:name="_Toc152045519"/>
      <w:bookmarkStart w:id="10" w:name="_Toc179632536"/>
      <w:bookmarkStart w:id="11" w:name="_Toc246996909"/>
      <w:bookmarkStart w:id="12" w:name="_Toc144974487"/>
      <w:bookmarkStart w:id="13"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6"/>
      <w:bookmarkEnd w:id="7"/>
      <w:bookmarkEnd w:id="8"/>
      <w:bookmarkEnd w:id="9"/>
      <w:bookmarkEnd w:id="10"/>
      <w:bookmarkEnd w:id="11"/>
      <w:bookmarkEnd w:id="12"/>
      <w:bookmarkEnd w:id="13"/>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14" w:name="_Toc296602411"/>
      <w:bookmarkStart w:id="15" w:name="_Toc246996167"/>
      <w:bookmarkStart w:id="16" w:name="_Toc247085681"/>
      <w:bookmarkStart w:id="17" w:name="_Toc152042296"/>
      <w:bookmarkStart w:id="18" w:name="_Toc152045520"/>
      <w:bookmarkStart w:id="19" w:name="_Toc179632537"/>
      <w:bookmarkStart w:id="20" w:name="_Toc246996910"/>
      <w:bookmarkStart w:id="21" w:name="_Toc144974488"/>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lang w:val="en-US" w:eastAsia="zh-CN"/>
        </w:rPr>
        <w:t>华佗中医院公交场站充电桩、低压及配套安装工程</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BZJK-2022-052号</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14"/>
      <w:bookmarkEnd w:id="15"/>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（一）项目概况：华佗中医院公交场站项目采购包含120KW充电桩15台、低压施工、电缆及辅料、充电桩基础、阻车器、土建材料及安装等工程。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本次招标内容包括但不限于充电桩设备采购、电缆采购、电缆沟铺设、安装、调试、检测、成品保护、验收、交付相关资料、质量保修、充电桩平台免费使用、产品保险等，以项目清单及技术参数要求为准，经验收合格后移交给招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（三）质量要求：符合国家、行业、地方现行相关规范合格标准，满足发包人要求。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（四）计划工期：自签订合同之日起20个日历天。</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壹佰壹拾柒万元，（小写）：1170000元。按固定总价方式报价，投标报价不得高于最高投标限价，否则按无效投标处理；投标报价包含设备采购、运输、安装、调试、检测、验收以及国家规定的增值税税金等全部费用，中标后不予调整，其他未尽事宜应统一考虑在报价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（一）投标人须具有独立法人资格，具有有效的营业执照</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（二）投标人须是充电桩设备的生产厂家，或经特许授权（代理商参加投标的，必须出具相关企业对本项目出具的唯一授权书）。</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（三）业绩要求：投标人须提供至少1项类似项目业绩。“类似业绩”指投标人2019年1月1日至今已完成的单项合同金额不低于100万的充电桩供货业绩，业绩以合同签订时间为准。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（四）本项目委托代理人必须是投标单位正式人员，须提供投标单位公司为其缴纳的2022年1月1日起任意3个月及以上养老保险证明，否则按无效投标处理。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（五）投标人如在以往承接亳州交通投资控股集团有限公司及其子公司项目过程中，列入不受欢迎的供应商名单的，不得参加本次招标投标活动；</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（六）信誉要求：投标人存在以下不良信用记录情形之一的，不得推荐为中标候选人。</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2.投标人被市场监督管理部门列入企业经营异常名录的；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28</w:t>
      </w:r>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2022年11月8日9时00分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宋体" w:hAnsi="宋体" w:eastAsia="宋体" w:cs="宋体"/>
                <w:szCs w:val="21"/>
                <w:highlight w:val="none"/>
                <w:lang w:val="en-US" w:eastAsia="zh-CN"/>
              </w:rPr>
              <w:t>有</w:t>
            </w:r>
            <w:r>
              <w:rPr>
                <w:rFonts w:hint="eastAsia" w:ascii="宋体" w:hAnsi="宋体" w:cs="宋体"/>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贰万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20000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BZJK-2022-052号保证金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eastAsia="宋体" w:cs="Times New Roman"/>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rPr>
              <w:t>华佗中医院公交场站充电桩、低压及配套安装工程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招标项目编号：BZJK-2022-052号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2022年11月8日9时00分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color w:val="auto"/>
          <w:sz w:val="32"/>
          <w:szCs w:val="32"/>
          <w:highlight w:val="none"/>
          <w:lang w:val="en-US" w:eastAsia="zh-CN"/>
        </w:rPr>
      </w:pPr>
      <w:r>
        <w:rPr>
          <w:rFonts w:hint="default" w:ascii="宋体" w:hAnsi="宋体" w:eastAsia="宋体" w:cs="宋体"/>
          <w:b/>
          <w:bCs/>
          <w:color w:val="auto"/>
          <w:sz w:val="32"/>
          <w:szCs w:val="32"/>
          <w:highlight w:val="none"/>
          <w:lang w:val="en-US" w:eastAsia="zh-CN"/>
        </w:rPr>
        <w:t>第三章 评标办法</w:t>
      </w:r>
      <w:r>
        <w:rPr>
          <w:rFonts w:hint="eastAsia" w:ascii="宋体" w:hAnsi="宋体" w:eastAsia="宋体" w:cs="宋体"/>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评标办法前附表</w:t>
      </w:r>
    </w:p>
    <w:tbl>
      <w:tblPr>
        <w:tblStyle w:val="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4"/>
        <w:gridCol w:w="975"/>
        <w:gridCol w:w="1975"/>
        <w:gridCol w:w="47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49"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条款号</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评审因素</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75"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形式评审标准</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投标人名称</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eastAsia="宋体" w:cs="Times New Roman"/>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eastAsia="宋体" w:cs="Times New Roman"/>
                <w:kern w:val="0"/>
                <w:sz w:val="24"/>
                <w:szCs w:val="24"/>
                <w:highlight w:val="none"/>
              </w:rPr>
              <w:t>签字盖章</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投标文件格式</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符合</w:t>
            </w:r>
            <w:r>
              <w:rPr>
                <w:rFonts w:hint="default" w:ascii="Times New Roman" w:hAnsi="Times New Roman" w:eastAsia="宋体" w:cs="Times New Roman"/>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eastAsia="宋体" w:cs="Times New Roman"/>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7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975"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资格评审标准</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营业执照</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975"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响应性评审标准</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eastAsia="宋体" w:cs="Times New Roman"/>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eastAsia="宋体" w:cs="Times New Roman"/>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eastAsia="宋体" w:cs="Times New Roman"/>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7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975"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kern w:val="0"/>
                <w:sz w:val="24"/>
                <w:szCs w:val="24"/>
                <w:highlight w:val="none"/>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49"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bookmarkStart w:id="22" w:name="_Toc246996232"/>
            <w:bookmarkStart w:id="23" w:name="_Toc144974556"/>
            <w:bookmarkStart w:id="24" w:name="_Toc247085747"/>
            <w:bookmarkStart w:id="25" w:name="_Toc296602477"/>
            <w:bookmarkStart w:id="26" w:name="_Toc246996975"/>
            <w:bookmarkStart w:id="27" w:name="_Toc179632607"/>
            <w:bookmarkStart w:id="28" w:name="_Toc152045589"/>
            <w:bookmarkStart w:id="29" w:name="_Toc152042366"/>
            <w:r>
              <w:rPr>
                <w:rFonts w:hint="default" w:ascii="Times New Roman" w:hAnsi="Times New Roman" w:cs="Times New Roman"/>
                <w:b/>
                <w:bCs/>
                <w:kern w:val="0"/>
                <w:sz w:val="24"/>
                <w:szCs w:val="24"/>
                <w:highlight w:val="none"/>
                <w:lang w:val="en-US" w:eastAsia="zh-CN"/>
              </w:rPr>
              <w:t>条款号</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条款内容</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49"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49"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49"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49"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7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eastAsia="宋体" w:cs="Times New Roman"/>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7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97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技术评分标准（25分）</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（15分）</w:t>
            </w:r>
          </w:p>
        </w:tc>
        <w:tc>
          <w:tcPr>
            <w:tcW w:w="4796"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1.投标人投标设备技术性能指标全部符合招标文件技术标准和要求的得10分。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注：.投标人应提供投标设备（120kw及以上一体式直流充电桩）带有CMA或CNAS标识的型式试验报告复印件，加盖投标人单位公章，并装订入投标文件中；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2.投标人应具有自主研发、制造充电设备及后台监控系统的能力：</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（1）有充电桩主机控制器软件著作权，且管理平台支持后台控制得1分。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（2）有充电APP苹果和安卓端软件著作权，且支持APP扫码充电得2分。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（3）有充电微信小程序软件著作权得2分。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（须提供上述相关证明材料复印件加盖公章件放入投标文件，否则不得分）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74" w:type="dxa"/>
            <w:vMerge w:val="continue"/>
            <w:tcBorders>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p>
        </w:tc>
        <w:tc>
          <w:tcPr>
            <w:tcW w:w="975"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供货安装组织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（10分）</w:t>
            </w:r>
          </w:p>
        </w:tc>
        <w:tc>
          <w:tcPr>
            <w:tcW w:w="4796"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投标人针对本项目编制供货安装组织设计，包括但不限于项目概况、施工方案、质量保障措施、进度计划、投标设备供货、安装、调试方案、项目疑难点分析等内容。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7—10</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良得4—7分，</w:t>
            </w:r>
            <w:r>
              <w:rPr>
                <w:rFonts w:hint="default" w:ascii="Times New Roman" w:hAnsi="Times New Roman" w:cs="Times New Roman"/>
                <w:kern w:val="0"/>
                <w:sz w:val="24"/>
                <w:szCs w:val="24"/>
                <w:highlight w:val="none"/>
                <w:lang w:val="en-US" w:eastAsia="zh-CN"/>
              </w:rPr>
              <w:t>一般得</w:t>
            </w:r>
            <w:r>
              <w:rPr>
                <w:rFonts w:hint="eastAsia" w:ascii="Times New Roman" w:hAnsi="Times New Roman" w:cs="Times New Roman"/>
                <w:kern w:val="0"/>
                <w:sz w:val="24"/>
                <w:szCs w:val="24"/>
                <w:highlight w:val="none"/>
                <w:lang w:val="en-US" w:eastAsia="zh-CN"/>
              </w:rPr>
              <w:t>1—4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7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w:t>
            </w:r>
          </w:p>
        </w:tc>
        <w:tc>
          <w:tcPr>
            <w:tcW w:w="97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商务评分标准（35分）</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（18分）</w:t>
            </w:r>
          </w:p>
        </w:tc>
        <w:tc>
          <w:tcPr>
            <w:tcW w:w="4796"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1.产品先进性：投标产品取得省级或以上</w:t>
            </w:r>
            <w:r>
              <w:rPr>
                <w:rFonts w:hint="eastAsia" w:ascii="Times New Roman" w:hAnsi="Times New Roman" w:cs="Times New Roman"/>
                <w:kern w:val="0"/>
                <w:sz w:val="24"/>
                <w:szCs w:val="24"/>
                <w:highlight w:val="none"/>
                <w:lang w:val="en-US" w:eastAsia="zh-CN"/>
              </w:rPr>
              <w:t>行政主管部门</w:t>
            </w:r>
            <w:bookmarkStart w:id="80" w:name="_GoBack"/>
            <w:bookmarkEnd w:id="80"/>
            <w:r>
              <w:rPr>
                <w:rFonts w:hint="default" w:ascii="Times New Roman" w:hAnsi="Times New Roman" w:cs="Times New Roman"/>
                <w:kern w:val="0"/>
                <w:sz w:val="24"/>
                <w:szCs w:val="24"/>
                <w:highlight w:val="none"/>
                <w:lang w:val="en-US" w:eastAsia="zh-CN"/>
              </w:rPr>
              <w:t>认定的高新技术产品认证证书（充电桩类）的得3分</w:t>
            </w:r>
            <w:r>
              <w:rPr>
                <w:rFonts w:hint="eastAsia" w:ascii="Times New Roman" w:hAnsi="Times New Roman" w:cs="Times New Roman"/>
                <w:kern w:val="0"/>
                <w:sz w:val="24"/>
                <w:szCs w:val="24"/>
                <w:highlight w:val="none"/>
                <w:lang w:val="en-US" w:eastAsia="zh-CN"/>
              </w:rPr>
              <w:t>，满分3分</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2.提供有效的发明专利证书（充电桩类），每提供一份得1分，满分3分；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3.投标人每具有一项自主知识产权（充电桩类），得1分，满分3分；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.投标人具有质量管理体系认证证书、环境管理体系认证证书和职业健康安全管理体系认证证书（认证范围包含充电设备）每</w:t>
            </w:r>
            <w:r>
              <w:rPr>
                <w:rFonts w:hint="eastAsia" w:ascii="Times New Roman" w:hAnsi="Times New Roman" w:cs="Times New Roman"/>
                <w:kern w:val="0"/>
                <w:sz w:val="24"/>
                <w:szCs w:val="24"/>
                <w:highlight w:val="none"/>
                <w:lang w:val="en-US" w:eastAsia="zh-CN"/>
              </w:rPr>
              <w:t>提供1</w:t>
            </w:r>
            <w:r>
              <w:rPr>
                <w:rFonts w:hint="default" w:ascii="Times New Roman" w:hAnsi="Times New Roman" w:cs="Times New Roman"/>
                <w:kern w:val="0"/>
                <w:sz w:val="24"/>
                <w:szCs w:val="24"/>
                <w:highlight w:val="none"/>
                <w:lang w:val="en-US" w:eastAsia="zh-CN"/>
              </w:rPr>
              <w:t>项</w:t>
            </w:r>
            <w:r>
              <w:rPr>
                <w:rFonts w:hint="eastAsia" w:ascii="Times New Roman" w:hAnsi="Times New Roman" w:cs="Times New Roman"/>
                <w:kern w:val="0"/>
                <w:sz w:val="24"/>
                <w:szCs w:val="24"/>
                <w:highlight w:val="none"/>
                <w:lang w:val="en-US" w:eastAsia="zh-CN"/>
              </w:rPr>
              <w:t>得3分，满分9分</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（须提供上述相关证明材料复印件加盖公章件放入投标文件，否则不得分）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74" w:type="dxa"/>
            <w:vMerge w:val="continue"/>
            <w:tcBorders>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p>
        </w:tc>
        <w:tc>
          <w:tcPr>
            <w:tcW w:w="975" w:type="dxa"/>
            <w:vMerge w:val="continue"/>
            <w:tcBorders>
              <w:left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（9分）</w:t>
            </w:r>
          </w:p>
        </w:tc>
        <w:tc>
          <w:tcPr>
            <w:tcW w:w="4796"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除门槛业绩外，2019年1月1日至今，投标人每额外提供一个已完成的单项合同金额不低于100万的充电桩供货业绩的得3分，最高得9分。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（业绩合同以合同签订时间为准。投标人须提供业绩合同复印件，加盖单位公章并装订入投标文件中）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74" w:type="dxa"/>
            <w:vMerge w:val="continue"/>
            <w:tcBorders>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p>
        </w:tc>
        <w:tc>
          <w:tcPr>
            <w:tcW w:w="975"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（8分）</w:t>
            </w:r>
          </w:p>
        </w:tc>
        <w:tc>
          <w:tcPr>
            <w:tcW w:w="4796"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1.售后服务点（2分）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投标人在安徽省内设有分公司或子公司或服务网点的得2分。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注：投标人须提供售后服务点详细地址、售后联系人、联系方式等信息，并装订入投标文件中。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2.售后服务响应时限（1分）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注：投标人须针对售后服务响应时限出具承诺书，加盖投标人单位公章，并装订入投标文件中。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3.售后服务方案（5分）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响应时限承诺、投标设备常见故障分析及解决方案、备品备件及易损件价格清单、质保期内售后服务计划、质保期外售后服务计划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3—5</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74"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（3）</w:t>
            </w:r>
          </w:p>
        </w:tc>
        <w:tc>
          <w:tcPr>
            <w:tcW w:w="97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投标报价评分标准（40分）</w:t>
            </w:r>
          </w:p>
        </w:tc>
        <w:tc>
          <w:tcPr>
            <w:tcW w:w="197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（40分）</w:t>
            </w:r>
          </w:p>
        </w:tc>
        <w:tc>
          <w:tcPr>
            <w:tcW w:w="4796" w:type="dxa"/>
            <w:tcBorders>
              <w:top w:val="single" w:color="auto" w:sz="4" w:space="0"/>
              <w:lef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color="auto" w:fill="auto"/>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eastAsia="宋体" w:cs="Times New Roman"/>
          <w:kern w:val="0"/>
          <w:sz w:val="24"/>
          <w:szCs w:val="24"/>
          <w:highlight w:val="none"/>
        </w:rPr>
        <w:t>得分高的优先；如</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eastAsia="宋体" w:cs="Times New Roman"/>
          <w:kern w:val="0"/>
          <w:sz w:val="24"/>
          <w:szCs w:val="24"/>
          <w:highlight w:val="none"/>
        </w:rPr>
        <w:t>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eastAsia="宋体" w:cs="Times New Roman"/>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lang w:val="en-US"/>
        </w:rPr>
      </w:pPr>
      <w:r>
        <w:rPr>
          <w:rFonts w:hint="default" w:ascii="Times New Roman" w:hAnsi="Times New Roman" w:eastAsia="宋体" w:cs="Times New Roman"/>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eastAsia="宋体" w:cs="Times New Roman"/>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eastAsia="宋体" w:cs="Times New Roman"/>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eastAsia="宋体" w:cs="Times New Roman"/>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 xml:space="preserve">第四章 </w:t>
      </w:r>
      <w:r>
        <w:rPr>
          <w:rFonts w:hint="default" w:ascii="宋体" w:hAnsi="宋体" w:eastAsia="宋体" w:cs="宋体"/>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宋体" w:hAnsi="宋体" w:eastAsia="宋体" w:cs="宋体"/>
          <w:b/>
          <w:bCs/>
          <w:sz w:val="28"/>
          <w:szCs w:val="28"/>
          <w:highlight w:val="none"/>
          <w:lang w:val="en-US" w:eastAsia="zh-CN"/>
        </w:rPr>
      </w:pPr>
    </w:p>
    <w:tbl>
      <w:tblPr>
        <w:tblStyle w:val="1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项目完工并验收合格正常使用后付至 80%，充电桩设备接入招标人指定充电桩管理平台，验收合格后10日内付款至97%；余款3%作为质保金，质保结束无质量问题或者在问题处理后一次性付清（本金无息）。招标人付款前，中标方需提供增值税专用发票（充电桩设备税率13%、工程施工税率9%），否则招标人有权暂停付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bookmarkEnd w:id="22"/>
    <w:bookmarkEnd w:id="23"/>
    <w:bookmarkEnd w:id="24"/>
    <w:bookmarkEnd w:id="25"/>
    <w:bookmarkEnd w:id="26"/>
    <w:bookmarkEnd w:id="27"/>
    <w:bookmarkEnd w:id="28"/>
    <w:bookmarkEnd w:id="29"/>
    <w:p>
      <w:pPr>
        <w:jc w:val="center"/>
        <w:rPr>
          <w:rFonts w:hint="default" w:ascii="Times New Roman" w:hAnsi="Times New Roman" w:eastAsia="宋体" w:cs="Times New Roman"/>
          <w:b/>
          <w:bCs/>
          <w:sz w:val="32"/>
          <w:szCs w:val="32"/>
          <w:highlight w:val="none"/>
          <w:lang w:val="en-US" w:eastAsia="zh-CN"/>
        </w:rPr>
      </w:pPr>
      <w:r>
        <w:rPr>
          <w:rFonts w:hint="eastAsia" w:ascii="Times New Roman" w:hAnsi="Times New Roman" w:eastAsia="宋体" w:cs="Times New Roman"/>
          <w:b/>
          <w:bCs/>
          <w:sz w:val="32"/>
          <w:szCs w:val="32"/>
          <w:highlight w:val="none"/>
          <w:lang w:val="en-US" w:eastAsia="zh-CN"/>
        </w:rPr>
        <w:t>第五章 技术标准和要求</w:t>
      </w:r>
    </w:p>
    <w:p>
      <w:pPr>
        <w:jc w:val="center"/>
        <w:rPr>
          <w:rFonts w:hint="eastAsia" w:ascii="Times New Roman" w:hAnsi="Times New Roman" w:eastAsia="宋体" w:cs="Times New Roman"/>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eastAsia="宋体" w:cs="Times New Roman"/>
          <w:b/>
          <w:bCs/>
          <w:sz w:val="32"/>
          <w:szCs w:val="32"/>
          <w:highlight w:val="none"/>
          <w:lang w:val="en-US" w:eastAsia="zh-CN"/>
        </w:rPr>
      </w:pPr>
      <w:r>
        <w:rPr>
          <w:rFonts w:hint="eastAsia" w:ascii="Times New Roman" w:hAnsi="Times New Roman" w:eastAsia="宋体" w:cs="Times New Roman"/>
          <w:b/>
          <w:bCs/>
          <w:sz w:val="32"/>
          <w:szCs w:val="32"/>
          <w:highlight w:val="none"/>
          <w:lang w:val="en-US" w:eastAsia="zh-CN"/>
        </w:rPr>
        <w:t>（1）技术标准和要求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1.所有充电数据接口要免费共享使用；</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2.所有数据和操作模式接入使用方现有的充电桩平台；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3.中标人应免费对接充电桩平台，在未对接时应提供免费的充电桩收费平台供招标人使用。</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4.120KW一体式直流充电设备，每个充电机单枪平均功率不得低于设备总功率/枪数，单枪最大功率不得低于120KW，全部采用国标250A充电枪，线径80MM²充电枪线；</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5.如车型或电池更新，应免费升级设备保证正常使用；</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6.充电桩适用于现在各种车型配对，要求充电电压满足300V-750V。</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29316-2012《电动汽车充换电设施电能质量技术要求》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29318-2012《电动汽车非车载充电机电能计量》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29781-2013《电动汽车充电站通用要求》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 50996-2014《电动汽车充电站设计规范》</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18487.1-2001《电动车辆传导充电系统一般要求》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18487.2-2001《电动车辆传导充电系统电动车辆与交流/直流电源的连接要求》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18487.3-2001《电动车辆传导充电系统电动车辆与交流/直流充电桩（站）》</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20234-2006《电动汽车传导充电用插头、插座、车辆耦合器和车辆插孔通用要求》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20234.1-2015《电动汽车传导充电用连接装置 第1部分：通用要求》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20234.3-2015《电动汽车传导充电用连接装置 第3部分：直流充电接口》</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NB/T 33001-2010《电动汽车非车载传导式充电桩技术条件》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NB/T 33002-2010《电动汽车交流充电桩技术条件》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NB/T 33004-2013《电动汽车充换电设施工程施工和竣工验收规范》</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NB/T 33008.1-2013《电动汽车充电设备检验试验规范 第1部分：非车载充电桩》</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27930-2015《电动汽车非车载传导式充电机与电池管理系统之间的通信协议》</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GB/T 17215.321-2008《静止式有功电能表 1 级和 2级》</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 17625.2-2007《电磁兼容限值对每相额定电流≤16A且无条件接入的设备在公用低压供电系统中产生的电压变化、电压波动和闪烁的限制》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GB 17625.3-2000《电磁兼容限值对额定电流大于16A的设备在低压供电系统中产生的电压波动和闪烁的限制》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DL/T 620-1997《交流电气装置的过电压保护和绝缘配合》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DL/T 621-1997《交流电气装置的接地》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GJB 3855-1999《智能充电桩通用规范》</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eastAsia" w:ascii="Times New Roman" w:hAnsi="Times New Roman" w:cs="Times New Roman"/>
          <w:b/>
          <w:bCs/>
          <w:kern w:val="0"/>
          <w:sz w:val="24"/>
          <w:szCs w:val="24"/>
          <w:highlight w:val="none"/>
          <w:lang w:val="en-US" w:eastAsia="zh-CN"/>
        </w:rPr>
        <w:t>直流充电桩技术参数</w:t>
      </w:r>
    </w:p>
    <w:tbl>
      <w:tblPr>
        <w:tblStyle w:val="9"/>
        <w:tblW w:w="8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69"/>
        <w:gridCol w:w="2391"/>
        <w:gridCol w:w="5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序号</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项目</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交流输入电压</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三相380V（-15%，＋15％）AC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交流输入频率</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3</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充电功率</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sz w:val="24"/>
              </w:rPr>
              <w:t>单枪输出时功率可以达到120KW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4</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额定输出电流</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0--250A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5</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结构形式</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一体式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6</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环境温度</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不高于50℃，不低于-20℃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7</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额定频率</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8</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额定交流输入电压波动范围</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380V±15%（323～437V）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9</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IP防护等级</w:t>
            </w:r>
          </w:p>
        </w:tc>
        <w:tc>
          <w:tcPr>
            <w:tcW w:w="5055" w:type="dxa"/>
            <w:noWrap/>
            <w:vAlign w:val="center"/>
          </w:tcPr>
          <w:p>
            <w:pPr>
              <w:wordWrap w:val="0"/>
              <w:spacing w:line="700" w:lineRule="exact"/>
              <w:ind w:firstLine="420" w:firstLineChars="200"/>
              <w:rPr>
                <w:rFonts w:hint="eastAsia" w:ascii="Times New Roman" w:hAnsi="Times New Roman" w:cs="Times New Roman"/>
                <w:b/>
                <w:bCs/>
                <w:kern w:val="0"/>
                <w:sz w:val="24"/>
                <w:szCs w:val="24"/>
                <w:highlight w:val="none"/>
                <w:lang w:val="en-US" w:eastAsia="zh-CN"/>
              </w:rPr>
            </w:pPr>
            <w:r>
              <w:rPr>
                <w:rFonts w:hint="eastAsia"/>
                <w:lang w:val="en-US" w:eastAsia="zh-CN"/>
              </w:rPr>
              <w:t>≥IP54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10</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直流输出电压</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200V-750V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11</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输出方式</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一机双枪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12</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单枪最大功率</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不低于</w:t>
            </w:r>
            <w:r>
              <w:rPr>
                <w:rFonts w:ascii="宋体" w:hAnsi="宋体" w:eastAsia="宋体" w:cs="宋体"/>
                <w:kern w:val="0"/>
                <w:sz w:val="24"/>
              </w:rPr>
              <w:t>120kW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13</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输入功率因数</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ascii="宋体" w:hAnsi="宋体"/>
                <w:color w:val="auto"/>
                <w:sz w:val="24"/>
                <w:highlight w:val="none"/>
                <w:shd w:val="clear" w:color="auto" w:fill="auto"/>
              </w:rPr>
              <w:t>0.96</w:t>
            </w:r>
            <w:r>
              <w:rPr>
                <w:rFonts w:hint="eastAsia" w:ascii="宋体" w:hAnsi="宋体"/>
                <w:color w:val="auto"/>
                <w:sz w:val="24"/>
                <w:highlight w:val="none"/>
                <w:shd w:val="clear" w:color="auto" w:fill="auto"/>
              </w:rPr>
              <w:t>~</w:t>
            </w:r>
            <w:r>
              <w:rPr>
                <w:rFonts w:ascii="宋体" w:hAnsi="宋体"/>
                <w:color w:val="auto"/>
                <w:sz w:val="24"/>
                <w:highlight w:val="none"/>
                <w:shd w:val="clear" w:color="auto" w:fill="auto"/>
              </w:rPr>
              <w:t>0.9</w:t>
            </w:r>
            <w:r>
              <w:rPr>
                <w:rFonts w:hint="eastAsia" w:ascii="宋体" w:hAnsi="宋体"/>
                <w:color w:val="auto"/>
                <w:sz w:val="24"/>
                <w:highlight w:val="none"/>
                <w:shd w:val="clear" w:color="auto" w:fill="auto"/>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14</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综合效率</w:t>
            </w:r>
          </w:p>
        </w:tc>
        <w:tc>
          <w:tcPr>
            <w:tcW w:w="5055" w:type="dxa"/>
            <w:noWrap/>
            <w:vAlign w:val="center"/>
          </w:tcPr>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ascii="宋体" w:hAnsi="宋体" w:eastAsia="宋体" w:cs="宋体"/>
                <w:color w:val="auto"/>
                <w:kern w:val="0"/>
                <w:sz w:val="24"/>
              </w:rPr>
            </w:pPr>
            <w:r>
              <w:rPr>
                <w:rFonts w:hint="eastAsia" w:ascii="宋体" w:hAnsi="宋体" w:eastAsia="宋体" w:cs="宋体"/>
                <w:color w:val="auto"/>
                <w:kern w:val="0"/>
                <w:sz w:val="24"/>
              </w:rPr>
              <w:t>满载时，效率应大于等于9</w:t>
            </w:r>
            <w:r>
              <w:rPr>
                <w:rFonts w:hint="eastAsia" w:ascii="宋体" w:hAnsi="宋体" w:eastAsia="宋体" w:cs="宋体"/>
                <w:color w:val="auto"/>
                <w:kern w:val="0"/>
                <w:sz w:val="24"/>
                <w:lang w:val="en-US" w:eastAsia="zh-CN"/>
              </w:rPr>
              <w:t>4</w:t>
            </w:r>
            <w:r>
              <w:rPr>
                <w:rFonts w:hint="eastAsia" w:ascii="宋体" w:hAnsi="宋体" w:eastAsia="宋体" w:cs="宋体"/>
                <w:color w:val="auto"/>
                <w:kern w:val="0"/>
                <w:sz w:val="24"/>
              </w:rPr>
              <w:t>%。</w:t>
            </w:r>
          </w:p>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color w:val="auto"/>
                <w:kern w:val="0"/>
                <w:sz w:val="24"/>
              </w:rPr>
              <w:t>半载及以上，效率应大于等于92%</w:t>
            </w:r>
            <w:r>
              <w:rPr>
                <w:rFonts w:hint="eastAsia" w:ascii="宋体" w:hAnsi="宋体" w:eastAsia="宋体" w:cs="宋体"/>
                <w:color w:val="auto"/>
                <w:kern w:val="0"/>
                <w:sz w:val="24"/>
                <w:highlight w:val="none"/>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15</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电流谐波总畸变率</w:t>
            </w:r>
          </w:p>
        </w:tc>
        <w:tc>
          <w:tcPr>
            <w:tcW w:w="5055" w:type="dxa"/>
            <w:noWrap/>
            <w:vAlign w:val="center"/>
          </w:tcPr>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宋体" w:hAnsi="宋体" w:eastAsia="宋体" w:cs="宋体"/>
                <w:color w:val="auto"/>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16</w:t>
            </w:r>
          </w:p>
        </w:tc>
        <w:tc>
          <w:tcPr>
            <w:tcW w:w="2391"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cs="宋体"/>
                <w:sz w:val="24"/>
              </w:rPr>
              <w:t>输出电压设定误差</w:t>
            </w:r>
          </w:p>
        </w:tc>
        <w:tc>
          <w:tcPr>
            <w:tcW w:w="5055" w:type="dxa"/>
            <w:noWrap/>
            <w:vAlign w:val="center"/>
          </w:tcPr>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宋体" w:hAnsi="宋体" w:eastAsia="宋体" w:cs="宋体"/>
                <w:color w:val="auto"/>
                <w:kern w:val="0"/>
                <w:sz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17</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输出电流误差</w:t>
            </w:r>
          </w:p>
        </w:tc>
        <w:tc>
          <w:tcPr>
            <w:tcW w:w="5055" w:type="dxa"/>
            <w:noWrap/>
            <w:vAlign w:val="center"/>
          </w:tcPr>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ascii="宋体" w:hAnsi="宋体" w:eastAsia="宋体" w:cs="宋体"/>
                <w:color w:val="auto"/>
                <w:kern w:val="0"/>
                <w:sz w:val="24"/>
              </w:rPr>
            </w:pPr>
            <w:r>
              <w:rPr>
                <w:rFonts w:hint="eastAsia" w:ascii="宋体" w:hAnsi="宋体" w:eastAsia="宋体" w:cs="宋体"/>
                <w:color w:val="auto"/>
                <w:kern w:val="0"/>
                <w:sz w:val="24"/>
              </w:rPr>
              <w:t>电流≥30A时，≤±1%；</w:t>
            </w:r>
          </w:p>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宋体" w:hAnsi="宋体" w:eastAsia="宋体" w:cs="宋体"/>
                <w:color w:val="auto"/>
                <w:kern w:val="0"/>
                <w:sz w:val="24"/>
              </w:rPr>
              <w:t>电流&lt;30A时，≤±0.3A。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18</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稳压精度</w:t>
            </w:r>
          </w:p>
        </w:tc>
        <w:tc>
          <w:tcPr>
            <w:tcW w:w="5055" w:type="dxa"/>
            <w:noWrap/>
            <w:vAlign w:val="center"/>
          </w:tcPr>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宋体" w:hAnsi="宋体" w:cs="宋体"/>
                <w:color w:val="auto"/>
                <w:sz w:val="24"/>
                <w:highlight w:val="none"/>
              </w:rPr>
              <w:t>不超过</w:t>
            </w:r>
            <w:r>
              <w:rPr>
                <w:rFonts w:ascii="宋体" w:hAnsi="宋体" w:cs="Calibri"/>
                <w:color w:val="auto"/>
                <w:sz w:val="24"/>
                <w:highlight w:val="none"/>
              </w:rPr>
              <w:t>±</w:t>
            </w:r>
            <w:r>
              <w:rPr>
                <w:rFonts w:ascii="宋体" w:hAnsi="宋体"/>
                <w:color w:val="auto"/>
                <w:sz w:val="24"/>
                <w:highlight w:val="none"/>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19</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稳流精度</w:t>
            </w:r>
          </w:p>
        </w:tc>
        <w:tc>
          <w:tcPr>
            <w:tcW w:w="5055" w:type="dxa"/>
            <w:noWrap/>
            <w:vAlign w:val="center"/>
          </w:tcPr>
          <w:p>
            <w:pPr>
              <w:keepNext w:val="0"/>
              <w:keepLines w:val="0"/>
              <w:pageBreakBefore w:val="0"/>
              <w:widowControl w:val="0"/>
              <w:kinsoku/>
              <w:wordWrap w:val="0"/>
              <w:overflowPunct/>
              <w:topLinePunct w:val="0"/>
              <w:autoSpaceDE/>
              <w:autoSpaceDN/>
              <w:bidi w:val="0"/>
              <w:adjustRightInd/>
              <w:snapToGrid/>
              <w:spacing w:line="700" w:lineRule="exact"/>
              <w:ind w:firstLine="480" w:firstLineChars="200"/>
              <w:textAlignment w:val="auto"/>
              <w:rPr>
                <w:rFonts w:hint="eastAsia" w:ascii="Times New Roman" w:hAnsi="Times New Roman" w:cs="Times New Roman"/>
                <w:b/>
                <w:bCs/>
                <w:kern w:val="0"/>
                <w:sz w:val="24"/>
                <w:szCs w:val="24"/>
                <w:highlight w:val="none"/>
                <w:lang w:val="en-US" w:eastAsia="zh-CN"/>
              </w:rPr>
            </w:pPr>
            <w:r>
              <w:rPr>
                <w:rFonts w:hint="eastAsia" w:ascii="宋体" w:hAnsi="宋体" w:cs="宋体"/>
                <w:color w:val="auto"/>
                <w:sz w:val="24"/>
                <w:highlight w:val="none"/>
              </w:rPr>
              <w:t>不超过</w:t>
            </w:r>
            <w:r>
              <w:rPr>
                <w:rFonts w:ascii="宋体" w:hAnsi="宋体" w:cs="Calibri"/>
                <w:color w:val="auto"/>
                <w:sz w:val="24"/>
                <w:highlight w:val="none"/>
              </w:rPr>
              <w:t>±</w:t>
            </w:r>
            <w:r>
              <w:rPr>
                <w:rFonts w:hint="eastAsia" w:ascii="宋体" w:hAnsi="宋体" w:cs="Calibri"/>
                <w:color w:val="auto"/>
                <w:sz w:val="24"/>
                <w:highlight w:val="none"/>
                <w:lang w:val="en-US" w:eastAsia="zh-CN"/>
              </w:rPr>
              <w:t>1.0</w:t>
            </w:r>
            <w:r>
              <w:rPr>
                <w:rFonts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20</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电压纹波因数</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峰值：不超过</w:t>
            </w:r>
            <w:r>
              <w:rPr>
                <w:rFonts w:ascii="宋体" w:hAnsi="宋体" w:cs="Calibri"/>
                <w:sz w:val="24"/>
              </w:rPr>
              <w:t>±</w:t>
            </w:r>
            <w:r>
              <w:rPr>
                <w:rFonts w:hint="eastAsia" w:ascii="宋体" w:hAnsi="宋体" w:cs="Calibri"/>
                <w:sz w:val="24"/>
              </w:rPr>
              <w:t>0.5</w:t>
            </w:r>
            <w:r>
              <w:rPr>
                <w:rFonts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21</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均流不平衡度</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22</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噪声要求</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II级（≤80dB）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23</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待机损耗</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sz w:val="24"/>
              </w:rPr>
              <w:t>≤</w:t>
            </w:r>
            <w:r>
              <w:rPr>
                <w:rFonts w:hint="eastAsia" w:ascii="宋体" w:hAnsi="宋体"/>
                <w:color w:val="auto"/>
                <w:sz w:val="24"/>
                <w:lang w:val="en-US" w:eastAsia="zh-CN"/>
              </w:rPr>
              <w:t>30</w:t>
            </w:r>
            <w:r>
              <w:rPr>
                <w:rFonts w:hint="eastAsia" w:ascii="宋体" w:hAnsi="宋体"/>
                <w:color w:val="auto"/>
                <w:sz w:val="24"/>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15"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24</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充电机执行标准</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GB/T 18487.1-2015，GB/T 20234.1-2015，GB/T 20234.3-2015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25</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通信协议执行标准</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cs="宋体"/>
                <w:sz w:val="24"/>
              </w:rPr>
              <w:t>GB/T 27930-2015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26</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操作方式</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手机APP、本地触屏操作、平台管控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5"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27</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大气压强</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80kPa～110kPa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769" w:type="dxa"/>
            <w:noWrap/>
            <w:vAlign w:val="center"/>
          </w:tcPr>
          <w:p>
            <w:pPr>
              <w:wordWrap w:val="0"/>
              <w:spacing w:line="700" w:lineRule="exact"/>
              <w:jc w:val="center"/>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28</w:t>
            </w:r>
          </w:p>
        </w:tc>
        <w:tc>
          <w:tcPr>
            <w:tcW w:w="2391"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海拔高度</w:t>
            </w:r>
          </w:p>
        </w:tc>
        <w:tc>
          <w:tcPr>
            <w:tcW w:w="5055" w:type="dxa"/>
            <w:noWrap/>
            <w:vAlign w:val="center"/>
          </w:tcPr>
          <w:p>
            <w:pPr>
              <w:wordWrap w:val="0"/>
              <w:spacing w:line="700" w:lineRule="exact"/>
              <w:ind w:firstLine="480" w:firstLineChars="200"/>
              <w:rPr>
                <w:rFonts w:hint="eastAsia" w:ascii="Times New Roman" w:hAnsi="Times New Roman" w:cs="Times New Roman"/>
                <w:b/>
                <w:bCs/>
                <w:kern w:val="0"/>
                <w:sz w:val="24"/>
                <w:szCs w:val="24"/>
                <w:highlight w:val="none"/>
                <w:lang w:val="en-US" w:eastAsia="zh-CN"/>
              </w:rPr>
            </w:pPr>
            <w:r>
              <w:rPr>
                <w:rFonts w:hint="eastAsia" w:ascii="宋体" w:hAnsi="宋体" w:eastAsia="宋体" w:cs="宋体"/>
                <w:kern w:val="0"/>
                <w:sz w:val="24"/>
              </w:rPr>
              <w:t>≤2000m</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eastAsia" w:ascii="Times New Roman" w:hAnsi="Times New Roman" w:cs="Times New Roman"/>
          <w:b/>
          <w:bCs/>
          <w:kern w:val="0"/>
          <w:sz w:val="24"/>
          <w:szCs w:val="24"/>
          <w:highlight w:val="none"/>
          <w:lang w:val="en-US" w:eastAsia="zh-CN"/>
        </w:rPr>
        <w:t>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1.招标人保留在签订合同前对本章技术标准和要求进行补充、修改的权利，投标人应予以配合；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整体质保期应不低于8年。质保期自项目完工并验收合格正常使用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（4）投标说明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技术标准和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技术标准和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left"/>
        <w:textAlignment w:val="auto"/>
        <w:rPr>
          <w:rFonts w:hint="eastAsia" w:ascii="Times New Roman" w:hAnsi="Times New Roman" w:eastAsia="宋体" w:cs="Times New Roman"/>
          <w:b/>
          <w:bCs/>
          <w:kern w:val="0"/>
          <w:sz w:val="24"/>
          <w:szCs w:val="24"/>
          <w:highlight w:val="none"/>
          <w:lang w:val="en-US" w:eastAsia="zh-CN"/>
        </w:rPr>
      </w:pPr>
      <w:r>
        <w:rPr>
          <w:rFonts w:hint="eastAsia" w:ascii="Times New Roman" w:hAnsi="Times New Roman" w:eastAsia="宋体" w:cs="Times New Roman"/>
          <w:b/>
          <w:bCs/>
          <w:kern w:val="0"/>
          <w:sz w:val="24"/>
          <w:szCs w:val="24"/>
          <w:highlight w:val="none"/>
          <w:lang w:val="en-US" w:eastAsia="zh-CN"/>
        </w:rPr>
        <w:t>（5）</w:t>
      </w:r>
      <w:r>
        <w:rPr>
          <w:rFonts w:hint="eastAsia" w:ascii="Times New Roman" w:hAnsi="Times New Roman" w:cs="Times New Roman"/>
          <w:b/>
          <w:bCs/>
          <w:kern w:val="0"/>
          <w:sz w:val="24"/>
          <w:szCs w:val="24"/>
          <w:highlight w:val="none"/>
          <w:lang w:val="en-US" w:eastAsia="zh-CN"/>
        </w:rPr>
        <w:t>采购</w:t>
      </w:r>
      <w:r>
        <w:rPr>
          <w:rFonts w:hint="eastAsia" w:ascii="Times New Roman" w:hAnsi="Times New Roman" w:eastAsia="宋体" w:cs="Times New Roman"/>
          <w:b/>
          <w:bCs/>
          <w:kern w:val="0"/>
          <w:sz w:val="24"/>
          <w:szCs w:val="24"/>
          <w:highlight w:val="none"/>
        </w:rPr>
        <w:t>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1"/>
        <w:gridCol w:w="1847"/>
        <w:gridCol w:w="2353"/>
        <w:gridCol w:w="990"/>
        <w:gridCol w:w="795"/>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中医院公交首末站采购清单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序号</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名称</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规格</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单位</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数量</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一体式直流充电桩</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120KW一机双枪</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个</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枪线（充电机到充电枪底部露出位置）为8米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一体式直流充电桩</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120KW一机双枪</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个</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枪线（充电机到充电枪底部露出位置）为6米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电缆沟铺设</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变压器到充电机电缆</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YJV 3*95+2*50铜芯电缆</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低压施工</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电缆放线、防火泥封堵等</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充电桩基础</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混凝土浇灌</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个</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充电桩安装接线</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信号线缆</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充电桩安装接线</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灭火器</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10KG推车干粉灭火器</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个</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灭火器</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4KG干粉灭火器</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个</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标识标牌</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警示标志、信息标牌</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免费质保8年</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其他辅材及措施费</w:t>
            </w: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地面车位划线</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阻车器</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18</w:t>
            </w:r>
          </w:p>
        </w:tc>
        <w:tc>
          <w:tcPr>
            <w:tcW w:w="1847"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充电桩平台和对接</w:t>
            </w:r>
          </w:p>
        </w:tc>
        <w:tc>
          <w:tcPr>
            <w:tcW w:w="2353"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p>
        </w:tc>
        <w:tc>
          <w:tcPr>
            <w:tcW w:w="990"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w:t>
            </w:r>
          </w:p>
        </w:tc>
        <w:tc>
          <w:tcPr>
            <w:tcW w:w="795"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96" w:type="dxa"/>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免费提供</w:t>
            </w:r>
          </w:p>
        </w:tc>
      </w:tr>
    </w:tbl>
    <w:p>
      <w:pPr>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r>
        <w:rPr>
          <w:rFonts w:hint="default" w:ascii="Times New Roman" w:hAnsi="Times New Roman" w:eastAsia="宋体" w:cs="Times New Roman"/>
          <w:b/>
          <w:bCs/>
          <w:sz w:val="32"/>
          <w:szCs w:val="32"/>
          <w:highlight w:val="none"/>
          <w:lang w:val="en-US" w:eastAsia="zh-CN"/>
        </w:rPr>
        <w:t>第</w:t>
      </w:r>
      <w:r>
        <w:rPr>
          <w:rFonts w:hint="eastAsia" w:ascii="Times New Roman" w:hAnsi="Times New Roman" w:eastAsia="宋体" w:cs="Times New Roman"/>
          <w:b/>
          <w:bCs/>
          <w:sz w:val="32"/>
          <w:szCs w:val="32"/>
          <w:highlight w:val="none"/>
          <w:lang w:val="en-US" w:eastAsia="zh-CN"/>
        </w:rPr>
        <w:t>六</w:t>
      </w:r>
      <w:r>
        <w:rPr>
          <w:rFonts w:hint="default" w:ascii="Times New Roman" w:hAnsi="Times New Roman" w:eastAsia="宋体" w:cs="Times New Roman"/>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highlight w:val="none"/>
        </w:rPr>
      </w:pPr>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五、供货安装服务方案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七、商务和技术偏差表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八、投标设备技术性能指标的详细描述</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eastAsia="黑体" w:cs="Times New Roman"/>
          <w:sz w:val="20"/>
          <w:szCs w:val="20"/>
          <w:highlight w:val="none"/>
        </w:rPr>
      </w:pPr>
    </w:p>
    <w:p>
      <w:pPr>
        <w:pStyle w:val="2"/>
        <w:jc w:val="center"/>
        <w:rPr>
          <w:rFonts w:hint="default" w:ascii="Times New Roman" w:hAnsi="Times New Roman" w:eastAsia="黑体" w:cs="Times New Roman"/>
          <w:sz w:val="20"/>
          <w:szCs w:val="20"/>
          <w:highlight w:val="none"/>
        </w:rPr>
      </w:pPr>
      <w:r>
        <w:rPr>
          <w:rFonts w:hint="default" w:ascii="Times New Roman" w:hAnsi="Times New Roman" w:cs="Times New Roman"/>
          <w:highlight w:val="none"/>
        </w:rPr>
        <w:t>一、投标函及投标函附录</w:t>
      </w:r>
    </w:p>
    <w:p>
      <w:pPr>
        <w:pStyle w:val="4"/>
        <w:rPr>
          <w:rFonts w:hint="default" w:ascii="Times New Roman" w:hAnsi="Times New Roman" w:cs="Times New Roman"/>
          <w:highlight w:val="none"/>
        </w:rPr>
      </w:pPr>
      <w:bookmarkStart w:id="30" w:name="_Toc247527829"/>
      <w:bookmarkStart w:id="31" w:name="_Toc144974858"/>
      <w:bookmarkStart w:id="32" w:name="_Toc247514248"/>
      <w:bookmarkStart w:id="33" w:name="_Toc152042578"/>
      <w:bookmarkStart w:id="34" w:name="_Toc300835211"/>
      <w:bookmarkStart w:id="35" w:name="_Toc152045789"/>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元的投标总报价（其中，充电桩设备税率</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%、工程施工税率</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日历天，按合同约定实施和完成全部工作内容，工程质量达到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36" w:name="_Toc247527830"/>
      <w:bookmarkStart w:id="37" w:name="_Toc144974859"/>
      <w:bookmarkStart w:id="38" w:name="_Toc300835212"/>
      <w:bookmarkStart w:id="39" w:name="_Toc247514249"/>
      <w:bookmarkStart w:id="40" w:name="_Toc152045790"/>
      <w:bookmarkStart w:id="41" w:name="_Toc152042579"/>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6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368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22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368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22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cs="Times New Roman"/>
                <w:szCs w:val="21"/>
                <w:highlight w:val="none"/>
                <w:lang w:val="en-US" w:eastAsia="zh-CN"/>
              </w:rPr>
              <w:t>工期</w:t>
            </w:r>
          </w:p>
        </w:tc>
        <w:tc>
          <w:tcPr>
            <w:tcW w:w="368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22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质保期</w:t>
            </w:r>
          </w:p>
        </w:tc>
        <w:tc>
          <w:tcPr>
            <w:tcW w:w="368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w:t>
            </w:r>
            <w:r>
              <w:rPr>
                <w:rFonts w:hint="eastAsia" w:ascii="Times New Roman" w:hAnsi="Times New Roman" w:cs="Times New Roman"/>
                <w:kern w:val="0"/>
                <w:sz w:val="21"/>
                <w:szCs w:val="21"/>
                <w:highlight w:val="none"/>
                <w:lang w:val="en-US" w:eastAsia="zh-CN"/>
              </w:rPr>
              <w:t>项目完工并验收合格正常使用之日</w:t>
            </w:r>
            <w:r>
              <w:rPr>
                <w:rFonts w:hint="eastAsia" w:ascii="Times New Roman" w:hAnsi="Times New Roman" w:cs="Times New Roman"/>
                <w:szCs w:val="21"/>
                <w:highlight w:val="none"/>
                <w:lang w:val="en-US" w:eastAsia="zh-CN"/>
              </w:rPr>
              <w:t>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22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w:t>
            </w:r>
          </w:p>
        </w:tc>
        <w:tc>
          <w:tcPr>
            <w:tcW w:w="368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w:t>
            </w:r>
          </w:p>
        </w:tc>
        <w:tc>
          <w:tcPr>
            <w:tcW w:w="228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pStyle w:val="2"/>
        <w:jc w:val="center"/>
        <w:rPr>
          <w:rFonts w:hint="default" w:ascii="Times New Roman" w:hAnsi="Times New Roman" w:cs="Times New Roman"/>
          <w:highlight w:val="none"/>
        </w:rPr>
      </w:pPr>
    </w:p>
    <w:p>
      <w:pPr>
        <w:pStyle w:val="2"/>
        <w:jc w:val="center"/>
        <w:rPr>
          <w:rFonts w:hint="default" w:ascii="Times New Roman" w:hAnsi="Times New Roman" w:cs="Times New Roman"/>
          <w:highlight w:val="none"/>
        </w:rPr>
      </w:pPr>
    </w:p>
    <w:p>
      <w:pPr>
        <w:pStyle w:val="2"/>
        <w:jc w:val="center"/>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2"/>
        <w:jc w:val="center"/>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3"/>
        <w:rPr>
          <w:rFonts w:hint="default" w:ascii="Times New Roman" w:hAnsi="Times New Roman" w:cs="Times New Roman"/>
          <w:highlight w:val="none"/>
        </w:rPr>
      </w:pPr>
    </w:p>
    <w:p>
      <w:pPr>
        <w:pStyle w:val="2"/>
        <w:jc w:val="center"/>
        <w:rPr>
          <w:rFonts w:hint="default" w:ascii="Times New Roman" w:hAnsi="Times New Roman" w:cs="Times New Roman"/>
          <w:highlight w:val="none"/>
        </w:rPr>
      </w:pPr>
    </w:p>
    <w:p>
      <w:pPr>
        <w:pStyle w:val="2"/>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2"/>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的养老保险证明复印件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2"/>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r>
        <w:rPr>
          <w:rFonts w:hint="default" w:ascii="Times New Roman" w:hAnsi="Times New Roman" w:eastAsia="宋体" w:cs="Times New Roman"/>
          <w:b w:val="0"/>
          <w:bCs/>
          <w:color w:val="000000"/>
          <w:kern w:val="0"/>
          <w:sz w:val="24"/>
          <w:szCs w:val="24"/>
          <w:highlight w:val="none"/>
        </w:rPr>
        <w:t>1</w:t>
      </w:r>
      <w:r>
        <w:rPr>
          <w:rFonts w:hint="default" w:ascii="Times New Roman" w:hAnsi="Times New Roman" w:eastAsia="宋体" w:cs="Times New Roman"/>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eastAsia="宋体" w:cs="Times New Roman"/>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eastAsia="宋体" w:cs="Times New Roman"/>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r>
        <w:rPr>
          <w:rFonts w:hint="default" w:ascii="Times New Roman" w:hAnsi="Times New Roman" w:eastAsia="宋体" w:cs="Times New Roman"/>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spacing w:line="440" w:lineRule="exact"/>
        <w:ind w:firstLine="482" w:firstLineChars="200"/>
        <w:rPr>
          <w:rFonts w:hint="eastAsia" w:ascii="Times New Roman" w:hAnsi="Times New Roman" w:eastAsia="宋体"/>
          <w:szCs w:val="21"/>
          <w:highlight w:val="none"/>
          <w:lang w:val="en-US" w:eastAsia="zh-CN"/>
        </w:rPr>
      </w:pPr>
      <w:r>
        <w:rPr>
          <w:rFonts w:hint="default" w:ascii="Times New Roman" w:hAnsi="Times New Roman" w:eastAsia="宋体" w:cs="Times New Roman"/>
          <w:b/>
          <w:color w:val="000000"/>
          <w:kern w:val="0"/>
          <w:sz w:val="24"/>
          <w:szCs w:val="24"/>
          <w:highlight w:val="none"/>
        </w:rPr>
        <w:t>备注：</w:t>
      </w:r>
      <w:r>
        <w:rPr>
          <w:rFonts w:hint="default" w:ascii="Times New Roman" w:hAnsi="Times New Roman" w:eastAsia="宋体" w:cs="Times New Roman"/>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五、供货安装服务方案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4"/>
        <w:rPr>
          <w:rFonts w:hint="eastAsia"/>
        </w:rPr>
      </w:pPr>
      <w:bookmarkStart w:id="42" w:name="_Toc246996365"/>
      <w:bookmarkStart w:id="43" w:name="_Toc296602610"/>
      <w:bookmarkStart w:id="44" w:name="_Toc144974865"/>
      <w:bookmarkStart w:id="45" w:name="_Toc152045797"/>
      <w:bookmarkStart w:id="46" w:name="_Toc179632817"/>
      <w:bookmarkStart w:id="47" w:name="_Toc247085883"/>
      <w:bookmarkStart w:id="48" w:name="_Toc246997108"/>
      <w:bookmarkStart w:id="49" w:name="_Toc152042586"/>
      <w:r>
        <w:t>附表一：拟投入本</w:t>
      </w:r>
      <w:r>
        <w:rPr>
          <w:rFonts w:hint="eastAsia"/>
        </w:rPr>
        <w:t>项目</w:t>
      </w:r>
      <w:r>
        <w:t>的主要施工设备表</w:t>
      </w:r>
      <w:bookmarkEnd w:id="42"/>
      <w:bookmarkEnd w:id="43"/>
      <w:bookmarkEnd w:id="44"/>
      <w:bookmarkEnd w:id="45"/>
      <w:bookmarkEnd w:id="46"/>
      <w:bookmarkEnd w:id="47"/>
      <w:bookmarkEnd w:id="48"/>
      <w:bookmarkEnd w:id="49"/>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4"/>
      </w:pPr>
      <w:bookmarkStart w:id="50" w:name="_Toc247085884"/>
      <w:bookmarkStart w:id="51" w:name="_Toc144974867"/>
      <w:bookmarkStart w:id="52" w:name="_Toc152045799"/>
      <w:bookmarkStart w:id="53" w:name="_Toc246997109"/>
      <w:bookmarkStart w:id="54" w:name="_Toc246996366"/>
      <w:bookmarkStart w:id="55" w:name="_Toc152042588"/>
      <w:bookmarkStart w:id="56" w:name="_Toc179632819"/>
      <w:bookmarkStart w:id="57" w:name="_Toc296602611"/>
      <w:r>
        <w:t>附表</w:t>
      </w:r>
      <w:r>
        <w:rPr>
          <w:rFonts w:hint="eastAsia"/>
        </w:rPr>
        <w:t>二</w:t>
      </w:r>
      <w:r>
        <w:t>：劳动力计划表</w:t>
      </w:r>
      <w:bookmarkEnd w:id="50"/>
      <w:bookmarkEnd w:id="51"/>
      <w:bookmarkEnd w:id="52"/>
      <w:bookmarkEnd w:id="53"/>
      <w:bookmarkEnd w:id="54"/>
      <w:bookmarkEnd w:id="55"/>
      <w:bookmarkEnd w:id="56"/>
      <w:bookmarkEnd w:id="57"/>
    </w:p>
    <w:p>
      <w:pPr>
        <w:spacing w:line="440" w:lineRule="exact"/>
        <w:ind w:right="200"/>
        <w:jc w:val="right"/>
        <w:rPr>
          <w:rFonts w:eastAsia="黑体"/>
          <w:szCs w:val="21"/>
        </w:rPr>
      </w:pPr>
      <w:r>
        <w:rPr>
          <w:rFonts w:eastAsia="黑体"/>
          <w:szCs w:val="21"/>
        </w:rPr>
        <w:t>单位：人</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6"/>
      </w:pPr>
      <w:bookmarkStart w:id="58" w:name="_Toc152045800"/>
      <w:bookmarkStart w:id="59" w:name="_Toc179632820"/>
      <w:bookmarkStart w:id="60" w:name="_Toc246997110"/>
      <w:bookmarkStart w:id="61" w:name="_Toc144974868"/>
      <w:bookmarkStart w:id="62" w:name="_Toc152042589"/>
      <w:bookmarkStart w:id="63" w:name="_Toc246996367"/>
    </w:p>
    <w:p>
      <w:pPr>
        <w:pStyle w:val="6"/>
        <w:rPr>
          <w:rFonts w:hint="eastAsia"/>
        </w:rPr>
      </w:pPr>
      <w:r>
        <w:br w:type="page"/>
      </w:r>
    </w:p>
    <w:p>
      <w:pPr>
        <w:pStyle w:val="4"/>
      </w:pPr>
      <w:bookmarkStart w:id="64" w:name="_Toc247085885"/>
      <w:bookmarkStart w:id="65" w:name="_Toc296602612"/>
      <w:r>
        <w:t>附表</w:t>
      </w:r>
      <w:r>
        <w:rPr>
          <w:rFonts w:hint="eastAsia"/>
        </w:rPr>
        <w:t>三</w:t>
      </w:r>
      <w:r>
        <w:t>：进度</w:t>
      </w:r>
      <w:r>
        <w:rPr>
          <w:rFonts w:hint="eastAsia"/>
        </w:rPr>
        <w:t>计划</w:t>
      </w:r>
      <w:bookmarkEnd w:id="58"/>
      <w:bookmarkEnd w:id="59"/>
      <w:bookmarkEnd w:id="60"/>
      <w:bookmarkEnd w:id="61"/>
      <w:bookmarkEnd w:id="62"/>
      <w:bookmarkEnd w:id="63"/>
      <w:bookmarkEnd w:id="64"/>
      <w:bookmarkEnd w:id="65"/>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sz w:val="20"/>
          <w:highlight w:val="none"/>
        </w:rPr>
      </w:pPr>
    </w:p>
    <w:p>
      <w:pPr>
        <w:tabs>
          <w:tab w:val="left" w:pos="720"/>
        </w:tabs>
        <w:spacing w:line="440" w:lineRule="exact"/>
        <w:rPr>
          <w:rFonts w:hint="eastAsia"/>
          <w:sz w:val="20"/>
          <w:highlight w:val="none"/>
        </w:rPr>
      </w:pPr>
    </w:p>
    <w:p>
      <w:pPr>
        <w:pStyle w:val="2"/>
        <w:jc w:val="center"/>
        <w:rPr>
          <w:rFonts w:hint="eastAsia"/>
          <w:highlight w:val="none"/>
          <w:lang w:val="en-US" w:eastAsia="zh-CN"/>
        </w:rPr>
      </w:pPr>
      <w:bookmarkStart w:id="66" w:name="_Toc179632827"/>
      <w:bookmarkStart w:id="67" w:name="_Toc152042596"/>
      <w:bookmarkStart w:id="68" w:name="_Toc247085890"/>
      <w:bookmarkStart w:id="69" w:name="_Toc246997115"/>
      <w:bookmarkStart w:id="70" w:name="_Toc296602617"/>
      <w:bookmarkStart w:id="71" w:name="_Toc246996372"/>
      <w:bookmarkStart w:id="72" w:name="_Toc152045807"/>
      <w:bookmarkStart w:id="73" w:name="_Toc144974875"/>
    </w:p>
    <w:p>
      <w:pPr>
        <w:pStyle w:val="2"/>
        <w:jc w:val="center"/>
        <w:rPr>
          <w:rFonts w:hint="eastAsia"/>
          <w:highlight w:val="none"/>
        </w:rPr>
      </w:pPr>
      <w:r>
        <w:rPr>
          <w:rFonts w:hint="eastAsia"/>
          <w:highlight w:val="none"/>
          <w:lang w:val="en-US" w:eastAsia="zh-CN"/>
        </w:rPr>
        <w:t>六</w:t>
      </w:r>
      <w:r>
        <w:rPr>
          <w:highlight w:val="none"/>
        </w:rPr>
        <w:t>、资格审查资料</w:t>
      </w:r>
      <w:bookmarkEnd w:id="66"/>
      <w:bookmarkEnd w:id="67"/>
      <w:bookmarkEnd w:id="68"/>
      <w:bookmarkEnd w:id="69"/>
      <w:bookmarkEnd w:id="70"/>
      <w:bookmarkEnd w:id="71"/>
      <w:bookmarkEnd w:id="72"/>
      <w:bookmarkEnd w:id="73"/>
    </w:p>
    <w:p>
      <w:pPr>
        <w:pStyle w:val="4"/>
        <w:jc w:val="both"/>
        <w:rPr>
          <w:rFonts w:hint="eastAsia"/>
        </w:rPr>
      </w:pPr>
      <w:r>
        <w:t>（一）基本情况表</w:t>
      </w: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投标人须知要求投标产品需具有的资质证书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w:t>
      </w:r>
      <w:r>
        <w:rPr>
          <w:rFonts w:hint="eastAsia" w:ascii="Times New Roman" w:hAnsi="Times New Roman" w:cs="Times New Roman"/>
          <w:lang w:val="en-US" w:eastAsia="zh-CN"/>
        </w:rPr>
        <w:t>.1</w:t>
      </w:r>
      <w:r>
        <w:rPr>
          <w:rFonts w:hint="default" w:ascii="Times New Roman" w:hAnsi="Times New Roman" w:cs="Times New Roman"/>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如果投标人须知第1.4.1项对投标产品的资质提出了要求，投标人应根据投标人须知第3.5.1项的要求在本表后附相关资质证书复印件。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rPr>
          <w:rFonts w:hint="eastAsia"/>
        </w:rPr>
      </w:pPr>
      <w:r>
        <w:rPr>
          <w:rFonts w:hint="eastAsia"/>
        </w:rPr>
        <w:br w:type="page"/>
      </w:r>
    </w:p>
    <w:p>
      <w:pPr>
        <w:pStyle w:val="4"/>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如有，按招标文件要求提供。</w:t>
      </w: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p>
    <w:p>
      <w:pPr>
        <w:pStyle w:val="3"/>
        <w:rPr>
          <w:rFonts w:hint="eastAsia"/>
          <w:lang w:val="en-US" w:eastAsia="zh-CN"/>
        </w:rPr>
      </w:pP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noWrap w:val="0"/>
            <w:vAlign w:val="center"/>
          </w:tcPr>
          <w:p>
            <w:pPr>
              <w:jc w:val="center"/>
              <w:rPr>
                <w:rFonts w:hint="default" w:ascii="Times New Roman" w:hAnsi="Times New Roman" w:cs="Times New Roman"/>
                <w:vertAlign w:val="baseline"/>
              </w:rPr>
            </w:pPr>
          </w:p>
        </w:tc>
        <w:tc>
          <w:tcPr>
            <w:tcW w:w="2835"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2"/>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、投标设备技术性能指标的详细描述</w:t>
      </w:r>
    </w:p>
    <w:p>
      <w:pPr>
        <w:rPr>
          <w:rFonts w:hint="default" w:ascii="Times New Roman" w:hAnsi="Times New Roman"/>
          <w:highlight w:val="none"/>
          <w:lang w:val="en-US" w:eastAsia="zh-CN"/>
        </w:rPr>
      </w:pPr>
    </w:p>
    <w:p>
      <w:pPr>
        <w:rPr>
          <w:rFonts w:hint="default" w:ascii="Times New Roman" w:hAnsi="Times New Roman"/>
          <w:highlight w:val="none"/>
          <w:lang w:val="en-US" w:eastAsia="zh-CN"/>
        </w:rPr>
      </w:pPr>
      <w:r>
        <w:rPr>
          <w:rFonts w:hint="default" w:ascii="Times New Roman" w:hAnsi="Times New Roman"/>
          <w:highlight w:val="none"/>
          <w:lang w:val="en-US" w:eastAsia="zh-CN"/>
        </w:rPr>
        <w:br w:type="page"/>
      </w:r>
    </w:p>
    <w:p>
      <w:pPr>
        <w:pStyle w:val="2"/>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、技术服务和质保期服务计划</w:t>
      </w:r>
    </w:p>
    <w:p>
      <w:pPr>
        <w:spacing w:line="440" w:lineRule="exact"/>
        <w:rPr>
          <w:rFonts w:hint="default" w:ascii="Times New Roman" w:hAnsi="Times New Roman"/>
          <w:highlight w:val="none"/>
          <w:lang w:val="en-US" w:eastAsia="zh-CN"/>
        </w:rPr>
      </w:pP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74" w:name="_Toc144974881"/>
      <w:bookmarkStart w:id="75" w:name="_Toc152042602"/>
      <w:bookmarkStart w:id="76" w:name="_Toc247514305"/>
      <w:bookmarkStart w:id="77" w:name="_Toc247530162"/>
      <w:bookmarkStart w:id="78" w:name="_Toc247527853"/>
      <w:bookmarkStart w:id="79" w:name="_Toc152045813"/>
    </w:p>
    <w:bookmarkEnd w:id="74"/>
    <w:bookmarkEnd w:id="75"/>
    <w:bookmarkEnd w:id="76"/>
    <w:bookmarkEnd w:id="77"/>
    <w:bookmarkEnd w:id="78"/>
    <w:bookmarkEnd w:id="79"/>
    <w:p>
      <w:pPr>
        <w:pStyle w:val="2"/>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r>
        <w:rPr>
          <w:rFonts w:hint="eastAsia" w:ascii="Times New Roman" w:hAnsi="Times New Roman"/>
          <w:highlight w:val="none"/>
          <w:lang w:val="en-US" w:eastAsia="zh-CN"/>
        </w:rPr>
        <w:t>售后服务方案等</w:t>
      </w:r>
      <w:r>
        <w:rPr>
          <w:rFonts w:hint="eastAsia" w:ascii="Times New Roman" w:hAnsi="Times New Roman"/>
          <w:highlight w:val="none"/>
          <w:lang w:eastAsia="zh-CN"/>
        </w:rPr>
        <w:t>。</w:t>
      </w:r>
      <w:bookmarkEnd w:id="0"/>
      <w:bookmarkEnd w:id="1"/>
      <w:bookmarkEnd w:id="2"/>
      <w:bookmarkEnd w:id="3"/>
      <w:bookmarkEnd w:id="4"/>
      <w:bookmarkEnd w:id="5"/>
    </w:p>
    <w:p/>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824069"/>
    <w:rsid w:val="00D9012D"/>
    <w:rsid w:val="02301FCF"/>
    <w:rsid w:val="0764271A"/>
    <w:rsid w:val="08CB2FA8"/>
    <w:rsid w:val="09630EDC"/>
    <w:rsid w:val="09DD4F06"/>
    <w:rsid w:val="0C8D03AF"/>
    <w:rsid w:val="0F1E7653"/>
    <w:rsid w:val="0FCC034E"/>
    <w:rsid w:val="10596B94"/>
    <w:rsid w:val="12811699"/>
    <w:rsid w:val="142C45C0"/>
    <w:rsid w:val="172B6DB1"/>
    <w:rsid w:val="19377C8F"/>
    <w:rsid w:val="19A21ADA"/>
    <w:rsid w:val="1E1E31CB"/>
    <w:rsid w:val="1F5E55A7"/>
    <w:rsid w:val="228A7081"/>
    <w:rsid w:val="25441769"/>
    <w:rsid w:val="28B001A2"/>
    <w:rsid w:val="29312005"/>
    <w:rsid w:val="29DF7CB3"/>
    <w:rsid w:val="2BB1567F"/>
    <w:rsid w:val="2C584F53"/>
    <w:rsid w:val="2C9F7BCD"/>
    <w:rsid w:val="2E426A62"/>
    <w:rsid w:val="2EB7753B"/>
    <w:rsid w:val="2FA653B8"/>
    <w:rsid w:val="31271F3F"/>
    <w:rsid w:val="329F0927"/>
    <w:rsid w:val="37487DAE"/>
    <w:rsid w:val="38367638"/>
    <w:rsid w:val="38E3651A"/>
    <w:rsid w:val="39D8471E"/>
    <w:rsid w:val="3A2F14BF"/>
    <w:rsid w:val="3B3A043B"/>
    <w:rsid w:val="3C4B11D8"/>
    <w:rsid w:val="3D581DFE"/>
    <w:rsid w:val="3D9D771E"/>
    <w:rsid w:val="3EE15E23"/>
    <w:rsid w:val="3F283A52"/>
    <w:rsid w:val="40A86BF9"/>
    <w:rsid w:val="42AB29D0"/>
    <w:rsid w:val="435B43F6"/>
    <w:rsid w:val="47B562E3"/>
    <w:rsid w:val="4B72052F"/>
    <w:rsid w:val="4BDF193C"/>
    <w:rsid w:val="4C9170DB"/>
    <w:rsid w:val="4DAB7D28"/>
    <w:rsid w:val="4F517A84"/>
    <w:rsid w:val="52880638"/>
    <w:rsid w:val="5349426B"/>
    <w:rsid w:val="535122A0"/>
    <w:rsid w:val="551E41EB"/>
    <w:rsid w:val="55462E41"/>
    <w:rsid w:val="56131107"/>
    <w:rsid w:val="56A95021"/>
    <w:rsid w:val="59F1473F"/>
    <w:rsid w:val="5A1A29BD"/>
    <w:rsid w:val="5C125416"/>
    <w:rsid w:val="612A5EE5"/>
    <w:rsid w:val="619C7C5C"/>
    <w:rsid w:val="652143E7"/>
    <w:rsid w:val="6725176D"/>
    <w:rsid w:val="678B726C"/>
    <w:rsid w:val="6AF24D1A"/>
    <w:rsid w:val="6AF44665"/>
    <w:rsid w:val="6B4B0088"/>
    <w:rsid w:val="6BF57328"/>
    <w:rsid w:val="6F0D34B3"/>
    <w:rsid w:val="701D437C"/>
    <w:rsid w:val="756B36E8"/>
    <w:rsid w:val="7581743D"/>
    <w:rsid w:val="79982FA7"/>
    <w:rsid w:val="7AF63965"/>
    <w:rsid w:val="7C2C06D3"/>
    <w:rsid w:val="7D493E50"/>
    <w:rsid w:val="7DD02D0F"/>
    <w:rsid w:val="7DD4628D"/>
    <w:rsid w:val="7EDC7492"/>
    <w:rsid w:val="7F2C2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3"/>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qFormat/>
    <w:uiPriority w:val="0"/>
    <w:pPr>
      <w:widowControl w:val="0"/>
      <w:ind w:firstLine="420"/>
      <w:jc w:val="both"/>
    </w:pPr>
    <w:rPr>
      <w:rFonts w:ascii="Calibri" w:hAnsi="Calibri" w:eastAsia="宋体" w:cs="Times New Roman"/>
      <w:kern w:val="2"/>
      <w:sz w:val="21"/>
      <w:szCs w:val="20"/>
      <w:lang w:val="en-US" w:eastAsia="zh-CN" w:bidi="ar-SA"/>
    </w:rPr>
  </w:style>
  <w:style w:type="paragraph" w:styleId="5">
    <w:name w:val="annotation text"/>
    <w:basedOn w:val="1"/>
    <w:qFormat/>
    <w:uiPriority w:val="0"/>
    <w:pPr>
      <w:jc w:val="left"/>
    </w:pPr>
    <w:rPr>
      <w:rFonts w:ascii="Calibri" w:hAnsi="Calibri" w:eastAsia="宋体"/>
      <w:sz w:val="28"/>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12989</Words>
  <Characters>14846</Characters>
  <Lines>0</Lines>
  <Paragraphs>0</Paragraphs>
  <TotalTime>9</TotalTime>
  <ScaleCrop>false</ScaleCrop>
  <LinksUpToDate>false</LinksUpToDate>
  <CharactersWithSpaces>16023</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2020-12-04T07:15:00Z</dcterms:created>
  <dc:creator>59218</dc:creator>
  <cp:lastModifiedBy>TiMe</cp:lastModifiedBy>
  <dcterms:modified xsi:type="dcterms:W3CDTF">2022-10-28T10:55:16Z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A6EFCE8BC1E54D24A7804EB301C4A81D</vt:lpwstr>
  </property>
</Properties>
</file>