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亳州市客运西站公交基地停车场低压改造工程（二次）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：BZJK-20</w:t>
      </w:r>
      <w:r>
        <w:rPr>
          <w:rFonts w:hint="eastAsia" w:ascii="Times New Roman" w:hAnsi="Times New Roman" w:eastAsia="楷体" w:cs="Times New Roman"/>
          <w:color w:val="auto"/>
          <w:kern w:val="0"/>
          <w:sz w:val="28"/>
          <w:szCs w:val="28"/>
          <w:highlight w:val="none"/>
          <w:shd w:val="clear" w:color="auto" w:fill="auto"/>
          <w:lang w:val="en-US" w:eastAsia="zh-CN"/>
        </w:rPr>
        <w:t>22</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u w:val="none"/>
          <w:shd w:val="clear" w:color="auto" w:fill="auto"/>
          <w:lang w:val="en-US" w:eastAsia="zh-CN"/>
        </w:rPr>
        <w:t>044</w:t>
      </w:r>
      <w:r>
        <w:rPr>
          <w:rFonts w:hint="default" w:ascii="Times New Roman" w:hAnsi="Times New Roman" w:eastAsia="楷体" w:cs="Times New Roman"/>
          <w:color w:val="auto"/>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年十</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四</w:t>
      </w:r>
      <w:r>
        <w:rPr>
          <w:rFonts w:hint="default" w:ascii="Times New Roman" w:hAnsi="Times New Roman" w:eastAsia="黑体" w:cs="Times New Roman"/>
          <w:color w:val="auto"/>
          <w:kern w:val="0"/>
          <w:sz w:val="32"/>
          <w:szCs w:val="32"/>
          <w:highlight w:val="none"/>
          <w:lang w:val="en-US" w:eastAsia="zh-CN"/>
        </w:rPr>
        <w:t>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亳州市客运西站公交基地停车场低压改造工程（二次）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296602410"/>
      <w:bookmarkStart w:id="2" w:name="_Toc246996909"/>
      <w:bookmarkStart w:id="3" w:name="_Toc179632536"/>
      <w:bookmarkStart w:id="4" w:name="_Toc152042295"/>
      <w:bookmarkStart w:id="5" w:name="_Toc152045519"/>
      <w:bookmarkStart w:id="6" w:name="_Toc144974487"/>
      <w:bookmarkStart w:id="7" w:name="_Toc24708568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10"/>
      <w:bookmarkStart w:id="9" w:name="_Toc152042296"/>
      <w:bookmarkStart w:id="10" w:name="_Toc247085681"/>
      <w:bookmarkStart w:id="11" w:name="_Toc144974488"/>
      <w:bookmarkStart w:id="12" w:name="_Toc152045520"/>
      <w:bookmarkStart w:id="13" w:name="_Toc296602411"/>
      <w:bookmarkStart w:id="14" w:name="_Toc179632537"/>
      <w:bookmarkStart w:id="15" w:name="_Toc246996167"/>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亳州市客运西站公交</w:t>
      </w:r>
      <w:r>
        <w:rPr>
          <w:rFonts w:hint="eastAsia" w:ascii="Times New Roman" w:hAnsi="Times New Roman" w:eastAsia="仿宋_GB2312" w:cs="Times New Roman"/>
          <w:sz w:val="28"/>
          <w:szCs w:val="28"/>
          <w:highlight w:val="none"/>
          <w:u w:val="single"/>
          <w:lang w:val="en-US" w:eastAsia="zh-CN"/>
        </w:rPr>
        <w:t>基地</w:t>
      </w:r>
      <w:r>
        <w:rPr>
          <w:rFonts w:hint="eastAsia" w:ascii="Times New Roman" w:hAnsi="Times New Roman" w:eastAsia="仿宋_GB2312" w:cs="Times New Roman"/>
          <w:sz w:val="28"/>
          <w:szCs w:val="28"/>
          <w:highlight w:val="none"/>
          <w:u w:val="single"/>
        </w:rPr>
        <w:t>停车场低压改造工程</w:t>
      </w:r>
      <w:r>
        <w:rPr>
          <w:rFonts w:hint="eastAsia" w:ascii="Times New Roman" w:hAnsi="Times New Roman" w:eastAsia="仿宋_GB2312" w:cs="Times New Roman"/>
          <w:sz w:val="28"/>
          <w:szCs w:val="28"/>
          <w:highlight w:val="none"/>
          <w:u w:val="single"/>
          <w:lang w:val="en-US" w:eastAsia="zh-CN"/>
        </w:rPr>
        <w:t>二次</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044</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rPr>
        <w:t>安徽省安车交通运输集团有限公司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建设</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lang w:val="en-US" w:eastAsia="zh-CN"/>
        </w:rPr>
        <w:t>自筹资金</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u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安徽省安车交通运输集团有限公司</w:t>
      </w:r>
      <w:r>
        <w:rPr>
          <w:rFonts w:ascii="Times New Roman" w:hAnsi="Times New Roman" w:eastAsia="仿宋_GB2312" w:cs="Times New Roman"/>
          <w:sz w:val="28"/>
          <w:szCs w:val="28"/>
          <w:highlight w:val="none"/>
        </w:rPr>
        <w:t>。项目已具备招标条件，现对该项</w:t>
      </w:r>
      <w:r>
        <w:rPr>
          <w:rFonts w:ascii="Times New Roman" w:hAnsi="Times New Roman" w:eastAsia="仿宋_GB2312" w:cs="Times New Roman"/>
          <w:sz w:val="28"/>
          <w:szCs w:val="28"/>
          <w:highlight w:val="none"/>
          <w:u w:val="none"/>
        </w:rPr>
        <w:t>目</w:t>
      </w:r>
      <w:r>
        <w:rPr>
          <w:rFonts w:hint="eastAsia" w:ascii="Times New Roman" w:hAnsi="Times New Roman" w:eastAsia="仿宋_GB2312" w:cs="Times New Roman"/>
          <w:sz w:val="28"/>
          <w:szCs w:val="28"/>
          <w:highlight w:val="none"/>
          <w:u w:val="none"/>
          <w:lang w:val="en-US" w:eastAsia="zh-CN"/>
        </w:rPr>
        <w:t>施工</w:t>
      </w:r>
      <w:r>
        <w:rPr>
          <w:rFonts w:ascii="Times New Roman" w:hAnsi="Times New Roman" w:eastAsia="仿宋_GB2312" w:cs="Times New Roman"/>
          <w:sz w:val="28"/>
          <w:szCs w:val="28"/>
          <w:highlight w:val="none"/>
          <w:u w:val="none"/>
        </w:rPr>
        <w:t>进</w:t>
      </w:r>
      <w:r>
        <w:rPr>
          <w:rFonts w:ascii="Times New Roman" w:hAnsi="Times New Roman" w:eastAsia="仿宋_GB2312" w:cs="Times New Roman"/>
          <w:sz w:val="28"/>
          <w:szCs w:val="28"/>
          <w:highlight w:val="none"/>
        </w:rPr>
        <w:t>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（一）项目概况：亳州市客运西站公交基地停车场位于庄周路以西、311国道以南。</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以“交钥匙”方式，按照审核确认的设计图纸、工程量清单及招标人要求，完成亳州市客运西站公交基地停车场低压改造工程材料及设备采购、施工、安装、调试、竣工验收、正式送电、缺陷责任期内工程质量保修等全部工作，具体工作内容详见设计图纸、工程量清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（三）质量要求：符合国家、地方、行业现行相关规范合格标准，符合设计图纸、图集规定标准，通过招标人、供电主管部门验收，满足招标文件第五章技术标准和要求。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（四）计划工期：30日历天，具体开工日期以招标人通知为准。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投标报价，最高投标限价为人民币（大写）</w:t>
      </w:r>
      <w:r>
        <w:rPr>
          <w:rFonts w:hint="eastAsia" w:ascii="Times New Roman" w:hAnsi="Times New Roman" w:eastAsia="仿宋_GB2312" w:cs="Times New Roman"/>
          <w:sz w:val="28"/>
          <w:szCs w:val="28"/>
          <w:highlight w:val="none"/>
          <w:u w:val="single"/>
          <w:lang w:val="en-US" w:eastAsia="zh-CN"/>
        </w:rPr>
        <w:t>伍拾壹万捌仟玖佰柒拾元玖角叁分</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518970.93</w:t>
      </w:r>
      <w:r>
        <w:rPr>
          <w:rFonts w:hint="eastAsia" w:ascii="Times New Roman" w:hAnsi="Times New Roman" w:eastAsia="仿宋_GB2312" w:cs="Times New Roman"/>
          <w:sz w:val="28"/>
          <w:szCs w:val="28"/>
          <w:highlight w:val="none"/>
          <w:u w:val="none"/>
          <w:lang w:val="en-US" w:eastAsia="zh-CN"/>
        </w:rPr>
        <w:t>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本次招标要求投标人须符合《政府采购法》第二十二条规定，营业执照经营范围与本项目招标范围相符，并在人员、设备、资金等方面具有相应的施工能力；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电力工程施工总承包三级及以上或输变电工程专业承包三级及以上《建筑业企业资质证书》，同时须具备在有效期内的承装类五级及以上、承修类五级及以上、承试类五级及以上《承装（修、试）电力设施许可证》，以及在有效期内的《安全生产许可证》，且其许可范围与本项目招标范围相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拟派项目负责人须具备注册在投标人单位的机电工程专业二级及以上注册建造师执业资格证书，同时具备有效的安全考核合格证B证，符合注册建造师执业管理办法规定。投标人须提供2022年1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（四）本次招标要求投标人委托代理人须是投标人单位正式员工，投标人须提供2022年1月以来为其缴纳的任意连续3个月的社保缴费证明复印件，加盖投标人单位公章，并装订入投标文件中；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10</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20</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为响应亳州市疫情防控要求，本次招标允许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default"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郭先生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：17756789966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10</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12</w:t>
      </w:r>
      <w:bookmarkStart w:id="115" w:name="_GoBack"/>
      <w:bookmarkEnd w:id="115"/>
      <w:r>
        <w:rPr>
          <w:rFonts w:hint="default" w:ascii="Times New Roman" w:hAnsi="Times New Roman" w:eastAsia="仿宋_GB2312" w:cs="Times New Roman"/>
          <w:i w:val="0"/>
          <w:iCs w:val="0"/>
          <w:color w:val="auto"/>
          <w:sz w:val="28"/>
          <w:szCs w:val="28"/>
          <w:highlight w:val="none"/>
          <w:u w:val="none"/>
          <w:lang w:val="en-US" w:eastAsia="zh-CN"/>
        </w:rPr>
        <w:t>日</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20</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w:t>
            </w:r>
            <w:r>
              <w:rPr>
                <w:rFonts w:hint="eastAsia" w:ascii="Times New Roman" w:hAnsi="Times New Roman" w:cs="Times New Roman"/>
                <w:szCs w:val="21"/>
                <w:highlight w:val="none"/>
                <w:u w:val="none"/>
                <w:lang w:val="en-US" w:eastAsia="zh-CN"/>
              </w:rPr>
              <w:t>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BZJK-2022-044号保证金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增3.4.4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盖章：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除另有规定外，投标文件封面、封套封口处及文件中规定盖章处均须加盖投标人公章（鲜章），不得使用其它如带有专用章、合同章、财务章、业务章、下属单位或分支机构印章代替，否则其投标无效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签字：</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cs="Times New Roman"/>
                <w:szCs w:val="21"/>
                <w:highlight w:val="none"/>
              </w:rPr>
              <w:t>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亳州市客运西站公交基地停车场低压改造工程（二次）</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044号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20</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否，推荐的中标候选人数：3人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r>
              <w:rPr>
                <w:rFonts w:hint="eastAsia" w:ascii="Times New Roman" w:hAnsi="Times New Roman" w:cs="Times New Roman"/>
                <w:szCs w:val="21"/>
                <w:highlight w:val="none"/>
                <w:lang w:val="en-US" w:eastAsia="zh-CN"/>
              </w:rPr>
              <w:t>或开具保函</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6"/>
        <w:tblpPr w:leftFromText="180" w:rightFromText="180" w:vertAnchor="text" w:horzAnchor="page" w:tblpX="1801" w:tblpY="464"/>
        <w:tblOverlap w:val="never"/>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不存在第二章“投标人须知”第1.4.2项、第1.4.3项规定的任何一种情形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bookmarkStart w:id="16" w:name="_Toc179632607"/>
            <w:bookmarkStart w:id="17" w:name="_Toc246996232"/>
            <w:bookmarkStart w:id="18" w:name="_Toc246996975"/>
            <w:bookmarkStart w:id="19" w:name="_Toc247085747"/>
            <w:bookmarkStart w:id="20" w:name="_Toc152045589"/>
            <w:bookmarkStart w:id="21" w:name="_Toc144974556"/>
            <w:bookmarkStart w:id="22" w:name="_Toc152042366"/>
            <w:bookmarkStart w:id="23" w:name="_Toc29660247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40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投标人投标设备技术性能指标全部符合招标文件第五章技术标准和要求的得20分。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投标人投标设备技术性能指标每有1项出现负偏离的扣2分，最低扣至0分。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注：1.投标人应提供投标设备（120kw一体式直流充电桩）带有CMA或CNAS标识的型式试验报告复印件，加盖投标人单位公章，并装订入投标文件中；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2.招标文件第五章技术标准和要求标有“★”的条款为关键技术参数，投标人必须响应或优于响应，否则其投标无效。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red"/>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施工组织设计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投标人针对本项目编制施工组织设计，包括但不限于项目概况、施工方案、质量保障措施、进度计划、投标设备供货、安装、调试方案、项目疑难点分析等内容。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en-US" w:eastAsia="zh-CN"/>
              </w:rPr>
              <w:t>分，评委根据方案的完整性、实用性酌情给分，优得</w:t>
            </w:r>
            <w:r>
              <w:rPr>
                <w:rFonts w:hint="eastAsia" w:ascii="Times New Roman" w:hAnsi="Times New Roman" w:cs="Times New Roman"/>
                <w:kern w:val="0"/>
                <w:sz w:val="24"/>
                <w:szCs w:val="24"/>
                <w:highlight w:val="none"/>
                <w:lang w:val="en-US" w:eastAsia="zh-CN"/>
              </w:rPr>
              <w:t>7—10</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良得4—7分，</w:t>
            </w:r>
            <w:r>
              <w:rPr>
                <w:rFonts w:hint="default" w:ascii="Times New Roman" w:hAnsi="Times New Roman" w:cs="Times New Roman"/>
                <w:kern w:val="0"/>
                <w:sz w:val="24"/>
                <w:szCs w:val="24"/>
                <w:highlight w:val="none"/>
                <w:lang w:val="en-US" w:eastAsia="zh-CN"/>
              </w:rPr>
              <w:t>一般得</w:t>
            </w:r>
            <w:r>
              <w:rPr>
                <w:rFonts w:hint="eastAsia" w:ascii="Times New Roman" w:hAnsi="Times New Roman" w:cs="Times New Roman"/>
                <w:kern w:val="0"/>
                <w:sz w:val="24"/>
                <w:szCs w:val="24"/>
                <w:highlight w:val="none"/>
                <w:lang w:val="en-US" w:eastAsia="zh-CN"/>
              </w:rPr>
              <w:t>1—4</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差得1分，</w:t>
            </w:r>
            <w:r>
              <w:rPr>
                <w:rFonts w:hint="default" w:ascii="Times New Roman" w:hAnsi="Times New Roman" w:cs="Times New Roman"/>
                <w:kern w:val="0"/>
                <w:sz w:val="24"/>
                <w:szCs w:val="24"/>
                <w:highlight w:val="none"/>
                <w:lang w:val="en-US" w:eastAsia="zh-CN"/>
              </w:rPr>
              <w:t>没有提供方案的不得分。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1.管理体系认证证书（6分）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具有经中国国家认证认可监督管理委员会认证机构颁发的ISO9001质量管理体系认证证书、ISO14001环境管理体系认证证书以及ISO45001职业健康安全管理体系认证证书的，且在有效期内的，每提供1项得2分，满分6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2.企业获奖（4分）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投标人曾获市级及以上行政主管部门颁发奖项的，每提供1项得2分，本项满分4分，多分不计。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注：投标人须提供奖项复印件，装订入投标文件中。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投标人每提供1个单项合同金额不低于50万元的类似项目业绩得4分，本项满分12分，多分不计。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类似项目业绩是指投标人自2018年1月1日至今承接过的电力工程施工业绩，业绩时间以合同签订时间为准。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1.售后服务点（2分）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投标人在安徽省内设有分公司或子公司或服务网点的得2分。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注：投标人须提供售后服务点详细地址、售后联系人、联系方式等信息，并装订入投标文件中。</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2.售后服务响应时限（1分）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承诺提供7×24小时全天候电话技术支持服务，对于招标人以书面或电话形式提出的质量、服务等问题，投标人于1小时内予以答复响应，需要投标人委派技术、服务人员的，于4小时内到达现场，并于24小时内解决问题的得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注：投标人须针对售后服务响应时限出具承诺书，加盖投标人单位公章，并装订入投标文件中。</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黑体" w:cs="Times New Roman"/>
                <w:b w:val="0"/>
                <w:bCs w:val="0"/>
                <w:kern w:val="0"/>
                <w:sz w:val="24"/>
                <w:szCs w:val="24"/>
                <w:highlight w:val="none"/>
                <w:lang w:val="en-US" w:eastAsia="zh-CN"/>
              </w:rPr>
            </w:pPr>
            <w:r>
              <w:rPr>
                <w:rFonts w:hint="eastAsia" w:ascii="Times New Roman" w:hAnsi="Times New Roman" w:eastAsia="黑体" w:cs="Times New Roman"/>
                <w:b w:val="0"/>
                <w:bCs w:val="0"/>
                <w:kern w:val="0"/>
                <w:sz w:val="24"/>
                <w:szCs w:val="24"/>
                <w:highlight w:val="none"/>
                <w:lang w:val="en-US" w:eastAsia="zh-CN"/>
              </w:rPr>
              <w:t>3.售后服务方案（5分）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针对本项目编制售后服务方案，包括但不限于售后服务机构设置及联系方式、响应时限承诺、投标设备常见故障分析及解决方案、备品备件及易损件价格清单、质保期内售后服务计划、质保期外售后服务计划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本项满分</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分，评委根据方案的完整性、实用性酌情给分，优得</w:t>
            </w:r>
            <w:r>
              <w:rPr>
                <w:rFonts w:hint="eastAsia" w:ascii="Times New Roman" w:hAnsi="Times New Roman" w:cs="Times New Roman"/>
                <w:kern w:val="0"/>
                <w:sz w:val="24"/>
                <w:szCs w:val="24"/>
                <w:highlight w:val="none"/>
                <w:lang w:val="en-US" w:eastAsia="zh-CN"/>
              </w:rPr>
              <w:t>3—5</w:t>
            </w:r>
            <w:r>
              <w:rPr>
                <w:rFonts w:hint="default" w:ascii="Times New Roman" w:hAnsi="Times New Roman" w:cs="Times New Roman"/>
                <w:kern w:val="0"/>
                <w:sz w:val="24"/>
                <w:szCs w:val="24"/>
                <w:highlight w:val="none"/>
                <w:lang w:val="en-US" w:eastAsia="zh-CN"/>
              </w:rPr>
              <w:t>分，一般得</w:t>
            </w:r>
            <w:r>
              <w:rPr>
                <w:rFonts w:hint="eastAsia" w:ascii="Times New Roman" w:hAnsi="Times New Roman" w:cs="Times New Roman"/>
                <w:kern w:val="0"/>
                <w:sz w:val="24"/>
                <w:szCs w:val="24"/>
                <w:highlight w:val="none"/>
                <w:lang w:val="en-US" w:eastAsia="zh-CN"/>
              </w:rPr>
              <w:t>1—3</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差得1分，</w:t>
            </w:r>
            <w:r>
              <w:rPr>
                <w:rFonts w:hint="default" w:ascii="Times New Roman" w:hAnsi="Times New Roman" w:cs="Times New Roman"/>
                <w:kern w:val="0"/>
                <w:sz w:val="24"/>
                <w:szCs w:val="24"/>
                <w:highlight w:val="none"/>
                <w:lang w:val="en-US" w:eastAsia="zh-CN"/>
              </w:rPr>
              <w:t>没有提供方案的不得分。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投标报价评分标准（40分）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得分=（评标基准价/投标报价）×40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综合评估法。评标委员会对满足招标文件实质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综合评分相等时，以投标报价低的优先；投标报价也相等的，以</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得分高的优先；如</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得分也相等，由招标人或其授权的评标委员会自行确定（一般宜采用投票制，少数服从多数）。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（1）技术部分：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（2）商务部分：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（3）投标报价：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评标基准价计算方法：</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（1）技术部分评分标准：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（2）商务部分评分标准：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（3）投标报价评分标准：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（1）按本章第2.2.4（1）目规定的评审因素和分值对技术部分计算出得分A；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（2）按本章第2.2.4（2）目规定的评审因素和分值对商务部分计算出得分B；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（3）按本章第2.2.4（3）目规定的评审因素和分值对投标报价计算出得分C。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评分分值计算保留小数点后两位，小数点后第三位“四舍五入”。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3.2.3 投标人得分=A+B+C。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得分由高到低的顺序推荐中标候选人。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安徽省安车交通运输集团有限公司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合同签订，中标人完成本项目招标范围内全部工作，通过供电主管部门验收，且工程竣工验收合格后，招标人向中标人支付至合同价款的80%；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自工程竣工验收合格之日起满1年后，招标人向中标人支付至竣工结算审核审定价款的97%；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余款3%作为质量保证金，无质量问题发生或质量问题已处理的情况下，工程质量缺陷责任期满后10个工作日内，招标人向中标人付清余款（本金无息）。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自工程竣工验收合格之日起2年。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合同条款及格式由招标人与中标人在不违背招标文件内容和投标文件承诺的条件下友好协商签订。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jc w:val="center"/>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eastAsiaTheme="majorEastAsia"/>
          <w:b/>
          <w:bCs/>
          <w:sz w:val="32"/>
          <w:szCs w:val="32"/>
          <w:highlight w:val="none"/>
          <w:lang w:val="en-US" w:eastAsia="zh-CN"/>
        </w:rPr>
        <w:t>第五章 技术标准和要求</w:t>
      </w:r>
    </w:p>
    <w:p>
      <w:pPr>
        <w:jc w:val="center"/>
        <w:rPr>
          <w:rFonts w:hint="eastAsia"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bookmarkStart w:id="24" w:name="_Toc311323979"/>
      <w:bookmarkStart w:id="25" w:name="_Toc428186998"/>
      <w:bookmarkStart w:id="26" w:name="_Toc311324098"/>
      <w:bookmarkStart w:id="27" w:name="_Toc311380858"/>
      <w:r>
        <w:rPr>
          <w:rFonts w:hint="eastAsia" w:ascii="Times New Roman" w:hAnsi="Times New Roman" w:cs="Times New Roman"/>
          <w:b/>
          <w:bCs/>
          <w:kern w:val="0"/>
          <w:sz w:val="24"/>
          <w:szCs w:val="24"/>
          <w:highlight w:val="none"/>
          <w:lang w:val="en-US" w:eastAsia="zh-CN"/>
        </w:rPr>
        <w:t>一、充电桩技术参数要求</w:t>
      </w:r>
    </w:p>
    <w:bookmarkEnd w:id="24"/>
    <w:bookmarkEnd w:id="25"/>
    <w:bookmarkEnd w:id="26"/>
    <w:bookmarkEnd w:id="27"/>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（一）充电桩技术标准规范要求</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2268"/>
        <w:gridCol w:w="5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val="0"/>
                <w:color w:val="000000"/>
                <w:kern w:val="0"/>
                <w:sz w:val="21"/>
                <w:szCs w:val="21"/>
              </w:rPr>
            </w:pPr>
            <w:r>
              <w:rPr>
                <w:rFonts w:hint="default" w:ascii="Times New Roman" w:hAnsi="Times New Roman" w:cs="Times New Roman" w:eastAsiaTheme="minorEastAsia"/>
                <w:b/>
                <w:bCs w:val="0"/>
                <w:color w:val="000000"/>
                <w:kern w:val="0"/>
                <w:sz w:val="21"/>
                <w:szCs w:val="21"/>
              </w:rPr>
              <w:t>序号</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val="0"/>
                <w:color w:val="000000"/>
                <w:kern w:val="0"/>
                <w:sz w:val="21"/>
                <w:szCs w:val="21"/>
              </w:rPr>
            </w:pPr>
            <w:r>
              <w:rPr>
                <w:rFonts w:hint="default" w:ascii="Times New Roman" w:hAnsi="Times New Roman" w:cs="Times New Roman" w:eastAsiaTheme="minorEastAsia"/>
                <w:b/>
                <w:bCs w:val="0"/>
                <w:color w:val="000000"/>
                <w:kern w:val="0"/>
                <w:sz w:val="21"/>
                <w:szCs w:val="21"/>
              </w:rPr>
              <w:t>标准号</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val="0"/>
                <w:color w:val="000000"/>
                <w:kern w:val="0"/>
                <w:sz w:val="21"/>
                <w:szCs w:val="21"/>
              </w:rPr>
            </w:pPr>
            <w:r>
              <w:rPr>
                <w:rFonts w:hint="default" w:ascii="Times New Roman" w:hAnsi="Times New Roman" w:cs="Times New Roman" w:eastAsiaTheme="minorEastAsia"/>
                <w:b/>
                <w:bCs w:val="0"/>
                <w:color w:val="000000"/>
                <w:kern w:val="0"/>
                <w:sz w:val="21"/>
                <w:szCs w:val="21"/>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1</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29316-2012</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电动汽车充换电设施电能质量技术要求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2</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NB/T 33001-2018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电动汽车非车载传导式充电技术条件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3</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27930-2015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电动汽车非车载传导式充电机与电池管理系统之间的通信协议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4</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18487.1-2015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电动汽车传导充电系统  第1部分：通用要求 附录B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5</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29781-2013</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电动汽车充电站通用要求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6</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 50996-2014</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电动汽车充电站设计规范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7</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NB/T 33008.1-2018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电动汽车充电设备检验试验规程 第1部分：非车载充电机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8</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DL/T645-2007</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多功能电能表通信协议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9</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20234.1-2015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电动汽车传导充电用连接装置 第1部分：通用要求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10</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GB/T 20234.3-2015</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电动汽车传导充电用连接装置 第3部分：直流充电接口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11</w:t>
            </w:r>
          </w:p>
        </w:tc>
        <w:tc>
          <w:tcPr>
            <w:tcW w:w="2268"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GB 4028-2008</w:t>
            </w:r>
          </w:p>
        </w:tc>
        <w:tc>
          <w:tcPr>
            <w:tcW w:w="540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left"/>
              <w:textAlignment w:val="auto"/>
              <w:rPr>
                <w:rFonts w:hint="default" w:ascii="Times New Roman" w:hAnsi="Times New Roman" w:cs="Times New Roman" w:eastAsiaTheme="minorEastAsia"/>
                <w:color w:val="000000"/>
                <w:kern w:val="0"/>
                <w:sz w:val="21"/>
                <w:szCs w:val="21"/>
              </w:rPr>
            </w:pPr>
            <w:r>
              <w:rPr>
                <w:rFonts w:hint="default" w:ascii="Times New Roman" w:hAnsi="Times New Roman" w:cs="Times New Roman" w:eastAsiaTheme="minorEastAsia"/>
                <w:color w:val="000000"/>
                <w:kern w:val="0"/>
                <w:sz w:val="21"/>
                <w:szCs w:val="21"/>
              </w:rPr>
              <w:t>外壳防护等级（IP代码）</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注：标准若出现更新或替换，以新标准为准。未明确的标准要求，也以国家及行业最新标准为准。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（二）120KW一体式直流充电机主要技术要求</w:t>
      </w:r>
    </w:p>
    <w:tbl>
      <w:tblPr>
        <w:tblStyle w:val="2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0"/>
        <w:gridCol w:w="850"/>
        <w:gridCol w:w="2268"/>
        <w:gridCol w:w="850"/>
        <w:gridCol w:w="370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名称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序号</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项目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单位</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lang w:val="en-US" w:eastAsia="en-US"/>
              </w:rPr>
            </w:pPr>
            <w:r>
              <w:rPr>
                <w:rFonts w:hint="default" w:ascii="Times New Roman" w:hAnsi="Times New Roman" w:cs="Times New Roman"/>
                <w:b/>
                <w:bCs/>
                <w:lang w:val="en-US" w:eastAsia="en-US"/>
              </w:rPr>
              <w:t>标准参数值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非车</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载整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车直</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流充</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电机</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1</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充电方式</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功率平均分配，单枪输出时功率可以达到120KW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3</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交流输入电压</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V</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三相 380V±15%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4</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直流输出电压</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V</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200-</w:t>
            </w:r>
            <w:r>
              <w:rPr>
                <w:rFonts w:hint="default" w:ascii="Times New Roman" w:hAnsi="Times New Roman" w:cs="Times New Roman"/>
                <w:lang w:val="en-US" w:eastAsia="zh-CN"/>
              </w:rPr>
              <w:t>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★恒功率电压范围</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V</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300-1000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6</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交流电源频率</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Hz</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50±1 Hz</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7</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eastAsia="en-US"/>
              </w:rPr>
            </w:pPr>
            <w:r>
              <w:rPr>
                <w:rFonts w:hint="default" w:ascii="Times New Roman" w:hAnsi="Times New Roman" w:cs="Times New Roman"/>
                <w:lang w:val="en-US" w:eastAsia="zh-CN"/>
              </w:rPr>
              <w:t>★半载及以上</w:t>
            </w:r>
            <w:r>
              <w:rPr>
                <w:rFonts w:hint="default" w:ascii="Times New Roman" w:hAnsi="Times New Roman" w:cs="Times New Roman"/>
                <w:lang w:eastAsia="en-US"/>
              </w:rPr>
              <w:t>功率因数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0.99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8</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★充电模块</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≥30kw</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9</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输出电压设定误差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≤±0.1</w:t>
            </w:r>
            <w:r>
              <w:rPr>
                <w:rFonts w:hint="default" w:ascii="Times New Roman" w:hAnsi="Times New Roman" w:cs="Times New Roman"/>
                <w:lang w:val="en-US" w:eastAsia="zh-CN"/>
              </w:rPr>
              <w:t>5</w:t>
            </w:r>
            <w:r>
              <w:rPr>
                <w:rFonts w:hint="default" w:ascii="Times New Roman" w:hAnsi="Times New Roman" w:cs="Times New Roman"/>
                <w:lang w:val="en-US" w:eastAsia="en-US"/>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10</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输出电流设定误差</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电流≥30A时，≤±0.</w:t>
            </w:r>
            <w:r>
              <w:rPr>
                <w:rFonts w:hint="default" w:ascii="Times New Roman" w:hAnsi="Times New Roman" w:cs="Times New Roman"/>
                <w:lang w:val="en-US" w:eastAsia="zh-CN"/>
              </w:rPr>
              <w:t>3</w:t>
            </w:r>
            <w:r>
              <w:rPr>
                <w:rFonts w:hint="default" w:ascii="Times New Roman" w:hAnsi="Times New Roman" w:cs="Times New Roman"/>
                <w:lang w:val="en-US" w:eastAsia="en-US"/>
              </w:rPr>
              <w:t>%；电流＜30A时，≤±0.</w:t>
            </w:r>
            <w:r>
              <w:rPr>
                <w:rFonts w:hint="default" w:ascii="Times New Roman" w:hAnsi="Times New Roman" w:cs="Times New Roman"/>
                <w:lang w:val="en-US" w:eastAsia="zh-CN"/>
              </w:rPr>
              <w:t>1</w:t>
            </w:r>
            <w:r>
              <w:rPr>
                <w:rFonts w:hint="default" w:ascii="Times New Roman" w:hAnsi="Times New Roman" w:cs="Times New Roman"/>
                <w:lang w:val="en-US" w:eastAsia="en-US"/>
              </w:rPr>
              <w:t>A。</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11</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稳压精度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不超过±0.5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12</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稳流精度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≤±0.</w:t>
            </w:r>
            <w:r>
              <w:rPr>
                <w:rFonts w:hint="default" w:ascii="Times New Roman" w:hAnsi="Times New Roman" w:cs="Times New Roman"/>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13</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纹波系数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有效值：不超过±0.5</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峰值：不超过±1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14</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高频开关电源模块均流不平衡度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15</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输入冲击电流</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＜120额定输入电流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16</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输出过冲电压</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＜110稳态输出电压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17</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满载效率</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18</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噪声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dB</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19</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静电放电抗扰度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3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20</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射频电磁场辐射抗扰度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3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21</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电快速瞬变脉冲群抗扰度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4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22</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浪涌（冲击）抗扰度</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eastAsia" w:ascii="Times New Roman" w:hAnsi="Times New Roman" w:cs="Times New Roman"/>
                <w:lang w:val="en-US" w:eastAsia="zh-CN"/>
              </w:rPr>
              <w:t>不低于</w:t>
            </w:r>
            <w:r>
              <w:rPr>
                <w:rFonts w:hint="default" w:ascii="Times New Roman" w:hAnsi="Times New Roman" w:cs="Times New Roman"/>
                <w:lang w:val="en-US" w:eastAsia="en-US"/>
              </w:rPr>
              <w:t>4 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23</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谐波电流限值要求（THD）</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≤5（A 级设备）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24</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w:t>
            </w:r>
            <w:r>
              <w:rPr>
                <w:rFonts w:hint="default" w:ascii="Times New Roman" w:hAnsi="Times New Roman" w:cs="Times New Roman"/>
                <w:lang w:val="en-US" w:eastAsia="en-US"/>
              </w:rPr>
              <w:t xml:space="preserve">待机损耗 </w:t>
            </w:r>
            <w:r>
              <w:rPr>
                <w:rFonts w:hint="default" w:ascii="Times New Roman" w:hAnsi="Times New Roman" w:cs="Times New Roman"/>
                <w:lang w:val="en-US" w:eastAsia="zh-CN"/>
              </w:rPr>
              <w:t>（N*50W）</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25</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通信协议执行标准</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GB/T 27930-2015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26</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充电机执行标准</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w:t>
            </w: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GB/T 18487.1-2015，GB/T 20234.1-2015，GB/T 20234.3-2015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 w:hRule="atLeast"/>
          <w:jc w:val="center"/>
        </w:trPr>
        <w:tc>
          <w:tcPr>
            <w:tcW w:w="85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27</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zh-CN"/>
              </w:rPr>
              <w:t>★</w:t>
            </w:r>
            <w:r>
              <w:rPr>
                <w:rFonts w:hint="default" w:ascii="Times New Roman" w:hAnsi="Times New Roman" w:cs="Times New Roman"/>
                <w:lang w:val="en-US" w:eastAsia="en-US"/>
              </w:rPr>
              <w:t>防护等级</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p>
        </w:tc>
        <w:tc>
          <w:tcPr>
            <w:tcW w:w="370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lang w:val="en-US" w:eastAsia="en-US"/>
              </w:rPr>
            </w:pPr>
            <w:r>
              <w:rPr>
                <w:rFonts w:hint="default" w:ascii="Times New Roman" w:hAnsi="Times New Roman" w:cs="Times New Roman"/>
                <w:lang w:val="en-US" w:eastAsia="en-US"/>
              </w:rPr>
              <w:t>不低于 IP54</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（三）直流充电机功能要求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1.充电设备的充电功能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（1）充电设备具有为电动汽车安全自动充满电的功能。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（2）充电启动可采用本地手动启动、刷卡启动或手机APP启动。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（3）充电设备支持采用移动端使用状况的查询，便于提前根据充电站使用情况，合理安排充电时间。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（4）充电方式设定功能，可分为自动控制充电模式和手动设置充电模式两种。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（5）充电机应能根据BMS充电电压、电流限值动态调整电压、电流实现恒功率充电模式。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（6）充电模块支持热拔插功能，在其中一个模块故障时，不影响整机工作。</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2.充电设备的保护功能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（1）直流充电机应具有急停功能，即在紧急情况下，可从硬件上切断充电回路；急停回路应设计在交流侧，持续工作电流应小于AC380V/0.5A。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（2）直流充电机在停止充电后输出端应确保无电流输出或回灌。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应具备交流输入过/欠压保护、直流输出过欠/压保护、设置直流输出限压/限流值、过负荷保护、短路保护、漏电保护防倒灌保护、防雷保护、过热保护、电池反接、电池故障、电源缺相、断电重启等保护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（4）充电过程中，充电连接异常时，直流充电机应立即自动切断输出电源，并告警提示。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（5）应具备充电侧绝缘检测功能。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（6）应在负载紧急跳开的情况下确保不损坏电路和元器件；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充电插头与充电接口连接或断开时，充电接口不应带电，并进行连接或断开确认；在充电状态下断开充电插头，充电设备应即时断开相应充电接口的负荷开关，中断充电过程；当充电接口连接异常时，充电设备应立即自动切断相应充电接口的输出电源。</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3.充电设备的计量收费功能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（1）电能计量装置应符合国家计量器具鉴定相关要求，保证电能计量准确性。</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（2）计量收费结算可通过本地计量，平台系统结算。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（3）计量表计满足充电设备对上传速率、规约等要求。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（4）电能表具备通信功能，通信接口为RS485，通信协议应符合DL/T 645-2007《多功能电能表通讯协议》。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（5）平台可对设备采集电能表电量数据，电量数据与界面显示同步一致。</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4.充电桩的智能功能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（1）充电设备应具备自动检测功能。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（2）充电设备应具备故障报警功能。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直流充电机配置平台联网通讯功能,数据记录与上传功能。主要上传数据项包括充电开始时间、充电结束时间、充电电量、起始soc值、输出电压、输出电流、充电时长、充电设备实时状态（未连接、空闲、充电、预约锁定、故障等）、刷卡信息、电表读数等。</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5.软件升级功能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（1）设备应具有本地和远程升级功能。</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6.其它要求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（1）充电连接装置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满足国标GB/T 20234.3-2015电动汽车传导充电用连接装置 第3部分：直流充电接口要求。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（2）充电设备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1）设备体应外观线条流畅、整体紧凑、简洁时尚，与安装地点周边环境相协调。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2）设备体应具备安装2G/3G/4G或有线通信模块，可以与充电服务运营管理系统建立通讯。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3）设备体内部线束，应排布整齐、规整，标识清楚，捆扎牢固。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4）设备体内元器件应布局合理，易耗易损元件方便更换。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5）设备体安装于户外时，应便于特殊天气条件下的日常维护。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6）设备体应采用抗冲击力强、抗老化的材质。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7）设备体表面涂覆色泽层应均匀光洁，不起泡、不龟裂、不脱落。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8）设备体结构设计及安装应具备防盗能力。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9）非绝缘材料外壳应可靠接地，结构上应防止操作人员触及带电部件。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10）人机交互的操作按键和显示界面应设置在便于人操作和查看的位置。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（3）通风口要求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1）各通风口处开百叶窗式通风孔，且加装防尘网或其他装置，以满足防护等级的要求。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2）防尘网或其它装置应有耐腐蚀性，考虑可替换或方便清理。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（4）指示灯要求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具有红、黄、绿三种颜色指示灯功能，其中：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1）红色指示灯表示电源状态，充电机供电正常时亮；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2）黄色指示灯表示充电机有故障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3）绿色指示灯表示正在充电中；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（5）线缆要求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1）应能保证相应设备顺利安装和便于日常维护操作。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2）应配置进出线留的足够空间。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3）应具有配线端子标识的位置。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4）过线区应预留足够的过线容量以满足直流充电机满配的接线操作要求。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5）过线区应考虑线缆引入、固定和接地时操作的便利性、可更换性和可扩容性，线缆引入孔处应进行密封，防止水和龃齿类动物进入直流充电机。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6）提供一定数量的绑扎线配件，方便绑扎线的基本要求。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7）充电枪线长度设置，根据设计图纸自行前往场站勘查满足公交车辆充电需求。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二、运营平台技术要求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本项目采购的平台需为公有云平台，招标人无需承担该平台所需的服务器等部署资源费。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提供《T/CEC 102-2016电动汽车充换电服务信息交换》系列标准接口，标准统一。</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通过互联互通子平台提供的开放接口。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支持上级政府监控平台、电子政务平台等数据上报，excel数据格式。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支持充电设施运营商、车辆制造商、第三方互联网平台互联互通，实现数据整合与共享。</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中标方所有的充电数据接口要免费接入招标人指定的平台。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中标方所有数据免费接入招标人指定的充电桩平台。</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1.平台性能级安全要求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（1）性能效率要求：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1）单个用户，执行电桩查询操作，事务平均响应时间＜0.9秒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2）单个用户，执行历史数据查询操作，事务平均响应时间＜0.1秒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3）CPU占用率＜25％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4）内存占用率＜25％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（2）信息安全要求：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1）系统能够有效保护信息和数据，可以对登录ID进行识别，具有登录失败处理功能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2）系统具有对正常访问的控制能力，可以禁止非授权用户创建、删除或修改操作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3）无高、中级别漏洞</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2.平台多用户持续保障要求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1）平台具备10000个充电桩的接入能力。平台支持大于5000充电终端的同时充电。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2）平台五遥功能：平台可以实现“五遥”功能：遥测（遥测信息）、遥信（遥信信息）、遥控（遥控信息）、遥调（遥调信息）、遥视（视频信息）对充电站或充电设备进行智能管理。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3）可靠性：平台具备7*24小时连续无障碍运行的能力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平台大数据应用：所投平台具备平台大数据应用、平台审计故障码故障提示检测功能（至少有25项），其中应包含：当出现超过3分钟无有效电流时、超过10分钟有电流电压但无电量时、非免费订单有电量无电费时、离线订单电量超过300度电时、非多枪同充订单上报电量超过1000度时，可返回有相应的故障提示。</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（二）平台功能要求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电站、设备的管理及监控：平台为运营商展示电站昨日充电数据概况（充电订单，充电总量，收益金额趋势统计及环比数据对比）；展示电站终端主要状态信息（故障、空闲、充电中）；展示重要财务和待办信息（可结算信息、待开票信息、终端协议状态和用户评论信息）。平台为充电大客户展示查看账户信息和充电信息概况（账户余额、授信余额、可申请开票金额、月度充电消费趋势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灵活计费：平台支持多种定价方式、应用场站、应用群体，以适应运营方对场站精细化运营的需求。包括定价设置、峰尖谷平电价、电价策略、客户差异化收费、占位收费、金额分配等。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报表服务：平台应支持各类报表服务功能，包括报表查询，筛选，排序及导出功能，满足日常的管理需要。各报表支持多种筛选方式支持运营需要。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远程控制、升级：实现远程控制，可以对故障的桩进行后台重启。可以实现远程升级操作。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智慧充电：平台应支持多种方式的智慧充电，在云端对充电桩硬件进行控制，下发配置，根据情况实时调整充电的策略以及内容。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客户管理功能：平台应支持对各种类型的充电用户进行管理，包括企业用户和个人用户，能够维护其运营及账号信息。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多种启动方式：平台应支持多种启动方式，支撑场站精细化运营需要，并且需要在订单管理中可根据不同的充电启动方式进行订单的筛选。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车辆管理：可以单个/批量添加车辆，绑定至部门，实现车辆管理。如有车辆正在充电，可以查看该车充电过程数据。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运营管理：账户管理、订单管理、监控大屏、运营报表、活动管理、券管理、电卡管理、开票管理、评价管理、任务中心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系统管理</w:t>
      </w:r>
      <w:bookmarkStart w:id="28" w:name="_Toc52117553"/>
      <w:r>
        <w:rPr>
          <w:rFonts w:hint="eastAsia" w:ascii="Times New Roman" w:hAnsi="Times New Roman" w:cs="Times New Roman"/>
          <w:kern w:val="0"/>
          <w:sz w:val="24"/>
          <w:szCs w:val="24"/>
          <w:highlight w:val="none"/>
          <w:lang w:val="en-US" w:eastAsia="zh-CN"/>
        </w:rPr>
        <w:t>：部门管理</w:t>
      </w:r>
      <w:bookmarkEnd w:id="28"/>
      <w:r>
        <w:rPr>
          <w:rFonts w:hint="eastAsia" w:ascii="Times New Roman" w:hAnsi="Times New Roman" w:cs="Times New Roman"/>
          <w:kern w:val="0"/>
          <w:sz w:val="24"/>
          <w:szCs w:val="24"/>
          <w:highlight w:val="none"/>
          <w:lang w:val="en-US" w:eastAsia="zh-CN"/>
        </w:rPr>
        <w:t>、员工管理、车辆管理、菜单权限、操作日志查询。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兼容性：平台应充分考虑未来不同供应商、不同类型充电设施对接要求。</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三、运营终端（APP与微信小程序）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投标人需提供已在iOS App Store和所有Android应用市场中正式发布，可正常下载使用的APP，以及已正式发布可正常使用的微信小程序。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功能要求如下：</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0"/>
        <w:gridCol w:w="1701"/>
        <w:gridCol w:w="59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产品</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模块</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restart"/>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APP</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多种登录方式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手机号+短信验证码</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2.</w:t>
            </w:r>
            <w:r>
              <w:rPr>
                <w:rFonts w:hint="default" w:ascii="Times New Roman" w:hAnsi="Times New Roman" w:cs="Times New Roman"/>
                <w:lang w:val="en-US" w:eastAsia="zh-CN"/>
              </w:rPr>
              <w:t>账号一键登录、第三方账号登录</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3.</w:t>
            </w:r>
            <w:r>
              <w:rPr>
                <w:rFonts w:hint="default" w:ascii="Times New Roman" w:hAnsi="Times New Roman" w:cs="Times New Roman"/>
                <w:lang w:val="en-US" w:eastAsia="zh-CN"/>
              </w:rPr>
              <w:t>手机号+密码登录</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账户中心</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1.</w:t>
            </w:r>
            <w:r>
              <w:rPr>
                <w:rFonts w:hint="default" w:ascii="Times New Roman" w:hAnsi="Times New Roman" w:cs="Times New Roman"/>
                <w:lang w:val="en-US" w:eastAsia="zh-CN"/>
              </w:rPr>
              <w:t>用户基本信息、支付密码、登录密码、收货地址等基本信息</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2.</w:t>
            </w:r>
            <w:r>
              <w:rPr>
                <w:rFonts w:hint="default" w:ascii="Times New Roman" w:hAnsi="Times New Roman" w:cs="Times New Roman"/>
                <w:lang w:val="en-US" w:eastAsia="zh-CN"/>
              </w:rPr>
              <w:t>个人账户余额：金额信息、账户明细、充值（支付方式：支付宝支付、微信支付、招商一网通支付、云闪付等）</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3.</w:t>
            </w:r>
            <w:r>
              <w:rPr>
                <w:rFonts w:hint="default" w:ascii="Times New Roman" w:hAnsi="Times New Roman" w:cs="Times New Roman"/>
                <w:lang w:val="en-US" w:eastAsia="zh-CN"/>
              </w:rPr>
              <w:t>企业账户：企业账号列表、企业账号详情、申请企业账号</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电站详情显示</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包括电站的终端列表（终端状态体现），用户评论，费用、成功充电车型、周边服务、可用时间和电站属性、充电桩各桩是否可用展示等。</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1.</w:t>
            </w:r>
            <w:r>
              <w:rPr>
                <w:rFonts w:hint="default" w:ascii="Times New Roman" w:hAnsi="Times New Roman" w:cs="Times New Roman"/>
                <w:lang w:val="en-US" w:eastAsia="zh-CN"/>
              </w:rPr>
              <w:t>支持切换地图模式展示（可搜索电桩，可导航找站）</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eastAsia" w:ascii="Times New Roman" w:hAnsi="Times New Roman" w:cs="Times New Roman"/>
                <w:lang w:val="en-US" w:eastAsia="zh-CN"/>
              </w:rPr>
              <w:t>2.</w:t>
            </w:r>
            <w:r>
              <w:rPr>
                <w:rFonts w:hint="default" w:ascii="Times New Roman" w:hAnsi="Times New Roman" w:cs="Times New Roman"/>
                <w:lang w:val="en-US" w:eastAsia="zh-CN"/>
              </w:rPr>
              <w:t>支持筛选操作（根据距离、位置、快捷标签）</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搜索功能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功能入口：APP首页、离我最近电站列表、地图找站页面；</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支持根据地点、电站名称、电桩编号搜索；</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3</w:t>
            </w:r>
            <w:r>
              <w:rPr>
                <w:rFonts w:hint="eastAsia" w:ascii="Times New Roman" w:hAnsi="Times New Roman" w:cs="Times New Roman"/>
                <w:lang w:val="en-US" w:eastAsia="zh-CN"/>
              </w:rPr>
              <w:t>.</w:t>
            </w:r>
            <w:r>
              <w:rPr>
                <w:rFonts w:hint="default" w:ascii="Times New Roman" w:hAnsi="Times New Roman" w:cs="Times New Roman"/>
                <w:lang w:val="en-US" w:eastAsia="zh-CN"/>
              </w:rPr>
              <w:t>搜索功能以城市范围检索搜索内容；</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4</w:t>
            </w:r>
            <w:r>
              <w:rPr>
                <w:rFonts w:hint="eastAsia" w:ascii="Times New Roman" w:hAnsi="Times New Roman" w:cs="Times New Roman"/>
                <w:lang w:val="en-US" w:eastAsia="zh-CN"/>
              </w:rPr>
              <w:t>.</w:t>
            </w:r>
            <w:r>
              <w:rPr>
                <w:rFonts w:hint="default" w:ascii="Times New Roman" w:hAnsi="Times New Roman" w:cs="Times New Roman"/>
                <w:lang w:val="en-US" w:eastAsia="zh-CN"/>
              </w:rPr>
              <w:t>搜索结果包含两类：地址、电站</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筛选功能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快捷筛选：只看公共、只看空闲、高压快充、推荐站、只看自营、停车优惠、带枪；</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全量筛选：运营类型、电站筛选、人人电站筛选、保存搜索偏好</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收藏功能</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收藏充电站、充电终端等</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路径规矩及电站导航</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起讫地点间充电站路线规划功能</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能够通过跳转至第三方导航软件的的方式让用户可以对目的地充电站进行导航</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即插即充</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用户可在手机端绑定Vin码，使用APP个人账户启动一笔订单后验证成功则可使用vin码充电</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预约充电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可结合地锁，实现预约充电、预约释放</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扫码/手输设备编号充电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可通过扫码/手输设备编号实现充电</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支付方式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支持多种支付方式：支付宝、微信、银联等多种支付方式；支持个人支付、企业支付、信用支付三种方式</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充电进程监控</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实时查看：</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1</w:t>
            </w:r>
            <w:r>
              <w:rPr>
                <w:rFonts w:hint="eastAsia" w:ascii="Times New Roman" w:hAnsi="Times New Roman" w:cs="Times New Roman"/>
                <w:lang w:val="en-US" w:eastAsia="zh-CN"/>
              </w:rPr>
              <w:t>.</w:t>
            </w:r>
            <w:r>
              <w:rPr>
                <w:rFonts w:hint="default" w:ascii="Times New Roman" w:hAnsi="Times New Roman" w:cs="Times New Roman"/>
                <w:lang w:val="en-US" w:eastAsia="zh-CN"/>
              </w:rPr>
              <w:t>实时状态：充电订单的soc实时数据、充电量、充电费用、充电时长、设备编号、单价、北京时间</w:t>
            </w:r>
            <w:r>
              <w:rPr>
                <w:rFonts w:hint="eastAsia" w:ascii="Times New Roman" w:hAnsi="Times New Roman" w:cs="Times New Roman"/>
                <w:lang w:val="en-US" w:eastAsia="zh-CN"/>
              </w:rPr>
              <w:t>；</w:t>
            </w:r>
            <w:r>
              <w:rPr>
                <w:rFonts w:hint="default" w:ascii="Times New Roman" w:hAnsi="Times New Roman" w:cs="Times New Roman"/>
                <w:lang w:val="en-US" w:eastAsia="zh-CN"/>
              </w:rPr>
              <w:br w:type="textWrapping"/>
            </w:r>
            <w:r>
              <w:rPr>
                <w:rFonts w:hint="default" w:ascii="Times New Roman" w:hAnsi="Times New Roman" w:cs="Times New Roman"/>
                <w:lang w:val="en-US" w:eastAsia="zh-CN"/>
              </w:rPr>
              <w:t>2</w:t>
            </w:r>
            <w:r>
              <w:rPr>
                <w:rFonts w:hint="eastAsia" w:ascii="Times New Roman" w:hAnsi="Times New Roman" w:cs="Times New Roman"/>
                <w:lang w:val="en-US" w:eastAsia="zh-CN"/>
              </w:rPr>
              <w:t>.</w:t>
            </w:r>
            <w:r>
              <w:rPr>
                <w:rFonts w:hint="default" w:ascii="Times New Roman" w:hAnsi="Times New Roman" w:cs="Times New Roman"/>
                <w:lang w:val="en-US" w:eastAsia="zh-CN"/>
              </w:rPr>
              <w:t>充电参数：实时电流、实时功率、实时电压；soc曲线、温度曲线、功率曲线；电流、电压曲线</w:t>
            </w:r>
            <w:r>
              <w:rPr>
                <w:rFonts w:hint="eastAsia" w:ascii="Times New Roman" w:hAnsi="Times New Roman" w:cs="Times New Roman"/>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eastAsia" w:asciiTheme="minorEastAsia" w:hAnsiTheme="minorEastAsia" w:eastAsiaTheme="minorEastAsia" w:cstheme="minorEastAsia"/>
                <w:kern w:val="0"/>
                <w:sz w:val="21"/>
                <w:szCs w:val="21"/>
                <w:highlight w:val="none"/>
                <w:lang w:val="en-US" w:eastAsia="zh-CN"/>
              </w:rPr>
              <w:t>★</w:t>
            </w:r>
            <w:r>
              <w:rPr>
                <w:rFonts w:hint="eastAsia" w:asciiTheme="minorEastAsia" w:hAnsiTheme="minorEastAsia" w:eastAsiaTheme="minorEastAsia" w:cstheme="minorEastAsia"/>
                <w:sz w:val="21"/>
                <w:szCs w:val="21"/>
                <w:lang w:val="en-US" w:eastAsia="zh-CN"/>
              </w:rPr>
              <w:t>一号多</w:t>
            </w:r>
            <w:r>
              <w:rPr>
                <w:rFonts w:hint="default" w:ascii="Times New Roman" w:hAnsi="Times New Roman" w:cs="Times New Roman"/>
                <w:lang w:val="en-US" w:eastAsia="zh-CN"/>
              </w:rPr>
              <w:t>充</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用户可以申请最大充电数，实现一个账号给多辆车充电操作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远程断电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可以远程断电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订单管理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查看所有订单，包括充电订单、占用订单，及订单详情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发票管理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对已充电订单发起开票申请并查看开票进度，修改开票信息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在线退款</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支持用户通过APP提出退款申请，提升用户便利性体验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客服咨询</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可在线咨询客服和电话咨询客服解决问题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故障报修</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故障报修，可上传图片并且可以文字描述提交审核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restart"/>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微信小程序</w:t>
            </w: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扫码/手输设备编号充电</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可通过扫码/手输设备编号实现充电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搜索电站信息</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地图和列表模式下均可输入关键字可查询电站信息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筛选电站</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按照城市、是否带枪、免费停车、全时段开发、电桩功率等来筛选电站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电站列表</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以列表形式展示充电站，可按照距离排序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支付方式</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选择金额或输入自定义金额进行微信支付；充电完成后多余金额即时原路返回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充电过程监控</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展示充电中桩编号、电流、电压、功率等信息；</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充电结束展示充电站、最终时长、充电度数、支付金额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充电记录</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按月份显示所有充电记录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开票管理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引导用户登录APP提交开票申请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850" w:type="dxa"/>
            <w:vMerge w:val="continue"/>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p>
        </w:tc>
        <w:tc>
          <w:tcPr>
            <w:tcW w:w="1701"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资金管理</w:t>
            </w:r>
          </w:p>
        </w:tc>
        <w:tc>
          <w:tcPr>
            <w:tcW w:w="5970" w:type="dxa"/>
            <w:tcBorders>
              <w:tl2br w:val="nil"/>
              <w:tr2bl w:val="nil"/>
            </w:tcBorders>
            <w:noWrap w:val="0"/>
            <w:tcMar>
              <w:top w:w="12" w:type="dxa"/>
              <w:left w:w="12" w:type="dxa"/>
              <w:right w:w="12" w:type="dxa"/>
            </w:tcMar>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充电资金进入</w:t>
            </w:r>
            <w:r>
              <w:rPr>
                <w:rFonts w:hint="eastAsia" w:ascii="Times New Roman" w:hAnsi="Times New Roman" w:cs="Times New Roman"/>
                <w:lang w:val="en-US" w:eastAsia="zh-CN"/>
              </w:rPr>
              <w:t>招标人</w:t>
            </w:r>
            <w:r>
              <w:rPr>
                <w:rFonts w:hint="default" w:ascii="Times New Roman" w:hAnsi="Times New Roman" w:cs="Times New Roman"/>
                <w:lang w:val="en-US" w:eastAsia="zh-CN"/>
              </w:rPr>
              <w:t>指定微信支付商户号</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四、检验考核要求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交货前，投标人应对货物质量、规格、性能、数量和重量等进行详细全面的检验，并出具一份证明货物符合招标文件要求及合同约定的检验证书，投标人的检验结果和细节应附在检验证书内。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投标人向招标人交付设备后，招标人在运营实况下进行测试，如设备技术性能指标检验考核结果不符合本章技术标准和要求及投标文件承诺，投标人应无条件进行退换货处理。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五、技术服务和质保期服务要求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1.招标人保留在签订合同前对本章技术标准和要求进行补充、修改的权利，投标人应予以配合；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2.投标人应保证投标设备是原厂生产的全新未使用的合格产品，各类指标均符合国家强制性标准、制造商出厂检验标准以及行业标准；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4.投标人应提交投标设备的技术文件，包括相应的每一套设备和仪器的中文技术文件，如产品目录、图纸、操作手册、使用说明、维护手册、服务指南等，这些文件应随同投标设备一起交付招标人；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5.招标人如需要，投标人应能说明投标设备的主要技术指标，能提供与指标相对应的在有效期内的检测报告，能提供质量保证承诺、售后服务条款和技术支持等相关材料；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人投标设备（120kw一体式直流充电桩）质保期应不低于8年，其他投标设备质保期应不低于1年，制造商或国家有更长质保期规定的，应从其规定。质保期自货到验收合格之日起开始计算；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7.对于招标人以书面或电话形式提出的质量、服务等问题，投标人应于2小时内予以答复响应，需要投标人委派技术、服务人员的，应于24小时内到达现场；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9.投标人应当向招标人提供投标设备操作培训，培训效果应达到招标人工作人员能够独立进行日常操作和简单维护的水平。</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六、投标说明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技术标准和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技术标准和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i w:val="0"/>
          <w:iCs w:val="0"/>
          <w:kern w:val="0"/>
          <w:sz w:val="24"/>
          <w:szCs w:val="24"/>
          <w:highlight w:val="none"/>
          <w:lang w:val="en-US" w:eastAsia="zh-CN"/>
        </w:rPr>
      </w:pPr>
      <w:r>
        <w:rPr>
          <w:rFonts w:hint="eastAsia" w:ascii="Times New Roman" w:hAnsi="Times New Roman" w:cs="Times New Roman"/>
          <w:b/>
          <w:bCs/>
          <w:i w:val="0"/>
          <w:iCs w:val="0"/>
          <w:kern w:val="0"/>
          <w:sz w:val="24"/>
          <w:szCs w:val="24"/>
          <w:highlight w:val="none"/>
          <w:lang w:val="en-US" w:eastAsia="zh-CN"/>
        </w:rPr>
        <w:t>七、附件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设计图纸、工程量清单。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应在开标前对设计图纸、工程量清单进行仔细核对。如有错漏项，投标人应及时与招标人联系，递交纸质材料，要求招标人对招标文件予以澄清。否则，投标人不得再以设计图纸或工程量清单错漏等原因要求招标人调整合同价款。</w:t>
      </w: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29" w:name="_Toc300835209"/>
      <w:bookmarkStart w:id="30" w:name="_Toc247527827"/>
      <w:bookmarkStart w:id="31" w:name="_Toc144974856"/>
      <w:bookmarkStart w:id="32" w:name="_Toc152042576"/>
      <w:bookmarkStart w:id="33" w:name="_Toc247514246"/>
      <w:bookmarkStart w:id="34" w:name="_Toc152045787"/>
      <w:r>
        <w:rPr>
          <w:rFonts w:hint="default" w:ascii="Times New Roman" w:hAnsi="Times New Roman" w:cs="Times New Roman"/>
          <w:highlight w:val="none"/>
        </w:rPr>
        <w:t>目    录</w:t>
      </w:r>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九、投标设备技术性能指标的详细描述</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十一、其他资料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440" w:lineRule="exact"/>
        <w:rPr>
          <w:rFonts w:hint="default" w:ascii="Times New Roman" w:hAnsi="Times New Roman" w:eastAsia="黑体" w:cs="Times New Roman"/>
          <w:sz w:val="20"/>
          <w:szCs w:val="20"/>
          <w:highlight w:val="none"/>
        </w:rPr>
      </w:pPr>
    </w:p>
    <w:p>
      <w:pPr>
        <w:pStyle w:val="5"/>
        <w:rPr>
          <w:rFonts w:hint="default" w:ascii="Times New Roman" w:hAnsi="Times New Roman" w:cs="Times New Roman"/>
          <w:highlight w:val="none"/>
        </w:rPr>
      </w:pPr>
      <w:bookmarkStart w:id="35" w:name="_Toc152042578"/>
      <w:bookmarkStart w:id="36" w:name="_Toc247514248"/>
      <w:bookmarkStart w:id="37" w:name="_Toc144974858"/>
      <w:bookmarkStart w:id="38" w:name="_Toc152045789"/>
      <w:bookmarkStart w:id="39" w:name="_Toc300835211"/>
      <w:bookmarkStart w:id="40" w:name="_Toc247527829"/>
      <w:r>
        <w:rPr>
          <w:rFonts w:hint="default" w:ascii="Times New Roman" w:hAnsi="Times New Roman" w:cs="Times New Roman"/>
          <w:highlight w:val="none"/>
        </w:rPr>
        <w:t>（一）投标函</w:t>
      </w:r>
      <w:bookmarkEnd w:id="35"/>
      <w:bookmarkEnd w:id="36"/>
      <w:bookmarkEnd w:id="37"/>
      <w:bookmarkEnd w:id="38"/>
      <w:bookmarkEnd w:id="39"/>
      <w:bookmarkEnd w:id="40"/>
    </w:p>
    <w:p>
      <w:pPr>
        <w:spacing w:line="440" w:lineRule="exact"/>
        <w:rPr>
          <w:rFonts w:hint="default" w:ascii="Times New Roman" w:hAnsi="Times New Roman" w:cs="Times New Roman"/>
          <w:sz w:val="20"/>
          <w:szCs w:val="20"/>
          <w:highlight w:val="none"/>
        </w:rPr>
      </w:pP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u w:val="none"/>
          <w:lang w:eastAsia="zh-CN"/>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（项目名称）招标文件的全部内容，愿意以</w:t>
      </w: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，（小写）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元的投标总报价（其中，增值税税率为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），工期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项和第1.4.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3675" w:firstLineChars="17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default" w:ascii="Times New Roman" w:hAnsi="Times New Roman" w:cs="Times New Roman"/>
          <w:highlight w:val="none"/>
        </w:rPr>
      </w:pPr>
      <w:bookmarkStart w:id="41" w:name="_Toc144974859"/>
      <w:bookmarkStart w:id="42" w:name="_Toc247514249"/>
      <w:bookmarkStart w:id="43" w:name="_Toc152045790"/>
      <w:bookmarkStart w:id="44" w:name="_Toc152042579"/>
      <w:bookmarkStart w:id="45" w:name="_Toc247527830"/>
      <w:bookmarkStart w:id="46" w:name="_Toc300835212"/>
      <w:r>
        <w:rPr>
          <w:rFonts w:hint="default" w:ascii="Times New Roman" w:hAnsi="Times New Roman" w:cs="Times New Roman"/>
          <w:highlight w:val="none"/>
        </w:rPr>
        <w:br w:type="page"/>
      </w:r>
    </w:p>
    <w:p>
      <w:pPr>
        <w:pStyle w:val="5"/>
        <w:rPr>
          <w:rFonts w:hint="default" w:ascii="Times New Roman" w:hAnsi="Times New Roman" w:cs="Times New Roman"/>
          <w:highlight w:val="none"/>
        </w:rPr>
      </w:pPr>
      <w:r>
        <w:rPr>
          <w:rFonts w:hint="default" w:ascii="Times New Roman" w:hAnsi="Times New Roman" w:cs="Times New Roman"/>
          <w:highlight w:val="none"/>
        </w:rPr>
        <w:t>（二）投标函附录</w:t>
      </w:r>
      <w:bookmarkEnd w:id="41"/>
      <w:bookmarkEnd w:id="42"/>
      <w:bookmarkEnd w:id="43"/>
      <w:bookmarkEnd w:id="44"/>
      <w:bookmarkEnd w:id="45"/>
      <w:bookmarkEnd w:id="46"/>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5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条款名称</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项目负责人</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rPr>
              <w:t>姓名：</w:t>
            </w:r>
            <w:r>
              <w:rPr>
                <w:rFonts w:hint="eastAsia" w:ascii="Times New Roman" w:hAnsi="Times New Roman" w:cs="Times New Roman"/>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身份证号：</w:t>
            </w:r>
            <w:r>
              <w:rPr>
                <w:rFonts w:hint="eastAsia" w:ascii="Times New Roman" w:hAnsi="Times New Roman" w:cs="Times New Roman"/>
                <w:szCs w:val="21"/>
                <w:highlight w:val="none"/>
                <w:u w:val="single"/>
                <w:lang w:val="en-US" w:eastAsia="zh-CN"/>
              </w:rPr>
              <w:t xml:space="preserve">           </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工期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天数：</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缺陷责任期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自竣工验收合格之日起</w:t>
            </w:r>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szCs w:val="21"/>
                <w:highlight w:val="none"/>
                <w:u w:val="none"/>
                <w:lang w:val="en-US" w:eastAsia="zh-CN"/>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r>
    </w:tbl>
    <w:p>
      <w:pPr>
        <w:spacing w:line="440" w:lineRule="exact"/>
        <w:rPr>
          <w:rFonts w:hint="default" w:ascii="Times New Roman" w:hAnsi="Times New Roman" w:eastAsia="黑体" w:cs="Times New Roman"/>
          <w:sz w:val="20"/>
          <w:szCs w:val="20"/>
          <w:highlight w:val="none"/>
        </w:rPr>
      </w:pPr>
      <w:r>
        <w:rPr>
          <w:rFonts w:hint="default" w:ascii="Times New Roman" w:hAnsi="Times New Roman" w:cs="Times New Roman"/>
          <w:szCs w:val="21"/>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单位性质：</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成立时间：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经营期限：</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附：法定代表人身份证复印件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rPr>
        <w:t>二、授权委托书</w:t>
      </w:r>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（投标人名称）的法定代表人，现委托</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（姓名）为我方代理人。代理人根据授权，以我方名义签署、澄清、说明、补正、递交、撤回、修改</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（项目名称）投标文件、签订合同和处理有关事宜，其法律后果由我方承担。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附：法定代表人身份证明</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委托代理人身份证复印件、委托代理人</w:t>
      </w:r>
      <w:r>
        <w:rPr>
          <w:rFonts w:hint="eastAsia" w:ascii="Times New Roman" w:hAnsi="Times New Roman" w:cs="Times New Roman"/>
          <w:color w:val="FF0000"/>
          <w:szCs w:val="21"/>
          <w:highlight w:val="none"/>
          <w:u w:val="single"/>
          <w:lang w:val="en-US" w:eastAsia="zh-CN"/>
        </w:rPr>
        <w:t>2022年1月以来任意连续3个月</w:t>
      </w:r>
      <w:r>
        <w:rPr>
          <w:rFonts w:hint="eastAsia" w:ascii="Times New Roman" w:hAnsi="Times New Roman" w:cs="Times New Roman"/>
          <w:szCs w:val="21"/>
          <w:highlight w:val="none"/>
          <w:lang w:val="en-US" w:eastAsia="zh-CN"/>
        </w:rPr>
        <w:t>的社保缴费证明复印件</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p>
    <w:p>
      <w:pPr>
        <w:spacing w:line="440" w:lineRule="exact"/>
        <w:rPr>
          <w:rFonts w:hint="default" w:ascii="Times New Roman" w:hAnsi="Times New Roman" w:cs="Times New Roman"/>
          <w:szCs w:val="21"/>
          <w:highlight w:val="none"/>
        </w:rPr>
      </w:pPr>
    </w:p>
    <w:p>
      <w:pPr>
        <w:spacing w:line="440" w:lineRule="exact"/>
        <w:ind w:firstLine="1575" w:firstLineChars="7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eastAsiaTheme="minorEastAsia"/>
          <w:szCs w:val="21"/>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p>
    <w:p>
      <w:pPr>
        <w:spacing w:line="440" w:lineRule="exact"/>
        <w:rPr>
          <w:rFonts w:hint="default" w:ascii="Times New Roman" w:hAnsi="Times New Roman" w:cs="Times New Roman"/>
          <w:b/>
          <w:bCs/>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b/>
          <w:bCs/>
          <w:i w:val="0"/>
          <w:iCs w:val="0"/>
          <w:highlight w:val="none"/>
          <w:lang w:val="en-US" w:eastAsia="zh-CN"/>
        </w:rPr>
        <w:t>五、施工方案</w:t>
      </w:r>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投标人编制</w:t>
      </w:r>
      <w:r>
        <w:rPr>
          <w:rFonts w:hint="eastAsia" w:ascii="Times New Roman" w:hAnsi="Times New Roman" w:cs="Times New Roman"/>
          <w:szCs w:val="21"/>
          <w:highlight w:val="none"/>
          <w:lang w:val="en-US" w:eastAsia="zh-CN"/>
        </w:rPr>
        <w:t>施工方案</w:t>
      </w:r>
      <w:r>
        <w:rPr>
          <w:rFonts w:hint="default" w:ascii="Times New Roman" w:hAnsi="Times New Roman" w:cs="Times New Roman"/>
          <w:szCs w:val="21"/>
          <w:highlight w:val="none"/>
        </w:rPr>
        <w:t>的要求：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编制时应简明扼要地说明施工方法，工程质量、安全生产、文明施工、环境保护、冬雨季施工、</w:t>
      </w:r>
      <w:r>
        <w:rPr>
          <w:rFonts w:hint="eastAsia" w:ascii="Times New Roman" w:hAnsi="Times New Roman" w:cs="Times New Roman"/>
          <w:szCs w:val="21"/>
          <w:highlight w:val="none"/>
          <w:lang w:val="en-US" w:eastAsia="zh-CN"/>
        </w:rPr>
        <w:t>工程进度、技术组织等主要措施。</w:t>
      </w:r>
      <w:r>
        <w:rPr>
          <w:rFonts w:hint="default" w:ascii="Times New Roman" w:hAnsi="Times New Roman" w:cs="Times New Roman"/>
          <w:szCs w:val="21"/>
          <w:highlight w:val="none"/>
        </w:rPr>
        <w:t>用图表形式阐明本项目的</w:t>
      </w:r>
      <w:r>
        <w:rPr>
          <w:rFonts w:hint="eastAsia" w:ascii="Times New Roman" w:hAnsi="Times New Roman" w:cs="Times New Roman"/>
          <w:szCs w:val="21"/>
          <w:highlight w:val="none"/>
          <w:lang w:val="en-US" w:eastAsia="zh-CN"/>
        </w:rPr>
        <w:t>进度计划以及</w:t>
      </w:r>
      <w:r>
        <w:rPr>
          <w:rFonts w:hint="default" w:ascii="Times New Roman" w:hAnsi="Times New Roman" w:cs="Times New Roman"/>
          <w:szCs w:val="21"/>
          <w:highlight w:val="none"/>
        </w:rPr>
        <w:t>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图表及格式要求：</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附表一</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拟投入的主要施工设备表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附表二 劳动力计划表</w:t>
      </w:r>
    </w:p>
    <w:p>
      <w:pPr>
        <w:tabs>
          <w:tab w:val="left" w:pos="720"/>
        </w:tabs>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附表三 进度计划</w:t>
      </w: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pStyle w:val="5"/>
        <w:rPr>
          <w:rFonts w:hint="eastAsia"/>
        </w:rPr>
      </w:pPr>
      <w:bookmarkStart w:id="47" w:name="_Toc246996365"/>
      <w:bookmarkStart w:id="48" w:name="_Toc144974865"/>
      <w:bookmarkStart w:id="49" w:name="_Toc152042586"/>
      <w:bookmarkStart w:id="50" w:name="_Toc179632817"/>
      <w:bookmarkStart w:id="51" w:name="_Toc152045797"/>
      <w:bookmarkStart w:id="52" w:name="_Toc246997108"/>
      <w:bookmarkStart w:id="53" w:name="_Toc247085883"/>
      <w:bookmarkStart w:id="54" w:name="_Toc296602610"/>
      <w:r>
        <w:t>附表一：拟投入本</w:t>
      </w:r>
      <w:r>
        <w:rPr>
          <w:rFonts w:hint="eastAsia"/>
        </w:rPr>
        <w:t>项目</w:t>
      </w:r>
      <w:r>
        <w:t>的主要施工设备表</w:t>
      </w:r>
      <w:bookmarkEnd w:id="47"/>
      <w:bookmarkEnd w:id="48"/>
      <w:bookmarkEnd w:id="49"/>
      <w:bookmarkEnd w:id="50"/>
      <w:bookmarkEnd w:id="51"/>
      <w:bookmarkEnd w:id="52"/>
      <w:bookmarkEnd w:id="53"/>
      <w:bookmarkEnd w:id="54"/>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szCs w:val="21"/>
              </w:rPr>
            </w:pPr>
            <w:r>
              <w:rPr>
                <w:szCs w:val="21"/>
              </w:rPr>
              <w:t>序号</w:t>
            </w:r>
          </w:p>
        </w:tc>
        <w:tc>
          <w:tcPr>
            <w:tcW w:w="1086" w:type="dxa"/>
            <w:noWrap w:val="0"/>
            <w:vAlign w:val="center"/>
          </w:tcPr>
          <w:p>
            <w:pPr>
              <w:spacing w:line="440" w:lineRule="exact"/>
              <w:jc w:val="center"/>
              <w:rPr>
                <w:szCs w:val="21"/>
              </w:rPr>
            </w:pPr>
            <w:r>
              <w:rPr>
                <w:szCs w:val="21"/>
              </w:rPr>
              <w:t>设备名称</w:t>
            </w:r>
          </w:p>
        </w:tc>
        <w:tc>
          <w:tcPr>
            <w:tcW w:w="761" w:type="dxa"/>
            <w:noWrap w:val="0"/>
            <w:vAlign w:val="center"/>
          </w:tcPr>
          <w:p>
            <w:pPr>
              <w:spacing w:line="440" w:lineRule="exact"/>
              <w:jc w:val="center"/>
              <w:rPr>
                <w:szCs w:val="21"/>
              </w:rPr>
            </w:pPr>
            <w:r>
              <w:rPr>
                <w:szCs w:val="21"/>
              </w:rPr>
              <w:t>型号</w:t>
            </w:r>
          </w:p>
          <w:p>
            <w:pPr>
              <w:spacing w:line="440" w:lineRule="exact"/>
              <w:jc w:val="center"/>
              <w:rPr>
                <w:szCs w:val="21"/>
              </w:rPr>
            </w:pPr>
            <w:r>
              <w:rPr>
                <w:szCs w:val="21"/>
              </w:rPr>
              <w:t>规格</w:t>
            </w:r>
          </w:p>
        </w:tc>
        <w:tc>
          <w:tcPr>
            <w:tcW w:w="990" w:type="dxa"/>
            <w:noWrap w:val="0"/>
            <w:vAlign w:val="center"/>
          </w:tcPr>
          <w:p>
            <w:pPr>
              <w:spacing w:line="440" w:lineRule="exact"/>
              <w:jc w:val="center"/>
              <w:rPr>
                <w:szCs w:val="21"/>
              </w:rPr>
            </w:pPr>
            <w:r>
              <w:rPr>
                <w:szCs w:val="21"/>
              </w:rPr>
              <w:t>数量</w:t>
            </w:r>
          </w:p>
        </w:tc>
        <w:tc>
          <w:tcPr>
            <w:tcW w:w="672" w:type="dxa"/>
            <w:noWrap w:val="0"/>
            <w:vAlign w:val="center"/>
          </w:tcPr>
          <w:p>
            <w:pPr>
              <w:spacing w:line="440" w:lineRule="exact"/>
              <w:jc w:val="center"/>
              <w:rPr>
                <w:szCs w:val="21"/>
              </w:rPr>
            </w:pPr>
            <w:r>
              <w:rPr>
                <w:szCs w:val="21"/>
              </w:rPr>
              <w:t>国别</w:t>
            </w:r>
          </w:p>
          <w:p>
            <w:pPr>
              <w:spacing w:line="440" w:lineRule="exact"/>
              <w:jc w:val="center"/>
              <w:rPr>
                <w:szCs w:val="21"/>
              </w:rPr>
            </w:pPr>
            <w:r>
              <w:rPr>
                <w:szCs w:val="21"/>
              </w:rPr>
              <w:t>产地</w:t>
            </w:r>
          </w:p>
        </w:tc>
        <w:tc>
          <w:tcPr>
            <w:tcW w:w="738" w:type="dxa"/>
            <w:noWrap w:val="0"/>
            <w:vAlign w:val="center"/>
          </w:tcPr>
          <w:p>
            <w:pPr>
              <w:spacing w:line="440" w:lineRule="exact"/>
              <w:jc w:val="center"/>
              <w:rPr>
                <w:szCs w:val="21"/>
              </w:rPr>
            </w:pPr>
            <w:r>
              <w:rPr>
                <w:szCs w:val="21"/>
              </w:rPr>
              <w:t>制造</w:t>
            </w:r>
          </w:p>
          <w:p>
            <w:pPr>
              <w:spacing w:line="440" w:lineRule="exact"/>
              <w:jc w:val="center"/>
              <w:rPr>
                <w:szCs w:val="21"/>
              </w:rPr>
            </w:pPr>
            <w:r>
              <w:rPr>
                <w:szCs w:val="21"/>
              </w:rPr>
              <w:t>年份</w:t>
            </w:r>
          </w:p>
        </w:tc>
        <w:tc>
          <w:tcPr>
            <w:tcW w:w="1212" w:type="dxa"/>
            <w:noWrap w:val="0"/>
            <w:vAlign w:val="center"/>
          </w:tcPr>
          <w:p>
            <w:pPr>
              <w:spacing w:line="440" w:lineRule="exact"/>
              <w:jc w:val="center"/>
              <w:rPr>
                <w:szCs w:val="21"/>
              </w:rPr>
            </w:pPr>
            <w:r>
              <w:rPr>
                <w:szCs w:val="21"/>
              </w:rPr>
              <w:t>额定功率（</w:t>
            </w:r>
            <w:r>
              <w:rPr>
                <w:rFonts w:hint="eastAsia"/>
                <w:szCs w:val="21"/>
              </w:rPr>
              <w:t>k</w:t>
            </w:r>
            <w:r>
              <w:rPr>
                <w:szCs w:val="21"/>
              </w:rPr>
              <w:t>W）</w:t>
            </w:r>
          </w:p>
        </w:tc>
        <w:tc>
          <w:tcPr>
            <w:tcW w:w="874" w:type="dxa"/>
            <w:noWrap w:val="0"/>
            <w:vAlign w:val="center"/>
          </w:tcPr>
          <w:p>
            <w:pPr>
              <w:spacing w:line="440" w:lineRule="exact"/>
              <w:jc w:val="center"/>
              <w:rPr>
                <w:szCs w:val="21"/>
              </w:rPr>
            </w:pPr>
            <w:r>
              <w:rPr>
                <w:szCs w:val="21"/>
              </w:rPr>
              <w:t>生产</w:t>
            </w:r>
          </w:p>
          <w:p>
            <w:pPr>
              <w:spacing w:line="440" w:lineRule="exact"/>
              <w:jc w:val="center"/>
              <w:rPr>
                <w:szCs w:val="21"/>
              </w:rPr>
            </w:pPr>
            <w:r>
              <w:rPr>
                <w:szCs w:val="21"/>
              </w:rPr>
              <w:t>能力</w:t>
            </w:r>
          </w:p>
        </w:tc>
        <w:tc>
          <w:tcPr>
            <w:tcW w:w="1055" w:type="dxa"/>
            <w:noWrap w:val="0"/>
            <w:vAlign w:val="center"/>
          </w:tcPr>
          <w:p>
            <w:pPr>
              <w:spacing w:line="440" w:lineRule="exact"/>
              <w:jc w:val="center"/>
              <w:rPr>
                <w:szCs w:val="21"/>
              </w:rPr>
            </w:pPr>
            <w:r>
              <w:rPr>
                <w:szCs w:val="21"/>
              </w:rPr>
              <w:t>用于施工部位</w:t>
            </w:r>
          </w:p>
        </w:tc>
        <w:tc>
          <w:tcPr>
            <w:tcW w:w="691"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szCs w:val="21"/>
              </w:rPr>
            </w:pPr>
          </w:p>
        </w:tc>
        <w:tc>
          <w:tcPr>
            <w:tcW w:w="1086" w:type="dxa"/>
            <w:noWrap w:val="0"/>
            <w:vAlign w:val="center"/>
          </w:tcPr>
          <w:p>
            <w:pPr>
              <w:spacing w:line="440" w:lineRule="exact"/>
              <w:jc w:val="center"/>
              <w:rPr>
                <w:szCs w:val="21"/>
              </w:rPr>
            </w:pPr>
          </w:p>
        </w:tc>
        <w:tc>
          <w:tcPr>
            <w:tcW w:w="761" w:type="dxa"/>
            <w:noWrap w:val="0"/>
            <w:vAlign w:val="center"/>
          </w:tcPr>
          <w:p>
            <w:pPr>
              <w:spacing w:line="440" w:lineRule="exact"/>
              <w:jc w:val="center"/>
              <w:rPr>
                <w:szCs w:val="21"/>
              </w:rPr>
            </w:pPr>
          </w:p>
        </w:tc>
        <w:tc>
          <w:tcPr>
            <w:tcW w:w="990"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c>
          <w:tcPr>
            <w:tcW w:w="738" w:type="dxa"/>
            <w:noWrap w:val="0"/>
            <w:vAlign w:val="center"/>
          </w:tcPr>
          <w:p>
            <w:pPr>
              <w:spacing w:line="440" w:lineRule="exact"/>
              <w:jc w:val="center"/>
              <w:rPr>
                <w:szCs w:val="21"/>
              </w:rPr>
            </w:pPr>
          </w:p>
        </w:tc>
        <w:tc>
          <w:tcPr>
            <w:tcW w:w="1212" w:type="dxa"/>
            <w:noWrap w:val="0"/>
            <w:vAlign w:val="center"/>
          </w:tcPr>
          <w:p>
            <w:pPr>
              <w:spacing w:line="440" w:lineRule="exact"/>
              <w:jc w:val="center"/>
              <w:rPr>
                <w:szCs w:val="21"/>
              </w:rPr>
            </w:pPr>
          </w:p>
        </w:tc>
        <w:tc>
          <w:tcPr>
            <w:tcW w:w="874" w:type="dxa"/>
            <w:noWrap w:val="0"/>
            <w:vAlign w:val="center"/>
          </w:tcPr>
          <w:p>
            <w:pPr>
              <w:spacing w:line="440" w:lineRule="exact"/>
              <w:jc w:val="center"/>
              <w:rPr>
                <w:szCs w:val="21"/>
              </w:rPr>
            </w:pPr>
          </w:p>
        </w:tc>
        <w:tc>
          <w:tcPr>
            <w:tcW w:w="1055" w:type="dxa"/>
            <w:noWrap w:val="0"/>
            <w:vAlign w:val="center"/>
          </w:tcPr>
          <w:p>
            <w:pPr>
              <w:spacing w:line="440" w:lineRule="exact"/>
              <w:jc w:val="center"/>
              <w:rPr>
                <w:szCs w:val="21"/>
              </w:rPr>
            </w:pPr>
          </w:p>
        </w:tc>
        <w:tc>
          <w:tcPr>
            <w:tcW w:w="691"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szCs w:val="21"/>
              </w:rPr>
            </w:pPr>
          </w:p>
        </w:tc>
        <w:tc>
          <w:tcPr>
            <w:tcW w:w="1086" w:type="dxa"/>
            <w:noWrap w:val="0"/>
            <w:vAlign w:val="top"/>
          </w:tcPr>
          <w:p>
            <w:pPr>
              <w:spacing w:line="440" w:lineRule="exact"/>
              <w:jc w:val="center"/>
              <w:rPr>
                <w:szCs w:val="21"/>
              </w:rPr>
            </w:pPr>
          </w:p>
        </w:tc>
        <w:tc>
          <w:tcPr>
            <w:tcW w:w="761" w:type="dxa"/>
            <w:noWrap w:val="0"/>
            <w:vAlign w:val="top"/>
          </w:tcPr>
          <w:p>
            <w:pPr>
              <w:spacing w:line="440" w:lineRule="exact"/>
              <w:jc w:val="center"/>
              <w:rPr>
                <w:szCs w:val="21"/>
              </w:rPr>
            </w:pPr>
          </w:p>
        </w:tc>
        <w:tc>
          <w:tcPr>
            <w:tcW w:w="990"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c>
          <w:tcPr>
            <w:tcW w:w="738" w:type="dxa"/>
            <w:noWrap w:val="0"/>
            <w:vAlign w:val="top"/>
          </w:tcPr>
          <w:p>
            <w:pPr>
              <w:spacing w:line="440" w:lineRule="exact"/>
              <w:jc w:val="center"/>
              <w:rPr>
                <w:szCs w:val="21"/>
              </w:rPr>
            </w:pPr>
          </w:p>
        </w:tc>
        <w:tc>
          <w:tcPr>
            <w:tcW w:w="1212" w:type="dxa"/>
            <w:noWrap w:val="0"/>
            <w:vAlign w:val="top"/>
          </w:tcPr>
          <w:p>
            <w:pPr>
              <w:spacing w:line="440" w:lineRule="exact"/>
              <w:jc w:val="center"/>
              <w:rPr>
                <w:szCs w:val="21"/>
              </w:rPr>
            </w:pPr>
          </w:p>
        </w:tc>
        <w:tc>
          <w:tcPr>
            <w:tcW w:w="874" w:type="dxa"/>
            <w:noWrap w:val="0"/>
            <w:vAlign w:val="top"/>
          </w:tcPr>
          <w:p>
            <w:pPr>
              <w:spacing w:line="440" w:lineRule="exact"/>
              <w:jc w:val="center"/>
              <w:rPr>
                <w:szCs w:val="21"/>
              </w:rPr>
            </w:pPr>
          </w:p>
        </w:tc>
        <w:tc>
          <w:tcPr>
            <w:tcW w:w="1055" w:type="dxa"/>
            <w:noWrap w:val="0"/>
            <w:vAlign w:val="top"/>
          </w:tcPr>
          <w:p>
            <w:pPr>
              <w:spacing w:line="440" w:lineRule="exact"/>
              <w:jc w:val="center"/>
              <w:rPr>
                <w:szCs w:val="21"/>
              </w:rPr>
            </w:pPr>
          </w:p>
        </w:tc>
        <w:tc>
          <w:tcPr>
            <w:tcW w:w="691" w:type="dxa"/>
            <w:noWrap w:val="0"/>
            <w:vAlign w:val="top"/>
          </w:tcPr>
          <w:p>
            <w:pPr>
              <w:spacing w:line="440" w:lineRule="exact"/>
              <w:jc w:val="center"/>
              <w:rPr>
                <w:szCs w:val="21"/>
              </w:rPr>
            </w:pPr>
          </w:p>
        </w:tc>
      </w:tr>
    </w:tbl>
    <w:p>
      <w:pPr>
        <w:spacing w:line="440" w:lineRule="exact"/>
        <w:rPr>
          <w:rFonts w:eastAsia="黑体"/>
          <w:sz w:val="20"/>
          <w:szCs w:val="20"/>
        </w:rPr>
      </w:pPr>
    </w:p>
    <w:p>
      <w:pPr>
        <w:spacing w:line="440" w:lineRule="exact"/>
        <w:rPr>
          <w:rFonts w:hint="eastAsia" w:eastAsia="黑体"/>
          <w:sz w:val="20"/>
          <w:szCs w:val="20"/>
        </w:rPr>
      </w:pPr>
      <w:r>
        <w:rPr>
          <w:rFonts w:eastAsia="黑体"/>
          <w:sz w:val="20"/>
          <w:szCs w:val="20"/>
        </w:rPr>
        <w:br w:type="page"/>
      </w:r>
    </w:p>
    <w:p>
      <w:pPr>
        <w:pStyle w:val="5"/>
      </w:pPr>
      <w:bookmarkStart w:id="55" w:name="_Toc152045799"/>
      <w:bookmarkStart w:id="56" w:name="_Toc296602611"/>
      <w:bookmarkStart w:id="57" w:name="_Toc247085884"/>
      <w:bookmarkStart w:id="58" w:name="_Toc179632819"/>
      <w:bookmarkStart w:id="59" w:name="_Toc246997109"/>
      <w:bookmarkStart w:id="60" w:name="_Toc144974867"/>
      <w:bookmarkStart w:id="61" w:name="_Toc246996366"/>
      <w:bookmarkStart w:id="62" w:name="_Toc152042588"/>
      <w:r>
        <w:t>附表</w:t>
      </w:r>
      <w:r>
        <w:rPr>
          <w:rFonts w:hint="eastAsia"/>
        </w:rPr>
        <w:t>二</w:t>
      </w:r>
      <w:r>
        <w:t>：劳动力计划表</w:t>
      </w:r>
      <w:bookmarkEnd w:id="55"/>
      <w:bookmarkEnd w:id="56"/>
      <w:bookmarkEnd w:id="57"/>
      <w:bookmarkEnd w:id="58"/>
      <w:bookmarkEnd w:id="59"/>
      <w:bookmarkEnd w:id="60"/>
      <w:bookmarkEnd w:id="61"/>
      <w:bookmarkEnd w:id="62"/>
    </w:p>
    <w:p>
      <w:pPr>
        <w:spacing w:line="440" w:lineRule="exact"/>
        <w:ind w:right="200"/>
        <w:jc w:val="right"/>
        <w:rPr>
          <w:rFonts w:eastAsia="黑体"/>
          <w:szCs w:val="21"/>
        </w:rPr>
      </w:pPr>
      <w:r>
        <w:rPr>
          <w:rFonts w:eastAsia="黑体"/>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r>
              <w:rPr>
                <w:szCs w:val="21"/>
              </w:rPr>
              <w:t>工种</w:t>
            </w:r>
          </w:p>
        </w:tc>
        <w:tc>
          <w:tcPr>
            <w:tcW w:w="7693" w:type="dxa"/>
            <w:gridSpan w:val="7"/>
            <w:noWrap w:val="0"/>
            <w:vAlign w:val="center"/>
          </w:tcPr>
          <w:p>
            <w:pPr>
              <w:spacing w:line="440" w:lineRule="exact"/>
              <w:jc w:val="center"/>
              <w:rPr>
                <w:szCs w:val="21"/>
              </w:rPr>
            </w:pPr>
            <w:r>
              <w:rPr>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rPr>
            </w:pPr>
          </w:p>
        </w:tc>
        <w:tc>
          <w:tcPr>
            <w:tcW w:w="1304"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5" w:type="dxa"/>
            <w:noWrap w:val="0"/>
            <w:vAlign w:val="center"/>
          </w:tcPr>
          <w:p>
            <w:pPr>
              <w:spacing w:line="440" w:lineRule="exact"/>
              <w:jc w:val="center"/>
              <w:rPr>
                <w:szCs w:val="21"/>
              </w:rPr>
            </w:pPr>
          </w:p>
        </w:tc>
        <w:tc>
          <w:tcPr>
            <w:tcW w:w="1064"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rPr>
            </w:pPr>
          </w:p>
        </w:tc>
        <w:tc>
          <w:tcPr>
            <w:tcW w:w="1304"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5" w:type="dxa"/>
            <w:noWrap w:val="0"/>
            <w:vAlign w:val="top"/>
          </w:tcPr>
          <w:p>
            <w:pPr>
              <w:spacing w:line="440" w:lineRule="exact"/>
              <w:jc w:val="center"/>
              <w:rPr>
                <w:szCs w:val="21"/>
              </w:rPr>
            </w:pPr>
          </w:p>
        </w:tc>
        <w:tc>
          <w:tcPr>
            <w:tcW w:w="1064" w:type="dxa"/>
            <w:noWrap w:val="0"/>
            <w:vAlign w:val="top"/>
          </w:tcPr>
          <w:p>
            <w:pPr>
              <w:spacing w:line="440" w:lineRule="exact"/>
              <w:jc w:val="center"/>
              <w:rPr>
                <w:szCs w:val="21"/>
              </w:rPr>
            </w:pPr>
          </w:p>
        </w:tc>
      </w:tr>
    </w:tbl>
    <w:p>
      <w:pPr>
        <w:pStyle w:val="10"/>
      </w:pPr>
      <w:bookmarkStart w:id="63" w:name="_Toc246996367"/>
      <w:bookmarkStart w:id="64" w:name="_Toc152042589"/>
      <w:bookmarkStart w:id="65" w:name="_Toc152045800"/>
      <w:bookmarkStart w:id="66" w:name="_Toc144974868"/>
      <w:bookmarkStart w:id="67" w:name="_Toc179632820"/>
      <w:bookmarkStart w:id="68" w:name="_Toc246997110"/>
    </w:p>
    <w:p>
      <w:pPr>
        <w:pStyle w:val="10"/>
        <w:rPr>
          <w:rFonts w:hint="eastAsia"/>
        </w:rPr>
      </w:pPr>
      <w:r>
        <w:br w:type="page"/>
      </w:r>
    </w:p>
    <w:p>
      <w:pPr>
        <w:pStyle w:val="5"/>
      </w:pPr>
      <w:bookmarkStart w:id="69" w:name="_Toc247085885"/>
      <w:bookmarkStart w:id="70" w:name="_Toc296602612"/>
      <w:r>
        <w:t>附表</w:t>
      </w:r>
      <w:r>
        <w:rPr>
          <w:rFonts w:hint="eastAsia"/>
        </w:rPr>
        <w:t>三</w:t>
      </w:r>
      <w:r>
        <w:t>：进度</w:t>
      </w:r>
      <w:r>
        <w:rPr>
          <w:rFonts w:hint="eastAsia"/>
        </w:rPr>
        <w:t>计划</w:t>
      </w:r>
      <w:bookmarkEnd w:id="63"/>
      <w:bookmarkEnd w:id="64"/>
      <w:bookmarkEnd w:id="65"/>
      <w:bookmarkEnd w:id="66"/>
      <w:bookmarkEnd w:id="67"/>
      <w:bookmarkEnd w:id="68"/>
      <w:bookmarkEnd w:id="69"/>
      <w:bookmarkEnd w:id="70"/>
    </w:p>
    <w:p>
      <w:pPr>
        <w:spacing w:line="440" w:lineRule="exact"/>
        <w:rPr>
          <w:rFonts w:eastAsia="黑体"/>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tabs>
          <w:tab w:val="left" w:pos="720"/>
        </w:tabs>
        <w:spacing w:line="440" w:lineRule="exact"/>
        <w:rPr>
          <w:rFonts w:hint="eastAsia" w:ascii="Times New Roman" w:hAnsi="Times New Roman" w:cs="Times New Roman"/>
          <w:szCs w:val="21"/>
          <w:highlight w:val="none"/>
          <w:lang w:val="en-US" w:eastAsia="zh-CN"/>
        </w:rPr>
      </w:pPr>
    </w:p>
    <w:p>
      <w:pPr>
        <w:tabs>
          <w:tab w:val="left" w:pos="720"/>
        </w:tabs>
        <w:spacing w:line="440" w:lineRule="exact"/>
        <w:ind w:firstLine="420" w:firstLineChars="200"/>
        <w:rPr>
          <w:rFonts w:hint="eastAsia"/>
          <w:highlight w:val="none"/>
          <w:lang w:val="en-US" w:eastAsia="zh-CN"/>
        </w:rPr>
      </w:pPr>
      <w:r>
        <w:rPr>
          <w:rFonts w:hint="eastAsia"/>
          <w:highlight w:val="none"/>
          <w:lang w:val="en-US" w:eastAsia="zh-CN"/>
        </w:rPr>
        <w:br w:type="page"/>
      </w:r>
    </w:p>
    <w:p>
      <w:pPr>
        <w:pStyle w:val="3"/>
        <w:jc w:val="center"/>
        <w:rPr>
          <w:szCs w:val="21"/>
          <w:highlight w:val="none"/>
        </w:rPr>
      </w:pPr>
      <w:r>
        <w:rPr>
          <w:rFonts w:hint="eastAsia"/>
          <w:highlight w:val="none"/>
          <w:lang w:val="en-US" w:eastAsia="zh-CN"/>
        </w:rPr>
        <w:t>六</w:t>
      </w:r>
      <w:r>
        <w:rPr>
          <w:highlight w:val="none"/>
        </w:rPr>
        <w:t>、项目管理机构</w:t>
      </w:r>
    </w:p>
    <w:p>
      <w:pPr>
        <w:spacing w:line="440" w:lineRule="exact"/>
        <w:jc w:val="center"/>
        <w:rPr>
          <w:rFonts w:eastAsia="黑体"/>
          <w:sz w:val="23"/>
          <w:szCs w:val="23"/>
          <w:highlight w:val="none"/>
        </w:rPr>
      </w:pPr>
    </w:p>
    <w:p>
      <w:pPr>
        <w:pStyle w:val="5"/>
        <w:jc w:val="both"/>
        <w:rPr>
          <w:highlight w:val="none"/>
        </w:rPr>
      </w:pPr>
      <w:bookmarkStart w:id="71" w:name="_Toc296602615"/>
      <w:bookmarkStart w:id="72" w:name="_Toc247085888"/>
      <w:bookmarkStart w:id="73" w:name="_Toc246997113"/>
      <w:bookmarkStart w:id="74" w:name="_Toc246996370"/>
      <w:r>
        <w:rPr>
          <w:highlight w:val="none"/>
        </w:rPr>
        <w:t>（一）项目管理机构组成表</w:t>
      </w:r>
      <w:bookmarkEnd w:id="71"/>
      <w:bookmarkEnd w:id="72"/>
      <w:bookmarkEnd w:id="73"/>
      <w:bookmarkEnd w:id="74"/>
    </w:p>
    <w:p>
      <w:pPr>
        <w:spacing w:line="440" w:lineRule="exact"/>
        <w:jc w:val="center"/>
        <w:rPr>
          <w:rFonts w:eastAsia="黑体"/>
          <w:sz w:val="23"/>
          <w:szCs w:val="23"/>
          <w:highlight w:val="none"/>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5"/>
        <w:jc w:val="both"/>
        <w:rPr>
          <w:highlight w:val="none"/>
        </w:rPr>
      </w:pPr>
      <w:bookmarkStart w:id="75" w:name="_Toc246997114"/>
      <w:bookmarkStart w:id="76" w:name="_Toc296602616"/>
      <w:bookmarkStart w:id="77" w:name="_Toc246996371"/>
      <w:bookmarkStart w:id="78" w:name="_Toc247085889"/>
      <w:r>
        <w:rPr>
          <w:highlight w:val="none"/>
        </w:rPr>
        <w:t>（二）</w:t>
      </w:r>
      <w:r>
        <w:rPr>
          <w:rFonts w:hint="eastAsia"/>
          <w:highlight w:val="none"/>
          <w:lang w:val="en-US" w:eastAsia="zh-CN"/>
        </w:rPr>
        <w:t>项目负责人</w:t>
      </w:r>
      <w:r>
        <w:rPr>
          <w:highlight w:val="none"/>
        </w:rPr>
        <w:t>简历表</w:t>
      </w:r>
      <w:bookmarkEnd w:id="75"/>
      <w:bookmarkEnd w:id="76"/>
      <w:bookmarkEnd w:id="77"/>
      <w:bookmarkEnd w:id="78"/>
    </w:p>
    <w:p>
      <w:pPr>
        <w:spacing w:line="440" w:lineRule="exact"/>
        <w:jc w:val="center"/>
        <w:rPr>
          <w:rFonts w:eastAsia="黑体"/>
          <w:sz w:val="23"/>
          <w:szCs w:val="23"/>
          <w:highlight w:val="none"/>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spacing w:line="40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注：</w:t>
      </w:r>
    </w:p>
    <w:p>
      <w:pPr>
        <w:spacing w:line="400" w:lineRule="exact"/>
        <w:ind w:firstLine="420" w:firstLineChars="200"/>
        <w:rPr>
          <w:rFonts w:hint="eastAsia" w:eastAsiaTheme="minorEastAsia"/>
          <w:highlight w:val="none"/>
          <w:lang w:eastAsia="zh-CN"/>
        </w:rPr>
      </w:pPr>
      <w:r>
        <w:rPr>
          <w:rFonts w:hint="eastAsia"/>
          <w:highlight w:val="none"/>
          <w:lang w:val="en-US" w:eastAsia="zh-CN"/>
        </w:rPr>
        <w:t>项目负责人简历应附身份证、学历证（如有）、职称证（如有）、执业资格证书、</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2</w:t>
      </w:r>
      <w:r>
        <w:rPr>
          <w:rFonts w:hint="default" w:ascii="Times New Roman" w:hAnsi="Times New Roman" w:cs="Times New Roman"/>
          <w:color w:val="FF0000"/>
          <w:highlight w:val="none"/>
          <w:u w:val="single"/>
        </w:rPr>
        <w:t>年</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复印件，管理过的项目业绩须附合同协议书复印件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eastAsiaTheme="minorEastAsia"/>
          <w:highlight w:val="none"/>
          <w:lang w:val="en-US" w:eastAsia="zh-CN"/>
        </w:rPr>
      </w:pPr>
      <w:r>
        <w:rPr>
          <w:rFonts w:hint="eastAsia"/>
          <w:highlight w:val="none"/>
          <w:lang w:val="en-US" w:eastAsia="zh-CN"/>
        </w:rPr>
        <w:t>其他主要人员应附身份证、学历证（如有）、职称证（如有）、有关证书和</w:t>
      </w:r>
      <w:r>
        <w:rPr>
          <w:rFonts w:hint="default" w:ascii="Times New Roman" w:hAnsi="Times New Roman" w:cs="Times New Roman"/>
          <w:color w:val="FF0000"/>
          <w:highlight w:val="none"/>
          <w:u w:val="single"/>
        </w:rPr>
        <w:t>202</w:t>
      </w:r>
      <w:r>
        <w:rPr>
          <w:rFonts w:hint="eastAsia" w:ascii="Times New Roman" w:hAnsi="Times New Roman" w:cs="Times New Roman"/>
          <w:color w:val="FF0000"/>
          <w:highlight w:val="none"/>
          <w:u w:val="single"/>
          <w:lang w:val="en-US" w:eastAsia="zh-CN"/>
        </w:rPr>
        <w:t>2</w:t>
      </w:r>
      <w:r>
        <w:rPr>
          <w:rFonts w:hint="default" w:ascii="Times New Roman" w:hAnsi="Times New Roman" w:cs="Times New Roman"/>
          <w:color w:val="FF0000"/>
          <w:highlight w:val="none"/>
          <w:u w:val="single"/>
        </w:rPr>
        <w:t>年</w:t>
      </w:r>
      <w:r>
        <w:rPr>
          <w:rFonts w:hint="eastAsia" w:ascii="Times New Roman" w:hAnsi="Times New Roman" w:cs="Times New Roman"/>
          <w:color w:val="FF0000"/>
          <w:highlight w:val="none"/>
          <w:u w:val="single"/>
          <w:lang w:val="en-US" w:eastAsia="zh-CN"/>
        </w:rPr>
        <w:t>1</w:t>
      </w:r>
      <w:r>
        <w:rPr>
          <w:rFonts w:hint="default" w:ascii="Times New Roman" w:hAnsi="Times New Roman" w:cs="Times New Roman"/>
          <w:color w:val="FF0000"/>
          <w:highlight w:val="none"/>
          <w:u w:val="single"/>
        </w:rPr>
        <w:t>月以来任意连续3个月</w:t>
      </w:r>
      <w:r>
        <w:rPr>
          <w:rFonts w:hint="eastAsia" w:ascii="Times New Roman" w:hAnsi="Times New Roman" w:cs="Times New Roman"/>
          <w:color w:val="auto"/>
          <w:highlight w:val="none"/>
          <w:u w:val="none"/>
          <w:lang w:val="en-US" w:eastAsia="zh-CN"/>
        </w:rPr>
        <w:t>的</w:t>
      </w:r>
      <w:r>
        <w:rPr>
          <w:rFonts w:hint="eastAsia"/>
          <w:highlight w:val="none"/>
          <w:lang w:val="en-US" w:eastAsia="zh-CN"/>
        </w:rPr>
        <w:t>社保缴费证明</w:t>
      </w:r>
      <w:r>
        <w:rPr>
          <w:rFonts w:hint="eastAsia"/>
          <w:highlight w:val="none"/>
        </w:rPr>
        <w:t>复印件</w:t>
      </w:r>
      <w:r>
        <w:rPr>
          <w:rFonts w:hint="eastAsia"/>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rPr>
      </w:pPr>
      <w:r>
        <w:rPr>
          <w:rFonts w:hint="default" w:ascii="Times New Roman" w:hAnsi="Times New Roman" w:cs="Times New Roman"/>
          <w:highlight w:val="none"/>
        </w:rPr>
        <w:br w:type="page"/>
      </w:r>
    </w:p>
    <w:p>
      <w:pPr>
        <w:pStyle w:val="3"/>
        <w:jc w:val="center"/>
        <w:rPr>
          <w:rFonts w:hint="eastAsia"/>
          <w:highlight w:val="none"/>
        </w:rPr>
      </w:pPr>
      <w:bookmarkStart w:id="79" w:name="_Toc179632827"/>
      <w:bookmarkStart w:id="80" w:name="_Toc144974875"/>
      <w:bookmarkStart w:id="81" w:name="_Toc246997115"/>
      <w:bookmarkStart w:id="82" w:name="_Toc152045807"/>
      <w:bookmarkStart w:id="83" w:name="_Toc246996372"/>
      <w:bookmarkStart w:id="84" w:name="_Toc247085890"/>
      <w:bookmarkStart w:id="85" w:name="_Toc296602617"/>
      <w:bookmarkStart w:id="86" w:name="_Toc152042596"/>
      <w:r>
        <w:rPr>
          <w:rFonts w:hint="eastAsia"/>
          <w:highlight w:val="none"/>
          <w:lang w:val="en-US" w:eastAsia="zh-CN"/>
        </w:rPr>
        <w:t>七</w:t>
      </w:r>
      <w:r>
        <w:rPr>
          <w:highlight w:val="none"/>
        </w:rPr>
        <w:t>、资格审查资料</w:t>
      </w:r>
      <w:bookmarkEnd w:id="79"/>
      <w:bookmarkEnd w:id="80"/>
      <w:bookmarkEnd w:id="81"/>
      <w:bookmarkEnd w:id="82"/>
      <w:bookmarkEnd w:id="83"/>
      <w:bookmarkEnd w:id="84"/>
      <w:bookmarkEnd w:id="85"/>
      <w:bookmarkEnd w:id="86"/>
    </w:p>
    <w:p>
      <w:pPr>
        <w:pStyle w:val="5"/>
        <w:jc w:val="both"/>
        <w:rPr>
          <w:rFonts w:hint="eastAsia"/>
          <w:highlight w:val="none"/>
        </w:rPr>
      </w:pPr>
      <w:bookmarkStart w:id="87" w:name="_Toc246996373"/>
      <w:bookmarkStart w:id="88" w:name="_Toc179632828"/>
      <w:bookmarkStart w:id="89" w:name="_Toc246997116"/>
      <w:bookmarkStart w:id="90" w:name="_Toc247085891"/>
      <w:bookmarkStart w:id="91" w:name="_Toc296602618"/>
      <w:r>
        <w:rPr>
          <w:highlight w:val="none"/>
        </w:rPr>
        <w:t>（一）投标人基本情况表</w:t>
      </w:r>
      <w:bookmarkEnd w:id="87"/>
      <w:bookmarkEnd w:id="88"/>
      <w:bookmarkEnd w:id="89"/>
      <w:bookmarkEnd w:id="90"/>
      <w:bookmarkEnd w:id="9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szCs w:val="21"/>
                <w:highlight w:val="none"/>
              </w:rPr>
              <w:t>项目</w:t>
            </w:r>
            <w:r>
              <w:rPr>
                <w:rFonts w:hint="eastAsia"/>
                <w:szCs w:val="21"/>
                <w:highlight w:val="none"/>
                <w:lang w:val="en-US" w:eastAsia="zh-CN"/>
              </w:rPr>
              <w:t>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投标人基本情况表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应附投标人营业执照</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资质证书副本和安全生产许可证</w:t>
      </w:r>
      <w:r>
        <w:rPr>
          <w:rFonts w:hint="default" w:ascii="Times New Roman" w:hAnsi="Times New Roman" w:cs="Times New Roman"/>
          <w:highlight w:val="none"/>
        </w:rPr>
        <w:t>等材料的复印件。</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5"/>
        <w:rPr>
          <w:rFonts w:hint="default" w:ascii="Times New Roman" w:hAnsi="Times New Roman" w:cs="Times New Roman"/>
          <w:highlight w:val="none"/>
        </w:rPr>
      </w:pPr>
      <w:bookmarkStart w:id="92" w:name="_Toc152045810"/>
      <w:bookmarkStart w:id="93" w:name="_Toc247527850"/>
      <w:bookmarkStart w:id="94" w:name="_Toc152042599"/>
      <w:bookmarkStart w:id="95" w:name="_Toc144974878"/>
      <w:bookmarkStart w:id="96" w:name="_Toc247514302"/>
      <w:bookmarkStart w:id="97" w:name="_Toc300835226"/>
      <w:r>
        <w:rPr>
          <w:rFonts w:hint="default" w:ascii="Times New Roman" w:hAnsi="Times New Roman" w:cs="Times New Roman"/>
          <w:highlight w:val="none"/>
        </w:rPr>
        <w:t>（</w:t>
      </w:r>
      <w:r>
        <w:rPr>
          <w:rFonts w:hint="eastAsia" w:ascii="Times New Roman" w:hAnsi="Times New Roman" w:cs="Times New Roman"/>
          <w:highlight w:val="none"/>
          <w:lang w:val="en-US" w:eastAsia="zh-CN"/>
        </w:rPr>
        <w:t>二</w:t>
      </w:r>
      <w:r>
        <w:rPr>
          <w:rFonts w:hint="default" w:ascii="Times New Roman" w:hAnsi="Times New Roman" w:cs="Times New Roman"/>
          <w:highlight w:val="none"/>
        </w:rPr>
        <w:t>）近年完成的类似项目情况表</w:t>
      </w:r>
      <w:bookmarkEnd w:id="92"/>
      <w:bookmarkEnd w:id="93"/>
      <w:bookmarkEnd w:id="94"/>
      <w:bookmarkEnd w:id="95"/>
      <w:bookmarkEnd w:id="96"/>
      <w:bookmarkEnd w:id="97"/>
    </w:p>
    <w:p>
      <w:pPr>
        <w:spacing w:line="440" w:lineRule="exact"/>
        <w:jc w:val="center"/>
        <w:rPr>
          <w:rFonts w:hint="default" w:ascii="Times New Roman" w:hAnsi="Times New Roman" w:eastAsia="黑体" w:cs="Times New Roman"/>
          <w:sz w:val="23"/>
          <w:szCs w:val="23"/>
          <w:highlight w:val="none"/>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合同价格</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25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253" w:type="dxa"/>
            <w:noWrap w:val="0"/>
            <w:vAlign w:val="top"/>
          </w:tcPr>
          <w:p>
            <w:pPr>
              <w:topLinePunct/>
              <w:spacing w:line="440" w:lineRule="exact"/>
              <w:rPr>
                <w:rFonts w:hint="default" w:ascii="Times New Roman" w:hAnsi="Times New Roman" w:cs="Times New Roman"/>
                <w:szCs w:val="21"/>
                <w:highlight w:val="none"/>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rPr>
      </w:pPr>
      <w:bookmarkStart w:id="98" w:name="_Toc152042600"/>
      <w:bookmarkStart w:id="99" w:name="_Toc144974879"/>
      <w:bookmarkStart w:id="100" w:name="_Toc247514303"/>
      <w:bookmarkStart w:id="101" w:name="_Toc247527851"/>
      <w:bookmarkStart w:id="102" w:name="_Toc152045811"/>
      <w:r>
        <w:rPr>
          <w:rFonts w:hint="eastAsia" w:ascii="Times New Roman" w:hAnsi="Times New Roman" w:cs="Times New Roman"/>
          <w:highlight w:val="none"/>
          <w:lang w:val="en-US" w:eastAsia="zh-CN"/>
        </w:rPr>
        <w:t>注：“</w:t>
      </w:r>
      <w:r>
        <w:rPr>
          <w:rFonts w:hint="default" w:ascii="Times New Roman" w:hAnsi="Times New Roman" w:cs="Times New Roman"/>
          <w:highlight w:val="none"/>
        </w:rPr>
        <w:t>近年完成的类似项目情况表</w:t>
      </w:r>
      <w:r>
        <w:rPr>
          <w:rFonts w:hint="eastAsia" w:ascii="Times New Roman" w:hAnsi="Times New Roman" w:cs="Times New Roman"/>
          <w:highlight w:val="none"/>
          <w:lang w:eastAsia="zh-CN"/>
        </w:rPr>
        <w:t>”</w:t>
      </w:r>
      <w:r>
        <w:rPr>
          <w:rFonts w:hint="default" w:ascii="Times New Roman" w:hAnsi="Times New Roman" w:cs="Times New Roman"/>
          <w:highlight w:val="none"/>
        </w:rPr>
        <w:t>应附合同协议书复印件，具体年份要求见投标人须知前附表。每张表格只填写一个项目，并标明序号。</w:t>
      </w:r>
      <w:r>
        <w:rPr>
          <w:rFonts w:hint="default" w:ascii="Times New Roman" w:hAnsi="Times New Roman" w:cs="Times New Roman"/>
          <w:highlight w:val="none"/>
        </w:rPr>
        <w:br w:type="page"/>
      </w:r>
    </w:p>
    <w:p>
      <w:pPr>
        <w:pStyle w:val="5"/>
        <w:rPr>
          <w:rFonts w:hint="default" w:ascii="Times New Roman" w:hAnsi="Times New Roman" w:cs="Times New Roman"/>
          <w:highlight w:val="none"/>
        </w:rPr>
      </w:pPr>
      <w:bookmarkStart w:id="103" w:name="_Toc300835227"/>
      <w:r>
        <w:rPr>
          <w:rFonts w:hint="default" w:ascii="Times New Roman" w:hAnsi="Times New Roman" w:cs="Times New Roman"/>
          <w:highlight w:val="none"/>
        </w:rPr>
        <w:t>（</w:t>
      </w:r>
      <w:r>
        <w:rPr>
          <w:rFonts w:hint="eastAsia" w:ascii="Times New Roman" w:hAnsi="Times New Roman" w:cs="Times New Roman"/>
          <w:highlight w:val="none"/>
          <w:lang w:val="en-US" w:eastAsia="zh-CN"/>
        </w:rPr>
        <w:t>三</w:t>
      </w:r>
      <w:r>
        <w:rPr>
          <w:rFonts w:hint="default" w:ascii="Times New Roman" w:hAnsi="Times New Roman" w:cs="Times New Roman"/>
          <w:highlight w:val="none"/>
        </w:rPr>
        <w:t>）正在实施的和新承接的项目情况表</w:t>
      </w:r>
      <w:bookmarkEnd w:id="98"/>
      <w:bookmarkEnd w:id="99"/>
      <w:bookmarkEnd w:id="100"/>
      <w:bookmarkEnd w:id="101"/>
      <w:bookmarkEnd w:id="102"/>
      <w:bookmarkEnd w:id="103"/>
    </w:p>
    <w:p>
      <w:pPr>
        <w:spacing w:line="440" w:lineRule="exact"/>
        <w:rPr>
          <w:rFonts w:hint="default" w:ascii="Times New Roman" w:hAnsi="Times New Roman" w:eastAsia="黑体" w:cs="Times New Roman"/>
          <w:sz w:val="20"/>
          <w:szCs w:val="20"/>
          <w:highlight w:val="none"/>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项目所在地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发包人名称</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发包人地址</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发包人电话</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签约合同价</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开工日期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计划</w:t>
            </w:r>
            <w:r>
              <w:rPr>
                <w:rFonts w:hint="default" w:ascii="Times New Roman" w:hAnsi="Times New Roman" w:cs="Times New Roman"/>
                <w:highlight w:val="none"/>
              </w:rPr>
              <w:t>竣工</w:t>
            </w:r>
            <w:r>
              <w:rPr>
                <w:rFonts w:hint="default" w:ascii="Times New Roman" w:hAnsi="Times New Roman" w:cs="Times New Roman"/>
                <w:szCs w:val="21"/>
                <w:highlight w:val="none"/>
              </w:rPr>
              <w:t>日期</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承担的工作</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工程质量</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项目</w:t>
            </w:r>
            <w:r>
              <w:rPr>
                <w:rFonts w:hint="eastAsia" w:ascii="Times New Roman" w:hAnsi="Times New Roman" w:cs="Times New Roman"/>
                <w:szCs w:val="21"/>
                <w:highlight w:val="none"/>
                <w:lang w:val="en-US" w:eastAsia="zh-CN"/>
              </w:rPr>
              <w:t>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技术负责人</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项目描述</w:t>
            </w:r>
          </w:p>
        </w:tc>
        <w:tc>
          <w:tcPr>
            <w:tcW w:w="6403" w:type="dxa"/>
            <w:noWrap w:val="0"/>
            <w:vAlign w:val="top"/>
          </w:tcPr>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p>
            <w:pPr>
              <w:topLinePunct/>
              <w:spacing w:line="440" w:lineRule="exact"/>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c>
          <w:tcPr>
            <w:tcW w:w="6403" w:type="dxa"/>
            <w:noWrap w:val="0"/>
            <w:vAlign w:val="top"/>
          </w:tcPr>
          <w:p>
            <w:pPr>
              <w:topLinePunct/>
              <w:spacing w:line="440" w:lineRule="exact"/>
              <w:rPr>
                <w:rFonts w:hint="default" w:ascii="Times New Roman" w:hAnsi="Times New Roman" w:cs="Times New Roman"/>
                <w:szCs w:val="21"/>
                <w:highlight w:val="none"/>
              </w:rPr>
            </w:pPr>
          </w:p>
        </w:tc>
      </w:tr>
    </w:tbl>
    <w:p>
      <w:pPr>
        <w:spacing w:line="440" w:lineRule="exact"/>
        <w:ind w:firstLine="420" w:firstLineChars="200"/>
        <w:rPr>
          <w:rFonts w:hint="default" w:ascii="Times New Roman" w:hAnsi="Times New Roman" w:cs="Times New Roman"/>
          <w:highlight w:val="none"/>
        </w:rPr>
      </w:pPr>
      <w:bookmarkStart w:id="104" w:name="_Toc247527852"/>
      <w:bookmarkStart w:id="105" w:name="_Toc152042601"/>
      <w:bookmarkStart w:id="106" w:name="_Toc152045812"/>
      <w:bookmarkStart w:id="107" w:name="_Toc144974880"/>
      <w:bookmarkStart w:id="108" w:name="_Toc247514304"/>
      <w:r>
        <w:rPr>
          <w:rFonts w:hint="eastAsia" w:ascii="Times New Roman" w:hAnsi="Times New Roman" w:cs="Times New Roman"/>
          <w:highlight w:val="none"/>
          <w:lang w:val="en-US" w:eastAsia="zh-CN"/>
        </w:rPr>
        <w:t>注：</w:t>
      </w:r>
      <w:r>
        <w:rPr>
          <w:rFonts w:hint="eastAsia" w:ascii="Times New Roman" w:hAnsi="Times New Roman" w:cs="Times New Roman"/>
          <w:highlight w:val="none"/>
          <w:lang w:eastAsia="zh-CN"/>
        </w:rPr>
        <w:t>“</w:t>
      </w:r>
      <w:r>
        <w:rPr>
          <w:rFonts w:hint="default" w:ascii="Times New Roman" w:hAnsi="Times New Roman" w:cs="Times New Roman"/>
          <w:highlight w:val="none"/>
        </w:rPr>
        <w:t>正在</w:t>
      </w:r>
      <w:r>
        <w:rPr>
          <w:rFonts w:hint="eastAsia" w:ascii="Times New Roman" w:hAnsi="Times New Roman" w:cs="Times New Roman"/>
          <w:highlight w:val="none"/>
          <w:lang w:val="en-US" w:eastAsia="zh-CN"/>
        </w:rPr>
        <w:t>实施</w:t>
      </w:r>
      <w:r>
        <w:rPr>
          <w:rFonts w:hint="default" w:ascii="Times New Roman" w:hAnsi="Times New Roman" w:cs="Times New Roman"/>
          <w:highlight w:val="none"/>
        </w:rPr>
        <w:t>和新承接的项目情况表</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应</w:t>
      </w:r>
      <w:r>
        <w:rPr>
          <w:rFonts w:hint="default" w:ascii="Times New Roman" w:hAnsi="Times New Roman" w:cs="Times New Roman"/>
          <w:highlight w:val="none"/>
        </w:rPr>
        <w:t>附中标通知书或合同协议书复印件。每张表格只填写一个项目，并标明序号。</w:t>
      </w:r>
    </w:p>
    <w:p>
      <w:pPr>
        <w:spacing w:line="440" w:lineRule="exact"/>
        <w:rPr>
          <w:rFonts w:hint="default" w:ascii="Times New Roman" w:hAnsi="Times New Roman" w:cs="Times New Roman"/>
          <w:highlight w:val="none"/>
        </w:rPr>
      </w:pPr>
    </w:p>
    <w:bookmarkEnd w:id="104"/>
    <w:bookmarkEnd w:id="105"/>
    <w:bookmarkEnd w:id="106"/>
    <w:bookmarkEnd w:id="107"/>
    <w:bookmarkEnd w:id="108"/>
    <w:p>
      <w:pPr>
        <w:pStyle w:val="5"/>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w:t>
      </w: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其他资格审查资料</w:t>
      </w:r>
    </w:p>
    <w:p>
      <w:pPr>
        <w:spacing w:line="440" w:lineRule="exact"/>
        <w:ind w:firstLine="420" w:firstLineChars="200"/>
        <w:rPr>
          <w:rFonts w:hint="eastAsia" w:ascii="Times New Roman" w:hAnsi="Times New Roman"/>
          <w:highlight w:val="none"/>
          <w:lang w:val="en-US" w:eastAsia="zh-CN"/>
        </w:rPr>
      </w:pPr>
      <w:r>
        <w:rPr>
          <w:rFonts w:hint="eastAsia" w:ascii="Times New Roman" w:hAnsi="Times New Roman"/>
          <w:highlight w:val="none"/>
          <w:lang w:val="en-US" w:eastAsia="zh-CN"/>
        </w:rPr>
        <w:t>如有，按招标文件要求提供。</w:t>
      </w:r>
    </w:p>
    <w:p>
      <w:pPr>
        <w:rPr>
          <w:rFonts w:hint="eastAsia" w:ascii="Times New Roman" w:hAnsi="Times New Roman"/>
          <w:highlight w:val="none"/>
          <w:lang w:val="en-US" w:eastAsia="zh-CN"/>
        </w:rPr>
      </w:pPr>
      <w:r>
        <w:rPr>
          <w:rFonts w:hint="eastAsia" w:ascii="Times New Roman" w:hAnsi="Times New Roman"/>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八</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p>
    <w:p>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九</w:t>
      </w:r>
      <w:r>
        <w:rPr>
          <w:rFonts w:hint="default" w:ascii="Times New Roman" w:hAnsi="Times New Roman" w:cs="Times New Roman"/>
          <w:highlight w:val="none"/>
        </w:rPr>
        <w:t>、投标设备技术性能指标的详细描述</w:t>
      </w:r>
    </w:p>
    <w:p>
      <w:pPr>
        <w:rPr>
          <w:rFonts w:hint="default" w:ascii="Times New Roman" w:hAnsi="Times New Roman"/>
          <w:highlight w:val="none"/>
          <w:lang w:val="en-US" w:eastAsia="zh-CN"/>
        </w:rPr>
      </w:pPr>
    </w:p>
    <w:p>
      <w:pPr>
        <w:rPr>
          <w:rFonts w:hint="default" w:ascii="Times New Roman" w:hAnsi="Times New Roman"/>
          <w:highlight w:val="none"/>
          <w:lang w:val="en-US" w:eastAsia="zh-CN"/>
        </w:rPr>
      </w:pPr>
      <w:r>
        <w:rPr>
          <w:rFonts w:hint="default" w:ascii="Times New Roman" w:hAnsi="Times New Roman"/>
          <w:highlight w:val="none"/>
          <w:lang w:val="en-US" w:eastAsia="zh-CN"/>
        </w:rPr>
        <w:br w:type="page"/>
      </w:r>
    </w:p>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、技术服务和质保期服务计划</w:t>
      </w:r>
    </w:p>
    <w:p>
      <w:pPr>
        <w:spacing w:line="440" w:lineRule="exact"/>
        <w:rPr>
          <w:rFonts w:hint="default" w:ascii="Times New Roman" w:hAnsi="Times New Roman"/>
          <w:highlight w:val="none"/>
          <w:lang w:val="en-US" w:eastAsia="zh-CN"/>
        </w:rPr>
      </w:pPr>
    </w:p>
    <w:p>
      <w:pPr>
        <w:spacing w:line="440" w:lineRule="exact"/>
        <w:rPr>
          <w:rFonts w:hint="default" w:ascii="Times New Roman" w:hAnsi="Times New Roman" w:cs="Times New Roman"/>
          <w:highlight w:val="none"/>
        </w:rPr>
      </w:pPr>
      <w:r>
        <w:rPr>
          <w:rFonts w:hint="default" w:ascii="Times New Roman" w:hAnsi="Times New Roman" w:cs="Times New Roman"/>
          <w:highlight w:val="none"/>
        </w:rPr>
        <w:br w:type="page"/>
      </w:r>
      <w:bookmarkStart w:id="109" w:name="_Toc152042602"/>
      <w:bookmarkStart w:id="110" w:name="_Toc247514305"/>
      <w:bookmarkStart w:id="111" w:name="_Toc247530162"/>
      <w:bookmarkStart w:id="112" w:name="_Toc144974881"/>
      <w:bookmarkStart w:id="113" w:name="_Toc152045813"/>
      <w:bookmarkStart w:id="114" w:name="_Toc247527853"/>
    </w:p>
    <w:bookmarkEnd w:id="109"/>
    <w:bookmarkEnd w:id="110"/>
    <w:bookmarkEnd w:id="111"/>
    <w:bookmarkEnd w:id="112"/>
    <w:bookmarkEnd w:id="113"/>
    <w:bookmarkEnd w:id="114"/>
    <w:p>
      <w:pPr>
        <w:pStyle w:val="3"/>
        <w:jc w:val="center"/>
        <w:rPr>
          <w:rFonts w:hint="default" w:ascii="Times New Roman" w:hAnsi="Times New Roman" w:cs="Times New Roman"/>
          <w:highlight w:val="none"/>
        </w:rPr>
      </w:pPr>
      <w:r>
        <w:rPr>
          <w:rFonts w:hint="eastAsia" w:ascii="Times New Roman" w:hAnsi="Times New Roman" w:cs="Times New Roman"/>
          <w:highlight w:val="none"/>
          <w:lang w:val="en-US" w:eastAsia="zh-CN"/>
        </w:rPr>
        <w:t>十一</w:t>
      </w:r>
      <w:r>
        <w:rPr>
          <w:rFonts w:hint="default" w:ascii="Times New Roman" w:hAnsi="Times New Roman" w:cs="Times New Roman"/>
          <w:highlight w:val="none"/>
        </w:rPr>
        <w:t>、其他资料</w:t>
      </w:r>
    </w:p>
    <w:p>
      <w:pPr>
        <w:ind w:firstLine="420" w:firstLineChars="200"/>
        <w:rPr>
          <w:rFonts w:hint="default" w:ascii="Times New Roman" w:hAnsi="Times New Roman" w:cs="Times New Roman"/>
          <w:highlight w:val="none"/>
          <w:lang w:val="en-US" w:eastAsia="zh-CN"/>
        </w:rPr>
      </w:pPr>
      <w:r>
        <w:rPr>
          <w:rFonts w:hint="eastAsia" w:ascii="Times New Roman" w:hAnsi="Times New Roman"/>
          <w:highlight w:val="none"/>
        </w:rPr>
        <w:t>第</w:t>
      </w:r>
      <w:r>
        <w:rPr>
          <w:rFonts w:hint="eastAsia" w:ascii="Times New Roman" w:hAnsi="Times New Roman"/>
          <w:highlight w:val="none"/>
          <w:lang w:val="en-US" w:eastAsia="zh-CN"/>
        </w:rPr>
        <w:t>六</w:t>
      </w:r>
      <w:r>
        <w:rPr>
          <w:rFonts w:hint="eastAsia" w:ascii="Times New Roman" w:hAnsi="Times New Roman"/>
          <w:highlight w:val="none"/>
        </w:rPr>
        <w:t>章“投标文件格式”未详尽列举，但招标文件要求或</w:t>
      </w:r>
      <w:r>
        <w:rPr>
          <w:rFonts w:hint="eastAsia" w:ascii="Times New Roman" w:hAnsi="Times New Roman"/>
          <w:highlight w:val="none"/>
          <w:lang w:val="en-US" w:eastAsia="zh-CN"/>
        </w:rPr>
        <w:t>投标人认为</w:t>
      </w:r>
      <w:r>
        <w:rPr>
          <w:rFonts w:hint="eastAsia" w:ascii="Times New Roman" w:hAnsi="Times New Roman"/>
          <w:highlight w:val="none"/>
        </w:rPr>
        <w:t>有必要提供的资料</w:t>
      </w:r>
      <w:r>
        <w:rPr>
          <w:rFonts w:hint="eastAsia" w:ascii="Times New Roman" w:hAnsi="Times New Roman"/>
          <w:highlight w:val="none"/>
          <w:lang w:eastAsia="zh-CN"/>
        </w:rPr>
        <w:t>。</w:t>
      </w:r>
      <w:bookmarkEnd w:id="29"/>
      <w:bookmarkEnd w:id="30"/>
      <w:bookmarkEnd w:id="31"/>
      <w:bookmarkEnd w:id="32"/>
      <w:bookmarkEnd w:id="33"/>
      <w:bookmarkEnd w:id="34"/>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96BD7"/>
    <w:rsid w:val="000A4B92"/>
    <w:rsid w:val="001F62C8"/>
    <w:rsid w:val="002609D3"/>
    <w:rsid w:val="002C069E"/>
    <w:rsid w:val="002C27B7"/>
    <w:rsid w:val="00321ABD"/>
    <w:rsid w:val="0040224D"/>
    <w:rsid w:val="004109F1"/>
    <w:rsid w:val="00443377"/>
    <w:rsid w:val="005B3F61"/>
    <w:rsid w:val="00700C11"/>
    <w:rsid w:val="00726300"/>
    <w:rsid w:val="00733B0B"/>
    <w:rsid w:val="00746178"/>
    <w:rsid w:val="00764376"/>
    <w:rsid w:val="00796B76"/>
    <w:rsid w:val="00850CC0"/>
    <w:rsid w:val="008A465F"/>
    <w:rsid w:val="009B2CCE"/>
    <w:rsid w:val="00A317C6"/>
    <w:rsid w:val="00A51DC2"/>
    <w:rsid w:val="00A5756C"/>
    <w:rsid w:val="00A90DE6"/>
    <w:rsid w:val="00AC5F46"/>
    <w:rsid w:val="00B00F2F"/>
    <w:rsid w:val="00B07197"/>
    <w:rsid w:val="00B701B7"/>
    <w:rsid w:val="00B7173A"/>
    <w:rsid w:val="00C12DE3"/>
    <w:rsid w:val="00C81162"/>
    <w:rsid w:val="00E233A4"/>
    <w:rsid w:val="00E277D8"/>
    <w:rsid w:val="00F26012"/>
    <w:rsid w:val="00F66F31"/>
    <w:rsid w:val="00FA7E7A"/>
    <w:rsid w:val="00FC5EA1"/>
    <w:rsid w:val="00FF308E"/>
    <w:rsid w:val="0103164E"/>
    <w:rsid w:val="011E6004"/>
    <w:rsid w:val="012522AA"/>
    <w:rsid w:val="01265F82"/>
    <w:rsid w:val="013B5863"/>
    <w:rsid w:val="0145105E"/>
    <w:rsid w:val="01477ECF"/>
    <w:rsid w:val="014E589B"/>
    <w:rsid w:val="014F4893"/>
    <w:rsid w:val="015366DE"/>
    <w:rsid w:val="01603026"/>
    <w:rsid w:val="016C08CD"/>
    <w:rsid w:val="01776822"/>
    <w:rsid w:val="017B11E4"/>
    <w:rsid w:val="017D6531"/>
    <w:rsid w:val="01891D75"/>
    <w:rsid w:val="019846E3"/>
    <w:rsid w:val="019A0D37"/>
    <w:rsid w:val="01A96F88"/>
    <w:rsid w:val="01AC09B9"/>
    <w:rsid w:val="01B734D5"/>
    <w:rsid w:val="01BC6192"/>
    <w:rsid w:val="01CB0CDF"/>
    <w:rsid w:val="01CD2334"/>
    <w:rsid w:val="01D26E02"/>
    <w:rsid w:val="01E140D3"/>
    <w:rsid w:val="01E63667"/>
    <w:rsid w:val="01F16263"/>
    <w:rsid w:val="01F176F8"/>
    <w:rsid w:val="01FB5FA7"/>
    <w:rsid w:val="01FC6C8A"/>
    <w:rsid w:val="01FD1236"/>
    <w:rsid w:val="02016132"/>
    <w:rsid w:val="02021298"/>
    <w:rsid w:val="02074655"/>
    <w:rsid w:val="020A7E49"/>
    <w:rsid w:val="021323E7"/>
    <w:rsid w:val="021D348F"/>
    <w:rsid w:val="022B0E5C"/>
    <w:rsid w:val="02421D02"/>
    <w:rsid w:val="024B4CB7"/>
    <w:rsid w:val="02562B11"/>
    <w:rsid w:val="025A704C"/>
    <w:rsid w:val="025C5CB3"/>
    <w:rsid w:val="02671768"/>
    <w:rsid w:val="02694A3C"/>
    <w:rsid w:val="026E5FAB"/>
    <w:rsid w:val="028E0BA6"/>
    <w:rsid w:val="02921EEB"/>
    <w:rsid w:val="02983D41"/>
    <w:rsid w:val="02985DC6"/>
    <w:rsid w:val="029B73B6"/>
    <w:rsid w:val="02A31129"/>
    <w:rsid w:val="02A46690"/>
    <w:rsid w:val="02A62291"/>
    <w:rsid w:val="02AC508C"/>
    <w:rsid w:val="02B50726"/>
    <w:rsid w:val="02BE075F"/>
    <w:rsid w:val="02C62A0C"/>
    <w:rsid w:val="02CD24EE"/>
    <w:rsid w:val="02D037B2"/>
    <w:rsid w:val="02D15F15"/>
    <w:rsid w:val="02E85A11"/>
    <w:rsid w:val="02EB4148"/>
    <w:rsid w:val="02F0175E"/>
    <w:rsid w:val="02F4317E"/>
    <w:rsid w:val="02F675AC"/>
    <w:rsid w:val="03067649"/>
    <w:rsid w:val="03135004"/>
    <w:rsid w:val="032064E7"/>
    <w:rsid w:val="0324584F"/>
    <w:rsid w:val="03247659"/>
    <w:rsid w:val="032652C7"/>
    <w:rsid w:val="0327280A"/>
    <w:rsid w:val="033964DC"/>
    <w:rsid w:val="034321D6"/>
    <w:rsid w:val="0344745D"/>
    <w:rsid w:val="035021B2"/>
    <w:rsid w:val="035103B6"/>
    <w:rsid w:val="035C5045"/>
    <w:rsid w:val="035F6F33"/>
    <w:rsid w:val="03696450"/>
    <w:rsid w:val="038E65F9"/>
    <w:rsid w:val="03982877"/>
    <w:rsid w:val="039C57C0"/>
    <w:rsid w:val="03A06E70"/>
    <w:rsid w:val="03A85738"/>
    <w:rsid w:val="03AD58A1"/>
    <w:rsid w:val="03AF786B"/>
    <w:rsid w:val="03B16CFB"/>
    <w:rsid w:val="03B7227C"/>
    <w:rsid w:val="03BD28F2"/>
    <w:rsid w:val="03C10800"/>
    <w:rsid w:val="03C96DCC"/>
    <w:rsid w:val="03D00DCC"/>
    <w:rsid w:val="03D76A54"/>
    <w:rsid w:val="03F13330"/>
    <w:rsid w:val="03F359AA"/>
    <w:rsid w:val="03F661CB"/>
    <w:rsid w:val="03FB71CD"/>
    <w:rsid w:val="03FD7A71"/>
    <w:rsid w:val="04127BBC"/>
    <w:rsid w:val="0414641F"/>
    <w:rsid w:val="041515CF"/>
    <w:rsid w:val="04210376"/>
    <w:rsid w:val="04212D24"/>
    <w:rsid w:val="042C575E"/>
    <w:rsid w:val="043175D2"/>
    <w:rsid w:val="04382327"/>
    <w:rsid w:val="043A6EF6"/>
    <w:rsid w:val="043F4B9B"/>
    <w:rsid w:val="043F5557"/>
    <w:rsid w:val="044363A4"/>
    <w:rsid w:val="045301F6"/>
    <w:rsid w:val="046528EE"/>
    <w:rsid w:val="04670355"/>
    <w:rsid w:val="047422EC"/>
    <w:rsid w:val="047473E0"/>
    <w:rsid w:val="04806F13"/>
    <w:rsid w:val="04885B47"/>
    <w:rsid w:val="04A05D69"/>
    <w:rsid w:val="04A33316"/>
    <w:rsid w:val="04A52387"/>
    <w:rsid w:val="04B54547"/>
    <w:rsid w:val="04BF763A"/>
    <w:rsid w:val="04CD15E8"/>
    <w:rsid w:val="04CD3C56"/>
    <w:rsid w:val="04CF4810"/>
    <w:rsid w:val="04D36D79"/>
    <w:rsid w:val="04D63FDF"/>
    <w:rsid w:val="04D806FC"/>
    <w:rsid w:val="04DA51CC"/>
    <w:rsid w:val="04E65E91"/>
    <w:rsid w:val="04EB08D2"/>
    <w:rsid w:val="04EC7DA2"/>
    <w:rsid w:val="050252F6"/>
    <w:rsid w:val="051A2FD6"/>
    <w:rsid w:val="051B12F6"/>
    <w:rsid w:val="052F42FA"/>
    <w:rsid w:val="05386908"/>
    <w:rsid w:val="054D04ED"/>
    <w:rsid w:val="055625ED"/>
    <w:rsid w:val="056553DC"/>
    <w:rsid w:val="0572490A"/>
    <w:rsid w:val="05725C73"/>
    <w:rsid w:val="057E3D65"/>
    <w:rsid w:val="058253F2"/>
    <w:rsid w:val="05834B0B"/>
    <w:rsid w:val="05872EB9"/>
    <w:rsid w:val="05933026"/>
    <w:rsid w:val="059E7F25"/>
    <w:rsid w:val="05AB5A58"/>
    <w:rsid w:val="05BA17C0"/>
    <w:rsid w:val="05C166EB"/>
    <w:rsid w:val="05C72C4A"/>
    <w:rsid w:val="05CE4CD4"/>
    <w:rsid w:val="05D215EF"/>
    <w:rsid w:val="05D9116E"/>
    <w:rsid w:val="05F467EB"/>
    <w:rsid w:val="05FA76CD"/>
    <w:rsid w:val="05FB350C"/>
    <w:rsid w:val="060B41C8"/>
    <w:rsid w:val="060C7EF1"/>
    <w:rsid w:val="061C4B78"/>
    <w:rsid w:val="061F0438"/>
    <w:rsid w:val="062355BA"/>
    <w:rsid w:val="06256505"/>
    <w:rsid w:val="0627421D"/>
    <w:rsid w:val="06292F58"/>
    <w:rsid w:val="063F4D83"/>
    <w:rsid w:val="064A364D"/>
    <w:rsid w:val="064B59D4"/>
    <w:rsid w:val="064C51B5"/>
    <w:rsid w:val="06501BB5"/>
    <w:rsid w:val="06624967"/>
    <w:rsid w:val="06626753"/>
    <w:rsid w:val="066620F9"/>
    <w:rsid w:val="066663D3"/>
    <w:rsid w:val="066F772B"/>
    <w:rsid w:val="06714440"/>
    <w:rsid w:val="067240CC"/>
    <w:rsid w:val="0675297E"/>
    <w:rsid w:val="0678324B"/>
    <w:rsid w:val="067D3128"/>
    <w:rsid w:val="06866D3C"/>
    <w:rsid w:val="06972E4E"/>
    <w:rsid w:val="069C62F3"/>
    <w:rsid w:val="06A31B6E"/>
    <w:rsid w:val="06A602CF"/>
    <w:rsid w:val="06A848F7"/>
    <w:rsid w:val="06A967F3"/>
    <w:rsid w:val="06AD62E4"/>
    <w:rsid w:val="06B07B82"/>
    <w:rsid w:val="06B86823"/>
    <w:rsid w:val="06BD5DFB"/>
    <w:rsid w:val="06BF2153"/>
    <w:rsid w:val="06C90C44"/>
    <w:rsid w:val="06D375E0"/>
    <w:rsid w:val="06D9502E"/>
    <w:rsid w:val="06E25698"/>
    <w:rsid w:val="06E329B2"/>
    <w:rsid w:val="06EB4F76"/>
    <w:rsid w:val="06ED1728"/>
    <w:rsid w:val="06F04422"/>
    <w:rsid w:val="06F81D74"/>
    <w:rsid w:val="06F945C3"/>
    <w:rsid w:val="06FB49A4"/>
    <w:rsid w:val="06FB51CA"/>
    <w:rsid w:val="070954E4"/>
    <w:rsid w:val="070E24B2"/>
    <w:rsid w:val="07110C82"/>
    <w:rsid w:val="07143B2C"/>
    <w:rsid w:val="07250F87"/>
    <w:rsid w:val="07341382"/>
    <w:rsid w:val="07351836"/>
    <w:rsid w:val="07352A27"/>
    <w:rsid w:val="074267A8"/>
    <w:rsid w:val="07435C8A"/>
    <w:rsid w:val="074A7C93"/>
    <w:rsid w:val="07511E6E"/>
    <w:rsid w:val="075C73F4"/>
    <w:rsid w:val="07666E00"/>
    <w:rsid w:val="076D7821"/>
    <w:rsid w:val="07723470"/>
    <w:rsid w:val="07803B85"/>
    <w:rsid w:val="078A5688"/>
    <w:rsid w:val="07962EAB"/>
    <w:rsid w:val="07972327"/>
    <w:rsid w:val="07A526A3"/>
    <w:rsid w:val="07A84D9E"/>
    <w:rsid w:val="07A85930"/>
    <w:rsid w:val="07AB0349"/>
    <w:rsid w:val="07AC1052"/>
    <w:rsid w:val="07AF461B"/>
    <w:rsid w:val="07EE56D8"/>
    <w:rsid w:val="07F41CF0"/>
    <w:rsid w:val="07FD02D1"/>
    <w:rsid w:val="080C7666"/>
    <w:rsid w:val="08135436"/>
    <w:rsid w:val="08135F8A"/>
    <w:rsid w:val="081A64E8"/>
    <w:rsid w:val="081A78AB"/>
    <w:rsid w:val="081F57BB"/>
    <w:rsid w:val="0822060B"/>
    <w:rsid w:val="083726B7"/>
    <w:rsid w:val="08386081"/>
    <w:rsid w:val="0838660F"/>
    <w:rsid w:val="08404F36"/>
    <w:rsid w:val="0844736D"/>
    <w:rsid w:val="084F686A"/>
    <w:rsid w:val="08554A0D"/>
    <w:rsid w:val="08563EE1"/>
    <w:rsid w:val="08597DA5"/>
    <w:rsid w:val="08633C94"/>
    <w:rsid w:val="08670714"/>
    <w:rsid w:val="086D3DA1"/>
    <w:rsid w:val="08730E67"/>
    <w:rsid w:val="08774BE1"/>
    <w:rsid w:val="087C0267"/>
    <w:rsid w:val="088F5820"/>
    <w:rsid w:val="08903F11"/>
    <w:rsid w:val="08932D8F"/>
    <w:rsid w:val="08B30002"/>
    <w:rsid w:val="08B42C1D"/>
    <w:rsid w:val="08B8378E"/>
    <w:rsid w:val="08BF001C"/>
    <w:rsid w:val="08DD0C51"/>
    <w:rsid w:val="08DE119C"/>
    <w:rsid w:val="08E17010"/>
    <w:rsid w:val="08ED571D"/>
    <w:rsid w:val="08F301FA"/>
    <w:rsid w:val="08F30303"/>
    <w:rsid w:val="08F3349D"/>
    <w:rsid w:val="09004F4F"/>
    <w:rsid w:val="090347F9"/>
    <w:rsid w:val="09094C02"/>
    <w:rsid w:val="090B4E95"/>
    <w:rsid w:val="09176975"/>
    <w:rsid w:val="0922447E"/>
    <w:rsid w:val="09285EF9"/>
    <w:rsid w:val="092D0C4C"/>
    <w:rsid w:val="09402156"/>
    <w:rsid w:val="094319EC"/>
    <w:rsid w:val="09553317"/>
    <w:rsid w:val="095B2DC5"/>
    <w:rsid w:val="096213E6"/>
    <w:rsid w:val="09633229"/>
    <w:rsid w:val="09641BD1"/>
    <w:rsid w:val="096637B6"/>
    <w:rsid w:val="0967298A"/>
    <w:rsid w:val="09817F0F"/>
    <w:rsid w:val="099B4112"/>
    <w:rsid w:val="09A3752A"/>
    <w:rsid w:val="09A4167C"/>
    <w:rsid w:val="09A71C3D"/>
    <w:rsid w:val="09AF2C22"/>
    <w:rsid w:val="09B32D8C"/>
    <w:rsid w:val="09B9167B"/>
    <w:rsid w:val="09BD7043"/>
    <w:rsid w:val="09C37FE6"/>
    <w:rsid w:val="09C92B69"/>
    <w:rsid w:val="09CA0A04"/>
    <w:rsid w:val="09CB20E0"/>
    <w:rsid w:val="09D02D79"/>
    <w:rsid w:val="09D236A1"/>
    <w:rsid w:val="09DB25D9"/>
    <w:rsid w:val="09DE177A"/>
    <w:rsid w:val="09DF226A"/>
    <w:rsid w:val="09EC69D2"/>
    <w:rsid w:val="09F24E69"/>
    <w:rsid w:val="09F55A47"/>
    <w:rsid w:val="09F80B72"/>
    <w:rsid w:val="09F84713"/>
    <w:rsid w:val="09FA4076"/>
    <w:rsid w:val="09FD1DED"/>
    <w:rsid w:val="0A074254"/>
    <w:rsid w:val="0A0D1983"/>
    <w:rsid w:val="0A334D52"/>
    <w:rsid w:val="0A3B332D"/>
    <w:rsid w:val="0A3F6135"/>
    <w:rsid w:val="0A4A4D09"/>
    <w:rsid w:val="0A4D21A5"/>
    <w:rsid w:val="0A500304"/>
    <w:rsid w:val="0A5234C1"/>
    <w:rsid w:val="0A530F50"/>
    <w:rsid w:val="0A544005"/>
    <w:rsid w:val="0A590531"/>
    <w:rsid w:val="0A605FF5"/>
    <w:rsid w:val="0A627A7A"/>
    <w:rsid w:val="0A704DEE"/>
    <w:rsid w:val="0A8B5261"/>
    <w:rsid w:val="0A8E01DA"/>
    <w:rsid w:val="0A8E5075"/>
    <w:rsid w:val="0A9001DC"/>
    <w:rsid w:val="0A99152D"/>
    <w:rsid w:val="0A9A6B7F"/>
    <w:rsid w:val="0A9F4195"/>
    <w:rsid w:val="0AA16FCF"/>
    <w:rsid w:val="0AA913FB"/>
    <w:rsid w:val="0AAE6B76"/>
    <w:rsid w:val="0AB37F43"/>
    <w:rsid w:val="0AB742A1"/>
    <w:rsid w:val="0AB930A2"/>
    <w:rsid w:val="0ACF434F"/>
    <w:rsid w:val="0ADD0DF0"/>
    <w:rsid w:val="0AE12CD3"/>
    <w:rsid w:val="0AE617F3"/>
    <w:rsid w:val="0AEB40E8"/>
    <w:rsid w:val="0B09160F"/>
    <w:rsid w:val="0B0B2266"/>
    <w:rsid w:val="0B174D3E"/>
    <w:rsid w:val="0B2702D4"/>
    <w:rsid w:val="0B2810DB"/>
    <w:rsid w:val="0B2E135C"/>
    <w:rsid w:val="0B416906"/>
    <w:rsid w:val="0B44058A"/>
    <w:rsid w:val="0B4F3615"/>
    <w:rsid w:val="0B547C4D"/>
    <w:rsid w:val="0B5A04DF"/>
    <w:rsid w:val="0B5D1C2A"/>
    <w:rsid w:val="0B683A4F"/>
    <w:rsid w:val="0B685C3C"/>
    <w:rsid w:val="0B7202E7"/>
    <w:rsid w:val="0B725051"/>
    <w:rsid w:val="0B737E7C"/>
    <w:rsid w:val="0B77554A"/>
    <w:rsid w:val="0B8C63AF"/>
    <w:rsid w:val="0B991D46"/>
    <w:rsid w:val="0B9E2A8E"/>
    <w:rsid w:val="0B9E444D"/>
    <w:rsid w:val="0B9F686D"/>
    <w:rsid w:val="0BB254EF"/>
    <w:rsid w:val="0BB82A2B"/>
    <w:rsid w:val="0BC817F0"/>
    <w:rsid w:val="0BEF6A57"/>
    <w:rsid w:val="0C036BCC"/>
    <w:rsid w:val="0C0A1206"/>
    <w:rsid w:val="0C110CA2"/>
    <w:rsid w:val="0C175AC8"/>
    <w:rsid w:val="0C1C35C4"/>
    <w:rsid w:val="0C324B95"/>
    <w:rsid w:val="0C364F9E"/>
    <w:rsid w:val="0C4A1EDF"/>
    <w:rsid w:val="0C4F2E9C"/>
    <w:rsid w:val="0C5A7BFB"/>
    <w:rsid w:val="0C6B2C47"/>
    <w:rsid w:val="0C773477"/>
    <w:rsid w:val="0C883397"/>
    <w:rsid w:val="0C905D65"/>
    <w:rsid w:val="0C9870EE"/>
    <w:rsid w:val="0C9F113B"/>
    <w:rsid w:val="0CAF0053"/>
    <w:rsid w:val="0CBF0B1F"/>
    <w:rsid w:val="0CD3448B"/>
    <w:rsid w:val="0CD42B77"/>
    <w:rsid w:val="0CF072F3"/>
    <w:rsid w:val="0CF21211"/>
    <w:rsid w:val="0D0C3D32"/>
    <w:rsid w:val="0D180DB9"/>
    <w:rsid w:val="0D2466BD"/>
    <w:rsid w:val="0D341D3A"/>
    <w:rsid w:val="0D3575AB"/>
    <w:rsid w:val="0D395C21"/>
    <w:rsid w:val="0D3A1668"/>
    <w:rsid w:val="0D4120AF"/>
    <w:rsid w:val="0D447FB8"/>
    <w:rsid w:val="0D45621B"/>
    <w:rsid w:val="0D4965D9"/>
    <w:rsid w:val="0D4A67B7"/>
    <w:rsid w:val="0D4C612B"/>
    <w:rsid w:val="0D506693"/>
    <w:rsid w:val="0D5154EF"/>
    <w:rsid w:val="0D5C2246"/>
    <w:rsid w:val="0D5C46C4"/>
    <w:rsid w:val="0D630580"/>
    <w:rsid w:val="0D66752B"/>
    <w:rsid w:val="0D6A3C45"/>
    <w:rsid w:val="0D6B611E"/>
    <w:rsid w:val="0D7D0092"/>
    <w:rsid w:val="0D7D12A8"/>
    <w:rsid w:val="0D7E1788"/>
    <w:rsid w:val="0D7E3268"/>
    <w:rsid w:val="0D7F3B4D"/>
    <w:rsid w:val="0D841421"/>
    <w:rsid w:val="0D84383E"/>
    <w:rsid w:val="0D887338"/>
    <w:rsid w:val="0D9424D6"/>
    <w:rsid w:val="0D9B029F"/>
    <w:rsid w:val="0DA13B17"/>
    <w:rsid w:val="0DA277FF"/>
    <w:rsid w:val="0DA312D2"/>
    <w:rsid w:val="0DAE649D"/>
    <w:rsid w:val="0DB4668D"/>
    <w:rsid w:val="0DB8057F"/>
    <w:rsid w:val="0DBD4932"/>
    <w:rsid w:val="0DC57869"/>
    <w:rsid w:val="0DD331D8"/>
    <w:rsid w:val="0DDB677F"/>
    <w:rsid w:val="0DE90B73"/>
    <w:rsid w:val="0DF80EF8"/>
    <w:rsid w:val="0E05197A"/>
    <w:rsid w:val="0E093A81"/>
    <w:rsid w:val="0E1201C4"/>
    <w:rsid w:val="0E301305"/>
    <w:rsid w:val="0E3C08A3"/>
    <w:rsid w:val="0E493D37"/>
    <w:rsid w:val="0E4F7C80"/>
    <w:rsid w:val="0E525503"/>
    <w:rsid w:val="0E574D87"/>
    <w:rsid w:val="0E582E51"/>
    <w:rsid w:val="0E5C46C9"/>
    <w:rsid w:val="0E5E6C82"/>
    <w:rsid w:val="0E626142"/>
    <w:rsid w:val="0E6D2ED0"/>
    <w:rsid w:val="0E6D3EE4"/>
    <w:rsid w:val="0E73304D"/>
    <w:rsid w:val="0E752239"/>
    <w:rsid w:val="0E766E25"/>
    <w:rsid w:val="0E795ACD"/>
    <w:rsid w:val="0E7C1FC3"/>
    <w:rsid w:val="0E8168AC"/>
    <w:rsid w:val="0E92031F"/>
    <w:rsid w:val="0E9601D9"/>
    <w:rsid w:val="0EAB71BE"/>
    <w:rsid w:val="0EB07759"/>
    <w:rsid w:val="0EB31F1A"/>
    <w:rsid w:val="0EBA7C6D"/>
    <w:rsid w:val="0EBD5C4C"/>
    <w:rsid w:val="0EC85504"/>
    <w:rsid w:val="0ECA2854"/>
    <w:rsid w:val="0EDB59B8"/>
    <w:rsid w:val="0EDF4D5E"/>
    <w:rsid w:val="0EE52C71"/>
    <w:rsid w:val="0EF75A54"/>
    <w:rsid w:val="0EF860F0"/>
    <w:rsid w:val="0F00127D"/>
    <w:rsid w:val="0F024085"/>
    <w:rsid w:val="0F0C5B71"/>
    <w:rsid w:val="0F1438EF"/>
    <w:rsid w:val="0F144A26"/>
    <w:rsid w:val="0F153AA0"/>
    <w:rsid w:val="0F2904D1"/>
    <w:rsid w:val="0F4277E5"/>
    <w:rsid w:val="0F463825"/>
    <w:rsid w:val="0F4B0F6A"/>
    <w:rsid w:val="0F550CEC"/>
    <w:rsid w:val="0F575798"/>
    <w:rsid w:val="0F5F0514"/>
    <w:rsid w:val="0F5F5CB1"/>
    <w:rsid w:val="0F610BAC"/>
    <w:rsid w:val="0F670A63"/>
    <w:rsid w:val="0F6D192D"/>
    <w:rsid w:val="0F6E4AA0"/>
    <w:rsid w:val="0F886069"/>
    <w:rsid w:val="0F8C7EF5"/>
    <w:rsid w:val="0F945C31"/>
    <w:rsid w:val="0F954878"/>
    <w:rsid w:val="0F977B31"/>
    <w:rsid w:val="0F9C512D"/>
    <w:rsid w:val="0FA819A2"/>
    <w:rsid w:val="0FB12275"/>
    <w:rsid w:val="0FB13C95"/>
    <w:rsid w:val="0FB81855"/>
    <w:rsid w:val="0FBB5204"/>
    <w:rsid w:val="0FCA08C0"/>
    <w:rsid w:val="0FCA14B6"/>
    <w:rsid w:val="0FD065A5"/>
    <w:rsid w:val="0FDE1EC8"/>
    <w:rsid w:val="0FE059B7"/>
    <w:rsid w:val="0FE3156C"/>
    <w:rsid w:val="0FE42DE8"/>
    <w:rsid w:val="0FEF7844"/>
    <w:rsid w:val="0FF072CE"/>
    <w:rsid w:val="0FF67BB1"/>
    <w:rsid w:val="0FFF7860"/>
    <w:rsid w:val="100220BE"/>
    <w:rsid w:val="10025B65"/>
    <w:rsid w:val="10026A4B"/>
    <w:rsid w:val="101038A7"/>
    <w:rsid w:val="101E2D38"/>
    <w:rsid w:val="102A3008"/>
    <w:rsid w:val="10446D2F"/>
    <w:rsid w:val="104957CA"/>
    <w:rsid w:val="104A797E"/>
    <w:rsid w:val="104D6EF3"/>
    <w:rsid w:val="10543532"/>
    <w:rsid w:val="105A469D"/>
    <w:rsid w:val="1068327B"/>
    <w:rsid w:val="1069417C"/>
    <w:rsid w:val="106B68C8"/>
    <w:rsid w:val="106C1E4B"/>
    <w:rsid w:val="10754F51"/>
    <w:rsid w:val="1079104A"/>
    <w:rsid w:val="108A23D3"/>
    <w:rsid w:val="108E687D"/>
    <w:rsid w:val="1095135B"/>
    <w:rsid w:val="10BF1BAE"/>
    <w:rsid w:val="10CF5152"/>
    <w:rsid w:val="10D35E97"/>
    <w:rsid w:val="10D80401"/>
    <w:rsid w:val="10E12175"/>
    <w:rsid w:val="10E30B54"/>
    <w:rsid w:val="10EC6C6E"/>
    <w:rsid w:val="10F47DFE"/>
    <w:rsid w:val="10FD7E68"/>
    <w:rsid w:val="1102722C"/>
    <w:rsid w:val="1104333E"/>
    <w:rsid w:val="11080BA4"/>
    <w:rsid w:val="1111121D"/>
    <w:rsid w:val="111120D9"/>
    <w:rsid w:val="11114551"/>
    <w:rsid w:val="111436CC"/>
    <w:rsid w:val="111E1B8C"/>
    <w:rsid w:val="112269D1"/>
    <w:rsid w:val="11356135"/>
    <w:rsid w:val="113D2012"/>
    <w:rsid w:val="114333A1"/>
    <w:rsid w:val="114D5972"/>
    <w:rsid w:val="11537004"/>
    <w:rsid w:val="11542722"/>
    <w:rsid w:val="11561326"/>
    <w:rsid w:val="11581BEC"/>
    <w:rsid w:val="115D1849"/>
    <w:rsid w:val="11800917"/>
    <w:rsid w:val="118955AD"/>
    <w:rsid w:val="11970BCB"/>
    <w:rsid w:val="1197226B"/>
    <w:rsid w:val="119E5143"/>
    <w:rsid w:val="11A23351"/>
    <w:rsid w:val="11AA0839"/>
    <w:rsid w:val="11AB78C4"/>
    <w:rsid w:val="11B17765"/>
    <w:rsid w:val="11B61DC5"/>
    <w:rsid w:val="11BD5F4B"/>
    <w:rsid w:val="11C42470"/>
    <w:rsid w:val="11C71895"/>
    <w:rsid w:val="11CD444A"/>
    <w:rsid w:val="11CE35B2"/>
    <w:rsid w:val="11E2334D"/>
    <w:rsid w:val="11E42782"/>
    <w:rsid w:val="11EA25BA"/>
    <w:rsid w:val="11EB376F"/>
    <w:rsid w:val="11FC011F"/>
    <w:rsid w:val="11FC3F3B"/>
    <w:rsid w:val="11FD41F5"/>
    <w:rsid w:val="11FE456B"/>
    <w:rsid w:val="120A72E0"/>
    <w:rsid w:val="123F1A00"/>
    <w:rsid w:val="124D3BAD"/>
    <w:rsid w:val="12535B93"/>
    <w:rsid w:val="125A52C4"/>
    <w:rsid w:val="12655D96"/>
    <w:rsid w:val="126E70A7"/>
    <w:rsid w:val="128655FA"/>
    <w:rsid w:val="128E3C38"/>
    <w:rsid w:val="12981122"/>
    <w:rsid w:val="12981456"/>
    <w:rsid w:val="129E250A"/>
    <w:rsid w:val="12AC50F3"/>
    <w:rsid w:val="12BF2922"/>
    <w:rsid w:val="12C942C8"/>
    <w:rsid w:val="12DC5F5E"/>
    <w:rsid w:val="12DC7F8C"/>
    <w:rsid w:val="12E2251E"/>
    <w:rsid w:val="12E55183"/>
    <w:rsid w:val="12E56E05"/>
    <w:rsid w:val="12E82A0B"/>
    <w:rsid w:val="13027FAE"/>
    <w:rsid w:val="13065CFB"/>
    <w:rsid w:val="13107484"/>
    <w:rsid w:val="131873D2"/>
    <w:rsid w:val="131C471D"/>
    <w:rsid w:val="131C5459"/>
    <w:rsid w:val="132044AA"/>
    <w:rsid w:val="13212B64"/>
    <w:rsid w:val="13253C3A"/>
    <w:rsid w:val="13274F9C"/>
    <w:rsid w:val="132A707B"/>
    <w:rsid w:val="133B4C77"/>
    <w:rsid w:val="133F353D"/>
    <w:rsid w:val="13417410"/>
    <w:rsid w:val="134A448A"/>
    <w:rsid w:val="134C5D75"/>
    <w:rsid w:val="134F4267"/>
    <w:rsid w:val="134F7EA7"/>
    <w:rsid w:val="135107A8"/>
    <w:rsid w:val="13593CA5"/>
    <w:rsid w:val="135A2C11"/>
    <w:rsid w:val="136066CF"/>
    <w:rsid w:val="13657E31"/>
    <w:rsid w:val="136C3340"/>
    <w:rsid w:val="1387094F"/>
    <w:rsid w:val="13876522"/>
    <w:rsid w:val="138D74CD"/>
    <w:rsid w:val="13960100"/>
    <w:rsid w:val="139C08EB"/>
    <w:rsid w:val="13A24CF6"/>
    <w:rsid w:val="13A41DAE"/>
    <w:rsid w:val="13AF7657"/>
    <w:rsid w:val="13B011C1"/>
    <w:rsid w:val="13B96FCF"/>
    <w:rsid w:val="13C25262"/>
    <w:rsid w:val="13D0213F"/>
    <w:rsid w:val="13D35238"/>
    <w:rsid w:val="13D80718"/>
    <w:rsid w:val="13D81B1F"/>
    <w:rsid w:val="13ED6E9B"/>
    <w:rsid w:val="14061B66"/>
    <w:rsid w:val="142B5FE2"/>
    <w:rsid w:val="142C3159"/>
    <w:rsid w:val="142D2812"/>
    <w:rsid w:val="14334C51"/>
    <w:rsid w:val="14542872"/>
    <w:rsid w:val="146D04E3"/>
    <w:rsid w:val="147E2423"/>
    <w:rsid w:val="148008F9"/>
    <w:rsid w:val="1481732F"/>
    <w:rsid w:val="1487273A"/>
    <w:rsid w:val="148C28CB"/>
    <w:rsid w:val="149208C7"/>
    <w:rsid w:val="14944440"/>
    <w:rsid w:val="149A59CD"/>
    <w:rsid w:val="149D60CD"/>
    <w:rsid w:val="14A059A0"/>
    <w:rsid w:val="14B36100"/>
    <w:rsid w:val="14B87DF7"/>
    <w:rsid w:val="14B97B05"/>
    <w:rsid w:val="14BF042B"/>
    <w:rsid w:val="14CD31B9"/>
    <w:rsid w:val="14D32567"/>
    <w:rsid w:val="14D506CF"/>
    <w:rsid w:val="14DA6BBE"/>
    <w:rsid w:val="14E063ED"/>
    <w:rsid w:val="14E67563"/>
    <w:rsid w:val="14E756A4"/>
    <w:rsid w:val="14ED3D4F"/>
    <w:rsid w:val="14EE304A"/>
    <w:rsid w:val="14F3581B"/>
    <w:rsid w:val="14F72E20"/>
    <w:rsid w:val="15021B62"/>
    <w:rsid w:val="150A21BA"/>
    <w:rsid w:val="151779D1"/>
    <w:rsid w:val="151B2EFC"/>
    <w:rsid w:val="1522437E"/>
    <w:rsid w:val="15283931"/>
    <w:rsid w:val="152C66A9"/>
    <w:rsid w:val="153608A7"/>
    <w:rsid w:val="15382F40"/>
    <w:rsid w:val="153C6A85"/>
    <w:rsid w:val="15440283"/>
    <w:rsid w:val="154E73A3"/>
    <w:rsid w:val="154F1076"/>
    <w:rsid w:val="15631036"/>
    <w:rsid w:val="15670431"/>
    <w:rsid w:val="158374C1"/>
    <w:rsid w:val="15846E4E"/>
    <w:rsid w:val="15883F0F"/>
    <w:rsid w:val="15A62ECC"/>
    <w:rsid w:val="15AD70A3"/>
    <w:rsid w:val="15B14179"/>
    <w:rsid w:val="15BB515A"/>
    <w:rsid w:val="15C516BD"/>
    <w:rsid w:val="15E11B06"/>
    <w:rsid w:val="15E14ACE"/>
    <w:rsid w:val="15E30544"/>
    <w:rsid w:val="15E909BB"/>
    <w:rsid w:val="15EA1C06"/>
    <w:rsid w:val="161F52DA"/>
    <w:rsid w:val="162639BD"/>
    <w:rsid w:val="16396D09"/>
    <w:rsid w:val="163972DF"/>
    <w:rsid w:val="166266B1"/>
    <w:rsid w:val="16636D0F"/>
    <w:rsid w:val="166A29CC"/>
    <w:rsid w:val="167D44F9"/>
    <w:rsid w:val="16822D4F"/>
    <w:rsid w:val="168B7CC4"/>
    <w:rsid w:val="168D1C69"/>
    <w:rsid w:val="168E157D"/>
    <w:rsid w:val="16AE5D39"/>
    <w:rsid w:val="16B25250"/>
    <w:rsid w:val="16B74615"/>
    <w:rsid w:val="16C3120C"/>
    <w:rsid w:val="16C724D4"/>
    <w:rsid w:val="16D411E7"/>
    <w:rsid w:val="16E52F87"/>
    <w:rsid w:val="16EC631F"/>
    <w:rsid w:val="170756D4"/>
    <w:rsid w:val="170F4587"/>
    <w:rsid w:val="171952CF"/>
    <w:rsid w:val="171B71C4"/>
    <w:rsid w:val="171C6910"/>
    <w:rsid w:val="17283FF8"/>
    <w:rsid w:val="17286409"/>
    <w:rsid w:val="172C7D14"/>
    <w:rsid w:val="17382854"/>
    <w:rsid w:val="17397720"/>
    <w:rsid w:val="173E0892"/>
    <w:rsid w:val="17452741"/>
    <w:rsid w:val="17474767"/>
    <w:rsid w:val="17591918"/>
    <w:rsid w:val="176115DC"/>
    <w:rsid w:val="176D7525"/>
    <w:rsid w:val="176F1C78"/>
    <w:rsid w:val="17824660"/>
    <w:rsid w:val="178948A0"/>
    <w:rsid w:val="178C6AA1"/>
    <w:rsid w:val="178D4F75"/>
    <w:rsid w:val="178F2FF8"/>
    <w:rsid w:val="179121FE"/>
    <w:rsid w:val="17915931"/>
    <w:rsid w:val="17A76437"/>
    <w:rsid w:val="17A95D2F"/>
    <w:rsid w:val="17AE37BE"/>
    <w:rsid w:val="17B374D2"/>
    <w:rsid w:val="17BB073A"/>
    <w:rsid w:val="17C214C3"/>
    <w:rsid w:val="17C24576"/>
    <w:rsid w:val="17C41ABF"/>
    <w:rsid w:val="17DD00AB"/>
    <w:rsid w:val="17DD42BE"/>
    <w:rsid w:val="18055854"/>
    <w:rsid w:val="18117D55"/>
    <w:rsid w:val="18175D56"/>
    <w:rsid w:val="181C44F7"/>
    <w:rsid w:val="181E3D5B"/>
    <w:rsid w:val="18201633"/>
    <w:rsid w:val="18276B10"/>
    <w:rsid w:val="18341AA2"/>
    <w:rsid w:val="18396FF2"/>
    <w:rsid w:val="183C0E63"/>
    <w:rsid w:val="183F48C2"/>
    <w:rsid w:val="18470D92"/>
    <w:rsid w:val="1850246D"/>
    <w:rsid w:val="18506ACF"/>
    <w:rsid w:val="185D2F9A"/>
    <w:rsid w:val="1866537E"/>
    <w:rsid w:val="186C7681"/>
    <w:rsid w:val="187327BD"/>
    <w:rsid w:val="18754787"/>
    <w:rsid w:val="18761DDB"/>
    <w:rsid w:val="187964F0"/>
    <w:rsid w:val="188D25A6"/>
    <w:rsid w:val="189B5F22"/>
    <w:rsid w:val="18A24E51"/>
    <w:rsid w:val="18A70256"/>
    <w:rsid w:val="18A944F8"/>
    <w:rsid w:val="18B117A1"/>
    <w:rsid w:val="18B131FA"/>
    <w:rsid w:val="18B30663"/>
    <w:rsid w:val="18B73074"/>
    <w:rsid w:val="18CA061B"/>
    <w:rsid w:val="18CA7B32"/>
    <w:rsid w:val="18D0139B"/>
    <w:rsid w:val="18D019BE"/>
    <w:rsid w:val="18D25736"/>
    <w:rsid w:val="18DA76F1"/>
    <w:rsid w:val="18DC50CF"/>
    <w:rsid w:val="18E54122"/>
    <w:rsid w:val="18F97167"/>
    <w:rsid w:val="19034C2D"/>
    <w:rsid w:val="19085142"/>
    <w:rsid w:val="1912797C"/>
    <w:rsid w:val="1916127C"/>
    <w:rsid w:val="192E4CDA"/>
    <w:rsid w:val="1938763C"/>
    <w:rsid w:val="193D465D"/>
    <w:rsid w:val="193D4E12"/>
    <w:rsid w:val="194F322A"/>
    <w:rsid w:val="195419D3"/>
    <w:rsid w:val="19605E78"/>
    <w:rsid w:val="196C4606"/>
    <w:rsid w:val="196C6238"/>
    <w:rsid w:val="19746D28"/>
    <w:rsid w:val="197C46C1"/>
    <w:rsid w:val="197F647B"/>
    <w:rsid w:val="1988673C"/>
    <w:rsid w:val="198A59D6"/>
    <w:rsid w:val="198B3B37"/>
    <w:rsid w:val="199264BA"/>
    <w:rsid w:val="19943C55"/>
    <w:rsid w:val="199E7D0E"/>
    <w:rsid w:val="19A23CC4"/>
    <w:rsid w:val="19A73D74"/>
    <w:rsid w:val="19AA5416"/>
    <w:rsid w:val="19AD79FA"/>
    <w:rsid w:val="19B10C29"/>
    <w:rsid w:val="19B43E0F"/>
    <w:rsid w:val="19B47ADC"/>
    <w:rsid w:val="19C46F05"/>
    <w:rsid w:val="19CE7FF6"/>
    <w:rsid w:val="19CF602F"/>
    <w:rsid w:val="19D03EAF"/>
    <w:rsid w:val="19D63004"/>
    <w:rsid w:val="19D70C6D"/>
    <w:rsid w:val="19DC21A5"/>
    <w:rsid w:val="19E2271F"/>
    <w:rsid w:val="19ED4AB6"/>
    <w:rsid w:val="19F3086D"/>
    <w:rsid w:val="19FF6399"/>
    <w:rsid w:val="1A003428"/>
    <w:rsid w:val="1A057D8D"/>
    <w:rsid w:val="1A075570"/>
    <w:rsid w:val="1A0873EE"/>
    <w:rsid w:val="1A0B6990"/>
    <w:rsid w:val="1A143B2C"/>
    <w:rsid w:val="1A18361C"/>
    <w:rsid w:val="1A1C623A"/>
    <w:rsid w:val="1A222A0A"/>
    <w:rsid w:val="1A270D5F"/>
    <w:rsid w:val="1A2820C6"/>
    <w:rsid w:val="1A2D1611"/>
    <w:rsid w:val="1A2F6BB8"/>
    <w:rsid w:val="1A341AC0"/>
    <w:rsid w:val="1A4D4CED"/>
    <w:rsid w:val="1A66082C"/>
    <w:rsid w:val="1A6B5635"/>
    <w:rsid w:val="1A705206"/>
    <w:rsid w:val="1A744BB1"/>
    <w:rsid w:val="1A761035"/>
    <w:rsid w:val="1A797469"/>
    <w:rsid w:val="1A8850B8"/>
    <w:rsid w:val="1AA569F6"/>
    <w:rsid w:val="1AAB4E9C"/>
    <w:rsid w:val="1AB1694B"/>
    <w:rsid w:val="1AC35C7E"/>
    <w:rsid w:val="1ADB0B95"/>
    <w:rsid w:val="1AEC10F0"/>
    <w:rsid w:val="1AEC3C17"/>
    <w:rsid w:val="1AF80851"/>
    <w:rsid w:val="1AF92C34"/>
    <w:rsid w:val="1AF96E08"/>
    <w:rsid w:val="1B0361BC"/>
    <w:rsid w:val="1B083691"/>
    <w:rsid w:val="1B12369C"/>
    <w:rsid w:val="1B1A7EDA"/>
    <w:rsid w:val="1B207562"/>
    <w:rsid w:val="1B25270D"/>
    <w:rsid w:val="1B262D26"/>
    <w:rsid w:val="1B2670F4"/>
    <w:rsid w:val="1B2D1E19"/>
    <w:rsid w:val="1B2D7FD6"/>
    <w:rsid w:val="1B300E3A"/>
    <w:rsid w:val="1B374A35"/>
    <w:rsid w:val="1B3A5220"/>
    <w:rsid w:val="1B3B258E"/>
    <w:rsid w:val="1B432501"/>
    <w:rsid w:val="1B4F12C0"/>
    <w:rsid w:val="1B4F7512"/>
    <w:rsid w:val="1B652C95"/>
    <w:rsid w:val="1B70155F"/>
    <w:rsid w:val="1B723039"/>
    <w:rsid w:val="1B7700FA"/>
    <w:rsid w:val="1B8061A3"/>
    <w:rsid w:val="1B894EBC"/>
    <w:rsid w:val="1B8C1172"/>
    <w:rsid w:val="1B9269B7"/>
    <w:rsid w:val="1BB12BB2"/>
    <w:rsid w:val="1BC20782"/>
    <w:rsid w:val="1BC72A1F"/>
    <w:rsid w:val="1BCE49E9"/>
    <w:rsid w:val="1BD12722"/>
    <w:rsid w:val="1BD15865"/>
    <w:rsid w:val="1BDF24E0"/>
    <w:rsid w:val="1BE276B7"/>
    <w:rsid w:val="1BE90199"/>
    <w:rsid w:val="1BEC6EE5"/>
    <w:rsid w:val="1BEE6D2B"/>
    <w:rsid w:val="1BF460D8"/>
    <w:rsid w:val="1BF86B64"/>
    <w:rsid w:val="1BFE2CE6"/>
    <w:rsid w:val="1BFE7E24"/>
    <w:rsid w:val="1C077DEC"/>
    <w:rsid w:val="1C0D6670"/>
    <w:rsid w:val="1C100B6A"/>
    <w:rsid w:val="1C2075D6"/>
    <w:rsid w:val="1C29375F"/>
    <w:rsid w:val="1C2A3D6D"/>
    <w:rsid w:val="1C2B6CB4"/>
    <w:rsid w:val="1C3774BA"/>
    <w:rsid w:val="1C4C1274"/>
    <w:rsid w:val="1C572ED0"/>
    <w:rsid w:val="1C586B2A"/>
    <w:rsid w:val="1C5D4617"/>
    <w:rsid w:val="1C5D5F8B"/>
    <w:rsid w:val="1C626DD1"/>
    <w:rsid w:val="1C637E71"/>
    <w:rsid w:val="1C667D96"/>
    <w:rsid w:val="1C6E241C"/>
    <w:rsid w:val="1C76287C"/>
    <w:rsid w:val="1C781F1C"/>
    <w:rsid w:val="1C78659A"/>
    <w:rsid w:val="1C7A099F"/>
    <w:rsid w:val="1C7B60E4"/>
    <w:rsid w:val="1C7C30D0"/>
    <w:rsid w:val="1C855634"/>
    <w:rsid w:val="1C8C02F2"/>
    <w:rsid w:val="1C8D0B6B"/>
    <w:rsid w:val="1C9C2788"/>
    <w:rsid w:val="1CA83FE4"/>
    <w:rsid w:val="1CAB69CA"/>
    <w:rsid w:val="1CB07DF9"/>
    <w:rsid w:val="1CC260CA"/>
    <w:rsid w:val="1CC3681B"/>
    <w:rsid w:val="1CC7761E"/>
    <w:rsid w:val="1CCB0043"/>
    <w:rsid w:val="1CD143D0"/>
    <w:rsid w:val="1CE36749"/>
    <w:rsid w:val="1CE56040"/>
    <w:rsid w:val="1CE974F2"/>
    <w:rsid w:val="1CF251D3"/>
    <w:rsid w:val="1CFF3217"/>
    <w:rsid w:val="1CFF77E0"/>
    <w:rsid w:val="1D0165EA"/>
    <w:rsid w:val="1D0C3E62"/>
    <w:rsid w:val="1D163181"/>
    <w:rsid w:val="1D1D0D81"/>
    <w:rsid w:val="1D2105A5"/>
    <w:rsid w:val="1D271412"/>
    <w:rsid w:val="1D271DC8"/>
    <w:rsid w:val="1D4875DC"/>
    <w:rsid w:val="1D576A44"/>
    <w:rsid w:val="1D5835F0"/>
    <w:rsid w:val="1D5D4990"/>
    <w:rsid w:val="1D5D4D01"/>
    <w:rsid w:val="1D6539B3"/>
    <w:rsid w:val="1D6E5879"/>
    <w:rsid w:val="1D715A06"/>
    <w:rsid w:val="1D7B2840"/>
    <w:rsid w:val="1D8306ED"/>
    <w:rsid w:val="1D8C5045"/>
    <w:rsid w:val="1D9244F8"/>
    <w:rsid w:val="1D931CEA"/>
    <w:rsid w:val="1D9B6A3E"/>
    <w:rsid w:val="1D9C5084"/>
    <w:rsid w:val="1D9C6312"/>
    <w:rsid w:val="1DA0794B"/>
    <w:rsid w:val="1DA84CB7"/>
    <w:rsid w:val="1DB64AE5"/>
    <w:rsid w:val="1DB82722"/>
    <w:rsid w:val="1DBB7F27"/>
    <w:rsid w:val="1DC177D9"/>
    <w:rsid w:val="1DD1343B"/>
    <w:rsid w:val="1DD222FF"/>
    <w:rsid w:val="1DD94BEF"/>
    <w:rsid w:val="1DDA0C08"/>
    <w:rsid w:val="1DDE608F"/>
    <w:rsid w:val="1DE37813"/>
    <w:rsid w:val="1DE54D60"/>
    <w:rsid w:val="1DE64E8E"/>
    <w:rsid w:val="1DE71F7C"/>
    <w:rsid w:val="1E004B06"/>
    <w:rsid w:val="1E021573"/>
    <w:rsid w:val="1E036FFA"/>
    <w:rsid w:val="1E1A236E"/>
    <w:rsid w:val="1E225BB3"/>
    <w:rsid w:val="1E2A6113"/>
    <w:rsid w:val="1E2D212B"/>
    <w:rsid w:val="1E2E1737"/>
    <w:rsid w:val="1E2E6E13"/>
    <w:rsid w:val="1E32182A"/>
    <w:rsid w:val="1E4E2A9D"/>
    <w:rsid w:val="1E5A61EE"/>
    <w:rsid w:val="1E713E2F"/>
    <w:rsid w:val="1E882116"/>
    <w:rsid w:val="1E8C285D"/>
    <w:rsid w:val="1E927A94"/>
    <w:rsid w:val="1EA573D8"/>
    <w:rsid w:val="1EA731C1"/>
    <w:rsid w:val="1EA74806"/>
    <w:rsid w:val="1EB0513B"/>
    <w:rsid w:val="1EB4327E"/>
    <w:rsid w:val="1EB5427B"/>
    <w:rsid w:val="1EB72F76"/>
    <w:rsid w:val="1EBC7943"/>
    <w:rsid w:val="1ECF4669"/>
    <w:rsid w:val="1ED45036"/>
    <w:rsid w:val="1EDC61DD"/>
    <w:rsid w:val="1EE0138A"/>
    <w:rsid w:val="1EE36B2C"/>
    <w:rsid w:val="1EEA786F"/>
    <w:rsid w:val="1EF108E0"/>
    <w:rsid w:val="1EF15394"/>
    <w:rsid w:val="1EF342CB"/>
    <w:rsid w:val="1EF62481"/>
    <w:rsid w:val="1F020A44"/>
    <w:rsid w:val="1F041BC7"/>
    <w:rsid w:val="1F127B09"/>
    <w:rsid w:val="1F2354C8"/>
    <w:rsid w:val="1F2667DB"/>
    <w:rsid w:val="1F2774EF"/>
    <w:rsid w:val="1F36160E"/>
    <w:rsid w:val="1F377253"/>
    <w:rsid w:val="1F3920FB"/>
    <w:rsid w:val="1F4544BF"/>
    <w:rsid w:val="1F560579"/>
    <w:rsid w:val="1F5D00BF"/>
    <w:rsid w:val="1F640255"/>
    <w:rsid w:val="1F671677"/>
    <w:rsid w:val="1F722047"/>
    <w:rsid w:val="1F904945"/>
    <w:rsid w:val="1F9E44D6"/>
    <w:rsid w:val="1F9F0168"/>
    <w:rsid w:val="1F9F033C"/>
    <w:rsid w:val="1FA32D78"/>
    <w:rsid w:val="1FAA6A2E"/>
    <w:rsid w:val="1FB623F5"/>
    <w:rsid w:val="1FC11059"/>
    <w:rsid w:val="1FD04999"/>
    <w:rsid w:val="1FD608B1"/>
    <w:rsid w:val="1FE346CD"/>
    <w:rsid w:val="1FE570E2"/>
    <w:rsid w:val="1FE7673E"/>
    <w:rsid w:val="1FFA0896"/>
    <w:rsid w:val="20004DEC"/>
    <w:rsid w:val="200218B6"/>
    <w:rsid w:val="200E38F2"/>
    <w:rsid w:val="201E585F"/>
    <w:rsid w:val="20207229"/>
    <w:rsid w:val="204044A0"/>
    <w:rsid w:val="20410B17"/>
    <w:rsid w:val="204240CB"/>
    <w:rsid w:val="204810F4"/>
    <w:rsid w:val="2049266D"/>
    <w:rsid w:val="205336A7"/>
    <w:rsid w:val="20534B67"/>
    <w:rsid w:val="2054187A"/>
    <w:rsid w:val="20547378"/>
    <w:rsid w:val="20557DC5"/>
    <w:rsid w:val="205A5C16"/>
    <w:rsid w:val="205B7D6A"/>
    <w:rsid w:val="207B4905"/>
    <w:rsid w:val="207C33EE"/>
    <w:rsid w:val="2081342E"/>
    <w:rsid w:val="2083271B"/>
    <w:rsid w:val="209740BF"/>
    <w:rsid w:val="2099242E"/>
    <w:rsid w:val="20994D8B"/>
    <w:rsid w:val="209C1FFB"/>
    <w:rsid w:val="20AA1E5D"/>
    <w:rsid w:val="20AD0837"/>
    <w:rsid w:val="20AE5E99"/>
    <w:rsid w:val="20B0411F"/>
    <w:rsid w:val="20B25974"/>
    <w:rsid w:val="20BA0521"/>
    <w:rsid w:val="20BE31CF"/>
    <w:rsid w:val="20D658C9"/>
    <w:rsid w:val="20D95B5B"/>
    <w:rsid w:val="20DC2416"/>
    <w:rsid w:val="20E43C38"/>
    <w:rsid w:val="20EA6CF6"/>
    <w:rsid w:val="20F22231"/>
    <w:rsid w:val="20FD5640"/>
    <w:rsid w:val="20FF6C87"/>
    <w:rsid w:val="21015C26"/>
    <w:rsid w:val="21073D9E"/>
    <w:rsid w:val="210D46F4"/>
    <w:rsid w:val="210D5036"/>
    <w:rsid w:val="21121083"/>
    <w:rsid w:val="211518DD"/>
    <w:rsid w:val="21196429"/>
    <w:rsid w:val="212B14B4"/>
    <w:rsid w:val="212B2F31"/>
    <w:rsid w:val="212B5CF5"/>
    <w:rsid w:val="212E1977"/>
    <w:rsid w:val="212F490C"/>
    <w:rsid w:val="21307761"/>
    <w:rsid w:val="21327DB2"/>
    <w:rsid w:val="213741EC"/>
    <w:rsid w:val="213A0D63"/>
    <w:rsid w:val="213D605E"/>
    <w:rsid w:val="213D6756"/>
    <w:rsid w:val="213D7BD8"/>
    <w:rsid w:val="214C4EC5"/>
    <w:rsid w:val="214D44F3"/>
    <w:rsid w:val="21502326"/>
    <w:rsid w:val="2153567F"/>
    <w:rsid w:val="217422B6"/>
    <w:rsid w:val="217A696B"/>
    <w:rsid w:val="218830DB"/>
    <w:rsid w:val="2188758A"/>
    <w:rsid w:val="218C0828"/>
    <w:rsid w:val="21927CFA"/>
    <w:rsid w:val="21A61686"/>
    <w:rsid w:val="21A81658"/>
    <w:rsid w:val="21AD6A9F"/>
    <w:rsid w:val="21AE0FC0"/>
    <w:rsid w:val="21BC2CB4"/>
    <w:rsid w:val="21C13A32"/>
    <w:rsid w:val="21D40771"/>
    <w:rsid w:val="21D660F7"/>
    <w:rsid w:val="21DC2ED7"/>
    <w:rsid w:val="21DC42FD"/>
    <w:rsid w:val="21DE1797"/>
    <w:rsid w:val="21EE31A8"/>
    <w:rsid w:val="21EF7359"/>
    <w:rsid w:val="21F3174D"/>
    <w:rsid w:val="220940EA"/>
    <w:rsid w:val="220A4BCF"/>
    <w:rsid w:val="221729FA"/>
    <w:rsid w:val="221E15AC"/>
    <w:rsid w:val="221F62A8"/>
    <w:rsid w:val="22214E73"/>
    <w:rsid w:val="22225038"/>
    <w:rsid w:val="22270787"/>
    <w:rsid w:val="22274D44"/>
    <w:rsid w:val="223659AD"/>
    <w:rsid w:val="224D73DD"/>
    <w:rsid w:val="224E5BF6"/>
    <w:rsid w:val="22592601"/>
    <w:rsid w:val="225F6B03"/>
    <w:rsid w:val="226C044F"/>
    <w:rsid w:val="226D7B83"/>
    <w:rsid w:val="227D333D"/>
    <w:rsid w:val="227E633A"/>
    <w:rsid w:val="22805079"/>
    <w:rsid w:val="22830B8E"/>
    <w:rsid w:val="228522E7"/>
    <w:rsid w:val="22881D30"/>
    <w:rsid w:val="2290672C"/>
    <w:rsid w:val="2293123C"/>
    <w:rsid w:val="22A36B70"/>
    <w:rsid w:val="22A570EC"/>
    <w:rsid w:val="22A80FFA"/>
    <w:rsid w:val="22B70712"/>
    <w:rsid w:val="22C00CF5"/>
    <w:rsid w:val="22C10E81"/>
    <w:rsid w:val="22C75BE0"/>
    <w:rsid w:val="22C9442E"/>
    <w:rsid w:val="22CD0269"/>
    <w:rsid w:val="22D43243"/>
    <w:rsid w:val="22D704E6"/>
    <w:rsid w:val="22D870D6"/>
    <w:rsid w:val="22E40131"/>
    <w:rsid w:val="22EC5646"/>
    <w:rsid w:val="22ED5BB2"/>
    <w:rsid w:val="22FC0982"/>
    <w:rsid w:val="22FD2B62"/>
    <w:rsid w:val="23146AE4"/>
    <w:rsid w:val="2315239E"/>
    <w:rsid w:val="232E56FD"/>
    <w:rsid w:val="233F5F96"/>
    <w:rsid w:val="234565E4"/>
    <w:rsid w:val="235B2F11"/>
    <w:rsid w:val="235F4D23"/>
    <w:rsid w:val="236854D2"/>
    <w:rsid w:val="236D4028"/>
    <w:rsid w:val="237A75E1"/>
    <w:rsid w:val="238A10B4"/>
    <w:rsid w:val="238A4DFC"/>
    <w:rsid w:val="238D57DD"/>
    <w:rsid w:val="23AC114D"/>
    <w:rsid w:val="23B04AEE"/>
    <w:rsid w:val="23B449C4"/>
    <w:rsid w:val="23C34582"/>
    <w:rsid w:val="23CA7A4D"/>
    <w:rsid w:val="23DD21F3"/>
    <w:rsid w:val="23DF7B34"/>
    <w:rsid w:val="23EB1DA2"/>
    <w:rsid w:val="240C05DA"/>
    <w:rsid w:val="240E2AAB"/>
    <w:rsid w:val="24100849"/>
    <w:rsid w:val="241E1CD4"/>
    <w:rsid w:val="24226CC5"/>
    <w:rsid w:val="242279F0"/>
    <w:rsid w:val="24312A4A"/>
    <w:rsid w:val="244A5E9A"/>
    <w:rsid w:val="244C4BB8"/>
    <w:rsid w:val="24691193"/>
    <w:rsid w:val="246C3A46"/>
    <w:rsid w:val="246F29D3"/>
    <w:rsid w:val="247152E7"/>
    <w:rsid w:val="247973AD"/>
    <w:rsid w:val="24881DAE"/>
    <w:rsid w:val="248B0FB9"/>
    <w:rsid w:val="24BC7675"/>
    <w:rsid w:val="24C57933"/>
    <w:rsid w:val="24E04616"/>
    <w:rsid w:val="24FC0DBA"/>
    <w:rsid w:val="24FF7718"/>
    <w:rsid w:val="251211C3"/>
    <w:rsid w:val="251A7612"/>
    <w:rsid w:val="25237A22"/>
    <w:rsid w:val="252437BD"/>
    <w:rsid w:val="25285AE1"/>
    <w:rsid w:val="252E0774"/>
    <w:rsid w:val="25331C52"/>
    <w:rsid w:val="2534790D"/>
    <w:rsid w:val="253C110E"/>
    <w:rsid w:val="25481BCE"/>
    <w:rsid w:val="254E3439"/>
    <w:rsid w:val="255453E5"/>
    <w:rsid w:val="25590A78"/>
    <w:rsid w:val="255D36DD"/>
    <w:rsid w:val="25812F8D"/>
    <w:rsid w:val="25814DB7"/>
    <w:rsid w:val="25824959"/>
    <w:rsid w:val="258F5201"/>
    <w:rsid w:val="25920290"/>
    <w:rsid w:val="25987A23"/>
    <w:rsid w:val="259D3936"/>
    <w:rsid w:val="259E2C83"/>
    <w:rsid w:val="25AB2808"/>
    <w:rsid w:val="25B460CA"/>
    <w:rsid w:val="25B8762D"/>
    <w:rsid w:val="25BC46FF"/>
    <w:rsid w:val="25C00CC8"/>
    <w:rsid w:val="25C517A2"/>
    <w:rsid w:val="25EC1F0F"/>
    <w:rsid w:val="25F5789E"/>
    <w:rsid w:val="25FD6A72"/>
    <w:rsid w:val="2608561B"/>
    <w:rsid w:val="26196938"/>
    <w:rsid w:val="26211725"/>
    <w:rsid w:val="2624159B"/>
    <w:rsid w:val="26261861"/>
    <w:rsid w:val="262E5F76"/>
    <w:rsid w:val="26382AAC"/>
    <w:rsid w:val="263C68E5"/>
    <w:rsid w:val="26405FF8"/>
    <w:rsid w:val="26410311"/>
    <w:rsid w:val="26506FAD"/>
    <w:rsid w:val="26617429"/>
    <w:rsid w:val="26645CEF"/>
    <w:rsid w:val="26656277"/>
    <w:rsid w:val="26656640"/>
    <w:rsid w:val="26663117"/>
    <w:rsid w:val="26691540"/>
    <w:rsid w:val="2673017F"/>
    <w:rsid w:val="267771CA"/>
    <w:rsid w:val="26807144"/>
    <w:rsid w:val="26850CFA"/>
    <w:rsid w:val="268A362E"/>
    <w:rsid w:val="26924356"/>
    <w:rsid w:val="269560EE"/>
    <w:rsid w:val="269B7AAF"/>
    <w:rsid w:val="26AF686C"/>
    <w:rsid w:val="26B65F86"/>
    <w:rsid w:val="26BB1617"/>
    <w:rsid w:val="26BC1DA6"/>
    <w:rsid w:val="26CA60FC"/>
    <w:rsid w:val="26D16018"/>
    <w:rsid w:val="26D840CC"/>
    <w:rsid w:val="26DB3228"/>
    <w:rsid w:val="26DF6074"/>
    <w:rsid w:val="26E02857"/>
    <w:rsid w:val="26E05716"/>
    <w:rsid w:val="26EC20B9"/>
    <w:rsid w:val="26FE679C"/>
    <w:rsid w:val="271E59B6"/>
    <w:rsid w:val="272C11C0"/>
    <w:rsid w:val="27301EDB"/>
    <w:rsid w:val="27325B22"/>
    <w:rsid w:val="27453115"/>
    <w:rsid w:val="27547EE4"/>
    <w:rsid w:val="276854B7"/>
    <w:rsid w:val="276A2965"/>
    <w:rsid w:val="276C029F"/>
    <w:rsid w:val="278002B7"/>
    <w:rsid w:val="27867E0A"/>
    <w:rsid w:val="27912807"/>
    <w:rsid w:val="2792515D"/>
    <w:rsid w:val="279262F0"/>
    <w:rsid w:val="27982DD4"/>
    <w:rsid w:val="27A1656E"/>
    <w:rsid w:val="27AA5AD0"/>
    <w:rsid w:val="27B2212B"/>
    <w:rsid w:val="27BC655B"/>
    <w:rsid w:val="27CC67E7"/>
    <w:rsid w:val="27DA63B5"/>
    <w:rsid w:val="27DD09CE"/>
    <w:rsid w:val="27E20FE5"/>
    <w:rsid w:val="27E316DF"/>
    <w:rsid w:val="27E82203"/>
    <w:rsid w:val="27EC553C"/>
    <w:rsid w:val="27F85AFF"/>
    <w:rsid w:val="2804675C"/>
    <w:rsid w:val="280C4BFC"/>
    <w:rsid w:val="2813394B"/>
    <w:rsid w:val="281C1F63"/>
    <w:rsid w:val="281C54D8"/>
    <w:rsid w:val="283610D5"/>
    <w:rsid w:val="285F4B0C"/>
    <w:rsid w:val="285F5293"/>
    <w:rsid w:val="28612632"/>
    <w:rsid w:val="28622D71"/>
    <w:rsid w:val="286A3C24"/>
    <w:rsid w:val="286E69FD"/>
    <w:rsid w:val="2874076E"/>
    <w:rsid w:val="288B6FC7"/>
    <w:rsid w:val="288C2D07"/>
    <w:rsid w:val="288D4D56"/>
    <w:rsid w:val="289524E1"/>
    <w:rsid w:val="28BB55BB"/>
    <w:rsid w:val="28C56178"/>
    <w:rsid w:val="28D42521"/>
    <w:rsid w:val="28D51A0C"/>
    <w:rsid w:val="28DF0877"/>
    <w:rsid w:val="28E349BC"/>
    <w:rsid w:val="28FA546B"/>
    <w:rsid w:val="28FE025E"/>
    <w:rsid w:val="29194CBB"/>
    <w:rsid w:val="29240606"/>
    <w:rsid w:val="29245F1A"/>
    <w:rsid w:val="29366359"/>
    <w:rsid w:val="29456427"/>
    <w:rsid w:val="294647CA"/>
    <w:rsid w:val="29477A7A"/>
    <w:rsid w:val="294A57BC"/>
    <w:rsid w:val="29586D7A"/>
    <w:rsid w:val="296879F1"/>
    <w:rsid w:val="29772B51"/>
    <w:rsid w:val="29791894"/>
    <w:rsid w:val="2981202B"/>
    <w:rsid w:val="29831234"/>
    <w:rsid w:val="2984235F"/>
    <w:rsid w:val="29844E30"/>
    <w:rsid w:val="298F2AB5"/>
    <w:rsid w:val="299400E6"/>
    <w:rsid w:val="29967FD2"/>
    <w:rsid w:val="29972080"/>
    <w:rsid w:val="29A055D0"/>
    <w:rsid w:val="29A120B5"/>
    <w:rsid w:val="29A52D8F"/>
    <w:rsid w:val="29B76175"/>
    <w:rsid w:val="29B9118A"/>
    <w:rsid w:val="29BE0BBB"/>
    <w:rsid w:val="29C556B2"/>
    <w:rsid w:val="29C56C3A"/>
    <w:rsid w:val="29C5793C"/>
    <w:rsid w:val="29D21D69"/>
    <w:rsid w:val="29D82442"/>
    <w:rsid w:val="29D85278"/>
    <w:rsid w:val="29E1380C"/>
    <w:rsid w:val="29E16B08"/>
    <w:rsid w:val="29E83790"/>
    <w:rsid w:val="29E85046"/>
    <w:rsid w:val="29F8665E"/>
    <w:rsid w:val="2A017BFD"/>
    <w:rsid w:val="2A047719"/>
    <w:rsid w:val="2A0A71F8"/>
    <w:rsid w:val="2A104310"/>
    <w:rsid w:val="2A38076E"/>
    <w:rsid w:val="2A3E153F"/>
    <w:rsid w:val="2A4913A2"/>
    <w:rsid w:val="2A555F6F"/>
    <w:rsid w:val="2A5C29F3"/>
    <w:rsid w:val="2A5C5810"/>
    <w:rsid w:val="2A5D5379"/>
    <w:rsid w:val="2A651A82"/>
    <w:rsid w:val="2A6D62E0"/>
    <w:rsid w:val="2A6D7B04"/>
    <w:rsid w:val="2A797680"/>
    <w:rsid w:val="2A810D6A"/>
    <w:rsid w:val="2A904A07"/>
    <w:rsid w:val="2A9154D8"/>
    <w:rsid w:val="2A946CEF"/>
    <w:rsid w:val="2AA04C57"/>
    <w:rsid w:val="2AA3416B"/>
    <w:rsid w:val="2AA8279A"/>
    <w:rsid w:val="2ABB44FF"/>
    <w:rsid w:val="2AC82E3D"/>
    <w:rsid w:val="2AD750C3"/>
    <w:rsid w:val="2AE13EFE"/>
    <w:rsid w:val="2AE77D08"/>
    <w:rsid w:val="2AEA3011"/>
    <w:rsid w:val="2AEB73AD"/>
    <w:rsid w:val="2AF315E7"/>
    <w:rsid w:val="2B0014BF"/>
    <w:rsid w:val="2B1C0596"/>
    <w:rsid w:val="2B1E35C5"/>
    <w:rsid w:val="2B200903"/>
    <w:rsid w:val="2B252D72"/>
    <w:rsid w:val="2B32518D"/>
    <w:rsid w:val="2B3E0375"/>
    <w:rsid w:val="2B3F6875"/>
    <w:rsid w:val="2B492499"/>
    <w:rsid w:val="2B652A8D"/>
    <w:rsid w:val="2B6A2F63"/>
    <w:rsid w:val="2B6C55DB"/>
    <w:rsid w:val="2B7663F5"/>
    <w:rsid w:val="2B7F70AE"/>
    <w:rsid w:val="2B8471AE"/>
    <w:rsid w:val="2B8479B4"/>
    <w:rsid w:val="2B885372"/>
    <w:rsid w:val="2B8A2FFD"/>
    <w:rsid w:val="2B8D5640"/>
    <w:rsid w:val="2B8E3DDE"/>
    <w:rsid w:val="2BA46A0B"/>
    <w:rsid w:val="2BB41F16"/>
    <w:rsid w:val="2BBA2DA3"/>
    <w:rsid w:val="2BD001FB"/>
    <w:rsid w:val="2BD90E44"/>
    <w:rsid w:val="2BDE1B83"/>
    <w:rsid w:val="2BDE26DE"/>
    <w:rsid w:val="2BDE3F9A"/>
    <w:rsid w:val="2BF4029C"/>
    <w:rsid w:val="2C043051"/>
    <w:rsid w:val="2C1339D0"/>
    <w:rsid w:val="2C1C0269"/>
    <w:rsid w:val="2C1C3440"/>
    <w:rsid w:val="2C1C6937"/>
    <w:rsid w:val="2C1F4CDE"/>
    <w:rsid w:val="2C202757"/>
    <w:rsid w:val="2C270D43"/>
    <w:rsid w:val="2C4330AB"/>
    <w:rsid w:val="2C545FAE"/>
    <w:rsid w:val="2C562B1A"/>
    <w:rsid w:val="2C6436A6"/>
    <w:rsid w:val="2C673F8F"/>
    <w:rsid w:val="2C7A2A8F"/>
    <w:rsid w:val="2C845A1C"/>
    <w:rsid w:val="2C8D731E"/>
    <w:rsid w:val="2C9023A5"/>
    <w:rsid w:val="2C937549"/>
    <w:rsid w:val="2C9D6A04"/>
    <w:rsid w:val="2CA64F5F"/>
    <w:rsid w:val="2CB62598"/>
    <w:rsid w:val="2CBA0563"/>
    <w:rsid w:val="2CBC136A"/>
    <w:rsid w:val="2CC57724"/>
    <w:rsid w:val="2CCD3F07"/>
    <w:rsid w:val="2CE6513B"/>
    <w:rsid w:val="2CFE607B"/>
    <w:rsid w:val="2D095409"/>
    <w:rsid w:val="2D096D16"/>
    <w:rsid w:val="2D0B44BF"/>
    <w:rsid w:val="2D1839CC"/>
    <w:rsid w:val="2D185752"/>
    <w:rsid w:val="2D204FAE"/>
    <w:rsid w:val="2D213A27"/>
    <w:rsid w:val="2D3A3199"/>
    <w:rsid w:val="2D3B27F8"/>
    <w:rsid w:val="2D443FDB"/>
    <w:rsid w:val="2D4B38E7"/>
    <w:rsid w:val="2D4F4949"/>
    <w:rsid w:val="2D5470D9"/>
    <w:rsid w:val="2D551303"/>
    <w:rsid w:val="2D585C68"/>
    <w:rsid w:val="2D6844C6"/>
    <w:rsid w:val="2D716772"/>
    <w:rsid w:val="2D7457DA"/>
    <w:rsid w:val="2D772574"/>
    <w:rsid w:val="2D7E63CF"/>
    <w:rsid w:val="2D893900"/>
    <w:rsid w:val="2D8D31B7"/>
    <w:rsid w:val="2D8D5835"/>
    <w:rsid w:val="2D9603C8"/>
    <w:rsid w:val="2DA54623"/>
    <w:rsid w:val="2DAB1C25"/>
    <w:rsid w:val="2DB07041"/>
    <w:rsid w:val="2DB37BC8"/>
    <w:rsid w:val="2DCC12FC"/>
    <w:rsid w:val="2DCD34B4"/>
    <w:rsid w:val="2DD66E3A"/>
    <w:rsid w:val="2DE54D24"/>
    <w:rsid w:val="2DF17D73"/>
    <w:rsid w:val="2DFE06A6"/>
    <w:rsid w:val="2E0979F4"/>
    <w:rsid w:val="2E1C3BFA"/>
    <w:rsid w:val="2E2A5853"/>
    <w:rsid w:val="2E310CF9"/>
    <w:rsid w:val="2E322064"/>
    <w:rsid w:val="2E394E0D"/>
    <w:rsid w:val="2E512854"/>
    <w:rsid w:val="2E614DCE"/>
    <w:rsid w:val="2E64371E"/>
    <w:rsid w:val="2E652B8E"/>
    <w:rsid w:val="2E66167A"/>
    <w:rsid w:val="2E687A2E"/>
    <w:rsid w:val="2E6C7EF1"/>
    <w:rsid w:val="2E6D69DB"/>
    <w:rsid w:val="2E6F6584"/>
    <w:rsid w:val="2E7823B0"/>
    <w:rsid w:val="2E782484"/>
    <w:rsid w:val="2E933BCE"/>
    <w:rsid w:val="2E9C6490"/>
    <w:rsid w:val="2EA40069"/>
    <w:rsid w:val="2EA43279"/>
    <w:rsid w:val="2EAA3B87"/>
    <w:rsid w:val="2EB40380"/>
    <w:rsid w:val="2EB66E96"/>
    <w:rsid w:val="2EBC00D6"/>
    <w:rsid w:val="2EBC23A0"/>
    <w:rsid w:val="2ED31DB0"/>
    <w:rsid w:val="2EDC2A13"/>
    <w:rsid w:val="2EE50CB0"/>
    <w:rsid w:val="2EF22236"/>
    <w:rsid w:val="2EF532F9"/>
    <w:rsid w:val="2EF545DC"/>
    <w:rsid w:val="2EFA0191"/>
    <w:rsid w:val="2EFC22DC"/>
    <w:rsid w:val="2F336E4F"/>
    <w:rsid w:val="2F34284F"/>
    <w:rsid w:val="2F3D3E78"/>
    <w:rsid w:val="2F436846"/>
    <w:rsid w:val="2F4556CE"/>
    <w:rsid w:val="2F5B184C"/>
    <w:rsid w:val="2F6F3C93"/>
    <w:rsid w:val="2F716E21"/>
    <w:rsid w:val="2F723377"/>
    <w:rsid w:val="2F754A27"/>
    <w:rsid w:val="2F7A423F"/>
    <w:rsid w:val="2F830892"/>
    <w:rsid w:val="2F8349FB"/>
    <w:rsid w:val="2F937E7F"/>
    <w:rsid w:val="2FA32A00"/>
    <w:rsid w:val="2FB1448A"/>
    <w:rsid w:val="2FBF7029"/>
    <w:rsid w:val="2FC802AE"/>
    <w:rsid w:val="2FD03CC2"/>
    <w:rsid w:val="2FD11635"/>
    <w:rsid w:val="2FDC4B15"/>
    <w:rsid w:val="2FDF786F"/>
    <w:rsid w:val="2FEF2B24"/>
    <w:rsid w:val="2FFA6D56"/>
    <w:rsid w:val="30027B6C"/>
    <w:rsid w:val="30030176"/>
    <w:rsid w:val="300476ED"/>
    <w:rsid w:val="300F1B69"/>
    <w:rsid w:val="30135BCE"/>
    <w:rsid w:val="30197C97"/>
    <w:rsid w:val="301C41BF"/>
    <w:rsid w:val="302A75E0"/>
    <w:rsid w:val="303048F7"/>
    <w:rsid w:val="30323D63"/>
    <w:rsid w:val="30332B06"/>
    <w:rsid w:val="303474C0"/>
    <w:rsid w:val="30350DA4"/>
    <w:rsid w:val="303C233C"/>
    <w:rsid w:val="303D5733"/>
    <w:rsid w:val="30411EAD"/>
    <w:rsid w:val="30413123"/>
    <w:rsid w:val="304D0F72"/>
    <w:rsid w:val="30536BCF"/>
    <w:rsid w:val="305C41A9"/>
    <w:rsid w:val="30640F12"/>
    <w:rsid w:val="30820205"/>
    <w:rsid w:val="308626A0"/>
    <w:rsid w:val="308665CC"/>
    <w:rsid w:val="308E41B5"/>
    <w:rsid w:val="30952C59"/>
    <w:rsid w:val="30975EA4"/>
    <w:rsid w:val="309B4AFB"/>
    <w:rsid w:val="30AF7E29"/>
    <w:rsid w:val="30B25CE4"/>
    <w:rsid w:val="30B34C1F"/>
    <w:rsid w:val="30B56D3C"/>
    <w:rsid w:val="30BF65E7"/>
    <w:rsid w:val="30DB3B0A"/>
    <w:rsid w:val="30EB1A52"/>
    <w:rsid w:val="30EE0209"/>
    <w:rsid w:val="30EE6102"/>
    <w:rsid w:val="30FC01F6"/>
    <w:rsid w:val="30FF4D69"/>
    <w:rsid w:val="31000731"/>
    <w:rsid w:val="31031D74"/>
    <w:rsid w:val="3113559B"/>
    <w:rsid w:val="311566B0"/>
    <w:rsid w:val="311978DB"/>
    <w:rsid w:val="311C5E6A"/>
    <w:rsid w:val="312421F6"/>
    <w:rsid w:val="3127420C"/>
    <w:rsid w:val="312742A8"/>
    <w:rsid w:val="31277147"/>
    <w:rsid w:val="31477BEB"/>
    <w:rsid w:val="3151595D"/>
    <w:rsid w:val="315523B1"/>
    <w:rsid w:val="315F79F9"/>
    <w:rsid w:val="31653820"/>
    <w:rsid w:val="316F4055"/>
    <w:rsid w:val="31807ACD"/>
    <w:rsid w:val="318173F5"/>
    <w:rsid w:val="318318AF"/>
    <w:rsid w:val="318813EA"/>
    <w:rsid w:val="318D5D3B"/>
    <w:rsid w:val="318E2BCE"/>
    <w:rsid w:val="3192189F"/>
    <w:rsid w:val="31926E32"/>
    <w:rsid w:val="3198056E"/>
    <w:rsid w:val="31C83722"/>
    <w:rsid w:val="31C83EB4"/>
    <w:rsid w:val="31C97505"/>
    <w:rsid w:val="31CB6EDF"/>
    <w:rsid w:val="31CD31BF"/>
    <w:rsid w:val="31D26BE1"/>
    <w:rsid w:val="31D776FB"/>
    <w:rsid w:val="31DD064B"/>
    <w:rsid w:val="31E10F55"/>
    <w:rsid w:val="31EA5D85"/>
    <w:rsid w:val="31EF3571"/>
    <w:rsid w:val="31F40311"/>
    <w:rsid w:val="31FF2C2B"/>
    <w:rsid w:val="32017C4A"/>
    <w:rsid w:val="320B7F80"/>
    <w:rsid w:val="320F30FF"/>
    <w:rsid w:val="32102ED1"/>
    <w:rsid w:val="32107212"/>
    <w:rsid w:val="3219008D"/>
    <w:rsid w:val="321D798F"/>
    <w:rsid w:val="32203C87"/>
    <w:rsid w:val="32215B79"/>
    <w:rsid w:val="322241F2"/>
    <w:rsid w:val="3229379D"/>
    <w:rsid w:val="32294133"/>
    <w:rsid w:val="322D5AFA"/>
    <w:rsid w:val="32302007"/>
    <w:rsid w:val="3236742B"/>
    <w:rsid w:val="32375861"/>
    <w:rsid w:val="323D3EDB"/>
    <w:rsid w:val="324962A8"/>
    <w:rsid w:val="324B53E2"/>
    <w:rsid w:val="324E0C5E"/>
    <w:rsid w:val="32514C44"/>
    <w:rsid w:val="32544FB6"/>
    <w:rsid w:val="326821A5"/>
    <w:rsid w:val="32685C8B"/>
    <w:rsid w:val="328916BE"/>
    <w:rsid w:val="329478D0"/>
    <w:rsid w:val="32974C7A"/>
    <w:rsid w:val="329F26D5"/>
    <w:rsid w:val="32B865E1"/>
    <w:rsid w:val="32BB4ABE"/>
    <w:rsid w:val="32BD53ED"/>
    <w:rsid w:val="32C8549C"/>
    <w:rsid w:val="32CA16D9"/>
    <w:rsid w:val="32CB253C"/>
    <w:rsid w:val="32D33E51"/>
    <w:rsid w:val="32D34F70"/>
    <w:rsid w:val="32DB36D4"/>
    <w:rsid w:val="32DE69A8"/>
    <w:rsid w:val="32E53E60"/>
    <w:rsid w:val="32E82216"/>
    <w:rsid w:val="32E83928"/>
    <w:rsid w:val="32F45590"/>
    <w:rsid w:val="32FA3A3F"/>
    <w:rsid w:val="331337B2"/>
    <w:rsid w:val="331E4E33"/>
    <w:rsid w:val="33227B1F"/>
    <w:rsid w:val="333C5EC4"/>
    <w:rsid w:val="334720F0"/>
    <w:rsid w:val="335A65FC"/>
    <w:rsid w:val="337120CB"/>
    <w:rsid w:val="33773188"/>
    <w:rsid w:val="33792F26"/>
    <w:rsid w:val="337E77C9"/>
    <w:rsid w:val="338B4D67"/>
    <w:rsid w:val="338F53C2"/>
    <w:rsid w:val="33925662"/>
    <w:rsid w:val="339B7AA1"/>
    <w:rsid w:val="339C5609"/>
    <w:rsid w:val="33A361F5"/>
    <w:rsid w:val="33A51FC1"/>
    <w:rsid w:val="33AB50A9"/>
    <w:rsid w:val="33B72334"/>
    <w:rsid w:val="33B7637D"/>
    <w:rsid w:val="33BD5FB4"/>
    <w:rsid w:val="33C13C9E"/>
    <w:rsid w:val="33C20566"/>
    <w:rsid w:val="33C45055"/>
    <w:rsid w:val="33CF2E96"/>
    <w:rsid w:val="33D4661F"/>
    <w:rsid w:val="33DB2AA4"/>
    <w:rsid w:val="33EB402E"/>
    <w:rsid w:val="33ED39C2"/>
    <w:rsid w:val="33F16CCB"/>
    <w:rsid w:val="33F2572E"/>
    <w:rsid w:val="340A31F3"/>
    <w:rsid w:val="340F56DE"/>
    <w:rsid w:val="34190265"/>
    <w:rsid w:val="3425597D"/>
    <w:rsid w:val="342802EC"/>
    <w:rsid w:val="342A4FE9"/>
    <w:rsid w:val="342A5DF5"/>
    <w:rsid w:val="34337579"/>
    <w:rsid w:val="3442156A"/>
    <w:rsid w:val="34450045"/>
    <w:rsid w:val="344851FD"/>
    <w:rsid w:val="34553518"/>
    <w:rsid w:val="345909FE"/>
    <w:rsid w:val="345C4021"/>
    <w:rsid w:val="34645BE6"/>
    <w:rsid w:val="34767BE8"/>
    <w:rsid w:val="348D5C82"/>
    <w:rsid w:val="348E4AC2"/>
    <w:rsid w:val="34900F0B"/>
    <w:rsid w:val="3495331A"/>
    <w:rsid w:val="349B5E0E"/>
    <w:rsid w:val="34A176C9"/>
    <w:rsid w:val="34A2185B"/>
    <w:rsid w:val="34A35D81"/>
    <w:rsid w:val="34A432B6"/>
    <w:rsid w:val="34AA020B"/>
    <w:rsid w:val="34B057BD"/>
    <w:rsid w:val="34B17679"/>
    <w:rsid w:val="34BC17DA"/>
    <w:rsid w:val="34BD1010"/>
    <w:rsid w:val="34BD7A8F"/>
    <w:rsid w:val="34C47973"/>
    <w:rsid w:val="34C860D0"/>
    <w:rsid w:val="34C93886"/>
    <w:rsid w:val="34D015E3"/>
    <w:rsid w:val="34DD7A9E"/>
    <w:rsid w:val="34E81276"/>
    <w:rsid w:val="34EB3E0C"/>
    <w:rsid w:val="34EC3ED5"/>
    <w:rsid w:val="34ED3DC3"/>
    <w:rsid w:val="34F85DA8"/>
    <w:rsid w:val="350607AC"/>
    <w:rsid w:val="3506430C"/>
    <w:rsid w:val="3509398E"/>
    <w:rsid w:val="350C0D43"/>
    <w:rsid w:val="350C6675"/>
    <w:rsid w:val="35265A22"/>
    <w:rsid w:val="353178AD"/>
    <w:rsid w:val="353A14F3"/>
    <w:rsid w:val="35447EDF"/>
    <w:rsid w:val="35463030"/>
    <w:rsid w:val="3547266B"/>
    <w:rsid w:val="354B62D7"/>
    <w:rsid w:val="35507AD6"/>
    <w:rsid w:val="3552229B"/>
    <w:rsid w:val="3554479E"/>
    <w:rsid w:val="355620A6"/>
    <w:rsid w:val="35562720"/>
    <w:rsid w:val="35715B74"/>
    <w:rsid w:val="357A69BB"/>
    <w:rsid w:val="357D63E5"/>
    <w:rsid w:val="357F00D0"/>
    <w:rsid w:val="3586192A"/>
    <w:rsid w:val="35894506"/>
    <w:rsid w:val="358B7232"/>
    <w:rsid w:val="358F6C77"/>
    <w:rsid w:val="359F29EC"/>
    <w:rsid w:val="35A377DB"/>
    <w:rsid w:val="35AC4A89"/>
    <w:rsid w:val="35B65FF7"/>
    <w:rsid w:val="35C44A8D"/>
    <w:rsid w:val="35CC69A3"/>
    <w:rsid w:val="35D97CAC"/>
    <w:rsid w:val="35DE0817"/>
    <w:rsid w:val="35E52AF5"/>
    <w:rsid w:val="35E6573F"/>
    <w:rsid w:val="35E7387F"/>
    <w:rsid w:val="35E81F7A"/>
    <w:rsid w:val="35F52BF3"/>
    <w:rsid w:val="35F87AA4"/>
    <w:rsid w:val="36041802"/>
    <w:rsid w:val="360530D8"/>
    <w:rsid w:val="3605698A"/>
    <w:rsid w:val="361231BE"/>
    <w:rsid w:val="36162F1C"/>
    <w:rsid w:val="362A7526"/>
    <w:rsid w:val="36314E3B"/>
    <w:rsid w:val="363277D2"/>
    <w:rsid w:val="363505F5"/>
    <w:rsid w:val="36361B1F"/>
    <w:rsid w:val="3654712C"/>
    <w:rsid w:val="365A3EE1"/>
    <w:rsid w:val="366244D5"/>
    <w:rsid w:val="36683C05"/>
    <w:rsid w:val="366C0B20"/>
    <w:rsid w:val="366C3DA9"/>
    <w:rsid w:val="367C249E"/>
    <w:rsid w:val="368301C7"/>
    <w:rsid w:val="368A643F"/>
    <w:rsid w:val="368F357B"/>
    <w:rsid w:val="36A82C1D"/>
    <w:rsid w:val="36B34449"/>
    <w:rsid w:val="36B91ADD"/>
    <w:rsid w:val="36BD154A"/>
    <w:rsid w:val="36C342D9"/>
    <w:rsid w:val="36C3654A"/>
    <w:rsid w:val="36D34298"/>
    <w:rsid w:val="36E54DB4"/>
    <w:rsid w:val="36E611B4"/>
    <w:rsid w:val="36EE39A2"/>
    <w:rsid w:val="36F40A0E"/>
    <w:rsid w:val="370E481D"/>
    <w:rsid w:val="370F2115"/>
    <w:rsid w:val="370F2E93"/>
    <w:rsid w:val="370F32ED"/>
    <w:rsid w:val="37110AEF"/>
    <w:rsid w:val="37223E78"/>
    <w:rsid w:val="3729732C"/>
    <w:rsid w:val="374E35E0"/>
    <w:rsid w:val="37560CC6"/>
    <w:rsid w:val="376A670D"/>
    <w:rsid w:val="376E331C"/>
    <w:rsid w:val="377115E0"/>
    <w:rsid w:val="37826121"/>
    <w:rsid w:val="378D0CEB"/>
    <w:rsid w:val="379A026D"/>
    <w:rsid w:val="37A2207E"/>
    <w:rsid w:val="37A2434F"/>
    <w:rsid w:val="37A96F98"/>
    <w:rsid w:val="37BC7885"/>
    <w:rsid w:val="37BE493A"/>
    <w:rsid w:val="37CF580A"/>
    <w:rsid w:val="37E0252B"/>
    <w:rsid w:val="37E1231B"/>
    <w:rsid w:val="37E220A8"/>
    <w:rsid w:val="37ED32C0"/>
    <w:rsid w:val="37ED6D6E"/>
    <w:rsid w:val="37FB65FF"/>
    <w:rsid w:val="37FF7856"/>
    <w:rsid w:val="38043829"/>
    <w:rsid w:val="380A05F1"/>
    <w:rsid w:val="380C3B20"/>
    <w:rsid w:val="3811299F"/>
    <w:rsid w:val="3813029C"/>
    <w:rsid w:val="3825542A"/>
    <w:rsid w:val="383A29EE"/>
    <w:rsid w:val="38417D8A"/>
    <w:rsid w:val="38422CE2"/>
    <w:rsid w:val="38464281"/>
    <w:rsid w:val="38511BBA"/>
    <w:rsid w:val="385438E8"/>
    <w:rsid w:val="386D0B7F"/>
    <w:rsid w:val="386E21B0"/>
    <w:rsid w:val="38765C86"/>
    <w:rsid w:val="388B6865"/>
    <w:rsid w:val="388F6D48"/>
    <w:rsid w:val="38972A17"/>
    <w:rsid w:val="38AD71CE"/>
    <w:rsid w:val="38AE496C"/>
    <w:rsid w:val="38B54D45"/>
    <w:rsid w:val="38B7072B"/>
    <w:rsid w:val="38C414A2"/>
    <w:rsid w:val="38C864EB"/>
    <w:rsid w:val="38D242CD"/>
    <w:rsid w:val="38DC6FB6"/>
    <w:rsid w:val="38E946AA"/>
    <w:rsid w:val="38F26457"/>
    <w:rsid w:val="39021924"/>
    <w:rsid w:val="391762C0"/>
    <w:rsid w:val="391A19D4"/>
    <w:rsid w:val="3922196A"/>
    <w:rsid w:val="39324B9F"/>
    <w:rsid w:val="393958EC"/>
    <w:rsid w:val="393E0C7A"/>
    <w:rsid w:val="39470BCD"/>
    <w:rsid w:val="39821F75"/>
    <w:rsid w:val="3986013E"/>
    <w:rsid w:val="398B5520"/>
    <w:rsid w:val="398C3DB7"/>
    <w:rsid w:val="398E756A"/>
    <w:rsid w:val="399033F2"/>
    <w:rsid w:val="39A27A80"/>
    <w:rsid w:val="39A54F6F"/>
    <w:rsid w:val="39AB6275"/>
    <w:rsid w:val="39AE6463"/>
    <w:rsid w:val="39B63539"/>
    <w:rsid w:val="39C52E4C"/>
    <w:rsid w:val="39E17621"/>
    <w:rsid w:val="39F227B1"/>
    <w:rsid w:val="3A0D6176"/>
    <w:rsid w:val="3A151290"/>
    <w:rsid w:val="3A201663"/>
    <w:rsid w:val="3A20200C"/>
    <w:rsid w:val="3A292038"/>
    <w:rsid w:val="3A4D07E7"/>
    <w:rsid w:val="3A524E6B"/>
    <w:rsid w:val="3A5E4DE2"/>
    <w:rsid w:val="3A63511E"/>
    <w:rsid w:val="3A654204"/>
    <w:rsid w:val="3A656D44"/>
    <w:rsid w:val="3A714D54"/>
    <w:rsid w:val="3A7164C9"/>
    <w:rsid w:val="3A762A49"/>
    <w:rsid w:val="3A826354"/>
    <w:rsid w:val="3A9D28F5"/>
    <w:rsid w:val="3AA21B83"/>
    <w:rsid w:val="3AB53AE3"/>
    <w:rsid w:val="3AB80239"/>
    <w:rsid w:val="3ABA012D"/>
    <w:rsid w:val="3ACD0EA1"/>
    <w:rsid w:val="3ACD43C9"/>
    <w:rsid w:val="3AFF2C64"/>
    <w:rsid w:val="3B0021FC"/>
    <w:rsid w:val="3B1E4609"/>
    <w:rsid w:val="3B2125FB"/>
    <w:rsid w:val="3B253435"/>
    <w:rsid w:val="3B2B107F"/>
    <w:rsid w:val="3B2F69DB"/>
    <w:rsid w:val="3B5E1380"/>
    <w:rsid w:val="3B6E0A5C"/>
    <w:rsid w:val="3B6F0E10"/>
    <w:rsid w:val="3B79226F"/>
    <w:rsid w:val="3B8B34BF"/>
    <w:rsid w:val="3B8C57C0"/>
    <w:rsid w:val="3B904834"/>
    <w:rsid w:val="3B932344"/>
    <w:rsid w:val="3B963B4D"/>
    <w:rsid w:val="3B9B2E63"/>
    <w:rsid w:val="3B9D20F5"/>
    <w:rsid w:val="3BA24FE4"/>
    <w:rsid w:val="3BA96372"/>
    <w:rsid w:val="3BAE2DD1"/>
    <w:rsid w:val="3BB33F88"/>
    <w:rsid w:val="3BBD1E1E"/>
    <w:rsid w:val="3BBE57EB"/>
    <w:rsid w:val="3BCA60AA"/>
    <w:rsid w:val="3BD81B44"/>
    <w:rsid w:val="3BD91520"/>
    <w:rsid w:val="3BD93153"/>
    <w:rsid w:val="3BDA6996"/>
    <w:rsid w:val="3BF15E34"/>
    <w:rsid w:val="3BFD6DFF"/>
    <w:rsid w:val="3C0A3047"/>
    <w:rsid w:val="3C234543"/>
    <w:rsid w:val="3C2D2B00"/>
    <w:rsid w:val="3C2E50FB"/>
    <w:rsid w:val="3C355E58"/>
    <w:rsid w:val="3C37637A"/>
    <w:rsid w:val="3C3A6FCB"/>
    <w:rsid w:val="3C4A12AD"/>
    <w:rsid w:val="3C5125FC"/>
    <w:rsid w:val="3C577B7C"/>
    <w:rsid w:val="3C5D4C2E"/>
    <w:rsid w:val="3C6329C5"/>
    <w:rsid w:val="3C690ECB"/>
    <w:rsid w:val="3C6F3118"/>
    <w:rsid w:val="3C794420"/>
    <w:rsid w:val="3C7A7072"/>
    <w:rsid w:val="3C860AC6"/>
    <w:rsid w:val="3C8666B4"/>
    <w:rsid w:val="3C8B02A4"/>
    <w:rsid w:val="3C910731"/>
    <w:rsid w:val="3C953A7D"/>
    <w:rsid w:val="3C960BC8"/>
    <w:rsid w:val="3C9848A1"/>
    <w:rsid w:val="3C9B05BB"/>
    <w:rsid w:val="3CA32DC2"/>
    <w:rsid w:val="3CA45F54"/>
    <w:rsid w:val="3CA509B7"/>
    <w:rsid w:val="3CA509D1"/>
    <w:rsid w:val="3CA60705"/>
    <w:rsid w:val="3CA64660"/>
    <w:rsid w:val="3CB43F0C"/>
    <w:rsid w:val="3CB925E5"/>
    <w:rsid w:val="3CD00A9F"/>
    <w:rsid w:val="3CD537E6"/>
    <w:rsid w:val="3CD93879"/>
    <w:rsid w:val="3CE728EF"/>
    <w:rsid w:val="3CE93C13"/>
    <w:rsid w:val="3CF176C2"/>
    <w:rsid w:val="3CF90C34"/>
    <w:rsid w:val="3D2571D3"/>
    <w:rsid w:val="3D29787E"/>
    <w:rsid w:val="3D3074C1"/>
    <w:rsid w:val="3D317B2F"/>
    <w:rsid w:val="3D447D03"/>
    <w:rsid w:val="3D483969"/>
    <w:rsid w:val="3D4B33D2"/>
    <w:rsid w:val="3D5D0A53"/>
    <w:rsid w:val="3D6A16ED"/>
    <w:rsid w:val="3D74650C"/>
    <w:rsid w:val="3D7A2818"/>
    <w:rsid w:val="3D7D2F47"/>
    <w:rsid w:val="3D7D3613"/>
    <w:rsid w:val="3D8106EA"/>
    <w:rsid w:val="3D824D66"/>
    <w:rsid w:val="3D834DF8"/>
    <w:rsid w:val="3D9D5CD1"/>
    <w:rsid w:val="3DA352B1"/>
    <w:rsid w:val="3DAB05DD"/>
    <w:rsid w:val="3DB01EC2"/>
    <w:rsid w:val="3DBA258D"/>
    <w:rsid w:val="3DBA61E7"/>
    <w:rsid w:val="3DBD544C"/>
    <w:rsid w:val="3DBE59FA"/>
    <w:rsid w:val="3DBF6E87"/>
    <w:rsid w:val="3DC804B6"/>
    <w:rsid w:val="3DCB062B"/>
    <w:rsid w:val="3DCC59CC"/>
    <w:rsid w:val="3DD55956"/>
    <w:rsid w:val="3DD61616"/>
    <w:rsid w:val="3DE046DB"/>
    <w:rsid w:val="3DE178E4"/>
    <w:rsid w:val="3DE23C90"/>
    <w:rsid w:val="3DF7051E"/>
    <w:rsid w:val="3DFC4E1B"/>
    <w:rsid w:val="3E100FFC"/>
    <w:rsid w:val="3E127062"/>
    <w:rsid w:val="3E1D4BD2"/>
    <w:rsid w:val="3E201534"/>
    <w:rsid w:val="3E216B4D"/>
    <w:rsid w:val="3E44071E"/>
    <w:rsid w:val="3E442382"/>
    <w:rsid w:val="3E46321B"/>
    <w:rsid w:val="3E4E3A85"/>
    <w:rsid w:val="3E58620C"/>
    <w:rsid w:val="3E5E7A6F"/>
    <w:rsid w:val="3E651EE9"/>
    <w:rsid w:val="3E6842C3"/>
    <w:rsid w:val="3E70638E"/>
    <w:rsid w:val="3E784A78"/>
    <w:rsid w:val="3E8554F5"/>
    <w:rsid w:val="3E894239"/>
    <w:rsid w:val="3E992917"/>
    <w:rsid w:val="3E9E1A93"/>
    <w:rsid w:val="3EA51CD6"/>
    <w:rsid w:val="3EAE3E2C"/>
    <w:rsid w:val="3EB65E71"/>
    <w:rsid w:val="3EC33032"/>
    <w:rsid w:val="3EC61DB3"/>
    <w:rsid w:val="3ECA2B53"/>
    <w:rsid w:val="3ED97772"/>
    <w:rsid w:val="3EDE27D7"/>
    <w:rsid w:val="3EF62661"/>
    <w:rsid w:val="3F033DBB"/>
    <w:rsid w:val="3F1A775E"/>
    <w:rsid w:val="3F2301EA"/>
    <w:rsid w:val="3F31220A"/>
    <w:rsid w:val="3F335BF6"/>
    <w:rsid w:val="3F3668C7"/>
    <w:rsid w:val="3F3C595E"/>
    <w:rsid w:val="3F42509A"/>
    <w:rsid w:val="3F47037C"/>
    <w:rsid w:val="3F4D1BE0"/>
    <w:rsid w:val="3F5565A1"/>
    <w:rsid w:val="3F59346C"/>
    <w:rsid w:val="3F5E3FC7"/>
    <w:rsid w:val="3F6152C7"/>
    <w:rsid w:val="3F657308"/>
    <w:rsid w:val="3F7856B5"/>
    <w:rsid w:val="3F7970EE"/>
    <w:rsid w:val="3F8003ED"/>
    <w:rsid w:val="3F80388E"/>
    <w:rsid w:val="3F823162"/>
    <w:rsid w:val="3F8A3EEF"/>
    <w:rsid w:val="3FA94649"/>
    <w:rsid w:val="3FB55F3F"/>
    <w:rsid w:val="3FBA27C2"/>
    <w:rsid w:val="3FBC79BD"/>
    <w:rsid w:val="3FC519F7"/>
    <w:rsid w:val="3FD0326B"/>
    <w:rsid w:val="3FD34D1A"/>
    <w:rsid w:val="3FE1257F"/>
    <w:rsid w:val="3FED63B1"/>
    <w:rsid w:val="3FEF1AEF"/>
    <w:rsid w:val="3FF01019"/>
    <w:rsid w:val="3FF04082"/>
    <w:rsid w:val="40031733"/>
    <w:rsid w:val="400718BA"/>
    <w:rsid w:val="40076D3D"/>
    <w:rsid w:val="400A2138"/>
    <w:rsid w:val="401F65F0"/>
    <w:rsid w:val="40342736"/>
    <w:rsid w:val="404470DB"/>
    <w:rsid w:val="404C2292"/>
    <w:rsid w:val="405435BD"/>
    <w:rsid w:val="405D572D"/>
    <w:rsid w:val="406C2F40"/>
    <w:rsid w:val="407E7B1F"/>
    <w:rsid w:val="40846D63"/>
    <w:rsid w:val="408D1EA0"/>
    <w:rsid w:val="408E2DBF"/>
    <w:rsid w:val="4095044F"/>
    <w:rsid w:val="40982E53"/>
    <w:rsid w:val="409A08EC"/>
    <w:rsid w:val="409A799C"/>
    <w:rsid w:val="409D2A1A"/>
    <w:rsid w:val="40A354EF"/>
    <w:rsid w:val="40A752D1"/>
    <w:rsid w:val="40B21FB5"/>
    <w:rsid w:val="40B95E2E"/>
    <w:rsid w:val="40C17F9E"/>
    <w:rsid w:val="40C43B66"/>
    <w:rsid w:val="40D01AC5"/>
    <w:rsid w:val="40E247F7"/>
    <w:rsid w:val="40E41474"/>
    <w:rsid w:val="40E66AF1"/>
    <w:rsid w:val="40EE5966"/>
    <w:rsid w:val="40FA444D"/>
    <w:rsid w:val="40FE6AE6"/>
    <w:rsid w:val="41097827"/>
    <w:rsid w:val="410F1967"/>
    <w:rsid w:val="41181A1B"/>
    <w:rsid w:val="41232723"/>
    <w:rsid w:val="41335FC7"/>
    <w:rsid w:val="413E4441"/>
    <w:rsid w:val="414240CA"/>
    <w:rsid w:val="41447F2C"/>
    <w:rsid w:val="414A4154"/>
    <w:rsid w:val="414B44BA"/>
    <w:rsid w:val="414C5CE7"/>
    <w:rsid w:val="415978C8"/>
    <w:rsid w:val="415C1B4D"/>
    <w:rsid w:val="41684243"/>
    <w:rsid w:val="41767726"/>
    <w:rsid w:val="417843F2"/>
    <w:rsid w:val="418A1799"/>
    <w:rsid w:val="419862B4"/>
    <w:rsid w:val="419E7FFC"/>
    <w:rsid w:val="41A30B2B"/>
    <w:rsid w:val="41A61C3F"/>
    <w:rsid w:val="41B17185"/>
    <w:rsid w:val="41C619F5"/>
    <w:rsid w:val="41CF6407"/>
    <w:rsid w:val="41E32407"/>
    <w:rsid w:val="41F05895"/>
    <w:rsid w:val="4200300E"/>
    <w:rsid w:val="420155A5"/>
    <w:rsid w:val="420B3B41"/>
    <w:rsid w:val="420C70DA"/>
    <w:rsid w:val="42160B59"/>
    <w:rsid w:val="421E48EB"/>
    <w:rsid w:val="4226611D"/>
    <w:rsid w:val="42370B89"/>
    <w:rsid w:val="4252208C"/>
    <w:rsid w:val="425402BB"/>
    <w:rsid w:val="42564ADA"/>
    <w:rsid w:val="425C471A"/>
    <w:rsid w:val="42651FF6"/>
    <w:rsid w:val="427456AF"/>
    <w:rsid w:val="42747A95"/>
    <w:rsid w:val="42796D45"/>
    <w:rsid w:val="427E52C8"/>
    <w:rsid w:val="42841878"/>
    <w:rsid w:val="42845443"/>
    <w:rsid w:val="4299542A"/>
    <w:rsid w:val="429A1379"/>
    <w:rsid w:val="429E1B22"/>
    <w:rsid w:val="42A3428D"/>
    <w:rsid w:val="42A53954"/>
    <w:rsid w:val="42AC04E8"/>
    <w:rsid w:val="42D737C5"/>
    <w:rsid w:val="42DC2E15"/>
    <w:rsid w:val="42EB2C90"/>
    <w:rsid w:val="42FA6BD0"/>
    <w:rsid w:val="42FB4E01"/>
    <w:rsid w:val="4301447C"/>
    <w:rsid w:val="4301585B"/>
    <w:rsid w:val="43017026"/>
    <w:rsid w:val="43067C6F"/>
    <w:rsid w:val="430A6E09"/>
    <w:rsid w:val="43145EC4"/>
    <w:rsid w:val="43177F8E"/>
    <w:rsid w:val="43183E1C"/>
    <w:rsid w:val="431B31A4"/>
    <w:rsid w:val="431C742A"/>
    <w:rsid w:val="43325808"/>
    <w:rsid w:val="433E1CAF"/>
    <w:rsid w:val="43412297"/>
    <w:rsid w:val="43413ED4"/>
    <w:rsid w:val="43594499"/>
    <w:rsid w:val="43636C3F"/>
    <w:rsid w:val="4364610B"/>
    <w:rsid w:val="436E5353"/>
    <w:rsid w:val="436F1C50"/>
    <w:rsid w:val="438073DF"/>
    <w:rsid w:val="438903A1"/>
    <w:rsid w:val="439D6340"/>
    <w:rsid w:val="43A318F9"/>
    <w:rsid w:val="43B65AD0"/>
    <w:rsid w:val="43C76BF5"/>
    <w:rsid w:val="43D5445C"/>
    <w:rsid w:val="43D566F2"/>
    <w:rsid w:val="43E7666E"/>
    <w:rsid w:val="43E776E4"/>
    <w:rsid w:val="43EA39CC"/>
    <w:rsid w:val="43F94FC9"/>
    <w:rsid w:val="43FD7280"/>
    <w:rsid w:val="440915E3"/>
    <w:rsid w:val="441532B2"/>
    <w:rsid w:val="4416068C"/>
    <w:rsid w:val="44187FD3"/>
    <w:rsid w:val="441C5530"/>
    <w:rsid w:val="441C5686"/>
    <w:rsid w:val="441D4489"/>
    <w:rsid w:val="441E55BD"/>
    <w:rsid w:val="442073EE"/>
    <w:rsid w:val="44210030"/>
    <w:rsid w:val="442C59F4"/>
    <w:rsid w:val="442C5CE7"/>
    <w:rsid w:val="442F2679"/>
    <w:rsid w:val="443D4BB3"/>
    <w:rsid w:val="443F7EE3"/>
    <w:rsid w:val="44477A7A"/>
    <w:rsid w:val="445A5900"/>
    <w:rsid w:val="44620AD6"/>
    <w:rsid w:val="44711AA3"/>
    <w:rsid w:val="44740CBF"/>
    <w:rsid w:val="44797398"/>
    <w:rsid w:val="448F2EF2"/>
    <w:rsid w:val="44A72CB4"/>
    <w:rsid w:val="44D243AA"/>
    <w:rsid w:val="44D82DAD"/>
    <w:rsid w:val="44DC0CFE"/>
    <w:rsid w:val="44DC4FCA"/>
    <w:rsid w:val="44E15547"/>
    <w:rsid w:val="44EA12B2"/>
    <w:rsid w:val="44EE00E1"/>
    <w:rsid w:val="44FD1C6D"/>
    <w:rsid w:val="45036AF3"/>
    <w:rsid w:val="45051DF1"/>
    <w:rsid w:val="45074F31"/>
    <w:rsid w:val="451231AD"/>
    <w:rsid w:val="451B5631"/>
    <w:rsid w:val="452122B5"/>
    <w:rsid w:val="452403A4"/>
    <w:rsid w:val="452A5654"/>
    <w:rsid w:val="453E4B66"/>
    <w:rsid w:val="453F207E"/>
    <w:rsid w:val="454276A8"/>
    <w:rsid w:val="45465AD9"/>
    <w:rsid w:val="45517B8C"/>
    <w:rsid w:val="45570BD9"/>
    <w:rsid w:val="45592BB7"/>
    <w:rsid w:val="456200C6"/>
    <w:rsid w:val="4567620B"/>
    <w:rsid w:val="456F23DB"/>
    <w:rsid w:val="45725EED"/>
    <w:rsid w:val="45735467"/>
    <w:rsid w:val="4577723A"/>
    <w:rsid w:val="457A6C83"/>
    <w:rsid w:val="457F306C"/>
    <w:rsid w:val="4588349D"/>
    <w:rsid w:val="45951B1A"/>
    <w:rsid w:val="4597548E"/>
    <w:rsid w:val="45A31600"/>
    <w:rsid w:val="45E526C2"/>
    <w:rsid w:val="45E95D93"/>
    <w:rsid w:val="45EF4AA8"/>
    <w:rsid w:val="45EF5694"/>
    <w:rsid w:val="45F14B9E"/>
    <w:rsid w:val="45F32D75"/>
    <w:rsid w:val="45F86B49"/>
    <w:rsid w:val="45FA0BA4"/>
    <w:rsid w:val="45FE4441"/>
    <w:rsid w:val="460934CE"/>
    <w:rsid w:val="460E6F64"/>
    <w:rsid w:val="461A7582"/>
    <w:rsid w:val="461F685B"/>
    <w:rsid w:val="46250DAB"/>
    <w:rsid w:val="46325B00"/>
    <w:rsid w:val="46337B1E"/>
    <w:rsid w:val="463A35BA"/>
    <w:rsid w:val="46405B25"/>
    <w:rsid w:val="464478D6"/>
    <w:rsid w:val="464F2965"/>
    <w:rsid w:val="46537026"/>
    <w:rsid w:val="46594972"/>
    <w:rsid w:val="46666A6B"/>
    <w:rsid w:val="46742394"/>
    <w:rsid w:val="46763AFA"/>
    <w:rsid w:val="46824319"/>
    <w:rsid w:val="469129BF"/>
    <w:rsid w:val="469438D3"/>
    <w:rsid w:val="46971BE9"/>
    <w:rsid w:val="46974EA3"/>
    <w:rsid w:val="46A86AC5"/>
    <w:rsid w:val="46AF0ACC"/>
    <w:rsid w:val="46B95C81"/>
    <w:rsid w:val="46C71DA3"/>
    <w:rsid w:val="46CD2EA3"/>
    <w:rsid w:val="46D3184D"/>
    <w:rsid w:val="46E33C2A"/>
    <w:rsid w:val="46EB5C2E"/>
    <w:rsid w:val="46F808FB"/>
    <w:rsid w:val="46FD4E10"/>
    <w:rsid w:val="47044DA5"/>
    <w:rsid w:val="470E79D1"/>
    <w:rsid w:val="47150D60"/>
    <w:rsid w:val="47191F43"/>
    <w:rsid w:val="471B210D"/>
    <w:rsid w:val="47202ED1"/>
    <w:rsid w:val="47330BB1"/>
    <w:rsid w:val="473339DD"/>
    <w:rsid w:val="473D0510"/>
    <w:rsid w:val="474340E1"/>
    <w:rsid w:val="4754737E"/>
    <w:rsid w:val="47622DD8"/>
    <w:rsid w:val="476870E2"/>
    <w:rsid w:val="476D7810"/>
    <w:rsid w:val="476E1BD6"/>
    <w:rsid w:val="476E5DEA"/>
    <w:rsid w:val="47757377"/>
    <w:rsid w:val="4776246C"/>
    <w:rsid w:val="47783472"/>
    <w:rsid w:val="47914A33"/>
    <w:rsid w:val="4795206D"/>
    <w:rsid w:val="479B0044"/>
    <w:rsid w:val="479C10BC"/>
    <w:rsid w:val="47A20079"/>
    <w:rsid w:val="47A4380D"/>
    <w:rsid w:val="47A6297A"/>
    <w:rsid w:val="47A762A3"/>
    <w:rsid w:val="47B35BF8"/>
    <w:rsid w:val="47B74637"/>
    <w:rsid w:val="47BB36B5"/>
    <w:rsid w:val="47C041C7"/>
    <w:rsid w:val="47CB4E60"/>
    <w:rsid w:val="47CD1E0C"/>
    <w:rsid w:val="47D964DB"/>
    <w:rsid w:val="47E80862"/>
    <w:rsid w:val="47EE38F1"/>
    <w:rsid w:val="47FC33A5"/>
    <w:rsid w:val="48012A31"/>
    <w:rsid w:val="481C30AE"/>
    <w:rsid w:val="481D4366"/>
    <w:rsid w:val="481E5F6E"/>
    <w:rsid w:val="483F715F"/>
    <w:rsid w:val="484336AB"/>
    <w:rsid w:val="4845350C"/>
    <w:rsid w:val="4854729D"/>
    <w:rsid w:val="48561B07"/>
    <w:rsid w:val="485803F1"/>
    <w:rsid w:val="485E2E16"/>
    <w:rsid w:val="4865215C"/>
    <w:rsid w:val="48662544"/>
    <w:rsid w:val="486942C4"/>
    <w:rsid w:val="487B552A"/>
    <w:rsid w:val="48842F37"/>
    <w:rsid w:val="488C6E00"/>
    <w:rsid w:val="488D0CB5"/>
    <w:rsid w:val="489545B8"/>
    <w:rsid w:val="48996690"/>
    <w:rsid w:val="48A6278A"/>
    <w:rsid w:val="48AB0368"/>
    <w:rsid w:val="48B05292"/>
    <w:rsid w:val="48B33700"/>
    <w:rsid w:val="48B971DC"/>
    <w:rsid w:val="48C54A9C"/>
    <w:rsid w:val="48CE2BF3"/>
    <w:rsid w:val="48D4605A"/>
    <w:rsid w:val="48EF6487"/>
    <w:rsid w:val="48F556EA"/>
    <w:rsid w:val="49000F08"/>
    <w:rsid w:val="490010B1"/>
    <w:rsid w:val="491946D3"/>
    <w:rsid w:val="4924047E"/>
    <w:rsid w:val="4924100D"/>
    <w:rsid w:val="49276380"/>
    <w:rsid w:val="49332242"/>
    <w:rsid w:val="49412DB9"/>
    <w:rsid w:val="4948117F"/>
    <w:rsid w:val="494B0B0D"/>
    <w:rsid w:val="49772FCC"/>
    <w:rsid w:val="497C63CA"/>
    <w:rsid w:val="497E20AD"/>
    <w:rsid w:val="49820EB7"/>
    <w:rsid w:val="498C0E72"/>
    <w:rsid w:val="498E4B73"/>
    <w:rsid w:val="49920053"/>
    <w:rsid w:val="499416E9"/>
    <w:rsid w:val="499B7FDA"/>
    <w:rsid w:val="49A503F7"/>
    <w:rsid w:val="49A637DE"/>
    <w:rsid w:val="49A63EAD"/>
    <w:rsid w:val="49AA31C8"/>
    <w:rsid w:val="49B4166E"/>
    <w:rsid w:val="49B9098C"/>
    <w:rsid w:val="49BA2C9E"/>
    <w:rsid w:val="49BE14BC"/>
    <w:rsid w:val="49C42ED0"/>
    <w:rsid w:val="49C51673"/>
    <w:rsid w:val="49C72439"/>
    <w:rsid w:val="49D51633"/>
    <w:rsid w:val="49D86805"/>
    <w:rsid w:val="49EB3E49"/>
    <w:rsid w:val="49F72310"/>
    <w:rsid w:val="49FD2EE4"/>
    <w:rsid w:val="4A0B4FDE"/>
    <w:rsid w:val="4A0E4738"/>
    <w:rsid w:val="4A1D0657"/>
    <w:rsid w:val="4A1E7F2C"/>
    <w:rsid w:val="4A343D11"/>
    <w:rsid w:val="4A44591C"/>
    <w:rsid w:val="4A497D35"/>
    <w:rsid w:val="4A4B51BD"/>
    <w:rsid w:val="4A600D89"/>
    <w:rsid w:val="4A68646C"/>
    <w:rsid w:val="4A725603"/>
    <w:rsid w:val="4A8A37D8"/>
    <w:rsid w:val="4A8A64F2"/>
    <w:rsid w:val="4A8B4AB2"/>
    <w:rsid w:val="4A91747E"/>
    <w:rsid w:val="4AA132CF"/>
    <w:rsid w:val="4AB443EC"/>
    <w:rsid w:val="4AB80380"/>
    <w:rsid w:val="4ABE300E"/>
    <w:rsid w:val="4AD1058E"/>
    <w:rsid w:val="4AD24DB9"/>
    <w:rsid w:val="4AD9595B"/>
    <w:rsid w:val="4AE97387"/>
    <w:rsid w:val="4AF6154C"/>
    <w:rsid w:val="4AF93EAE"/>
    <w:rsid w:val="4AFB4DF4"/>
    <w:rsid w:val="4B09580F"/>
    <w:rsid w:val="4B25129D"/>
    <w:rsid w:val="4B2A085F"/>
    <w:rsid w:val="4B311212"/>
    <w:rsid w:val="4B35552D"/>
    <w:rsid w:val="4B373C21"/>
    <w:rsid w:val="4B3A2B43"/>
    <w:rsid w:val="4B3E6720"/>
    <w:rsid w:val="4B43535A"/>
    <w:rsid w:val="4B4657C3"/>
    <w:rsid w:val="4B476348"/>
    <w:rsid w:val="4B4E5C51"/>
    <w:rsid w:val="4B557D83"/>
    <w:rsid w:val="4B58574A"/>
    <w:rsid w:val="4B625BF7"/>
    <w:rsid w:val="4B72052F"/>
    <w:rsid w:val="4B753465"/>
    <w:rsid w:val="4B770921"/>
    <w:rsid w:val="4B7E5905"/>
    <w:rsid w:val="4B7F01A8"/>
    <w:rsid w:val="4B916EFB"/>
    <w:rsid w:val="4BA50B50"/>
    <w:rsid w:val="4BB21AF4"/>
    <w:rsid w:val="4BB54107"/>
    <w:rsid w:val="4BB67EEE"/>
    <w:rsid w:val="4BBF74EC"/>
    <w:rsid w:val="4BC471E7"/>
    <w:rsid w:val="4BD13DC6"/>
    <w:rsid w:val="4BD17814"/>
    <w:rsid w:val="4BD56C6B"/>
    <w:rsid w:val="4BDC5109"/>
    <w:rsid w:val="4BE3525A"/>
    <w:rsid w:val="4BE84FA7"/>
    <w:rsid w:val="4BEB6BB7"/>
    <w:rsid w:val="4BF47157"/>
    <w:rsid w:val="4BF70C92"/>
    <w:rsid w:val="4BFD0513"/>
    <w:rsid w:val="4C005E77"/>
    <w:rsid w:val="4C12167A"/>
    <w:rsid w:val="4C1A02C6"/>
    <w:rsid w:val="4C2B76C1"/>
    <w:rsid w:val="4C2C20BE"/>
    <w:rsid w:val="4C3B40FC"/>
    <w:rsid w:val="4C5419A1"/>
    <w:rsid w:val="4C5429A3"/>
    <w:rsid w:val="4C5B4A15"/>
    <w:rsid w:val="4C63256E"/>
    <w:rsid w:val="4C6359CC"/>
    <w:rsid w:val="4C645A11"/>
    <w:rsid w:val="4C72089C"/>
    <w:rsid w:val="4C87254B"/>
    <w:rsid w:val="4C8B3377"/>
    <w:rsid w:val="4CA3114C"/>
    <w:rsid w:val="4CB23241"/>
    <w:rsid w:val="4CC23630"/>
    <w:rsid w:val="4CC37EEC"/>
    <w:rsid w:val="4CCF6490"/>
    <w:rsid w:val="4CD372EF"/>
    <w:rsid w:val="4CDE4416"/>
    <w:rsid w:val="4CE85842"/>
    <w:rsid w:val="4CEB6F02"/>
    <w:rsid w:val="4D082D34"/>
    <w:rsid w:val="4D0A20A2"/>
    <w:rsid w:val="4D125246"/>
    <w:rsid w:val="4D18687A"/>
    <w:rsid w:val="4D1C2C8C"/>
    <w:rsid w:val="4D1E77BE"/>
    <w:rsid w:val="4D245FC5"/>
    <w:rsid w:val="4D284B29"/>
    <w:rsid w:val="4D2B3B2C"/>
    <w:rsid w:val="4D306D29"/>
    <w:rsid w:val="4D701CF6"/>
    <w:rsid w:val="4D8051B1"/>
    <w:rsid w:val="4D891815"/>
    <w:rsid w:val="4D922EE6"/>
    <w:rsid w:val="4D9D7215"/>
    <w:rsid w:val="4DA26DDA"/>
    <w:rsid w:val="4DA82AC3"/>
    <w:rsid w:val="4DA943B0"/>
    <w:rsid w:val="4DB75561"/>
    <w:rsid w:val="4DC515BB"/>
    <w:rsid w:val="4DCB5984"/>
    <w:rsid w:val="4DCF7EBB"/>
    <w:rsid w:val="4DD12D30"/>
    <w:rsid w:val="4DD64458"/>
    <w:rsid w:val="4DDD243C"/>
    <w:rsid w:val="4DEC5891"/>
    <w:rsid w:val="4DF21B22"/>
    <w:rsid w:val="4E061402"/>
    <w:rsid w:val="4E135BFA"/>
    <w:rsid w:val="4E1B2DDB"/>
    <w:rsid w:val="4E1F235E"/>
    <w:rsid w:val="4E213391"/>
    <w:rsid w:val="4E250E8C"/>
    <w:rsid w:val="4E3240E0"/>
    <w:rsid w:val="4E355E12"/>
    <w:rsid w:val="4E386CE7"/>
    <w:rsid w:val="4E3A6129"/>
    <w:rsid w:val="4E41097A"/>
    <w:rsid w:val="4E5D7C3A"/>
    <w:rsid w:val="4E7928F9"/>
    <w:rsid w:val="4E797E26"/>
    <w:rsid w:val="4E7C0B27"/>
    <w:rsid w:val="4E7E7897"/>
    <w:rsid w:val="4E8C1A75"/>
    <w:rsid w:val="4E8C3CA1"/>
    <w:rsid w:val="4E8D762E"/>
    <w:rsid w:val="4E8E3990"/>
    <w:rsid w:val="4E951F2F"/>
    <w:rsid w:val="4E9B1112"/>
    <w:rsid w:val="4E9B7163"/>
    <w:rsid w:val="4E9D2FDD"/>
    <w:rsid w:val="4EA06365"/>
    <w:rsid w:val="4EB626CF"/>
    <w:rsid w:val="4EBD0A34"/>
    <w:rsid w:val="4EBD0FEC"/>
    <w:rsid w:val="4EBD3915"/>
    <w:rsid w:val="4ECA75BC"/>
    <w:rsid w:val="4ECD54B1"/>
    <w:rsid w:val="4ED4046B"/>
    <w:rsid w:val="4EDD03B5"/>
    <w:rsid w:val="4EDE412D"/>
    <w:rsid w:val="4EDF4B15"/>
    <w:rsid w:val="4EEA782A"/>
    <w:rsid w:val="4EF43B16"/>
    <w:rsid w:val="4F02606E"/>
    <w:rsid w:val="4F135FF8"/>
    <w:rsid w:val="4F1646F3"/>
    <w:rsid w:val="4F1929E5"/>
    <w:rsid w:val="4F1C3B57"/>
    <w:rsid w:val="4F1E3B69"/>
    <w:rsid w:val="4F290416"/>
    <w:rsid w:val="4F2B6C13"/>
    <w:rsid w:val="4F3153D3"/>
    <w:rsid w:val="4F371217"/>
    <w:rsid w:val="4F5F3ED1"/>
    <w:rsid w:val="4F6E4CB2"/>
    <w:rsid w:val="4F7F146C"/>
    <w:rsid w:val="4F804E7C"/>
    <w:rsid w:val="4F817A94"/>
    <w:rsid w:val="4F85516A"/>
    <w:rsid w:val="4F8B67AD"/>
    <w:rsid w:val="4F944D8F"/>
    <w:rsid w:val="4FB04D2F"/>
    <w:rsid w:val="4FB21842"/>
    <w:rsid w:val="4FCA5221"/>
    <w:rsid w:val="4FE03DE3"/>
    <w:rsid w:val="4FEA7FBD"/>
    <w:rsid w:val="4FED0FB9"/>
    <w:rsid w:val="4FFC5D0B"/>
    <w:rsid w:val="4FFF4529"/>
    <w:rsid w:val="500F6B2A"/>
    <w:rsid w:val="501D7CCE"/>
    <w:rsid w:val="50245208"/>
    <w:rsid w:val="50315512"/>
    <w:rsid w:val="504430D6"/>
    <w:rsid w:val="50474896"/>
    <w:rsid w:val="505F087B"/>
    <w:rsid w:val="505F23BC"/>
    <w:rsid w:val="505F4513"/>
    <w:rsid w:val="50697ABC"/>
    <w:rsid w:val="507410D2"/>
    <w:rsid w:val="507B6B83"/>
    <w:rsid w:val="508F56DF"/>
    <w:rsid w:val="50966A6E"/>
    <w:rsid w:val="509B702F"/>
    <w:rsid w:val="50A4392E"/>
    <w:rsid w:val="50A97681"/>
    <w:rsid w:val="50AE3B94"/>
    <w:rsid w:val="50AF7418"/>
    <w:rsid w:val="50B02AF0"/>
    <w:rsid w:val="50B0422B"/>
    <w:rsid w:val="50C600F2"/>
    <w:rsid w:val="50C93813"/>
    <w:rsid w:val="50CE7876"/>
    <w:rsid w:val="50D0203A"/>
    <w:rsid w:val="50D03252"/>
    <w:rsid w:val="50D91050"/>
    <w:rsid w:val="50DD469C"/>
    <w:rsid w:val="50E93575"/>
    <w:rsid w:val="50F04D4E"/>
    <w:rsid w:val="50F25C6E"/>
    <w:rsid w:val="50F41527"/>
    <w:rsid w:val="50F57385"/>
    <w:rsid w:val="50F6016F"/>
    <w:rsid w:val="50FB1FB9"/>
    <w:rsid w:val="510D2979"/>
    <w:rsid w:val="51132FF4"/>
    <w:rsid w:val="51151213"/>
    <w:rsid w:val="51281690"/>
    <w:rsid w:val="51297F73"/>
    <w:rsid w:val="513225F9"/>
    <w:rsid w:val="513F3144"/>
    <w:rsid w:val="513F5114"/>
    <w:rsid w:val="51440384"/>
    <w:rsid w:val="5146769D"/>
    <w:rsid w:val="51567BE2"/>
    <w:rsid w:val="515E6A1B"/>
    <w:rsid w:val="5169073B"/>
    <w:rsid w:val="516B705C"/>
    <w:rsid w:val="516C41DE"/>
    <w:rsid w:val="5177537A"/>
    <w:rsid w:val="51866F03"/>
    <w:rsid w:val="518806E3"/>
    <w:rsid w:val="51890380"/>
    <w:rsid w:val="519024DB"/>
    <w:rsid w:val="51A047F6"/>
    <w:rsid w:val="51A1217B"/>
    <w:rsid w:val="51A47CAD"/>
    <w:rsid w:val="51B6464D"/>
    <w:rsid w:val="51BC2004"/>
    <w:rsid w:val="51C462A1"/>
    <w:rsid w:val="51C63383"/>
    <w:rsid w:val="51C64B4C"/>
    <w:rsid w:val="51CB0C5C"/>
    <w:rsid w:val="51CB74F6"/>
    <w:rsid w:val="51D03F6F"/>
    <w:rsid w:val="51D13948"/>
    <w:rsid w:val="51DD6BB1"/>
    <w:rsid w:val="51EB5979"/>
    <w:rsid w:val="51F021AD"/>
    <w:rsid w:val="52013B19"/>
    <w:rsid w:val="520B66FC"/>
    <w:rsid w:val="52160A43"/>
    <w:rsid w:val="521A0101"/>
    <w:rsid w:val="52241967"/>
    <w:rsid w:val="522B06FD"/>
    <w:rsid w:val="522D1CB6"/>
    <w:rsid w:val="52302EF2"/>
    <w:rsid w:val="52382896"/>
    <w:rsid w:val="52444C58"/>
    <w:rsid w:val="525A1D1D"/>
    <w:rsid w:val="5263075C"/>
    <w:rsid w:val="52660A26"/>
    <w:rsid w:val="52712F73"/>
    <w:rsid w:val="52717995"/>
    <w:rsid w:val="52727066"/>
    <w:rsid w:val="5274557D"/>
    <w:rsid w:val="528315FB"/>
    <w:rsid w:val="52990759"/>
    <w:rsid w:val="529F3794"/>
    <w:rsid w:val="52A01177"/>
    <w:rsid w:val="52AB4326"/>
    <w:rsid w:val="52AD4FA6"/>
    <w:rsid w:val="52B4771B"/>
    <w:rsid w:val="52B87033"/>
    <w:rsid w:val="52BE5917"/>
    <w:rsid w:val="52CE0B86"/>
    <w:rsid w:val="52CF23AC"/>
    <w:rsid w:val="52D22288"/>
    <w:rsid w:val="52D63FD3"/>
    <w:rsid w:val="52D7336D"/>
    <w:rsid w:val="52DC0353"/>
    <w:rsid w:val="52E73368"/>
    <w:rsid w:val="52ED3633"/>
    <w:rsid w:val="53172097"/>
    <w:rsid w:val="531B72EC"/>
    <w:rsid w:val="531E35FC"/>
    <w:rsid w:val="531E3DBA"/>
    <w:rsid w:val="532A13FA"/>
    <w:rsid w:val="532B1547"/>
    <w:rsid w:val="532C2C22"/>
    <w:rsid w:val="533E6E17"/>
    <w:rsid w:val="5343182D"/>
    <w:rsid w:val="53546527"/>
    <w:rsid w:val="53552E21"/>
    <w:rsid w:val="535B7AFB"/>
    <w:rsid w:val="535E3DDF"/>
    <w:rsid w:val="536C4A63"/>
    <w:rsid w:val="53827989"/>
    <w:rsid w:val="538344BA"/>
    <w:rsid w:val="53874D93"/>
    <w:rsid w:val="538C05FC"/>
    <w:rsid w:val="538E26E1"/>
    <w:rsid w:val="53916087"/>
    <w:rsid w:val="539B26A9"/>
    <w:rsid w:val="539C4C50"/>
    <w:rsid w:val="53A201DA"/>
    <w:rsid w:val="53A25729"/>
    <w:rsid w:val="53A86633"/>
    <w:rsid w:val="53AF4DD6"/>
    <w:rsid w:val="53B02EAE"/>
    <w:rsid w:val="53B22D34"/>
    <w:rsid w:val="53B6236C"/>
    <w:rsid w:val="53B704F6"/>
    <w:rsid w:val="53B83AE5"/>
    <w:rsid w:val="53BD6F30"/>
    <w:rsid w:val="53C720F6"/>
    <w:rsid w:val="53DE553F"/>
    <w:rsid w:val="53E005CE"/>
    <w:rsid w:val="53E6317F"/>
    <w:rsid w:val="53EF4EAD"/>
    <w:rsid w:val="53FC24A6"/>
    <w:rsid w:val="53FC5A1A"/>
    <w:rsid w:val="540540F5"/>
    <w:rsid w:val="541505F1"/>
    <w:rsid w:val="54267517"/>
    <w:rsid w:val="542913B3"/>
    <w:rsid w:val="54321E93"/>
    <w:rsid w:val="54355530"/>
    <w:rsid w:val="543E1D33"/>
    <w:rsid w:val="543F18BA"/>
    <w:rsid w:val="54642849"/>
    <w:rsid w:val="54747751"/>
    <w:rsid w:val="54754BEC"/>
    <w:rsid w:val="54790B80"/>
    <w:rsid w:val="5479570C"/>
    <w:rsid w:val="54883400"/>
    <w:rsid w:val="54930B49"/>
    <w:rsid w:val="54932F58"/>
    <w:rsid w:val="549B63DD"/>
    <w:rsid w:val="549C5765"/>
    <w:rsid w:val="54A81CB5"/>
    <w:rsid w:val="54BD0985"/>
    <w:rsid w:val="54C41B11"/>
    <w:rsid w:val="54C90FB4"/>
    <w:rsid w:val="54CC32C5"/>
    <w:rsid w:val="54F859EA"/>
    <w:rsid w:val="54FF1FBE"/>
    <w:rsid w:val="55012924"/>
    <w:rsid w:val="550E49C6"/>
    <w:rsid w:val="55180399"/>
    <w:rsid w:val="551B0C30"/>
    <w:rsid w:val="55222FC6"/>
    <w:rsid w:val="5525118D"/>
    <w:rsid w:val="552E6032"/>
    <w:rsid w:val="553A72F4"/>
    <w:rsid w:val="55410F72"/>
    <w:rsid w:val="55421379"/>
    <w:rsid w:val="554F3ABD"/>
    <w:rsid w:val="555C1243"/>
    <w:rsid w:val="55632353"/>
    <w:rsid w:val="55794AC3"/>
    <w:rsid w:val="557B3752"/>
    <w:rsid w:val="558C52DC"/>
    <w:rsid w:val="55A47D96"/>
    <w:rsid w:val="55B04FC7"/>
    <w:rsid w:val="55C23E61"/>
    <w:rsid w:val="55C94049"/>
    <w:rsid w:val="55DA287E"/>
    <w:rsid w:val="55DB4F23"/>
    <w:rsid w:val="55DD1819"/>
    <w:rsid w:val="55E93723"/>
    <w:rsid w:val="55EA4C40"/>
    <w:rsid w:val="55EE6DAD"/>
    <w:rsid w:val="55F304BE"/>
    <w:rsid w:val="55FB7373"/>
    <w:rsid w:val="55FF6E63"/>
    <w:rsid w:val="56073162"/>
    <w:rsid w:val="5609127C"/>
    <w:rsid w:val="560F5CEA"/>
    <w:rsid w:val="561A1AAB"/>
    <w:rsid w:val="56206DD9"/>
    <w:rsid w:val="56243B92"/>
    <w:rsid w:val="56252405"/>
    <w:rsid w:val="562C45C1"/>
    <w:rsid w:val="563034C0"/>
    <w:rsid w:val="563926FD"/>
    <w:rsid w:val="563B7996"/>
    <w:rsid w:val="563D619D"/>
    <w:rsid w:val="56413F2B"/>
    <w:rsid w:val="56537C47"/>
    <w:rsid w:val="565D7A15"/>
    <w:rsid w:val="566F71B4"/>
    <w:rsid w:val="568043DC"/>
    <w:rsid w:val="568D26C1"/>
    <w:rsid w:val="56903F5F"/>
    <w:rsid w:val="56932948"/>
    <w:rsid w:val="56A010C0"/>
    <w:rsid w:val="56A060CF"/>
    <w:rsid w:val="56AA3F63"/>
    <w:rsid w:val="56AF65AD"/>
    <w:rsid w:val="56B16420"/>
    <w:rsid w:val="56B16590"/>
    <w:rsid w:val="56B96B8E"/>
    <w:rsid w:val="56C747B5"/>
    <w:rsid w:val="56CC4101"/>
    <w:rsid w:val="56D42684"/>
    <w:rsid w:val="56D53135"/>
    <w:rsid w:val="56D83E33"/>
    <w:rsid w:val="56DD2471"/>
    <w:rsid w:val="56E542AB"/>
    <w:rsid w:val="56F363CB"/>
    <w:rsid w:val="56FD66BE"/>
    <w:rsid w:val="570613AC"/>
    <w:rsid w:val="57181EE6"/>
    <w:rsid w:val="57210A6D"/>
    <w:rsid w:val="57283801"/>
    <w:rsid w:val="573400E8"/>
    <w:rsid w:val="5744214A"/>
    <w:rsid w:val="57444737"/>
    <w:rsid w:val="574B480A"/>
    <w:rsid w:val="57501AFE"/>
    <w:rsid w:val="575161F0"/>
    <w:rsid w:val="57527466"/>
    <w:rsid w:val="57543081"/>
    <w:rsid w:val="575E3738"/>
    <w:rsid w:val="577B68EA"/>
    <w:rsid w:val="5789649C"/>
    <w:rsid w:val="578A48DD"/>
    <w:rsid w:val="57A373F0"/>
    <w:rsid w:val="57B12989"/>
    <w:rsid w:val="57B42A16"/>
    <w:rsid w:val="57C31CF0"/>
    <w:rsid w:val="57C83C57"/>
    <w:rsid w:val="57CC0FB4"/>
    <w:rsid w:val="57CF7F96"/>
    <w:rsid w:val="57D661B8"/>
    <w:rsid w:val="57DA0909"/>
    <w:rsid w:val="57E225F6"/>
    <w:rsid w:val="57E633B4"/>
    <w:rsid w:val="57EC2A0C"/>
    <w:rsid w:val="57F05231"/>
    <w:rsid w:val="57F46D4B"/>
    <w:rsid w:val="57F637B3"/>
    <w:rsid w:val="57FB2FB4"/>
    <w:rsid w:val="57FC3730"/>
    <w:rsid w:val="581B487A"/>
    <w:rsid w:val="581C6534"/>
    <w:rsid w:val="581F0DBE"/>
    <w:rsid w:val="582014EC"/>
    <w:rsid w:val="582028C2"/>
    <w:rsid w:val="582908A2"/>
    <w:rsid w:val="583D07DD"/>
    <w:rsid w:val="584B6239"/>
    <w:rsid w:val="585011BC"/>
    <w:rsid w:val="585E420F"/>
    <w:rsid w:val="585F1862"/>
    <w:rsid w:val="58620D26"/>
    <w:rsid w:val="58622549"/>
    <w:rsid w:val="58706FB1"/>
    <w:rsid w:val="58714F14"/>
    <w:rsid w:val="587C5983"/>
    <w:rsid w:val="58810003"/>
    <w:rsid w:val="588C1255"/>
    <w:rsid w:val="589B5B2C"/>
    <w:rsid w:val="58AE77D0"/>
    <w:rsid w:val="58C13117"/>
    <w:rsid w:val="58E8415E"/>
    <w:rsid w:val="58FF1A45"/>
    <w:rsid w:val="58FF53CC"/>
    <w:rsid w:val="59073E9A"/>
    <w:rsid w:val="59092BF1"/>
    <w:rsid w:val="590D1897"/>
    <w:rsid w:val="591108A6"/>
    <w:rsid w:val="591C580B"/>
    <w:rsid w:val="5926497A"/>
    <w:rsid w:val="59307D3E"/>
    <w:rsid w:val="59493475"/>
    <w:rsid w:val="59505B76"/>
    <w:rsid w:val="59566E8A"/>
    <w:rsid w:val="595D3E12"/>
    <w:rsid w:val="595F46EF"/>
    <w:rsid w:val="596847A2"/>
    <w:rsid w:val="596B5ED3"/>
    <w:rsid w:val="59741916"/>
    <w:rsid w:val="59760261"/>
    <w:rsid w:val="59843637"/>
    <w:rsid w:val="598446C5"/>
    <w:rsid w:val="59961EFB"/>
    <w:rsid w:val="59A11353"/>
    <w:rsid w:val="59A673BE"/>
    <w:rsid w:val="59B73771"/>
    <w:rsid w:val="59BF20D9"/>
    <w:rsid w:val="59CF0329"/>
    <w:rsid w:val="59EE6A9F"/>
    <w:rsid w:val="59FD190B"/>
    <w:rsid w:val="5A0336C4"/>
    <w:rsid w:val="5A141139"/>
    <w:rsid w:val="5A1A4119"/>
    <w:rsid w:val="5A1D0D82"/>
    <w:rsid w:val="5A1D7267"/>
    <w:rsid w:val="5A20315B"/>
    <w:rsid w:val="5A36472F"/>
    <w:rsid w:val="5A3B004E"/>
    <w:rsid w:val="5A5613C5"/>
    <w:rsid w:val="5A5827FE"/>
    <w:rsid w:val="5A5D05FC"/>
    <w:rsid w:val="5A5D2A51"/>
    <w:rsid w:val="5A634E30"/>
    <w:rsid w:val="5A643E4F"/>
    <w:rsid w:val="5A65715C"/>
    <w:rsid w:val="5A70211C"/>
    <w:rsid w:val="5A75696F"/>
    <w:rsid w:val="5A767021"/>
    <w:rsid w:val="5A970C62"/>
    <w:rsid w:val="5A9B6F49"/>
    <w:rsid w:val="5AA122E0"/>
    <w:rsid w:val="5AA452E6"/>
    <w:rsid w:val="5AAB2A29"/>
    <w:rsid w:val="5AAB3211"/>
    <w:rsid w:val="5AAC7307"/>
    <w:rsid w:val="5AB86388"/>
    <w:rsid w:val="5ABF4E13"/>
    <w:rsid w:val="5AD07CB2"/>
    <w:rsid w:val="5ADB2A9F"/>
    <w:rsid w:val="5AE244D3"/>
    <w:rsid w:val="5AE37CAA"/>
    <w:rsid w:val="5AEC5C4F"/>
    <w:rsid w:val="5AEF1DC1"/>
    <w:rsid w:val="5AF001BB"/>
    <w:rsid w:val="5AF9020E"/>
    <w:rsid w:val="5AFD3265"/>
    <w:rsid w:val="5B184523"/>
    <w:rsid w:val="5B2D4472"/>
    <w:rsid w:val="5B3A7E78"/>
    <w:rsid w:val="5B3D442E"/>
    <w:rsid w:val="5B412C22"/>
    <w:rsid w:val="5B417F1E"/>
    <w:rsid w:val="5B435A44"/>
    <w:rsid w:val="5B4B2EB1"/>
    <w:rsid w:val="5B570332"/>
    <w:rsid w:val="5B5B31AB"/>
    <w:rsid w:val="5B5F0395"/>
    <w:rsid w:val="5B6110B7"/>
    <w:rsid w:val="5B6300A3"/>
    <w:rsid w:val="5B6A5941"/>
    <w:rsid w:val="5B6C0ED6"/>
    <w:rsid w:val="5B713C90"/>
    <w:rsid w:val="5B790B4E"/>
    <w:rsid w:val="5B7A2400"/>
    <w:rsid w:val="5B7E6E9A"/>
    <w:rsid w:val="5B9670A8"/>
    <w:rsid w:val="5B9B626D"/>
    <w:rsid w:val="5BAC1760"/>
    <w:rsid w:val="5BC12DC1"/>
    <w:rsid w:val="5BC85B67"/>
    <w:rsid w:val="5BCF3C34"/>
    <w:rsid w:val="5BD32897"/>
    <w:rsid w:val="5BD51E38"/>
    <w:rsid w:val="5BDC19F5"/>
    <w:rsid w:val="5BF50A44"/>
    <w:rsid w:val="5C034868"/>
    <w:rsid w:val="5C044ACF"/>
    <w:rsid w:val="5C295CCC"/>
    <w:rsid w:val="5C2B2A98"/>
    <w:rsid w:val="5C2B6712"/>
    <w:rsid w:val="5C345941"/>
    <w:rsid w:val="5C381A3A"/>
    <w:rsid w:val="5C3D77B1"/>
    <w:rsid w:val="5C3F177A"/>
    <w:rsid w:val="5C405E62"/>
    <w:rsid w:val="5C4B3EC6"/>
    <w:rsid w:val="5C521C43"/>
    <w:rsid w:val="5C5C135C"/>
    <w:rsid w:val="5C787FE3"/>
    <w:rsid w:val="5C7F6EF2"/>
    <w:rsid w:val="5C8155D9"/>
    <w:rsid w:val="5C872DAA"/>
    <w:rsid w:val="5C8809AC"/>
    <w:rsid w:val="5C894745"/>
    <w:rsid w:val="5C974816"/>
    <w:rsid w:val="5CA97228"/>
    <w:rsid w:val="5CBA57BD"/>
    <w:rsid w:val="5CBB0910"/>
    <w:rsid w:val="5CC5471C"/>
    <w:rsid w:val="5CC83756"/>
    <w:rsid w:val="5CCB7A9F"/>
    <w:rsid w:val="5CCE52E4"/>
    <w:rsid w:val="5CDC5386"/>
    <w:rsid w:val="5CE127AC"/>
    <w:rsid w:val="5CEE7B85"/>
    <w:rsid w:val="5CF73D69"/>
    <w:rsid w:val="5D072AA1"/>
    <w:rsid w:val="5D0E2082"/>
    <w:rsid w:val="5D0E215B"/>
    <w:rsid w:val="5D1876CE"/>
    <w:rsid w:val="5D187C36"/>
    <w:rsid w:val="5D1975F4"/>
    <w:rsid w:val="5D202057"/>
    <w:rsid w:val="5D215911"/>
    <w:rsid w:val="5D2E5062"/>
    <w:rsid w:val="5D2F3202"/>
    <w:rsid w:val="5D453058"/>
    <w:rsid w:val="5D4700C2"/>
    <w:rsid w:val="5D4B13B2"/>
    <w:rsid w:val="5D5C53BB"/>
    <w:rsid w:val="5D661860"/>
    <w:rsid w:val="5D6C4615"/>
    <w:rsid w:val="5D6F6550"/>
    <w:rsid w:val="5D7603B3"/>
    <w:rsid w:val="5D7C5A81"/>
    <w:rsid w:val="5D8D48E8"/>
    <w:rsid w:val="5D951781"/>
    <w:rsid w:val="5DA176A2"/>
    <w:rsid w:val="5DA73C46"/>
    <w:rsid w:val="5DAB5B22"/>
    <w:rsid w:val="5DB80337"/>
    <w:rsid w:val="5DCA5FA9"/>
    <w:rsid w:val="5DD31E8F"/>
    <w:rsid w:val="5DDC3F2E"/>
    <w:rsid w:val="5DDD1615"/>
    <w:rsid w:val="5DDD66E6"/>
    <w:rsid w:val="5DDF2196"/>
    <w:rsid w:val="5DE32A0A"/>
    <w:rsid w:val="5DE853F9"/>
    <w:rsid w:val="5DF704AE"/>
    <w:rsid w:val="5DF954B7"/>
    <w:rsid w:val="5DFD1F51"/>
    <w:rsid w:val="5DFF05CD"/>
    <w:rsid w:val="5E04586E"/>
    <w:rsid w:val="5E1672C2"/>
    <w:rsid w:val="5E1B6033"/>
    <w:rsid w:val="5E2612F9"/>
    <w:rsid w:val="5E2A7510"/>
    <w:rsid w:val="5E3A3613"/>
    <w:rsid w:val="5E534129"/>
    <w:rsid w:val="5E5B1464"/>
    <w:rsid w:val="5E602075"/>
    <w:rsid w:val="5E66797C"/>
    <w:rsid w:val="5E6E3C24"/>
    <w:rsid w:val="5E7214D7"/>
    <w:rsid w:val="5E7255BD"/>
    <w:rsid w:val="5E735B91"/>
    <w:rsid w:val="5E8E438D"/>
    <w:rsid w:val="5E937CCC"/>
    <w:rsid w:val="5EA42C9D"/>
    <w:rsid w:val="5EAD4264"/>
    <w:rsid w:val="5ECD4059"/>
    <w:rsid w:val="5EDF337C"/>
    <w:rsid w:val="5EE03971"/>
    <w:rsid w:val="5EF83794"/>
    <w:rsid w:val="5EFB30F0"/>
    <w:rsid w:val="5F0173CC"/>
    <w:rsid w:val="5F073560"/>
    <w:rsid w:val="5F175633"/>
    <w:rsid w:val="5F1A1A93"/>
    <w:rsid w:val="5F212DE2"/>
    <w:rsid w:val="5F287F7E"/>
    <w:rsid w:val="5F3B4720"/>
    <w:rsid w:val="5F475677"/>
    <w:rsid w:val="5F484198"/>
    <w:rsid w:val="5F531FCE"/>
    <w:rsid w:val="5F567498"/>
    <w:rsid w:val="5F5B121E"/>
    <w:rsid w:val="5F5C3516"/>
    <w:rsid w:val="5F610B8F"/>
    <w:rsid w:val="5F6917F1"/>
    <w:rsid w:val="5F6E5C5A"/>
    <w:rsid w:val="5F8108E9"/>
    <w:rsid w:val="5F836AA9"/>
    <w:rsid w:val="5F8420E2"/>
    <w:rsid w:val="5F864151"/>
    <w:rsid w:val="5F865198"/>
    <w:rsid w:val="5F887220"/>
    <w:rsid w:val="5F9022AB"/>
    <w:rsid w:val="5F950838"/>
    <w:rsid w:val="5F9E3276"/>
    <w:rsid w:val="5FB537C3"/>
    <w:rsid w:val="5FB81E56"/>
    <w:rsid w:val="5FBC1FE2"/>
    <w:rsid w:val="5FCC4D82"/>
    <w:rsid w:val="5FD85FDC"/>
    <w:rsid w:val="5FE725FA"/>
    <w:rsid w:val="5FE732E2"/>
    <w:rsid w:val="5FEB78D3"/>
    <w:rsid w:val="5FEC00EE"/>
    <w:rsid w:val="5FF26ACB"/>
    <w:rsid w:val="5FF437B1"/>
    <w:rsid w:val="5FF70F57"/>
    <w:rsid w:val="600458FB"/>
    <w:rsid w:val="600878DD"/>
    <w:rsid w:val="600951D4"/>
    <w:rsid w:val="600A4B4D"/>
    <w:rsid w:val="601015A4"/>
    <w:rsid w:val="6010358A"/>
    <w:rsid w:val="601A25EF"/>
    <w:rsid w:val="60250EC1"/>
    <w:rsid w:val="60290C1F"/>
    <w:rsid w:val="603C552C"/>
    <w:rsid w:val="603E1F21"/>
    <w:rsid w:val="603E7832"/>
    <w:rsid w:val="603F4BEA"/>
    <w:rsid w:val="6044067F"/>
    <w:rsid w:val="60546D44"/>
    <w:rsid w:val="60564383"/>
    <w:rsid w:val="605C6D51"/>
    <w:rsid w:val="605F7185"/>
    <w:rsid w:val="607427E7"/>
    <w:rsid w:val="60786190"/>
    <w:rsid w:val="60793AF7"/>
    <w:rsid w:val="6099592B"/>
    <w:rsid w:val="60A13AB9"/>
    <w:rsid w:val="60A7744C"/>
    <w:rsid w:val="60BA67A8"/>
    <w:rsid w:val="60C13CA2"/>
    <w:rsid w:val="60C603C2"/>
    <w:rsid w:val="60CF04AB"/>
    <w:rsid w:val="60DB5486"/>
    <w:rsid w:val="60E82C1A"/>
    <w:rsid w:val="60EC0541"/>
    <w:rsid w:val="60ED408E"/>
    <w:rsid w:val="60F6028F"/>
    <w:rsid w:val="60FD245E"/>
    <w:rsid w:val="60FF2E22"/>
    <w:rsid w:val="61016207"/>
    <w:rsid w:val="61023605"/>
    <w:rsid w:val="61033EA8"/>
    <w:rsid w:val="61041F36"/>
    <w:rsid w:val="610A1613"/>
    <w:rsid w:val="6117702C"/>
    <w:rsid w:val="611B5F23"/>
    <w:rsid w:val="61251167"/>
    <w:rsid w:val="61271B17"/>
    <w:rsid w:val="612F1395"/>
    <w:rsid w:val="612F661C"/>
    <w:rsid w:val="61432D9E"/>
    <w:rsid w:val="61656F66"/>
    <w:rsid w:val="61683AEB"/>
    <w:rsid w:val="61695AD8"/>
    <w:rsid w:val="61722BDF"/>
    <w:rsid w:val="61737A70"/>
    <w:rsid w:val="617D144B"/>
    <w:rsid w:val="61855138"/>
    <w:rsid w:val="618A70BC"/>
    <w:rsid w:val="618B76C7"/>
    <w:rsid w:val="61963F6D"/>
    <w:rsid w:val="619A4F20"/>
    <w:rsid w:val="619F73C4"/>
    <w:rsid w:val="61B52A55"/>
    <w:rsid w:val="61BD1F9D"/>
    <w:rsid w:val="61BD49A3"/>
    <w:rsid w:val="61BD781A"/>
    <w:rsid w:val="61D27428"/>
    <w:rsid w:val="61D45501"/>
    <w:rsid w:val="61D5316E"/>
    <w:rsid w:val="61D66D2B"/>
    <w:rsid w:val="61E072C3"/>
    <w:rsid w:val="61EA093B"/>
    <w:rsid w:val="61EF2482"/>
    <w:rsid w:val="61F010A8"/>
    <w:rsid w:val="61F511E0"/>
    <w:rsid w:val="61FD6D62"/>
    <w:rsid w:val="61FE4473"/>
    <w:rsid w:val="62024DB4"/>
    <w:rsid w:val="62090E4E"/>
    <w:rsid w:val="62092E18"/>
    <w:rsid w:val="62117D72"/>
    <w:rsid w:val="62142622"/>
    <w:rsid w:val="62210A89"/>
    <w:rsid w:val="62285DB7"/>
    <w:rsid w:val="62297B7B"/>
    <w:rsid w:val="623613F4"/>
    <w:rsid w:val="62367ED8"/>
    <w:rsid w:val="624257A9"/>
    <w:rsid w:val="62425C97"/>
    <w:rsid w:val="624D0F56"/>
    <w:rsid w:val="62621800"/>
    <w:rsid w:val="626857C6"/>
    <w:rsid w:val="626A5FAC"/>
    <w:rsid w:val="62923991"/>
    <w:rsid w:val="62BB078B"/>
    <w:rsid w:val="62C372E0"/>
    <w:rsid w:val="62C8685E"/>
    <w:rsid w:val="62E3403E"/>
    <w:rsid w:val="62EB7502"/>
    <w:rsid w:val="62F20D03"/>
    <w:rsid w:val="62F26EC0"/>
    <w:rsid w:val="62F75B83"/>
    <w:rsid w:val="62FA13EE"/>
    <w:rsid w:val="62FC3643"/>
    <w:rsid w:val="62FD65F4"/>
    <w:rsid w:val="63095375"/>
    <w:rsid w:val="630E4188"/>
    <w:rsid w:val="6312135F"/>
    <w:rsid w:val="63152F31"/>
    <w:rsid w:val="631B72A6"/>
    <w:rsid w:val="632874A5"/>
    <w:rsid w:val="632A3D0D"/>
    <w:rsid w:val="632A76EA"/>
    <w:rsid w:val="633443AB"/>
    <w:rsid w:val="634161B6"/>
    <w:rsid w:val="634924E6"/>
    <w:rsid w:val="635222C3"/>
    <w:rsid w:val="6367429A"/>
    <w:rsid w:val="637D586B"/>
    <w:rsid w:val="638857E1"/>
    <w:rsid w:val="63964A9A"/>
    <w:rsid w:val="63A156F8"/>
    <w:rsid w:val="63A445C5"/>
    <w:rsid w:val="63AB78F4"/>
    <w:rsid w:val="63AE5AE6"/>
    <w:rsid w:val="63B4281C"/>
    <w:rsid w:val="63B51224"/>
    <w:rsid w:val="63BC2837"/>
    <w:rsid w:val="63C642C7"/>
    <w:rsid w:val="63C85688"/>
    <w:rsid w:val="63CA4ED6"/>
    <w:rsid w:val="63CD5666"/>
    <w:rsid w:val="63D01EF3"/>
    <w:rsid w:val="63D2038C"/>
    <w:rsid w:val="63DC2907"/>
    <w:rsid w:val="63E631E1"/>
    <w:rsid w:val="63E72800"/>
    <w:rsid w:val="63F66CE6"/>
    <w:rsid w:val="64052873"/>
    <w:rsid w:val="640D6C5F"/>
    <w:rsid w:val="640E7E19"/>
    <w:rsid w:val="64453259"/>
    <w:rsid w:val="64477F3F"/>
    <w:rsid w:val="64553B1D"/>
    <w:rsid w:val="646C67BD"/>
    <w:rsid w:val="646D768E"/>
    <w:rsid w:val="64745DFC"/>
    <w:rsid w:val="647527CB"/>
    <w:rsid w:val="64815114"/>
    <w:rsid w:val="6486074F"/>
    <w:rsid w:val="648A0F84"/>
    <w:rsid w:val="648E4974"/>
    <w:rsid w:val="648F4377"/>
    <w:rsid w:val="64970BAF"/>
    <w:rsid w:val="649E65A7"/>
    <w:rsid w:val="64A9027D"/>
    <w:rsid w:val="64AE4937"/>
    <w:rsid w:val="64AE71E8"/>
    <w:rsid w:val="64B70C4D"/>
    <w:rsid w:val="64BE23EE"/>
    <w:rsid w:val="64C530D0"/>
    <w:rsid w:val="64C92A8D"/>
    <w:rsid w:val="64D14920"/>
    <w:rsid w:val="64DC22D2"/>
    <w:rsid w:val="64EA382F"/>
    <w:rsid w:val="64ED3306"/>
    <w:rsid w:val="64F41B5D"/>
    <w:rsid w:val="65077AE2"/>
    <w:rsid w:val="6511603A"/>
    <w:rsid w:val="652763A9"/>
    <w:rsid w:val="653B0F51"/>
    <w:rsid w:val="65417235"/>
    <w:rsid w:val="65431C28"/>
    <w:rsid w:val="65434194"/>
    <w:rsid w:val="65477730"/>
    <w:rsid w:val="654912E0"/>
    <w:rsid w:val="655007CD"/>
    <w:rsid w:val="655F60E2"/>
    <w:rsid w:val="65630125"/>
    <w:rsid w:val="656A4332"/>
    <w:rsid w:val="65715D8E"/>
    <w:rsid w:val="65733372"/>
    <w:rsid w:val="65744876"/>
    <w:rsid w:val="657845AE"/>
    <w:rsid w:val="657C7D98"/>
    <w:rsid w:val="65831182"/>
    <w:rsid w:val="658C4C45"/>
    <w:rsid w:val="658F60B1"/>
    <w:rsid w:val="65991D3E"/>
    <w:rsid w:val="659B022A"/>
    <w:rsid w:val="659E280B"/>
    <w:rsid w:val="659E4478"/>
    <w:rsid w:val="65A44341"/>
    <w:rsid w:val="65A95292"/>
    <w:rsid w:val="65B74A52"/>
    <w:rsid w:val="65B87761"/>
    <w:rsid w:val="65BD55BD"/>
    <w:rsid w:val="65C53449"/>
    <w:rsid w:val="65D0212E"/>
    <w:rsid w:val="65D253E7"/>
    <w:rsid w:val="65DA55D1"/>
    <w:rsid w:val="65DE269B"/>
    <w:rsid w:val="65DE4CE7"/>
    <w:rsid w:val="65E72587"/>
    <w:rsid w:val="65F27286"/>
    <w:rsid w:val="6602655A"/>
    <w:rsid w:val="66037BA1"/>
    <w:rsid w:val="660405CB"/>
    <w:rsid w:val="66054E88"/>
    <w:rsid w:val="660C75A0"/>
    <w:rsid w:val="660D45C7"/>
    <w:rsid w:val="661E771B"/>
    <w:rsid w:val="66280ABB"/>
    <w:rsid w:val="662B6A60"/>
    <w:rsid w:val="663B7082"/>
    <w:rsid w:val="664B3067"/>
    <w:rsid w:val="66550114"/>
    <w:rsid w:val="665C299B"/>
    <w:rsid w:val="665C5C0C"/>
    <w:rsid w:val="666717B3"/>
    <w:rsid w:val="6668032B"/>
    <w:rsid w:val="667137FF"/>
    <w:rsid w:val="667C4290"/>
    <w:rsid w:val="668569A3"/>
    <w:rsid w:val="668E6AB6"/>
    <w:rsid w:val="669C13AC"/>
    <w:rsid w:val="66A351D2"/>
    <w:rsid w:val="66B1624D"/>
    <w:rsid w:val="66B173CB"/>
    <w:rsid w:val="66BB16FE"/>
    <w:rsid w:val="66BE0CEA"/>
    <w:rsid w:val="66C95898"/>
    <w:rsid w:val="66DA3C25"/>
    <w:rsid w:val="66DC2CB9"/>
    <w:rsid w:val="66E345F9"/>
    <w:rsid w:val="66EB023B"/>
    <w:rsid w:val="66F8201A"/>
    <w:rsid w:val="66FF1E1B"/>
    <w:rsid w:val="671604B0"/>
    <w:rsid w:val="671C5A04"/>
    <w:rsid w:val="67246142"/>
    <w:rsid w:val="6734528A"/>
    <w:rsid w:val="67397CFB"/>
    <w:rsid w:val="673F01D2"/>
    <w:rsid w:val="67474DF0"/>
    <w:rsid w:val="674F04F1"/>
    <w:rsid w:val="676777C3"/>
    <w:rsid w:val="676A4CD5"/>
    <w:rsid w:val="677D4B8A"/>
    <w:rsid w:val="67802ACE"/>
    <w:rsid w:val="67804B33"/>
    <w:rsid w:val="678C4018"/>
    <w:rsid w:val="678E2929"/>
    <w:rsid w:val="67A12617"/>
    <w:rsid w:val="67A57057"/>
    <w:rsid w:val="67AD05BD"/>
    <w:rsid w:val="67B408BE"/>
    <w:rsid w:val="67B6183D"/>
    <w:rsid w:val="67B657F0"/>
    <w:rsid w:val="67BA0A03"/>
    <w:rsid w:val="67BD276C"/>
    <w:rsid w:val="67C132E8"/>
    <w:rsid w:val="67C40A09"/>
    <w:rsid w:val="67C83807"/>
    <w:rsid w:val="67C9107F"/>
    <w:rsid w:val="67CE63C7"/>
    <w:rsid w:val="67D020A7"/>
    <w:rsid w:val="67D600B8"/>
    <w:rsid w:val="67E4087E"/>
    <w:rsid w:val="67E91721"/>
    <w:rsid w:val="67F57AE2"/>
    <w:rsid w:val="6812422E"/>
    <w:rsid w:val="6821192D"/>
    <w:rsid w:val="682664D1"/>
    <w:rsid w:val="682A50A4"/>
    <w:rsid w:val="68306498"/>
    <w:rsid w:val="68337E89"/>
    <w:rsid w:val="68337EE8"/>
    <w:rsid w:val="683A6C76"/>
    <w:rsid w:val="6842321A"/>
    <w:rsid w:val="68464DC5"/>
    <w:rsid w:val="684675EC"/>
    <w:rsid w:val="684F3C7A"/>
    <w:rsid w:val="68537052"/>
    <w:rsid w:val="68556FC7"/>
    <w:rsid w:val="685C5B46"/>
    <w:rsid w:val="685F0C86"/>
    <w:rsid w:val="685F3397"/>
    <w:rsid w:val="686B3945"/>
    <w:rsid w:val="687C738A"/>
    <w:rsid w:val="688C0656"/>
    <w:rsid w:val="68907424"/>
    <w:rsid w:val="68981E7C"/>
    <w:rsid w:val="689B166D"/>
    <w:rsid w:val="689C5480"/>
    <w:rsid w:val="68A477EF"/>
    <w:rsid w:val="68AE1735"/>
    <w:rsid w:val="68AE77BF"/>
    <w:rsid w:val="68B037E5"/>
    <w:rsid w:val="68B20954"/>
    <w:rsid w:val="68B72950"/>
    <w:rsid w:val="68B93736"/>
    <w:rsid w:val="68BF33A8"/>
    <w:rsid w:val="68C83AF6"/>
    <w:rsid w:val="68CC78C9"/>
    <w:rsid w:val="68D10AC8"/>
    <w:rsid w:val="68D60630"/>
    <w:rsid w:val="68ED7332"/>
    <w:rsid w:val="68F8555D"/>
    <w:rsid w:val="68F94059"/>
    <w:rsid w:val="69184B1D"/>
    <w:rsid w:val="691D712E"/>
    <w:rsid w:val="69214FE0"/>
    <w:rsid w:val="693A3A0B"/>
    <w:rsid w:val="6949237B"/>
    <w:rsid w:val="69621BE5"/>
    <w:rsid w:val="69657D32"/>
    <w:rsid w:val="696E7FE7"/>
    <w:rsid w:val="69742977"/>
    <w:rsid w:val="697A4168"/>
    <w:rsid w:val="697E1E2B"/>
    <w:rsid w:val="697E7396"/>
    <w:rsid w:val="6983176F"/>
    <w:rsid w:val="698427DE"/>
    <w:rsid w:val="69973D0C"/>
    <w:rsid w:val="69975871"/>
    <w:rsid w:val="69990F25"/>
    <w:rsid w:val="69A009FE"/>
    <w:rsid w:val="69A022B3"/>
    <w:rsid w:val="69A57D93"/>
    <w:rsid w:val="69A729C5"/>
    <w:rsid w:val="69AE2B6D"/>
    <w:rsid w:val="69B50EEF"/>
    <w:rsid w:val="69B91A5F"/>
    <w:rsid w:val="69B9357E"/>
    <w:rsid w:val="69BF206E"/>
    <w:rsid w:val="69C14CA8"/>
    <w:rsid w:val="69C308D8"/>
    <w:rsid w:val="69CA255F"/>
    <w:rsid w:val="69CA755B"/>
    <w:rsid w:val="69CD3B8D"/>
    <w:rsid w:val="69D106BF"/>
    <w:rsid w:val="69D10E05"/>
    <w:rsid w:val="69E35E49"/>
    <w:rsid w:val="69E45CA2"/>
    <w:rsid w:val="69E46DF1"/>
    <w:rsid w:val="69E63FAE"/>
    <w:rsid w:val="69E8174D"/>
    <w:rsid w:val="69EA3CED"/>
    <w:rsid w:val="69EB7655"/>
    <w:rsid w:val="69F66247"/>
    <w:rsid w:val="69F86AAF"/>
    <w:rsid w:val="6A09023E"/>
    <w:rsid w:val="6A1438ED"/>
    <w:rsid w:val="6A1F6154"/>
    <w:rsid w:val="6A2746CC"/>
    <w:rsid w:val="6A332D95"/>
    <w:rsid w:val="6A426E79"/>
    <w:rsid w:val="6A441769"/>
    <w:rsid w:val="6A444A47"/>
    <w:rsid w:val="6A4D6FF4"/>
    <w:rsid w:val="6A4F3C09"/>
    <w:rsid w:val="6A4F7CF0"/>
    <w:rsid w:val="6A5517EC"/>
    <w:rsid w:val="6A655D8F"/>
    <w:rsid w:val="6A694BA1"/>
    <w:rsid w:val="6A7277FC"/>
    <w:rsid w:val="6A734205"/>
    <w:rsid w:val="6AA02A00"/>
    <w:rsid w:val="6AA07753"/>
    <w:rsid w:val="6AB51195"/>
    <w:rsid w:val="6ABC3292"/>
    <w:rsid w:val="6ABC4413"/>
    <w:rsid w:val="6AC04F0B"/>
    <w:rsid w:val="6AC53567"/>
    <w:rsid w:val="6AD34458"/>
    <w:rsid w:val="6AD51E2B"/>
    <w:rsid w:val="6ADC4801"/>
    <w:rsid w:val="6ADF25FC"/>
    <w:rsid w:val="6AE2748C"/>
    <w:rsid w:val="6AF80693"/>
    <w:rsid w:val="6AF9720B"/>
    <w:rsid w:val="6AFA1E66"/>
    <w:rsid w:val="6AFE12C2"/>
    <w:rsid w:val="6AFF22DC"/>
    <w:rsid w:val="6B020CD0"/>
    <w:rsid w:val="6B0547F9"/>
    <w:rsid w:val="6B0B4870"/>
    <w:rsid w:val="6B1148AC"/>
    <w:rsid w:val="6B163A8A"/>
    <w:rsid w:val="6B217424"/>
    <w:rsid w:val="6B3B35BF"/>
    <w:rsid w:val="6B3E0351"/>
    <w:rsid w:val="6B42449D"/>
    <w:rsid w:val="6B4A5562"/>
    <w:rsid w:val="6B565807"/>
    <w:rsid w:val="6B633598"/>
    <w:rsid w:val="6B6548BE"/>
    <w:rsid w:val="6B6947A4"/>
    <w:rsid w:val="6B7A369F"/>
    <w:rsid w:val="6B7B1AB7"/>
    <w:rsid w:val="6B942656"/>
    <w:rsid w:val="6BA911BA"/>
    <w:rsid w:val="6BAC2823"/>
    <w:rsid w:val="6BB17CCF"/>
    <w:rsid w:val="6BB85601"/>
    <w:rsid w:val="6BBB682B"/>
    <w:rsid w:val="6BBD5024"/>
    <w:rsid w:val="6BD25DF8"/>
    <w:rsid w:val="6BD34BC2"/>
    <w:rsid w:val="6BD85D34"/>
    <w:rsid w:val="6BE91CF0"/>
    <w:rsid w:val="6BEB455F"/>
    <w:rsid w:val="6BEB45CC"/>
    <w:rsid w:val="6BF37DF1"/>
    <w:rsid w:val="6BFA3189"/>
    <w:rsid w:val="6C047F4C"/>
    <w:rsid w:val="6C0B4C1B"/>
    <w:rsid w:val="6C0E4EEF"/>
    <w:rsid w:val="6C153A0D"/>
    <w:rsid w:val="6C1C0C29"/>
    <w:rsid w:val="6C3468D1"/>
    <w:rsid w:val="6C3C5607"/>
    <w:rsid w:val="6C3C6265"/>
    <w:rsid w:val="6C546532"/>
    <w:rsid w:val="6C562F8A"/>
    <w:rsid w:val="6C630CE9"/>
    <w:rsid w:val="6C7C2873"/>
    <w:rsid w:val="6C832144"/>
    <w:rsid w:val="6C89781E"/>
    <w:rsid w:val="6C8A28F0"/>
    <w:rsid w:val="6C914CAA"/>
    <w:rsid w:val="6C9A6912"/>
    <w:rsid w:val="6CAB01BF"/>
    <w:rsid w:val="6CC17B62"/>
    <w:rsid w:val="6CCA6933"/>
    <w:rsid w:val="6CEC0F34"/>
    <w:rsid w:val="6CEE3336"/>
    <w:rsid w:val="6CEF01FA"/>
    <w:rsid w:val="6CF73CA4"/>
    <w:rsid w:val="6D005FF7"/>
    <w:rsid w:val="6D05105B"/>
    <w:rsid w:val="6D055E78"/>
    <w:rsid w:val="6D17316C"/>
    <w:rsid w:val="6D1D68D4"/>
    <w:rsid w:val="6D207FCD"/>
    <w:rsid w:val="6D2112FB"/>
    <w:rsid w:val="6D280C36"/>
    <w:rsid w:val="6D286C4C"/>
    <w:rsid w:val="6D2B534E"/>
    <w:rsid w:val="6D2B5B01"/>
    <w:rsid w:val="6D381497"/>
    <w:rsid w:val="6D445329"/>
    <w:rsid w:val="6D4F3914"/>
    <w:rsid w:val="6D5D66CA"/>
    <w:rsid w:val="6D6A2DB3"/>
    <w:rsid w:val="6D6A69AA"/>
    <w:rsid w:val="6D79127B"/>
    <w:rsid w:val="6D7A53AB"/>
    <w:rsid w:val="6D832281"/>
    <w:rsid w:val="6D993D94"/>
    <w:rsid w:val="6DA63640"/>
    <w:rsid w:val="6DA910BB"/>
    <w:rsid w:val="6DB17F99"/>
    <w:rsid w:val="6DB225B5"/>
    <w:rsid w:val="6DB3093B"/>
    <w:rsid w:val="6DB6586E"/>
    <w:rsid w:val="6DC237AE"/>
    <w:rsid w:val="6DC57185"/>
    <w:rsid w:val="6DCC3677"/>
    <w:rsid w:val="6DE27BDD"/>
    <w:rsid w:val="6DE53E47"/>
    <w:rsid w:val="6DEA260D"/>
    <w:rsid w:val="6DF662D2"/>
    <w:rsid w:val="6DF91502"/>
    <w:rsid w:val="6DFA2CF4"/>
    <w:rsid w:val="6E01482E"/>
    <w:rsid w:val="6E0D1941"/>
    <w:rsid w:val="6E150179"/>
    <w:rsid w:val="6E18292B"/>
    <w:rsid w:val="6E2013CD"/>
    <w:rsid w:val="6E3E50B4"/>
    <w:rsid w:val="6E402C35"/>
    <w:rsid w:val="6E403BCF"/>
    <w:rsid w:val="6E424CF7"/>
    <w:rsid w:val="6E96703D"/>
    <w:rsid w:val="6E984122"/>
    <w:rsid w:val="6E9F2B3A"/>
    <w:rsid w:val="6EA168B2"/>
    <w:rsid w:val="6EA27268"/>
    <w:rsid w:val="6EA822EF"/>
    <w:rsid w:val="6EB35675"/>
    <w:rsid w:val="6EBD1212"/>
    <w:rsid w:val="6EC07F3B"/>
    <w:rsid w:val="6EC4761A"/>
    <w:rsid w:val="6ED26905"/>
    <w:rsid w:val="6EE20566"/>
    <w:rsid w:val="6EEB6DD8"/>
    <w:rsid w:val="6EF513F6"/>
    <w:rsid w:val="6EF55455"/>
    <w:rsid w:val="6F0520A8"/>
    <w:rsid w:val="6F166BCE"/>
    <w:rsid w:val="6F1D0027"/>
    <w:rsid w:val="6F1F0771"/>
    <w:rsid w:val="6F280D81"/>
    <w:rsid w:val="6F3669E2"/>
    <w:rsid w:val="6F3A0437"/>
    <w:rsid w:val="6F452492"/>
    <w:rsid w:val="6F4B64FF"/>
    <w:rsid w:val="6F4E1ABB"/>
    <w:rsid w:val="6F65489B"/>
    <w:rsid w:val="6F6E4362"/>
    <w:rsid w:val="6F6F66FF"/>
    <w:rsid w:val="6F7227E7"/>
    <w:rsid w:val="6F7A2654"/>
    <w:rsid w:val="6F86274A"/>
    <w:rsid w:val="6F886A39"/>
    <w:rsid w:val="6F8A6B50"/>
    <w:rsid w:val="6F9964D8"/>
    <w:rsid w:val="6F9A5CC3"/>
    <w:rsid w:val="6F9E35B3"/>
    <w:rsid w:val="6F9E4E98"/>
    <w:rsid w:val="6FA22880"/>
    <w:rsid w:val="6FA74226"/>
    <w:rsid w:val="6FAA65B3"/>
    <w:rsid w:val="6FB1313E"/>
    <w:rsid w:val="6FB536E7"/>
    <w:rsid w:val="6FC169C6"/>
    <w:rsid w:val="6FC24AD0"/>
    <w:rsid w:val="6FCC27CD"/>
    <w:rsid w:val="6FCC3E02"/>
    <w:rsid w:val="6FE47EDB"/>
    <w:rsid w:val="6FFA44A3"/>
    <w:rsid w:val="6FFB2712"/>
    <w:rsid w:val="700148B1"/>
    <w:rsid w:val="700708F2"/>
    <w:rsid w:val="70082314"/>
    <w:rsid w:val="701637CE"/>
    <w:rsid w:val="70192A9F"/>
    <w:rsid w:val="70207CAA"/>
    <w:rsid w:val="70262445"/>
    <w:rsid w:val="7029143D"/>
    <w:rsid w:val="702E686B"/>
    <w:rsid w:val="70343755"/>
    <w:rsid w:val="70367BA5"/>
    <w:rsid w:val="704865AC"/>
    <w:rsid w:val="70500AA3"/>
    <w:rsid w:val="705067E1"/>
    <w:rsid w:val="70575662"/>
    <w:rsid w:val="705A0E32"/>
    <w:rsid w:val="7068342F"/>
    <w:rsid w:val="706B1A4B"/>
    <w:rsid w:val="706B2EF5"/>
    <w:rsid w:val="70796EB7"/>
    <w:rsid w:val="708446DD"/>
    <w:rsid w:val="70891E2B"/>
    <w:rsid w:val="708F1C17"/>
    <w:rsid w:val="709304FC"/>
    <w:rsid w:val="709A1764"/>
    <w:rsid w:val="70B21D55"/>
    <w:rsid w:val="70BA4068"/>
    <w:rsid w:val="70D5097F"/>
    <w:rsid w:val="70D77F1A"/>
    <w:rsid w:val="70D80040"/>
    <w:rsid w:val="70DF36C1"/>
    <w:rsid w:val="70E96559"/>
    <w:rsid w:val="70EA3271"/>
    <w:rsid w:val="70F06D61"/>
    <w:rsid w:val="70F36F46"/>
    <w:rsid w:val="70FC142B"/>
    <w:rsid w:val="71121CE9"/>
    <w:rsid w:val="711B7A62"/>
    <w:rsid w:val="71231B23"/>
    <w:rsid w:val="713166E7"/>
    <w:rsid w:val="71343C14"/>
    <w:rsid w:val="713B214A"/>
    <w:rsid w:val="714633CE"/>
    <w:rsid w:val="7157594D"/>
    <w:rsid w:val="715776FB"/>
    <w:rsid w:val="716241B1"/>
    <w:rsid w:val="71672496"/>
    <w:rsid w:val="716862BB"/>
    <w:rsid w:val="716E1428"/>
    <w:rsid w:val="7178159F"/>
    <w:rsid w:val="717E3426"/>
    <w:rsid w:val="718621EE"/>
    <w:rsid w:val="71894FD2"/>
    <w:rsid w:val="719174AB"/>
    <w:rsid w:val="71970440"/>
    <w:rsid w:val="719B2361"/>
    <w:rsid w:val="71A3311F"/>
    <w:rsid w:val="71A93483"/>
    <w:rsid w:val="71AA4E1C"/>
    <w:rsid w:val="71B57A94"/>
    <w:rsid w:val="71F8619A"/>
    <w:rsid w:val="71FA5E13"/>
    <w:rsid w:val="72005730"/>
    <w:rsid w:val="722639CD"/>
    <w:rsid w:val="72280301"/>
    <w:rsid w:val="72304806"/>
    <w:rsid w:val="7231753D"/>
    <w:rsid w:val="7232683D"/>
    <w:rsid w:val="72386C6E"/>
    <w:rsid w:val="723A3057"/>
    <w:rsid w:val="72400885"/>
    <w:rsid w:val="724551B5"/>
    <w:rsid w:val="724B6026"/>
    <w:rsid w:val="725273EA"/>
    <w:rsid w:val="725B1897"/>
    <w:rsid w:val="725F5B3C"/>
    <w:rsid w:val="72603689"/>
    <w:rsid w:val="726405E9"/>
    <w:rsid w:val="726C47BC"/>
    <w:rsid w:val="726D4C0B"/>
    <w:rsid w:val="72785888"/>
    <w:rsid w:val="72802C82"/>
    <w:rsid w:val="728A76B9"/>
    <w:rsid w:val="728E4038"/>
    <w:rsid w:val="7290256F"/>
    <w:rsid w:val="72BD5C84"/>
    <w:rsid w:val="72CD2240"/>
    <w:rsid w:val="72DC19E2"/>
    <w:rsid w:val="72DC648D"/>
    <w:rsid w:val="72E15E16"/>
    <w:rsid w:val="72E420AF"/>
    <w:rsid w:val="72E530D5"/>
    <w:rsid w:val="72EC4E12"/>
    <w:rsid w:val="72EF2AE7"/>
    <w:rsid w:val="72F5541E"/>
    <w:rsid w:val="7307533D"/>
    <w:rsid w:val="731F294C"/>
    <w:rsid w:val="733167DB"/>
    <w:rsid w:val="73317AB2"/>
    <w:rsid w:val="73373DED"/>
    <w:rsid w:val="73391B68"/>
    <w:rsid w:val="733A5527"/>
    <w:rsid w:val="733B2119"/>
    <w:rsid w:val="733F7A24"/>
    <w:rsid w:val="73423B21"/>
    <w:rsid w:val="735C44F0"/>
    <w:rsid w:val="736A01CD"/>
    <w:rsid w:val="736B4D35"/>
    <w:rsid w:val="737010AC"/>
    <w:rsid w:val="73741988"/>
    <w:rsid w:val="73742A01"/>
    <w:rsid w:val="7375590C"/>
    <w:rsid w:val="73814929"/>
    <w:rsid w:val="73874D01"/>
    <w:rsid w:val="7391289C"/>
    <w:rsid w:val="7393399F"/>
    <w:rsid w:val="73984022"/>
    <w:rsid w:val="739F28B2"/>
    <w:rsid w:val="73A84BF1"/>
    <w:rsid w:val="73C11347"/>
    <w:rsid w:val="73D362A0"/>
    <w:rsid w:val="73DA0259"/>
    <w:rsid w:val="73E2421D"/>
    <w:rsid w:val="73F639DC"/>
    <w:rsid w:val="74000D97"/>
    <w:rsid w:val="740A179D"/>
    <w:rsid w:val="74293D95"/>
    <w:rsid w:val="742D3750"/>
    <w:rsid w:val="74310474"/>
    <w:rsid w:val="743B4DE3"/>
    <w:rsid w:val="744637E6"/>
    <w:rsid w:val="74694C3B"/>
    <w:rsid w:val="746A6AAD"/>
    <w:rsid w:val="746D246B"/>
    <w:rsid w:val="747A4FBC"/>
    <w:rsid w:val="747C002A"/>
    <w:rsid w:val="7480340D"/>
    <w:rsid w:val="74886917"/>
    <w:rsid w:val="748B466B"/>
    <w:rsid w:val="74981110"/>
    <w:rsid w:val="749D62DC"/>
    <w:rsid w:val="74B56824"/>
    <w:rsid w:val="74C002E8"/>
    <w:rsid w:val="74CC4EFB"/>
    <w:rsid w:val="74D07926"/>
    <w:rsid w:val="74D469D0"/>
    <w:rsid w:val="74D94903"/>
    <w:rsid w:val="74DC7834"/>
    <w:rsid w:val="74E16AD3"/>
    <w:rsid w:val="74E271F1"/>
    <w:rsid w:val="74EE4239"/>
    <w:rsid w:val="74F02341"/>
    <w:rsid w:val="74F914E4"/>
    <w:rsid w:val="74F94292"/>
    <w:rsid w:val="74FE4D25"/>
    <w:rsid w:val="75197F39"/>
    <w:rsid w:val="751C1388"/>
    <w:rsid w:val="7523036F"/>
    <w:rsid w:val="75326EC3"/>
    <w:rsid w:val="75437152"/>
    <w:rsid w:val="754D60F6"/>
    <w:rsid w:val="7551327B"/>
    <w:rsid w:val="755D51F1"/>
    <w:rsid w:val="755F3E02"/>
    <w:rsid w:val="755F782E"/>
    <w:rsid w:val="7572766D"/>
    <w:rsid w:val="7573343A"/>
    <w:rsid w:val="757A5DAF"/>
    <w:rsid w:val="757D565C"/>
    <w:rsid w:val="757F1016"/>
    <w:rsid w:val="75851B24"/>
    <w:rsid w:val="758C2EBE"/>
    <w:rsid w:val="758D1A36"/>
    <w:rsid w:val="758D2F02"/>
    <w:rsid w:val="75A16A9F"/>
    <w:rsid w:val="75A86778"/>
    <w:rsid w:val="75BC6CCF"/>
    <w:rsid w:val="75D61B06"/>
    <w:rsid w:val="75D636FA"/>
    <w:rsid w:val="75DB4D9F"/>
    <w:rsid w:val="75E27D49"/>
    <w:rsid w:val="75EA771F"/>
    <w:rsid w:val="75F17559"/>
    <w:rsid w:val="75FE7567"/>
    <w:rsid w:val="76114AC9"/>
    <w:rsid w:val="761867BE"/>
    <w:rsid w:val="762B1157"/>
    <w:rsid w:val="762F50EB"/>
    <w:rsid w:val="76365AD0"/>
    <w:rsid w:val="763E44C0"/>
    <w:rsid w:val="76433653"/>
    <w:rsid w:val="7648216B"/>
    <w:rsid w:val="7656362A"/>
    <w:rsid w:val="765660D9"/>
    <w:rsid w:val="7656688E"/>
    <w:rsid w:val="765D57EA"/>
    <w:rsid w:val="76641803"/>
    <w:rsid w:val="76780840"/>
    <w:rsid w:val="767870BA"/>
    <w:rsid w:val="7688585F"/>
    <w:rsid w:val="76933A35"/>
    <w:rsid w:val="769371E6"/>
    <w:rsid w:val="76AE1756"/>
    <w:rsid w:val="76BE3027"/>
    <w:rsid w:val="76CA616D"/>
    <w:rsid w:val="76DF0E9A"/>
    <w:rsid w:val="76ED7180"/>
    <w:rsid w:val="76EE3E63"/>
    <w:rsid w:val="76F54CF0"/>
    <w:rsid w:val="76FD1BF4"/>
    <w:rsid w:val="76FD5906"/>
    <w:rsid w:val="77072866"/>
    <w:rsid w:val="770B684E"/>
    <w:rsid w:val="77144F2F"/>
    <w:rsid w:val="77157BC7"/>
    <w:rsid w:val="771D50F3"/>
    <w:rsid w:val="771F1990"/>
    <w:rsid w:val="77204CB1"/>
    <w:rsid w:val="772462D2"/>
    <w:rsid w:val="77282E24"/>
    <w:rsid w:val="77432F5D"/>
    <w:rsid w:val="7758241F"/>
    <w:rsid w:val="775C70FA"/>
    <w:rsid w:val="77676DD8"/>
    <w:rsid w:val="776D12D7"/>
    <w:rsid w:val="77753DE9"/>
    <w:rsid w:val="777C1603"/>
    <w:rsid w:val="77822FF8"/>
    <w:rsid w:val="77964B32"/>
    <w:rsid w:val="77986676"/>
    <w:rsid w:val="77A14CDE"/>
    <w:rsid w:val="77A967D7"/>
    <w:rsid w:val="77AA2F7D"/>
    <w:rsid w:val="77B83883"/>
    <w:rsid w:val="77C62EB8"/>
    <w:rsid w:val="77C96BD3"/>
    <w:rsid w:val="77D335ED"/>
    <w:rsid w:val="77D60033"/>
    <w:rsid w:val="77D800C3"/>
    <w:rsid w:val="77E50D75"/>
    <w:rsid w:val="77EF1CC9"/>
    <w:rsid w:val="77F42148"/>
    <w:rsid w:val="77F547E0"/>
    <w:rsid w:val="77F8286E"/>
    <w:rsid w:val="78013FDE"/>
    <w:rsid w:val="78266CE5"/>
    <w:rsid w:val="7827421F"/>
    <w:rsid w:val="782B4A23"/>
    <w:rsid w:val="782F340C"/>
    <w:rsid w:val="78302F8F"/>
    <w:rsid w:val="784117AB"/>
    <w:rsid w:val="78510397"/>
    <w:rsid w:val="7853409D"/>
    <w:rsid w:val="78542CE7"/>
    <w:rsid w:val="78552936"/>
    <w:rsid w:val="7859644F"/>
    <w:rsid w:val="785D1E8E"/>
    <w:rsid w:val="78731F0E"/>
    <w:rsid w:val="787429FA"/>
    <w:rsid w:val="78754CBA"/>
    <w:rsid w:val="78805EAB"/>
    <w:rsid w:val="78816E80"/>
    <w:rsid w:val="78852DA0"/>
    <w:rsid w:val="78881BFC"/>
    <w:rsid w:val="78962FA5"/>
    <w:rsid w:val="78985C87"/>
    <w:rsid w:val="78A43903"/>
    <w:rsid w:val="78AF314E"/>
    <w:rsid w:val="78C148AC"/>
    <w:rsid w:val="78CA1FEE"/>
    <w:rsid w:val="78CB3FEB"/>
    <w:rsid w:val="78D16B6E"/>
    <w:rsid w:val="78DE79B0"/>
    <w:rsid w:val="78E34E0E"/>
    <w:rsid w:val="79295E21"/>
    <w:rsid w:val="793B5CE2"/>
    <w:rsid w:val="795310F0"/>
    <w:rsid w:val="795C411F"/>
    <w:rsid w:val="796057A7"/>
    <w:rsid w:val="7966323A"/>
    <w:rsid w:val="796834B3"/>
    <w:rsid w:val="796D1A04"/>
    <w:rsid w:val="796E5F2A"/>
    <w:rsid w:val="797B3C8A"/>
    <w:rsid w:val="797F45FC"/>
    <w:rsid w:val="798304E0"/>
    <w:rsid w:val="79830C32"/>
    <w:rsid w:val="79877B2B"/>
    <w:rsid w:val="79970647"/>
    <w:rsid w:val="79982A61"/>
    <w:rsid w:val="79A11C25"/>
    <w:rsid w:val="79B6564B"/>
    <w:rsid w:val="79B847D4"/>
    <w:rsid w:val="79BD12D1"/>
    <w:rsid w:val="79CE7F1F"/>
    <w:rsid w:val="79D9682C"/>
    <w:rsid w:val="79DA2967"/>
    <w:rsid w:val="79DB75C0"/>
    <w:rsid w:val="79E37881"/>
    <w:rsid w:val="79E4486C"/>
    <w:rsid w:val="79EA2E0E"/>
    <w:rsid w:val="79ED08FA"/>
    <w:rsid w:val="79F501D1"/>
    <w:rsid w:val="79FC00C4"/>
    <w:rsid w:val="79FC2BF8"/>
    <w:rsid w:val="7A0610D0"/>
    <w:rsid w:val="7A067AFA"/>
    <w:rsid w:val="7A094726"/>
    <w:rsid w:val="7A0C585A"/>
    <w:rsid w:val="7A195E96"/>
    <w:rsid w:val="7A1C71D7"/>
    <w:rsid w:val="7A2578FD"/>
    <w:rsid w:val="7A2C4C98"/>
    <w:rsid w:val="7A2C7450"/>
    <w:rsid w:val="7A326B5A"/>
    <w:rsid w:val="7A4B0019"/>
    <w:rsid w:val="7A535A35"/>
    <w:rsid w:val="7A547BED"/>
    <w:rsid w:val="7A553725"/>
    <w:rsid w:val="7A604F43"/>
    <w:rsid w:val="7A616D0A"/>
    <w:rsid w:val="7A783A23"/>
    <w:rsid w:val="7A7F2C76"/>
    <w:rsid w:val="7A864B14"/>
    <w:rsid w:val="7A8F5500"/>
    <w:rsid w:val="7A987393"/>
    <w:rsid w:val="7A9B01A4"/>
    <w:rsid w:val="7AAC462A"/>
    <w:rsid w:val="7AAD4830"/>
    <w:rsid w:val="7ABC1261"/>
    <w:rsid w:val="7AC10900"/>
    <w:rsid w:val="7AD14E20"/>
    <w:rsid w:val="7AD51C8F"/>
    <w:rsid w:val="7AD85F47"/>
    <w:rsid w:val="7AF84FA0"/>
    <w:rsid w:val="7AF909C6"/>
    <w:rsid w:val="7B007431"/>
    <w:rsid w:val="7B0703E4"/>
    <w:rsid w:val="7B0F551F"/>
    <w:rsid w:val="7B1D5728"/>
    <w:rsid w:val="7B1F3681"/>
    <w:rsid w:val="7B1F7B91"/>
    <w:rsid w:val="7B203C3A"/>
    <w:rsid w:val="7B452CBB"/>
    <w:rsid w:val="7B6618C8"/>
    <w:rsid w:val="7B6F1BD0"/>
    <w:rsid w:val="7B732126"/>
    <w:rsid w:val="7B755C15"/>
    <w:rsid w:val="7B7A32D9"/>
    <w:rsid w:val="7B7B20CE"/>
    <w:rsid w:val="7B827A6B"/>
    <w:rsid w:val="7B8657AD"/>
    <w:rsid w:val="7B8E1216"/>
    <w:rsid w:val="7B9A1345"/>
    <w:rsid w:val="7B9F4805"/>
    <w:rsid w:val="7BA226FD"/>
    <w:rsid w:val="7BA46E03"/>
    <w:rsid w:val="7BB20B69"/>
    <w:rsid w:val="7BB819E3"/>
    <w:rsid w:val="7BC22AB6"/>
    <w:rsid w:val="7BC51755"/>
    <w:rsid w:val="7BC67AB6"/>
    <w:rsid w:val="7BC77B74"/>
    <w:rsid w:val="7BCA6C86"/>
    <w:rsid w:val="7BD55DED"/>
    <w:rsid w:val="7BD858DD"/>
    <w:rsid w:val="7BE71869"/>
    <w:rsid w:val="7BED2345"/>
    <w:rsid w:val="7BF4232A"/>
    <w:rsid w:val="7BFA34FC"/>
    <w:rsid w:val="7BFA4E58"/>
    <w:rsid w:val="7C044DA1"/>
    <w:rsid w:val="7C0964D1"/>
    <w:rsid w:val="7C0B3159"/>
    <w:rsid w:val="7C132D64"/>
    <w:rsid w:val="7C3F76F0"/>
    <w:rsid w:val="7C53091A"/>
    <w:rsid w:val="7C541407"/>
    <w:rsid w:val="7C6834AC"/>
    <w:rsid w:val="7C761A01"/>
    <w:rsid w:val="7C7C303E"/>
    <w:rsid w:val="7C7D6023"/>
    <w:rsid w:val="7C805ECF"/>
    <w:rsid w:val="7C831CEC"/>
    <w:rsid w:val="7C9B5288"/>
    <w:rsid w:val="7CA33449"/>
    <w:rsid w:val="7CA45FF7"/>
    <w:rsid w:val="7CB820BC"/>
    <w:rsid w:val="7CC145C3"/>
    <w:rsid w:val="7CC61907"/>
    <w:rsid w:val="7CC72903"/>
    <w:rsid w:val="7CD9190C"/>
    <w:rsid w:val="7CDE2E20"/>
    <w:rsid w:val="7CE0350C"/>
    <w:rsid w:val="7D0A0BA4"/>
    <w:rsid w:val="7D107AF3"/>
    <w:rsid w:val="7D142945"/>
    <w:rsid w:val="7D28386F"/>
    <w:rsid w:val="7D382F40"/>
    <w:rsid w:val="7D4253C7"/>
    <w:rsid w:val="7D4C5341"/>
    <w:rsid w:val="7D4E5EE6"/>
    <w:rsid w:val="7D6F3EC9"/>
    <w:rsid w:val="7D800310"/>
    <w:rsid w:val="7D8640E1"/>
    <w:rsid w:val="7D8901AD"/>
    <w:rsid w:val="7D8E577D"/>
    <w:rsid w:val="7D8F2C22"/>
    <w:rsid w:val="7D8F4612"/>
    <w:rsid w:val="7D90536C"/>
    <w:rsid w:val="7D9A426A"/>
    <w:rsid w:val="7D9A7FCD"/>
    <w:rsid w:val="7DB2733F"/>
    <w:rsid w:val="7DC10938"/>
    <w:rsid w:val="7DD17FD1"/>
    <w:rsid w:val="7DE44296"/>
    <w:rsid w:val="7DE70AC3"/>
    <w:rsid w:val="7DE72DC8"/>
    <w:rsid w:val="7DF245FC"/>
    <w:rsid w:val="7E006F08"/>
    <w:rsid w:val="7E026C41"/>
    <w:rsid w:val="7E177A0D"/>
    <w:rsid w:val="7E21356B"/>
    <w:rsid w:val="7E3101B4"/>
    <w:rsid w:val="7E3172CD"/>
    <w:rsid w:val="7E333E03"/>
    <w:rsid w:val="7E391FE6"/>
    <w:rsid w:val="7E3C2153"/>
    <w:rsid w:val="7E3F1C43"/>
    <w:rsid w:val="7E43544C"/>
    <w:rsid w:val="7E4D1B3B"/>
    <w:rsid w:val="7E4D6F6B"/>
    <w:rsid w:val="7E590F99"/>
    <w:rsid w:val="7E607DE7"/>
    <w:rsid w:val="7E750D96"/>
    <w:rsid w:val="7E7A6F17"/>
    <w:rsid w:val="7E7D152D"/>
    <w:rsid w:val="7E841A66"/>
    <w:rsid w:val="7E862006"/>
    <w:rsid w:val="7E876C73"/>
    <w:rsid w:val="7E916762"/>
    <w:rsid w:val="7E9E6093"/>
    <w:rsid w:val="7EA916FD"/>
    <w:rsid w:val="7EB43756"/>
    <w:rsid w:val="7EB75C7D"/>
    <w:rsid w:val="7EBA3122"/>
    <w:rsid w:val="7EBF6723"/>
    <w:rsid w:val="7ECD36F3"/>
    <w:rsid w:val="7ED011E0"/>
    <w:rsid w:val="7EE305D2"/>
    <w:rsid w:val="7EE53C64"/>
    <w:rsid w:val="7EE92D33"/>
    <w:rsid w:val="7EEA29E2"/>
    <w:rsid w:val="7EEF3AF9"/>
    <w:rsid w:val="7EF924F2"/>
    <w:rsid w:val="7F2749A1"/>
    <w:rsid w:val="7F541580"/>
    <w:rsid w:val="7F542E94"/>
    <w:rsid w:val="7F590594"/>
    <w:rsid w:val="7F602911"/>
    <w:rsid w:val="7F65392B"/>
    <w:rsid w:val="7F667225"/>
    <w:rsid w:val="7F7E1653"/>
    <w:rsid w:val="7F844A6E"/>
    <w:rsid w:val="7F887A65"/>
    <w:rsid w:val="7F9E05E2"/>
    <w:rsid w:val="7FA06711"/>
    <w:rsid w:val="7FA27C81"/>
    <w:rsid w:val="7FAA1C29"/>
    <w:rsid w:val="7FAC4830"/>
    <w:rsid w:val="7FB659E5"/>
    <w:rsid w:val="7FB7407D"/>
    <w:rsid w:val="7FC95C68"/>
    <w:rsid w:val="7FD9639F"/>
    <w:rsid w:val="7FDB599C"/>
    <w:rsid w:val="7FDC7DE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4">
    <w:name w:val="Normal Indent"/>
    <w:qFormat/>
    <w:uiPriority w:val="0"/>
    <w:pPr>
      <w:widowControl w:val="0"/>
      <w:ind w:firstLine="420"/>
      <w:jc w:val="both"/>
    </w:pPr>
    <w:rPr>
      <w:rFonts w:asciiTheme="minorHAnsi" w:hAnsiTheme="minorHAnsi" w:eastAsiaTheme="minorEastAsia" w:cstheme="minorBidi"/>
      <w:kern w:val="2"/>
      <w:sz w:val="21"/>
      <w:szCs w:val="20"/>
      <w:lang w:val="en-US" w:eastAsia="zh-CN" w:bidi="ar-SA"/>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table" w:customStyle="1" w:styleId="29">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17737</Words>
  <Characters>19534</Characters>
  <Lines>0</Lines>
  <Paragraphs>0</Paragraphs>
  <TotalTime>5</TotalTime>
  <ScaleCrop>false</ScaleCrop>
  <LinksUpToDate>false</LinksUpToDate>
  <CharactersWithSpaces>20730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薛芮</cp:lastModifiedBy>
  <cp:lastPrinted>2022-05-26T06:58:00Z</cp:lastPrinted>
  <dcterms:modified xsi:type="dcterms:W3CDTF">2022-10-12T00:37:43Z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383E715DF5C8458393E4A773507A30AF</vt:lpwstr>
  </property>
</Properties>
</file>