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u w:val="single"/>
          <w:shd w:val="clear" w:color="auto" w:fill="auto"/>
          <w:lang w:val="en-US" w:eastAsia="zh-CN"/>
        </w:rPr>
      </w:pPr>
      <w:r>
        <w:rPr>
          <w:rFonts w:hint="eastAsia" w:asciiTheme="majorEastAsia" w:hAnsiTheme="majorEastAsia" w:eastAsiaTheme="majorEastAsia" w:cstheme="majorEastAsia"/>
          <w:kern w:val="0"/>
          <w:sz w:val="36"/>
          <w:szCs w:val="36"/>
          <w:highlight w:val="none"/>
          <w:u w:val="none"/>
          <w:shd w:val="clear" w:color="auto" w:fill="auto"/>
          <w:lang w:val="en-US" w:eastAsia="zh-CN"/>
        </w:rPr>
        <w:t>2022年度S309亳州段一级公路养护工程沥青混凝土采购项目</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BZJK-2022-038号</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年八</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（合理低价法）.........................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招标人要求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七</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2022年度S309亳州段一级公路养护工程沥青混凝土采购项目</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44974487"/>
      <w:bookmarkStart w:id="2" w:name="_Toc179632536"/>
      <w:bookmarkStart w:id="3" w:name="_Toc246996166"/>
      <w:bookmarkStart w:id="4" w:name="_Toc152042295"/>
      <w:bookmarkStart w:id="5" w:name="_Toc296602410"/>
      <w:bookmarkStart w:id="6" w:name="_Toc152045519"/>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96602411"/>
      <w:bookmarkStart w:id="9" w:name="_Toc144974488"/>
      <w:bookmarkStart w:id="10" w:name="_Toc246996167"/>
      <w:bookmarkStart w:id="11" w:name="_Toc179632537"/>
      <w:bookmarkStart w:id="12" w:name="_Toc152045520"/>
      <w:bookmarkStart w:id="13" w:name="_Toc246996910"/>
      <w:bookmarkStart w:id="14" w:name="_Toc152042296"/>
      <w:bookmarkStart w:id="15" w:name="_Toc247085681"/>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lang w:eastAsia="zh-CN"/>
        </w:rPr>
        <w:t>2022年度S309亳州段一级公路养护工程沥青混凝土采购项目</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BZJK-2022-038号</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none"/>
          <w:lang w:eastAsia="zh-CN"/>
        </w:rPr>
        <w:t>。</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安徽通康建设工程有限公司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（一）项目概况：2022 年度 S309 亳州段一级公路养护工程位于谯城区、涡阳县境内。主要采购内容为改性沥青混凝土、透封层、粘层材料等。现场已具备施工条件。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（二）采购内容：2022年度S309亳州段一级公路养护工程沥青混凝土材料采购。施工图纸及清单范围内包括但不限于所有AC-13C SBS改性沥青混凝土、AC-20C SBS改性沥青混凝土、AC-25C粗粒式沥青混凝土、透封层、粘层油等。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（三）交货期：自</w:t>
      </w:r>
      <w:r>
        <w:rPr>
          <w:rFonts w:hint="eastAsia" w:ascii="Times New Roman" w:hAnsi="Times New Roman" w:eastAsia="仿宋_GB2312" w:cs="Times New Roman"/>
          <w:sz w:val="28"/>
          <w:szCs w:val="28"/>
          <w:highlight w:val="none"/>
          <w:shd w:val="clear"/>
          <w:lang w:val="en-US" w:eastAsia="zh-CN"/>
        </w:rPr>
        <w:t>合同签订之日起60个日历天内完成供货。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（四）质量标准：符合国家、地方、行业现行相关规范合格标准，满足采购人及设计文件要求。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（五）最高投标限价（不含税）：</w:t>
      </w:r>
      <w:r>
        <w:rPr>
          <w:rFonts w:hint="eastAsia" w:ascii="Times New Roman" w:hAnsi="Times New Roman" w:eastAsia="仿宋_GB2312" w:cs="Times New Roman"/>
          <w:sz w:val="28"/>
          <w:szCs w:val="28"/>
          <w:highlight w:val="none"/>
          <w:u w:val="single"/>
          <w:lang w:val="en-US" w:eastAsia="zh-CN"/>
        </w:rPr>
        <w:t>人民币（大写）：捌佰玖拾捌万壹仟贰佰叁拾柒元伍角，（小写）：8981237.5元</w:t>
      </w:r>
      <w:r>
        <w:rPr>
          <w:rFonts w:hint="eastAsia" w:ascii="Times New Roman" w:hAnsi="Times New Roman" w:eastAsia="仿宋_GB2312" w:cs="Times New Roman"/>
          <w:sz w:val="28"/>
          <w:szCs w:val="28"/>
          <w:highlight w:val="none"/>
          <w:lang w:val="en-US" w:eastAsia="zh-CN"/>
        </w:rPr>
        <w:t>。本项目按固定单价报价，投标报价超出限价或为可能影响合同履约的异常低价的，按无效投标处理；投标报价应包括为原材料、生产加工、装卸费、运杂费、出厂检验试验费、采购保管费、运输费、人工费、过路过江过桥费、车辆油料费、保险费、利润、风险金等抵达指定交货地点的所有费用，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人须具有独立企业法人资格，具有有效的营业执照。并在人员、设备、资金等方面具有承担本项目的能力。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（二）业绩要求：投标人须提供至少1个类似项目业绩。“类似项目业绩”是指投标人自2019年1月1日以来已完成承接的单项合同金额不低于700万元的沥青混凝土材料供货业绩。业绩时间以合同签订时间为准。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（三）信誉要求：投标人存在以下不良信用记录情形之一的，不得推荐为中标候选人。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以上情形以“信用中国”（www.creditchina.gov.cn）发布的为准，有限制期限的按规定期限执行。（投标人须提供信用中国网站查询结果截图装入投标文件）。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联合体和分公司投标。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（六）其他要求：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（1）本项目委托代理人必须是投标单位正式人员，须提供投标单位公司为其缴纳的2022年1月1日起任意3个月及以上养老保险证明，否则按无效投标处理。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（2）投标人若为沥青混凝土代理经销商，须具有沥青混凝土生产厂家针对本项目出具的唯一销售授权书。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8</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12</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(三)为响应亳州市疫情防控要求，本次招标允许</w:t>
      </w:r>
      <w:r>
        <w:rPr>
          <w:rFonts w:hint="eastAsia" w:ascii="Times New Roman" w:hAnsi="Times New Roman" w:eastAsia="仿宋_GB2312" w:cs="Times New Roman"/>
          <w:sz w:val="28"/>
          <w:szCs w:val="28"/>
          <w:highlight w:val="none"/>
          <w:lang w:val="en-US" w:eastAsia="zh-CN"/>
        </w:rPr>
        <w:t>投标人</w:t>
      </w:r>
      <w:r>
        <w:rPr>
          <w:rFonts w:hint="default" w:ascii="Times New Roman" w:hAnsi="Times New Roman" w:eastAsia="仿宋_GB2312" w:cs="Times New Roman"/>
          <w:sz w:val="28"/>
          <w:szCs w:val="28"/>
          <w:highlight w:val="none"/>
          <w:lang w:val="en-US" w:eastAsia="zh-CN"/>
        </w:rPr>
        <w:t>以邮寄方式递交</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w:t>
      </w:r>
      <w:r>
        <w:rPr>
          <w:rFonts w:hint="eastAsia" w:ascii="Times New Roman" w:hAnsi="Times New Roman" w:eastAsia="仿宋_GB2312" w:cs="Times New Roman"/>
          <w:sz w:val="28"/>
          <w:szCs w:val="28"/>
          <w:highlight w:val="none"/>
          <w:lang w:val="en-US" w:eastAsia="zh-CN"/>
        </w:rPr>
        <w:t>投标人</w:t>
      </w:r>
      <w:r>
        <w:rPr>
          <w:rFonts w:hint="default" w:ascii="Times New Roman" w:hAnsi="Times New Roman" w:eastAsia="仿宋_GB2312" w:cs="Times New Roman"/>
          <w:sz w:val="28"/>
          <w:szCs w:val="28"/>
          <w:highlight w:val="none"/>
          <w:lang w:val="en-US" w:eastAsia="zh-CN"/>
        </w:rPr>
        <w:t>采用邮寄方式递交</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文件的，</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文件送达时间以</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人签收快递时间为准。邮寄信息同招标平台联系方式，</w:t>
      </w:r>
      <w:r>
        <w:rPr>
          <w:rFonts w:hint="eastAsia" w:ascii="Times New Roman" w:hAnsi="Times New Roman" w:eastAsia="仿宋_GB2312" w:cs="Times New Roman"/>
          <w:sz w:val="28"/>
          <w:szCs w:val="28"/>
          <w:highlight w:val="none"/>
          <w:lang w:val="en-US" w:eastAsia="zh-CN"/>
        </w:rPr>
        <w:t>投标人</w:t>
      </w:r>
      <w:r>
        <w:rPr>
          <w:rFonts w:hint="default" w:ascii="Times New Roman" w:hAnsi="Times New Roman" w:eastAsia="仿宋_GB2312" w:cs="Times New Roman"/>
          <w:sz w:val="28"/>
          <w:szCs w:val="28"/>
          <w:highlight w:val="none"/>
          <w:lang w:val="en-US" w:eastAsia="zh-CN"/>
        </w:rPr>
        <w:t>寄出投标文件后，应电话通知招标平台工作人员，以便</w:t>
      </w:r>
      <w:r>
        <w:rPr>
          <w:rFonts w:hint="eastAsia" w:ascii="Times New Roman" w:hAnsi="Times New Roman" w:eastAsia="仿宋_GB2312" w:cs="Times New Roman"/>
          <w:sz w:val="28"/>
          <w:szCs w:val="28"/>
          <w:highlight w:val="none"/>
          <w:lang w:val="en-US" w:eastAsia="zh-CN"/>
        </w:rPr>
        <w:t>招标人</w:t>
      </w:r>
      <w:r>
        <w:rPr>
          <w:rFonts w:hint="default" w:ascii="Times New Roman" w:hAnsi="Times New Roman" w:eastAsia="仿宋_GB2312" w:cs="Times New Roman"/>
          <w:sz w:val="28"/>
          <w:szCs w:val="28"/>
          <w:highlight w:val="none"/>
          <w:lang w:val="en-US" w:eastAsia="zh-CN"/>
        </w:rPr>
        <w:t>及时签收</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路先生、纪先生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19155250519、19155250535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8</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5</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详见第一章招标公告、第四章合同条款及格式、第五章供货要求、第六章招标人要求</w:t>
            </w:r>
            <w:bookmarkStart w:id="77" w:name="_GoBack"/>
            <w:bookmarkEnd w:id="77"/>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壹拾伍万元整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150000元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BZJK-2022-038号投标保证金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招标人名称：安徽通康建设工程有限公司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2022年度S309亳州段一级公路养护工程沥青混凝土采购项目</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招标项目编号：BZJK-2022-038号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履约保证金的金额：中标金额的10%</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无违约行为发生或违约行为已处理的情况下，供货完成且验收未发现问题或问题已解决后返还全部履约保证金（本金无息）。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bookmarkStart w:id="16" w:name="_Toc296602477"/>
      <w:bookmarkStart w:id="17" w:name="_Toc247085747"/>
      <w:bookmarkStart w:id="18" w:name="_Toc152045589"/>
      <w:bookmarkStart w:id="19" w:name="_Toc179632607"/>
      <w:bookmarkStart w:id="20" w:name="_Toc246996232"/>
      <w:bookmarkStart w:id="21" w:name="_Toc246996975"/>
      <w:bookmarkStart w:id="22" w:name="_Toc152042366"/>
      <w:bookmarkStart w:id="23" w:name="_Toc144974556"/>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auto"/>
                <w:kern w:val="0"/>
                <w:sz w:val="24"/>
                <w:szCs w:val="24"/>
                <w:highlight w:val="none"/>
                <w:u w:val="none"/>
              </w:rPr>
              <w:t>有效报价：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1</w:t>
            </w:r>
            <w:r>
              <w:rPr>
                <w:rFonts w:hint="default" w:ascii="Times New Roman" w:hAnsi="Times New Roman" w:cs="Times New Roman" w:eastAsiaTheme="minorEastAsia"/>
                <w:i w:val="0"/>
                <w:iCs w:val="0"/>
                <w:color w:val="auto"/>
                <w:kern w:val="0"/>
                <w:sz w:val="24"/>
                <w:szCs w:val="24"/>
                <w:highlight w:val="none"/>
                <w:u w:val="none"/>
              </w:rPr>
              <w:t>）有效报价为1</w:t>
            </w:r>
            <w:r>
              <w:rPr>
                <w:rFonts w:hint="eastAsia" w:ascii="Times New Roman" w:hAnsi="Times New Roman" w:cs="Times New Roman"/>
                <w:i w:val="0"/>
                <w:iCs w:val="0"/>
                <w:color w:val="auto"/>
                <w:kern w:val="0"/>
                <w:sz w:val="24"/>
                <w:szCs w:val="24"/>
                <w:highlight w:val="none"/>
                <w:u w:val="none"/>
                <w:lang w:val="en-US" w:eastAsia="zh-CN"/>
              </w:rPr>
              <w:t>1</w:t>
            </w:r>
            <w:r>
              <w:rPr>
                <w:rFonts w:hint="default" w:ascii="Times New Roman" w:hAnsi="Times New Roman" w:cs="Times New Roman" w:eastAsiaTheme="minorEastAsia"/>
                <w:i w:val="0"/>
                <w:iCs w:val="0"/>
                <w:color w:val="auto"/>
                <w:kern w:val="0"/>
                <w:sz w:val="24"/>
                <w:szCs w:val="24"/>
                <w:highlight w:val="none"/>
                <w:u w:val="none"/>
              </w:rPr>
              <w:t>家</w:t>
            </w:r>
            <w:r>
              <w:rPr>
                <w:rFonts w:hint="eastAsia" w:ascii="Times New Roman" w:hAnsi="Times New Roman" w:cs="Times New Roman"/>
                <w:i w:val="0"/>
                <w:iCs w:val="0"/>
                <w:color w:val="auto"/>
                <w:kern w:val="0"/>
                <w:sz w:val="24"/>
                <w:szCs w:val="24"/>
                <w:highlight w:val="none"/>
                <w:u w:val="none"/>
                <w:lang w:val="en-US" w:eastAsia="zh-CN"/>
              </w:rPr>
              <w:t>及以上</w:t>
            </w:r>
            <w:r>
              <w:rPr>
                <w:rFonts w:hint="default" w:ascii="Times New Roman" w:hAnsi="Times New Roman" w:cs="Times New Roman" w:eastAsiaTheme="minorEastAsia"/>
                <w:i w:val="0"/>
                <w:iCs w:val="0"/>
                <w:color w:val="auto"/>
                <w:kern w:val="0"/>
                <w:sz w:val="24"/>
                <w:szCs w:val="24"/>
                <w:highlight w:val="none"/>
                <w:u w:val="none"/>
              </w:rPr>
              <w:t>时，去掉2个最高价和2个最低价，取剩下的投标人投标报价的算数平均数</w:t>
            </w:r>
            <w:r>
              <w:rPr>
                <w:rFonts w:hint="eastAsia" w:ascii="Times New Roman" w:hAnsi="Times New Roman" w:cs="Times New Roman"/>
                <w:kern w:val="0"/>
                <w:sz w:val="24"/>
                <w:szCs w:val="24"/>
                <w:highlight w:val="none"/>
                <w:lang w:val="en-US" w:eastAsia="zh-CN"/>
              </w:rPr>
              <w:t>下浮N%</w:t>
            </w:r>
            <w:r>
              <w:rPr>
                <w:rFonts w:hint="default" w:ascii="Times New Roman" w:hAnsi="Times New Roman" w:cs="Times New Roman" w:eastAsiaTheme="minorEastAsia"/>
                <w:i w:val="0"/>
                <w:iCs w:val="0"/>
                <w:color w:val="auto"/>
                <w:kern w:val="0"/>
                <w:sz w:val="24"/>
                <w:szCs w:val="24"/>
                <w:highlight w:val="none"/>
                <w:u w:val="none"/>
              </w:rPr>
              <w:t>作为评标基准价；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2</w:t>
            </w:r>
            <w:r>
              <w:rPr>
                <w:rFonts w:hint="default" w:ascii="Times New Roman" w:hAnsi="Times New Roman" w:cs="Times New Roman" w:eastAsiaTheme="minorEastAsia"/>
                <w:i w:val="0"/>
                <w:iCs w:val="0"/>
                <w:color w:val="auto"/>
                <w:kern w:val="0"/>
                <w:sz w:val="24"/>
                <w:szCs w:val="24"/>
                <w:highlight w:val="none"/>
                <w:u w:val="none"/>
              </w:rPr>
              <w:t>）有效报价为</w:t>
            </w:r>
            <w:r>
              <w:rPr>
                <w:rFonts w:hint="eastAsia" w:ascii="Times New Roman" w:hAnsi="Times New Roman" w:cs="Times New Roman"/>
                <w:i w:val="0"/>
                <w:iCs w:val="0"/>
                <w:color w:val="auto"/>
                <w:kern w:val="0"/>
                <w:sz w:val="24"/>
                <w:szCs w:val="24"/>
                <w:highlight w:val="none"/>
                <w:u w:val="none"/>
                <w:lang w:val="en-US" w:eastAsia="zh-CN"/>
              </w:rPr>
              <w:t>6</w:t>
            </w:r>
            <w:r>
              <w:rPr>
                <w:rFonts w:hint="default" w:ascii="Times New Roman" w:hAnsi="Times New Roman" w:cs="Times New Roman" w:eastAsiaTheme="minorEastAsia"/>
                <w:i w:val="0"/>
                <w:iCs w:val="0"/>
                <w:color w:val="auto"/>
                <w:kern w:val="0"/>
                <w:sz w:val="24"/>
                <w:szCs w:val="24"/>
                <w:highlight w:val="none"/>
                <w:u w:val="none"/>
              </w:rPr>
              <w:t>（含）家至 10（含）家时，去掉1个最高价和1个最低价，</w:t>
            </w:r>
            <w:r>
              <w:rPr>
                <w:rFonts w:hint="default" w:ascii="Times New Roman" w:hAnsi="Times New Roman" w:cs="Times New Roman"/>
                <w:kern w:val="0"/>
                <w:sz w:val="24"/>
                <w:szCs w:val="24"/>
                <w:highlight w:val="none"/>
                <w:lang w:val="en-US" w:eastAsia="zh-CN"/>
              </w:rPr>
              <w:t>取剩下的投标人投标报价的算数平均数</w:t>
            </w:r>
            <w:r>
              <w:rPr>
                <w:rFonts w:hint="eastAsia" w:ascii="Times New Roman" w:hAnsi="Times New Roman" w:cs="Times New Roman"/>
                <w:kern w:val="0"/>
                <w:sz w:val="24"/>
                <w:szCs w:val="24"/>
                <w:highlight w:val="none"/>
                <w:lang w:val="en-US" w:eastAsia="zh-CN"/>
              </w:rPr>
              <w:t>下浮N%</w:t>
            </w:r>
            <w:r>
              <w:rPr>
                <w:rFonts w:hint="default" w:ascii="Times New Roman" w:hAnsi="Times New Roman" w:cs="Times New Roman"/>
                <w:kern w:val="0"/>
                <w:sz w:val="24"/>
                <w:szCs w:val="24"/>
                <w:highlight w:val="none"/>
                <w:lang w:val="en-US" w:eastAsia="zh-CN"/>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kern w:val="0"/>
                <w:sz w:val="24"/>
                <w:szCs w:val="24"/>
                <w:highlight w:val="none"/>
                <w:u w:val="none"/>
                <w:lang w:eastAsia="zh-CN"/>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3</w:t>
            </w:r>
            <w:r>
              <w:rPr>
                <w:rFonts w:hint="default" w:ascii="Times New Roman" w:hAnsi="Times New Roman" w:cs="Times New Roman" w:eastAsiaTheme="minorEastAsia"/>
                <w:i w:val="0"/>
                <w:iCs w:val="0"/>
                <w:color w:val="auto"/>
                <w:kern w:val="0"/>
                <w:sz w:val="24"/>
                <w:szCs w:val="24"/>
                <w:highlight w:val="none"/>
                <w:u w:val="none"/>
              </w:rPr>
              <w:t>）有效报价在5家</w:t>
            </w:r>
            <w:r>
              <w:rPr>
                <w:rFonts w:hint="eastAsia" w:ascii="Times New Roman" w:hAnsi="Times New Roman" w:cs="Times New Roman"/>
                <w:i w:val="0"/>
                <w:iCs w:val="0"/>
                <w:color w:val="auto"/>
                <w:kern w:val="0"/>
                <w:sz w:val="24"/>
                <w:szCs w:val="24"/>
                <w:highlight w:val="none"/>
                <w:u w:val="none"/>
                <w:lang w:val="en-US" w:eastAsia="zh-CN"/>
              </w:rPr>
              <w:t>及</w:t>
            </w:r>
            <w:r>
              <w:rPr>
                <w:rFonts w:hint="default" w:ascii="Times New Roman" w:hAnsi="Times New Roman" w:cs="Times New Roman" w:eastAsiaTheme="minorEastAsia"/>
                <w:i w:val="0"/>
                <w:iCs w:val="0"/>
                <w:color w:val="auto"/>
                <w:kern w:val="0"/>
                <w:sz w:val="24"/>
                <w:szCs w:val="24"/>
                <w:highlight w:val="none"/>
                <w:u w:val="none"/>
              </w:rPr>
              <w:t>以下时，</w:t>
            </w:r>
            <w:r>
              <w:rPr>
                <w:rFonts w:hint="eastAsia" w:ascii="Times New Roman" w:hAnsi="Times New Roman" w:cs="Times New Roman"/>
                <w:kern w:val="0"/>
                <w:sz w:val="24"/>
                <w:szCs w:val="24"/>
                <w:highlight w:val="none"/>
                <w:lang w:val="en-US" w:eastAsia="zh-CN"/>
              </w:rPr>
              <w:t>则取所有有效报价的算数平均数下浮N%作为评标基准价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u w:val="none"/>
                <w:lang w:eastAsia="zh-CN"/>
              </w:rPr>
            </w:pPr>
            <w:r>
              <w:rPr>
                <w:rFonts w:hint="eastAsia" w:ascii="Times New Roman" w:hAnsi="Times New Roman" w:cs="Times New Roman"/>
                <w:i w:val="0"/>
                <w:iCs w:val="0"/>
                <w:color w:val="auto"/>
                <w:kern w:val="0"/>
                <w:sz w:val="24"/>
                <w:szCs w:val="24"/>
                <w:highlight w:val="none"/>
                <w:u w:val="none"/>
                <w:lang w:val="en-US" w:eastAsia="zh-CN"/>
              </w:rPr>
              <w:t>注：</w:t>
            </w:r>
            <w:r>
              <w:rPr>
                <w:rFonts w:hint="eastAsia" w:ascii="Times New Roman" w:hAnsi="Times New Roman" w:cs="Times New Roman"/>
                <w:i w:val="0"/>
                <w:iCs w:val="0"/>
                <w:color w:val="auto"/>
                <w:kern w:val="0"/>
                <w:sz w:val="24"/>
                <w:szCs w:val="24"/>
                <w:highlight w:val="none"/>
                <w:u w:val="none"/>
                <w:lang w:eastAsia="zh-CN"/>
              </w:rPr>
              <w:t>招标平台工作人员在开标时公开随机抽取确定N值，N的取值范围有</w:t>
            </w:r>
            <w:r>
              <w:rPr>
                <w:rFonts w:hint="eastAsia" w:ascii="Times New Roman" w:hAnsi="Times New Roman" w:cs="Times New Roman"/>
                <w:i w:val="0"/>
                <w:iCs w:val="0"/>
                <w:color w:val="auto"/>
                <w:kern w:val="0"/>
                <w:sz w:val="24"/>
                <w:szCs w:val="24"/>
                <w:highlight w:val="none"/>
                <w:u w:val="none"/>
                <w:lang w:val="en-US" w:eastAsia="zh-CN"/>
              </w:rPr>
              <w:t>0.6</w:t>
            </w:r>
            <w:r>
              <w:rPr>
                <w:rFonts w:hint="eastAsia" w:ascii="Times New Roman" w:hAnsi="Times New Roman" w:cs="Times New Roman"/>
                <w:i w:val="0"/>
                <w:iCs w:val="0"/>
                <w:color w:val="auto"/>
                <w:kern w:val="0"/>
                <w:sz w:val="24"/>
                <w:szCs w:val="24"/>
                <w:highlight w:val="none"/>
                <w:u w:val="none"/>
                <w:lang w:eastAsia="zh-CN"/>
              </w:rPr>
              <w:t>、</w:t>
            </w:r>
            <w:r>
              <w:rPr>
                <w:rFonts w:hint="eastAsia" w:ascii="Times New Roman" w:hAnsi="Times New Roman" w:cs="Times New Roman"/>
                <w:i w:val="0"/>
                <w:iCs w:val="0"/>
                <w:color w:val="auto"/>
                <w:kern w:val="0"/>
                <w:sz w:val="24"/>
                <w:szCs w:val="24"/>
                <w:highlight w:val="none"/>
                <w:u w:val="none"/>
                <w:lang w:val="en-US" w:eastAsia="zh-CN"/>
              </w:rPr>
              <w:t>0.8</w:t>
            </w:r>
            <w:r>
              <w:rPr>
                <w:rFonts w:hint="eastAsia" w:ascii="Times New Roman" w:hAnsi="Times New Roman" w:cs="Times New Roman"/>
                <w:i w:val="0"/>
                <w:iCs w:val="0"/>
                <w:color w:val="auto"/>
                <w:kern w:val="0"/>
                <w:sz w:val="24"/>
                <w:szCs w:val="24"/>
                <w:highlight w:val="none"/>
                <w:u w:val="none"/>
                <w:lang w:eastAsia="zh-CN"/>
              </w:rPr>
              <w:t>、</w:t>
            </w:r>
            <w:r>
              <w:rPr>
                <w:rFonts w:hint="eastAsia" w:ascii="Times New Roman" w:hAnsi="Times New Roman" w:cs="Times New Roman"/>
                <w:i w:val="0"/>
                <w:iCs w:val="0"/>
                <w:color w:val="auto"/>
                <w:kern w:val="0"/>
                <w:sz w:val="24"/>
                <w:szCs w:val="24"/>
                <w:highlight w:val="none"/>
                <w:u w:val="none"/>
                <w:lang w:val="en-US" w:eastAsia="zh-CN"/>
              </w:rPr>
              <w:t>1</w:t>
            </w:r>
            <w:r>
              <w:rPr>
                <w:rFonts w:hint="eastAsia" w:ascii="Times New Roman" w:hAnsi="Times New Roman" w:cs="Times New Roman"/>
                <w:i w:val="0"/>
                <w:iCs w:val="0"/>
                <w:color w:val="auto"/>
                <w:kern w:val="0"/>
                <w:sz w:val="24"/>
                <w:szCs w:val="24"/>
                <w:highlight w:val="none"/>
                <w:u w:val="none"/>
                <w:lang w:eastAsia="zh-CN"/>
              </w:rPr>
              <w:t>、</w:t>
            </w:r>
            <w:r>
              <w:rPr>
                <w:rFonts w:hint="eastAsia" w:ascii="Times New Roman" w:hAnsi="Times New Roman" w:cs="Times New Roman"/>
                <w:i w:val="0"/>
                <w:iCs w:val="0"/>
                <w:color w:val="auto"/>
                <w:kern w:val="0"/>
                <w:sz w:val="24"/>
                <w:szCs w:val="24"/>
                <w:highlight w:val="none"/>
                <w:u w:val="none"/>
                <w:lang w:val="en-US" w:eastAsia="zh-CN"/>
              </w:rPr>
              <w:t>1.2、1</w:t>
            </w:r>
            <w:r>
              <w:rPr>
                <w:rFonts w:hint="eastAsia" w:ascii="Times New Roman" w:hAnsi="Times New Roman" w:cs="Times New Roman"/>
                <w:i w:val="0"/>
                <w:iCs w:val="0"/>
                <w:color w:val="auto"/>
                <w:kern w:val="0"/>
                <w:sz w:val="24"/>
                <w:szCs w:val="24"/>
                <w:highlight w:val="none"/>
                <w:u w:val="none"/>
                <w:lang w:eastAsia="zh-CN"/>
              </w:rPr>
              <w:t>.</w:t>
            </w:r>
            <w:r>
              <w:rPr>
                <w:rFonts w:hint="eastAsia" w:ascii="Times New Roman" w:hAnsi="Times New Roman" w:cs="Times New Roman"/>
                <w:i w:val="0"/>
                <w:iCs w:val="0"/>
                <w:color w:val="auto"/>
                <w:kern w:val="0"/>
                <w:sz w:val="24"/>
                <w:szCs w:val="24"/>
                <w:highlight w:val="none"/>
                <w:u w:val="none"/>
                <w:lang w:val="en-US" w:eastAsia="zh-CN"/>
              </w:rPr>
              <w:t>4</w:t>
            </w:r>
            <w:r>
              <w:rPr>
                <w:rFonts w:hint="eastAsia" w:ascii="Times New Roman" w:hAnsi="Times New Roman" w:cs="Times New Roman"/>
                <w:i w:val="0"/>
                <w:iCs w:val="0"/>
                <w:color w:val="auto"/>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u w:val="none"/>
                <w:lang w:eastAsia="zh-CN"/>
              </w:rPr>
            </w:pPr>
            <w:r>
              <w:rPr>
                <w:rFonts w:hint="default" w:ascii="Times New Roman" w:hAnsi="Times New Roman" w:cs="Times New Roman" w:eastAsiaTheme="minorEastAsia"/>
                <w:i w:val="0"/>
                <w:iCs w:val="0"/>
                <w:color w:val="auto"/>
                <w:kern w:val="0"/>
                <w:sz w:val="24"/>
                <w:szCs w:val="24"/>
                <w:highlight w:val="none"/>
                <w:u w:val="none"/>
              </w:rPr>
              <w:t>取所有纳入评标基准价计算的</w:t>
            </w:r>
            <w:r>
              <w:rPr>
                <w:rFonts w:hint="eastAsia" w:ascii="Times New Roman" w:hAnsi="Times New Roman" w:cs="Times New Roman"/>
                <w:i w:val="0"/>
                <w:iCs w:val="0"/>
                <w:color w:val="auto"/>
                <w:kern w:val="0"/>
                <w:sz w:val="24"/>
                <w:szCs w:val="24"/>
                <w:highlight w:val="none"/>
                <w:u w:val="none"/>
                <w:lang w:val="en-US" w:eastAsia="zh-CN"/>
              </w:rPr>
              <w:t>投标</w:t>
            </w:r>
            <w:r>
              <w:rPr>
                <w:rFonts w:hint="default" w:ascii="Times New Roman" w:hAnsi="Times New Roman" w:cs="Times New Roman" w:eastAsiaTheme="minorEastAsia"/>
                <w:i w:val="0"/>
                <w:iCs w:val="0"/>
                <w:color w:val="auto"/>
                <w:kern w:val="0"/>
                <w:sz w:val="24"/>
                <w:szCs w:val="24"/>
                <w:highlight w:val="none"/>
                <w:u w:val="none"/>
              </w:rPr>
              <w:t>报价与评标基准价相减，其差值绝对值最小的为第一名，次小的为第二名……以此类推</w:t>
            </w:r>
            <w:r>
              <w:rPr>
                <w:rFonts w:hint="eastAsia" w:ascii="Times New Roman" w:hAnsi="Times New Roman" w:cs="Times New Roman"/>
                <w:i w:val="0"/>
                <w:iCs w:val="0"/>
                <w:color w:val="auto"/>
                <w:kern w:val="0"/>
                <w:sz w:val="24"/>
                <w:szCs w:val="24"/>
                <w:highlight w:val="none"/>
                <w:u w:val="none"/>
                <w:lang w:eastAsia="zh-CN"/>
              </w:rPr>
              <w:t>。如差值的绝对值相同，则分两种情况进行处理：①投标报价相同的，由评标委员会投票确定排名顺序；②投标报价不相同的，投标报价较低者排名优先。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i w:val="0"/>
                <w:iCs w:val="0"/>
                <w:color w:val="auto"/>
                <w:kern w:val="0"/>
                <w:sz w:val="24"/>
                <w:szCs w:val="24"/>
                <w:highlight w:val="none"/>
                <w:u w:val="none"/>
                <w:lang w:eastAsia="zh-CN"/>
              </w:rPr>
              <w:t>注：计算去掉投标报价的投标人家数时，四舍五入取整数。</w:t>
            </w:r>
            <w:r>
              <w:rPr>
                <w:rFonts w:hint="default" w:ascii="Times New Roman" w:hAnsi="Times New Roman" w:cs="Times New Roman" w:eastAsiaTheme="minorEastAsia"/>
                <w:i w:val="0"/>
                <w:iCs w:val="0"/>
                <w:color w:val="auto"/>
                <w:kern w:val="0"/>
                <w:sz w:val="24"/>
                <w:szCs w:val="24"/>
                <w:highlight w:val="none"/>
                <w:u w:val="none"/>
              </w:rPr>
              <w:t>去掉1个或2个最高价，是指按照有效报价排序，从排序最高的有效报价依次去掉；去掉1个或2个最低价，是指按照有效报价排序，从排序最低的有效报价依次去掉。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七</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符合第五章“供货要求”规定</w:t>
            </w:r>
          </w:p>
        </w:tc>
      </w:tr>
    </w:tbl>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本次评标采用</w:t>
      </w:r>
      <w:r>
        <w:rPr>
          <w:rFonts w:hint="eastAsia" w:ascii="Times New Roman" w:hAnsi="Times New Roman" w:cs="Times New Roman"/>
          <w:kern w:val="0"/>
          <w:sz w:val="24"/>
          <w:szCs w:val="24"/>
          <w:highlight w:val="none"/>
          <w:lang w:val="en-US" w:eastAsia="zh-CN"/>
        </w:rPr>
        <w:t>合理低价</w:t>
      </w:r>
      <w:r>
        <w:rPr>
          <w:rFonts w:hint="eastAsia" w:ascii="Times New Roman" w:hAnsi="Times New Roman" w:cs="Times New Roman" w:eastAsiaTheme="minorEastAsia"/>
          <w:kern w:val="0"/>
          <w:sz w:val="24"/>
          <w:szCs w:val="24"/>
          <w:highlight w:val="none"/>
          <w:lang w:val="en-US" w:eastAsia="zh-CN"/>
        </w:rPr>
        <w:t>法。评标委员会对满足招标文件实质性要求的投标文件，按照本章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推荐中标候选人，或根据招标人授权直接确定中标人，但投标报价低于其成本的除外。</w:t>
      </w:r>
      <w:r>
        <w:rPr>
          <w:rFonts w:hint="eastAsia" w:ascii="Times New Roman" w:hAnsi="Times New Roman" w:cs="Times New Roman"/>
          <w:kern w:val="0"/>
          <w:sz w:val="24"/>
          <w:szCs w:val="24"/>
          <w:highlight w:val="none"/>
          <w:lang w:val="en-US" w:eastAsia="zh-CN"/>
        </w:rPr>
        <w:t>如遇见报价相等的情况，由评标委员会自行确定。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“评标办法前附表 评标办法”规定推荐中标候选人。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val="en-US" w:eastAsia="zh-CN"/>
        </w:rPr>
        <w:t>3.4.2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autoSpaceDE w:val="0"/>
        <w:autoSpaceDN w:val="0"/>
        <w:spacing w:line="360" w:lineRule="auto"/>
        <w:rPr>
          <w:sz w:val="28"/>
          <w:szCs w:val="28"/>
          <w:lang w:val="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主要合同条款前附表</w:t>
      </w:r>
    </w:p>
    <w:tbl>
      <w:tblPr>
        <w:tblStyle w:val="20"/>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7"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按每月进度付款，招标人每月10号前对分包人上月供货量进行审核，每月完成供货量以招标人审定为准(以招标人施工试验室出具的合格试验检测报告结果为依据），材料款付款数额按实际供货量的80%支付；交工验收通过后，材料款付至累计审定供货量的97%；余3%作为质量保修金，待6个月缺陷责任期（交工验收通过之日起算）满竣工验收合格后无息退还。增值税专用发票按照审定材料款全额开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rPr>
              <w:t>注：招标人付款前，中标人应按照国家税收有关规定开具等额增值税专用发票，如未提供，招标人有权暂停付款。缺陷责任期自交工验收通过之日起算。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rPr>
              <w:t>条款</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kern w:val="0"/>
                <w:sz w:val="24"/>
                <w:szCs w:val="24"/>
                <w:highlight w:val="none"/>
                <w:shd w:val="clear" w:color="auto" w:fill="auto"/>
                <w:vertAlign w:val="baseline"/>
                <w:lang w:val="en-US" w:eastAsia="zh-CN"/>
              </w:rPr>
              <w:t>如中标单位原材料或沥青混凝土检测不合格（以招标人试验室出具的试验检测报告为依据），应无条件完成整改</w:t>
            </w:r>
            <w:r>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t>（由于沥青混合料试验需要一定时间，对于已经摊铺碾压成型的混合料，供应商也应无条件整改，由此产生的费用由供应商承担）</w:t>
            </w:r>
            <w:r>
              <w:rPr>
                <w:rFonts w:hint="eastAsia" w:ascii="Times New Roman" w:hAnsi="Times New Roman" w:cs="Times New Roman"/>
                <w:kern w:val="0"/>
                <w:sz w:val="24"/>
                <w:szCs w:val="24"/>
                <w:highlight w:val="none"/>
                <w:shd w:val="clear" w:color="auto" w:fill="auto"/>
                <w:vertAlign w:val="baseline"/>
                <w:lang w:val="en-US" w:eastAsia="zh-CN"/>
              </w:rPr>
              <w:t>。第二次原材料或沥青混凝土检测不合格，招标人有权无条件单方面解除合同，除向招标人承担合同价款金额（价税合计金额）的20%违约责任外，由此产生的一切损失及相关费用由中标单位承担。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lang w:val="en-US" w:eastAsia="zh-CN"/>
        </w:rPr>
      </w:pPr>
    </w:p>
    <w:p>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eastAsia="仿宋_GB2312" w:cs="Times New Roman"/>
          <w:sz w:val="28"/>
          <w:szCs w:val="28"/>
          <w:lang w:val="en-US" w:eastAsia="zh-CN"/>
        </w:rPr>
        <w:t>说明：</w:t>
      </w:r>
      <w:r>
        <w:rPr>
          <w:rFonts w:hint="eastAsia" w:ascii="Times New Roman" w:hAnsi="Times New Roman" w:eastAsia="仿宋_GB2312" w:cs="Times New Roman"/>
          <w:color w:val="000000" w:themeColor="text1"/>
          <w:sz w:val="28"/>
          <w:szCs w:val="28"/>
          <w:shd w:val="clear" w:color="auto" w:fill="auto"/>
          <w:lang w:val="en-US" w:eastAsia="zh-CN"/>
          <w14:textFill>
            <w14:solidFill>
              <w14:schemeClr w14:val="tx1"/>
            </w14:solidFill>
          </w14:textFill>
        </w:rPr>
        <w:t>其他</w:t>
      </w:r>
      <w:r>
        <w:rPr>
          <w:rFonts w:hint="eastAsia" w:ascii="Times New Roman" w:hAnsi="Times New Roman" w:eastAsia="仿宋_GB2312" w:cs="Times New Roman"/>
          <w:sz w:val="28"/>
          <w:szCs w:val="28"/>
          <w:lang w:val="en-US" w:eastAsia="zh-CN"/>
        </w:rPr>
        <w:t>具体合同条款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bookmarkEnd w:id="16"/>
      <w:bookmarkEnd w:id="17"/>
      <w:bookmarkEnd w:id="18"/>
      <w:bookmarkEnd w:id="19"/>
      <w:bookmarkEnd w:id="20"/>
      <w:bookmarkEnd w:id="21"/>
      <w:bookmarkEnd w:id="22"/>
      <w:bookmarkEnd w:id="23"/>
    </w:p>
    <w:p>
      <w:pPr>
        <w:snapToGrid/>
        <w:spacing w:before="0" w:beforeAutospacing="0" w:after="0" w:afterAutospacing="0" w:line="360" w:lineRule="auto"/>
        <w:ind w:left="0" w:leftChars="0" w:firstLine="0" w:firstLineChars="0"/>
        <w:jc w:val="both"/>
        <w:textAlignment w:val="baseline"/>
        <w:rPr>
          <w:rFonts w:hint="eastAsia" w:asciiTheme="minorEastAsia" w:hAnsiTheme="minorEastAsia" w:cstheme="minorEastAsia"/>
          <w:b/>
          <w:bCs/>
          <w:i w:val="0"/>
          <w:caps w:val="0"/>
          <w:color w:val="auto"/>
          <w:spacing w:val="0"/>
          <w:w w:val="100"/>
          <w:kern w:val="0"/>
          <w:sz w:val="28"/>
          <w:szCs w:val="28"/>
          <w:lang w:val="zh-CN"/>
        </w:rPr>
      </w:pP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b/>
          <w:bCs/>
          <w:sz w:val="28"/>
          <w:szCs w:val="28"/>
          <w:highlight w:val="none"/>
          <w:lang w:val="zh-CN" w:eastAsia="zh-CN"/>
        </w:rPr>
        <w:t>（</w:t>
      </w:r>
      <w:r>
        <w:rPr>
          <w:rFonts w:hint="eastAsia" w:ascii="Times New Roman" w:hAnsi="Times New Roman" w:eastAsia="仿宋_GB2312" w:cs="Times New Roman"/>
          <w:b/>
          <w:bCs/>
          <w:sz w:val="28"/>
          <w:szCs w:val="28"/>
          <w:highlight w:val="none"/>
          <w:lang w:val="en-US" w:eastAsia="zh-CN"/>
        </w:rPr>
        <w:t>一</w:t>
      </w:r>
      <w:r>
        <w:rPr>
          <w:rFonts w:hint="eastAsia" w:ascii="Times New Roman" w:hAnsi="Times New Roman" w:eastAsia="仿宋_GB2312" w:cs="Times New Roman"/>
          <w:b/>
          <w:bCs/>
          <w:sz w:val="28"/>
          <w:szCs w:val="28"/>
          <w:highlight w:val="none"/>
          <w:lang w:val="zh-CN" w:eastAsia="zh-CN"/>
        </w:rPr>
        <w:t>）货物名称、规格、数量、</w:t>
      </w:r>
      <w:r>
        <w:rPr>
          <w:rFonts w:hint="eastAsia" w:ascii="Times New Roman" w:hAnsi="Times New Roman" w:eastAsia="仿宋_GB2312" w:cs="Times New Roman"/>
          <w:b/>
          <w:bCs/>
          <w:sz w:val="28"/>
          <w:szCs w:val="28"/>
          <w:highlight w:val="none"/>
          <w:lang w:val="en-US" w:eastAsia="zh-CN"/>
        </w:rPr>
        <w:t>交货地点</w:t>
      </w:r>
      <w:r>
        <w:rPr>
          <w:rFonts w:hint="eastAsia" w:ascii="Times New Roman" w:hAnsi="Times New Roman" w:eastAsia="仿宋_GB2312" w:cs="Times New Roman"/>
          <w:b/>
          <w:bCs/>
          <w:sz w:val="28"/>
          <w:szCs w:val="28"/>
          <w:highlight w:val="none"/>
          <w:lang w:val="zh-CN" w:eastAsia="zh-CN"/>
        </w:rPr>
        <w:t>及</w:t>
      </w:r>
      <w:r>
        <w:rPr>
          <w:rFonts w:hint="eastAsia" w:ascii="Times New Roman" w:hAnsi="Times New Roman" w:eastAsia="仿宋_GB2312" w:cs="Times New Roman"/>
          <w:b/>
          <w:bCs/>
          <w:sz w:val="28"/>
          <w:szCs w:val="28"/>
          <w:highlight w:val="none"/>
          <w:lang w:val="en-US" w:eastAsia="zh-CN"/>
        </w:rPr>
        <w:t>综合</w:t>
      </w:r>
      <w:r>
        <w:rPr>
          <w:rFonts w:hint="eastAsia" w:ascii="Times New Roman" w:hAnsi="Times New Roman" w:eastAsia="仿宋_GB2312" w:cs="Times New Roman"/>
          <w:b/>
          <w:bCs/>
          <w:sz w:val="28"/>
          <w:szCs w:val="28"/>
          <w:highlight w:val="none"/>
          <w:lang w:val="zh-CN" w:eastAsia="zh-CN"/>
        </w:rPr>
        <w:t>（</w:t>
      </w:r>
      <w:r>
        <w:rPr>
          <w:rFonts w:hint="eastAsia" w:ascii="Times New Roman" w:hAnsi="Times New Roman" w:eastAsia="仿宋_GB2312" w:cs="Times New Roman"/>
          <w:b/>
          <w:bCs/>
          <w:sz w:val="28"/>
          <w:szCs w:val="28"/>
          <w:highlight w:val="none"/>
          <w:lang w:val="en-US" w:eastAsia="zh-CN"/>
        </w:rPr>
        <w:t>最高限价</w:t>
      </w:r>
      <w:r>
        <w:rPr>
          <w:rFonts w:hint="eastAsia" w:ascii="Times New Roman" w:hAnsi="Times New Roman" w:eastAsia="仿宋_GB2312" w:cs="Times New Roman"/>
          <w:b/>
          <w:bCs/>
          <w:sz w:val="28"/>
          <w:szCs w:val="28"/>
          <w:highlight w:val="none"/>
          <w:lang w:val="zh-CN" w:eastAsia="zh-CN"/>
        </w:rPr>
        <w:t>）：</w:t>
      </w:r>
    </w:p>
    <w:tbl>
      <w:tblPr>
        <w:tblStyle w:val="19"/>
        <w:tblW w:w="9556" w:type="dxa"/>
        <w:jc w:val="center"/>
        <w:tblLayout w:type="fixed"/>
        <w:tblCellMar>
          <w:top w:w="15" w:type="dxa"/>
          <w:left w:w="15" w:type="dxa"/>
          <w:bottom w:w="15" w:type="dxa"/>
          <w:right w:w="15" w:type="dxa"/>
        </w:tblCellMar>
      </w:tblPr>
      <w:tblGrid>
        <w:gridCol w:w="549"/>
        <w:gridCol w:w="1984"/>
        <w:gridCol w:w="1745"/>
        <w:gridCol w:w="860"/>
        <w:gridCol w:w="1158"/>
        <w:gridCol w:w="1282"/>
        <w:gridCol w:w="1314"/>
        <w:gridCol w:w="664"/>
      </w:tblGrid>
      <w:tr>
        <w:tblPrEx>
          <w:tblCellMar>
            <w:top w:w="15" w:type="dxa"/>
            <w:left w:w="15" w:type="dxa"/>
            <w:bottom w:w="15" w:type="dxa"/>
            <w:right w:w="15" w:type="dxa"/>
          </w:tblCellMar>
        </w:tblPrEx>
        <w:trPr>
          <w:trHeight w:val="663" w:hRule="atLeast"/>
          <w:tblHeader/>
          <w:jc w:val="center"/>
        </w:trPr>
        <w:tc>
          <w:tcPr>
            <w:tcW w:w="5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序号</w:t>
            </w:r>
          </w:p>
        </w:tc>
        <w:tc>
          <w:tcPr>
            <w:tcW w:w="198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材料名称</w:t>
            </w:r>
          </w:p>
        </w:tc>
        <w:tc>
          <w:tcPr>
            <w:tcW w:w="17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规格及型号</w:t>
            </w:r>
          </w:p>
        </w:tc>
        <w:tc>
          <w:tcPr>
            <w:tcW w:w="8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单位</w:t>
            </w:r>
          </w:p>
        </w:tc>
        <w:tc>
          <w:tcPr>
            <w:tcW w:w="115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暂定数量</w:t>
            </w:r>
          </w:p>
        </w:tc>
        <w:tc>
          <w:tcPr>
            <w:tcW w:w="12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不含税单价限价（元）</w:t>
            </w:r>
          </w:p>
        </w:tc>
        <w:tc>
          <w:tcPr>
            <w:tcW w:w="13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不含税总价限价（元）</w:t>
            </w:r>
          </w:p>
        </w:tc>
        <w:tc>
          <w:tcPr>
            <w:tcW w:w="66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税率</w:t>
            </w:r>
          </w:p>
        </w:tc>
      </w:tr>
      <w:tr>
        <w:tblPrEx>
          <w:tblCellMar>
            <w:top w:w="15" w:type="dxa"/>
            <w:left w:w="15" w:type="dxa"/>
            <w:bottom w:w="15" w:type="dxa"/>
            <w:right w:w="15" w:type="dxa"/>
          </w:tblCellMar>
        </w:tblPrEx>
        <w:trPr>
          <w:trHeight w:val="1175" w:hRule="atLeast"/>
          <w:jc w:val="center"/>
        </w:trPr>
        <w:tc>
          <w:tcPr>
            <w:tcW w:w="5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w:t>
            </w:r>
          </w:p>
        </w:tc>
        <w:tc>
          <w:tcPr>
            <w:tcW w:w="198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沥青混凝土</w:t>
            </w:r>
          </w:p>
        </w:tc>
        <w:tc>
          <w:tcPr>
            <w:tcW w:w="17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AC-13C SBS改性沥青砼</w:t>
            </w:r>
          </w:p>
        </w:tc>
        <w:tc>
          <w:tcPr>
            <w:tcW w:w="8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吨</w:t>
            </w:r>
          </w:p>
        </w:tc>
        <w:tc>
          <w:tcPr>
            <w:tcW w:w="115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13500</w:t>
            </w:r>
          </w:p>
        </w:tc>
        <w:tc>
          <w:tcPr>
            <w:tcW w:w="12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460.73</w:t>
            </w:r>
          </w:p>
        </w:tc>
        <w:tc>
          <w:tcPr>
            <w:tcW w:w="13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6219855</w:t>
            </w:r>
          </w:p>
        </w:tc>
        <w:tc>
          <w:tcPr>
            <w:tcW w:w="66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r>
      <w:tr>
        <w:tblPrEx>
          <w:tblCellMar>
            <w:top w:w="15" w:type="dxa"/>
            <w:left w:w="15" w:type="dxa"/>
            <w:bottom w:w="15" w:type="dxa"/>
            <w:right w:w="15" w:type="dxa"/>
          </w:tblCellMar>
        </w:tblPrEx>
        <w:trPr>
          <w:trHeight w:val="1159" w:hRule="atLeast"/>
          <w:jc w:val="center"/>
        </w:trPr>
        <w:tc>
          <w:tcPr>
            <w:tcW w:w="5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w:t>
            </w:r>
          </w:p>
        </w:tc>
        <w:tc>
          <w:tcPr>
            <w:tcW w:w="198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沥青混凝土</w:t>
            </w:r>
          </w:p>
        </w:tc>
        <w:tc>
          <w:tcPr>
            <w:tcW w:w="17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AC-20C SBS改性沥青砼</w:t>
            </w:r>
          </w:p>
        </w:tc>
        <w:tc>
          <w:tcPr>
            <w:tcW w:w="8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吨</w:t>
            </w:r>
          </w:p>
        </w:tc>
        <w:tc>
          <w:tcPr>
            <w:tcW w:w="115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5500</w:t>
            </w:r>
          </w:p>
        </w:tc>
        <w:tc>
          <w:tcPr>
            <w:tcW w:w="12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415.93</w:t>
            </w:r>
          </w:p>
        </w:tc>
        <w:tc>
          <w:tcPr>
            <w:tcW w:w="13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2287615</w:t>
            </w:r>
          </w:p>
        </w:tc>
        <w:tc>
          <w:tcPr>
            <w:tcW w:w="66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r>
      <w:tr>
        <w:tblPrEx>
          <w:tblCellMar>
            <w:top w:w="15" w:type="dxa"/>
            <w:left w:w="15" w:type="dxa"/>
            <w:bottom w:w="15" w:type="dxa"/>
            <w:right w:w="15" w:type="dxa"/>
          </w:tblCellMar>
        </w:tblPrEx>
        <w:trPr>
          <w:trHeight w:val="1078" w:hRule="atLeast"/>
          <w:jc w:val="center"/>
        </w:trPr>
        <w:tc>
          <w:tcPr>
            <w:tcW w:w="5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w:t>
            </w:r>
          </w:p>
        </w:tc>
        <w:tc>
          <w:tcPr>
            <w:tcW w:w="198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沥青混凝土</w:t>
            </w:r>
          </w:p>
        </w:tc>
        <w:tc>
          <w:tcPr>
            <w:tcW w:w="17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AC-25C 粗粒式沥青砼</w:t>
            </w:r>
          </w:p>
        </w:tc>
        <w:tc>
          <w:tcPr>
            <w:tcW w:w="8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吨</w:t>
            </w:r>
          </w:p>
        </w:tc>
        <w:tc>
          <w:tcPr>
            <w:tcW w:w="115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750</w:t>
            </w:r>
          </w:p>
        </w:tc>
        <w:tc>
          <w:tcPr>
            <w:tcW w:w="12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380.53</w:t>
            </w:r>
          </w:p>
        </w:tc>
        <w:tc>
          <w:tcPr>
            <w:tcW w:w="13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285397.5</w:t>
            </w:r>
          </w:p>
        </w:tc>
        <w:tc>
          <w:tcPr>
            <w:tcW w:w="66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r>
      <w:tr>
        <w:tblPrEx>
          <w:tblCellMar>
            <w:top w:w="15" w:type="dxa"/>
            <w:left w:w="15" w:type="dxa"/>
            <w:bottom w:w="15" w:type="dxa"/>
            <w:right w:w="15" w:type="dxa"/>
          </w:tblCellMar>
        </w:tblPrEx>
        <w:trPr>
          <w:trHeight w:val="986" w:hRule="atLeast"/>
          <w:jc w:val="center"/>
        </w:trPr>
        <w:tc>
          <w:tcPr>
            <w:tcW w:w="5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w:t>
            </w:r>
          </w:p>
        </w:tc>
        <w:tc>
          <w:tcPr>
            <w:tcW w:w="198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粘层（0.3-0.6㎡/L）</w:t>
            </w:r>
          </w:p>
        </w:tc>
        <w:tc>
          <w:tcPr>
            <w:tcW w:w="17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改性乳化沥青</w:t>
            </w:r>
          </w:p>
        </w:tc>
        <w:tc>
          <w:tcPr>
            <w:tcW w:w="8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平方米</w:t>
            </w:r>
          </w:p>
        </w:tc>
        <w:tc>
          <w:tcPr>
            <w:tcW w:w="115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160000</w:t>
            </w:r>
          </w:p>
        </w:tc>
        <w:tc>
          <w:tcPr>
            <w:tcW w:w="12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1.15</w:t>
            </w:r>
          </w:p>
        </w:tc>
        <w:tc>
          <w:tcPr>
            <w:tcW w:w="13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184000</w:t>
            </w:r>
          </w:p>
        </w:tc>
        <w:tc>
          <w:tcPr>
            <w:tcW w:w="66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r>
      <w:tr>
        <w:tblPrEx>
          <w:tblCellMar>
            <w:top w:w="15" w:type="dxa"/>
            <w:left w:w="15" w:type="dxa"/>
            <w:bottom w:w="15" w:type="dxa"/>
            <w:right w:w="15" w:type="dxa"/>
          </w:tblCellMar>
        </w:tblPrEx>
        <w:trPr>
          <w:trHeight w:val="1150" w:hRule="atLeast"/>
          <w:jc w:val="center"/>
        </w:trPr>
        <w:tc>
          <w:tcPr>
            <w:tcW w:w="5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w:t>
            </w:r>
          </w:p>
        </w:tc>
        <w:tc>
          <w:tcPr>
            <w:tcW w:w="198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透层（1.6-2.4㎡/L)）</w:t>
            </w:r>
          </w:p>
        </w:tc>
        <w:tc>
          <w:tcPr>
            <w:tcW w:w="17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乳化沥青</w:t>
            </w:r>
          </w:p>
        </w:tc>
        <w:tc>
          <w:tcPr>
            <w:tcW w:w="8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平方米</w:t>
            </w:r>
          </w:p>
        </w:tc>
        <w:tc>
          <w:tcPr>
            <w:tcW w:w="115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3800</w:t>
            </w:r>
          </w:p>
        </w:tc>
        <w:tc>
          <w:tcPr>
            <w:tcW w:w="12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1.15</w:t>
            </w:r>
          </w:p>
        </w:tc>
        <w:tc>
          <w:tcPr>
            <w:tcW w:w="13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4370</w:t>
            </w:r>
          </w:p>
        </w:tc>
        <w:tc>
          <w:tcPr>
            <w:tcW w:w="66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r>
      <w:tr>
        <w:tblPrEx>
          <w:tblCellMar>
            <w:top w:w="15" w:type="dxa"/>
            <w:left w:w="15" w:type="dxa"/>
            <w:bottom w:w="15" w:type="dxa"/>
            <w:right w:w="15" w:type="dxa"/>
          </w:tblCellMar>
        </w:tblPrEx>
        <w:trPr>
          <w:trHeight w:val="673" w:hRule="atLeast"/>
          <w:jc w:val="center"/>
        </w:trPr>
        <w:tc>
          <w:tcPr>
            <w:tcW w:w="54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c>
          <w:tcPr>
            <w:tcW w:w="198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合计</w:t>
            </w:r>
          </w:p>
        </w:tc>
        <w:tc>
          <w:tcPr>
            <w:tcW w:w="17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c>
          <w:tcPr>
            <w:tcW w:w="8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c>
          <w:tcPr>
            <w:tcW w:w="115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c>
          <w:tcPr>
            <w:tcW w:w="128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c>
          <w:tcPr>
            <w:tcW w:w="13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8981237.5</w:t>
            </w:r>
          </w:p>
        </w:tc>
        <w:tc>
          <w:tcPr>
            <w:tcW w:w="66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固定单价包括但不限于以下费用：原材料、生产加工、装卸费、运杂费、出厂检验试验费、采购保管费、运输费、人工费、过路过江过桥费、车辆油料费、保险费、利润、风险金等抵达指定交货地点的所有费用（此项目不涉及调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以上细粒式改性沥青混凝土、中粒式改性沥青混凝土、粗粒式沥青混凝土干密度参照《公路工程预算定额》2018版附录一  路面材料计算基础数据表。</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b/>
          <w:bCs/>
          <w:sz w:val="28"/>
          <w:szCs w:val="28"/>
          <w:highlight w:val="none"/>
          <w:lang w:val="en-US" w:eastAsia="zh-CN"/>
        </w:rPr>
        <w:t>（二）原材料要求：</w:t>
      </w:r>
    </w:p>
    <w:p>
      <w:pPr>
        <w:spacing w:line="480" w:lineRule="exact"/>
        <w:ind w:firstLine="560" w:firstLineChars="200"/>
        <w:jc w:val="left"/>
        <w:rPr>
          <w:rFonts w:hint="eastAsia" w:ascii="Times New Roman" w:hAnsi="Times New Roman" w:cs="Times New Roman"/>
          <w:sz w:val="32"/>
          <w:szCs w:val="32"/>
          <w:lang w:val="en-US" w:eastAsia="zh-CN"/>
        </w:rPr>
      </w:pPr>
      <w:r>
        <w:rPr>
          <w:rFonts w:hint="eastAsia" w:ascii="Times New Roman" w:hAnsi="Times New Roman" w:eastAsia="仿宋_GB2312" w:cs="Times New Roman"/>
          <w:sz w:val="28"/>
          <w:szCs w:val="28"/>
          <w:highlight w:val="none"/>
          <w:lang w:val="en-US" w:eastAsia="zh-CN"/>
        </w:rPr>
        <w:t>1.沥青:面层沥青采用 A级70号道路石油沥青；并采用 SBS改性剂进行改性，改性沥青应采用适宜的生产条件和方法进行，通过试验确定合理的改性剂量和加工温度。普通沥青及复合改性沥青技术要求详见下表：</w:t>
      </w:r>
    </w:p>
    <w:p>
      <w:pPr>
        <w:pStyle w:val="35"/>
        <w:ind w:firstLine="0" w:firstLineChars="0"/>
        <w:jc w:val="both"/>
        <w:rPr>
          <w:rFonts w:ascii="仿宋_GB2312" w:hAnsi="仿宋_GB2312" w:eastAsia="仿宋_GB2312" w:cs="仿宋_GB2312"/>
          <w:b w:val="0"/>
          <w:bCs w:val="0"/>
          <w:lang w:eastAsia="zh-CN"/>
        </w:rPr>
      </w:pPr>
      <w:r>
        <w:rPr>
          <w:lang w:eastAsia="zh-CN"/>
        </w:rPr>
        <w:drawing>
          <wp:anchor distT="0" distB="0" distL="114300" distR="114300" simplePos="0" relativeHeight="251659264" behindDoc="1" locked="0" layoutInCell="1" allowOverlap="1">
            <wp:simplePos x="0" y="0"/>
            <wp:positionH relativeFrom="column">
              <wp:posOffset>208280</wp:posOffset>
            </wp:positionH>
            <wp:positionV relativeFrom="paragraph">
              <wp:posOffset>34290</wp:posOffset>
            </wp:positionV>
            <wp:extent cx="4538980" cy="3464560"/>
            <wp:effectExtent l="0" t="0" r="7620" b="254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rcRect t="158" r="2109" b="1980"/>
                    <a:stretch>
                      <a:fillRect/>
                    </a:stretch>
                  </pic:blipFill>
                  <pic:spPr>
                    <a:xfrm>
                      <a:off x="0" y="0"/>
                      <a:ext cx="4538980" cy="3464560"/>
                    </a:xfrm>
                    <a:prstGeom prst="rect">
                      <a:avLst/>
                    </a:prstGeom>
                    <a:noFill/>
                    <a:ln>
                      <a:noFill/>
                    </a:ln>
                  </pic:spPr>
                </pic:pic>
              </a:graphicData>
            </a:graphic>
          </wp:anchor>
        </w:drawing>
      </w:r>
    </w:p>
    <w:p>
      <w:pPr>
        <w:pStyle w:val="35"/>
        <w:ind w:firstLine="643"/>
        <w:rPr>
          <w:lang w:eastAsia="zh-CN"/>
        </w:rPr>
      </w:pPr>
    </w:p>
    <w:p>
      <w:pPr>
        <w:pStyle w:val="35"/>
        <w:ind w:firstLine="643"/>
        <w:jc w:val="both"/>
        <w:rPr>
          <w:lang w:eastAsia="zh-CN"/>
        </w:rPr>
      </w:pPr>
    </w:p>
    <w:p>
      <w:pPr>
        <w:spacing w:line="560" w:lineRule="exact"/>
        <w:ind w:firstLine="640"/>
        <w:rPr>
          <w:kern w:val="2"/>
          <w:szCs w:val="32"/>
          <w:lang w:eastAsia="zh-CN" w:bidi="ar"/>
        </w:rPr>
      </w:pPr>
    </w:p>
    <w:p>
      <w:pPr>
        <w:spacing w:line="560" w:lineRule="exact"/>
        <w:ind w:firstLine="640"/>
        <w:rPr>
          <w:kern w:val="2"/>
          <w:szCs w:val="32"/>
          <w:lang w:eastAsia="zh-CN" w:bidi="ar"/>
        </w:rPr>
      </w:pPr>
    </w:p>
    <w:p>
      <w:pPr>
        <w:spacing w:line="560" w:lineRule="exact"/>
        <w:ind w:firstLine="0" w:firstLineChars="0"/>
        <w:rPr>
          <w:kern w:val="2"/>
          <w:szCs w:val="32"/>
          <w:lang w:eastAsia="zh-CN" w:bidi="ar"/>
        </w:rPr>
      </w:pPr>
    </w:p>
    <w:p>
      <w:pPr>
        <w:widowControl/>
        <w:ind w:firstLine="210" w:firstLineChars="100"/>
        <w:rPr>
          <w:rFonts w:hint="eastAsia"/>
          <w:kern w:val="2"/>
          <w:szCs w:val="32"/>
          <w:lang w:eastAsia="zh-CN" w:bidi="ar"/>
        </w:rPr>
      </w:pPr>
      <w:r>
        <w:rPr>
          <w:lang w:eastAsia="zh-CN"/>
        </w:rPr>
        <w:drawing>
          <wp:anchor distT="0" distB="0" distL="114300" distR="114300" simplePos="0" relativeHeight="251660288" behindDoc="1" locked="0" layoutInCell="1" allowOverlap="1">
            <wp:simplePos x="0" y="0"/>
            <wp:positionH relativeFrom="column">
              <wp:posOffset>180975</wp:posOffset>
            </wp:positionH>
            <wp:positionV relativeFrom="paragraph">
              <wp:posOffset>120015</wp:posOffset>
            </wp:positionV>
            <wp:extent cx="4538345" cy="3606165"/>
            <wp:effectExtent l="0" t="0" r="8255" b="635"/>
            <wp:wrapTight wrapText="bothSides">
              <wp:wrapPolygon>
                <wp:start x="0" y="0"/>
                <wp:lineTo x="0" y="21528"/>
                <wp:lineTo x="21518" y="21528"/>
                <wp:lineTo x="21518"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4538345" cy="3606165"/>
                    </a:xfrm>
                    <a:prstGeom prst="rect">
                      <a:avLst/>
                    </a:prstGeom>
                    <a:noFill/>
                    <a:ln>
                      <a:noFill/>
                    </a:ln>
                  </pic:spPr>
                </pic:pic>
              </a:graphicData>
            </a:graphic>
          </wp:anchor>
        </w:drawing>
      </w:r>
    </w:p>
    <w:p>
      <w:pPr>
        <w:widowControl/>
        <w:ind w:firstLine="210" w:firstLineChars="100"/>
        <w:rPr>
          <w:rFonts w:hint="eastAsia"/>
          <w:kern w:val="2"/>
          <w:szCs w:val="32"/>
          <w:lang w:eastAsia="zh-CN" w:bidi="ar"/>
        </w:rPr>
      </w:pPr>
      <w:r>
        <w:drawing>
          <wp:inline distT="0" distB="0" distL="114300" distR="114300">
            <wp:extent cx="4822190" cy="4082415"/>
            <wp:effectExtent l="0" t="0" r="3810" b="698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9"/>
                    <a:stretch>
                      <a:fillRect/>
                    </a:stretch>
                  </pic:blipFill>
                  <pic:spPr>
                    <a:xfrm>
                      <a:off x="0" y="0"/>
                      <a:ext cx="4822190" cy="4082415"/>
                    </a:xfrm>
                    <a:prstGeom prst="rect">
                      <a:avLst/>
                    </a:prstGeom>
                    <a:noFill/>
                    <a:ln>
                      <a:noFill/>
                    </a:ln>
                  </pic:spPr>
                </pic:pic>
              </a:graphicData>
            </a:graphic>
          </wp:inline>
        </w:drawing>
      </w:r>
      <w:r>
        <w:drawing>
          <wp:inline distT="0" distB="0" distL="114300" distR="114300">
            <wp:extent cx="5269865" cy="4081780"/>
            <wp:effectExtent l="0" t="0" r="635" b="762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0"/>
                    <a:stretch>
                      <a:fillRect/>
                    </a:stretch>
                  </pic:blipFill>
                  <pic:spPr>
                    <a:xfrm>
                      <a:off x="0" y="0"/>
                      <a:ext cx="5269865" cy="4081780"/>
                    </a:xfrm>
                    <a:prstGeom prst="rect">
                      <a:avLst/>
                    </a:prstGeom>
                    <a:noFill/>
                    <a:ln>
                      <a:noFill/>
                    </a:ln>
                  </pic:spPr>
                </pic:pic>
              </a:graphicData>
            </a:graphic>
          </wp:inline>
        </w:drawing>
      </w:r>
    </w:p>
    <w:p>
      <w:pPr>
        <w:widowControl/>
        <w:jc w:val="left"/>
        <w:rPr>
          <w:rFonts w:ascii="仿宋_GB2312" w:hAnsi="仿宋_GB2312" w:cs="仿宋_GB2312"/>
          <w:szCs w:val="32"/>
          <w:lang w:eastAsia="zh-CN"/>
        </w:rPr>
      </w:pPr>
      <w:r>
        <w:rPr>
          <w:rFonts w:hint="eastAsia" w:ascii="Times New Roman" w:hAnsi="Times New Roman" w:eastAsia="仿宋_GB2312" w:cs="Times New Roman"/>
          <w:sz w:val="28"/>
          <w:szCs w:val="28"/>
          <w:highlight w:val="none"/>
          <w:lang w:val="en-US" w:eastAsia="zh-CN"/>
        </w:rPr>
        <w:t>2.粗集料：用于沥青面层的粗集料应洁净、干燥、无风化、无杂质，具有足够的强度、耐磨耗性。反对鄂式机复破碎，以防集料产生内伤，影响路面质量。粗集料的质量要求应符合下表规定：</w:t>
      </w:r>
      <w:r>
        <w:rPr>
          <w:lang w:eastAsia="zh-CN"/>
        </w:rPr>
        <w:drawing>
          <wp:inline distT="0" distB="0" distL="114300" distR="114300">
            <wp:extent cx="5192395" cy="3437255"/>
            <wp:effectExtent l="0" t="0" r="1905"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rcRect t="1814" r="1518"/>
                    <a:stretch>
                      <a:fillRect/>
                    </a:stretch>
                  </pic:blipFill>
                  <pic:spPr>
                    <a:xfrm>
                      <a:off x="0" y="0"/>
                      <a:ext cx="5192395" cy="3437255"/>
                    </a:xfrm>
                    <a:prstGeom prst="rect">
                      <a:avLst/>
                    </a:prstGeom>
                    <a:noFill/>
                    <a:ln>
                      <a:noFill/>
                    </a:ln>
                  </pic:spPr>
                </pic:pic>
              </a:graphicData>
            </a:graphic>
          </wp:inline>
        </w:drawing>
      </w:r>
    </w:p>
    <w:p>
      <w:pPr>
        <w:widowControl/>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3.细集料：细集料包括机制砂、石屑。细集料的必须具有一定的级配，要符合《公路沥青路面施工技术规范》（JTG F40-2004）中要求的沥青混合料用细集料的规格。细集料应洁净、干燥、无风化、无杂质，质量应符合下表的要求：</w:t>
      </w:r>
    </w:p>
    <w:p>
      <w:pPr>
        <w:widowControl/>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drawing>
          <wp:inline distT="0" distB="0" distL="114300" distR="114300">
            <wp:extent cx="5273675" cy="2007235"/>
            <wp:effectExtent l="0" t="0" r="9525" b="12065"/>
            <wp:docPr id="14" name="图片 14" descr="e81e20e19cfc579703259d6b5c14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e81e20e19cfc579703259d6b5c14353"/>
                    <pic:cNvPicPr>
                      <a:picLocks noChangeAspect="1"/>
                    </pic:cNvPicPr>
                  </pic:nvPicPr>
                  <pic:blipFill>
                    <a:blip r:embed="rId12"/>
                    <a:stretch>
                      <a:fillRect/>
                    </a:stretch>
                  </pic:blipFill>
                  <pic:spPr>
                    <a:xfrm>
                      <a:off x="0" y="0"/>
                      <a:ext cx="5273675" cy="2007235"/>
                    </a:xfrm>
                    <a:prstGeom prst="rect">
                      <a:avLst/>
                    </a:prstGeom>
                  </pic:spPr>
                </pic:pic>
              </a:graphicData>
            </a:graphic>
          </wp:inline>
        </w:drawing>
      </w:r>
    </w:p>
    <w:p>
      <w:pPr>
        <w:widowControl/>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注：①、对于石屑和机制砂，采用砂当量（适用于 0～4.75mm）或者亚甲蓝值指标（适用于 0～2.36mm 或 0～0.15mm）来控制细集料的洁净程度。</w:t>
      </w:r>
    </w:p>
    <w:p>
      <w:pPr>
        <w:widowControl/>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机制砂的级配应该符合《公路沥青路面施工技术规范》（JTG F40-2004）中 S16 的要求。</w:t>
      </w:r>
    </w:p>
    <w:p>
      <w:pPr>
        <w:widowControl/>
        <w:jc w:val="left"/>
        <w:rPr>
          <w:rFonts w:hint="eastAsia" w:ascii="仿宋_GB2312" w:hAnsi="仿宋_GB2312" w:cs="仿宋_GB2312"/>
          <w:color w:val="000000"/>
          <w:szCs w:val="32"/>
          <w:lang w:eastAsia="zh-CN" w:bidi="ar"/>
        </w:rPr>
      </w:pPr>
      <w:r>
        <w:rPr>
          <w:rFonts w:hint="eastAsia" w:ascii="Times New Roman" w:hAnsi="Times New Roman" w:eastAsia="仿宋_GB2312" w:cs="Times New Roman"/>
          <w:sz w:val="28"/>
          <w:szCs w:val="28"/>
          <w:highlight w:val="none"/>
          <w:lang w:val="en-US" w:eastAsia="zh-CN"/>
        </w:rPr>
        <w:t>石屑应采用石灰岩石屑，采石场破碎石料时通过4.75mm 或者 2.36mm 的筛下部分，其规格及质量技术要求应该符合《公路沥青路面施工技术规范》（JTG F40-2004）相关要求,</w:t>
      </w:r>
    </w:p>
    <w:p>
      <w:pPr>
        <w:widowControl/>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生产石屑时要求采用抽吸措施，宜将S14和S16 规格进行组合使用。 </w:t>
      </w:r>
    </w:p>
    <w:p>
      <w:pPr>
        <w:widowControl/>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4.矿粉 ：用于沥青混合料的矿粉应采用石灰岩经磨细得到的矿粉，原石料的泥土杂质应除净。矿粉应洁净、干燥，能自由地从矿粉仓流出。拌和机的粉尘严禁作为矿粉的回收使用。其质量技术要求详见下表：</w:t>
      </w:r>
      <w:r>
        <w:rPr>
          <w:lang w:eastAsia="zh-CN"/>
        </w:rPr>
        <w:drawing>
          <wp:inline distT="0" distB="0" distL="114300" distR="114300">
            <wp:extent cx="5269865" cy="2783205"/>
            <wp:effectExtent l="0" t="0" r="635"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5269865" cy="2783205"/>
                    </a:xfrm>
                    <a:prstGeom prst="rect">
                      <a:avLst/>
                    </a:prstGeom>
                    <a:noFill/>
                    <a:ln>
                      <a:noFill/>
                    </a:ln>
                  </pic:spPr>
                </pic:pic>
              </a:graphicData>
            </a:graphic>
          </wp:inline>
        </w:drawing>
      </w:r>
      <w:r>
        <w:rPr>
          <w:rFonts w:hint="eastAsia" w:ascii="Times New Roman" w:hAnsi="Times New Roman" w:eastAsia="仿宋_GB2312" w:cs="Times New Roman"/>
          <w:sz w:val="28"/>
          <w:szCs w:val="28"/>
          <w:highlight w:val="none"/>
          <w:lang w:val="en-US" w:eastAsia="zh-CN"/>
        </w:rPr>
        <w:t xml:space="preserve">（二）沥青混合料技术要求：面层沥青混合料矿料级配应符合下表要求，采用骨架密实型级配，具体应按以下级配范围： </w:t>
      </w:r>
    </w:p>
    <w:p>
      <w:pPr>
        <w:widowControl/>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drawing>
          <wp:anchor distT="0" distB="0" distL="114300" distR="114300" simplePos="0" relativeHeight="251661312" behindDoc="1" locked="0" layoutInCell="1" allowOverlap="1">
            <wp:simplePos x="0" y="0"/>
            <wp:positionH relativeFrom="column">
              <wp:posOffset>38735</wp:posOffset>
            </wp:positionH>
            <wp:positionV relativeFrom="paragraph">
              <wp:posOffset>11430</wp:posOffset>
            </wp:positionV>
            <wp:extent cx="5269865" cy="2003425"/>
            <wp:effectExtent l="0" t="0" r="635" b="3175"/>
            <wp:wrapTight wrapText="bothSides">
              <wp:wrapPolygon>
                <wp:start x="0" y="0"/>
                <wp:lineTo x="0" y="21497"/>
                <wp:lineTo x="21551" y="21497"/>
                <wp:lineTo x="21551" y="0"/>
                <wp:lineTo x="0"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5269865" cy="2003425"/>
                    </a:xfrm>
                    <a:prstGeom prst="rect">
                      <a:avLst/>
                    </a:prstGeom>
                    <a:noFill/>
                    <a:ln>
                      <a:noFill/>
                    </a:ln>
                  </pic:spPr>
                </pic:pic>
              </a:graphicData>
            </a:graphic>
          </wp:anchor>
        </w:drawing>
      </w:r>
      <w:r>
        <w:rPr>
          <w:rFonts w:hint="eastAsia" w:ascii="Times New Roman" w:hAnsi="Times New Roman" w:eastAsia="仿宋_GB2312" w:cs="Times New Roman"/>
          <w:sz w:val="28"/>
          <w:szCs w:val="28"/>
          <w:highlight w:val="none"/>
          <w:lang w:val="en-US" w:eastAsia="zh-CN"/>
        </w:rPr>
        <w:t>说明：①、粗型密级配 AC-13C 中关键筛孔 2.36mm 通过率要求不大于 40%；②、粗型密级配 AC-20C中关键筛孔 4.75mm 通过率要求不大于 45%；③、粗型密级配 AC-25C 中关键筛孔 4.75mm 通过率要求不大于 40%；各面层沥青混合料应满足所在层位的功能性要求，便于施工，不容易离析，各层应连续施工并结成为一个整体。沥青混合料采用马歇尔试验配合比设计方法，沥青混合料马歇尔试验技术标准详见下表，并具有良好的施工性能。</w:t>
      </w:r>
    </w:p>
    <w:p>
      <w:pPr>
        <w:spacing w:line="240" w:lineRule="auto"/>
        <w:ind w:left="1120" w:hanging="735" w:hangingChars="350"/>
        <w:rPr>
          <w:lang w:eastAsia="zh-CN"/>
        </w:rPr>
      </w:pPr>
      <w:r>
        <w:rPr>
          <w:lang w:eastAsia="zh-CN"/>
        </w:rPr>
        <w:drawing>
          <wp:inline distT="0" distB="0" distL="114300" distR="114300">
            <wp:extent cx="4888865" cy="2221230"/>
            <wp:effectExtent l="0" t="0" r="635"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4888865" cy="2221230"/>
                    </a:xfrm>
                    <a:prstGeom prst="rect">
                      <a:avLst/>
                    </a:prstGeom>
                    <a:noFill/>
                    <a:ln>
                      <a:noFill/>
                    </a:ln>
                  </pic:spPr>
                </pic:pic>
              </a:graphicData>
            </a:graphic>
          </wp:inline>
        </w:drawing>
      </w:r>
      <w:r>
        <w:rPr>
          <w:rFonts w:hint="eastAsia"/>
          <w:lang w:eastAsia="zh-CN"/>
        </w:rPr>
        <w:t xml:space="preserve"> </w:t>
      </w:r>
    </w:p>
    <w:p>
      <w:pPr>
        <w:widowControl/>
        <w:ind w:firstLine="560" w:firstLineChars="200"/>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所有沥青混合料在规定的条件下进行车辙试验、浸水马歇尔试验和冻融劈裂试验，并应符合下表的技术要求，并对不符合要求的沥青混合料，必须更换材料或重新进行配合比试验，调整最佳沥青用量的方法提高沥青混合料的水稳性。 </w:t>
      </w:r>
    </w:p>
    <w:p>
      <w:pPr>
        <w:widowControl/>
        <w:ind w:firstLine="560" w:firstLineChars="200"/>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沥青混合料宜在-10℃、加载速率 50mm/min 的条件下进行弯曲试验，综合评价沥青混合料的低温抗裂性，其技术指标详见下表。 </w:t>
      </w:r>
    </w:p>
    <w:p>
      <w:pPr>
        <w:widowControl/>
        <w:ind w:firstLine="560" w:firstLineChars="200"/>
        <w:jc w:val="left"/>
        <w:rPr>
          <w:rFonts w:ascii="仿宋_GB2312" w:hAnsi="仿宋_GB2312" w:cs="仿宋_GB2312"/>
          <w:lang w:eastAsia="zh-CN"/>
        </w:rPr>
      </w:pPr>
      <w:r>
        <w:rPr>
          <w:rFonts w:hint="eastAsia" w:ascii="Times New Roman" w:hAnsi="Times New Roman" w:eastAsia="仿宋_GB2312" w:cs="Times New Roman"/>
          <w:sz w:val="28"/>
          <w:szCs w:val="28"/>
          <w:highlight w:val="none"/>
          <w:lang w:val="en-US" w:eastAsia="zh-CN"/>
        </w:rPr>
        <w:t>经设计确定的标准配合比在施工过程中不得随意变更。生产过程中应加强跟踪检测，严格控制进场材料的质量，如遇材料发生变化并经检测沥青混合料的矿料级配、马歇尔技术指标不符合要求时，应及时调整配合比，使沥青混合料的质量符合要求并保持相对稳定，必要时重新进行配合比设计。</w:t>
      </w:r>
      <w:r>
        <w:rPr>
          <w:lang w:eastAsia="zh-CN"/>
        </w:rPr>
        <w:drawing>
          <wp:inline distT="0" distB="0" distL="114300" distR="114300">
            <wp:extent cx="5112385" cy="1050925"/>
            <wp:effectExtent l="0" t="0" r="5715"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srcRect l="2988" b="121"/>
                    <a:stretch>
                      <a:fillRect/>
                    </a:stretch>
                  </pic:blipFill>
                  <pic:spPr>
                    <a:xfrm>
                      <a:off x="0" y="0"/>
                      <a:ext cx="5112385" cy="1050925"/>
                    </a:xfrm>
                    <a:prstGeom prst="rect">
                      <a:avLst/>
                    </a:prstGeom>
                    <a:noFill/>
                    <a:ln>
                      <a:noFill/>
                    </a:ln>
                  </pic:spPr>
                </pic:pic>
              </a:graphicData>
            </a:graphic>
          </wp:inline>
        </w:drawing>
      </w:r>
      <w:r>
        <w:rPr>
          <w:lang w:eastAsia="zh-CN"/>
        </w:rPr>
        <w:drawing>
          <wp:inline distT="0" distB="0" distL="114300" distR="114300">
            <wp:extent cx="5146675" cy="2791460"/>
            <wp:effectExtent l="0" t="0" r="9525"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7"/>
                    <a:srcRect l="2338" t="272"/>
                    <a:stretch>
                      <a:fillRect/>
                    </a:stretch>
                  </pic:blipFill>
                  <pic:spPr>
                    <a:xfrm>
                      <a:off x="0" y="0"/>
                      <a:ext cx="5146675" cy="2791460"/>
                    </a:xfrm>
                    <a:prstGeom prst="rect">
                      <a:avLst/>
                    </a:prstGeom>
                    <a:noFill/>
                    <a:ln>
                      <a:noFill/>
                    </a:ln>
                  </pic:spPr>
                </pic:pic>
              </a:graphicData>
            </a:graphic>
          </wp:inline>
        </w:drawing>
      </w:r>
    </w:p>
    <w:p>
      <w:pPr>
        <w:widowControl/>
        <w:jc w:val="left"/>
        <w:rPr>
          <w:rFonts w:hint="default" w:ascii="Times New Roman" w:hAnsi="Times New Roman" w:eastAsia="仿宋_GB2312" w:cs="Times New Roman"/>
          <w:b/>
          <w:bCs/>
          <w:sz w:val="28"/>
          <w:szCs w:val="28"/>
          <w:highlight w:val="none"/>
          <w:lang w:val="en-US" w:eastAsia="zh-CN"/>
        </w:rPr>
      </w:pPr>
    </w:p>
    <w:p>
      <w:pPr>
        <w:widowControl/>
        <w:jc w:val="left"/>
        <w:rPr>
          <w:rFonts w:hint="default" w:ascii="Times New Roman" w:hAnsi="Times New Roman" w:eastAsia="仿宋_GB2312" w:cs="Times New Roman"/>
          <w:b/>
          <w:bCs/>
          <w:sz w:val="28"/>
          <w:szCs w:val="28"/>
          <w:highlight w:val="none"/>
          <w:lang w:val="en-US" w:eastAsia="zh-CN"/>
        </w:rPr>
      </w:pPr>
    </w:p>
    <w:p>
      <w:pPr>
        <w:widowControl/>
        <w:jc w:val="left"/>
        <w:rPr>
          <w:rFonts w:hint="default" w:ascii="Times New Roman" w:hAnsi="Times New Roman" w:eastAsia="仿宋_GB2312" w:cs="Times New Roman"/>
          <w:b/>
          <w:bCs/>
          <w:sz w:val="28"/>
          <w:szCs w:val="28"/>
          <w:highlight w:val="none"/>
          <w:lang w:val="en-US" w:eastAsia="zh-CN"/>
        </w:rPr>
      </w:pPr>
    </w:p>
    <w:p>
      <w:pPr>
        <w:widowControl/>
        <w:jc w:val="left"/>
        <w:rPr>
          <w:rFonts w:hint="default" w:ascii="Times New Roman" w:hAnsi="Times New Roman" w:eastAsia="仿宋_GB2312" w:cs="Times New Roman"/>
          <w:b/>
          <w:bCs/>
          <w:sz w:val="28"/>
          <w:szCs w:val="28"/>
          <w:highlight w:val="none"/>
          <w:lang w:val="en-US" w:eastAsia="zh-CN"/>
        </w:rPr>
      </w:pPr>
    </w:p>
    <w:p>
      <w:pPr>
        <w:widowControl/>
        <w:jc w:val="left"/>
        <w:rPr>
          <w:rFonts w:hint="default" w:ascii="Times New Roman" w:hAnsi="Times New Roman" w:eastAsia="仿宋_GB2312" w:cs="Times New Roman"/>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招标人要求</w:t>
      </w:r>
    </w:p>
    <w:p>
      <w:pPr>
        <w:widowControl/>
        <w:jc w:val="left"/>
        <w:rPr>
          <w:rFonts w:hint="default" w:ascii="Times New Roman" w:hAnsi="Times New Roman" w:eastAsia="仿宋_GB2312" w:cs="Times New Roman"/>
          <w:b/>
          <w:bCs/>
          <w:sz w:val="28"/>
          <w:szCs w:val="28"/>
          <w:highlight w:val="none"/>
          <w:lang w:val="en-US" w:eastAsia="zh-CN"/>
        </w:rPr>
      </w:pPr>
    </w:p>
    <w:p>
      <w:pPr>
        <w:widowControl/>
        <w:ind w:firstLine="560" w:firstLineChars="200"/>
        <w:jc w:val="left"/>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1、请潜在供应商收到招标文件后综合考虑沥青混合料配合比掺配时间和原材料检测时间。</w:t>
      </w:r>
    </w:p>
    <w:p>
      <w:pPr>
        <w:widowControl/>
        <w:ind w:firstLine="560" w:firstLineChars="200"/>
        <w:jc w:val="left"/>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2、潜在供应商应具备日常检测能力，每天需进行混合料检测试验和按照规范要求的检测频率进行原材料检验，详细记录试验情况，并将试验成果次日提交我单位存档。 </w:t>
      </w:r>
    </w:p>
    <w:p>
      <w:pPr>
        <w:widowControl/>
        <w:ind w:firstLine="560" w:firstLineChars="200"/>
        <w:jc w:val="left"/>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3、供货商中标后需在7个工作日内提交沥青混合料配合比报告及各原材料检测报告，以备我单位验证试验成果。逾期未提交，默认自动放弃中标。</w:t>
      </w:r>
    </w:p>
    <w:p>
      <w:pPr>
        <w:widowControl/>
        <w:ind w:firstLine="560" w:firstLineChars="200"/>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4、在发放中标通知书前对拟中标单位进行约谈和考察，对其提供的业绩等进行复核，如发现提供虚假材料骗取中标，将取消其中标资格，并扣除其投标保证金。</w:t>
      </w:r>
    </w:p>
    <w:p>
      <w:pPr>
        <w:widowControl/>
        <w:ind w:firstLine="560" w:firstLineChars="200"/>
        <w:jc w:val="left"/>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5、中标单位中标后需提供一名项目负责人，负责沥青材料的生产、调度及运输。</w:t>
      </w:r>
    </w:p>
    <w:p>
      <w:pPr>
        <w:widowControl/>
        <w:ind w:firstLine="560" w:firstLineChars="200"/>
        <w:jc w:val="left"/>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6、沥青混凝土到货时间以项目经理部通知到达时间为准，逾期到货项目经理部将对中标单位作出相应处罚，直至解除合同为止。</w:t>
      </w: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4" w:name="_Toc152045787"/>
      <w:bookmarkStart w:id="25" w:name="_Toc144974856"/>
      <w:bookmarkStart w:id="26" w:name="_Toc247514246"/>
      <w:bookmarkStart w:id="27" w:name="_Toc247527827"/>
      <w:bookmarkStart w:id="28" w:name="_Toc152042576"/>
      <w:bookmarkStart w:id="29" w:name="_Toc300835209"/>
      <w:r>
        <w:rPr>
          <w:rFonts w:hint="default" w:ascii="Times New Roman" w:hAnsi="Times New Roman" w:cs="Times New Roman"/>
          <w:highlight w:val="none"/>
        </w:rPr>
        <w:t>目    录</w:t>
      </w:r>
      <w:bookmarkEnd w:id="24"/>
      <w:bookmarkEnd w:id="25"/>
      <w:bookmarkEnd w:id="26"/>
      <w:bookmarkEnd w:id="27"/>
      <w:bookmarkEnd w:id="28"/>
      <w:bookmarkEnd w:id="29"/>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七、投标产品参数指标资料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八、供货方案</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30" w:name="_Toc247514247"/>
      <w:bookmarkStart w:id="31" w:name="_Toc144974857"/>
      <w:bookmarkStart w:id="32" w:name="_Toc152045788"/>
      <w:bookmarkStart w:id="33" w:name="_Toc247527828"/>
      <w:bookmarkStart w:id="34" w:name="_Toc152042577"/>
      <w:bookmarkStart w:id="35" w:name="_Toc300835210"/>
      <w:r>
        <w:rPr>
          <w:rFonts w:hint="default" w:ascii="Times New Roman" w:hAnsi="Times New Roman" w:cs="Times New Roman"/>
          <w:highlight w:val="none"/>
        </w:rPr>
        <w:t>一、投标函</w:t>
      </w:r>
      <w:bookmarkEnd w:id="30"/>
      <w:bookmarkEnd w:id="31"/>
      <w:bookmarkEnd w:id="32"/>
      <w:bookmarkEnd w:id="33"/>
      <w:bookmarkEnd w:id="34"/>
      <w:bookmarkEnd w:id="35"/>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招标项目招标文件的全部内容，愿意以不含税人民币（大写）：</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，另外，税率为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完成本项目投标产品的供货、运输、装卸、调换等全部工作内容。供货期：</w:t>
      </w:r>
      <w:r>
        <w:rPr>
          <w:rFonts w:hint="eastAsia" w:ascii="Times New Roman" w:hAnsi="Times New Roman" w:cs="Times New Roman"/>
          <w:szCs w:val="21"/>
          <w:highlight w:val="none"/>
          <w:u w:val="single"/>
          <w:lang w:val="en-US" w:eastAsia="zh-CN"/>
        </w:rPr>
        <w:t xml:space="preserve"> 自合同签订之日起60个日历天内完成供货 </w:t>
      </w:r>
      <w:r>
        <w:rPr>
          <w:rFonts w:hint="eastAsia" w:ascii="Times New Roman" w:hAnsi="Times New Roman" w:cs="Times New Roman"/>
          <w:szCs w:val="21"/>
          <w:highlight w:val="none"/>
          <w:u w:val="none"/>
          <w:lang w:val="en-US" w:eastAsia="zh-CN"/>
        </w:rPr>
        <w:t>。质量标准：</w:t>
      </w:r>
      <w:r>
        <w:rPr>
          <w:rFonts w:hint="eastAsia" w:ascii="Times New Roman" w:hAnsi="Times New Roman" w:cs="Times New Roman"/>
          <w:szCs w:val="21"/>
          <w:highlight w:val="none"/>
          <w:u w:val="single"/>
          <w:lang w:val="en-US" w:eastAsia="zh-CN"/>
        </w:rPr>
        <w:t xml:space="preserve"> 符合国家、地方、行业现行相关规范合格标准，满足采购人及设计文件要求 </w:t>
      </w:r>
      <w:r>
        <w:rPr>
          <w:rFonts w:hint="eastAsia" w:ascii="Times New Roman" w:hAnsi="Times New Roman" w:cs="Times New Roman"/>
          <w:szCs w:val="21"/>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（1）投标函；（2）法定代表人（单位负责人）身份证明或授权委托书；（3）投标保证金；（4）商务和技术偏差表；（5）分项报价表；（6）资格审查资料；（7）投标产品参数资料；（8）供货方案；......</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或盖章</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36" w:name="_Toc247527831"/>
      <w:bookmarkStart w:id="37" w:name="_Toc247514283"/>
      <w:bookmarkStart w:id="38" w:name="_Toc144974860"/>
      <w:bookmarkStart w:id="39" w:name="_Toc300835213"/>
      <w:bookmarkStart w:id="40" w:name="_Toc152042580"/>
      <w:bookmarkStart w:id="41" w:name="_Toc152045791"/>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36"/>
      <w:bookmarkEnd w:id="37"/>
      <w:bookmarkEnd w:id="38"/>
      <w:bookmarkEnd w:id="39"/>
      <w:bookmarkEnd w:id="40"/>
      <w:bookmarkEnd w:id="41"/>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42" w:name="_Toc152042581"/>
      <w:bookmarkStart w:id="43" w:name="_Toc152045792"/>
      <w:bookmarkStart w:id="44" w:name="_Toc247527832"/>
      <w:bookmarkStart w:id="45" w:name="_Toc247514284"/>
      <w:bookmarkStart w:id="46" w:name="_Toc144974861"/>
      <w:bookmarkStart w:id="47" w:name="_Toc300835214"/>
      <w:r>
        <w:rPr>
          <w:rFonts w:hint="default" w:ascii="Times New Roman" w:hAnsi="Times New Roman" w:cs="Times New Roman"/>
          <w:highlight w:val="none"/>
        </w:rPr>
        <w:t>二、授权委托书</w:t>
      </w:r>
      <w:bookmarkEnd w:id="42"/>
      <w:bookmarkEnd w:id="43"/>
      <w:bookmarkEnd w:id="44"/>
      <w:bookmarkEnd w:id="45"/>
      <w:bookmarkEnd w:id="46"/>
      <w:bookmarkEnd w:id="47"/>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证复印件、委托代理人身份证复印件以及2022年1月1日起任意3个月及以上养老保险证明。</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48" w:name="_Toc144974862"/>
      <w:bookmarkStart w:id="49" w:name="_Toc247527834"/>
      <w:bookmarkStart w:id="50" w:name="_Toc152045794"/>
      <w:bookmarkStart w:id="51" w:name="_Toc300835216"/>
      <w:bookmarkStart w:id="52" w:name="_Toc152042583"/>
      <w:bookmarkStart w:id="53"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8"/>
      <w:bookmarkEnd w:id="49"/>
      <w:bookmarkEnd w:id="50"/>
      <w:bookmarkEnd w:id="51"/>
      <w:bookmarkEnd w:id="52"/>
      <w:bookmarkEnd w:id="5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5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54"/>
    <w:p>
      <w:pPr>
        <w:pStyle w:val="3"/>
        <w:jc w:val="center"/>
        <w:rPr>
          <w:rFonts w:hint="eastAsia" w:ascii="Times New Roman" w:hAnsi="Times New Roman" w:cs="Times New Roman"/>
          <w:lang w:val="en-US" w:eastAsia="zh-CN"/>
        </w:rPr>
      </w:pPr>
      <w:bookmarkStart w:id="55" w:name="_Toc152042592"/>
      <w:bookmarkStart w:id="56" w:name="_Toc246997112"/>
      <w:bookmarkStart w:id="57" w:name="_Toc179632823"/>
      <w:bookmarkStart w:id="58" w:name="_Toc246996369"/>
      <w:bookmarkStart w:id="59" w:name="_Toc144974871"/>
      <w:bookmarkStart w:id="60" w:name="_Toc296602614"/>
      <w:bookmarkStart w:id="61" w:name="_Toc247085887"/>
      <w:bookmarkStart w:id="62" w:name="_Toc152045803"/>
      <w:bookmarkStart w:id="63" w:name="_Toc300835224"/>
      <w:bookmarkStart w:id="64" w:name="_Toc152042597"/>
      <w:bookmarkStart w:id="65" w:name="_Toc152045808"/>
      <w:bookmarkStart w:id="66" w:name="_Toc247527848"/>
      <w:bookmarkStart w:id="67" w:name="_Toc144974876"/>
      <w:bookmarkStart w:id="68" w:name="_Toc247514300"/>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20"/>
        <w:tblW w:w="85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511"/>
        <w:gridCol w:w="966"/>
        <w:gridCol w:w="925"/>
        <w:gridCol w:w="1134"/>
        <w:gridCol w:w="1134"/>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511" w:type="dxa"/>
            <w:vAlign w:val="center"/>
          </w:tcPr>
          <w:p>
            <w:pPr>
              <w:jc w:val="center"/>
              <w:rPr>
                <w:rFonts w:hint="eastAsia" w:ascii="Times New Roman" w:hAnsi="Times New Roman" w:cs="Times New Roman"/>
                <w:b/>
                <w:bCs/>
                <w:vertAlign w:val="baseline"/>
                <w:lang w:val="en-US" w:eastAsia="zh-CN"/>
              </w:rPr>
            </w:pPr>
            <w:r>
              <w:rPr>
                <w:rFonts w:eastAsia="仿宋" w:cs="Times New Roman"/>
                <w:b/>
                <w:i w:val="0"/>
                <w:caps w:val="0"/>
                <w:spacing w:val="0"/>
                <w:w w:val="100"/>
                <w:sz w:val="24"/>
              </w:rPr>
              <w:t>规格及型号</w:t>
            </w:r>
          </w:p>
        </w:tc>
        <w:tc>
          <w:tcPr>
            <w:tcW w:w="966"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925"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单价（元）不含税</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总价（元）不含税</w:t>
            </w:r>
          </w:p>
        </w:tc>
        <w:tc>
          <w:tcPr>
            <w:tcW w:w="930"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511" w:type="dxa"/>
            <w:vAlign w:val="center"/>
          </w:tcPr>
          <w:p>
            <w:pPr>
              <w:jc w:val="center"/>
              <w:rPr>
                <w:rFonts w:hint="default" w:ascii="Times New Roman" w:hAnsi="Times New Roman" w:cs="Times New Roman"/>
                <w:vertAlign w:val="baseline"/>
              </w:rPr>
            </w:pPr>
          </w:p>
        </w:tc>
        <w:tc>
          <w:tcPr>
            <w:tcW w:w="966" w:type="dxa"/>
            <w:vAlign w:val="center"/>
          </w:tcPr>
          <w:p>
            <w:pPr>
              <w:jc w:val="center"/>
              <w:rPr>
                <w:rFonts w:hint="default" w:ascii="Times New Roman" w:hAnsi="Times New Roman" w:cs="Times New Roman"/>
                <w:vertAlign w:val="baseline"/>
              </w:rPr>
            </w:pPr>
          </w:p>
        </w:tc>
        <w:tc>
          <w:tcPr>
            <w:tcW w:w="925"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930"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jc w:val="center"/>
              <w:rPr>
                <w:rFonts w:hint="default" w:ascii="Times New Roman" w:hAnsi="Times New Roman" w:cs="Times New Roman"/>
                <w:vertAlign w:val="baseline"/>
              </w:rPr>
            </w:pPr>
          </w:p>
        </w:tc>
        <w:tc>
          <w:tcPr>
            <w:tcW w:w="1511" w:type="dxa"/>
            <w:vAlign w:val="center"/>
          </w:tcPr>
          <w:p>
            <w:pPr>
              <w:jc w:val="center"/>
              <w:rPr>
                <w:rFonts w:hint="default" w:ascii="Times New Roman" w:hAnsi="Times New Roman" w:cs="Times New Roman"/>
                <w:vertAlign w:val="baseline"/>
              </w:rPr>
            </w:pPr>
          </w:p>
        </w:tc>
        <w:tc>
          <w:tcPr>
            <w:tcW w:w="966" w:type="dxa"/>
            <w:vAlign w:val="center"/>
          </w:tcPr>
          <w:p>
            <w:pPr>
              <w:jc w:val="center"/>
              <w:rPr>
                <w:rFonts w:hint="default" w:ascii="Times New Roman" w:hAnsi="Times New Roman" w:cs="Times New Roman"/>
                <w:vertAlign w:val="baseline"/>
              </w:rPr>
            </w:pPr>
          </w:p>
        </w:tc>
        <w:tc>
          <w:tcPr>
            <w:tcW w:w="925"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930"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511" w:type="dxa"/>
            <w:vAlign w:val="center"/>
          </w:tcPr>
          <w:p>
            <w:pPr>
              <w:jc w:val="center"/>
              <w:rPr>
                <w:rFonts w:hint="default" w:ascii="Times New Roman" w:hAnsi="Times New Roman" w:cs="Times New Roman"/>
                <w:vertAlign w:val="baseline"/>
              </w:rPr>
            </w:pPr>
          </w:p>
        </w:tc>
        <w:tc>
          <w:tcPr>
            <w:tcW w:w="966" w:type="dxa"/>
            <w:vAlign w:val="center"/>
          </w:tcPr>
          <w:p>
            <w:pPr>
              <w:jc w:val="center"/>
              <w:rPr>
                <w:rFonts w:hint="default" w:ascii="Times New Roman" w:hAnsi="Times New Roman" w:cs="Times New Roman"/>
                <w:vertAlign w:val="baseline"/>
              </w:rPr>
            </w:pPr>
          </w:p>
        </w:tc>
        <w:tc>
          <w:tcPr>
            <w:tcW w:w="925"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930"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20" w:type="dxa"/>
            <w:gridSpan w:val="6"/>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930"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投标人须知要求投标产品需具有的资质证书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w:t>
      </w:r>
      <w:r>
        <w:rPr>
          <w:rFonts w:hint="eastAsia" w:ascii="Times New Roman" w:hAnsi="Times New Roman" w:cs="Times New Roman"/>
          <w:lang w:val="en-US" w:eastAsia="zh-CN"/>
        </w:rPr>
        <w:t>.1</w:t>
      </w:r>
      <w:r>
        <w:rPr>
          <w:rFonts w:hint="default" w:ascii="Times New Roman" w:hAnsi="Times New Roman" w:cs="Times New Roman"/>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如果投标人须知第1.4.1项对投标产品的资质提出了要求，投标人应根据投标人须知第3.5.1项的要求在本表后附相关资质证书复印件。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rPr>
          <w:rFonts w:hint="eastAsia"/>
        </w:rPr>
      </w:pPr>
      <w:r>
        <w:rPr>
          <w:rFonts w:hint="eastAsia"/>
        </w:rPr>
        <w:br w:type="page"/>
      </w:r>
    </w:p>
    <w:bookmarkEnd w:id="55"/>
    <w:bookmarkEnd w:id="56"/>
    <w:bookmarkEnd w:id="57"/>
    <w:bookmarkEnd w:id="58"/>
    <w:bookmarkEnd w:id="59"/>
    <w:bookmarkEnd w:id="60"/>
    <w:bookmarkEnd w:id="61"/>
    <w:bookmarkEnd w:id="62"/>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投标产品参数资料</w:t>
      </w:r>
    </w:p>
    <w:bookmarkEnd w:id="63"/>
    <w:bookmarkEnd w:id="64"/>
    <w:bookmarkEnd w:id="65"/>
    <w:bookmarkEnd w:id="66"/>
    <w:bookmarkEnd w:id="67"/>
    <w:bookmarkEnd w:id="68"/>
    <w:p>
      <w:pPr>
        <w:rPr>
          <w:rFonts w:hint="default" w:ascii="Times New Roman" w:hAnsi="Times New Roman" w:cs="Times New Roman"/>
        </w:rPr>
      </w:pPr>
      <w:r>
        <w:rPr>
          <w:rFonts w:hint="default" w:ascii="Times New Roman" w:hAnsi="Times New Roman" w:cs="Times New Roman"/>
        </w:rPr>
        <w:br w:type="page"/>
      </w:r>
      <w:bookmarkStart w:id="69" w:name="_Toc152045813"/>
      <w:bookmarkStart w:id="70" w:name="_Toc144974881"/>
      <w:bookmarkStart w:id="71" w:name="_Toc247530162"/>
      <w:bookmarkStart w:id="72" w:name="_Toc247527853"/>
      <w:bookmarkStart w:id="73" w:name="_Toc247514305"/>
      <w:bookmarkStart w:id="74" w:name="_Toc152042602"/>
    </w:p>
    <w:bookmarkEnd w:id="69"/>
    <w:bookmarkEnd w:id="70"/>
    <w:bookmarkEnd w:id="71"/>
    <w:bookmarkEnd w:id="72"/>
    <w:bookmarkEnd w:id="73"/>
    <w:bookmarkEnd w:id="74"/>
    <w:p>
      <w:pPr>
        <w:pStyle w:val="3"/>
        <w:jc w:val="center"/>
        <w:rPr>
          <w:rFonts w:hint="default" w:ascii="Times New Roman" w:hAnsi="Times New Roman" w:cs="Times New Roman"/>
          <w:lang w:val="en-US" w:eastAsia="zh-CN"/>
        </w:rPr>
      </w:pPr>
      <w:bookmarkStart w:id="75" w:name="_Toc300835233"/>
      <w:bookmarkStart w:id="76" w:name="_Toc271821942"/>
      <w:r>
        <w:rPr>
          <w:rFonts w:hint="eastAsia" w:ascii="Times New Roman" w:hAnsi="Times New Roman" w:cs="Times New Roman"/>
          <w:lang w:val="en-US" w:eastAsia="zh-CN"/>
        </w:rPr>
        <w:t>八、供货方案</w:t>
      </w:r>
    </w:p>
    <w:p>
      <w:pPr>
        <w:pStyle w:val="3"/>
        <w:ind w:firstLine="480" w:firstLineChars="200"/>
        <w:jc w:val="center"/>
        <w:rPr>
          <w:rFonts w:hint="default" w:ascii="Times New Roman" w:hAnsi="Times New Roman" w:cs="Times New Roman"/>
          <w:lang w:val="en-US" w:eastAsia="zh-CN"/>
        </w:rPr>
      </w:pPr>
      <w:r>
        <w:rPr>
          <w:rFonts w:hint="eastAsia" w:asciiTheme="minorEastAsia" w:hAnsiTheme="minorEastAsia" w:eastAsiaTheme="minorEastAsia" w:cstheme="minorEastAsia"/>
          <w:b w:val="0"/>
          <w:bCs w:val="0"/>
          <w:sz w:val="24"/>
          <w:szCs w:val="24"/>
          <w:lang w:val="en-US" w:eastAsia="zh-CN"/>
        </w:rPr>
        <w:t>供货方案具体内容、格式由投标人自拟。</w:t>
      </w: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九</w:t>
      </w:r>
      <w:r>
        <w:rPr>
          <w:rFonts w:hint="default" w:ascii="Times New Roman" w:hAnsi="Times New Roman" w:cs="Times New Roman"/>
        </w:rPr>
        <w:t>、其他资料</w:t>
      </w:r>
      <w:bookmarkEnd w:id="75"/>
      <w:bookmarkEnd w:id="76"/>
    </w:p>
    <w:p>
      <w:pPr>
        <w:ind w:firstLine="420" w:firstLineChars="200"/>
        <w:rPr>
          <w:rFonts w:hint="eastAsia" w:ascii="Times New Roman" w:hAnsi="Times New Roman" w:eastAsiaTheme="minorEastAsia"/>
          <w:sz w:val="21"/>
          <w:szCs w:val="21"/>
          <w:lang w:eastAsia="zh-CN"/>
        </w:rPr>
      </w:pPr>
      <w:r>
        <w:rPr>
          <w:rFonts w:hint="eastAsia" w:ascii="Times New Roman" w:hAnsi="Times New Roman"/>
          <w:sz w:val="21"/>
          <w:szCs w:val="21"/>
        </w:rPr>
        <w:t>第</w:t>
      </w:r>
      <w:r>
        <w:rPr>
          <w:rFonts w:hint="eastAsia" w:ascii="Times New Roman" w:hAnsi="Times New Roman"/>
          <w:sz w:val="21"/>
          <w:szCs w:val="21"/>
          <w:lang w:val="en-US" w:eastAsia="zh-CN"/>
        </w:rPr>
        <w:t>七</w:t>
      </w:r>
      <w:r>
        <w:rPr>
          <w:rFonts w:hint="eastAsia" w:ascii="Times New Roman" w:hAnsi="Times New Roman"/>
          <w:sz w:val="21"/>
          <w:szCs w:val="21"/>
        </w:rPr>
        <w:t>章“投标文件格式”未详尽列举，但招标文件要求或</w:t>
      </w:r>
      <w:r>
        <w:rPr>
          <w:rFonts w:hint="eastAsia" w:ascii="Times New Roman" w:hAnsi="Times New Roman"/>
          <w:sz w:val="21"/>
          <w:szCs w:val="21"/>
          <w:lang w:val="en-US" w:eastAsia="zh-CN"/>
        </w:rPr>
        <w:t>投标人认为</w:t>
      </w:r>
      <w:r>
        <w:rPr>
          <w:rFonts w:hint="eastAsia" w:ascii="Times New Roman" w:hAnsi="Times New Roman"/>
          <w:sz w:val="21"/>
          <w:szCs w:val="21"/>
        </w:rPr>
        <w:t>有必要提供的资料</w:t>
      </w:r>
      <w:r>
        <w:rPr>
          <w:rFonts w:hint="eastAsia" w:ascii="Times New Roman" w:hAnsi="Times New Roman"/>
          <w:sz w:val="21"/>
          <w:szCs w:val="21"/>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96BD7"/>
    <w:rsid w:val="000A4B92"/>
    <w:rsid w:val="00195B2A"/>
    <w:rsid w:val="002609D3"/>
    <w:rsid w:val="002C069E"/>
    <w:rsid w:val="0040224D"/>
    <w:rsid w:val="004316FD"/>
    <w:rsid w:val="004361C0"/>
    <w:rsid w:val="00473419"/>
    <w:rsid w:val="004B7444"/>
    <w:rsid w:val="004F72B3"/>
    <w:rsid w:val="00646384"/>
    <w:rsid w:val="006519BA"/>
    <w:rsid w:val="00733B0B"/>
    <w:rsid w:val="00746178"/>
    <w:rsid w:val="00764376"/>
    <w:rsid w:val="00796B76"/>
    <w:rsid w:val="00806276"/>
    <w:rsid w:val="00850CC0"/>
    <w:rsid w:val="008A465F"/>
    <w:rsid w:val="00907037"/>
    <w:rsid w:val="00932A87"/>
    <w:rsid w:val="00A718A6"/>
    <w:rsid w:val="00B00F2F"/>
    <w:rsid w:val="00B07197"/>
    <w:rsid w:val="00B67F5D"/>
    <w:rsid w:val="00B7173A"/>
    <w:rsid w:val="00BA3C91"/>
    <w:rsid w:val="00BC5039"/>
    <w:rsid w:val="00C46955"/>
    <w:rsid w:val="00C81162"/>
    <w:rsid w:val="00CB6168"/>
    <w:rsid w:val="00D16FD1"/>
    <w:rsid w:val="00E431F7"/>
    <w:rsid w:val="00ED1E2A"/>
    <w:rsid w:val="00F26837"/>
    <w:rsid w:val="00FF308E"/>
    <w:rsid w:val="010E47FA"/>
    <w:rsid w:val="011174E1"/>
    <w:rsid w:val="01131AEE"/>
    <w:rsid w:val="011D0233"/>
    <w:rsid w:val="011E6004"/>
    <w:rsid w:val="01265F82"/>
    <w:rsid w:val="0145105E"/>
    <w:rsid w:val="01477ECF"/>
    <w:rsid w:val="015366DE"/>
    <w:rsid w:val="015E6884"/>
    <w:rsid w:val="017D6531"/>
    <w:rsid w:val="01891D75"/>
    <w:rsid w:val="01973E2B"/>
    <w:rsid w:val="019846E3"/>
    <w:rsid w:val="019A0D37"/>
    <w:rsid w:val="019B4B55"/>
    <w:rsid w:val="01AC09B9"/>
    <w:rsid w:val="01B24B94"/>
    <w:rsid w:val="01B446F6"/>
    <w:rsid w:val="01BC6192"/>
    <w:rsid w:val="01BF5196"/>
    <w:rsid w:val="01CB0CDF"/>
    <w:rsid w:val="01CD2334"/>
    <w:rsid w:val="01DE0605"/>
    <w:rsid w:val="01E140D3"/>
    <w:rsid w:val="01F16263"/>
    <w:rsid w:val="01F210DC"/>
    <w:rsid w:val="01F3508C"/>
    <w:rsid w:val="01FB5FA7"/>
    <w:rsid w:val="02016132"/>
    <w:rsid w:val="020E2BF6"/>
    <w:rsid w:val="021323E7"/>
    <w:rsid w:val="021D348F"/>
    <w:rsid w:val="022C33C4"/>
    <w:rsid w:val="023E2E5C"/>
    <w:rsid w:val="02562B11"/>
    <w:rsid w:val="026E5FAB"/>
    <w:rsid w:val="026F19A4"/>
    <w:rsid w:val="02983D41"/>
    <w:rsid w:val="02A31129"/>
    <w:rsid w:val="02A46690"/>
    <w:rsid w:val="02AA329A"/>
    <w:rsid w:val="02AC508C"/>
    <w:rsid w:val="02AE7397"/>
    <w:rsid w:val="02BE075F"/>
    <w:rsid w:val="02C62A0C"/>
    <w:rsid w:val="02CB4D2D"/>
    <w:rsid w:val="02D15F15"/>
    <w:rsid w:val="02DE4F54"/>
    <w:rsid w:val="02E02F52"/>
    <w:rsid w:val="02EF266E"/>
    <w:rsid w:val="02F4317E"/>
    <w:rsid w:val="03067649"/>
    <w:rsid w:val="031F3F15"/>
    <w:rsid w:val="0324584F"/>
    <w:rsid w:val="032652C7"/>
    <w:rsid w:val="032B6D9E"/>
    <w:rsid w:val="033964DC"/>
    <w:rsid w:val="035021B2"/>
    <w:rsid w:val="03696450"/>
    <w:rsid w:val="03850890"/>
    <w:rsid w:val="038751B1"/>
    <w:rsid w:val="03880936"/>
    <w:rsid w:val="038A58DF"/>
    <w:rsid w:val="038E65F9"/>
    <w:rsid w:val="03962305"/>
    <w:rsid w:val="03A1251F"/>
    <w:rsid w:val="03A15A32"/>
    <w:rsid w:val="03B00E3B"/>
    <w:rsid w:val="03B8086B"/>
    <w:rsid w:val="03BD28F2"/>
    <w:rsid w:val="03C10800"/>
    <w:rsid w:val="03C96DCC"/>
    <w:rsid w:val="03D5179C"/>
    <w:rsid w:val="03F661CB"/>
    <w:rsid w:val="03FB71CD"/>
    <w:rsid w:val="04073574"/>
    <w:rsid w:val="04127BBC"/>
    <w:rsid w:val="041515CF"/>
    <w:rsid w:val="041B0F8A"/>
    <w:rsid w:val="04210376"/>
    <w:rsid w:val="04212D24"/>
    <w:rsid w:val="0423307F"/>
    <w:rsid w:val="042C575E"/>
    <w:rsid w:val="04382327"/>
    <w:rsid w:val="043A1958"/>
    <w:rsid w:val="043A6EF6"/>
    <w:rsid w:val="043F4B9B"/>
    <w:rsid w:val="043F5557"/>
    <w:rsid w:val="043F6A07"/>
    <w:rsid w:val="0441076D"/>
    <w:rsid w:val="044363A4"/>
    <w:rsid w:val="045D5258"/>
    <w:rsid w:val="046528EE"/>
    <w:rsid w:val="047422EC"/>
    <w:rsid w:val="047473E0"/>
    <w:rsid w:val="04806F13"/>
    <w:rsid w:val="04885B47"/>
    <w:rsid w:val="04A3154C"/>
    <w:rsid w:val="04A33316"/>
    <w:rsid w:val="04A52387"/>
    <w:rsid w:val="04B54547"/>
    <w:rsid w:val="04B82A03"/>
    <w:rsid w:val="04CD15E8"/>
    <w:rsid w:val="04CF4810"/>
    <w:rsid w:val="04D36D79"/>
    <w:rsid w:val="04D63FDF"/>
    <w:rsid w:val="04DC4690"/>
    <w:rsid w:val="04EB08D2"/>
    <w:rsid w:val="04EB22D1"/>
    <w:rsid w:val="04EC7DA2"/>
    <w:rsid w:val="04F67DFF"/>
    <w:rsid w:val="04FA424D"/>
    <w:rsid w:val="050252F6"/>
    <w:rsid w:val="050F4264"/>
    <w:rsid w:val="051B3200"/>
    <w:rsid w:val="052561B6"/>
    <w:rsid w:val="054E2C0C"/>
    <w:rsid w:val="054E4AE8"/>
    <w:rsid w:val="055538EA"/>
    <w:rsid w:val="055625ED"/>
    <w:rsid w:val="055903FF"/>
    <w:rsid w:val="0572490A"/>
    <w:rsid w:val="057E3D65"/>
    <w:rsid w:val="058253F2"/>
    <w:rsid w:val="05872EB9"/>
    <w:rsid w:val="058A38A2"/>
    <w:rsid w:val="05933026"/>
    <w:rsid w:val="05AD54AF"/>
    <w:rsid w:val="05AE58A6"/>
    <w:rsid w:val="05BA17C0"/>
    <w:rsid w:val="05BB4257"/>
    <w:rsid w:val="05C166EB"/>
    <w:rsid w:val="05C304F3"/>
    <w:rsid w:val="05CE1E4F"/>
    <w:rsid w:val="05CF40C2"/>
    <w:rsid w:val="05D9116E"/>
    <w:rsid w:val="05E46175"/>
    <w:rsid w:val="05ED7FA3"/>
    <w:rsid w:val="05EF3F4F"/>
    <w:rsid w:val="05FA76CD"/>
    <w:rsid w:val="05FC5D28"/>
    <w:rsid w:val="060B41C8"/>
    <w:rsid w:val="060C7EF1"/>
    <w:rsid w:val="060F43C5"/>
    <w:rsid w:val="061449D2"/>
    <w:rsid w:val="06191AF2"/>
    <w:rsid w:val="061C4B78"/>
    <w:rsid w:val="061F0438"/>
    <w:rsid w:val="06256505"/>
    <w:rsid w:val="06292F58"/>
    <w:rsid w:val="063D5F1C"/>
    <w:rsid w:val="063F4D83"/>
    <w:rsid w:val="06434928"/>
    <w:rsid w:val="064A364D"/>
    <w:rsid w:val="064B59D4"/>
    <w:rsid w:val="06501BB5"/>
    <w:rsid w:val="065B15E4"/>
    <w:rsid w:val="06624967"/>
    <w:rsid w:val="06626753"/>
    <w:rsid w:val="06714440"/>
    <w:rsid w:val="067240CC"/>
    <w:rsid w:val="0675297E"/>
    <w:rsid w:val="0678117F"/>
    <w:rsid w:val="067D3128"/>
    <w:rsid w:val="06866D3C"/>
    <w:rsid w:val="06972E4E"/>
    <w:rsid w:val="06A21D23"/>
    <w:rsid w:val="06A31B6E"/>
    <w:rsid w:val="06A602CF"/>
    <w:rsid w:val="06A75E3C"/>
    <w:rsid w:val="06A848F7"/>
    <w:rsid w:val="06AC4A8E"/>
    <w:rsid w:val="06B86823"/>
    <w:rsid w:val="06BE7A14"/>
    <w:rsid w:val="06BF2153"/>
    <w:rsid w:val="06C93BEB"/>
    <w:rsid w:val="06D375E0"/>
    <w:rsid w:val="06D9502E"/>
    <w:rsid w:val="06E329B2"/>
    <w:rsid w:val="06EB4F76"/>
    <w:rsid w:val="06ED1728"/>
    <w:rsid w:val="06F15AA5"/>
    <w:rsid w:val="06F81004"/>
    <w:rsid w:val="06F81D74"/>
    <w:rsid w:val="06F945C3"/>
    <w:rsid w:val="0700162C"/>
    <w:rsid w:val="070E365E"/>
    <w:rsid w:val="0718614B"/>
    <w:rsid w:val="072B41BB"/>
    <w:rsid w:val="0733799C"/>
    <w:rsid w:val="07341382"/>
    <w:rsid w:val="07351836"/>
    <w:rsid w:val="07395B5E"/>
    <w:rsid w:val="074267A8"/>
    <w:rsid w:val="074A7C93"/>
    <w:rsid w:val="074F5269"/>
    <w:rsid w:val="075A7F62"/>
    <w:rsid w:val="07666E00"/>
    <w:rsid w:val="076F1E37"/>
    <w:rsid w:val="07723470"/>
    <w:rsid w:val="077D387F"/>
    <w:rsid w:val="07866B35"/>
    <w:rsid w:val="078A5688"/>
    <w:rsid w:val="0793244B"/>
    <w:rsid w:val="07962EAB"/>
    <w:rsid w:val="07972327"/>
    <w:rsid w:val="07A30A2F"/>
    <w:rsid w:val="07A526A3"/>
    <w:rsid w:val="07A85930"/>
    <w:rsid w:val="07B16EC0"/>
    <w:rsid w:val="07BC106A"/>
    <w:rsid w:val="07E80040"/>
    <w:rsid w:val="07EE56D8"/>
    <w:rsid w:val="07F10452"/>
    <w:rsid w:val="08061D4D"/>
    <w:rsid w:val="080F19C2"/>
    <w:rsid w:val="08135F8A"/>
    <w:rsid w:val="081A64E8"/>
    <w:rsid w:val="081C6FE3"/>
    <w:rsid w:val="082C49A9"/>
    <w:rsid w:val="0830130B"/>
    <w:rsid w:val="083726B7"/>
    <w:rsid w:val="083815F7"/>
    <w:rsid w:val="0838660F"/>
    <w:rsid w:val="08390843"/>
    <w:rsid w:val="083A4E5D"/>
    <w:rsid w:val="0844736D"/>
    <w:rsid w:val="08506F65"/>
    <w:rsid w:val="0851313C"/>
    <w:rsid w:val="08554A0D"/>
    <w:rsid w:val="08563EE1"/>
    <w:rsid w:val="085A456E"/>
    <w:rsid w:val="08670C64"/>
    <w:rsid w:val="086D3DA1"/>
    <w:rsid w:val="08774BE1"/>
    <w:rsid w:val="087A48E9"/>
    <w:rsid w:val="088E15B2"/>
    <w:rsid w:val="088F5820"/>
    <w:rsid w:val="08903B20"/>
    <w:rsid w:val="08903F11"/>
    <w:rsid w:val="08912B7F"/>
    <w:rsid w:val="0891753F"/>
    <w:rsid w:val="08932D8F"/>
    <w:rsid w:val="089D5EE4"/>
    <w:rsid w:val="08A14818"/>
    <w:rsid w:val="08A754ED"/>
    <w:rsid w:val="08AC0FDA"/>
    <w:rsid w:val="08B42C1D"/>
    <w:rsid w:val="08BF001C"/>
    <w:rsid w:val="08CF1E16"/>
    <w:rsid w:val="08D77C75"/>
    <w:rsid w:val="08ED3164"/>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7E3F67"/>
    <w:rsid w:val="099566E8"/>
    <w:rsid w:val="099B4112"/>
    <w:rsid w:val="09A15817"/>
    <w:rsid w:val="09A71C3D"/>
    <w:rsid w:val="09A7470B"/>
    <w:rsid w:val="09AF2C22"/>
    <w:rsid w:val="09B32D8C"/>
    <w:rsid w:val="09B9167B"/>
    <w:rsid w:val="09BD64F6"/>
    <w:rsid w:val="09C37FE6"/>
    <w:rsid w:val="09CB20E0"/>
    <w:rsid w:val="09D236A1"/>
    <w:rsid w:val="09DB25D9"/>
    <w:rsid w:val="09DF226A"/>
    <w:rsid w:val="09EC69D2"/>
    <w:rsid w:val="09F24E69"/>
    <w:rsid w:val="09F55A47"/>
    <w:rsid w:val="09F80B72"/>
    <w:rsid w:val="09FD4D5B"/>
    <w:rsid w:val="0A074254"/>
    <w:rsid w:val="0A0D1983"/>
    <w:rsid w:val="0A1B093F"/>
    <w:rsid w:val="0A1B7CD6"/>
    <w:rsid w:val="0A2102E5"/>
    <w:rsid w:val="0A263D40"/>
    <w:rsid w:val="0A2C6D71"/>
    <w:rsid w:val="0A3B332D"/>
    <w:rsid w:val="0A3F6135"/>
    <w:rsid w:val="0A4A4D09"/>
    <w:rsid w:val="0A4D21A5"/>
    <w:rsid w:val="0A500304"/>
    <w:rsid w:val="0A5234C1"/>
    <w:rsid w:val="0A544005"/>
    <w:rsid w:val="0A593937"/>
    <w:rsid w:val="0A605FF5"/>
    <w:rsid w:val="0A704DEE"/>
    <w:rsid w:val="0A8B5261"/>
    <w:rsid w:val="0A8E5075"/>
    <w:rsid w:val="0A9001DC"/>
    <w:rsid w:val="0A99152D"/>
    <w:rsid w:val="0AA03A6A"/>
    <w:rsid w:val="0AA913FB"/>
    <w:rsid w:val="0AAE3240"/>
    <w:rsid w:val="0AAE6B76"/>
    <w:rsid w:val="0AB37F43"/>
    <w:rsid w:val="0AB930A2"/>
    <w:rsid w:val="0AC252CC"/>
    <w:rsid w:val="0ACF2B74"/>
    <w:rsid w:val="0AD1197E"/>
    <w:rsid w:val="0AD177D5"/>
    <w:rsid w:val="0AD94B82"/>
    <w:rsid w:val="0ADD0DF0"/>
    <w:rsid w:val="0AE01888"/>
    <w:rsid w:val="0AE12CD3"/>
    <w:rsid w:val="0AE617F3"/>
    <w:rsid w:val="0AE839FE"/>
    <w:rsid w:val="0AEB40E8"/>
    <w:rsid w:val="0AFF19D8"/>
    <w:rsid w:val="0B01634C"/>
    <w:rsid w:val="0B0406A7"/>
    <w:rsid w:val="0B1B1342"/>
    <w:rsid w:val="0B22532A"/>
    <w:rsid w:val="0B2810DB"/>
    <w:rsid w:val="0B31356D"/>
    <w:rsid w:val="0B3A7EC7"/>
    <w:rsid w:val="0B416906"/>
    <w:rsid w:val="0B44058A"/>
    <w:rsid w:val="0B584208"/>
    <w:rsid w:val="0B5D1C2A"/>
    <w:rsid w:val="0B655F87"/>
    <w:rsid w:val="0B685C3C"/>
    <w:rsid w:val="0B7202E7"/>
    <w:rsid w:val="0B725051"/>
    <w:rsid w:val="0B74328D"/>
    <w:rsid w:val="0B861E93"/>
    <w:rsid w:val="0B8C63AF"/>
    <w:rsid w:val="0B93213A"/>
    <w:rsid w:val="0B991D46"/>
    <w:rsid w:val="0B9E2A8E"/>
    <w:rsid w:val="0B9F686D"/>
    <w:rsid w:val="0BB82A2B"/>
    <w:rsid w:val="0BC67521"/>
    <w:rsid w:val="0BC817F0"/>
    <w:rsid w:val="0BCC1E59"/>
    <w:rsid w:val="0BD14FD3"/>
    <w:rsid w:val="0BDB2BA0"/>
    <w:rsid w:val="0BDF430E"/>
    <w:rsid w:val="0BEE0EFF"/>
    <w:rsid w:val="0BF11F0E"/>
    <w:rsid w:val="0BFC5A30"/>
    <w:rsid w:val="0C0C4BE7"/>
    <w:rsid w:val="0C110CA2"/>
    <w:rsid w:val="0C122C92"/>
    <w:rsid w:val="0C12441A"/>
    <w:rsid w:val="0C175AC8"/>
    <w:rsid w:val="0C2F67D2"/>
    <w:rsid w:val="0C324A10"/>
    <w:rsid w:val="0C364F9E"/>
    <w:rsid w:val="0C4B5C96"/>
    <w:rsid w:val="0C510762"/>
    <w:rsid w:val="0C5A7B2D"/>
    <w:rsid w:val="0C6F4D8A"/>
    <w:rsid w:val="0C7715CE"/>
    <w:rsid w:val="0C773477"/>
    <w:rsid w:val="0C774ACE"/>
    <w:rsid w:val="0C796C68"/>
    <w:rsid w:val="0C7B6074"/>
    <w:rsid w:val="0C8312A6"/>
    <w:rsid w:val="0C8C7AEC"/>
    <w:rsid w:val="0C905D65"/>
    <w:rsid w:val="0C973ECB"/>
    <w:rsid w:val="0C9F113B"/>
    <w:rsid w:val="0CAF0053"/>
    <w:rsid w:val="0CB354BE"/>
    <w:rsid w:val="0CBF26F8"/>
    <w:rsid w:val="0CCD4914"/>
    <w:rsid w:val="0CD3448B"/>
    <w:rsid w:val="0CD37662"/>
    <w:rsid w:val="0CE51B82"/>
    <w:rsid w:val="0CEA5DEB"/>
    <w:rsid w:val="0CF072F3"/>
    <w:rsid w:val="0CFF4A15"/>
    <w:rsid w:val="0D025045"/>
    <w:rsid w:val="0D0B76DF"/>
    <w:rsid w:val="0D0F4ED6"/>
    <w:rsid w:val="0D120BE3"/>
    <w:rsid w:val="0D195E8D"/>
    <w:rsid w:val="0D2466BD"/>
    <w:rsid w:val="0D2D6EBA"/>
    <w:rsid w:val="0D2D7A98"/>
    <w:rsid w:val="0D2E57E0"/>
    <w:rsid w:val="0D305579"/>
    <w:rsid w:val="0D305786"/>
    <w:rsid w:val="0D3A1668"/>
    <w:rsid w:val="0D4965D9"/>
    <w:rsid w:val="0D4A67B7"/>
    <w:rsid w:val="0D5C2246"/>
    <w:rsid w:val="0D6A3C45"/>
    <w:rsid w:val="0D6B611E"/>
    <w:rsid w:val="0D705975"/>
    <w:rsid w:val="0D753C70"/>
    <w:rsid w:val="0D7E1788"/>
    <w:rsid w:val="0D7F3B4D"/>
    <w:rsid w:val="0D84383E"/>
    <w:rsid w:val="0D887338"/>
    <w:rsid w:val="0D907A7B"/>
    <w:rsid w:val="0D955789"/>
    <w:rsid w:val="0D98156A"/>
    <w:rsid w:val="0D982927"/>
    <w:rsid w:val="0DA13B17"/>
    <w:rsid w:val="0DA277FF"/>
    <w:rsid w:val="0DA92C0B"/>
    <w:rsid w:val="0DB8057F"/>
    <w:rsid w:val="0DC07C55"/>
    <w:rsid w:val="0DC57869"/>
    <w:rsid w:val="0DD027B8"/>
    <w:rsid w:val="0DD331D8"/>
    <w:rsid w:val="0DDB677F"/>
    <w:rsid w:val="0DE90B73"/>
    <w:rsid w:val="0DEB14A0"/>
    <w:rsid w:val="0DF96115"/>
    <w:rsid w:val="0E05197A"/>
    <w:rsid w:val="0E093A81"/>
    <w:rsid w:val="0E1201C4"/>
    <w:rsid w:val="0E1F1149"/>
    <w:rsid w:val="0E22517F"/>
    <w:rsid w:val="0E233005"/>
    <w:rsid w:val="0E2A6155"/>
    <w:rsid w:val="0E3C08A3"/>
    <w:rsid w:val="0E492137"/>
    <w:rsid w:val="0E493D37"/>
    <w:rsid w:val="0E57216F"/>
    <w:rsid w:val="0E583022"/>
    <w:rsid w:val="0E5C46C9"/>
    <w:rsid w:val="0E62402D"/>
    <w:rsid w:val="0E626142"/>
    <w:rsid w:val="0E640F09"/>
    <w:rsid w:val="0E6B0EF8"/>
    <w:rsid w:val="0E6D2ED0"/>
    <w:rsid w:val="0E6D3EE4"/>
    <w:rsid w:val="0E6D45AA"/>
    <w:rsid w:val="0E73304D"/>
    <w:rsid w:val="0E766E25"/>
    <w:rsid w:val="0E8168AC"/>
    <w:rsid w:val="0E833D4A"/>
    <w:rsid w:val="0E8E59BE"/>
    <w:rsid w:val="0E901A31"/>
    <w:rsid w:val="0E917DB0"/>
    <w:rsid w:val="0E92031F"/>
    <w:rsid w:val="0E9601D9"/>
    <w:rsid w:val="0E9931C4"/>
    <w:rsid w:val="0EA27136"/>
    <w:rsid w:val="0EA42AC6"/>
    <w:rsid w:val="0EA61D84"/>
    <w:rsid w:val="0EAE6C58"/>
    <w:rsid w:val="0EB07759"/>
    <w:rsid w:val="0EBD5C4C"/>
    <w:rsid w:val="0EC71F0D"/>
    <w:rsid w:val="0ECF5409"/>
    <w:rsid w:val="0EDF4D5E"/>
    <w:rsid w:val="0EED7345"/>
    <w:rsid w:val="0EF73D60"/>
    <w:rsid w:val="0EF860F0"/>
    <w:rsid w:val="0F024085"/>
    <w:rsid w:val="0F0847B9"/>
    <w:rsid w:val="0F1438EF"/>
    <w:rsid w:val="0F1C7869"/>
    <w:rsid w:val="0F1D6357"/>
    <w:rsid w:val="0F2B29EE"/>
    <w:rsid w:val="0F2B35EF"/>
    <w:rsid w:val="0F463825"/>
    <w:rsid w:val="0F4B0F6A"/>
    <w:rsid w:val="0F4E1724"/>
    <w:rsid w:val="0F536202"/>
    <w:rsid w:val="0F575798"/>
    <w:rsid w:val="0F5F0514"/>
    <w:rsid w:val="0F5F5CB1"/>
    <w:rsid w:val="0F6D192D"/>
    <w:rsid w:val="0F6E4AA0"/>
    <w:rsid w:val="0F6F626D"/>
    <w:rsid w:val="0F806C8C"/>
    <w:rsid w:val="0F875DEA"/>
    <w:rsid w:val="0F886069"/>
    <w:rsid w:val="0F8C7EF5"/>
    <w:rsid w:val="0F945C31"/>
    <w:rsid w:val="0F954878"/>
    <w:rsid w:val="0F9B0CA3"/>
    <w:rsid w:val="0F9C512D"/>
    <w:rsid w:val="0FA819A2"/>
    <w:rsid w:val="0FA92AAF"/>
    <w:rsid w:val="0FB13C95"/>
    <w:rsid w:val="0FB2629C"/>
    <w:rsid w:val="0FBB5204"/>
    <w:rsid w:val="0FCA08C0"/>
    <w:rsid w:val="0FCA14B6"/>
    <w:rsid w:val="0FCD0DA1"/>
    <w:rsid w:val="0FD065A5"/>
    <w:rsid w:val="0FE059B7"/>
    <w:rsid w:val="0FE3156C"/>
    <w:rsid w:val="0FE42DE8"/>
    <w:rsid w:val="0FEF7844"/>
    <w:rsid w:val="0FF072CE"/>
    <w:rsid w:val="0FF67BB1"/>
    <w:rsid w:val="10023300"/>
    <w:rsid w:val="10025B65"/>
    <w:rsid w:val="100B75E6"/>
    <w:rsid w:val="101038A7"/>
    <w:rsid w:val="101772D5"/>
    <w:rsid w:val="10185633"/>
    <w:rsid w:val="101E2D38"/>
    <w:rsid w:val="1029559E"/>
    <w:rsid w:val="102A3008"/>
    <w:rsid w:val="103C56FE"/>
    <w:rsid w:val="10446D2F"/>
    <w:rsid w:val="104957CA"/>
    <w:rsid w:val="104A797E"/>
    <w:rsid w:val="104D6EF3"/>
    <w:rsid w:val="104E283B"/>
    <w:rsid w:val="105B5256"/>
    <w:rsid w:val="1069417C"/>
    <w:rsid w:val="106C1E4B"/>
    <w:rsid w:val="10754F51"/>
    <w:rsid w:val="1079104A"/>
    <w:rsid w:val="107D2B66"/>
    <w:rsid w:val="10826B98"/>
    <w:rsid w:val="108A23D3"/>
    <w:rsid w:val="108E687D"/>
    <w:rsid w:val="10912B8B"/>
    <w:rsid w:val="1095135B"/>
    <w:rsid w:val="109B52A8"/>
    <w:rsid w:val="10A46852"/>
    <w:rsid w:val="10B2419D"/>
    <w:rsid w:val="10C021BE"/>
    <w:rsid w:val="10D35E97"/>
    <w:rsid w:val="10D8148A"/>
    <w:rsid w:val="10F45DF9"/>
    <w:rsid w:val="10F501DE"/>
    <w:rsid w:val="10FC5CA5"/>
    <w:rsid w:val="11006C68"/>
    <w:rsid w:val="11074842"/>
    <w:rsid w:val="110816E8"/>
    <w:rsid w:val="11114551"/>
    <w:rsid w:val="111D6F00"/>
    <w:rsid w:val="111E1B8C"/>
    <w:rsid w:val="112269D1"/>
    <w:rsid w:val="112A1F67"/>
    <w:rsid w:val="112B24A5"/>
    <w:rsid w:val="112E57C6"/>
    <w:rsid w:val="11356135"/>
    <w:rsid w:val="11536B6D"/>
    <w:rsid w:val="11537004"/>
    <w:rsid w:val="115D1849"/>
    <w:rsid w:val="116713AA"/>
    <w:rsid w:val="116A7B5E"/>
    <w:rsid w:val="11743798"/>
    <w:rsid w:val="1174508A"/>
    <w:rsid w:val="11800917"/>
    <w:rsid w:val="118955AD"/>
    <w:rsid w:val="11970BCB"/>
    <w:rsid w:val="1197226B"/>
    <w:rsid w:val="119E5143"/>
    <w:rsid w:val="11A21D1B"/>
    <w:rsid w:val="11A23351"/>
    <w:rsid w:val="11A24A33"/>
    <w:rsid w:val="11AA0839"/>
    <w:rsid w:val="11B25C45"/>
    <w:rsid w:val="11BD5F4B"/>
    <w:rsid w:val="11C42470"/>
    <w:rsid w:val="11C71895"/>
    <w:rsid w:val="11CD444A"/>
    <w:rsid w:val="11E2334D"/>
    <w:rsid w:val="11EA25BA"/>
    <w:rsid w:val="11EE23C0"/>
    <w:rsid w:val="11FA7E63"/>
    <w:rsid w:val="11FC3F3B"/>
    <w:rsid w:val="11FD41F5"/>
    <w:rsid w:val="11FE456B"/>
    <w:rsid w:val="120A72E0"/>
    <w:rsid w:val="120B3EBE"/>
    <w:rsid w:val="122A482D"/>
    <w:rsid w:val="122E2575"/>
    <w:rsid w:val="12363204"/>
    <w:rsid w:val="124864C6"/>
    <w:rsid w:val="12495498"/>
    <w:rsid w:val="124D097B"/>
    <w:rsid w:val="124D3BAD"/>
    <w:rsid w:val="1255481A"/>
    <w:rsid w:val="125A52C4"/>
    <w:rsid w:val="12655D96"/>
    <w:rsid w:val="126E70A7"/>
    <w:rsid w:val="127D7FE7"/>
    <w:rsid w:val="1288540A"/>
    <w:rsid w:val="128E3C38"/>
    <w:rsid w:val="12981122"/>
    <w:rsid w:val="129E250A"/>
    <w:rsid w:val="12B541AB"/>
    <w:rsid w:val="12BF2922"/>
    <w:rsid w:val="12C942C8"/>
    <w:rsid w:val="12DC5F5E"/>
    <w:rsid w:val="12DC7F8C"/>
    <w:rsid w:val="12DF5EF6"/>
    <w:rsid w:val="12E2251E"/>
    <w:rsid w:val="12E82A0B"/>
    <w:rsid w:val="12E8475C"/>
    <w:rsid w:val="12EB2C23"/>
    <w:rsid w:val="12F157AA"/>
    <w:rsid w:val="13123133"/>
    <w:rsid w:val="1314557D"/>
    <w:rsid w:val="13147132"/>
    <w:rsid w:val="131873D2"/>
    <w:rsid w:val="13190504"/>
    <w:rsid w:val="131C5459"/>
    <w:rsid w:val="13212B64"/>
    <w:rsid w:val="13222463"/>
    <w:rsid w:val="13274F9C"/>
    <w:rsid w:val="13417410"/>
    <w:rsid w:val="134A448A"/>
    <w:rsid w:val="134C5D75"/>
    <w:rsid w:val="134F7EA7"/>
    <w:rsid w:val="135107A8"/>
    <w:rsid w:val="13593CA5"/>
    <w:rsid w:val="136066CF"/>
    <w:rsid w:val="13657E31"/>
    <w:rsid w:val="136C3340"/>
    <w:rsid w:val="13731671"/>
    <w:rsid w:val="13840DC7"/>
    <w:rsid w:val="13861FB8"/>
    <w:rsid w:val="1387094F"/>
    <w:rsid w:val="139C08EB"/>
    <w:rsid w:val="13A41DAE"/>
    <w:rsid w:val="13A9398F"/>
    <w:rsid w:val="13A939B1"/>
    <w:rsid w:val="13AF7657"/>
    <w:rsid w:val="13C25262"/>
    <w:rsid w:val="13C57CD5"/>
    <w:rsid w:val="13C7475D"/>
    <w:rsid w:val="13C96E69"/>
    <w:rsid w:val="13CB17E0"/>
    <w:rsid w:val="13D0213F"/>
    <w:rsid w:val="13D35238"/>
    <w:rsid w:val="13D81B1F"/>
    <w:rsid w:val="13E52316"/>
    <w:rsid w:val="13EB35A8"/>
    <w:rsid w:val="13ED6E9B"/>
    <w:rsid w:val="13F834FC"/>
    <w:rsid w:val="14061B66"/>
    <w:rsid w:val="14071A60"/>
    <w:rsid w:val="14197944"/>
    <w:rsid w:val="142B5FE2"/>
    <w:rsid w:val="142C3159"/>
    <w:rsid w:val="14400E95"/>
    <w:rsid w:val="144A57AB"/>
    <w:rsid w:val="14542872"/>
    <w:rsid w:val="1457163D"/>
    <w:rsid w:val="145720AA"/>
    <w:rsid w:val="147E2423"/>
    <w:rsid w:val="1487273A"/>
    <w:rsid w:val="14896A94"/>
    <w:rsid w:val="148C28CB"/>
    <w:rsid w:val="14944440"/>
    <w:rsid w:val="14A059A0"/>
    <w:rsid w:val="14AD2545"/>
    <w:rsid w:val="14AE552E"/>
    <w:rsid w:val="14B87DF7"/>
    <w:rsid w:val="14B97B05"/>
    <w:rsid w:val="14BC41F4"/>
    <w:rsid w:val="14C27361"/>
    <w:rsid w:val="14C65921"/>
    <w:rsid w:val="14CD185A"/>
    <w:rsid w:val="14CD31B9"/>
    <w:rsid w:val="14D32567"/>
    <w:rsid w:val="14DA6BBE"/>
    <w:rsid w:val="14DE43D3"/>
    <w:rsid w:val="14E07884"/>
    <w:rsid w:val="14E1249F"/>
    <w:rsid w:val="14E67563"/>
    <w:rsid w:val="14EE304A"/>
    <w:rsid w:val="14EF5C0E"/>
    <w:rsid w:val="14F33FBD"/>
    <w:rsid w:val="14FB2910"/>
    <w:rsid w:val="15021B62"/>
    <w:rsid w:val="150A21BA"/>
    <w:rsid w:val="150A4124"/>
    <w:rsid w:val="150C1934"/>
    <w:rsid w:val="15144EF4"/>
    <w:rsid w:val="151779D1"/>
    <w:rsid w:val="151B2EFC"/>
    <w:rsid w:val="1522437E"/>
    <w:rsid w:val="152754B3"/>
    <w:rsid w:val="15283931"/>
    <w:rsid w:val="153608A7"/>
    <w:rsid w:val="15382F40"/>
    <w:rsid w:val="154F1076"/>
    <w:rsid w:val="1561465A"/>
    <w:rsid w:val="15631036"/>
    <w:rsid w:val="158374C1"/>
    <w:rsid w:val="158929C5"/>
    <w:rsid w:val="158D1BF3"/>
    <w:rsid w:val="15917C87"/>
    <w:rsid w:val="159927CF"/>
    <w:rsid w:val="15A00DC2"/>
    <w:rsid w:val="15A62ECC"/>
    <w:rsid w:val="15B14179"/>
    <w:rsid w:val="15B25EF7"/>
    <w:rsid w:val="15BB515A"/>
    <w:rsid w:val="15C516BD"/>
    <w:rsid w:val="15E30544"/>
    <w:rsid w:val="15EA1C06"/>
    <w:rsid w:val="15EA2298"/>
    <w:rsid w:val="15FB249C"/>
    <w:rsid w:val="15FE0624"/>
    <w:rsid w:val="16073D5E"/>
    <w:rsid w:val="160F10D3"/>
    <w:rsid w:val="160F7CF5"/>
    <w:rsid w:val="16183A98"/>
    <w:rsid w:val="161A199C"/>
    <w:rsid w:val="161C0D90"/>
    <w:rsid w:val="161C2DB3"/>
    <w:rsid w:val="16322361"/>
    <w:rsid w:val="164A6778"/>
    <w:rsid w:val="1655144A"/>
    <w:rsid w:val="1657571E"/>
    <w:rsid w:val="16585B40"/>
    <w:rsid w:val="166266B1"/>
    <w:rsid w:val="16676A71"/>
    <w:rsid w:val="166A29CC"/>
    <w:rsid w:val="166D07E9"/>
    <w:rsid w:val="167D406A"/>
    <w:rsid w:val="16822D4F"/>
    <w:rsid w:val="16A27192"/>
    <w:rsid w:val="16AD3F44"/>
    <w:rsid w:val="16AE5D39"/>
    <w:rsid w:val="16C724D4"/>
    <w:rsid w:val="16CB741E"/>
    <w:rsid w:val="16D411E7"/>
    <w:rsid w:val="16F07A78"/>
    <w:rsid w:val="16F1285B"/>
    <w:rsid w:val="17033CFE"/>
    <w:rsid w:val="170756D4"/>
    <w:rsid w:val="170D1CAA"/>
    <w:rsid w:val="170F4587"/>
    <w:rsid w:val="171C6910"/>
    <w:rsid w:val="171D0CEC"/>
    <w:rsid w:val="172C7D14"/>
    <w:rsid w:val="173C2EED"/>
    <w:rsid w:val="176115DC"/>
    <w:rsid w:val="17616FBE"/>
    <w:rsid w:val="176D616F"/>
    <w:rsid w:val="176D7525"/>
    <w:rsid w:val="176F6C9D"/>
    <w:rsid w:val="17760B00"/>
    <w:rsid w:val="177B5849"/>
    <w:rsid w:val="17824660"/>
    <w:rsid w:val="178426D4"/>
    <w:rsid w:val="1787048B"/>
    <w:rsid w:val="178D4F75"/>
    <w:rsid w:val="178F2FF8"/>
    <w:rsid w:val="179121FE"/>
    <w:rsid w:val="17915931"/>
    <w:rsid w:val="17A95D2F"/>
    <w:rsid w:val="17AE37BE"/>
    <w:rsid w:val="17BB073A"/>
    <w:rsid w:val="17BE4FC8"/>
    <w:rsid w:val="17C24576"/>
    <w:rsid w:val="17C41ABF"/>
    <w:rsid w:val="17CB69C5"/>
    <w:rsid w:val="17E0196B"/>
    <w:rsid w:val="17E073C0"/>
    <w:rsid w:val="17E8224D"/>
    <w:rsid w:val="17F066E3"/>
    <w:rsid w:val="17FC1BA1"/>
    <w:rsid w:val="18175D56"/>
    <w:rsid w:val="181A2A8B"/>
    <w:rsid w:val="18216C75"/>
    <w:rsid w:val="18276B10"/>
    <w:rsid w:val="18341AA2"/>
    <w:rsid w:val="18363EE3"/>
    <w:rsid w:val="183C0E63"/>
    <w:rsid w:val="18645653"/>
    <w:rsid w:val="186B4BA1"/>
    <w:rsid w:val="187964F0"/>
    <w:rsid w:val="189B5F22"/>
    <w:rsid w:val="189E7AE3"/>
    <w:rsid w:val="18A70256"/>
    <w:rsid w:val="18A944F8"/>
    <w:rsid w:val="18B1160E"/>
    <w:rsid w:val="18B117A1"/>
    <w:rsid w:val="18B30663"/>
    <w:rsid w:val="18B42DF5"/>
    <w:rsid w:val="18B73074"/>
    <w:rsid w:val="18B74823"/>
    <w:rsid w:val="18BC01E5"/>
    <w:rsid w:val="18CA061B"/>
    <w:rsid w:val="18DA76F1"/>
    <w:rsid w:val="18E54122"/>
    <w:rsid w:val="19034C2D"/>
    <w:rsid w:val="19117EDD"/>
    <w:rsid w:val="19122485"/>
    <w:rsid w:val="1916127C"/>
    <w:rsid w:val="192048F7"/>
    <w:rsid w:val="19246A48"/>
    <w:rsid w:val="192B12EA"/>
    <w:rsid w:val="192D34F4"/>
    <w:rsid w:val="193D465D"/>
    <w:rsid w:val="193D4E12"/>
    <w:rsid w:val="19442033"/>
    <w:rsid w:val="195419D3"/>
    <w:rsid w:val="195464EF"/>
    <w:rsid w:val="19605E78"/>
    <w:rsid w:val="196C4606"/>
    <w:rsid w:val="196C6238"/>
    <w:rsid w:val="196F5FC8"/>
    <w:rsid w:val="19707A10"/>
    <w:rsid w:val="19757F70"/>
    <w:rsid w:val="197C46C1"/>
    <w:rsid w:val="19831126"/>
    <w:rsid w:val="198A59D6"/>
    <w:rsid w:val="199670EF"/>
    <w:rsid w:val="19A215AC"/>
    <w:rsid w:val="19A73D74"/>
    <w:rsid w:val="19AA5416"/>
    <w:rsid w:val="19B10C29"/>
    <w:rsid w:val="19B8768A"/>
    <w:rsid w:val="19C975CE"/>
    <w:rsid w:val="19CE7FF6"/>
    <w:rsid w:val="19D03EAF"/>
    <w:rsid w:val="19D11AB5"/>
    <w:rsid w:val="19D23547"/>
    <w:rsid w:val="19D70C6D"/>
    <w:rsid w:val="19DA04C8"/>
    <w:rsid w:val="19E00B0F"/>
    <w:rsid w:val="19E1443C"/>
    <w:rsid w:val="19E2271F"/>
    <w:rsid w:val="19ED4AB6"/>
    <w:rsid w:val="19F2030B"/>
    <w:rsid w:val="19F3086D"/>
    <w:rsid w:val="19FB3633"/>
    <w:rsid w:val="19FF6399"/>
    <w:rsid w:val="1A075570"/>
    <w:rsid w:val="1A0758B3"/>
    <w:rsid w:val="1A0873EE"/>
    <w:rsid w:val="1A1C623A"/>
    <w:rsid w:val="1A222A0A"/>
    <w:rsid w:val="1A270D5F"/>
    <w:rsid w:val="1A2820C6"/>
    <w:rsid w:val="1A2E1384"/>
    <w:rsid w:val="1A310B82"/>
    <w:rsid w:val="1A4D4CED"/>
    <w:rsid w:val="1A627F92"/>
    <w:rsid w:val="1A744BB1"/>
    <w:rsid w:val="1A797469"/>
    <w:rsid w:val="1A8850B8"/>
    <w:rsid w:val="1A8A0E9E"/>
    <w:rsid w:val="1AAA41EF"/>
    <w:rsid w:val="1AAB4E9C"/>
    <w:rsid w:val="1AC079CF"/>
    <w:rsid w:val="1AC71B91"/>
    <w:rsid w:val="1AD16359"/>
    <w:rsid w:val="1ADB0B95"/>
    <w:rsid w:val="1AE94FB9"/>
    <w:rsid w:val="1AEC3C17"/>
    <w:rsid w:val="1AF07928"/>
    <w:rsid w:val="1AF80851"/>
    <w:rsid w:val="1AF92C34"/>
    <w:rsid w:val="1B0361BC"/>
    <w:rsid w:val="1B1301F4"/>
    <w:rsid w:val="1B1A7D24"/>
    <w:rsid w:val="1B262D26"/>
    <w:rsid w:val="1B2670F4"/>
    <w:rsid w:val="1B296C16"/>
    <w:rsid w:val="1B2D1E19"/>
    <w:rsid w:val="1B2D7FD6"/>
    <w:rsid w:val="1B2F6320"/>
    <w:rsid w:val="1B3A5220"/>
    <w:rsid w:val="1B3B258E"/>
    <w:rsid w:val="1B4B36CA"/>
    <w:rsid w:val="1B652C95"/>
    <w:rsid w:val="1B6D6490"/>
    <w:rsid w:val="1B70155F"/>
    <w:rsid w:val="1B723039"/>
    <w:rsid w:val="1B750CF5"/>
    <w:rsid w:val="1B7700FA"/>
    <w:rsid w:val="1B865BC9"/>
    <w:rsid w:val="1B894EBC"/>
    <w:rsid w:val="1B8C1172"/>
    <w:rsid w:val="1B8C6F4A"/>
    <w:rsid w:val="1B9269B7"/>
    <w:rsid w:val="1B931003"/>
    <w:rsid w:val="1BAA438A"/>
    <w:rsid w:val="1BAD4238"/>
    <w:rsid w:val="1BB107A9"/>
    <w:rsid w:val="1BB12BB2"/>
    <w:rsid w:val="1BCE49E9"/>
    <w:rsid w:val="1BD12722"/>
    <w:rsid w:val="1BD15865"/>
    <w:rsid w:val="1BDF24E0"/>
    <w:rsid w:val="1BE42115"/>
    <w:rsid w:val="1BE90199"/>
    <w:rsid w:val="1BED6FC0"/>
    <w:rsid w:val="1BF54138"/>
    <w:rsid w:val="1BFE7E24"/>
    <w:rsid w:val="1C044BD1"/>
    <w:rsid w:val="1C100B6A"/>
    <w:rsid w:val="1C16002F"/>
    <w:rsid w:val="1C1B25E3"/>
    <w:rsid w:val="1C2038BD"/>
    <w:rsid w:val="1C2075D6"/>
    <w:rsid w:val="1C2B6CB4"/>
    <w:rsid w:val="1C36072A"/>
    <w:rsid w:val="1C361861"/>
    <w:rsid w:val="1C3774BA"/>
    <w:rsid w:val="1C425CD3"/>
    <w:rsid w:val="1C4816B6"/>
    <w:rsid w:val="1C4C00F6"/>
    <w:rsid w:val="1C4C1274"/>
    <w:rsid w:val="1C5962C8"/>
    <w:rsid w:val="1C5D4617"/>
    <w:rsid w:val="1C5D5F8B"/>
    <w:rsid w:val="1C637E71"/>
    <w:rsid w:val="1C6D42E1"/>
    <w:rsid w:val="1C6E241C"/>
    <w:rsid w:val="1C763028"/>
    <w:rsid w:val="1C781F1C"/>
    <w:rsid w:val="1C7A099F"/>
    <w:rsid w:val="1C7F0287"/>
    <w:rsid w:val="1C855634"/>
    <w:rsid w:val="1C9C2788"/>
    <w:rsid w:val="1CA13101"/>
    <w:rsid w:val="1CAF1A9A"/>
    <w:rsid w:val="1CB07DF9"/>
    <w:rsid w:val="1CBC5FD5"/>
    <w:rsid w:val="1CC3681B"/>
    <w:rsid w:val="1CC7761E"/>
    <w:rsid w:val="1CD143D0"/>
    <w:rsid w:val="1CF251D3"/>
    <w:rsid w:val="1CF814E3"/>
    <w:rsid w:val="1CFF3217"/>
    <w:rsid w:val="1D0115CB"/>
    <w:rsid w:val="1D0B4961"/>
    <w:rsid w:val="1D0C3E62"/>
    <w:rsid w:val="1D0F7E57"/>
    <w:rsid w:val="1D1D0D81"/>
    <w:rsid w:val="1D293D92"/>
    <w:rsid w:val="1D312F39"/>
    <w:rsid w:val="1D3A65EF"/>
    <w:rsid w:val="1D3C7FAD"/>
    <w:rsid w:val="1D3E126C"/>
    <w:rsid w:val="1D4E3F98"/>
    <w:rsid w:val="1D57416F"/>
    <w:rsid w:val="1D576A44"/>
    <w:rsid w:val="1D5835F0"/>
    <w:rsid w:val="1D5D4990"/>
    <w:rsid w:val="1D6539B3"/>
    <w:rsid w:val="1D794ACF"/>
    <w:rsid w:val="1D7B6C7A"/>
    <w:rsid w:val="1D875805"/>
    <w:rsid w:val="1D8C5045"/>
    <w:rsid w:val="1D9244F8"/>
    <w:rsid w:val="1D931CEA"/>
    <w:rsid w:val="1DA0794B"/>
    <w:rsid w:val="1DB82722"/>
    <w:rsid w:val="1DBE3F48"/>
    <w:rsid w:val="1DC177D9"/>
    <w:rsid w:val="1DD1343B"/>
    <w:rsid w:val="1DDA6DF4"/>
    <w:rsid w:val="1DDE608F"/>
    <w:rsid w:val="1DEB33C3"/>
    <w:rsid w:val="1E021573"/>
    <w:rsid w:val="1E1A236E"/>
    <w:rsid w:val="1E225BB3"/>
    <w:rsid w:val="1E294391"/>
    <w:rsid w:val="1E2A6113"/>
    <w:rsid w:val="1E2D212B"/>
    <w:rsid w:val="1E2D57B7"/>
    <w:rsid w:val="1E2E1737"/>
    <w:rsid w:val="1E2E6E13"/>
    <w:rsid w:val="1E32182A"/>
    <w:rsid w:val="1E3231F1"/>
    <w:rsid w:val="1E5A61EE"/>
    <w:rsid w:val="1E5B54AA"/>
    <w:rsid w:val="1E5B61CE"/>
    <w:rsid w:val="1E651F6B"/>
    <w:rsid w:val="1E713E2F"/>
    <w:rsid w:val="1E717518"/>
    <w:rsid w:val="1E7554BA"/>
    <w:rsid w:val="1E89425F"/>
    <w:rsid w:val="1E927A94"/>
    <w:rsid w:val="1E964A8A"/>
    <w:rsid w:val="1E9A3447"/>
    <w:rsid w:val="1EA573D8"/>
    <w:rsid w:val="1EAB5025"/>
    <w:rsid w:val="1EB0513B"/>
    <w:rsid w:val="1EB4327E"/>
    <w:rsid w:val="1EB72F76"/>
    <w:rsid w:val="1EBC7943"/>
    <w:rsid w:val="1EC41FC5"/>
    <w:rsid w:val="1ED45036"/>
    <w:rsid w:val="1EDC61DD"/>
    <w:rsid w:val="1EE36B2C"/>
    <w:rsid w:val="1EF15394"/>
    <w:rsid w:val="1EF342CB"/>
    <w:rsid w:val="1EF62481"/>
    <w:rsid w:val="1EF746CD"/>
    <w:rsid w:val="1F020A44"/>
    <w:rsid w:val="1F041BC7"/>
    <w:rsid w:val="1F127B09"/>
    <w:rsid w:val="1F2354C8"/>
    <w:rsid w:val="1F36160E"/>
    <w:rsid w:val="1F3920FB"/>
    <w:rsid w:val="1F42145B"/>
    <w:rsid w:val="1F4C62F7"/>
    <w:rsid w:val="1F560579"/>
    <w:rsid w:val="1F571EEF"/>
    <w:rsid w:val="1F5D00BF"/>
    <w:rsid w:val="1F5E17E6"/>
    <w:rsid w:val="1F640255"/>
    <w:rsid w:val="1F671677"/>
    <w:rsid w:val="1F7073D9"/>
    <w:rsid w:val="1F722047"/>
    <w:rsid w:val="1F754492"/>
    <w:rsid w:val="1F885505"/>
    <w:rsid w:val="1F904945"/>
    <w:rsid w:val="1F9E44D6"/>
    <w:rsid w:val="1FA0617B"/>
    <w:rsid w:val="1FAA6A2E"/>
    <w:rsid w:val="1FAD28B9"/>
    <w:rsid w:val="1FC11059"/>
    <w:rsid w:val="1FC2366D"/>
    <w:rsid w:val="1FD41A29"/>
    <w:rsid w:val="1FD608B1"/>
    <w:rsid w:val="1FE570E2"/>
    <w:rsid w:val="1FE7673E"/>
    <w:rsid w:val="1FEB6677"/>
    <w:rsid w:val="1FF35E32"/>
    <w:rsid w:val="200B5048"/>
    <w:rsid w:val="200E38F2"/>
    <w:rsid w:val="20102DFE"/>
    <w:rsid w:val="20151B0B"/>
    <w:rsid w:val="20190F03"/>
    <w:rsid w:val="201E585F"/>
    <w:rsid w:val="20207229"/>
    <w:rsid w:val="202D5679"/>
    <w:rsid w:val="203A047D"/>
    <w:rsid w:val="20410B17"/>
    <w:rsid w:val="20416DDE"/>
    <w:rsid w:val="2049266D"/>
    <w:rsid w:val="20534B67"/>
    <w:rsid w:val="20557DC5"/>
    <w:rsid w:val="205A5C16"/>
    <w:rsid w:val="205B7D6A"/>
    <w:rsid w:val="207C33EE"/>
    <w:rsid w:val="2081342E"/>
    <w:rsid w:val="208B2774"/>
    <w:rsid w:val="209740BF"/>
    <w:rsid w:val="2099242E"/>
    <w:rsid w:val="209B4D40"/>
    <w:rsid w:val="20A055DE"/>
    <w:rsid w:val="20A7451A"/>
    <w:rsid w:val="20AE5E99"/>
    <w:rsid w:val="20B0411F"/>
    <w:rsid w:val="20B55872"/>
    <w:rsid w:val="20CC5161"/>
    <w:rsid w:val="20D658C9"/>
    <w:rsid w:val="20D95B5B"/>
    <w:rsid w:val="20DC2416"/>
    <w:rsid w:val="20E1625B"/>
    <w:rsid w:val="20E43C38"/>
    <w:rsid w:val="20EA355F"/>
    <w:rsid w:val="20F22231"/>
    <w:rsid w:val="20FD2F28"/>
    <w:rsid w:val="21015C26"/>
    <w:rsid w:val="210D46F4"/>
    <w:rsid w:val="210D5036"/>
    <w:rsid w:val="21121083"/>
    <w:rsid w:val="211518DD"/>
    <w:rsid w:val="21196429"/>
    <w:rsid w:val="212B2F31"/>
    <w:rsid w:val="212C5BFF"/>
    <w:rsid w:val="21307761"/>
    <w:rsid w:val="21327DB2"/>
    <w:rsid w:val="213A0D63"/>
    <w:rsid w:val="213A39F8"/>
    <w:rsid w:val="213D6756"/>
    <w:rsid w:val="213D7BD8"/>
    <w:rsid w:val="214C4EC5"/>
    <w:rsid w:val="21502326"/>
    <w:rsid w:val="2153567F"/>
    <w:rsid w:val="217422B6"/>
    <w:rsid w:val="217D6270"/>
    <w:rsid w:val="2188758A"/>
    <w:rsid w:val="21927CFA"/>
    <w:rsid w:val="2198365C"/>
    <w:rsid w:val="219E60F8"/>
    <w:rsid w:val="21A25EE6"/>
    <w:rsid w:val="21A61686"/>
    <w:rsid w:val="21C13A32"/>
    <w:rsid w:val="21D051E7"/>
    <w:rsid w:val="21D660F7"/>
    <w:rsid w:val="21EE31A8"/>
    <w:rsid w:val="21EF2288"/>
    <w:rsid w:val="21FC03EF"/>
    <w:rsid w:val="220940EA"/>
    <w:rsid w:val="220A4BCF"/>
    <w:rsid w:val="220D3E48"/>
    <w:rsid w:val="220D5321"/>
    <w:rsid w:val="221E15AC"/>
    <w:rsid w:val="22225038"/>
    <w:rsid w:val="22270787"/>
    <w:rsid w:val="222F6934"/>
    <w:rsid w:val="224D73DD"/>
    <w:rsid w:val="225312ED"/>
    <w:rsid w:val="22592601"/>
    <w:rsid w:val="225E22D9"/>
    <w:rsid w:val="225F6B03"/>
    <w:rsid w:val="2266337A"/>
    <w:rsid w:val="226D7B83"/>
    <w:rsid w:val="228B707E"/>
    <w:rsid w:val="2293123C"/>
    <w:rsid w:val="229C1B6E"/>
    <w:rsid w:val="229C1F64"/>
    <w:rsid w:val="22A570EC"/>
    <w:rsid w:val="22A80FFA"/>
    <w:rsid w:val="22B3482A"/>
    <w:rsid w:val="22B673DE"/>
    <w:rsid w:val="22B70712"/>
    <w:rsid w:val="22C85B01"/>
    <w:rsid w:val="22D2173A"/>
    <w:rsid w:val="22D43243"/>
    <w:rsid w:val="22D704E6"/>
    <w:rsid w:val="22E72E21"/>
    <w:rsid w:val="22EC6D0B"/>
    <w:rsid w:val="23082251"/>
    <w:rsid w:val="23146AE4"/>
    <w:rsid w:val="2327684B"/>
    <w:rsid w:val="232B2612"/>
    <w:rsid w:val="232E56FD"/>
    <w:rsid w:val="233F5F96"/>
    <w:rsid w:val="234D33A8"/>
    <w:rsid w:val="2358717F"/>
    <w:rsid w:val="235B2F11"/>
    <w:rsid w:val="235F4D23"/>
    <w:rsid w:val="2363567D"/>
    <w:rsid w:val="236D4028"/>
    <w:rsid w:val="23713153"/>
    <w:rsid w:val="237A75E1"/>
    <w:rsid w:val="2381050B"/>
    <w:rsid w:val="238142F2"/>
    <w:rsid w:val="2383525F"/>
    <w:rsid w:val="238A4DFC"/>
    <w:rsid w:val="23AD6C67"/>
    <w:rsid w:val="23B04AEE"/>
    <w:rsid w:val="23C67F1D"/>
    <w:rsid w:val="23C93A62"/>
    <w:rsid w:val="23CA7A4D"/>
    <w:rsid w:val="23CF2AC7"/>
    <w:rsid w:val="23DD21F3"/>
    <w:rsid w:val="23DF7B34"/>
    <w:rsid w:val="23FC52AE"/>
    <w:rsid w:val="24014C67"/>
    <w:rsid w:val="240C05DA"/>
    <w:rsid w:val="240F2472"/>
    <w:rsid w:val="241C2547"/>
    <w:rsid w:val="24226CC5"/>
    <w:rsid w:val="242552B4"/>
    <w:rsid w:val="242C233D"/>
    <w:rsid w:val="24312A4A"/>
    <w:rsid w:val="243C314E"/>
    <w:rsid w:val="24423A22"/>
    <w:rsid w:val="24431BDE"/>
    <w:rsid w:val="24480D58"/>
    <w:rsid w:val="244A009A"/>
    <w:rsid w:val="244A5E9A"/>
    <w:rsid w:val="244C166A"/>
    <w:rsid w:val="244C4BB8"/>
    <w:rsid w:val="24691193"/>
    <w:rsid w:val="246C3A46"/>
    <w:rsid w:val="246F1555"/>
    <w:rsid w:val="247152E7"/>
    <w:rsid w:val="247F0D59"/>
    <w:rsid w:val="24803A42"/>
    <w:rsid w:val="24836C4B"/>
    <w:rsid w:val="24881DAE"/>
    <w:rsid w:val="24914E03"/>
    <w:rsid w:val="249F118E"/>
    <w:rsid w:val="24AD4DA6"/>
    <w:rsid w:val="24BC7675"/>
    <w:rsid w:val="24C50845"/>
    <w:rsid w:val="24D8477B"/>
    <w:rsid w:val="24E04616"/>
    <w:rsid w:val="24F04C11"/>
    <w:rsid w:val="24FF7718"/>
    <w:rsid w:val="25096088"/>
    <w:rsid w:val="250D6FCE"/>
    <w:rsid w:val="251A7612"/>
    <w:rsid w:val="251D30D9"/>
    <w:rsid w:val="25237A22"/>
    <w:rsid w:val="25285AE1"/>
    <w:rsid w:val="252E0774"/>
    <w:rsid w:val="253605E9"/>
    <w:rsid w:val="25481BCE"/>
    <w:rsid w:val="254E3439"/>
    <w:rsid w:val="25526483"/>
    <w:rsid w:val="255453E5"/>
    <w:rsid w:val="255D36DD"/>
    <w:rsid w:val="25637664"/>
    <w:rsid w:val="25651981"/>
    <w:rsid w:val="256A4F48"/>
    <w:rsid w:val="256A7F07"/>
    <w:rsid w:val="256D2AC2"/>
    <w:rsid w:val="257302A1"/>
    <w:rsid w:val="257F080B"/>
    <w:rsid w:val="25812F8D"/>
    <w:rsid w:val="25814DB7"/>
    <w:rsid w:val="258204E4"/>
    <w:rsid w:val="25824959"/>
    <w:rsid w:val="258377AB"/>
    <w:rsid w:val="2592331D"/>
    <w:rsid w:val="25987A23"/>
    <w:rsid w:val="259C643A"/>
    <w:rsid w:val="25A53162"/>
    <w:rsid w:val="25BC46FF"/>
    <w:rsid w:val="25C00CC8"/>
    <w:rsid w:val="25C517A2"/>
    <w:rsid w:val="25CF420F"/>
    <w:rsid w:val="25E559FB"/>
    <w:rsid w:val="25F5770A"/>
    <w:rsid w:val="25F5789E"/>
    <w:rsid w:val="25FD6A72"/>
    <w:rsid w:val="26061115"/>
    <w:rsid w:val="2608153F"/>
    <w:rsid w:val="2608561B"/>
    <w:rsid w:val="26174A60"/>
    <w:rsid w:val="26196938"/>
    <w:rsid w:val="26261861"/>
    <w:rsid w:val="262624B8"/>
    <w:rsid w:val="26377A65"/>
    <w:rsid w:val="26382AAC"/>
    <w:rsid w:val="263D6AC4"/>
    <w:rsid w:val="26405FF8"/>
    <w:rsid w:val="26410311"/>
    <w:rsid w:val="26506FAD"/>
    <w:rsid w:val="265D374D"/>
    <w:rsid w:val="26617429"/>
    <w:rsid w:val="26645CEF"/>
    <w:rsid w:val="266529BB"/>
    <w:rsid w:val="26656277"/>
    <w:rsid w:val="26663117"/>
    <w:rsid w:val="266C31AC"/>
    <w:rsid w:val="26704A06"/>
    <w:rsid w:val="2673017F"/>
    <w:rsid w:val="267771CA"/>
    <w:rsid w:val="26807144"/>
    <w:rsid w:val="26874273"/>
    <w:rsid w:val="268A362E"/>
    <w:rsid w:val="268D15BC"/>
    <w:rsid w:val="26912F10"/>
    <w:rsid w:val="269560EE"/>
    <w:rsid w:val="269C3827"/>
    <w:rsid w:val="26AF686C"/>
    <w:rsid w:val="26B3313A"/>
    <w:rsid w:val="26B80D04"/>
    <w:rsid w:val="26C221BE"/>
    <w:rsid w:val="26CA60FC"/>
    <w:rsid w:val="26D16018"/>
    <w:rsid w:val="26DB3228"/>
    <w:rsid w:val="26DF6074"/>
    <w:rsid w:val="26E05716"/>
    <w:rsid w:val="26EA58C1"/>
    <w:rsid w:val="26F420F6"/>
    <w:rsid w:val="26F95843"/>
    <w:rsid w:val="26FE679C"/>
    <w:rsid w:val="27042FEE"/>
    <w:rsid w:val="270D104B"/>
    <w:rsid w:val="270E6088"/>
    <w:rsid w:val="27115CA3"/>
    <w:rsid w:val="2712610E"/>
    <w:rsid w:val="2718508B"/>
    <w:rsid w:val="27224323"/>
    <w:rsid w:val="272811F7"/>
    <w:rsid w:val="272C11C0"/>
    <w:rsid w:val="272F59F9"/>
    <w:rsid w:val="27301EDB"/>
    <w:rsid w:val="27453115"/>
    <w:rsid w:val="27547EE4"/>
    <w:rsid w:val="275500DE"/>
    <w:rsid w:val="27574C62"/>
    <w:rsid w:val="276C029F"/>
    <w:rsid w:val="277E3359"/>
    <w:rsid w:val="27867E0A"/>
    <w:rsid w:val="27912807"/>
    <w:rsid w:val="27982DD4"/>
    <w:rsid w:val="279846C2"/>
    <w:rsid w:val="279A7D67"/>
    <w:rsid w:val="279B4538"/>
    <w:rsid w:val="27A76090"/>
    <w:rsid w:val="27B2212B"/>
    <w:rsid w:val="27BD1EFA"/>
    <w:rsid w:val="27CC67E7"/>
    <w:rsid w:val="27DD09CE"/>
    <w:rsid w:val="27E20FE5"/>
    <w:rsid w:val="27E61E67"/>
    <w:rsid w:val="27EC553C"/>
    <w:rsid w:val="27FC05F7"/>
    <w:rsid w:val="280C4BFC"/>
    <w:rsid w:val="2813394B"/>
    <w:rsid w:val="281A5592"/>
    <w:rsid w:val="281C1F63"/>
    <w:rsid w:val="281C54D8"/>
    <w:rsid w:val="28205246"/>
    <w:rsid w:val="282B1916"/>
    <w:rsid w:val="283610D5"/>
    <w:rsid w:val="284A2CB4"/>
    <w:rsid w:val="284D74FA"/>
    <w:rsid w:val="285C2948"/>
    <w:rsid w:val="285F5293"/>
    <w:rsid w:val="28602A0B"/>
    <w:rsid w:val="28622D71"/>
    <w:rsid w:val="286E69FD"/>
    <w:rsid w:val="28713D2A"/>
    <w:rsid w:val="2874076E"/>
    <w:rsid w:val="2883104B"/>
    <w:rsid w:val="28887BBF"/>
    <w:rsid w:val="288A1352"/>
    <w:rsid w:val="28A92CC8"/>
    <w:rsid w:val="28BD3E5B"/>
    <w:rsid w:val="28BE58E1"/>
    <w:rsid w:val="28C56178"/>
    <w:rsid w:val="28D51A0C"/>
    <w:rsid w:val="28DF0877"/>
    <w:rsid w:val="28DF5739"/>
    <w:rsid w:val="28E254C1"/>
    <w:rsid w:val="28E349BC"/>
    <w:rsid w:val="28E57305"/>
    <w:rsid w:val="28F900EE"/>
    <w:rsid w:val="28FA546B"/>
    <w:rsid w:val="28FE025E"/>
    <w:rsid w:val="291F6736"/>
    <w:rsid w:val="291F6862"/>
    <w:rsid w:val="29224A3E"/>
    <w:rsid w:val="29245F1A"/>
    <w:rsid w:val="292D2D72"/>
    <w:rsid w:val="29353D69"/>
    <w:rsid w:val="29366359"/>
    <w:rsid w:val="29456427"/>
    <w:rsid w:val="29470B59"/>
    <w:rsid w:val="29586D7A"/>
    <w:rsid w:val="295A500B"/>
    <w:rsid w:val="29687188"/>
    <w:rsid w:val="29772B51"/>
    <w:rsid w:val="29791894"/>
    <w:rsid w:val="297C32E1"/>
    <w:rsid w:val="297E1EBE"/>
    <w:rsid w:val="2984235F"/>
    <w:rsid w:val="29844E30"/>
    <w:rsid w:val="299400E6"/>
    <w:rsid w:val="29967FD2"/>
    <w:rsid w:val="29972080"/>
    <w:rsid w:val="2998116B"/>
    <w:rsid w:val="29A52D8F"/>
    <w:rsid w:val="29B76175"/>
    <w:rsid w:val="29B96936"/>
    <w:rsid w:val="29C56C3A"/>
    <w:rsid w:val="29CE3929"/>
    <w:rsid w:val="29D055F3"/>
    <w:rsid w:val="29D21D69"/>
    <w:rsid w:val="29D85278"/>
    <w:rsid w:val="29E1380C"/>
    <w:rsid w:val="29E16B08"/>
    <w:rsid w:val="29E85046"/>
    <w:rsid w:val="29F15635"/>
    <w:rsid w:val="2A017BFD"/>
    <w:rsid w:val="2A0A71F8"/>
    <w:rsid w:val="2A0D4E37"/>
    <w:rsid w:val="2A36189D"/>
    <w:rsid w:val="2A407EBE"/>
    <w:rsid w:val="2A4913A2"/>
    <w:rsid w:val="2A521C5F"/>
    <w:rsid w:val="2A555F6F"/>
    <w:rsid w:val="2A584956"/>
    <w:rsid w:val="2A5C5810"/>
    <w:rsid w:val="2A651A82"/>
    <w:rsid w:val="2A6D7B04"/>
    <w:rsid w:val="2A835621"/>
    <w:rsid w:val="2A9154D8"/>
    <w:rsid w:val="2AA04C57"/>
    <w:rsid w:val="2AA66A22"/>
    <w:rsid w:val="2AA93E38"/>
    <w:rsid w:val="2AC16CA7"/>
    <w:rsid w:val="2AD750C3"/>
    <w:rsid w:val="2AE77D08"/>
    <w:rsid w:val="2AEA3011"/>
    <w:rsid w:val="2AF315E7"/>
    <w:rsid w:val="2AFD5FBD"/>
    <w:rsid w:val="2B083690"/>
    <w:rsid w:val="2B120218"/>
    <w:rsid w:val="2B1C0596"/>
    <w:rsid w:val="2B200903"/>
    <w:rsid w:val="2B252D72"/>
    <w:rsid w:val="2B357752"/>
    <w:rsid w:val="2B381D70"/>
    <w:rsid w:val="2B3E0375"/>
    <w:rsid w:val="2B492499"/>
    <w:rsid w:val="2B51391E"/>
    <w:rsid w:val="2B652A8D"/>
    <w:rsid w:val="2B6A2F63"/>
    <w:rsid w:val="2B6B52A5"/>
    <w:rsid w:val="2B6C55DB"/>
    <w:rsid w:val="2B720C53"/>
    <w:rsid w:val="2B8A2FFD"/>
    <w:rsid w:val="2B8D5640"/>
    <w:rsid w:val="2BA87533"/>
    <w:rsid w:val="2BAA3205"/>
    <w:rsid w:val="2BBA2DA3"/>
    <w:rsid w:val="2BCC68E4"/>
    <w:rsid w:val="2BD5763D"/>
    <w:rsid w:val="2BD90E44"/>
    <w:rsid w:val="2BDE1B83"/>
    <w:rsid w:val="2BEC2B5B"/>
    <w:rsid w:val="2BF4029C"/>
    <w:rsid w:val="2C1C6937"/>
    <w:rsid w:val="2C202757"/>
    <w:rsid w:val="2C270D43"/>
    <w:rsid w:val="2C3825C3"/>
    <w:rsid w:val="2C3A7328"/>
    <w:rsid w:val="2C4149C6"/>
    <w:rsid w:val="2C445BF3"/>
    <w:rsid w:val="2C6436A6"/>
    <w:rsid w:val="2C71354E"/>
    <w:rsid w:val="2C7A2A8F"/>
    <w:rsid w:val="2C806C36"/>
    <w:rsid w:val="2C8D731E"/>
    <w:rsid w:val="2C9023A5"/>
    <w:rsid w:val="2C937549"/>
    <w:rsid w:val="2C97744B"/>
    <w:rsid w:val="2C9D6A04"/>
    <w:rsid w:val="2CB53BED"/>
    <w:rsid w:val="2CB62598"/>
    <w:rsid w:val="2CB626B5"/>
    <w:rsid w:val="2CBC136A"/>
    <w:rsid w:val="2CC57724"/>
    <w:rsid w:val="2CCD3F07"/>
    <w:rsid w:val="2CCF431E"/>
    <w:rsid w:val="2CD571AF"/>
    <w:rsid w:val="2CE609EA"/>
    <w:rsid w:val="2CFE607B"/>
    <w:rsid w:val="2D095409"/>
    <w:rsid w:val="2D183C31"/>
    <w:rsid w:val="2D185752"/>
    <w:rsid w:val="2D204FAE"/>
    <w:rsid w:val="2D213A27"/>
    <w:rsid w:val="2D3A3199"/>
    <w:rsid w:val="2D3B27F8"/>
    <w:rsid w:val="2D40315E"/>
    <w:rsid w:val="2D44745A"/>
    <w:rsid w:val="2D460B20"/>
    <w:rsid w:val="2D4B38E7"/>
    <w:rsid w:val="2D4C5709"/>
    <w:rsid w:val="2D521339"/>
    <w:rsid w:val="2D5470D9"/>
    <w:rsid w:val="2D551303"/>
    <w:rsid w:val="2D6844C6"/>
    <w:rsid w:val="2D7662FF"/>
    <w:rsid w:val="2D772574"/>
    <w:rsid w:val="2D7C09E5"/>
    <w:rsid w:val="2D7E63CF"/>
    <w:rsid w:val="2D882838"/>
    <w:rsid w:val="2D893900"/>
    <w:rsid w:val="2D8C703A"/>
    <w:rsid w:val="2D8D31B7"/>
    <w:rsid w:val="2D8D5835"/>
    <w:rsid w:val="2DA273A4"/>
    <w:rsid w:val="2DA54623"/>
    <w:rsid w:val="2DAB1C25"/>
    <w:rsid w:val="2DB36760"/>
    <w:rsid w:val="2DCC12FC"/>
    <w:rsid w:val="2DCD34B4"/>
    <w:rsid w:val="2DD66E3A"/>
    <w:rsid w:val="2DDA1BC6"/>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20A7A"/>
    <w:rsid w:val="2E7823B0"/>
    <w:rsid w:val="2E8D7E78"/>
    <w:rsid w:val="2E8F07B8"/>
    <w:rsid w:val="2E933BCE"/>
    <w:rsid w:val="2E93710E"/>
    <w:rsid w:val="2E98722B"/>
    <w:rsid w:val="2E9C6490"/>
    <w:rsid w:val="2EA40069"/>
    <w:rsid w:val="2EAA3B87"/>
    <w:rsid w:val="2EB66E96"/>
    <w:rsid w:val="2EBC23A0"/>
    <w:rsid w:val="2EC9088C"/>
    <w:rsid w:val="2ECB4C8B"/>
    <w:rsid w:val="2ECF1F23"/>
    <w:rsid w:val="2EE03BB2"/>
    <w:rsid w:val="2EEE09F0"/>
    <w:rsid w:val="2EF532F9"/>
    <w:rsid w:val="2EFA0191"/>
    <w:rsid w:val="2EFC22DC"/>
    <w:rsid w:val="2F034443"/>
    <w:rsid w:val="2F1515D7"/>
    <w:rsid w:val="2F1D200D"/>
    <w:rsid w:val="2F336E4F"/>
    <w:rsid w:val="2F3D3E78"/>
    <w:rsid w:val="2F436846"/>
    <w:rsid w:val="2F4556CE"/>
    <w:rsid w:val="2F47437A"/>
    <w:rsid w:val="2F47447F"/>
    <w:rsid w:val="2F5B184C"/>
    <w:rsid w:val="2F6F3C93"/>
    <w:rsid w:val="2F716E21"/>
    <w:rsid w:val="2F72474E"/>
    <w:rsid w:val="2F754A27"/>
    <w:rsid w:val="2F7A423F"/>
    <w:rsid w:val="2F8349FB"/>
    <w:rsid w:val="2F8C0854"/>
    <w:rsid w:val="2F8F0786"/>
    <w:rsid w:val="2FA32A00"/>
    <w:rsid w:val="2FAA6479"/>
    <w:rsid w:val="2FAE2B60"/>
    <w:rsid w:val="2FB1448A"/>
    <w:rsid w:val="2FBF1D47"/>
    <w:rsid w:val="2FC0786F"/>
    <w:rsid w:val="2FC802AE"/>
    <w:rsid w:val="2FD03CC2"/>
    <w:rsid w:val="2FD11635"/>
    <w:rsid w:val="2FDA0315"/>
    <w:rsid w:val="2FDC4B15"/>
    <w:rsid w:val="2FE655FB"/>
    <w:rsid w:val="30027B6C"/>
    <w:rsid w:val="30030176"/>
    <w:rsid w:val="30053210"/>
    <w:rsid w:val="30055129"/>
    <w:rsid w:val="301937F3"/>
    <w:rsid w:val="301B45E8"/>
    <w:rsid w:val="301C41BF"/>
    <w:rsid w:val="303048F7"/>
    <w:rsid w:val="30323D63"/>
    <w:rsid w:val="303474C0"/>
    <w:rsid w:val="30350DA4"/>
    <w:rsid w:val="303C233C"/>
    <w:rsid w:val="30406883"/>
    <w:rsid w:val="30536BCF"/>
    <w:rsid w:val="30587954"/>
    <w:rsid w:val="305B5D02"/>
    <w:rsid w:val="305C41A9"/>
    <w:rsid w:val="30662EDC"/>
    <w:rsid w:val="306913D4"/>
    <w:rsid w:val="30727F0C"/>
    <w:rsid w:val="30762E62"/>
    <w:rsid w:val="30820205"/>
    <w:rsid w:val="308464EE"/>
    <w:rsid w:val="308665CC"/>
    <w:rsid w:val="30883B0A"/>
    <w:rsid w:val="308E41B5"/>
    <w:rsid w:val="30952C59"/>
    <w:rsid w:val="30975EA4"/>
    <w:rsid w:val="309D0498"/>
    <w:rsid w:val="30B34C1F"/>
    <w:rsid w:val="30BA5D1B"/>
    <w:rsid w:val="30C3422E"/>
    <w:rsid w:val="30CB0A01"/>
    <w:rsid w:val="30D45A02"/>
    <w:rsid w:val="30DB6CFA"/>
    <w:rsid w:val="30EE0209"/>
    <w:rsid w:val="30F646A1"/>
    <w:rsid w:val="30F83474"/>
    <w:rsid w:val="30FF4D69"/>
    <w:rsid w:val="31031D74"/>
    <w:rsid w:val="31113D2A"/>
    <w:rsid w:val="3113559B"/>
    <w:rsid w:val="311978DB"/>
    <w:rsid w:val="311C5E6A"/>
    <w:rsid w:val="312278AC"/>
    <w:rsid w:val="312421F6"/>
    <w:rsid w:val="3127420C"/>
    <w:rsid w:val="31277147"/>
    <w:rsid w:val="313B4368"/>
    <w:rsid w:val="313D736E"/>
    <w:rsid w:val="31477BEB"/>
    <w:rsid w:val="315523B1"/>
    <w:rsid w:val="315F79F9"/>
    <w:rsid w:val="31623B34"/>
    <w:rsid w:val="31696E27"/>
    <w:rsid w:val="317834D5"/>
    <w:rsid w:val="31807ACD"/>
    <w:rsid w:val="31826574"/>
    <w:rsid w:val="318318AF"/>
    <w:rsid w:val="318E2BCE"/>
    <w:rsid w:val="3192189F"/>
    <w:rsid w:val="31953000"/>
    <w:rsid w:val="3198056E"/>
    <w:rsid w:val="31A72F29"/>
    <w:rsid w:val="31A8706C"/>
    <w:rsid w:val="31C83EB4"/>
    <w:rsid w:val="31C97505"/>
    <w:rsid w:val="31CD31BF"/>
    <w:rsid w:val="31D13ECD"/>
    <w:rsid w:val="31D858EC"/>
    <w:rsid w:val="31DD064B"/>
    <w:rsid w:val="31E10F55"/>
    <w:rsid w:val="31F55346"/>
    <w:rsid w:val="31F92583"/>
    <w:rsid w:val="31FF2C2B"/>
    <w:rsid w:val="32016DBC"/>
    <w:rsid w:val="32017C4A"/>
    <w:rsid w:val="320259FB"/>
    <w:rsid w:val="32035938"/>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531113"/>
    <w:rsid w:val="328916BE"/>
    <w:rsid w:val="32974C7A"/>
    <w:rsid w:val="32994903"/>
    <w:rsid w:val="32AC3EB4"/>
    <w:rsid w:val="32B865E1"/>
    <w:rsid w:val="32BB4ABE"/>
    <w:rsid w:val="32C8549C"/>
    <w:rsid w:val="32CA16D9"/>
    <w:rsid w:val="32D34F70"/>
    <w:rsid w:val="32D85BE7"/>
    <w:rsid w:val="32DB36D4"/>
    <w:rsid w:val="32E83928"/>
    <w:rsid w:val="32F45590"/>
    <w:rsid w:val="32F63F5D"/>
    <w:rsid w:val="32FF3174"/>
    <w:rsid w:val="331337B2"/>
    <w:rsid w:val="331F32C5"/>
    <w:rsid w:val="33206705"/>
    <w:rsid w:val="33227B1F"/>
    <w:rsid w:val="332B4B35"/>
    <w:rsid w:val="333A557C"/>
    <w:rsid w:val="33644595"/>
    <w:rsid w:val="336B3D81"/>
    <w:rsid w:val="337120CB"/>
    <w:rsid w:val="33771D55"/>
    <w:rsid w:val="33773188"/>
    <w:rsid w:val="337E77C9"/>
    <w:rsid w:val="338F53C2"/>
    <w:rsid w:val="33925662"/>
    <w:rsid w:val="339B7AA1"/>
    <w:rsid w:val="339C5609"/>
    <w:rsid w:val="33A40324"/>
    <w:rsid w:val="33A51FC1"/>
    <w:rsid w:val="33AE291D"/>
    <w:rsid w:val="33B7637D"/>
    <w:rsid w:val="33BD3F8F"/>
    <w:rsid w:val="33BD5FB4"/>
    <w:rsid w:val="33C20566"/>
    <w:rsid w:val="33C45055"/>
    <w:rsid w:val="33D4661F"/>
    <w:rsid w:val="33D95773"/>
    <w:rsid w:val="33ED39C2"/>
    <w:rsid w:val="33F2572E"/>
    <w:rsid w:val="33F94FDA"/>
    <w:rsid w:val="33FE3BEE"/>
    <w:rsid w:val="340F56DE"/>
    <w:rsid w:val="3425597D"/>
    <w:rsid w:val="342802EC"/>
    <w:rsid w:val="342A5DF5"/>
    <w:rsid w:val="342C3EF8"/>
    <w:rsid w:val="34336639"/>
    <w:rsid w:val="344851FD"/>
    <w:rsid w:val="34553518"/>
    <w:rsid w:val="345D09C7"/>
    <w:rsid w:val="34626CB0"/>
    <w:rsid w:val="34645BE6"/>
    <w:rsid w:val="34767BE8"/>
    <w:rsid w:val="34884DEC"/>
    <w:rsid w:val="34907941"/>
    <w:rsid w:val="349B5E0E"/>
    <w:rsid w:val="34A176C9"/>
    <w:rsid w:val="34A432B6"/>
    <w:rsid w:val="34A9652A"/>
    <w:rsid w:val="34AA020B"/>
    <w:rsid w:val="34AC0752"/>
    <w:rsid w:val="34AC0FCE"/>
    <w:rsid w:val="34B057BD"/>
    <w:rsid w:val="34B80BA6"/>
    <w:rsid w:val="34BC17DA"/>
    <w:rsid w:val="34C46423"/>
    <w:rsid w:val="34C47973"/>
    <w:rsid w:val="34C74A84"/>
    <w:rsid w:val="34D015E3"/>
    <w:rsid w:val="34D0301A"/>
    <w:rsid w:val="34D5066F"/>
    <w:rsid w:val="34DD7A9E"/>
    <w:rsid w:val="34E7019F"/>
    <w:rsid w:val="34E81276"/>
    <w:rsid w:val="34EB3E0C"/>
    <w:rsid w:val="34EC3ED5"/>
    <w:rsid w:val="34ED3DC3"/>
    <w:rsid w:val="34F31E0F"/>
    <w:rsid w:val="34F85DA8"/>
    <w:rsid w:val="35051A4E"/>
    <w:rsid w:val="3509398E"/>
    <w:rsid w:val="35156C7E"/>
    <w:rsid w:val="353178AD"/>
    <w:rsid w:val="353A14F3"/>
    <w:rsid w:val="35417A73"/>
    <w:rsid w:val="35442A5D"/>
    <w:rsid w:val="3547266B"/>
    <w:rsid w:val="354B62D7"/>
    <w:rsid w:val="354E2B0A"/>
    <w:rsid w:val="3554479E"/>
    <w:rsid w:val="35562720"/>
    <w:rsid w:val="355C2CFD"/>
    <w:rsid w:val="356E794C"/>
    <w:rsid w:val="357118A4"/>
    <w:rsid w:val="357A69BB"/>
    <w:rsid w:val="357D63E5"/>
    <w:rsid w:val="357F00D0"/>
    <w:rsid w:val="35894506"/>
    <w:rsid w:val="358B7232"/>
    <w:rsid w:val="358D3173"/>
    <w:rsid w:val="3599165E"/>
    <w:rsid w:val="359C2EFC"/>
    <w:rsid w:val="35A377DB"/>
    <w:rsid w:val="35B452A7"/>
    <w:rsid w:val="35C104AB"/>
    <w:rsid w:val="35C44A8D"/>
    <w:rsid w:val="35E129A9"/>
    <w:rsid w:val="35E7387F"/>
    <w:rsid w:val="35E81F7A"/>
    <w:rsid w:val="35ED777B"/>
    <w:rsid w:val="35F52BF3"/>
    <w:rsid w:val="35FA40F6"/>
    <w:rsid w:val="36041802"/>
    <w:rsid w:val="360530D8"/>
    <w:rsid w:val="3605698A"/>
    <w:rsid w:val="360E51E2"/>
    <w:rsid w:val="361062CC"/>
    <w:rsid w:val="36162F1C"/>
    <w:rsid w:val="362323A4"/>
    <w:rsid w:val="362D4978"/>
    <w:rsid w:val="363277D2"/>
    <w:rsid w:val="36361B1F"/>
    <w:rsid w:val="36582A21"/>
    <w:rsid w:val="36617CA1"/>
    <w:rsid w:val="36621725"/>
    <w:rsid w:val="366244D5"/>
    <w:rsid w:val="3663276C"/>
    <w:rsid w:val="36797843"/>
    <w:rsid w:val="368D3AB4"/>
    <w:rsid w:val="368F357B"/>
    <w:rsid w:val="369C3F7F"/>
    <w:rsid w:val="36A82C1D"/>
    <w:rsid w:val="36B34449"/>
    <w:rsid w:val="36B91ADD"/>
    <w:rsid w:val="36C342D9"/>
    <w:rsid w:val="36C3654A"/>
    <w:rsid w:val="36D6162D"/>
    <w:rsid w:val="36D64E63"/>
    <w:rsid w:val="36D9795A"/>
    <w:rsid w:val="36E71333"/>
    <w:rsid w:val="36E80FCF"/>
    <w:rsid w:val="36EC0AB5"/>
    <w:rsid w:val="36EF5B15"/>
    <w:rsid w:val="36F154C9"/>
    <w:rsid w:val="36FC72F3"/>
    <w:rsid w:val="370726A9"/>
    <w:rsid w:val="370A0339"/>
    <w:rsid w:val="370F2E93"/>
    <w:rsid w:val="370F32ED"/>
    <w:rsid w:val="37197B9C"/>
    <w:rsid w:val="37223E78"/>
    <w:rsid w:val="37255307"/>
    <w:rsid w:val="37414D33"/>
    <w:rsid w:val="374C6AE8"/>
    <w:rsid w:val="374E35E0"/>
    <w:rsid w:val="37560CC6"/>
    <w:rsid w:val="376E331C"/>
    <w:rsid w:val="37765CD1"/>
    <w:rsid w:val="377D5BB7"/>
    <w:rsid w:val="378C52E7"/>
    <w:rsid w:val="378D0CEB"/>
    <w:rsid w:val="379A026D"/>
    <w:rsid w:val="37A2207E"/>
    <w:rsid w:val="37A2434F"/>
    <w:rsid w:val="37A91443"/>
    <w:rsid w:val="37BD52D7"/>
    <w:rsid w:val="37CE137A"/>
    <w:rsid w:val="37E941B3"/>
    <w:rsid w:val="37ED32C0"/>
    <w:rsid w:val="37ED6D6E"/>
    <w:rsid w:val="37FF4CAC"/>
    <w:rsid w:val="380C3B20"/>
    <w:rsid w:val="3811299F"/>
    <w:rsid w:val="3813029C"/>
    <w:rsid w:val="381504A8"/>
    <w:rsid w:val="38221D88"/>
    <w:rsid w:val="38422CE2"/>
    <w:rsid w:val="38443929"/>
    <w:rsid w:val="38464281"/>
    <w:rsid w:val="384653A1"/>
    <w:rsid w:val="385438E8"/>
    <w:rsid w:val="38597078"/>
    <w:rsid w:val="38664171"/>
    <w:rsid w:val="386E21B0"/>
    <w:rsid w:val="38796894"/>
    <w:rsid w:val="388D0637"/>
    <w:rsid w:val="389E3A13"/>
    <w:rsid w:val="38AE496C"/>
    <w:rsid w:val="38B54D45"/>
    <w:rsid w:val="38B7072B"/>
    <w:rsid w:val="38D242CD"/>
    <w:rsid w:val="38DC6FB6"/>
    <w:rsid w:val="38EB6CC7"/>
    <w:rsid w:val="38F34403"/>
    <w:rsid w:val="38F44DFD"/>
    <w:rsid w:val="39021924"/>
    <w:rsid w:val="39050DB8"/>
    <w:rsid w:val="390D4FD6"/>
    <w:rsid w:val="39165F01"/>
    <w:rsid w:val="391762C0"/>
    <w:rsid w:val="39190B3D"/>
    <w:rsid w:val="391F6B09"/>
    <w:rsid w:val="392308A1"/>
    <w:rsid w:val="39274A93"/>
    <w:rsid w:val="392A77B7"/>
    <w:rsid w:val="39324B9F"/>
    <w:rsid w:val="393E0C7A"/>
    <w:rsid w:val="39470BCD"/>
    <w:rsid w:val="395F05DF"/>
    <w:rsid w:val="396A069C"/>
    <w:rsid w:val="39771071"/>
    <w:rsid w:val="397D3044"/>
    <w:rsid w:val="39821F75"/>
    <w:rsid w:val="398B5520"/>
    <w:rsid w:val="398C3DB7"/>
    <w:rsid w:val="39A27A80"/>
    <w:rsid w:val="39A31EA7"/>
    <w:rsid w:val="39AB19E4"/>
    <w:rsid w:val="39AB6275"/>
    <w:rsid w:val="39B269D3"/>
    <w:rsid w:val="39B63539"/>
    <w:rsid w:val="39BA6BCD"/>
    <w:rsid w:val="39C15E86"/>
    <w:rsid w:val="39C52E4C"/>
    <w:rsid w:val="39DF785B"/>
    <w:rsid w:val="39E02140"/>
    <w:rsid w:val="39E17621"/>
    <w:rsid w:val="39F227B1"/>
    <w:rsid w:val="39F70543"/>
    <w:rsid w:val="39F71049"/>
    <w:rsid w:val="39F97ADB"/>
    <w:rsid w:val="3A0F6AE8"/>
    <w:rsid w:val="3A151290"/>
    <w:rsid w:val="3A201663"/>
    <w:rsid w:val="3A292038"/>
    <w:rsid w:val="3A347B63"/>
    <w:rsid w:val="3A4B40BE"/>
    <w:rsid w:val="3A524E6B"/>
    <w:rsid w:val="3A541FD2"/>
    <w:rsid w:val="3A5E4DE2"/>
    <w:rsid w:val="3A6B5FCE"/>
    <w:rsid w:val="3A7164C9"/>
    <w:rsid w:val="3A73522F"/>
    <w:rsid w:val="3A762A49"/>
    <w:rsid w:val="3A826354"/>
    <w:rsid w:val="3A8922D8"/>
    <w:rsid w:val="3A8B7DE7"/>
    <w:rsid w:val="3A9D28F5"/>
    <w:rsid w:val="3AB53AE3"/>
    <w:rsid w:val="3AB80239"/>
    <w:rsid w:val="3ABA012D"/>
    <w:rsid w:val="3ABD340B"/>
    <w:rsid w:val="3ABF5534"/>
    <w:rsid w:val="3AC43AC7"/>
    <w:rsid w:val="3AC60F64"/>
    <w:rsid w:val="3ACD0EA1"/>
    <w:rsid w:val="3ACD43C9"/>
    <w:rsid w:val="3AD03522"/>
    <w:rsid w:val="3AE967AD"/>
    <w:rsid w:val="3AF37FB6"/>
    <w:rsid w:val="3AFF2C64"/>
    <w:rsid w:val="3B0563C8"/>
    <w:rsid w:val="3B2B107F"/>
    <w:rsid w:val="3B2F69DB"/>
    <w:rsid w:val="3B385475"/>
    <w:rsid w:val="3B3C71A5"/>
    <w:rsid w:val="3B5E1380"/>
    <w:rsid w:val="3B79226F"/>
    <w:rsid w:val="3B82337A"/>
    <w:rsid w:val="3B85269B"/>
    <w:rsid w:val="3B887DAF"/>
    <w:rsid w:val="3B8B32F9"/>
    <w:rsid w:val="3B904834"/>
    <w:rsid w:val="3B932344"/>
    <w:rsid w:val="3B963B4D"/>
    <w:rsid w:val="3B9B2E63"/>
    <w:rsid w:val="3B9D20F5"/>
    <w:rsid w:val="3B9F7E1A"/>
    <w:rsid w:val="3BAB0E89"/>
    <w:rsid w:val="3BB33F88"/>
    <w:rsid w:val="3BB90C9D"/>
    <w:rsid w:val="3BD81B44"/>
    <w:rsid w:val="3BD91520"/>
    <w:rsid w:val="3BD93153"/>
    <w:rsid w:val="3BDA6996"/>
    <w:rsid w:val="3BDF0DBC"/>
    <w:rsid w:val="3BE5588D"/>
    <w:rsid w:val="3BF27D2C"/>
    <w:rsid w:val="3BF94AE7"/>
    <w:rsid w:val="3BFA58BC"/>
    <w:rsid w:val="3C0A3047"/>
    <w:rsid w:val="3C101C53"/>
    <w:rsid w:val="3C187054"/>
    <w:rsid w:val="3C216BFC"/>
    <w:rsid w:val="3C293AAA"/>
    <w:rsid w:val="3C2E50FB"/>
    <w:rsid w:val="3C37637A"/>
    <w:rsid w:val="3C477627"/>
    <w:rsid w:val="3C4A12AD"/>
    <w:rsid w:val="3C5125FC"/>
    <w:rsid w:val="3C554D08"/>
    <w:rsid w:val="3C557173"/>
    <w:rsid w:val="3C5D4C2E"/>
    <w:rsid w:val="3C5E0A6E"/>
    <w:rsid w:val="3C690ECB"/>
    <w:rsid w:val="3C6C1174"/>
    <w:rsid w:val="3C7A51A5"/>
    <w:rsid w:val="3C7B0602"/>
    <w:rsid w:val="3C7E4241"/>
    <w:rsid w:val="3C860AC6"/>
    <w:rsid w:val="3C953A7D"/>
    <w:rsid w:val="3C960BC8"/>
    <w:rsid w:val="3C9848A1"/>
    <w:rsid w:val="3C9B05BB"/>
    <w:rsid w:val="3C9F32D2"/>
    <w:rsid w:val="3CA07775"/>
    <w:rsid w:val="3CA509B7"/>
    <w:rsid w:val="3CA509D1"/>
    <w:rsid w:val="3CA767FA"/>
    <w:rsid w:val="3CAC27AE"/>
    <w:rsid w:val="3CAD3E58"/>
    <w:rsid w:val="3CB60D47"/>
    <w:rsid w:val="3CC03974"/>
    <w:rsid w:val="3CC80974"/>
    <w:rsid w:val="3CD47941"/>
    <w:rsid w:val="3CD537E6"/>
    <w:rsid w:val="3CD93879"/>
    <w:rsid w:val="3CE611E9"/>
    <w:rsid w:val="3CE728EF"/>
    <w:rsid w:val="3CE93C13"/>
    <w:rsid w:val="3CFB64F6"/>
    <w:rsid w:val="3D1E6DB4"/>
    <w:rsid w:val="3D22593A"/>
    <w:rsid w:val="3D2507D7"/>
    <w:rsid w:val="3D2571D3"/>
    <w:rsid w:val="3D29787E"/>
    <w:rsid w:val="3D2E4DF5"/>
    <w:rsid w:val="3D3074C1"/>
    <w:rsid w:val="3D317B2F"/>
    <w:rsid w:val="3D351A0E"/>
    <w:rsid w:val="3D386EBD"/>
    <w:rsid w:val="3D5D0A53"/>
    <w:rsid w:val="3D686FCC"/>
    <w:rsid w:val="3D7A2818"/>
    <w:rsid w:val="3D8106EA"/>
    <w:rsid w:val="3D834DF8"/>
    <w:rsid w:val="3D877829"/>
    <w:rsid w:val="3D8D4458"/>
    <w:rsid w:val="3DA352B1"/>
    <w:rsid w:val="3DB72FC9"/>
    <w:rsid w:val="3DBA258D"/>
    <w:rsid w:val="3DBA61E7"/>
    <w:rsid w:val="3DBD544C"/>
    <w:rsid w:val="3DBE59FA"/>
    <w:rsid w:val="3DBF6E87"/>
    <w:rsid w:val="3DCC59CC"/>
    <w:rsid w:val="3DCE7989"/>
    <w:rsid w:val="3DCF31DF"/>
    <w:rsid w:val="3DD55956"/>
    <w:rsid w:val="3DDD77A2"/>
    <w:rsid w:val="3DE046DB"/>
    <w:rsid w:val="3DE66F69"/>
    <w:rsid w:val="3DE7198D"/>
    <w:rsid w:val="3DF7051E"/>
    <w:rsid w:val="3DFA5A19"/>
    <w:rsid w:val="3DFC4E1B"/>
    <w:rsid w:val="3E100FFC"/>
    <w:rsid w:val="3E127062"/>
    <w:rsid w:val="3E1D4BD2"/>
    <w:rsid w:val="3E201534"/>
    <w:rsid w:val="3E216B4D"/>
    <w:rsid w:val="3E38096B"/>
    <w:rsid w:val="3E4E3A85"/>
    <w:rsid w:val="3E546A69"/>
    <w:rsid w:val="3E651EE9"/>
    <w:rsid w:val="3E70638E"/>
    <w:rsid w:val="3E784A78"/>
    <w:rsid w:val="3E8554F5"/>
    <w:rsid w:val="3E8C3D71"/>
    <w:rsid w:val="3EA51CD6"/>
    <w:rsid w:val="3EAE3E2C"/>
    <w:rsid w:val="3EB33F81"/>
    <w:rsid w:val="3EB65E71"/>
    <w:rsid w:val="3EC33032"/>
    <w:rsid w:val="3EC61DB3"/>
    <w:rsid w:val="3ECB6A21"/>
    <w:rsid w:val="3EEC6FBA"/>
    <w:rsid w:val="3EF62661"/>
    <w:rsid w:val="3F024A55"/>
    <w:rsid w:val="3F1643E5"/>
    <w:rsid w:val="3F255D10"/>
    <w:rsid w:val="3F332386"/>
    <w:rsid w:val="3F3668C7"/>
    <w:rsid w:val="3F3C595E"/>
    <w:rsid w:val="3F42509A"/>
    <w:rsid w:val="3F441DD6"/>
    <w:rsid w:val="3F55557B"/>
    <w:rsid w:val="3F5565A1"/>
    <w:rsid w:val="3F59346C"/>
    <w:rsid w:val="3F5E3FC7"/>
    <w:rsid w:val="3F657308"/>
    <w:rsid w:val="3F6E594C"/>
    <w:rsid w:val="3F714BED"/>
    <w:rsid w:val="3F7856B5"/>
    <w:rsid w:val="3F7970EE"/>
    <w:rsid w:val="3F7F71A7"/>
    <w:rsid w:val="3F8003ED"/>
    <w:rsid w:val="3F9A4CD5"/>
    <w:rsid w:val="3FA55697"/>
    <w:rsid w:val="3FA94649"/>
    <w:rsid w:val="3FB55F3F"/>
    <w:rsid w:val="3FBC79BD"/>
    <w:rsid w:val="3FBD23EC"/>
    <w:rsid w:val="3FC519F7"/>
    <w:rsid w:val="3FD0326B"/>
    <w:rsid w:val="3FD34D1A"/>
    <w:rsid w:val="3FD94F5E"/>
    <w:rsid w:val="3FEA63FD"/>
    <w:rsid w:val="3FED63B1"/>
    <w:rsid w:val="3FEF1AEF"/>
    <w:rsid w:val="3FF01019"/>
    <w:rsid w:val="3FFA1B89"/>
    <w:rsid w:val="40031733"/>
    <w:rsid w:val="40076D3D"/>
    <w:rsid w:val="400A2138"/>
    <w:rsid w:val="401901B3"/>
    <w:rsid w:val="401C6FB6"/>
    <w:rsid w:val="401F65F0"/>
    <w:rsid w:val="40210266"/>
    <w:rsid w:val="402B01F5"/>
    <w:rsid w:val="402D4CA5"/>
    <w:rsid w:val="40342736"/>
    <w:rsid w:val="4038111F"/>
    <w:rsid w:val="403B4D70"/>
    <w:rsid w:val="403C2D71"/>
    <w:rsid w:val="404470DB"/>
    <w:rsid w:val="4045084B"/>
    <w:rsid w:val="404C2292"/>
    <w:rsid w:val="404C7E8A"/>
    <w:rsid w:val="405D572D"/>
    <w:rsid w:val="4061111C"/>
    <w:rsid w:val="407E7B1F"/>
    <w:rsid w:val="408D1EA0"/>
    <w:rsid w:val="408E2DBF"/>
    <w:rsid w:val="4097054A"/>
    <w:rsid w:val="40982E53"/>
    <w:rsid w:val="409D2A1A"/>
    <w:rsid w:val="40A16860"/>
    <w:rsid w:val="40A752D1"/>
    <w:rsid w:val="40A85AB9"/>
    <w:rsid w:val="40B21FB5"/>
    <w:rsid w:val="40B95E2E"/>
    <w:rsid w:val="40C17F9E"/>
    <w:rsid w:val="40C43B66"/>
    <w:rsid w:val="40CF5219"/>
    <w:rsid w:val="40D01AC5"/>
    <w:rsid w:val="40D45C40"/>
    <w:rsid w:val="40E247F7"/>
    <w:rsid w:val="40E66AF1"/>
    <w:rsid w:val="40EE5966"/>
    <w:rsid w:val="40FA444D"/>
    <w:rsid w:val="40FB5AEF"/>
    <w:rsid w:val="40FE6AE6"/>
    <w:rsid w:val="410B77F7"/>
    <w:rsid w:val="410E79B0"/>
    <w:rsid w:val="410F1967"/>
    <w:rsid w:val="41147DCD"/>
    <w:rsid w:val="41335FC7"/>
    <w:rsid w:val="414240CA"/>
    <w:rsid w:val="41447381"/>
    <w:rsid w:val="415978C8"/>
    <w:rsid w:val="415C1B4D"/>
    <w:rsid w:val="416C7890"/>
    <w:rsid w:val="41761B04"/>
    <w:rsid w:val="417843F2"/>
    <w:rsid w:val="418A1799"/>
    <w:rsid w:val="41A54E09"/>
    <w:rsid w:val="41A61C3F"/>
    <w:rsid w:val="41AF045B"/>
    <w:rsid w:val="41B17185"/>
    <w:rsid w:val="41D92AA8"/>
    <w:rsid w:val="41DB03CE"/>
    <w:rsid w:val="41E52344"/>
    <w:rsid w:val="41F05895"/>
    <w:rsid w:val="420155A5"/>
    <w:rsid w:val="420C70DA"/>
    <w:rsid w:val="420C765B"/>
    <w:rsid w:val="420D15A2"/>
    <w:rsid w:val="42105DA9"/>
    <w:rsid w:val="42160B59"/>
    <w:rsid w:val="42195E6C"/>
    <w:rsid w:val="4224405E"/>
    <w:rsid w:val="42255F1B"/>
    <w:rsid w:val="4226611D"/>
    <w:rsid w:val="42366284"/>
    <w:rsid w:val="42370B89"/>
    <w:rsid w:val="424347C6"/>
    <w:rsid w:val="4252208C"/>
    <w:rsid w:val="425402BB"/>
    <w:rsid w:val="42564ADA"/>
    <w:rsid w:val="425A7148"/>
    <w:rsid w:val="42666DD3"/>
    <w:rsid w:val="427456AF"/>
    <w:rsid w:val="42747A95"/>
    <w:rsid w:val="427E52C8"/>
    <w:rsid w:val="42841878"/>
    <w:rsid w:val="429A1379"/>
    <w:rsid w:val="42A3428D"/>
    <w:rsid w:val="42A84BF2"/>
    <w:rsid w:val="42AB2987"/>
    <w:rsid w:val="42B71750"/>
    <w:rsid w:val="42C341BE"/>
    <w:rsid w:val="42CE7913"/>
    <w:rsid w:val="42CF6863"/>
    <w:rsid w:val="42FA6BD0"/>
    <w:rsid w:val="42FB4E01"/>
    <w:rsid w:val="4301585B"/>
    <w:rsid w:val="43017026"/>
    <w:rsid w:val="43024820"/>
    <w:rsid w:val="43067C6F"/>
    <w:rsid w:val="430A6E09"/>
    <w:rsid w:val="430F7002"/>
    <w:rsid w:val="43145EC4"/>
    <w:rsid w:val="43177F8E"/>
    <w:rsid w:val="43183E1C"/>
    <w:rsid w:val="431B31A4"/>
    <w:rsid w:val="431F6EDF"/>
    <w:rsid w:val="43325808"/>
    <w:rsid w:val="433E1CAF"/>
    <w:rsid w:val="43412297"/>
    <w:rsid w:val="43413ED4"/>
    <w:rsid w:val="43437BC6"/>
    <w:rsid w:val="43503578"/>
    <w:rsid w:val="43594499"/>
    <w:rsid w:val="43636C3F"/>
    <w:rsid w:val="4364610B"/>
    <w:rsid w:val="436E5353"/>
    <w:rsid w:val="437676AE"/>
    <w:rsid w:val="438073DF"/>
    <w:rsid w:val="438903A1"/>
    <w:rsid w:val="439851C1"/>
    <w:rsid w:val="439D6340"/>
    <w:rsid w:val="439F1D6D"/>
    <w:rsid w:val="43A641D6"/>
    <w:rsid w:val="43BD7A72"/>
    <w:rsid w:val="43DB51A7"/>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C465D"/>
    <w:rsid w:val="443F7EE3"/>
    <w:rsid w:val="44407244"/>
    <w:rsid w:val="44477A7A"/>
    <w:rsid w:val="445A5900"/>
    <w:rsid w:val="44620AD6"/>
    <w:rsid w:val="446A5B9F"/>
    <w:rsid w:val="447D1F45"/>
    <w:rsid w:val="44815163"/>
    <w:rsid w:val="44897FC5"/>
    <w:rsid w:val="448E57A6"/>
    <w:rsid w:val="44990651"/>
    <w:rsid w:val="44A72CB4"/>
    <w:rsid w:val="44B15C19"/>
    <w:rsid w:val="44B46E84"/>
    <w:rsid w:val="44D243AA"/>
    <w:rsid w:val="44DC0CFE"/>
    <w:rsid w:val="44DC4FCA"/>
    <w:rsid w:val="44E123A0"/>
    <w:rsid w:val="44E15547"/>
    <w:rsid w:val="44EA12B2"/>
    <w:rsid w:val="44F05FB7"/>
    <w:rsid w:val="44F10A87"/>
    <w:rsid w:val="44FD1C6D"/>
    <w:rsid w:val="44FD3A2B"/>
    <w:rsid w:val="45051DF1"/>
    <w:rsid w:val="451231AD"/>
    <w:rsid w:val="452453CB"/>
    <w:rsid w:val="453C4ACC"/>
    <w:rsid w:val="453E4B66"/>
    <w:rsid w:val="453F207E"/>
    <w:rsid w:val="454276A8"/>
    <w:rsid w:val="45465AD9"/>
    <w:rsid w:val="45536A05"/>
    <w:rsid w:val="45564AF8"/>
    <w:rsid w:val="455F5B21"/>
    <w:rsid w:val="456869AD"/>
    <w:rsid w:val="4576268A"/>
    <w:rsid w:val="4577723A"/>
    <w:rsid w:val="457A6C83"/>
    <w:rsid w:val="457D1209"/>
    <w:rsid w:val="45812D41"/>
    <w:rsid w:val="45855FDB"/>
    <w:rsid w:val="4597088A"/>
    <w:rsid w:val="45A06D49"/>
    <w:rsid w:val="45A31600"/>
    <w:rsid w:val="45AF133F"/>
    <w:rsid w:val="45BC287C"/>
    <w:rsid w:val="45CC633C"/>
    <w:rsid w:val="45D77222"/>
    <w:rsid w:val="45E526C2"/>
    <w:rsid w:val="45EF074B"/>
    <w:rsid w:val="45EF4AA8"/>
    <w:rsid w:val="45EF5694"/>
    <w:rsid w:val="45F32D75"/>
    <w:rsid w:val="45F86B49"/>
    <w:rsid w:val="45FA19A9"/>
    <w:rsid w:val="45FE4441"/>
    <w:rsid w:val="46020157"/>
    <w:rsid w:val="460934CE"/>
    <w:rsid w:val="460E6F64"/>
    <w:rsid w:val="46107E4D"/>
    <w:rsid w:val="461A7582"/>
    <w:rsid w:val="461D4BA4"/>
    <w:rsid w:val="461F685B"/>
    <w:rsid w:val="4629514D"/>
    <w:rsid w:val="46325B00"/>
    <w:rsid w:val="463A35BA"/>
    <w:rsid w:val="464478D6"/>
    <w:rsid w:val="46537026"/>
    <w:rsid w:val="46573E87"/>
    <w:rsid w:val="46594972"/>
    <w:rsid w:val="46607354"/>
    <w:rsid w:val="46612186"/>
    <w:rsid w:val="467347CD"/>
    <w:rsid w:val="46763AFA"/>
    <w:rsid w:val="467C25DE"/>
    <w:rsid w:val="4682122A"/>
    <w:rsid w:val="469438D3"/>
    <w:rsid w:val="4697026E"/>
    <w:rsid w:val="469B17DB"/>
    <w:rsid w:val="469C47A3"/>
    <w:rsid w:val="46A311B2"/>
    <w:rsid w:val="46A51024"/>
    <w:rsid w:val="46A86AC5"/>
    <w:rsid w:val="46AA4F79"/>
    <w:rsid w:val="46AF0ACC"/>
    <w:rsid w:val="46B502C1"/>
    <w:rsid w:val="46CD2EA3"/>
    <w:rsid w:val="46D14D13"/>
    <w:rsid w:val="46D74570"/>
    <w:rsid w:val="46E33C2A"/>
    <w:rsid w:val="46EB5C2E"/>
    <w:rsid w:val="46F82663"/>
    <w:rsid w:val="46FD4E10"/>
    <w:rsid w:val="47191F43"/>
    <w:rsid w:val="471B210D"/>
    <w:rsid w:val="47202ED1"/>
    <w:rsid w:val="47286F5B"/>
    <w:rsid w:val="472F51A6"/>
    <w:rsid w:val="47330BB1"/>
    <w:rsid w:val="473B6156"/>
    <w:rsid w:val="474340E1"/>
    <w:rsid w:val="47482775"/>
    <w:rsid w:val="4754737E"/>
    <w:rsid w:val="475B2055"/>
    <w:rsid w:val="47622DD8"/>
    <w:rsid w:val="476E1BD6"/>
    <w:rsid w:val="476E5DEA"/>
    <w:rsid w:val="4786018E"/>
    <w:rsid w:val="47880272"/>
    <w:rsid w:val="47914A33"/>
    <w:rsid w:val="4795206D"/>
    <w:rsid w:val="479B0044"/>
    <w:rsid w:val="479C10BC"/>
    <w:rsid w:val="47A4380D"/>
    <w:rsid w:val="47A6297A"/>
    <w:rsid w:val="47A762A3"/>
    <w:rsid w:val="47B35BF8"/>
    <w:rsid w:val="47B74637"/>
    <w:rsid w:val="47C041C7"/>
    <w:rsid w:val="47CA56A6"/>
    <w:rsid w:val="47CB4E60"/>
    <w:rsid w:val="47CD1E0C"/>
    <w:rsid w:val="47D964DB"/>
    <w:rsid w:val="47E208F6"/>
    <w:rsid w:val="47F0713F"/>
    <w:rsid w:val="47FC2C01"/>
    <w:rsid w:val="47FC33A5"/>
    <w:rsid w:val="48012A31"/>
    <w:rsid w:val="4805057B"/>
    <w:rsid w:val="48085AE3"/>
    <w:rsid w:val="480964CC"/>
    <w:rsid w:val="481D4366"/>
    <w:rsid w:val="48296262"/>
    <w:rsid w:val="4833020A"/>
    <w:rsid w:val="4844707D"/>
    <w:rsid w:val="48501858"/>
    <w:rsid w:val="485803F1"/>
    <w:rsid w:val="485E2E16"/>
    <w:rsid w:val="486469E3"/>
    <w:rsid w:val="4865215C"/>
    <w:rsid w:val="486942C4"/>
    <w:rsid w:val="48737C06"/>
    <w:rsid w:val="487B552A"/>
    <w:rsid w:val="48842F37"/>
    <w:rsid w:val="48996690"/>
    <w:rsid w:val="48AB0368"/>
    <w:rsid w:val="48B026ED"/>
    <w:rsid w:val="48B05292"/>
    <w:rsid w:val="48B1464B"/>
    <w:rsid w:val="48B33700"/>
    <w:rsid w:val="48B4426F"/>
    <w:rsid w:val="48B971DC"/>
    <w:rsid w:val="48CE2BF3"/>
    <w:rsid w:val="48D1007E"/>
    <w:rsid w:val="48D4605A"/>
    <w:rsid w:val="48D55BE1"/>
    <w:rsid w:val="48E07823"/>
    <w:rsid w:val="48E1539E"/>
    <w:rsid w:val="48E563B2"/>
    <w:rsid w:val="48ED10C6"/>
    <w:rsid w:val="48EF6487"/>
    <w:rsid w:val="48F556EA"/>
    <w:rsid w:val="490010B1"/>
    <w:rsid w:val="49032962"/>
    <w:rsid w:val="49050217"/>
    <w:rsid w:val="490C5EF7"/>
    <w:rsid w:val="491946D3"/>
    <w:rsid w:val="4924047E"/>
    <w:rsid w:val="4924100D"/>
    <w:rsid w:val="49276380"/>
    <w:rsid w:val="49364515"/>
    <w:rsid w:val="49406C83"/>
    <w:rsid w:val="4948117F"/>
    <w:rsid w:val="494B0B0D"/>
    <w:rsid w:val="49526EAC"/>
    <w:rsid w:val="496361AA"/>
    <w:rsid w:val="497E20AD"/>
    <w:rsid w:val="49820EB7"/>
    <w:rsid w:val="4982702A"/>
    <w:rsid w:val="49846FDB"/>
    <w:rsid w:val="498C0E72"/>
    <w:rsid w:val="49934FD2"/>
    <w:rsid w:val="499416E9"/>
    <w:rsid w:val="499B7FDA"/>
    <w:rsid w:val="49A10689"/>
    <w:rsid w:val="49A63EAD"/>
    <w:rsid w:val="49B4166E"/>
    <w:rsid w:val="49BA2C9E"/>
    <w:rsid w:val="49C42ED0"/>
    <w:rsid w:val="49C51673"/>
    <w:rsid w:val="49D51633"/>
    <w:rsid w:val="49D86805"/>
    <w:rsid w:val="49DD0FF9"/>
    <w:rsid w:val="49ED3FC6"/>
    <w:rsid w:val="49F67019"/>
    <w:rsid w:val="49F72310"/>
    <w:rsid w:val="49FD2EE4"/>
    <w:rsid w:val="4A0B4FDE"/>
    <w:rsid w:val="4A0E4738"/>
    <w:rsid w:val="4A1E7F2C"/>
    <w:rsid w:val="4A203462"/>
    <w:rsid w:val="4A286FFC"/>
    <w:rsid w:val="4A343D11"/>
    <w:rsid w:val="4A497D35"/>
    <w:rsid w:val="4A6718D3"/>
    <w:rsid w:val="4A881BC3"/>
    <w:rsid w:val="4A8A37D8"/>
    <w:rsid w:val="4A8A64F2"/>
    <w:rsid w:val="4A8B4AB2"/>
    <w:rsid w:val="4AA25028"/>
    <w:rsid w:val="4AA96534"/>
    <w:rsid w:val="4AAC5537"/>
    <w:rsid w:val="4AB849DF"/>
    <w:rsid w:val="4ABE300E"/>
    <w:rsid w:val="4AC25F88"/>
    <w:rsid w:val="4AC73519"/>
    <w:rsid w:val="4AD1058E"/>
    <w:rsid w:val="4AD60566"/>
    <w:rsid w:val="4AD77B8A"/>
    <w:rsid w:val="4AD9595B"/>
    <w:rsid w:val="4AE001A8"/>
    <w:rsid w:val="4AE97387"/>
    <w:rsid w:val="4AF5421F"/>
    <w:rsid w:val="4AF6154C"/>
    <w:rsid w:val="4AF93EAE"/>
    <w:rsid w:val="4B197B96"/>
    <w:rsid w:val="4B311212"/>
    <w:rsid w:val="4B356441"/>
    <w:rsid w:val="4B373C21"/>
    <w:rsid w:val="4B3749BD"/>
    <w:rsid w:val="4B3E6720"/>
    <w:rsid w:val="4B43535A"/>
    <w:rsid w:val="4B476348"/>
    <w:rsid w:val="4B4F49B2"/>
    <w:rsid w:val="4B5C5D43"/>
    <w:rsid w:val="4B625BF7"/>
    <w:rsid w:val="4B753465"/>
    <w:rsid w:val="4B76307E"/>
    <w:rsid w:val="4B770921"/>
    <w:rsid w:val="4B7E5905"/>
    <w:rsid w:val="4B7F01A8"/>
    <w:rsid w:val="4B892FEB"/>
    <w:rsid w:val="4B916EFB"/>
    <w:rsid w:val="4B9C509E"/>
    <w:rsid w:val="4BB21AF4"/>
    <w:rsid w:val="4BB54107"/>
    <w:rsid w:val="4BB67EEE"/>
    <w:rsid w:val="4BBE612B"/>
    <w:rsid w:val="4BD13DC6"/>
    <w:rsid w:val="4BD17814"/>
    <w:rsid w:val="4BD57095"/>
    <w:rsid w:val="4BDC5109"/>
    <w:rsid w:val="4BE62039"/>
    <w:rsid w:val="4BE84FA7"/>
    <w:rsid w:val="4BF70C92"/>
    <w:rsid w:val="4BFA6D84"/>
    <w:rsid w:val="4BFD0513"/>
    <w:rsid w:val="4C005E77"/>
    <w:rsid w:val="4C09106F"/>
    <w:rsid w:val="4C1A02C6"/>
    <w:rsid w:val="4C1A57B9"/>
    <w:rsid w:val="4C2B76C1"/>
    <w:rsid w:val="4C371778"/>
    <w:rsid w:val="4C3B40FC"/>
    <w:rsid w:val="4C5419A1"/>
    <w:rsid w:val="4C5429A3"/>
    <w:rsid w:val="4C6359CC"/>
    <w:rsid w:val="4C645A11"/>
    <w:rsid w:val="4C72089C"/>
    <w:rsid w:val="4C725AC0"/>
    <w:rsid w:val="4C87254B"/>
    <w:rsid w:val="4C8B3377"/>
    <w:rsid w:val="4CA1355B"/>
    <w:rsid w:val="4CA200E3"/>
    <w:rsid w:val="4CB06096"/>
    <w:rsid w:val="4CB374D5"/>
    <w:rsid w:val="4CB64A26"/>
    <w:rsid w:val="4CBF64E3"/>
    <w:rsid w:val="4CDE4416"/>
    <w:rsid w:val="4CE54D31"/>
    <w:rsid w:val="4CEA7B46"/>
    <w:rsid w:val="4CF5575A"/>
    <w:rsid w:val="4CF836F2"/>
    <w:rsid w:val="4CFF4949"/>
    <w:rsid w:val="4D004273"/>
    <w:rsid w:val="4D082D34"/>
    <w:rsid w:val="4D1C2C8C"/>
    <w:rsid w:val="4D1E77BE"/>
    <w:rsid w:val="4D205CB6"/>
    <w:rsid w:val="4D245FC5"/>
    <w:rsid w:val="4D2B3B2C"/>
    <w:rsid w:val="4D306E45"/>
    <w:rsid w:val="4D333D9B"/>
    <w:rsid w:val="4D42724B"/>
    <w:rsid w:val="4D562915"/>
    <w:rsid w:val="4D5C543F"/>
    <w:rsid w:val="4D653501"/>
    <w:rsid w:val="4D8051B1"/>
    <w:rsid w:val="4D871641"/>
    <w:rsid w:val="4D8C3E49"/>
    <w:rsid w:val="4D98052F"/>
    <w:rsid w:val="4DA93FB0"/>
    <w:rsid w:val="4DA943B0"/>
    <w:rsid w:val="4DB75561"/>
    <w:rsid w:val="4DBB3CA0"/>
    <w:rsid w:val="4DC515BB"/>
    <w:rsid w:val="4DCB5984"/>
    <w:rsid w:val="4DD64458"/>
    <w:rsid w:val="4DDD243C"/>
    <w:rsid w:val="4DE501B6"/>
    <w:rsid w:val="4DF03EE0"/>
    <w:rsid w:val="4E10792A"/>
    <w:rsid w:val="4E12434F"/>
    <w:rsid w:val="4E135BFA"/>
    <w:rsid w:val="4E1B2DDB"/>
    <w:rsid w:val="4E1F235E"/>
    <w:rsid w:val="4E213391"/>
    <w:rsid w:val="4E23264B"/>
    <w:rsid w:val="4E250E8C"/>
    <w:rsid w:val="4E2E22E2"/>
    <w:rsid w:val="4E3240E0"/>
    <w:rsid w:val="4E355E12"/>
    <w:rsid w:val="4E386CE7"/>
    <w:rsid w:val="4E3F0301"/>
    <w:rsid w:val="4E52289A"/>
    <w:rsid w:val="4E580839"/>
    <w:rsid w:val="4E5D7C3A"/>
    <w:rsid w:val="4E617DFF"/>
    <w:rsid w:val="4E654FD1"/>
    <w:rsid w:val="4E7928F9"/>
    <w:rsid w:val="4E7C0B27"/>
    <w:rsid w:val="4E843D5C"/>
    <w:rsid w:val="4E880069"/>
    <w:rsid w:val="4E8C1A75"/>
    <w:rsid w:val="4E8D762E"/>
    <w:rsid w:val="4E951F2F"/>
    <w:rsid w:val="4E9B1112"/>
    <w:rsid w:val="4E9B7163"/>
    <w:rsid w:val="4E9D2FDD"/>
    <w:rsid w:val="4EA06365"/>
    <w:rsid w:val="4EA74AFC"/>
    <w:rsid w:val="4EB626CF"/>
    <w:rsid w:val="4EBD3915"/>
    <w:rsid w:val="4ECA75BC"/>
    <w:rsid w:val="4ECD54B1"/>
    <w:rsid w:val="4ED4046B"/>
    <w:rsid w:val="4ED80FF1"/>
    <w:rsid w:val="4EDB463D"/>
    <w:rsid w:val="4EDF4B15"/>
    <w:rsid w:val="4EE31789"/>
    <w:rsid w:val="4EF179BD"/>
    <w:rsid w:val="4EF43B16"/>
    <w:rsid w:val="4EF81127"/>
    <w:rsid w:val="4F0D2E0B"/>
    <w:rsid w:val="4F121E3A"/>
    <w:rsid w:val="4F135FF8"/>
    <w:rsid w:val="4F1646F3"/>
    <w:rsid w:val="4F165848"/>
    <w:rsid w:val="4F1E3B69"/>
    <w:rsid w:val="4F1F6B17"/>
    <w:rsid w:val="4F2A0C6A"/>
    <w:rsid w:val="4F2B6C13"/>
    <w:rsid w:val="4F3153D3"/>
    <w:rsid w:val="4F4E4EE9"/>
    <w:rsid w:val="4F5F3ED1"/>
    <w:rsid w:val="4F605B14"/>
    <w:rsid w:val="4F703A2E"/>
    <w:rsid w:val="4F804E7C"/>
    <w:rsid w:val="4F85516A"/>
    <w:rsid w:val="4F944D8F"/>
    <w:rsid w:val="4F977AB5"/>
    <w:rsid w:val="4FA94FEA"/>
    <w:rsid w:val="4FAE1805"/>
    <w:rsid w:val="4FAE6CC8"/>
    <w:rsid w:val="4FBB7966"/>
    <w:rsid w:val="4FC215D0"/>
    <w:rsid w:val="4FC2327B"/>
    <w:rsid w:val="4FC23C73"/>
    <w:rsid w:val="4FCA5221"/>
    <w:rsid w:val="4FEA7FBD"/>
    <w:rsid w:val="4FED0FB9"/>
    <w:rsid w:val="50002725"/>
    <w:rsid w:val="50215013"/>
    <w:rsid w:val="502361CB"/>
    <w:rsid w:val="50245208"/>
    <w:rsid w:val="50285EE6"/>
    <w:rsid w:val="50315512"/>
    <w:rsid w:val="504430D6"/>
    <w:rsid w:val="504A0F29"/>
    <w:rsid w:val="505F23BC"/>
    <w:rsid w:val="505F4513"/>
    <w:rsid w:val="50697ABC"/>
    <w:rsid w:val="507410D2"/>
    <w:rsid w:val="50861C44"/>
    <w:rsid w:val="509B702F"/>
    <w:rsid w:val="509D5069"/>
    <w:rsid w:val="50A4392E"/>
    <w:rsid w:val="50A97681"/>
    <w:rsid w:val="50AE3B94"/>
    <w:rsid w:val="50AF7418"/>
    <w:rsid w:val="50BA7468"/>
    <w:rsid w:val="50C600F2"/>
    <w:rsid w:val="50C80167"/>
    <w:rsid w:val="50C93813"/>
    <w:rsid w:val="50D03252"/>
    <w:rsid w:val="50E35A2B"/>
    <w:rsid w:val="50E93575"/>
    <w:rsid w:val="50F01039"/>
    <w:rsid w:val="50F04D4E"/>
    <w:rsid w:val="50F20841"/>
    <w:rsid w:val="50F41527"/>
    <w:rsid w:val="50F57385"/>
    <w:rsid w:val="50F6016F"/>
    <w:rsid w:val="50F96045"/>
    <w:rsid w:val="50FA2A0B"/>
    <w:rsid w:val="50FB1FB9"/>
    <w:rsid w:val="51132FF4"/>
    <w:rsid w:val="51151213"/>
    <w:rsid w:val="51163468"/>
    <w:rsid w:val="51221043"/>
    <w:rsid w:val="512867EF"/>
    <w:rsid w:val="51295B34"/>
    <w:rsid w:val="512A35DB"/>
    <w:rsid w:val="512F481C"/>
    <w:rsid w:val="513225F9"/>
    <w:rsid w:val="513F5114"/>
    <w:rsid w:val="51422839"/>
    <w:rsid w:val="51440384"/>
    <w:rsid w:val="514725AF"/>
    <w:rsid w:val="51567BE2"/>
    <w:rsid w:val="515E4E53"/>
    <w:rsid w:val="515E6A1B"/>
    <w:rsid w:val="516131A4"/>
    <w:rsid w:val="5169073B"/>
    <w:rsid w:val="516A6657"/>
    <w:rsid w:val="516B705C"/>
    <w:rsid w:val="51737921"/>
    <w:rsid w:val="5177537A"/>
    <w:rsid w:val="518422F6"/>
    <w:rsid w:val="518806E3"/>
    <w:rsid w:val="51A1217B"/>
    <w:rsid w:val="51A32B97"/>
    <w:rsid w:val="51A47CAD"/>
    <w:rsid w:val="51BC2004"/>
    <w:rsid w:val="51C462A1"/>
    <w:rsid w:val="51CB0C5C"/>
    <w:rsid w:val="51CB74F6"/>
    <w:rsid w:val="51D03F6F"/>
    <w:rsid w:val="51D13948"/>
    <w:rsid w:val="51E05764"/>
    <w:rsid w:val="51EA776E"/>
    <w:rsid w:val="51EB5979"/>
    <w:rsid w:val="51EF3A29"/>
    <w:rsid w:val="51F94E28"/>
    <w:rsid w:val="520143BB"/>
    <w:rsid w:val="520B66FC"/>
    <w:rsid w:val="520D4383"/>
    <w:rsid w:val="52160A43"/>
    <w:rsid w:val="521A0101"/>
    <w:rsid w:val="52241967"/>
    <w:rsid w:val="522B06FD"/>
    <w:rsid w:val="522D1CB6"/>
    <w:rsid w:val="52382896"/>
    <w:rsid w:val="52444C58"/>
    <w:rsid w:val="524F41C1"/>
    <w:rsid w:val="525B4D52"/>
    <w:rsid w:val="525F45E4"/>
    <w:rsid w:val="5263075C"/>
    <w:rsid w:val="52660A26"/>
    <w:rsid w:val="526C2044"/>
    <w:rsid w:val="526F6A1F"/>
    <w:rsid w:val="52712F73"/>
    <w:rsid w:val="52717995"/>
    <w:rsid w:val="5281033D"/>
    <w:rsid w:val="528315FB"/>
    <w:rsid w:val="528374C6"/>
    <w:rsid w:val="5292030F"/>
    <w:rsid w:val="52990759"/>
    <w:rsid w:val="529F7148"/>
    <w:rsid w:val="52A01177"/>
    <w:rsid w:val="52AA47C1"/>
    <w:rsid w:val="52AF7AD3"/>
    <w:rsid w:val="52B5146A"/>
    <w:rsid w:val="52B76009"/>
    <w:rsid w:val="52B87033"/>
    <w:rsid w:val="52BE5917"/>
    <w:rsid w:val="52C34E95"/>
    <w:rsid w:val="52C673B2"/>
    <w:rsid w:val="52D22288"/>
    <w:rsid w:val="52D63A99"/>
    <w:rsid w:val="52DB2E5E"/>
    <w:rsid w:val="52DC0353"/>
    <w:rsid w:val="52ED3633"/>
    <w:rsid w:val="52FB3500"/>
    <w:rsid w:val="5301521F"/>
    <w:rsid w:val="53137AF2"/>
    <w:rsid w:val="531B72EC"/>
    <w:rsid w:val="531E35FC"/>
    <w:rsid w:val="531E3DBA"/>
    <w:rsid w:val="532B1547"/>
    <w:rsid w:val="532C2C22"/>
    <w:rsid w:val="533E2879"/>
    <w:rsid w:val="533E6E17"/>
    <w:rsid w:val="5343182D"/>
    <w:rsid w:val="534A1F5A"/>
    <w:rsid w:val="53552E21"/>
    <w:rsid w:val="535672C6"/>
    <w:rsid w:val="536C4A63"/>
    <w:rsid w:val="53797E10"/>
    <w:rsid w:val="538C4158"/>
    <w:rsid w:val="539B26A9"/>
    <w:rsid w:val="539C4C50"/>
    <w:rsid w:val="53A201DA"/>
    <w:rsid w:val="53AF4DD6"/>
    <w:rsid w:val="53B22D34"/>
    <w:rsid w:val="53B6236C"/>
    <w:rsid w:val="53BD07B5"/>
    <w:rsid w:val="53BD6F30"/>
    <w:rsid w:val="53C304B8"/>
    <w:rsid w:val="53C45654"/>
    <w:rsid w:val="53D61877"/>
    <w:rsid w:val="53DE553F"/>
    <w:rsid w:val="53EB5303"/>
    <w:rsid w:val="53EC4A28"/>
    <w:rsid w:val="53FC5A1A"/>
    <w:rsid w:val="540100AA"/>
    <w:rsid w:val="540540F5"/>
    <w:rsid w:val="54107763"/>
    <w:rsid w:val="542913B3"/>
    <w:rsid w:val="542D23FD"/>
    <w:rsid w:val="542E5E21"/>
    <w:rsid w:val="543F18BA"/>
    <w:rsid w:val="54547A7D"/>
    <w:rsid w:val="54883400"/>
    <w:rsid w:val="54930B49"/>
    <w:rsid w:val="54932F58"/>
    <w:rsid w:val="54994D7E"/>
    <w:rsid w:val="549B277D"/>
    <w:rsid w:val="549B63DD"/>
    <w:rsid w:val="549C7CB7"/>
    <w:rsid w:val="54A81CB5"/>
    <w:rsid w:val="54AD0025"/>
    <w:rsid w:val="54B62A8C"/>
    <w:rsid w:val="54BD0985"/>
    <w:rsid w:val="54C17562"/>
    <w:rsid w:val="54C41B11"/>
    <w:rsid w:val="54C82D61"/>
    <w:rsid w:val="54CC32C5"/>
    <w:rsid w:val="54E5099C"/>
    <w:rsid w:val="54F859EA"/>
    <w:rsid w:val="54F91A2A"/>
    <w:rsid w:val="54FD7651"/>
    <w:rsid w:val="54FF1FBE"/>
    <w:rsid w:val="550200D1"/>
    <w:rsid w:val="550E49C6"/>
    <w:rsid w:val="550F5A32"/>
    <w:rsid w:val="551239AB"/>
    <w:rsid w:val="551640B0"/>
    <w:rsid w:val="5525118D"/>
    <w:rsid w:val="552E6032"/>
    <w:rsid w:val="55305A3A"/>
    <w:rsid w:val="55423D43"/>
    <w:rsid w:val="55632353"/>
    <w:rsid w:val="557D5D92"/>
    <w:rsid w:val="55893C76"/>
    <w:rsid w:val="5591375E"/>
    <w:rsid w:val="55A47D96"/>
    <w:rsid w:val="55A92ECA"/>
    <w:rsid w:val="55B55152"/>
    <w:rsid w:val="55C62DB3"/>
    <w:rsid w:val="55C94049"/>
    <w:rsid w:val="55CD5D6D"/>
    <w:rsid w:val="55D74A1A"/>
    <w:rsid w:val="55DA287E"/>
    <w:rsid w:val="55DD1819"/>
    <w:rsid w:val="55E02471"/>
    <w:rsid w:val="55EC0B89"/>
    <w:rsid w:val="55EE6DAD"/>
    <w:rsid w:val="56073162"/>
    <w:rsid w:val="5609127C"/>
    <w:rsid w:val="561A1AAB"/>
    <w:rsid w:val="56243B92"/>
    <w:rsid w:val="563D619D"/>
    <w:rsid w:val="56413F2B"/>
    <w:rsid w:val="56481EAE"/>
    <w:rsid w:val="564E4878"/>
    <w:rsid w:val="565328D9"/>
    <w:rsid w:val="56537C47"/>
    <w:rsid w:val="5656701D"/>
    <w:rsid w:val="566273F2"/>
    <w:rsid w:val="56655E0A"/>
    <w:rsid w:val="56677ADA"/>
    <w:rsid w:val="56747B7B"/>
    <w:rsid w:val="567E4CAF"/>
    <w:rsid w:val="568043DC"/>
    <w:rsid w:val="56843F46"/>
    <w:rsid w:val="56881479"/>
    <w:rsid w:val="568B6949"/>
    <w:rsid w:val="568C170C"/>
    <w:rsid w:val="56905C55"/>
    <w:rsid w:val="569452B5"/>
    <w:rsid w:val="569F109C"/>
    <w:rsid w:val="56A010C0"/>
    <w:rsid w:val="56A060CF"/>
    <w:rsid w:val="56A069AD"/>
    <w:rsid w:val="56A7034D"/>
    <w:rsid w:val="56A91B6A"/>
    <w:rsid w:val="56A9475C"/>
    <w:rsid w:val="56AA3F63"/>
    <w:rsid w:val="56B96B8E"/>
    <w:rsid w:val="56C747B5"/>
    <w:rsid w:val="56CC4101"/>
    <w:rsid w:val="56CE18F0"/>
    <w:rsid w:val="56D06A51"/>
    <w:rsid w:val="56D42684"/>
    <w:rsid w:val="56D53135"/>
    <w:rsid w:val="56D932D2"/>
    <w:rsid w:val="56DD2471"/>
    <w:rsid w:val="56E66BFA"/>
    <w:rsid w:val="56F63B55"/>
    <w:rsid w:val="56FE0BD7"/>
    <w:rsid w:val="57027241"/>
    <w:rsid w:val="57106F36"/>
    <w:rsid w:val="571132F2"/>
    <w:rsid w:val="57181EE6"/>
    <w:rsid w:val="57195ADB"/>
    <w:rsid w:val="57210A6D"/>
    <w:rsid w:val="573012E9"/>
    <w:rsid w:val="57400990"/>
    <w:rsid w:val="5744214A"/>
    <w:rsid w:val="574B480A"/>
    <w:rsid w:val="574B5E34"/>
    <w:rsid w:val="574D7F57"/>
    <w:rsid w:val="57501AFE"/>
    <w:rsid w:val="57543081"/>
    <w:rsid w:val="57575E97"/>
    <w:rsid w:val="575C43D8"/>
    <w:rsid w:val="5761568B"/>
    <w:rsid w:val="57672958"/>
    <w:rsid w:val="57766D80"/>
    <w:rsid w:val="5789649C"/>
    <w:rsid w:val="578D35D7"/>
    <w:rsid w:val="57981F77"/>
    <w:rsid w:val="579A51C2"/>
    <w:rsid w:val="579D7E3A"/>
    <w:rsid w:val="579E5199"/>
    <w:rsid w:val="57A373F0"/>
    <w:rsid w:val="57AC104F"/>
    <w:rsid w:val="57B12989"/>
    <w:rsid w:val="57C174A4"/>
    <w:rsid w:val="57C31CF0"/>
    <w:rsid w:val="57C83C57"/>
    <w:rsid w:val="57CF7F96"/>
    <w:rsid w:val="57E225F6"/>
    <w:rsid w:val="57E633B4"/>
    <w:rsid w:val="57EC2A0C"/>
    <w:rsid w:val="57F637B3"/>
    <w:rsid w:val="57FB2FB4"/>
    <w:rsid w:val="58005114"/>
    <w:rsid w:val="58180502"/>
    <w:rsid w:val="58192326"/>
    <w:rsid w:val="581A4428"/>
    <w:rsid w:val="581B487A"/>
    <w:rsid w:val="581C6534"/>
    <w:rsid w:val="582014EC"/>
    <w:rsid w:val="582028C2"/>
    <w:rsid w:val="58283F4C"/>
    <w:rsid w:val="582908A2"/>
    <w:rsid w:val="582D7B24"/>
    <w:rsid w:val="5838567E"/>
    <w:rsid w:val="583D07DD"/>
    <w:rsid w:val="58426113"/>
    <w:rsid w:val="584A0389"/>
    <w:rsid w:val="584B6239"/>
    <w:rsid w:val="585011BC"/>
    <w:rsid w:val="585F1862"/>
    <w:rsid w:val="58620D26"/>
    <w:rsid w:val="58622549"/>
    <w:rsid w:val="586608F8"/>
    <w:rsid w:val="58670EED"/>
    <w:rsid w:val="586E02D0"/>
    <w:rsid w:val="58706FB1"/>
    <w:rsid w:val="58754DB0"/>
    <w:rsid w:val="587C5983"/>
    <w:rsid w:val="587C6C62"/>
    <w:rsid w:val="587D4157"/>
    <w:rsid w:val="587D627E"/>
    <w:rsid w:val="589B5B2C"/>
    <w:rsid w:val="58A41254"/>
    <w:rsid w:val="58AC41B2"/>
    <w:rsid w:val="58AE77D0"/>
    <w:rsid w:val="58BF15BE"/>
    <w:rsid w:val="58D14467"/>
    <w:rsid w:val="58E8415E"/>
    <w:rsid w:val="58EA163A"/>
    <w:rsid w:val="58F5279F"/>
    <w:rsid w:val="58F5454D"/>
    <w:rsid w:val="58FB7E18"/>
    <w:rsid w:val="58FF1A45"/>
    <w:rsid w:val="59092BF1"/>
    <w:rsid w:val="59195B03"/>
    <w:rsid w:val="591C580B"/>
    <w:rsid w:val="591D1D24"/>
    <w:rsid w:val="5926497A"/>
    <w:rsid w:val="59266DFD"/>
    <w:rsid w:val="592C2050"/>
    <w:rsid w:val="5930483E"/>
    <w:rsid w:val="593924D4"/>
    <w:rsid w:val="593D50F8"/>
    <w:rsid w:val="595D3E12"/>
    <w:rsid w:val="596B5ED3"/>
    <w:rsid w:val="597A4A53"/>
    <w:rsid w:val="598446C5"/>
    <w:rsid w:val="59961EFB"/>
    <w:rsid w:val="59A11353"/>
    <w:rsid w:val="59B73771"/>
    <w:rsid w:val="59BC3CC5"/>
    <w:rsid w:val="59C37D8D"/>
    <w:rsid w:val="59CC3284"/>
    <w:rsid w:val="59CF0329"/>
    <w:rsid w:val="59E0437A"/>
    <w:rsid w:val="59E21F44"/>
    <w:rsid w:val="5A0336C4"/>
    <w:rsid w:val="5A0752CA"/>
    <w:rsid w:val="5A09715D"/>
    <w:rsid w:val="5A1D0D82"/>
    <w:rsid w:val="5A1F39A1"/>
    <w:rsid w:val="5A20315B"/>
    <w:rsid w:val="5A23392E"/>
    <w:rsid w:val="5A344F8C"/>
    <w:rsid w:val="5A36472F"/>
    <w:rsid w:val="5A4313FB"/>
    <w:rsid w:val="5A501F8C"/>
    <w:rsid w:val="5A5827FE"/>
    <w:rsid w:val="5A675814"/>
    <w:rsid w:val="5A70211C"/>
    <w:rsid w:val="5A7122F9"/>
    <w:rsid w:val="5A7415DC"/>
    <w:rsid w:val="5A7D11E0"/>
    <w:rsid w:val="5A834D12"/>
    <w:rsid w:val="5A970C62"/>
    <w:rsid w:val="5AA903B4"/>
    <w:rsid w:val="5AAB2A29"/>
    <w:rsid w:val="5AAB3211"/>
    <w:rsid w:val="5AAC7307"/>
    <w:rsid w:val="5AAE7D6D"/>
    <w:rsid w:val="5AB12807"/>
    <w:rsid w:val="5AB86388"/>
    <w:rsid w:val="5AB8721E"/>
    <w:rsid w:val="5ABA4F49"/>
    <w:rsid w:val="5AC526B1"/>
    <w:rsid w:val="5AC87DAE"/>
    <w:rsid w:val="5ACB29AF"/>
    <w:rsid w:val="5AD07CB2"/>
    <w:rsid w:val="5ADB2A9F"/>
    <w:rsid w:val="5AE244D3"/>
    <w:rsid w:val="5AE37CAA"/>
    <w:rsid w:val="5AEF1DC1"/>
    <w:rsid w:val="5AF001BB"/>
    <w:rsid w:val="5AF45999"/>
    <w:rsid w:val="5AF9020E"/>
    <w:rsid w:val="5AFD3550"/>
    <w:rsid w:val="5B121FDF"/>
    <w:rsid w:val="5B14572D"/>
    <w:rsid w:val="5B3A7E78"/>
    <w:rsid w:val="5B3D442E"/>
    <w:rsid w:val="5B412C22"/>
    <w:rsid w:val="5B4B2EB1"/>
    <w:rsid w:val="5B4B3D26"/>
    <w:rsid w:val="5B570332"/>
    <w:rsid w:val="5B5B31AB"/>
    <w:rsid w:val="5B5F0309"/>
    <w:rsid w:val="5B5F0395"/>
    <w:rsid w:val="5B6110B7"/>
    <w:rsid w:val="5B6300A3"/>
    <w:rsid w:val="5B6C0ED6"/>
    <w:rsid w:val="5B713C90"/>
    <w:rsid w:val="5B790B4E"/>
    <w:rsid w:val="5B7A2400"/>
    <w:rsid w:val="5B9226A0"/>
    <w:rsid w:val="5B977B3E"/>
    <w:rsid w:val="5B995664"/>
    <w:rsid w:val="5B9B5635"/>
    <w:rsid w:val="5B9B626D"/>
    <w:rsid w:val="5BA20907"/>
    <w:rsid w:val="5BA27C79"/>
    <w:rsid w:val="5BA4161A"/>
    <w:rsid w:val="5BCF3C34"/>
    <w:rsid w:val="5BD32897"/>
    <w:rsid w:val="5BEC1C38"/>
    <w:rsid w:val="5BF35A55"/>
    <w:rsid w:val="5BF50A44"/>
    <w:rsid w:val="5BFB4F5E"/>
    <w:rsid w:val="5BFC68B6"/>
    <w:rsid w:val="5BFD02EE"/>
    <w:rsid w:val="5C295CCC"/>
    <w:rsid w:val="5C345941"/>
    <w:rsid w:val="5C3514BF"/>
    <w:rsid w:val="5C381A3A"/>
    <w:rsid w:val="5C3A1F6E"/>
    <w:rsid w:val="5C3C3CE4"/>
    <w:rsid w:val="5C403F04"/>
    <w:rsid w:val="5C433F68"/>
    <w:rsid w:val="5C4D2099"/>
    <w:rsid w:val="5C553B13"/>
    <w:rsid w:val="5C5C135C"/>
    <w:rsid w:val="5C5D3DB6"/>
    <w:rsid w:val="5C604E9E"/>
    <w:rsid w:val="5C6F640A"/>
    <w:rsid w:val="5C787FE3"/>
    <w:rsid w:val="5C816F1E"/>
    <w:rsid w:val="5C872DAA"/>
    <w:rsid w:val="5C8809AC"/>
    <w:rsid w:val="5C894745"/>
    <w:rsid w:val="5C974816"/>
    <w:rsid w:val="5C9A4E78"/>
    <w:rsid w:val="5CA40575"/>
    <w:rsid w:val="5CA43421"/>
    <w:rsid w:val="5CA73D0F"/>
    <w:rsid w:val="5CA97228"/>
    <w:rsid w:val="5CBA57BD"/>
    <w:rsid w:val="5CBB60B1"/>
    <w:rsid w:val="5CC4405E"/>
    <w:rsid w:val="5CC5471C"/>
    <w:rsid w:val="5CCE52E4"/>
    <w:rsid w:val="5CDC5386"/>
    <w:rsid w:val="5CE127AC"/>
    <w:rsid w:val="5CEE7B85"/>
    <w:rsid w:val="5CF73D69"/>
    <w:rsid w:val="5CF96A2D"/>
    <w:rsid w:val="5D187C36"/>
    <w:rsid w:val="5D1975F4"/>
    <w:rsid w:val="5D202057"/>
    <w:rsid w:val="5D20722C"/>
    <w:rsid w:val="5D2459F2"/>
    <w:rsid w:val="5D2F3202"/>
    <w:rsid w:val="5D3566D9"/>
    <w:rsid w:val="5D3F00D7"/>
    <w:rsid w:val="5D3F057B"/>
    <w:rsid w:val="5D4158F3"/>
    <w:rsid w:val="5D453058"/>
    <w:rsid w:val="5D4700C2"/>
    <w:rsid w:val="5D4B13B2"/>
    <w:rsid w:val="5D661860"/>
    <w:rsid w:val="5D6C4615"/>
    <w:rsid w:val="5D7603B3"/>
    <w:rsid w:val="5D7C5A81"/>
    <w:rsid w:val="5D951781"/>
    <w:rsid w:val="5DB80337"/>
    <w:rsid w:val="5DBD169E"/>
    <w:rsid w:val="5DC02C08"/>
    <w:rsid w:val="5DC21AC7"/>
    <w:rsid w:val="5DD31E8F"/>
    <w:rsid w:val="5DDF2196"/>
    <w:rsid w:val="5DE51E49"/>
    <w:rsid w:val="5DE853F9"/>
    <w:rsid w:val="5DEC5AB3"/>
    <w:rsid w:val="5DF704AE"/>
    <w:rsid w:val="5DF954B7"/>
    <w:rsid w:val="5DFD1F51"/>
    <w:rsid w:val="5DFF05CD"/>
    <w:rsid w:val="5E0B6697"/>
    <w:rsid w:val="5E0D3904"/>
    <w:rsid w:val="5E142517"/>
    <w:rsid w:val="5E1672C2"/>
    <w:rsid w:val="5E1824D5"/>
    <w:rsid w:val="5E1B6033"/>
    <w:rsid w:val="5E2612F9"/>
    <w:rsid w:val="5E2A7510"/>
    <w:rsid w:val="5E371164"/>
    <w:rsid w:val="5E534129"/>
    <w:rsid w:val="5E552C80"/>
    <w:rsid w:val="5E5B1464"/>
    <w:rsid w:val="5E66797C"/>
    <w:rsid w:val="5E6E3C24"/>
    <w:rsid w:val="5E7214D7"/>
    <w:rsid w:val="5E7255BD"/>
    <w:rsid w:val="5E7326FA"/>
    <w:rsid w:val="5E733476"/>
    <w:rsid w:val="5E735B91"/>
    <w:rsid w:val="5E7B6C56"/>
    <w:rsid w:val="5E7E2E35"/>
    <w:rsid w:val="5E8E438D"/>
    <w:rsid w:val="5E914D18"/>
    <w:rsid w:val="5E937CCC"/>
    <w:rsid w:val="5EA02FC3"/>
    <w:rsid w:val="5EAA7B9D"/>
    <w:rsid w:val="5EAB7C2E"/>
    <w:rsid w:val="5EB153BA"/>
    <w:rsid w:val="5ECD4059"/>
    <w:rsid w:val="5EDF337C"/>
    <w:rsid w:val="5EE96D37"/>
    <w:rsid w:val="5EED30E4"/>
    <w:rsid w:val="5EF83794"/>
    <w:rsid w:val="5F0173CC"/>
    <w:rsid w:val="5F034EBA"/>
    <w:rsid w:val="5F0B68DA"/>
    <w:rsid w:val="5F1A1A93"/>
    <w:rsid w:val="5F212DE2"/>
    <w:rsid w:val="5F235930"/>
    <w:rsid w:val="5F287F7E"/>
    <w:rsid w:val="5F2F6AB7"/>
    <w:rsid w:val="5F446062"/>
    <w:rsid w:val="5F475677"/>
    <w:rsid w:val="5F484198"/>
    <w:rsid w:val="5F536822"/>
    <w:rsid w:val="5F567498"/>
    <w:rsid w:val="5F7702B1"/>
    <w:rsid w:val="5F781182"/>
    <w:rsid w:val="5F8420E2"/>
    <w:rsid w:val="5F887220"/>
    <w:rsid w:val="5F9022AB"/>
    <w:rsid w:val="5F930BDA"/>
    <w:rsid w:val="5FB24A51"/>
    <w:rsid w:val="5FB537C3"/>
    <w:rsid w:val="5FB81E56"/>
    <w:rsid w:val="5FC37153"/>
    <w:rsid w:val="5FD85FDC"/>
    <w:rsid w:val="5FE01773"/>
    <w:rsid w:val="5FE05279"/>
    <w:rsid w:val="5FE725FA"/>
    <w:rsid w:val="5FEB78D3"/>
    <w:rsid w:val="5FEC00EE"/>
    <w:rsid w:val="5FEE0B4C"/>
    <w:rsid w:val="5FF70F57"/>
    <w:rsid w:val="5FFE018B"/>
    <w:rsid w:val="600458FB"/>
    <w:rsid w:val="600951D4"/>
    <w:rsid w:val="6010358A"/>
    <w:rsid w:val="601A25EF"/>
    <w:rsid w:val="60250EC1"/>
    <w:rsid w:val="603748F7"/>
    <w:rsid w:val="603828CA"/>
    <w:rsid w:val="603E1F21"/>
    <w:rsid w:val="603E7832"/>
    <w:rsid w:val="6044067F"/>
    <w:rsid w:val="605204D7"/>
    <w:rsid w:val="60564383"/>
    <w:rsid w:val="605C6D51"/>
    <w:rsid w:val="607427E7"/>
    <w:rsid w:val="60770C49"/>
    <w:rsid w:val="60793AF7"/>
    <w:rsid w:val="608A5C4D"/>
    <w:rsid w:val="6099592B"/>
    <w:rsid w:val="60A13AB9"/>
    <w:rsid w:val="60A631B2"/>
    <w:rsid w:val="60A7744C"/>
    <w:rsid w:val="60B17DDD"/>
    <w:rsid w:val="60BA1541"/>
    <w:rsid w:val="60C603C2"/>
    <w:rsid w:val="60C708EF"/>
    <w:rsid w:val="60CF04AB"/>
    <w:rsid w:val="60D92A8E"/>
    <w:rsid w:val="60DB5486"/>
    <w:rsid w:val="60E82C1A"/>
    <w:rsid w:val="60EC0541"/>
    <w:rsid w:val="60EF513D"/>
    <w:rsid w:val="60F6028F"/>
    <w:rsid w:val="60F6757A"/>
    <w:rsid w:val="60FD245E"/>
    <w:rsid w:val="60FF2E22"/>
    <w:rsid w:val="61023605"/>
    <w:rsid w:val="61033EA8"/>
    <w:rsid w:val="61041F36"/>
    <w:rsid w:val="61051185"/>
    <w:rsid w:val="610A1613"/>
    <w:rsid w:val="610A73ED"/>
    <w:rsid w:val="6117702C"/>
    <w:rsid w:val="611A0FF5"/>
    <w:rsid w:val="61223823"/>
    <w:rsid w:val="61251167"/>
    <w:rsid w:val="61432D9E"/>
    <w:rsid w:val="61502C69"/>
    <w:rsid w:val="615F66C3"/>
    <w:rsid w:val="61656F66"/>
    <w:rsid w:val="61683AEB"/>
    <w:rsid w:val="616F07D0"/>
    <w:rsid w:val="61737A70"/>
    <w:rsid w:val="617D144B"/>
    <w:rsid w:val="61800A1A"/>
    <w:rsid w:val="61855138"/>
    <w:rsid w:val="618A70BC"/>
    <w:rsid w:val="618B76C7"/>
    <w:rsid w:val="61963F6D"/>
    <w:rsid w:val="619741DB"/>
    <w:rsid w:val="61A301DC"/>
    <w:rsid w:val="61BD1F9D"/>
    <w:rsid w:val="61D20D82"/>
    <w:rsid w:val="61D27428"/>
    <w:rsid w:val="61D45501"/>
    <w:rsid w:val="61E65901"/>
    <w:rsid w:val="61EA093B"/>
    <w:rsid w:val="61F010A8"/>
    <w:rsid w:val="61FD6D62"/>
    <w:rsid w:val="62024DB4"/>
    <w:rsid w:val="62066613"/>
    <w:rsid w:val="62117D72"/>
    <w:rsid w:val="621E7451"/>
    <w:rsid w:val="62210A89"/>
    <w:rsid w:val="62272822"/>
    <w:rsid w:val="62285DB7"/>
    <w:rsid w:val="62297B7B"/>
    <w:rsid w:val="6232347D"/>
    <w:rsid w:val="623613F4"/>
    <w:rsid w:val="62367ED8"/>
    <w:rsid w:val="625B00C9"/>
    <w:rsid w:val="625C73A7"/>
    <w:rsid w:val="62641203"/>
    <w:rsid w:val="626857C6"/>
    <w:rsid w:val="627407A6"/>
    <w:rsid w:val="62923991"/>
    <w:rsid w:val="62A34267"/>
    <w:rsid w:val="62B33CBB"/>
    <w:rsid w:val="62BB078B"/>
    <w:rsid w:val="62D03D75"/>
    <w:rsid w:val="62D114CF"/>
    <w:rsid w:val="62E8252C"/>
    <w:rsid w:val="62ED3B2B"/>
    <w:rsid w:val="62F20D03"/>
    <w:rsid w:val="62F26EC0"/>
    <w:rsid w:val="62F30534"/>
    <w:rsid w:val="62F75B83"/>
    <w:rsid w:val="62FA13EE"/>
    <w:rsid w:val="62FD65F4"/>
    <w:rsid w:val="63095375"/>
    <w:rsid w:val="630C6EA6"/>
    <w:rsid w:val="630E4188"/>
    <w:rsid w:val="63105958"/>
    <w:rsid w:val="6312135F"/>
    <w:rsid w:val="63130351"/>
    <w:rsid w:val="63133F4E"/>
    <w:rsid w:val="63152F31"/>
    <w:rsid w:val="63251180"/>
    <w:rsid w:val="632A3D0D"/>
    <w:rsid w:val="633443AB"/>
    <w:rsid w:val="634161B6"/>
    <w:rsid w:val="634924E6"/>
    <w:rsid w:val="636C2E24"/>
    <w:rsid w:val="637547C9"/>
    <w:rsid w:val="637675BB"/>
    <w:rsid w:val="638432DD"/>
    <w:rsid w:val="638857E1"/>
    <w:rsid w:val="63964A9A"/>
    <w:rsid w:val="63A06EA9"/>
    <w:rsid w:val="63A445C5"/>
    <w:rsid w:val="63A532DC"/>
    <w:rsid w:val="63AB78F4"/>
    <w:rsid w:val="63C642C7"/>
    <w:rsid w:val="63C85688"/>
    <w:rsid w:val="63CD5666"/>
    <w:rsid w:val="63D01EF3"/>
    <w:rsid w:val="63D2038C"/>
    <w:rsid w:val="63E631E1"/>
    <w:rsid w:val="63E72800"/>
    <w:rsid w:val="63F66CE6"/>
    <w:rsid w:val="63FB1652"/>
    <w:rsid w:val="63FC19C2"/>
    <w:rsid w:val="640E7E19"/>
    <w:rsid w:val="64354024"/>
    <w:rsid w:val="64477F3F"/>
    <w:rsid w:val="645B6CE6"/>
    <w:rsid w:val="646E7E14"/>
    <w:rsid w:val="64704A86"/>
    <w:rsid w:val="64745DFC"/>
    <w:rsid w:val="647527CB"/>
    <w:rsid w:val="648406BF"/>
    <w:rsid w:val="648A0F84"/>
    <w:rsid w:val="648E4974"/>
    <w:rsid w:val="648F4377"/>
    <w:rsid w:val="64903F50"/>
    <w:rsid w:val="649E65A7"/>
    <w:rsid w:val="64AE4937"/>
    <w:rsid w:val="64B70C4D"/>
    <w:rsid w:val="64C530D0"/>
    <w:rsid w:val="64C83E07"/>
    <w:rsid w:val="64C92A8D"/>
    <w:rsid w:val="64D14920"/>
    <w:rsid w:val="64D57E75"/>
    <w:rsid w:val="64DC22D2"/>
    <w:rsid w:val="64EA382F"/>
    <w:rsid w:val="64ED3306"/>
    <w:rsid w:val="64F169D9"/>
    <w:rsid w:val="64FD760F"/>
    <w:rsid w:val="6511603A"/>
    <w:rsid w:val="652341A9"/>
    <w:rsid w:val="652763A9"/>
    <w:rsid w:val="652C5296"/>
    <w:rsid w:val="65385A3C"/>
    <w:rsid w:val="653B0F51"/>
    <w:rsid w:val="65431C28"/>
    <w:rsid w:val="65434194"/>
    <w:rsid w:val="65477730"/>
    <w:rsid w:val="654912E0"/>
    <w:rsid w:val="655007CD"/>
    <w:rsid w:val="65586CFB"/>
    <w:rsid w:val="656A4332"/>
    <w:rsid w:val="656A7A0B"/>
    <w:rsid w:val="65715D8E"/>
    <w:rsid w:val="65733372"/>
    <w:rsid w:val="65740268"/>
    <w:rsid w:val="65744876"/>
    <w:rsid w:val="657845AE"/>
    <w:rsid w:val="657E28AD"/>
    <w:rsid w:val="658F60B1"/>
    <w:rsid w:val="659134F9"/>
    <w:rsid w:val="65921118"/>
    <w:rsid w:val="65991D3E"/>
    <w:rsid w:val="659E280B"/>
    <w:rsid w:val="65A74569"/>
    <w:rsid w:val="65A95292"/>
    <w:rsid w:val="65AD3212"/>
    <w:rsid w:val="65B74A52"/>
    <w:rsid w:val="65B87761"/>
    <w:rsid w:val="65BD55BD"/>
    <w:rsid w:val="65C1273E"/>
    <w:rsid w:val="65C53449"/>
    <w:rsid w:val="65DA55D1"/>
    <w:rsid w:val="65DE2CE3"/>
    <w:rsid w:val="65E72587"/>
    <w:rsid w:val="65E770A7"/>
    <w:rsid w:val="65EC108D"/>
    <w:rsid w:val="65ED2863"/>
    <w:rsid w:val="65EF3C61"/>
    <w:rsid w:val="65F27286"/>
    <w:rsid w:val="6602655A"/>
    <w:rsid w:val="66037BA1"/>
    <w:rsid w:val="660D45C7"/>
    <w:rsid w:val="660F64D0"/>
    <w:rsid w:val="661E771B"/>
    <w:rsid w:val="66280ABB"/>
    <w:rsid w:val="663639CE"/>
    <w:rsid w:val="663F71CA"/>
    <w:rsid w:val="66404155"/>
    <w:rsid w:val="66407C30"/>
    <w:rsid w:val="664404AE"/>
    <w:rsid w:val="66551A28"/>
    <w:rsid w:val="66596199"/>
    <w:rsid w:val="665B7005"/>
    <w:rsid w:val="66604912"/>
    <w:rsid w:val="666717B3"/>
    <w:rsid w:val="6668032B"/>
    <w:rsid w:val="66682D97"/>
    <w:rsid w:val="666A1991"/>
    <w:rsid w:val="667B3FDC"/>
    <w:rsid w:val="667C4290"/>
    <w:rsid w:val="667D66F8"/>
    <w:rsid w:val="668569A3"/>
    <w:rsid w:val="66870B30"/>
    <w:rsid w:val="668E196C"/>
    <w:rsid w:val="669B768B"/>
    <w:rsid w:val="669C13AC"/>
    <w:rsid w:val="669E6356"/>
    <w:rsid w:val="66A43EEA"/>
    <w:rsid w:val="66A87132"/>
    <w:rsid w:val="66B1624D"/>
    <w:rsid w:val="66BA55EF"/>
    <w:rsid w:val="66C95898"/>
    <w:rsid w:val="66D93700"/>
    <w:rsid w:val="66DC2CB9"/>
    <w:rsid w:val="66DF6FB7"/>
    <w:rsid w:val="66E926E6"/>
    <w:rsid w:val="66EB6EC9"/>
    <w:rsid w:val="66F8201A"/>
    <w:rsid w:val="66F83B86"/>
    <w:rsid w:val="66FF1E1B"/>
    <w:rsid w:val="671C5A04"/>
    <w:rsid w:val="6734528A"/>
    <w:rsid w:val="6737642C"/>
    <w:rsid w:val="673F01D2"/>
    <w:rsid w:val="674F7380"/>
    <w:rsid w:val="67565C53"/>
    <w:rsid w:val="675A23CB"/>
    <w:rsid w:val="675D3187"/>
    <w:rsid w:val="676552A7"/>
    <w:rsid w:val="676777C3"/>
    <w:rsid w:val="677636EA"/>
    <w:rsid w:val="677C64E5"/>
    <w:rsid w:val="677D4B8A"/>
    <w:rsid w:val="67802ACE"/>
    <w:rsid w:val="67804B33"/>
    <w:rsid w:val="6786306A"/>
    <w:rsid w:val="67863BBE"/>
    <w:rsid w:val="678C2364"/>
    <w:rsid w:val="67947D05"/>
    <w:rsid w:val="67A42B29"/>
    <w:rsid w:val="67AA4633"/>
    <w:rsid w:val="67AA7453"/>
    <w:rsid w:val="67B66D38"/>
    <w:rsid w:val="67C132E8"/>
    <w:rsid w:val="67C40A09"/>
    <w:rsid w:val="67D020A7"/>
    <w:rsid w:val="67D068B1"/>
    <w:rsid w:val="67D600B8"/>
    <w:rsid w:val="67E4087E"/>
    <w:rsid w:val="67E4191C"/>
    <w:rsid w:val="67ED3D94"/>
    <w:rsid w:val="67F32B1F"/>
    <w:rsid w:val="68055325"/>
    <w:rsid w:val="6821192D"/>
    <w:rsid w:val="68290986"/>
    <w:rsid w:val="682A50A4"/>
    <w:rsid w:val="68337E89"/>
    <w:rsid w:val="68337EE8"/>
    <w:rsid w:val="683A6C76"/>
    <w:rsid w:val="6842321A"/>
    <w:rsid w:val="684675EC"/>
    <w:rsid w:val="684E32EE"/>
    <w:rsid w:val="68556FC7"/>
    <w:rsid w:val="685C5B46"/>
    <w:rsid w:val="687B6BDA"/>
    <w:rsid w:val="688252AC"/>
    <w:rsid w:val="68886593"/>
    <w:rsid w:val="688C0656"/>
    <w:rsid w:val="689B166D"/>
    <w:rsid w:val="68A477EF"/>
    <w:rsid w:val="68AE1735"/>
    <w:rsid w:val="68B037E5"/>
    <w:rsid w:val="68B16F4B"/>
    <w:rsid w:val="68B44FF8"/>
    <w:rsid w:val="68B72950"/>
    <w:rsid w:val="68C71B3A"/>
    <w:rsid w:val="68D10AC8"/>
    <w:rsid w:val="68D60630"/>
    <w:rsid w:val="68E41866"/>
    <w:rsid w:val="68E467D0"/>
    <w:rsid w:val="68ED7332"/>
    <w:rsid w:val="68F640F6"/>
    <w:rsid w:val="68F8555D"/>
    <w:rsid w:val="69065A2E"/>
    <w:rsid w:val="69156DDB"/>
    <w:rsid w:val="691D712E"/>
    <w:rsid w:val="69214FE0"/>
    <w:rsid w:val="692E793B"/>
    <w:rsid w:val="69323486"/>
    <w:rsid w:val="694E3F49"/>
    <w:rsid w:val="695975E8"/>
    <w:rsid w:val="697E1E2B"/>
    <w:rsid w:val="697E7396"/>
    <w:rsid w:val="6983176F"/>
    <w:rsid w:val="69954EE1"/>
    <w:rsid w:val="69975871"/>
    <w:rsid w:val="69A009FE"/>
    <w:rsid w:val="69A729C5"/>
    <w:rsid w:val="69B57C9F"/>
    <w:rsid w:val="69BF206E"/>
    <w:rsid w:val="69C02956"/>
    <w:rsid w:val="69C308D8"/>
    <w:rsid w:val="69CA255F"/>
    <w:rsid w:val="69CA755B"/>
    <w:rsid w:val="69CD3B8D"/>
    <w:rsid w:val="69D10E05"/>
    <w:rsid w:val="69DC0244"/>
    <w:rsid w:val="69DD232A"/>
    <w:rsid w:val="69E45CA2"/>
    <w:rsid w:val="69E46DF1"/>
    <w:rsid w:val="69E8174D"/>
    <w:rsid w:val="69EB7655"/>
    <w:rsid w:val="69EC54F9"/>
    <w:rsid w:val="69F66247"/>
    <w:rsid w:val="69F86AAF"/>
    <w:rsid w:val="69FB7ED3"/>
    <w:rsid w:val="6A075496"/>
    <w:rsid w:val="6A09023E"/>
    <w:rsid w:val="6A1F6154"/>
    <w:rsid w:val="6A2746CC"/>
    <w:rsid w:val="6A2C2E83"/>
    <w:rsid w:val="6A322BA7"/>
    <w:rsid w:val="6A332D95"/>
    <w:rsid w:val="6A343650"/>
    <w:rsid w:val="6A413EDC"/>
    <w:rsid w:val="6A462D7B"/>
    <w:rsid w:val="6A4F7CF0"/>
    <w:rsid w:val="6A5517EC"/>
    <w:rsid w:val="6A597A40"/>
    <w:rsid w:val="6A5C442C"/>
    <w:rsid w:val="6A694BA1"/>
    <w:rsid w:val="6A734205"/>
    <w:rsid w:val="6A8136F0"/>
    <w:rsid w:val="6AA864FE"/>
    <w:rsid w:val="6AB51195"/>
    <w:rsid w:val="6ABC3292"/>
    <w:rsid w:val="6ABE6911"/>
    <w:rsid w:val="6AC04F0B"/>
    <w:rsid w:val="6AD34458"/>
    <w:rsid w:val="6ADC4801"/>
    <w:rsid w:val="6ADF25FC"/>
    <w:rsid w:val="6AE10DD5"/>
    <w:rsid w:val="6AE52674"/>
    <w:rsid w:val="6AEA2AAE"/>
    <w:rsid w:val="6AF179D8"/>
    <w:rsid w:val="6AF9720B"/>
    <w:rsid w:val="6AFA1E66"/>
    <w:rsid w:val="6AFF22DC"/>
    <w:rsid w:val="6B020CD0"/>
    <w:rsid w:val="6B0B4870"/>
    <w:rsid w:val="6B0C1AB9"/>
    <w:rsid w:val="6B113ADC"/>
    <w:rsid w:val="6B1148AC"/>
    <w:rsid w:val="6B2E0190"/>
    <w:rsid w:val="6B3E0351"/>
    <w:rsid w:val="6B406A48"/>
    <w:rsid w:val="6B42449D"/>
    <w:rsid w:val="6B4328E0"/>
    <w:rsid w:val="6B4A5562"/>
    <w:rsid w:val="6B4F2299"/>
    <w:rsid w:val="6B565807"/>
    <w:rsid w:val="6B7A369F"/>
    <w:rsid w:val="6B850A65"/>
    <w:rsid w:val="6B915D63"/>
    <w:rsid w:val="6B942656"/>
    <w:rsid w:val="6BAC2823"/>
    <w:rsid w:val="6BB20639"/>
    <w:rsid w:val="6BB34D7C"/>
    <w:rsid w:val="6BBB682B"/>
    <w:rsid w:val="6BBD5024"/>
    <w:rsid w:val="6BC36DAA"/>
    <w:rsid w:val="6BCE076A"/>
    <w:rsid w:val="6BEB455F"/>
    <w:rsid w:val="6BF37DF1"/>
    <w:rsid w:val="6BFA3189"/>
    <w:rsid w:val="6C0B4C1B"/>
    <w:rsid w:val="6C3134C7"/>
    <w:rsid w:val="6C3468D1"/>
    <w:rsid w:val="6C3F14DF"/>
    <w:rsid w:val="6C5301A8"/>
    <w:rsid w:val="6C546532"/>
    <w:rsid w:val="6C5B75B1"/>
    <w:rsid w:val="6C630CE9"/>
    <w:rsid w:val="6C6F4D84"/>
    <w:rsid w:val="6C881AA0"/>
    <w:rsid w:val="6C8A28F0"/>
    <w:rsid w:val="6C914CAA"/>
    <w:rsid w:val="6C9A6912"/>
    <w:rsid w:val="6CBA67E7"/>
    <w:rsid w:val="6CC17B62"/>
    <w:rsid w:val="6CD527BF"/>
    <w:rsid w:val="6CE1466B"/>
    <w:rsid w:val="6CE77D69"/>
    <w:rsid w:val="6CEC0F34"/>
    <w:rsid w:val="6CEF01FA"/>
    <w:rsid w:val="6CF57703"/>
    <w:rsid w:val="6CF73CA4"/>
    <w:rsid w:val="6CFF3405"/>
    <w:rsid w:val="6D005FF7"/>
    <w:rsid w:val="6D05105B"/>
    <w:rsid w:val="6D055E78"/>
    <w:rsid w:val="6D0E5E7F"/>
    <w:rsid w:val="6D163A93"/>
    <w:rsid w:val="6D1D68D4"/>
    <w:rsid w:val="6D207FCD"/>
    <w:rsid w:val="6D280C36"/>
    <w:rsid w:val="6D286C4C"/>
    <w:rsid w:val="6D2B534E"/>
    <w:rsid w:val="6D2B5B01"/>
    <w:rsid w:val="6D346C75"/>
    <w:rsid w:val="6D381497"/>
    <w:rsid w:val="6D415969"/>
    <w:rsid w:val="6D4F3914"/>
    <w:rsid w:val="6D4F6565"/>
    <w:rsid w:val="6D627444"/>
    <w:rsid w:val="6D6A2DB3"/>
    <w:rsid w:val="6D6A69AA"/>
    <w:rsid w:val="6D79127B"/>
    <w:rsid w:val="6D7A53AB"/>
    <w:rsid w:val="6D7C5A61"/>
    <w:rsid w:val="6D832281"/>
    <w:rsid w:val="6DA910BB"/>
    <w:rsid w:val="6DB6586E"/>
    <w:rsid w:val="6DC237AE"/>
    <w:rsid w:val="6DC44C42"/>
    <w:rsid w:val="6DF51872"/>
    <w:rsid w:val="6DF91502"/>
    <w:rsid w:val="6E00321F"/>
    <w:rsid w:val="6E01482E"/>
    <w:rsid w:val="6E0D1941"/>
    <w:rsid w:val="6E167F8D"/>
    <w:rsid w:val="6E180F6D"/>
    <w:rsid w:val="6E18292B"/>
    <w:rsid w:val="6E184051"/>
    <w:rsid w:val="6E2013CD"/>
    <w:rsid w:val="6E3C32A1"/>
    <w:rsid w:val="6E3D395A"/>
    <w:rsid w:val="6E402C35"/>
    <w:rsid w:val="6E403BCF"/>
    <w:rsid w:val="6E424CF7"/>
    <w:rsid w:val="6E4A3364"/>
    <w:rsid w:val="6E602F98"/>
    <w:rsid w:val="6E60402A"/>
    <w:rsid w:val="6E806422"/>
    <w:rsid w:val="6E947F8E"/>
    <w:rsid w:val="6E96703D"/>
    <w:rsid w:val="6E984122"/>
    <w:rsid w:val="6EB36C08"/>
    <w:rsid w:val="6EBF4EC0"/>
    <w:rsid w:val="6EC4761A"/>
    <w:rsid w:val="6ED26905"/>
    <w:rsid w:val="6EE20566"/>
    <w:rsid w:val="6EEB6DD8"/>
    <w:rsid w:val="6EF513F6"/>
    <w:rsid w:val="6EFF1B3D"/>
    <w:rsid w:val="6F072EA4"/>
    <w:rsid w:val="6F082262"/>
    <w:rsid w:val="6F166BCE"/>
    <w:rsid w:val="6F1D0027"/>
    <w:rsid w:val="6F1F0771"/>
    <w:rsid w:val="6F213E96"/>
    <w:rsid w:val="6F3669E2"/>
    <w:rsid w:val="6F3A0437"/>
    <w:rsid w:val="6F452492"/>
    <w:rsid w:val="6F4B64FF"/>
    <w:rsid w:val="6F4E1ABB"/>
    <w:rsid w:val="6F4F3F62"/>
    <w:rsid w:val="6F516A80"/>
    <w:rsid w:val="6F5D7B1A"/>
    <w:rsid w:val="6F65489B"/>
    <w:rsid w:val="6F6F66FF"/>
    <w:rsid w:val="6F7227E7"/>
    <w:rsid w:val="6F845AD0"/>
    <w:rsid w:val="6F86274A"/>
    <w:rsid w:val="6F886A39"/>
    <w:rsid w:val="6F8A6B50"/>
    <w:rsid w:val="6F912B01"/>
    <w:rsid w:val="6F9220CD"/>
    <w:rsid w:val="6F9E4E98"/>
    <w:rsid w:val="6FB536E7"/>
    <w:rsid w:val="6FB71539"/>
    <w:rsid w:val="6FC169C6"/>
    <w:rsid w:val="6FCA53BB"/>
    <w:rsid w:val="6FF14EA5"/>
    <w:rsid w:val="6FF85533"/>
    <w:rsid w:val="6FFF0429"/>
    <w:rsid w:val="700148B1"/>
    <w:rsid w:val="700708F2"/>
    <w:rsid w:val="700A66D9"/>
    <w:rsid w:val="701637CE"/>
    <w:rsid w:val="70192A9F"/>
    <w:rsid w:val="70262445"/>
    <w:rsid w:val="70273374"/>
    <w:rsid w:val="703F584B"/>
    <w:rsid w:val="7047182A"/>
    <w:rsid w:val="70543B0A"/>
    <w:rsid w:val="7055204A"/>
    <w:rsid w:val="70575662"/>
    <w:rsid w:val="706253F0"/>
    <w:rsid w:val="7068342F"/>
    <w:rsid w:val="706A0189"/>
    <w:rsid w:val="70760EC7"/>
    <w:rsid w:val="70781894"/>
    <w:rsid w:val="70796EB7"/>
    <w:rsid w:val="70797157"/>
    <w:rsid w:val="708005A2"/>
    <w:rsid w:val="70891E2B"/>
    <w:rsid w:val="70897A19"/>
    <w:rsid w:val="709304FC"/>
    <w:rsid w:val="70973AB5"/>
    <w:rsid w:val="709E0129"/>
    <w:rsid w:val="709F3AFD"/>
    <w:rsid w:val="70A62D02"/>
    <w:rsid w:val="70A72179"/>
    <w:rsid w:val="70B21D55"/>
    <w:rsid w:val="70BA4068"/>
    <w:rsid w:val="70BF3F5E"/>
    <w:rsid w:val="70CE669E"/>
    <w:rsid w:val="70D52876"/>
    <w:rsid w:val="70D77F1A"/>
    <w:rsid w:val="70D80040"/>
    <w:rsid w:val="70E96559"/>
    <w:rsid w:val="70EF7C7F"/>
    <w:rsid w:val="70F06D61"/>
    <w:rsid w:val="70F36F46"/>
    <w:rsid w:val="70FC142B"/>
    <w:rsid w:val="71101175"/>
    <w:rsid w:val="711772FF"/>
    <w:rsid w:val="71231B23"/>
    <w:rsid w:val="712B610E"/>
    <w:rsid w:val="713356F6"/>
    <w:rsid w:val="71343C14"/>
    <w:rsid w:val="713B214A"/>
    <w:rsid w:val="7141612A"/>
    <w:rsid w:val="714633CE"/>
    <w:rsid w:val="714C195A"/>
    <w:rsid w:val="7152515F"/>
    <w:rsid w:val="716241B1"/>
    <w:rsid w:val="716E1428"/>
    <w:rsid w:val="7178159F"/>
    <w:rsid w:val="718621EE"/>
    <w:rsid w:val="71894FD2"/>
    <w:rsid w:val="71945FD7"/>
    <w:rsid w:val="71A3311F"/>
    <w:rsid w:val="71A85ACD"/>
    <w:rsid w:val="71AA4E1C"/>
    <w:rsid w:val="71BC37EE"/>
    <w:rsid w:val="71C63066"/>
    <w:rsid w:val="71CD7430"/>
    <w:rsid w:val="71D10874"/>
    <w:rsid w:val="71DB73DA"/>
    <w:rsid w:val="71F8619A"/>
    <w:rsid w:val="72005730"/>
    <w:rsid w:val="72151FB6"/>
    <w:rsid w:val="72166A04"/>
    <w:rsid w:val="72280301"/>
    <w:rsid w:val="7231753D"/>
    <w:rsid w:val="72386C6E"/>
    <w:rsid w:val="723A3057"/>
    <w:rsid w:val="72400885"/>
    <w:rsid w:val="724265FE"/>
    <w:rsid w:val="72465A60"/>
    <w:rsid w:val="724B6026"/>
    <w:rsid w:val="725273EA"/>
    <w:rsid w:val="72556DF9"/>
    <w:rsid w:val="725B1897"/>
    <w:rsid w:val="725F5B3C"/>
    <w:rsid w:val="72603689"/>
    <w:rsid w:val="726C47BC"/>
    <w:rsid w:val="72A62723"/>
    <w:rsid w:val="72CD2240"/>
    <w:rsid w:val="72DC19E2"/>
    <w:rsid w:val="72DC648D"/>
    <w:rsid w:val="72E420AF"/>
    <w:rsid w:val="72E520AE"/>
    <w:rsid w:val="72E530D5"/>
    <w:rsid w:val="72EC4E12"/>
    <w:rsid w:val="72ED6A5A"/>
    <w:rsid w:val="72EF2AE7"/>
    <w:rsid w:val="72FF61AC"/>
    <w:rsid w:val="730C5500"/>
    <w:rsid w:val="73154E96"/>
    <w:rsid w:val="731A76ED"/>
    <w:rsid w:val="73373DED"/>
    <w:rsid w:val="73391B68"/>
    <w:rsid w:val="733B2119"/>
    <w:rsid w:val="733F7A24"/>
    <w:rsid w:val="73476570"/>
    <w:rsid w:val="735C44F0"/>
    <w:rsid w:val="736A01CD"/>
    <w:rsid w:val="736B4D35"/>
    <w:rsid w:val="737010AC"/>
    <w:rsid w:val="73741988"/>
    <w:rsid w:val="73742A01"/>
    <w:rsid w:val="73814929"/>
    <w:rsid w:val="73897516"/>
    <w:rsid w:val="7391289C"/>
    <w:rsid w:val="7393399F"/>
    <w:rsid w:val="73984022"/>
    <w:rsid w:val="73A86934"/>
    <w:rsid w:val="73C11347"/>
    <w:rsid w:val="73D3578F"/>
    <w:rsid w:val="73D6081B"/>
    <w:rsid w:val="73E2421D"/>
    <w:rsid w:val="73F540E5"/>
    <w:rsid w:val="73FB697B"/>
    <w:rsid w:val="74000D97"/>
    <w:rsid w:val="742D3750"/>
    <w:rsid w:val="742E198E"/>
    <w:rsid w:val="74310474"/>
    <w:rsid w:val="74327764"/>
    <w:rsid w:val="7440091B"/>
    <w:rsid w:val="74453EF6"/>
    <w:rsid w:val="74476A96"/>
    <w:rsid w:val="745D095D"/>
    <w:rsid w:val="74694C3B"/>
    <w:rsid w:val="746A6AAD"/>
    <w:rsid w:val="746D246B"/>
    <w:rsid w:val="747141DE"/>
    <w:rsid w:val="747243FB"/>
    <w:rsid w:val="747514C0"/>
    <w:rsid w:val="747A4FBC"/>
    <w:rsid w:val="74892BF9"/>
    <w:rsid w:val="748B466B"/>
    <w:rsid w:val="749546B9"/>
    <w:rsid w:val="749D642B"/>
    <w:rsid w:val="749F7FAA"/>
    <w:rsid w:val="74AB501C"/>
    <w:rsid w:val="74BC2AB0"/>
    <w:rsid w:val="74C57597"/>
    <w:rsid w:val="74CC4EFB"/>
    <w:rsid w:val="74D469D0"/>
    <w:rsid w:val="74D613EF"/>
    <w:rsid w:val="74D94903"/>
    <w:rsid w:val="74DB1F70"/>
    <w:rsid w:val="74DC5FAF"/>
    <w:rsid w:val="74DC7834"/>
    <w:rsid w:val="74E271F1"/>
    <w:rsid w:val="74E91633"/>
    <w:rsid w:val="74F914E4"/>
    <w:rsid w:val="75142CC5"/>
    <w:rsid w:val="75197F39"/>
    <w:rsid w:val="751D6EAE"/>
    <w:rsid w:val="75326EC3"/>
    <w:rsid w:val="753C6597"/>
    <w:rsid w:val="754D60F6"/>
    <w:rsid w:val="754E7067"/>
    <w:rsid w:val="7551327B"/>
    <w:rsid w:val="7556240C"/>
    <w:rsid w:val="755D51F1"/>
    <w:rsid w:val="755E0C01"/>
    <w:rsid w:val="755F3E02"/>
    <w:rsid w:val="755F782E"/>
    <w:rsid w:val="756B19C7"/>
    <w:rsid w:val="75853AA3"/>
    <w:rsid w:val="75A16A9F"/>
    <w:rsid w:val="75B23A9A"/>
    <w:rsid w:val="75BC6CCF"/>
    <w:rsid w:val="75BD46DB"/>
    <w:rsid w:val="75D636FA"/>
    <w:rsid w:val="75E13D0F"/>
    <w:rsid w:val="75E21966"/>
    <w:rsid w:val="75E27D49"/>
    <w:rsid w:val="75FC4F46"/>
    <w:rsid w:val="75FE7567"/>
    <w:rsid w:val="76014401"/>
    <w:rsid w:val="760349F1"/>
    <w:rsid w:val="76064D85"/>
    <w:rsid w:val="76082898"/>
    <w:rsid w:val="76146FB3"/>
    <w:rsid w:val="761867BE"/>
    <w:rsid w:val="762C571B"/>
    <w:rsid w:val="763539A1"/>
    <w:rsid w:val="76365AD0"/>
    <w:rsid w:val="763E44C0"/>
    <w:rsid w:val="76433653"/>
    <w:rsid w:val="7648216B"/>
    <w:rsid w:val="76504BDA"/>
    <w:rsid w:val="765D57EA"/>
    <w:rsid w:val="765F28C5"/>
    <w:rsid w:val="766301EB"/>
    <w:rsid w:val="767B28C1"/>
    <w:rsid w:val="767C6301"/>
    <w:rsid w:val="7688585F"/>
    <w:rsid w:val="76933A35"/>
    <w:rsid w:val="769E1EF1"/>
    <w:rsid w:val="76B14CE2"/>
    <w:rsid w:val="76BE3027"/>
    <w:rsid w:val="76C70211"/>
    <w:rsid w:val="76C76782"/>
    <w:rsid w:val="76CA616D"/>
    <w:rsid w:val="76DF0E9A"/>
    <w:rsid w:val="76E2778E"/>
    <w:rsid w:val="76F54CF0"/>
    <w:rsid w:val="76FD5906"/>
    <w:rsid w:val="77072866"/>
    <w:rsid w:val="770B684E"/>
    <w:rsid w:val="770E10B7"/>
    <w:rsid w:val="771317F9"/>
    <w:rsid w:val="771D50F3"/>
    <w:rsid w:val="771F1990"/>
    <w:rsid w:val="77204CB1"/>
    <w:rsid w:val="77257C7E"/>
    <w:rsid w:val="77323FC7"/>
    <w:rsid w:val="77432F5D"/>
    <w:rsid w:val="77533F58"/>
    <w:rsid w:val="77676DD8"/>
    <w:rsid w:val="776D12D7"/>
    <w:rsid w:val="77740388"/>
    <w:rsid w:val="777B67A9"/>
    <w:rsid w:val="777C1603"/>
    <w:rsid w:val="779D0F33"/>
    <w:rsid w:val="77A14CDE"/>
    <w:rsid w:val="77AA2F7D"/>
    <w:rsid w:val="77AB345F"/>
    <w:rsid w:val="77C96BD3"/>
    <w:rsid w:val="77D60033"/>
    <w:rsid w:val="77D800C3"/>
    <w:rsid w:val="77F547E0"/>
    <w:rsid w:val="78025DDA"/>
    <w:rsid w:val="780D43D4"/>
    <w:rsid w:val="780E3AB7"/>
    <w:rsid w:val="780F311B"/>
    <w:rsid w:val="78101405"/>
    <w:rsid w:val="78222A54"/>
    <w:rsid w:val="78266CE5"/>
    <w:rsid w:val="7827421F"/>
    <w:rsid w:val="782B4A23"/>
    <w:rsid w:val="782F340C"/>
    <w:rsid w:val="78302F8F"/>
    <w:rsid w:val="784117AB"/>
    <w:rsid w:val="78490E55"/>
    <w:rsid w:val="78505028"/>
    <w:rsid w:val="78510397"/>
    <w:rsid w:val="78542CE7"/>
    <w:rsid w:val="78552936"/>
    <w:rsid w:val="786077DD"/>
    <w:rsid w:val="787027D3"/>
    <w:rsid w:val="78731F0E"/>
    <w:rsid w:val="78754CBA"/>
    <w:rsid w:val="78810097"/>
    <w:rsid w:val="78962FA5"/>
    <w:rsid w:val="78A43903"/>
    <w:rsid w:val="78C148AC"/>
    <w:rsid w:val="78C14C6B"/>
    <w:rsid w:val="78CA1FEE"/>
    <w:rsid w:val="78CB3FEB"/>
    <w:rsid w:val="78EA7678"/>
    <w:rsid w:val="78FA0163"/>
    <w:rsid w:val="79172085"/>
    <w:rsid w:val="79350C68"/>
    <w:rsid w:val="793B5CE2"/>
    <w:rsid w:val="793F0BBB"/>
    <w:rsid w:val="79497FDF"/>
    <w:rsid w:val="795C411F"/>
    <w:rsid w:val="7963027F"/>
    <w:rsid w:val="79653632"/>
    <w:rsid w:val="7966323A"/>
    <w:rsid w:val="796834B3"/>
    <w:rsid w:val="7976689D"/>
    <w:rsid w:val="797B3C8A"/>
    <w:rsid w:val="797F45FC"/>
    <w:rsid w:val="79830942"/>
    <w:rsid w:val="79830C32"/>
    <w:rsid w:val="798C63B0"/>
    <w:rsid w:val="79954009"/>
    <w:rsid w:val="79970647"/>
    <w:rsid w:val="799F56C8"/>
    <w:rsid w:val="79A11C25"/>
    <w:rsid w:val="79B847D4"/>
    <w:rsid w:val="79BB6814"/>
    <w:rsid w:val="79C2135E"/>
    <w:rsid w:val="79D02485"/>
    <w:rsid w:val="79D21264"/>
    <w:rsid w:val="79D9682C"/>
    <w:rsid w:val="79D97847"/>
    <w:rsid w:val="79DB75C0"/>
    <w:rsid w:val="79E04E3B"/>
    <w:rsid w:val="79E37881"/>
    <w:rsid w:val="79E4486C"/>
    <w:rsid w:val="79EA2E0E"/>
    <w:rsid w:val="79ED08FA"/>
    <w:rsid w:val="79ED4130"/>
    <w:rsid w:val="79EF1BB0"/>
    <w:rsid w:val="79F501D1"/>
    <w:rsid w:val="79FB183D"/>
    <w:rsid w:val="79FC00C4"/>
    <w:rsid w:val="7A0357B9"/>
    <w:rsid w:val="7A067AFA"/>
    <w:rsid w:val="7A0C585A"/>
    <w:rsid w:val="7A2578FD"/>
    <w:rsid w:val="7A270B13"/>
    <w:rsid w:val="7A2C7450"/>
    <w:rsid w:val="7A326B5A"/>
    <w:rsid w:val="7A421B4B"/>
    <w:rsid w:val="7A535A35"/>
    <w:rsid w:val="7A553725"/>
    <w:rsid w:val="7A604F43"/>
    <w:rsid w:val="7A616D0A"/>
    <w:rsid w:val="7A6441F7"/>
    <w:rsid w:val="7A654189"/>
    <w:rsid w:val="7A685D11"/>
    <w:rsid w:val="7A7176CB"/>
    <w:rsid w:val="7A783A23"/>
    <w:rsid w:val="7A7F2C76"/>
    <w:rsid w:val="7A857E4C"/>
    <w:rsid w:val="7A92497D"/>
    <w:rsid w:val="7A943122"/>
    <w:rsid w:val="7AAC462A"/>
    <w:rsid w:val="7AC0691C"/>
    <w:rsid w:val="7ACA3E4C"/>
    <w:rsid w:val="7AD14E20"/>
    <w:rsid w:val="7AD215D8"/>
    <w:rsid w:val="7AD5123A"/>
    <w:rsid w:val="7AD85F47"/>
    <w:rsid w:val="7AEF233F"/>
    <w:rsid w:val="7AF21FDC"/>
    <w:rsid w:val="7AF84FA0"/>
    <w:rsid w:val="7AF909C6"/>
    <w:rsid w:val="7B1062CD"/>
    <w:rsid w:val="7B122202"/>
    <w:rsid w:val="7B1F3681"/>
    <w:rsid w:val="7B242993"/>
    <w:rsid w:val="7B276391"/>
    <w:rsid w:val="7B2A4756"/>
    <w:rsid w:val="7B355A1E"/>
    <w:rsid w:val="7B37756F"/>
    <w:rsid w:val="7B605F96"/>
    <w:rsid w:val="7B6F1BD0"/>
    <w:rsid w:val="7B732126"/>
    <w:rsid w:val="7B755C15"/>
    <w:rsid w:val="7B7B20CE"/>
    <w:rsid w:val="7B8E1216"/>
    <w:rsid w:val="7B9A1345"/>
    <w:rsid w:val="7B9F4805"/>
    <w:rsid w:val="7BA226FD"/>
    <w:rsid w:val="7BA8314F"/>
    <w:rsid w:val="7BB20B69"/>
    <w:rsid w:val="7BB21980"/>
    <w:rsid w:val="7BB819E3"/>
    <w:rsid w:val="7BBA6345"/>
    <w:rsid w:val="7BC202AA"/>
    <w:rsid w:val="7BC42FFE"/>
    <w:rsid w:val="7BC51755"/>
    <w:rsid w:val="7BC67AB6"/>
    <w:rsid w:val="7BCA6C86"/>
    <w:rsid w:val="7BF4232A"/>
    <w:rsid w:val="7BFA4E58"/>
    <w:rsid w:val="7BFA6408"/>
    <w:rsid w:val="7C044DA1"/>
    <w:rsid w:val="7C0463C4"/>
    <w:rsid w:val="7C0B3159"/>
    <w:rsid w:val="7C132D64"/>
    <w:rsid w:val="7C15047E"/>
    <w:rsid w:val="7C2114E4"/>
    <w:rsid w:val="7C254AFA"/>
    <w:rsid w:val="7C2B125A"/>
    <w:rsid w:val="7C2C069A"/>
    <w:rsid w:val="7C3447C3"/>
    <w:rsid w:val="7C397A50"/>
    <w:rsid w:val="7C3F76F0"/>
    <w:rsid w:val="7C49752F"/>
    <w:rsid w:val="7C5C650E"/>
    <w:rsid w:val="7C80478C"/>
    <w:rsid w:val="7C8E36E4"/>
    <w:rsid w:val="7C94689B"/>
    <w:rsid w:val="7C95557C"/>
    <w:rsid w:val="7C97215C"/>
    <w:rsid w:val="7C9C690A"/>
    <w:rsid w:val="7CA32B21"/>
    <w:rsid w:val="7CA33449"/>
    <w:rsid w:val="7CA45FF7"/>
    <w:rsid w:val="7CA66EE7"/>
    <w:rsid w:val="7CB225D2"/>
    <w:rsid w:val="7CB974A3"/>
    <w:rsid w:val="7CC93ECA"/>
    <w:rsid w:val="7CD54F19"/>
    <w:rsid w:val="7CE0350C"/>
    <w:rsid w:val="7CE50319"/>
    <w:rsid w:val="7CE706E3"/>
    <w:rsid w:val="7CEE2495"/>
    <w:rsid w:val="7CEF130D"/>
    <w:rsid w:val="7CF56B03"/>
    <w:rsid w:val="7D033C4C"/>
    <w:rsid w:val="7D0A0BA4"/>
    <w:rsid w:val="7D107AF3"/>
    <w:rsid w:val="7D225061"/>
    <w:rsid w:val="7D28386F"/>
    <w:rsid w:val="7D4253C7"/>
    <w:rsid w:val="7D491943"/>
    <w:rsid w:val="7D4C5341"/>
    <w:rsid w:val="7D4E5EE6"/>
    <w:rsid w:val="7D590617"/>
    <w:rsid w:val="7D800310"/>
    <w:rsid w:val="7D8901AD"/>
    <w:rsid w:val="7D8C2E23"/>
    <w:rsid w:val="7D8E577D"/>
    <w:rsid w:val="7D8F2C22"/>
    <w:rsid w:val="7D90536C"/>
    <w:rsid w:val="7D9A426A"/>
    <w:rsid w:val="7D9A7FCD"/>
    <w:rsid w:val="7DA4606C"/>
    <w:rsid w:val="7DBB121B"/>
    <w:rsid w:val="7DC2420B"/>
    <w:rsid w:val="7DC56E88"/>
    <w:rsid w:val="7DC60CA0"/>
    <w:rsid w:val="7DD17FD1"/>
    <w:rsid w:val="7DD84219"/>
    <w:rsid w:val="7DE70AC3"/>
    <w:rsid w:val="7DEE4A57"/>
    <w:rsid w:val="7DF245FC"/>
    <w:rsid w:val="7DF477DF"/>
    <w:rsid w:val="7DFA5FDE"/>
    <w:rsid w:val="7DFC1106"/>
    <w:rsid w:val="7E006F08"/>
    <w:rsid w:val="7E215319"/>
    <w:rsid w:val="7E2B263C"/>
    <w:rsid w:val="7E3101B4"/>
    <w:rsid w:val="7E3172CD"/>
    <w:rsid w:val="7E333E03"/>
    <w:rsid w:val="7E391FE6"/>
    <w:rsid w:val="7E451919"/>
    <w:rsid w:val="7E4D1B3B"/>
    <w:rsid w:val="7E582FBA"/>
    <w:rsid w:val="7E6A45C7"/>
    <w:rsid w:val="7E750D96"/>
    <w:rsid w:val="7E841A66"/>
    <w:rsid w:val="7E916762"/>
    <w:rsid w:val="7E9637B2"/>
    <w:rsid w:val="7EA475C0"/>
    <w:rsid w:val="7EA916FD"/>
    <w:rsid w:val="7ECB1729"/>
    <w:rsid w:val="7ED011E0"/>
    <w:rsid w:val="7EE01EAE"/>
    <w:rsid w:val="7EE53C64"/>
    <w:rsid w:val="7EEA29E2"/>
    <w:rsid w:val="7F05422B"/>
    <w:rsid w:val="7F524880"/>
    <w:rsid w:val="7F541580"/>
    <w:rsid w:val="7F543A35"/>
    <w:rsid w:val="7F590594"/>
    <w:rsid w:val="7F6044B6"/>
    <w:rsid w:val="7F667225"/>
    <w:rsid w:val="7F795863"/>
    <w:rsid w:val="7F844A6E"/>
    <w:rsid w:val="7FA04178"/>
    <w:rsid w:val="7FA27C81"/>
    <w:rsid w:val="7FAA1C29"/>
    <w:rsid w:val="7FAC4830"/>
    <w:rsid w:val="7FB659E5"/>
    <w:rsid w:val="7FB7407D"/>
    <w:rsid w:val="7FD60FCA"/>
    <w:rsid w:val="7FE00A91"/>
    <w:rsid w:val="7FE760BD"/>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customStyle="1" w:styleId="8">
    <w:name w:val="Default"/>
    <w:next w:val="9"/>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
    <w:name w:val="表格文字"/>
    <w:basedOn w:val="1"/>
    <w:qFormat/>
    <w:uiPriority w:val="0"/>
    <w:pPr>
      <w:adjustRightInd w:val="0"/>
      <w:spacing w:line="420" w:lineRule="atLeast"/>
      <w:jc w:val="left"/>
      <w:textAlignment w:val="baseline"/>
    </w:pPr>
    <w:rPr>
      <w:kern w:val="0"/>
      <w:szCs w:val="20"/>
    </w:rPr>
  </w:style>
  <w:style w:type="paragraph" w:styleId="10">
    <w:name w:val="Body Text Indent"/>
    <w:basedOn w:val="1"/>
    <w:next w:val="11"/>
    <w:qFormat/>
    <w:uiPriority w:val="0"/>
    <w:pPr>
      <w:spacing w:after="120" w:afterLines="0"/>
      <w:ind w:left="420" w:leftChars="200"/>
    </w:pPr>
  </w:style>
  <w:style w:type="paragraph" w:styleId="11">
    <w:name w:val="envelope return"/>
    <w:basedOn w:val="1"/>
    <w:qFormat/>
    <w:uiPriority w:val="0"/>
    <w:pPr>
      <w:snapToGrid w:val="0"/>
    </w:pPr>
    <w:rPr>
      <w:rFonts w:ascii="Arial" w:hAnsi="Arial" w:eastAsia="宋体" w:cs="Times New Roman"/>
    </w:r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next w:val="1"/>
    <w:qFormat/>
    <w:uiPriority w:val="0"/>
    <w:pPr>
      <w:ind w:firstLine="420" w:firstLineChars="100"/>
    </w:pPr>
  </w:style>
  <w:style w:type="paragraph" w:styleId="18">
    <w:name w:val="Body Text First Indent 2"/>
    <w:basedOn w:val="10"/>
    <w:next w:val="1"/>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character" w:customStyle="1" w:styleId="32">
    <w:name w:val="font121"/>
    <w:basedOn w:val="21"/>
    <w:qFormat/>
    <w:uiPriority w:val="0"/>
    <w:rPr>
      <w:rFonts w:ascii="MS Gothic" w:hAnsi="MS Gothic" w:eastAsia="MS Gothic" w:cs="MS Gothic"/>
      <w:color w:val="000000"/>
      <w:sz w:val="28"/>
      <w:szCs w:val="28"/>
      <w:u w:val="none"/>
    </w:rPr>
  </w:style>
  <w:style w:type="character" w:customStyle="1" w:styleId="33">
    <w:name w:val="font101"/>
    <w:basedOn w:val="21"/>
    <w:qFormat/>
    <w:uiPriority w:val="0"/>
    <w:rPr>
      <w:rFonts w:hint="default" w:ascii="Arial" w:hAnsi="Arial" w:cs="Arial"/>
      <w:color w:val="000000"/>
      <w:sz w:val="28"/>
      <w:szCs w:val="28"/>
      <w:u w:val="none"/>
    </w:rPr>
  </w:style>
  <w:style w:type="character" w:customStyle="1" w:styleId="34">
    <w:name w:val="font81"/>
    <w:basedOn w:val="21"/>
    <w:qFormat/>
    <w:uiPriority w:val="0"/>
    <w:rPr>
      <w:rFonts w:hint="eastAsia" w:ascii="宋体" w:hAnsi="宋体" w:eastAsia="宋体" w:cs="宋体"/>
      <w:color w:val="000000"/>
      <w:sz w:val="28"/>
      <w:szCs w:val="28"/>
      <w:u w:val="none"/>
    </w:rPr>
  </w:style>
  <w:style w:type="paragraph" w:customStyle="1" w:styleId="35">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11754</Words>
  <Characters>13541</Characters>
  <Lines>0</Lines>
  <Paragraphs>0</Paragraphs>
  <TotalTime>3</TotalTime>
  <ScaleCrop>false</ScaleCrop>
  <LinksUpToDate>false</LinksUpToDate>
  <CharactersWithSpaces>14635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2022-08-05T06:27:00Z</cp:lastPrinted>
  <dcterms:modified xsi:type="dcterms:W3CDTF">2022-08-05T07:51:40Z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0F4A9D5E14374E839549FFDEF7B22379</vt:lpwstr>
  </property>
</Properties>
</file>