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6"/>
          <w:szCs w:val="36"/>
          <w:highlight w:val="none"/>
          <w:shd w:val="clear" w:color="auto" w:fill="auto"/>
          <w:lang w:val="en-US" w:eastAsia="zh-CN"/>
        </w:rPr>
      </w:pPr>
      <w:r>
        <w:rPr>
          <w:rFonts w:hint="eastAsia" w:ascii="Times New Roman" w:hAnsi="Times New Roman" w:eastAsia="黑体" w:cs="Times New Roman"/>
          <w:kern w:val="0"/>
          <w:sz w:val="36"/>
          <w:szCs w:val="36"/>
          <w:highlight w:val="none"/>
          <w:u w:val="single"/>
          <w:shd w:val="clear" w:color="auto" w:fill="auto"/>
          <w:lang w:val="en-US" w:eastAsia="zh-CN"/>
        </w:rPr>
        <w:t>亳州高铁南站金融商务中心项目电梯采购及安装工程</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BZJK-2022- 032号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招标单位：安徽通康建设工程有限公司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二〇二二年六</w:t>
      </w:r>
      <w:r>
        <w:rPr>
          <w:rFonts w:hint="eastAsia" w:ascii="Times New Roman" w:hAnsi="Times New Roman" w:eastAsia="楷体" w:cs="Times New Roman"/>
          <w:kern w:val="0"/>
          <w:sz w:val="32"/>
          <w:szCs w:val="32"/>
          <w:highlight w:val="none"/>
          <w:u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17</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19</w:t>
      </w: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singl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亳州高铁南站金融商务中心项目电梯采购及安装工程</w:t>
      </w:r>
      <w:r>
        <w:rPr>
          <w:rFonts w:hint="eastAsia" w:ascii="Times New Roman" w:hAnsi="Times New Roman" w:eastAsia="黑体" w:cs="Times New Roman"/>
          <w:sz w:val="28"/>
          <w:szCs w:val="28"/>
          <w:highlight w:val="none"/>
          <w:lang w:val="en-US" w:eastAsia="zh-CN"/>
        </w:rPr>
        <w:t>招标公告</w:t>
      </w:r>
      <w:bookmarkStart w:id="0" w:name="_Toc144974487"/>
      <w:bookmarkStart w:id="1" w:name="_Toc179632536"/>
      <w:bookmarkStart w:id="2" w:name="_Toc247085680"/>
      <w:bookmarkStart w:id="3" w:name="_Toc152045519"/>
      <w:bookmarkStart w:id="4" w:name="_Toc296602410"/>
      <w:bookmarkStart w:id="5" w:name="_Toc246996166"/>
      <w:bookmarkStart w:id="6" w:name="_Toc152042295"/>
      <w:bookmarkStart w:id="7" w:name="_Toc24699690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46996910"/>
      <w:bookmarkStart w:id="9" w:name="_Toc247085681"/>
      <w:bookmarkStart w:id="10" w:name="_Toc246996167"/>
      <w:bookmarkStart w:id="11" w:name="_Toc152045520"/>
      <w:bookmarkStart w:id="12" w:name="_Toc179632537"/>
      <w:bookmarkStart w:id="13" w:name="_Toc296602411"/>
      <w:bookmarkStart w:id="14" w:name="_Toc152042296"/>
      <w:bookmarkStart w:id="15" w:name="_Toc144974488"/>
      <w:r>
        <w:rPr>
          <w:rFonts w:hint="eastAsia" w:ascii="Times New Roman" w:hAnsi="Times New Roman" w:eastAsia="仿宋_GB2312" w:cs="Times New Roman"/>
          <w:sz w:val="28"/>
          <w:szCs w:val="28"/>
          <w:highlight w:val="none"/>
          <w:lang w:val="en-US" w:eastAsia="zh-CN"/>
        </w:rPr>
        <w:t>本招标项目为</w:t>
      </w:r>
      <w:r>
        <w:rPr>
          <w:rFonts w:hint="eastAsia" w:ascii="Times New Roman" w:hAnsi="Times New Roman" w:eastAsia="仿宋_GB2312" w:cs="Times New Roman"/>
          <w:sz w:val="28"/>
          <w:szCs w:val="28"/>
          <w:highlight w:val="none"/>
          <w:u w:val="single"/>
          <w:lang w:val="en-US" w:eastAsia="zh-CN"/>
        </w:rPr>
        <w:t>亳州高铁南站金融商务中心项目电梯采购及安装工程（项目编号：BZJK-2022-032号）</w:t>
      </w:r>
      <w:r>
        <w:rPr>
          <w:rFonts w:hint="eastAsia" w:ascii="Times New Roman" w:hAnsi="Times New Roman" w:eastAsia="仿宋_GB2312" w:cs="Times New Roman"/>
          <w:sz w:val="28"/>
          <w:szCs w:val="28"/>
          <w:highlight w:val="none"/>
          <w:u w:val="none"/>
          <w:lang w:val="en-US" w:eastAsia="zh-CN"/>
        </w:rPr>
        <w:t>，项目</w:t>
      </w:r>
      <w:r>
        <w:rPr>
          <w:rFonts w:hint="eastAsia" w:ascii="Times New Roman" w:hAnsi="Times New Roman" w:eastAsia="仿宋_GB2312" w:cs="Times New Roman"/>
          <w:sz w:val="28"/>
          <w:szCs w:val="28"/>
          <w:highlight w:val="none"/>
          <w:lang w:val="en-US" w:eastAsia="zh-CN"/>
        </w:rPr>
        <w:t>资金来自</w:t>
      </w:r>
      <w:r>
        <w:rPr>
          <w:rFonts w:hint="eastAsia" w:ascii="Times New Roman" w:hAnsi="Times New Roman" w:eastAsia="仿宋_GB2312" w:cs="Times New Roman"/>
          <w:sz w:val="28"/>
          <w:szCs w:val="28"/>
          <w:highlight w:val="none"/>
          <w:u w:val="single"/>
          <w:lang w:val="en-US" w:eastAsia="zh-CN"/>
        </w:rPr>
        <w:t>企业自筹</w:t>
      </w:r>
      <w:r>
        <w:rPr>
          <w:rFonts w:hint="eastAsia" w:ascii="Times New Roman" w:hAnsi="Times New Roman" w:eastAsia="仿宋_GB2312" w:cs="Times New Roman"/>
          <w:sz w:val="28"/>
          <w:szCs w:val="28"/>
          <w:highlight w:val="none"/>
          <w:u w:val="none"/>
          <w:lang w:val="en-US" w:eastAsia="zh-CN"/>
        </w:rPr>
        <w:t>，项目出资比例为</w:t>
      </w:r>
      <w:r>
        <w:rPr>
          <w:rFonts w:hint="eastAsia" w:ascii="Times New Roman" w:hAnsi="Times New Roman" w:eastAsia="黑体" w:cs="Times New Roman"/>
          <w:sz w:val="28"/>
          <w:szCs w:val="28"/>
          <w:highlight w:val="none"/>
          <w:u w:val="single"/>
          <w:lang w:val="en-US" w:eastAsia="zh-CN"/>
        </w:rPr>
        <w:t xml:space="preserve"> 100% </w:t>
      </w:r>
      <w:r>
        <w:rPr>
          <w:rFonts w:hint="eastAsia" w:ascii="Times New Roman" w:hAnsi="Times New Roman" w:eastAsia="仿宋_GB2312" w:cs="Times New Roman"/>
          <w:sz w:val="28"/>
          <w:szCs w:val="28"/>
          <w:highlight w:val="none"/>
          <w:lang w:val="en-US" w:eastAsia="zh-CN"/>
        </w:rPr>
        <w:t>，招标人为</w:t>
      </w:r>
      <w:r>
        <w:rPr>
          <w:rFonts w:hint="eastAsia" w:ascii="Times New Roman" w:hAnsi="Times New Roman" w:eastAsia="仿宋_GB2312" w:cs="Times New Roman"/>
          <w:sz w:val="28"/>
          <w:szCs w:val="28"/>
          <w:highlight w:val="none"/>
          <w:u w:val="single"/>
          <w:lang w:val="en-US" w:eastAsia="zh-CN"/>
        </w:rPr>
        <w:t>安徽通康建设工程有限公司</w:t>
      </w:r>
      <w:r>
        <w:rPr>
          <w:rFonts w:hint="eastAsia" w:ascii="Times New Roman" w:hAnsi="Times New Roman" w:eastAsia="仿宋_GB2312" w:cs="Times New Roman"/>
          <w:sz w:val="28"/>
          <w:szCs w:val="28"/>
          <w:highlight w:val="none"/>
          <w:lang w:val="en-US" w:eastAsia="zh-CN"/>
        </w:rPr>
        <w:t>。项目已具备招标条件，现对该项目施工进行</w:t>
      </w:r>
      <w:r>
        <w:rPr>
          <w:rFonts w:hint="eastAsia" w:ascii="Times New Roman" w:hAnsi="Times New Roman" w:eastAsia="仿宋_GB2312" w:cs="Times New Roman"/>
          <w:sz w:val="28"/>
          <w:szCs w:val="28"/>
          <w:highlight w:val="none"/>
          <w:u w:val="single"/>
          <w:lang w:val="en-US" w:eastAsia="zh-CN"/>
        </w:rPr>
        <w:t>公开招标</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w:t>
      </w:r>
      <w:r>
        <w:rPr>
          <w:rFonts w:hint="eastAsia" w:ascii="Times New Roman" w:hAnsi="Times New Roman" w:eastAsia="仿宋_GB2312" w:cs="Times New Roman"/>
          <w:sz w:val="28"/>
          <w:szCs w:val="28"/>
          <w:highlight w:val="none"/>
          <w:u w:val="none"/>
          <w:lang w:val="en-US" w:eastAsia="zh-CN"/>
        </w:rPr>
        <w:t>亳州高铁南站金融商务中心项目位于酒城大道北侧、神农大道西侧，项目投资估算约2亿元，占地面积约18522.1平方米，总建筑面积约47000平方米，其中地上建筑面积约34131.58平方米，地下建筑面积约13201.58平方米。本项目电梯采购及安装工程预算约233.3万元。现场已具备施工条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yellow"/>
          <w:lang w:val="en-US" w:eastAsia="zh-CN"/>
        </w:rPr>
      </w:pPr>
      <w:r>
        <w:rPr>
          <w:rFonts w:hint="eastAsia" w:ascii="Times New Roman" w:hAnsi="Times New Roman" w:eastAsia="仿宋_GB2312" w:cs="Times New Roman"/>
          <w:sz w:val="28"/>
          <w:szCs w:val="28"/>
          <w:highlight w:val="none"/>
          <w:lang w:val="en-US" w:eastAsia="zh-CN"/>
        </w:rPr>
        <w:t>（二）招标范围：包括但不限于施工图纸、招标文件、补充文件、清单范围内制造、包装、运输、安装、单机调试、设备联调、测试、检验、验收、售后服务、保修和相应的备品备件、专用工具、技术资料及相关的技术服务等全部内容，具体详见施工图纸、电梯一览表、清单、招标文件“第六章 技术标准和要求”。本工程为“交钥匙”工程，由中标人负责电梯的安装、调试、报验直至领取运行许可的所有证照，期间发生的一切费用由中标人承担。</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iCs/>
          <w:color w:val="auto"/>
          <w:sz w:val="28"/>
          <w:szCs w:val="28"/>
          <w:highlight w:val="none"/>
          <w:u w:val="single"/>
          <w:shd w:val="clear" w:color="auto" w:fill="auto"/>
          <w:lang w:val="en-US" w:eastAsia="zh-CN"/>
        </w:rPr>
      </w:pPr>
      <w:r>
        <w:rPr>
          <w:rFonts w:hint="eastAsia" w:ascii="Times New Roman" w:hAnsi="Times New Roman" w:eastAsia="仿宋_GB2312" w:cs="Times New Roman"/>
          <w:sz w:val="28"/>
          <w:szCs w:val="28"/>
          <w:highlight w:val="none"/>
          <w:lang w:val="en-US" w:eastAsia="zh-CN"/>
        </w:rPr>
        <w:t>（三）质量标准：</w:t>
      </w:r>
      <w:r>
        <w:rPr>
          <w:rFonts w:hint="eastAsia" w:ascii="Times New Roman" w:hAnsi="Times New Roman" w:eastAsia="仿宋_GB2312" w:cs="Times New Roman"/>
          <w:color w:val="auto"/>
          <w:sz w:val="28"/>
          <w:szCs w:val="28"/>
          <w:highlight w:val="none"/>
          <w:shd w:val="clear" w:color="auto" w:fill="auto"/>
          <w:lang w:val="en-US" w:eastAsia="zh-CN"/>
        </w:rPr>
        <w:t>符合国家、行业及地方现行相关规范合格标准。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shd w:val="clear" w:color="auto" w:fill="auto"/>
          <w:lang w:val="en-US" w:eastAsia="zh-CN"/>
        </w:rPr>
      </w:pPr>
      <w:r>
        <w:rPr>
          <w:rFonts w:hint="eastAsia" w:ascii="Times New Roman" w:hAnsi="Times New Roman" w:eastAsia="仿宋_GB2312" w:cs="Times New Roman"/>
          <w:sz w:val="28"/>
          <w:szCs w:val="28"/>
          <w:highlight w:val="none"/>
          <w:lang w:val="en-US" w:eastAsia="zh-CN"/>
        </w:rPr>
        <w:t>（四）计划工期：</w:t>
      </w:r>
      <w:r>
        <w:rPr>
          <w:rFonts w:hint="eastAsia" w:ascii="Times New Roman" w:hAnsi="Times New Roman" w:eastAsia="仿宋_GB2312" w:cs="Times New Roman"/>
          <w:color w:val="auto"/>
          <w:sz w:val="28"/>
          <w:szCs w:val="28"/>
          <w:highlight w:val="none"/>
          <w:shd w:val="clear" w:color="auto" w:fill="auto"/>
          <w:lang w:val="en-US" w:eastAsia="zh-CN"/>
        </w:rPr>
        <w:t>自签订合同之日起70个日历天内完成本项目全部施工内容。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shd w:val="clear"/>
          <w:lang w:val="en-US" w:eastAsia="zh-CN"/>
        </w:rPr>
        <w:t>（五）最高投标限价（含税）：</w:t>
      </w:r>
      <w:r>
        <w:rPr>
          <w:rFonts w:hint="eastAsia" w:ascii="Times New Roman" w:hAnsi="Times New Roman" w:eastAsia="仿宋_GB2312" w:cs="Times New Roman"/>
          <w:sz w:val="28"/>
          <w:szCs w:val="28"/>
          <w:highlight w:val="none"/>
          <w:u w:val="single"/>
          <w:shd w:val="clear"/>
          <w:lang w:val="en-US" w:eastAsia="zh-CN"/>
        </w:rPr>
        <w:t>人民币（大写）：贰佰叁拾叁万叁仟伍佰叁拾柒元肆角，（小写）：2333537.40元（设备含13%增值税专用发票、安装含3%增值税专用发票）</w:t>
      </w:r>
      <w:r>
        <w:rPr>
          <w:rFonts w:hint="eastAsia" w:ascii="Times New Roman" w:hAnsi="Times New Roman" w:eastAsia="仿宋_GB2312" w:cs="Times New Roman"/>
          <w:sz w:val="28"/>
          <w:szCs w:val="28"/>
          <w:highlight w:val="none"/>
          <w:u w:val="none"/>
          <w:shd w:val="clear"/>
          <w:lang w:val="en-US" w:eastAsia="zh-CN"/>
        </w:rPr>
        <w:t>。</w:t>
      </w:r>
      <w:r>
        <w:rPr>
          <w:rFonts w:hint="eastAsia" w:ascii="Times New Roman" w:hAnsi="Times New Roman" w:eastAsia="仿宋_GB2312" w:cs="Times New Roman"/>
          <w:sz w:val="28"/>
          <w:szCs w:val="28"/>
          <w:highlight w:val="none"/>
          <w:shd w:val="clear"/>
          <w:lang w:val="en-US" w:eastAsia="zh-CN"/>
        </w:rPr>
        <w:t>本项目按固定总价方式报价，投标报价超出限价或为可能影响合同履约的异常低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投标人须具有独立企业法人资格，具有有效的营业执照。并在人员、设备、资金等方面具有承担本项目的能力。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shd w:val="clear"/>
          <w:lang w:val="en-US" w:eastAsia="zh-CN"/>
        </w:rPr>
      </w:pPr>
      <w:r>
        <w:rPr>
          <w:rFonts w:hint="eastAsia" w:ascii="Times New Roman" w:hAnsi="Times New Roman" w:eastAsia="仿宋_GB2312" w:cs="Times New Roman"/>
          <w:sz w:val="28"/>
          <w:szCs w:val="28"/>
          <w:highlight w:val="none"/>
          <w:shd w:val="clear"/>
          <w:lang w:val="en-US" w:eastAsia="zh-CN"/>
        </w:rPr>
        <w:t>（二）资质要求：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shd w:val="clear" w:color="auto" w:fill="auto"/>
          <w:lang w:val="en-US" w:eastAsia="zh-CN"/>
        </w:rPr>
      </w:pPr>
      <w:r>
        <w:rPr>
          <w:rFonts w:hint="eastAsia" w:ascii="Times New Roman" w:hAnsi="Times New Roman" w:eastAsia="仿宋_GB2312" w:cs="Times New Roman"/>
          <w:color w:val="auto"/>
          <w:sz w:val="28"/>
          <w:szCs w:val="28"/>
          <w:highlight w:val="none"/>
          <w:shd w:val="clear" w:color="auto" w:fill="auto"/>
          <w:lang w:val="en-US" w:eastAsia="zh-CN"/>
        </w:rPr>
        <w:t>1、投标人如为电梯设备制造商须同时具备《中华人民共和国特种设备（电梯）制造许可证》（乘客电梯 B 级及以上）及《中华人民共和国特种设备（电梯）安装改造维修许可证》（乘客电梯安装、改造、维修 B 级及以上）；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shd w:val="clear"/>
          <w:lang w:val="en-US" w:eastAsia="zh-CN"/>
        </w:rPr>
      </w:pPr>
      <w:r>
        <w:rPr>
          <w:rFonts w:hint="eastAsia" w:ascii="Times New Roman" w:hAnsi="Times New Roman" w:eastAsia="仿宋_GB2312" w:cs="Times New Roman"/>
          <w:color w:val="auto"/>
          <w:sz w:val="28"/>
          <w:szCs w:val="28"/>
          <w:highlight w:val="none"/>
          <w:shd w:val="clear" w:color="auto" w:fill="auto"/>
          <w:lang w:val="en-US" w:eastAsia="zh-CN"/>
        </w:rPr>
        <w:t>2、投标人为电梯设备制造商所授权的代理商时，须提供针对本项目的制造商唯一授权。代理商须具备《中华人民共和国特种设备安装改造维修许可证》安装、维修B级及以上资质并提供电梯设备制造商的《中华人民共和国特种设备（电梯）制造许可证》（乘客电梯 B 级及以上）。</w:t>
      </w:r>
    </w:p>
    <w:p>
      <w:pPr>
        <w:keepNext w:val="0"/>
        <w:keepLines w:val="0"/>
        <w:pageBreakBefore w:val="0"/>
        <w:widowControl w:val="0"/>
        <w:shd w:val="clear"/>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（三）人员要求：</w:t>
      </w:r>
    </w:p>
    <w:p>
      <w:pPr>
        <w:keepNext w:val="0"/>
        <w:keepLines w:val="0"/>
        <w:pageBreakBefore w:val="0"/>
        <w:widowControl w:val="0"/>
        <w:shd w:val="clear"/>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1. </w:t>
      </w:r>
      <w:r>
        <w:rPr>
          <w:rFonts w:hint="eastAsia" w:ascii="Times New Roman" w:hAnsi="Times New Roman" w:eastAsia="仿宋_GB2312" w:cs="Times New Roman"/>
          <w:color w:val="auto"/>
          <w:sz w:val="28"/>
          <w:szCs w:val="28"/>
          <w:highlight w:val="none"/>
          <w:shd w:val="clear" w:color="auto" w:fill="auto"/>
          <w:lang w:val="en-US" w:eastAsia="zh-CN"/>
        </w:rPr>
        <w:t>投标人拟派项目负责人须具备</w:t>
      </w:r>
      <w:r>
        <w:rPr>
          <w:rFonts w:hint="eastAsia" w:ascii="Times New Roman" w:hAnsi="Times New Roman" w:eastAsia="仿宋_GB2312" w:cs="Times New Roman"/>
          <w:color w:val="auto"/>
          <w:sz w:val="28"/>
          <w:szCs w:val="28"/>
          <w:highlight w:val="none"/>
          <w:u w:val="single"/>
          <w:shd w:val="clear" w:color="auto" w:fill="auto"/>
          <w:lang w:val="en-US" w:eastAsia="zh-CN"/>
        </w:rPr>
        <w:t>机电</w:t>
      </w:r>
      <w:r>
        <w:rPr>
          <w:rFonts w:hint="eastAsia" w:ascii="Times New Roman" w:hAnsi="Times New Roman" w:eastAsia="仿宋_GB2312" w:cs="Times New Roman"/>
          <w:color w:val="auto"/>
          <w:sz w:val="28"/>
          <w:szCs w:val="28"/>
          <w:highlight w:val="none"/>
          <w:shd w:val="clear" w:color="auto" w:fill="auto"/>
          <w:lang w:val="en-US" w:eastAsia="zh-CN"/>
        </w:rPr>
        <w:t>专业</w:t>
      </w:r>
      <w:r>
        <w:rPr>
          <w:rFonts w:hint="eastAsia" w:ascii="Times New Roman" w:hAnsi="Times New Roman" w:eastAsia="仿宋_GB2312" w:cs="Times New Roman"/>
          <w:color w:val="auto"/>
          <w:sz w:val="28"/>
          <w:szCs w:val="28"/>
          <w:highlight w:val="none"/>
          <w:u w:val="single"/>
          <w:shd w:val="clear" w:color="auto" w:fill="auto"/>
          <w:lang w:val="en-US" w:eastAsia="zh-CN"/>
        </w:rPr>
        <w:t>二</w:t>
      </w:r>
      <w:r>
        <w:rPr>
          <w:rFonts w:hint="eastAsia" w:ascii="Times New Roman" w:hAnsi="Times New Roman" w:eastAsia="仿宋_GB2312" w:cs="Times New Roman"/>
          <w:color w:val="auto"/>
          <w:sz w:val="28"/>
          <w:szCs w:val="28"/>
          <w:highlight w:val="none"/>
          <w:shd w:val="clear" w:color="auto" w:fill="auto"/>
          <w:lang w:val="en-US" w:eastAsia="zh-CN"/>
        </w:rPr>
        <w:t>级及以上注册建造师执业资格或工程师中级及以上职称(机电专业）</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shd w:val="clear"/>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shd w:val="clear" w:color="auto" w:fill="auto"/>
          <w:lang w:val="en-US" w:eastAsia="zh-CN"/>
        </w:rPr>
      </w:pPr>
      <w:r>
        <w:rPr>
          <w:rFonts w:hint="eastAsia" w:ascii="Times New Roman" w:hAnsi="Times New Roman" w:eastAsia="仿宋_GB2312" w:cs="Times New Roman"/>
          <w:color w:val="auto"/>
          <w:sz w:val="28"/>
          <w:szCs w:val="28"/>
          <w:highlight w:val="none"/>
          <w:shd w:val="clear" w:color="auto" w:fill="auto"/>
          <w:lang w:val="en-US" w:eastAsia="zh-CN"/>
        </w:rPr>
        <w:t>2. 投标人须提供至少10名电梯专业安装人员和2名后期维保人员，持有有效的特种设备作业人员证；</w:t>
      </w:r>
    </w:p>
    <w:p>
      <w:pPr>
        <w:keepNext w:val="0"/>
        <w:keepLines w:val="0"/>
        <w:pageBreakBefore w:val="0"/>
        <w:widowControl w:val="0"/>
        <w:shd w:val="clea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注：上述人员须提供有效的资格证书和公司为其缴纳的2021年6月1日起任意连续3个月及以上养老保险缴费证明。</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u w:val="none"/>
          <w:shd w:val="clear" w:color="auto" w:fill="auto"/>
          <w:lang w:val="en-US" w:eastAsia="zh-CN"/>
        </w:rPr>
      </w:pPr>
      <w:r>
        <w:rPr>
          <w:rFonts w:hint="eastAsia" w:ascii="Times New Roman" w:hAnsi="Times New Roman" w:eastAsia="仿宋_GB2312" w:cs="Times New Roman"/>
          <w:sz w:val="28"/>
          <w:szCs w:val="28"/>
          <w:highlight w:val="none"/>
          <w:lang w:val="en-US" w:eastAsia="zh-CN"/>
        </w:rPr>
        <w:t>（四）企业类似项目业绩：投标人须提供2019年1月1日以来至少1项已完成的单项合同金额不低于200万元的电梯销售及安装业绩。</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楷体_GB2312" w:cs="Times New Roman"/>
          <w:sz w:val="28"/>
          <w:szCs w:val="28"/>
          <w:highlight w:val="none"/>
          <w:lang w:val="en-US" w:eastAsia="zh-CN"/>
        </w:rPr>
        <w:t>注：</w:t>
      </w:r>
      <w:r>
        <w:rPr>
          <w:rFonts w:hint="eastAsia" w:ascii="Times New Roman" w:hAnsi="Times New Roman" w:eastAsia="楷体_GB2312" w:cs="Times New Roman"/>
          <w:sz w:val="28"/>
          <w:szCs w:val="28"/>
          <w:highlight w:val="none"/>
          <w:lang w:val="en-US" w:eastAsia="zh-CN"/>
        </w:rPr>
        <w:t>业绩时间以合同签订时间为准。投标人须</w:t>
      </w:r>
      <w:r>
        <w:rPr>
          <w:rFonts w:hint="default" w:ascii="Times New Roman" w:hAnsi="Times New Roman" w:eastAsia="楷体_GB2312" w:cs="Times New Roman"/>
          <w:sz w:val="28"/>
          <w:szCs w:val="28"/>
          <w:highlight w:val="none"/>
          <w:lang w:val="en-US" w:eastAsia="zh-CN"/>
        </w:rPr>
        <w:t>提供业绩合同复印件或扫描件，加盖投标人公章并装订入投标文件中。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（五）信誉要求：投标人存在以下不良信用记录情形之一的，不得推荐为中标候选人。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1.投标人被人民法院列入失信被执行人的；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2.投标人被工商行政管理部门列入企业经营异常名录的；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3.投标人被税务部门列入重大税收违法案件当事人名单的。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以上情形以“信用中国”（www.creditchina.gov.cn）发布的为准，有限制期限的按规定期限执行。（提供信用中国网站查询结果截图）。</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（六）其他要求：本次招标要求投标人委托代理人须是投标人单位正式员工，须提供2021年6月1日以来为其缴纳的任意连续3个月的养老保险缴费证明，加盖投标人单位公章，并装订入投标文件中。</w:t>
      </w:r>
    </w:p>
    <w:p>
      <w:pPr>
        <w:keepNext w:val="0"/>
        <w:keepLines w:val="0"/>
        <w:pageBreakBefore w:val="0"/>
        <w:widowControl w:val="0"/>
        <w:numPr>
          <w:numId w:val="0"/>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220" w:name="_GoBack"/>
      <w:bookmarkEnd w:id="220"/>
      <w:r>
        <w:rPr>
          <w:rFonts w:hint="eastAsia" w:ascii="Times New Roman" w:hAnsi="Times New Roman" w:eastAsia="仿宋_GB2312" w:cs="Times New Roman"/>
          <w:color w:val="auto"/>
          <w:sz w:val="28"/>
          <w:szCs w:val="28"/>
          <w:highlight w:val="none"/>
          <w:shd w:val="clear" w:color="auto" w:fill="auto"/>
          <w:lang w:val="en-US" w:eastAsia="zh-CN"/>
        </w:rPr>
        <w:t>（七）本次招标</w:t>
      </w:r>
      <w:r>
        <w:rPr>
          <w:rFonts w:hint="eastAsia" w:ascii="Times New Roman" w:hAnsi="Times New Roman" w:eastAsia="仿宋_GB2312" w:cs="Times New Roman"/>
          <w:color w:val="auto"/>
          <w:sz w:val="28"/>
          <w:szCs w:val="28"/>
          <w:highlight w:val="none"/>
          <w:u w:val="single"/>
          <w:shd w:val="clear" w:color="auto" w:fill="auto"/>
          <w:lang w:val="en-US" w:eastAsia="zh-CN"/>
        </w:rPr>
        <w:t>不</w:t>
      </w:r>
      <w:r>
        <w:rPr>
          <w:rFonts w:hint="eastAsia" w:asciiTheme="minorEastAsia" w:hAnsiTheme="minorEastAsia" w:cstheme="minorEastAsia"/>
          <w:i w:val="0"/>
          <w:iCs w:val="0"/>
          <w:color w:val="auto"/>
          <w:sz w:val="28"/>
          <w:szCs w:val="28"/>
          <w:highlight w:val="none"/>
          <w:u w:val="single"/>
          <w:shd w:val="clear" w:color="auto" w:fill="auto"/>
          <w:lang w:val="en-US" w:eastAsia="zh-CN"/>
        </w:rPr>
        <w:t>接受</w:t>
      </w:r>
      <w:r>
        <w:rPr>
          <w:rFonts w:hint="eastAsia" w:ascii="Times New Roman" w:hAnsi="Times New Roman" w:eastAsia="仿宋_GB2312" w:cs="Times New Roman"/>
          <w:color w:val="auto"/>
          <w:sz w:val="28"/>
          <w:szCs w:val="28"/>
          <w:highlight w:val="none"/>
          <w:shd w:val="clear" w:color="auto" w:fill="auto"/>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w:t>
      </w:r>
      <w:r>
        <w:rPr>
          <w:rFonts w:hint="eastAsia" w:ascii="Times New Roman" w:hAnsi="Times New Roman" w:eastAsia="仿宋_GB2312" w:cs="Times New Roman"/>
          <w:sz w:val="28"/>
          <w:szCs w:val="28"/>
          <w:highlight w:val="none"/>
          <w:lang w:val="en-US" w:eastAsia="zh-CN"/>
        </w:rPr>
        <w:t>招标信息栏</w:t>
      </w:r>
      <w:r>
        <w:rPr>
          <w:rFonts w:hint="default" w:ascii="Times New Roman" w:hAnsi="Times New Roman" w:eastAsia="仿宋_GB2312" w:cs="Times New Roman"/>
          <w:sz w:val="28"/>
          <w:szCs w:val="28"/>
          <w:highlight w:val="none"/>
          <w:lang w:val="en-US" w:eastAsia="zh-CN"/>
        </w:rPr>
        <w:t>（www.bzjkjt.com）、安徽省招标投标信息网（www.ahtba.org.cn）或优质采云采购平台（www.youzhicai.com）自行下载电子招标文件及其他附件。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（一）投标文件递交的截止时间（投标截止时间，下同）</w:t>
      </w:r>
      <w:r>
        <w:rPr>
          <w:rFonts w:hint="default" w:ascii="Times New Roman" w:hAnsi="Times New Roman" w:eastAsia="仿宋_GB2312" w:cs="Times New Roman"/>
          <w:color w:val="auto"/>
          <w:sz w:val="28"/>
          <w:szCs w:val="28"/>
          <w:highlight w:val="none"/>
          <w:shd w:val="clear" w:color="auto" w:fill="auto"/>
          <w:lang w:val="en-US" w:eastAsia="zh-CN"/>
        </w:rPr>
        <w:t>为</w:t>
      </w:r>
      <w:r>
        <w:rPr>
          <w:rFonts w:hint="eastAsia" w:ascii="Times New Roman" w:hAnsi="Times New Roman" w:eastAsia="仿宋_GB2312" w:cs="Times New Roman"/>
          <w:color w:val="auto"/>
          <w:sz w:val="28"/>
          <w:szCs w:val="28"/>
          <w:highlight w:val="none"/>
          <w:shd w:val="clear" w:color="auto" w:fill="auto"/>
          <w:lang w:val="en-US" w:eastAsia="zh-CN"/>
        </w:rPr>
        <w:t>2022年7月1日</w:t>
      </w:r>
      <w:r>
        <w:rPr>
          <w:rFonts w:hint="default" w:ascii="Times New Roman" w:hAnsi="Times New Roman" w:eastAsia="仿宋_GB2312" w:cs="Times New Roman"/>
          <w:color w:val="auto"/>
          <w:sz w:val="28"/>
          <w:szCs w:val="28"/>
          <w:highlight w:val="none"/>
          <w:shd w:val="clear" w:color="auto" w:fill="auto"/>
          <w:lang w:val="en-US" w:eastAsia="zh-CN"/>
        </w:rPr>
        <w:t>9时00分，</w:t>
      </w:r>
      <w:r>
        <w:rPr>
          <w:rFonts w:hint="default" w:ascii="Times New Roman" w:hAnsi="Times New Roman" w:eastAsia="仿宋_GB2312" w:cs="Times New Roman"/>
          <w:sz w:val="28"/>
          <w:szCs w:val="28"/>
          <w:highlight w:val="none"/>
          <w:lang w:val="en-US" w:eastAsia="zh-CN"/>
        </w:rPr>
        <w:t>地点为亳州交通投资控股集团有限公司8楼会议室（药都大道与希夷大道交叉口东北角8楼）。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（二）逾期送达的、未送达指定地点的、不按照</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文件要求密封的，采购人将予以拒收。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三</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为响应亳州市疫情防控要求，本次招标允许供应商以邮寄方式递交</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文件。供应商采用邮寄方式递交</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文件的，</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文件送达时间以</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人签收快递时间为准。邮寄信息同招标平台联系方式，</w:t>
      </w:r>
      <w:r>
        <w:rPr>
          <w:rFonts w:hint="eastAsia" w:ascii="Times New Roman" w:hAnsi="Times New Roman" w:eastAsia="仿宋_GB2312" w:cs="Times New Roman"/>
          <w:sz w:val="28"/>
          <w:szCs w:val="28"/>
          <w:highlight w:val="none"/>
          <w:lang w:val="en-US" w:eastAsia="zh-CN"/>
        </w:rPr>
        <w:t>投标人</w:t>
      </w:r>
      <w:r>
        <w:rPr>
          <w:rFonts w:hint="default" w:ascii="Times New Roman" w:hAnsi="Times New Roman" w:eastAsia="仿宋_GB2312" w:cs="Times New Roman"/>
          <w:sz w:val="28"/>
          <w:szCs w:val="28"/>
          <w:highlight w:val="none"/>
          <w:lang w:val="en-US" w:eastAsia="zh-CN"/>
        </w:rPr>
        <w:t>寄出投标文件后，应电话通知招标平台工作人员，以便</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人及时签收</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本次招标公告同时在亳州交通投资控股集团有限公司官网（www.bzjkjt.com）、安徽省招标投标信息网（www.ahtba.org.cn）及优质采云采购平台（www.youzhicai.com）上发布。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址：安徽省亳州市谯城区大杨镇省道309线亳州收费站</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王工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18133336516</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ind w:firstLine="4480" w:firstLineChars="1600"/>
        <w:textAlignment w:val="auto"/>
        <w:rPr>
          <w:rFonts w:hint="eastAsia" w:asciiTheme="minorEastAsia" w:hAnsiTheme="minorEastAsia" w:cstheme="minorEastAsia"/>
          <w:i/>
          <w:iCs/>
          <w:color w:val="FF0000"/>
          <w:sz w:val="28"/>
          <w:szCs w:val="28"/>
          <w:highlight w:val="none"/>
          <w:u w:val="single"/>
          <w:lang w:val="en-US" w:eastAsia="zh-CN"/>
        </w:rPr>
      </w:pPr>
      <w:r>
        <w:rPr>
          <w:rFonts w:hint="eastAsia" w:ascii="Times New Roman" w:hAnsi="Times New Roman" w:eastAsia="仿宋_GB2312" w:cs="Times New Roman"/>
          <w:sz w:val="28"/>
          <w:szCs w:val="28"/>
          <w:highlight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80" w:lineRule="exact"/>
        <w:ind w:firstLine="5600" w:firstLineChars="20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年</w:t>
      </w:r>
      <w:r>
        <w:rPr>
          <w:rFonts w:hint="eastAsia" w:ascii="Times New Roman" w:hAnsi="Times New Roman" w:eastAsia="仿宋_GB2312" w:cs="Times New Roman"/>
          <w:i w:val="0"/>
          <w:iCs w:val="0"/>
          <w:color w:val="auto"/>
          <w:sz w:val="28"/>
          <w:szCs w:val="28"/>
          <w:highlight w:val="none"/>
          <w:u w:val="none"/>
          <w:lang w:val="en-US" w:eastAsia="zh-CN"/>
        </w:rPr>
        <w:t>6</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22</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5</w:t>
            </w:r>
            <w:r>
              <w:rPr>
                <w:rFonts w:hint="default" w:ascii="Times New Roman" w:hAnsi="Times New Roman" w:cs="Times New Roman"/>
                <w:szCs w:val="21"/>
                <w:highlight w:val="none"/>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不组织</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自行踏勘现场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6</w:t>
            </w:r>
            <w:r>
              <w:rPr>
                <w:rFonts w:hint="default" w:ascii="Times New Roman" w:hAnsi="Times New Roman" w:cs="Times New Roman"/>
                <w:szCs w:val="21"/>
                <w:highlight w:val="none"/>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.7</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3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招标文件的澄清在亳州交通投资控股集团有限公司官网（www.bzjkjt.com）、安徽省招标投标信息网（www.ahtba.org.cn）及优质采云采购平台（www.youzhicai.com）上的发布时间，视为投标人确认收到招标文件澄清的时间。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安徽省招标投标信息网（www.ahtba.org.cn）及优质采云采购平台（www.youzhicai.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招标文件的修改在亳州交通投资控股集团有限公司官网（www.bzjkjt.com）、安徽省招标投标信息网（www.ahtba.org.cn）及优质采云采购平台（www.youzhicai.com）上的发布时间，视为投标人确认收到招标文件修改的时间。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安徽省招标投标信息网（www.ahtba.org.cn）及优质采云采购平台（www.youzhicai.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i/>
                <w:iCs/>
                <w:color w:val="FF0000"/>
                <w:szCs w:val="21"/>
                <w:highlight w:val="none"/>
                <w:u w:val="single"/>
                <w:lang w:val="en-US" w:eastAsia="zh-CN"/>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肆万元整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40000元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color w:val="FF0000"/>
                <w:szCs w:val="21"/>
                <w:highlight w:val="yellow"/>
                <w:lang w:val="en-US" w:eastAsia="zh-CN"/>
              </w:rPr>
              <w:t>BZJK-2022-</w:t>
            </w:r>
            <w:r>
              <w:rPr>
                <w:rFonts w:hint="eastAsia" w:ascii="Times New Roman" w:hAnsi="Times New Roman" w:cs="Times New Roman"/>
                <w:b/>
                <w:bCs/>
                <w:color w:val="FF0000"/>
                <w:szCs w:val="21"/>
                <w:highlight w:val="yellow"/>
                <w:u w:val="single"/>
                <w:lang w:val="en-US" w:eastAsia="zh-CN"/>
              </w:rPr>
              <w:t>032</w:t>
            </w:r>
            <w:r>
              <w:rPr>
                <w:rFonts w:hint="eastAsia" w:ascii="Times New Roman" w:hAnsi="Times New Roman" w:cs="Times New Roman"/>
                <w:b/>
                <w:bCs/>
                <w:color w:val="FF0000"/>
                <w:szCs w:val="21"/>
                <w:highlight w:val="yellow"/>
                <w:lang w:val="en-US" w:eastAsia="zh-CN"/>
              </w:rPr>
              <w:t>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（1）招标不成功（或开标现场拒收投标文件）的，10个工作日内直接退还至该投标人汇出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w:t>
            </w:r>
            <w:r>
              <w:rPr>
                <w:rFonts w:hint="eastAsia" w:ascii="Times New Roman" w:hAnsi="Times New Roman" w:cs="Times New Roman"/>
                <w:szCs w:val="21"/>
                <w:highlight w:val="none"/>
                <w:lang w:eastAsia="zh-CN"/>
              </w:rPr>
              <w:t>候选人</w:t>
            </w:r>
            <w:r>
              <w:rPr>
                <w:rFonts w:hint="default" w:ascii="Times New Roman" w:hAnsi="Times New Roman" w:cs="Times New Roman"/>
                <w:szCs w:val="21"/>
                <w:highlight w:val="none"/>
              </w:rPr>
              <w:t>公示期满且确定中标人后，未中标人的投标保证金在10个工作日内直接退还至该投标人汇出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w:t>
            </w:r>
            <w:r>
              <w:rPr>
                <w:rFonts w:hint="eastAsia" w:ascii="Times New Roman" w:hAnsi="Times New Roman" w:cs="Times New Roman"/>
                <w:szCs w:val="21"/>
                <w:highlight w:val="none"/>
                <w:lang w:eastAsia="zh-CN"/>
              </w:rPr>
              <w:t>使用其他</w:t>
            </w:r>
            <w:r>
              <w:rPr>
                <w:rFonts w:hint="default" w:ascii="Times New Roman" w:hAnsi="Times New Roman" w:cs="Times New Roman"/>
                <w:szCs w:val="21"/>
                <w:highlight w:val="none"/>
              </w:rPr>
              <w:t>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lang w:val="en-US" w:eastAsia="zh-CN"/>
              </w:rPr>
              <w:t>（项目名称）投标文件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项目编号：BZJK-2022-</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color w:val="auto"/>
                <w:szCs w:val="21"/>
                <w:highlight w:val="none"/>
                <w:lang w:eastAsia="zh-CN"/>
              </w:rPr>
            </w:pPr>
            <w:r>
              <w:rPr>
                <w:rFonts w:hint="default" w:ascii="Times New Roman" w:hAnsi="Times New Roman" w:cs="Times New Roman"/>
                <w:color w:val="auto"/>
                <w:szCs w:val="21"/>
                <w:highlight w:val="none"/>
              </w:rPr>
              <w:t>公示媒介：亳州交通投资控股集团有限公司官网（www.bzjkjt.com）</w:t>
            </w:r>
            <w:r>
              <w:rPr>
                <w:rFonts w:hint="eastAsia" w:ascii="Times New Roman" w:hAnsi="Times New Roman" w:cs="Times New Roman"/>
                <w:color w:val="auto"/>
                <w:szCs w:val="21"/>
                <w:highlight w:val="none"/>
                <w:lang w:eastAsia="zh-CN"/>
              </w:rPr>
              <w:t>、</w:t>
            </w:r>
            <w:r>
              <w:rPr>
                <w:rFonts w:hint="default" w:ascii="Times New Roman" w:hAnsi="Times New Roman" w:cs="Times New Roman"/>
                <w:szCs w:val="21"/>
                <w:highlight w:val="none"/>
              </w:rPr>
              <w:t>安徽省招标投标信息网（www.ahtba.org.cn）及优质采云采购平台（www.youzhicai.com）</w:t>
            </w:r>
            <w:r>
              <w:rPr>
                <w:rFonts w:hint="eastAsia" w:ascii="Times New Roman" w:hAnsi="Times New Roman" w:cs="Times New Roman"/>
                <w:szCs w:val="21"/>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中标后，投标保证金自动转为履约保证金，履约保证金不足部分由中标人在收到中标通知书后10日内从其基本账户开户行银行汇款或提交足额的银行保函或保兑支票或银行汇票形式的履约保证金。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履约保证金的金额：</w:t>
            </w:r>
            <w:r>
              <w:rPr>
                <w:rFonts w:hint="eastAsia" w:ascii="Times New Roman" w:hAnsi="Times New Roman" w:cs="Times New Roman"/>
                <w:color w:val="auto"/>
                <w:szCs w:val="21"/>
                <w:highlight w:val="none"/>
                <w:lang w:val="en-US" w:eastAsia="zh-CN"/>
              </w:rPr>
              <w:t>中标金额的10%</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sz w:val="32"/>
                <w:szCs w:val="32"/>
                <w:highlight w:val="none"/>
              </w:rPr>
            </w:pPr>
            <w:r>
              <w:rPr>
                <w:rFonts w:hint="eastAsia" w:ascii="Times New Roman" w:hAnsi="Times New Roman" w:cs="Times New Roman"/>
                <w:b/>
                <w:bCs/>
                <w:color w:val="auto"/>
                <w:szCs w:val="21"/>
                <w:highlight w:val="none"/>
                <w:lang w:val="en-US" w:eastAsia="zh-CN"/>
              </w:rPr>
              <w:t>履约保证金的退还：</w:t>
            </w:r>
            <w:r>
              <w:rPr>
                <w:rFonts w:hint="eastAsia" w:ascii="Times New Roman" w:hAnsi="Times New Roman" w:cs="Times New Roman"/>
                <w:color w:val="auto"/>
                <w:szCs w:val="21"/>
                <w:highlight w:val="none"/>
                <w:lang w:val="en-US" w:eastAsia="zh-CN"/>
              </w:rPr>
              <w:t>无违约行为发生或违约行为已处理的情况下，竣工验收合格后10个工作日内返还全部履约保证金（本金无息）。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8</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default" w:ascii="Times New Roman" w:hAnsi="Times New Roman" w:cs="Times New Roman"/>
          <w:color w:val="000000"/>
          <w:highlight w:val="none"/>
        </w:rPr>
        <w:t>投标人须知</w:t>
      </w:r>
      <w:r>
        <w:rPr>
          <w:rFonts w:hint="eastAsia" w:ascii="Times New Roman" w:hAnsi="Times New Roman" w:cs="Times New Roman"/>
          <w:color w:val="000000"/>
          <w:highlight w:val="none"/>
          <w:lang w:val="en-US" w:eastAsia="zh-CN"/>
        </w:rPr>
        <w:t>正文部分直接引用</w:t>
      </w:r>
      <w:r>
        <w:rPr>
          <w:rFonts w:hint="default" w:ascii="Times New Roman" w:hAnsi="Times New Roman" w:cs="Times New Roman"/>
          <w:color w:val="000000"/>
          <w:highlight w:val="none"/>
        </w:rPr>
        <w:t>国家发改委</w:t>
      </w:r>
      <w:r>
        <w:rPr>
          <w:rFonts w:hint="eastAsia" w:ascii="Times New Roman" w:hAnsi="Times New Roman" w:cs="Times New Roman"/>
          <w:color w:val="000000"/>
          <w:highlight w:val="none"/>
          <w:lang w:val="en-US" w:eastAsia="zh-CN"/>
        </w:rPr>
        <w:t>等九部委于2011年12月20日联合印发的《中华人民共和国简明标准施工招标文件》（2012年版）。</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bookmarkStart w:id="16" w:name="_Toc246996232"/>
            <w:bookmarkStart w:id="17" w:name="_Toc152042366"/>
            <w:bookmarkStart w:id="18" w:name="_Toc179632607"/>
            <w:bookmarkStart w:id="19" w:name="_Toc296602477"/>
            <w:bookmarkStart w:id="20" w:name="_Toc152045589"/>
            <w:bookmarkStart w:id="21" w:name="_Toc246996975"/>
            <w:bookmarkStart w:id="22" w:name="_Toc247085747"/>
            <w:bookmarkStart w:id="23" w:name="_Toc144974556"/>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五</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技术标准和要求</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电梯综合评价：20</w:t>
            </w:r>
            <w:r>
              <w:rPr>
                <w:rFonts w:hint="default" w:ascii="Times New Roman" w:hAnsi="Times New Roman" w:cs="Times New Roman"/>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企业综合实力：19</w:t>
            </w:r>
            <w:r>
              <w:rPr>
                <w:rFonts w:hint="default" w:ascii="Times New Roman" w:hAnsi="Times New Roman" w:cs="Times New Roman"/>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服务方案：21分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yellow"/>
                <w:lang w:val="en-US"/>
              </w:rPr>
            </w:pPr>
            <w:r>
              <w:rPr>
                <w:rFonts w:hint="eastAsia" w:ascii="Times New Roman" w:hAnsi="Times New Roman" w:cs="Times New Roman"/>
                <w:kern w:val="0"/>
                <w:sz w:val="24"/>
                <w:szCs w:val="24"/>
                <w:highlight w:val="none"/>
                <w:lang w:val="en-US" w:eastAsia="zh-CN"/>
              </w:rPr>
              <w:t>投标报价：40分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取所有有效报价（通过初步评审且不高于最高限价）的算术平均值作为评标基准价。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偏差率=100%×（投标人报价</w:t>
            </w:r>
            <w:r>
              <w:rPr>
                <w:rFonts w:hint="eastAsia" w:ascii="宋体" w:hAnsi="宋体" w:eastAsia="宋体" w:cs="宋体"/>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评标基准价）/评标基准价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2.2.4（1）</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eastAsia="宋体" w:cs="Times New Roman"/>
                <w:spacing w:val="-4"/>
                <w:sz w:val="24"/>
                <w:lang w:val="en-US" w:eastAsia="zh-CN"/>
              </w:rPr>
              <w:t>电梯</w:t>
            </w:r>
            <w:r>
              <w:rPr>
                <w:rFonts w:ascii="Times New Roman" w:hAnsi="Times New Roman" w:eastAsia="宋体" w:cs="Times New Roman"/>
                <w:spacing w:val="-4"/>
                <w:sz w:val="24"/>
              </w:rPr>
              <w:t>综合评价</w:t>
            </w:r>
            <w:r>
              <w:rPr>
                <w:rFonts w:hint="eastAsia" w:ascii="Times New Roman" w:hAnsi="Times New Roman" w:cs="Times New Roman"/>
                <w:color w:val="auto"/>
                <w:kern w:val="0"/>
                <w:sz w:val="24"/>
                <w:szCs w:val="24"/>
                <w:highlight w:val="none"/>
                <w:lang w:val="en-US" w:eastAsia="zh-CN"/>
              </w:rPr>
              <w:t>（20分）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电梯系统15分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1.客梯控制系统核心部件为原厂原品牌的得3分，其余得1分。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2.客梯主机为原厂原品牌的得3分，其余得1分。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客梯门机为原厂原品牌的得3分，其余得1分。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客梯层门门锁、轿门门锁、安全钳、限速器、缓冲器、轿厢意外移动保护装置与所投电梯品牌一致的，每满足1个得1分，最高得6分，否则不得分</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w:t>
            </w:r>
            <w:r>
              <w:rPr>
                <w:rFonts w:hint="default" w:ascii="Times New Roman" w:hAnsi="Times New Roman" w:cs="Times New Roman"/>
                <w:b/>
                <w:bCs/>
                <w:kern w:val="0"/>
                <w:sz w:val="24"/>
                <w:szCs w:val="24"/>
                <w:highlight w:val="none"/>
                <w:lang w:val="en-US" w:eastAsia="zh-CN"/>
              </w:rPr>
              <w:t>需提供整梯型式试验报告原件扫描件</w:t>
            </w:r>
            <w:r>
              <w:rPr>
                <w:rFonts w:hint="eastAsia" w:ascii="Times New Roman" w:hAnsi="Times New Roman" w:cs="Times New Roman"/>
                <w:b/>
                <w:bCs/>
                <w:kern w:val="0"/>
                <w:sz w:val="24"/>
                <w:szCs w:val="24"/>
                <w:highlight w:val="none"/>
                <w:lang w:val="en-US" w:eastAsia="zh-CN"/>
              </w:rPr>
              <w:t>加盖投标单位公章，否则不得分）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能耗证书</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strike w:val="0"/>
                <w:dstrike w:val="0"/>
                <w:kern w:val="0"/>
                <w:sz w:val="24"/>
                <w:szCs w:val="24"/>
                <w:highlight w:val="none"/>
                <w:lang w:val="en-US" w:eastAsia="zh-CN"/>
              </w:rPr>
            </w:pPr>
            <w:r>
              <w:rPr>
                <w:rFonts w:hint="eastAsia" w:ascii="Times New Roman" w:hAnsi="Times New Roman" w:cs="Times New Roman"/>
                <w:strike w:val="0"/>
                <w:dstrike w:val="0"/>
                <w:kern w:val="0"/>
                <w:sz w:val="24"/>
                <w:szCs w:val="24"/>
                <w:highlight w:val="none"/>
                <w:lang w:val="en-US" w:eastAsia="zh-CN"/>
              </w:rPr>
              <w:t>投标品牌客梯电梯曳引机获得国家电梯质量监督检验中心或中国质量认证中心认证的能效等级1级得3分，2级得1分，没有不得分。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b/>
                <w:bCs/>
                <w:strike w:val="0"/>
                <w:dstrike w:val="0"/>
                <w:kern w:val="0"/>
                <w:sz w:val="24"/>
                <w:szCs w:val="24"/>
                <w:highlight w:val="none"/>
                <w:lang w:val="en-US" w:eastAsia="zh-CN"/>
              </w:rPr>
              <w:t>(提供国家电梯质量监督检验中心出具的《永磁同步电动机能源效率检测报告》扫描件或中国质量认证中心认证的证书扫描件，并加盖投标单位公章，</w:t>
            </w:r>
            <w:r>
              <w:rPr>
                <w:rFonts w:hint="eastAsia" w:ascii="Times New Roman" w:hAnsi="Times New Roman" w:cs="Times New Roman"/>
                <w:b/>
                <w:bCs/>
                <w:kern w:val="0"/>
                <w:sz w:val="24"/>
                <w:szCs w:val="24"/>
                <w:highlight w:val="none"/>
                <w:lang w:val="en-US" w:eastAsia="zh-CN"/>
              </w:rPr>
              <w:t>否则不得分</w:t>
            </w:r>
            <w:r>
              <w:rPr>
                <w:rFonts w:hint="eastAsia" w:ascii="Times New Roman" w:hAnsi="Times New Roman" w:cs="Times New Roman"/>
                <w:b/>
                <w:bCs/>
                <w:strike w:val="0"/>
                <w:dstrike w:val="0"/>
                <w:kern w:val="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能源效率认证</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投标品牌客梯电梯通过VDI 4707和ISO 25745国际电梯能源效率认证A级的得2分，没有不得分。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strike w:val="0"/>
                <w:dstrike w:val="0"/>
                <w:kern w:val="0"/>
                <w:sz w:val="24"/>
                <w:szCs w:val="24"/>
                <w:highlight w:val="none"/>
                <w:lang w:val="en-US" w:eastAsia="zh-CN"/>
              </w:rPr>
              <w:t>（须提供以上证明材料复印件并加盖投标单位公章，否则不得分）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2.2.4（2）</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企业综合实力（19分）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(9分)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除门槛业绩外，每额外提供一项2019年1月1日至今投标品牌单项合同金额200万元（含）以上的电梯销售及安装业绩，得3分； 满分9分。</w:t>
            </w:r>
            <w:r>
              <w:rPr>
                <w:rFonts w:hint="eastAsia" w:ascii="Times New Roman" w:hAnsi="Times New Roman" w:cs="Times New Roman"/>
                <w:b/>
                <w:bCs/>
                <w:kern w:val="0"/>
                <w:sz w:val="24"/>
                <w:szCs w:val="24"/>
                <w:highlight w:val="none"/>
                <w:lang w:val="en-US" w:eastAsia="zh-CN"/>
              </w:rPr>
              <w:t>（投标人或投标品牌制造商签订均可，合同业绩信息须能体现评审要素，以合同签订时间为准。须提供合同复印件或扫描件并加盖投标单位公章，否则不得分）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企业荣誉</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（7分）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2019年1月1日至开标之日，投标人或投标品牌制造商获得国家级行业主管部门或行业协会颁发的荣誉获奖证书（文件），每个奖项得3分；获得省级行业主管部门或行业协会颁发的荣誉获奖证书（文件），每个奖项得 2分；其余不得分；最高得5分。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（提供以上证明材料扫描件并加盖投标单位公章，否则不得分）。</w:t>
            </w:r>
          </w:p>
          <w:p>
            <w:pPr>
              <w:keepNext w:val="0"/>
              <w:keepLines w:val="0"/>
              <w:pageBreakBefore w:val="0"/>
              <w:widowControl w:val="0"/>
              <w:numPr>
                <w:ilvl w:val="0"/>
                <w:numId w:val="1"/>
              </w:numPr>
              <w:kinsoku/>
              <w:wordWrap w:val="0"/>
              <w:overflowPunct/>
              <w:topLinePunct w:val="0"/>
              <w:autoSpaceDE/>
              <w:autoSpaceDN/>
              <w:bidi w:val="0"/>
              <w:adjustRightInd/>
              <w:snapToGrid/>
              <w:spacing w:line="400" w:lineRule="exact"/>
              <w:ind w:left="0" w:leftChars="0" w:firstLine="0" w:firstLineChars="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制造商具获得国家级CNAS实验室认可资质证书得2分，否则不得分。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（提供以上证明材料扫描件并加盖投标单位公章，否则不得分）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体系认证</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（3分）</w:t>
            </w:r>
          </w:p>
        </w:tc>
        <w:tc>
          <w:tcPr>
            <w:tcW w:w="483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1.所投品牌制造商具有ISO 9001质量体系认证、ISO 14001环境管理体系认证和ISO 45001职业健康安全管理体系认证的，每项得1分，满分3分。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（提供以上证明材料扫描件并加盖投标单位公章，否则不得分）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（5分）</w:t>
            </w:r>
          </w:p>
        </w:tc>
        <w:tc>
          <w:tcPr>
            <w:tcW w:w="483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0" w:leftChars="0" w:firstLine="0" w:firstLineChars="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对施工方案的合理性、针对性、可操作性、保证措施得力性等因素进行综合评比：</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0" w:leftChars="0" w:firstLine="0" w:firstLineChars="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施工方案科学合理，针对性、可操作性强的得3-5分；</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0" w:leftChars="0" w:firstLine="0" w:firstLineChars="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施工方案较科学合理，针对性、 可操作性较强的得1-3分；</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0" w:leftChars="0" w:firstLine="0" w:firstLineChars="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施工方案有待完善的得0-1分；</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0" w:leftChars="0" w:firstLine="0" w:firstLineChars="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差或未提供方案的不得分。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售后服务</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（16分）</w:t>
            </w:r>
          </w:p>
        </w:tc>
        <w:tc>
          <w:tcPr>
            <w:tcW w:w="483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0" w:leftChars="0" w:firstLine="0" w:firstLineChars="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1.投标人针对本项目的特点和需求，提供适应本项目的售后维保方案；</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0" w:leftChars="0" w:firstLine="0" w:firstLineChars="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方案完整、科学合理、设备安全管理措施得当、维保措施全面的得3-5分；</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0" w:leftChars="0" w:firstLine="0" w:firstLineChars="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方案较完整、科学较合理、设备安全管理措施得当、维保措施较全面的得1-3分；</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0" w:leftChars="0" w:firstLine="0" w:firstLineChars="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售后服务方案有待完善的得0-1分；</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0" w:leftChars="0" w:firstLine="0" w:firstLineChars="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差或未提供方案的不得分。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2.自2019年1月1日以来，投标人或所投品牌制造商（或其直属分公司）具有地市级及以上政府部门所颁发的电梯维保5星级评定得4分；4星级评价的得2分；3星级及以下的不得分。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3.投标人承诺提供项目本地驻点服务或中标之后在当地设立维保站点的得3分；没有不得分。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4.质保期不得少于2年。质保期为3年得2分，质保期为4年得4分。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投标报价（40分）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价格</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通过资格审查和初步评审的各投标人有效投标报价平均值为评分基准价，投标报价相同于基准价的得满分40 分，每高于基准价1%减2 分，每低于基准价1%减1 分。投标报价最多减10分。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20" w:type="dxa"/>
            <w:gridSpan w:val="4"/>
            <w:tcBorders>
              <w:top w:val="single" w:color="auto" w:sz="4" w:space="0"/>
              <w:bottom w:val="single" w:color="auto" w:sz="4" w:space="0"/>
              <w:right w:val="single" w:color="auto" w:sz="4" w:space="0"/>
            </w:tcBorders>
            <w:noWrap w:val="0"/>
            <w:vAlign w:val="center"/>
          </w:tcPr>
          <w:p>
            <w:pPr>
              <w:tabs>
                <w:tab w:val="left" w:pos="720"/>
              </w:tabs>
              <w:spacing w:line="360" w:lineRule="exact"/>
              <w:rPr>
                <w:rFonts w:hint="eastAsia" w:ascii="Times New Roman" w:hAnsi="Times New Roman" w:cs="Times New Roman"/>
                <w:color w:val="auto"/>
                <w:kern w:val="0"/>
                <w:sz w:val="24"/>
                <w:szCs w:val="24"/>
                <w:highlight w:val="none"/>
                <w:lang w:val="en-US" w:eastAsia="zh-CN"/>
              </w:rPr>
            </w:pPr>
            <w:r>
              <w:rPr>
                <w:rFonts w:hint="eastAsia" w:ascii="宋体" w:hAnsi="宋体"/>
                <w:b/>
              </w:rPr>
              <w:t>注</w:t>
            </w:r>
            <w:r>
              <w:rPr>
                <w:rFonts w:hint="eastAsia" w:ascii="宋体" w:hAnsi="宋体"/>
              </w:rPr>
              <w:t>：</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说明：评分区间一律按左闭右开计算</w:t>
      </w:r>
      <w:r>
        <w:rPr>
          <w:rFonts w:hint="eastAsia" w:ascii="Times New Roman" w:hAnsi="Times New Roman" w:cs="Times New Roman"/>
          <w:color w:val="auto"/>
          <w:kern w:val="0"/>
          <w:sz w:val="24"/>
          <w:szCs w:val="24"/>
          <w:highlight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152045590"/>
      <w:bookmarkStart w:id="25" w:name="_Toc179632608"/>
      <w:bookmarkStart w:id="26" w:name="_Toc247085748"/>
      <w:bookmarkStart w:id="27" w:name="_Toc246996976"/>
      <w:bookmarkStart w:id="28" w:name="_Toc246996233"/>
      <w:bookmarkStart w:id="29" w:name="_Toc144974557"/>
      <w:bookmarkStart w:id="30" w:name="_Toc296602478"/>
      <w:bookmarkStart w:id="31" w:name="_Toc152042367"/>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47085749"/>
      <w:bookmarkStart w:id="33" w:name="_Toc144974558"/>
      <w:bookmarkStart w:id="34" w:name="_Toc179632609"/>
      <w:bookmarkStart w:id="35" w:name="_Toc152045591"/>
      <w:bookmarkStart w:id="36" w:name="_Toc246996234"/>
      <w:bookmarkStart w:id="37" w:name="_Toc152042368"/>
      <w:bookmarkStart w:id="38" w:name="_Toc296602479"/>
      <w:bookmarkStart w:id="39" w:name="_Toc246996977"/>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40" w:name="_Toc152042370"/>
      <w:bookmarkStart w:id="41" w:name="_Toc144974560"/>
      <w:bookmarkStart w:id="42" w:name="_Toc179632611"/>
      <w:bookmarkStart w:id="43" w:name="_Toc246996236"/>
      <w:bookmarkStart w:id="44" w:name="_Toc152045593"/>
      <w:bookmarkStart w:id="45" w:name="_Toc247085751"/>
      <w:bookmarkStart w:id="46" w:name="_Toc246996979"/>
      <w:bookmarkStart w:id="47" w:name="_Toc296602481"/>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1</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电梯综合评价：</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（2）企业综合实力：</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（3）服务方案</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4</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1</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电梯综合评价：</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（2）企业综合实力：</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（3）服务方案</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4</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46996237"/>
      <w:bookmarkStart w:id="49" w:name="_Toc246996980"/>
      <w:bookmarkStart w:id="50" w:name="_Toc247085752"/>
      <w:bookmarkStart w:id="51" w:name="_Toc152042371"/>
      <w:bookmarkStart w:id="52" w:name="_Toc152045594"/>
      <w:bookmarkStart w:id="53" w:name="_Toc296602482"/>
      <w:bookmarkStart w:id="54" w:name="_Toc144974561"/>
      <w:bookmarkStart w:id="55" w:name="_Toc179632612"/>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44974562"/>
      <w:bookmarkStart w:id="57" w:name="_Toc247085753"/>
      <w:bookmarkStart w:id="58" w:name="_Toc152045595"/>
      <w:bookmarkStart w:id="59" w:name="_Toc246996238"/>
      <w:bookmarkStart w:id="60" w:name="_Toc179632613"/>
      <w:bookmarkStart w:id="61" w:name="_Toc246996981"/>
      <w:bookmarkStart w:id="62" w:name="_Toc296602483"/>
      <w:bookmarkStart w:id="63" w:name="_Toc152042372"/>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64" w:name="_Toc144974563"/>
      <w:bookmarkStart w:id="65" w:name="_Toc179632614"/>
      <w:bookmarkStart w:id="66" w:name="_Toc152042373"/>
      <w:bookmarkStart w:id="67" w:name="_Toc246996982"/>
      <w:bookmarkStart w:id="68" w:name="_Toc152045596"/>
      <w:bookmarkStart w:id="69" w:name="_Toc296602484"/>
      <w:bookmarkStart w:id="70" w:name="_Toc247085754"/>
      <w:bookmarkStart w:id="71" w:name="_Toc246996239"/>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（1）按本章</w:t>
      </w:r>
      <w:r>
        <w:rPr>
          <w:rFonts w:hint="eastAsia" w:ascii="Times New Roman" w:hAnsi="Times New Roman" w:cs="Times New Roman"/>
          <w:kern w:val="0"/>
          <w:sz w:val="24"/>
          <w:szCs w:val="24"/>
          <w:highlight w:val="none"/>
          <w:lang w:val="en-US" w:eastAsia="zh-CN"/>
        </w:rPr>
        <w:t>第2.2.4（1）目规定的评审因素和分值对电梯综合评价部分计算出得分A；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第2.2.4（2）目规定的评审因素和分值对企业综合实力部分计算出得分B；</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第2.2.4（3）目规定的评审因素和分值对服务方案部分计算出得分C；</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第2.2.4（4）目规定的评审因素和分值对投标报价部分计算出得分D。</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3.2.2 评分分值计算保留小数点后两位，小数点后第三位</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四舍五入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3.2.3 投标人得分=A+B+</w:t>
      </w:r>
      <w:r>
        <w:rPr>
          <w:rFonts w:hint="eastAsia" w:ascii="Times New Roman" w:hAnsi="Times New Roman" w:cs="Times New Roman"/>
          <w:kern w:val="0"/>
          <w:sz w:val="24"/>
          <w:szCs w:val="24"/>
          <w:highlight w:val="none"/>
          <w:lang w:val="en-US" w:eastAsia="zh-CN"/>
        </w:rPr>
        <w:t>C+D。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 xml:space="preserve">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64"/>
      <w:r>
        <w:rPr>
          <w:rFonts w:hint="default" w:ascii="Times New Roman" w:hAnsi="Times New Roman" w:cs="Times New Roman" w:eastAsiaTheme="minorEastAsia"/>
          <w:b/>
          <w:bCs/>
          <w:kern w:val="0"/>
          <w:sz w:val="28"/>
          <w:szCs w:val="28"/>
          <w:highlight w:val="none"/>
        </w:rPr>
        <w:t>和补正</w:t>
      </w:r>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72" w:name="_Toc296602485"/>
      <w:bookmarkStart w:id="73" w:name="_Toc144974564"/>
      <w:bookmarkStart w:id="74" w:name="_Toc179632615"/>
      <w:bookmarkStart w:id="75" w:name="_Toc246996240"/>
      <w:bookmarkStart w:id="76" w:name="_Toc152045597"/>
      <w:bookmarkStart w:id="77" w:name="_Toc152042374"/>
      <w:bookmarkStart w:id="78" w:name="_Toc247085755"/>
      <w:bookmarkStart w:id="79" w:name="_Toc246996983"/>
      <w:r>
        <w:rPr>
          <w:rFonts w:hint="default" w:ascii="Times New Roman" w:hAnsi="Times New Roman" w:cs="Times New Roman" w:eastAsiaTheme="minorEastAsia"/>
          <w:b/>
          <w:bCs/>
          <w:kern w:val="0"/>
          <w:sz w:val="28"/>
          <w:szCs w:val="28"/>
          <w:highlight w:val="none"/>
        </w:rPr>
        <w:t>3.4 评标结果</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前附表授权直接确定中标人外，评标委员会按照得分由高到低的顺序推荐中标候选人。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主要合同条款前附表</w:t>
      </w:r>
    </w:p>
    <w:tbl>
      <w:tblPr>
        <w:tblStyle w:val="17"/>
        <w:tblW w:w="91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862" w:type="dxa"/>
            <w:vAlign w:val="center"/>
          </w:tcPr>
          <w:p>
            <w:pPr>
              <w:pStyle w:val="5"/>
              <w:spacing w:line="360" w:lineRule="auto"/>
              <w:ind w:firstLine="480" w:firstLineChars="200"/>
              <w:rPr>
                <w:i w:val="0"/>
                <w:iCs w:val="0"/>
                <w:color w:val="0000FF"/>
              </w:rPr>
            </w:pP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合同签订后10个工作日内支付合同价款的5%订金（订金抵为工程款）；在中标人发货前10天，招标人向中标人支付至合同价款的30％；货到现场并经招标人开箱检查合格后，10个工作日内付至合同价款的60%；验收合格并取得质量技术监督部门的使用许可证后，10个工作日内支付至合同价款的97%，余3%作为质量保修金，待质保期满2年且无质量问题或质量问题已处理后无息退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86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自取得电梯验收合格证之日起</w:t>
            </w:r>
            <w:r>
              <w:rPr>
                <w:rFonts w:hint="eastAsia" w:ascii="Times New Roman" w:hAnsi="Times New Roman" w:cs="Times New Roman"/>
                <w:kern w:val="0"/>
                <w:sz w:val="24"/>
                <w:szCs w:val="24"/>
                <w:highlight w:val="none"/>
                <w:u w:val="single"/>
                <w:shd w:val="clear" w:color="auto" w:fill="auto"/>
                <w:vertAlign w:val="baseline"/>
                <w:lang w:val="en-US" w:eastAsia="zh-CN"/>
              </w:rPr>
              <w:t xml:space="preserve"> 2 </w:t>
            </w:r>
            <w:r>
              <w:rPr>
                <w:rFonts w:hint="eastAsia" w:ascii="Times New Roman" w:hAnsi="Times New Roman" w:cs="Times New Roman"/>
                <w:kern w:val="0"/>
                <w:sz w:val="24"/>
                <w:szCs w:val="24"/>
                <w:highlight w:val="none"/>
                <w:shd w:val="clear" w:color="auto" w:fill="auto"/>
                <w:vertAlign w:val="baseline"/>
                <w:lang w:val="en-US" w:eastAsia="zh-CN"/>
              </w:rPr>
              <w:t>年（如投标人另有承诺，从其承诺执行）。</w:t>
            </w: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b/>
          <w:bCs/>
          <w:sz w:val="28"/>
          <w:szCs w:val="28"/>
          <w:highlight w:val="none"/>
          <w:lang w:val="en-US" w:eastAsia="zh-CN"/>
        </w:rPr>
      </w:pPr>
      <w:r>
        <w:rPr>
          <w:rFonts w:hint="eastAsia" w:ascii="Times New Roman" w:hAnsi="Times New Roman" w:eastAsia="仿宋_GB2312" w:cs="Times New Roman"/>
          <w:sz w:val="28"/>
          <w:szCs w:val="28"/>
          <w:lang w:val="en-US" w:eastAsia="zh-CN"/>
        </w:rPr>
        <w:t>说明：</w:t>
      </w:r>
      <w:r>
        <w:rPr>
          <w:rFonts w:hint="eastAsia" w:ascii="Times New Roman" w:hAnsi="Times New Roman" w:eastAsia="仿宋_GB2312" w:cs="Times New Roman"/>
          <w:color w:val="000000" w:themeColor="text1"/>
          <w:sz w:val="28"/>
          <w:szCs w:val="28"/>
          <w:shd w:val="clear" w:color="auto" w:fill="auto"/>
          <w:lang w:val="en-US" w:eastAsia="zh-CN"/>
          <w14:textFill>
            <w14:solidFill>
              <w14:schemeClr w14:val="tx1"/>
            </w14:solidFill>
          </w14:textFill>
        </w:rPr>
        <w:t>其他</w:t>
      </w:r>
      <w:r>
        <w:rPr>
          <w:rFonts w:hint="eastAsia" w:ascii="Times New Roman" w:hAnsi="Times New Roman" w:eastAsia="仿宋_GB2312" w:cs="Times New Roman"/>
          <w:sz w:val="28"/>
          <w:szCs w:val="28"/>
          <w:lang w:val="en-US" w:eastAsia="zh-CN"/>
        </w:rPr>
        <w:t>具体合同条款</w:t>
      </w:r>
      <w:r>
        <w:rPr>
          <w:rFonts w:hint="default" w:ascii="Times New Roman" w:hAnsi="Times New Roman" w:eastAsia="仿宋_GB2312" w:cs="Times New Roman"/>
          <w:sz w:val="28"/>
          <w:szCs w:val="28"/>
          <w:lang w:val="en-US" w:eastAsia="zh-CN"/>
        </w:rPr>
        <w:t>由</w:t>
      </w:r>
      <w:r>
        <w:rPr>
          <w:rFonts w:hint="eastAsia" w:ascii="Times New Roman" w:hAnsi="Times New Roman" w:eastAsia="仿宋_GB2312" w:cs="Times New Roman"/>
          <w:sz w:val="28"/>
          <w:szCs w:val="28"/>
          <w:lang w:val="en-US" w:eastAsia="zh-CN"/>
        </w:rPr>
        <w:t>招标</w:t>
      </w:r>
      <w:r>
        <w:rPr>
          <w:rFonts w:hint="default" w:ascii="Times New Roman" w:hAnsi="Times New Roman" w:eastAsia="仿宋_GB2312" w:cs="Times New Roman"/>
          <w:sz w:val="28"/>
          <w:szCs w:val="28"/>
          <w:lang w:val="en-US" w:eastAsia="zh-CN"/>
        </w:rPr>
        <w:t>人与</w:t>
      </w:r>
      <w:r>
        <w:rPr>
          <w:rFonts w:hint="eastAsia" w:ascii="Times New Roman" w:hAnsi="Times New Roman" w:eastAsia="仿宋_GB2312" w:cs="Times New Roman"/>
          <w:sz w:val="28"/>
          <w:szCs w:val="28"/>
          <w:lang w:val="en-US" w:eastAsia="zh-CN"/>
        </w:rPr>
        <w:t>中标单</w:t>
      </w:r>
      <w:r>
        <w:rPr>
          <w:rFonts w:hint="default" w:ascii="Times New Roman" w:hAnsi="Times New Roman" w:eastAsia="仿宋_GB2312" w:cs="Times New Roman"/>
          <w:sz w:val="28"/>
          <w:szCs w:val="28"/>
          <w:lang w:val="en-US" w:eastAsia="zh-CN"/>
        </w:rPr>
        <w:t>位在不违背</w:t>
      </w:r>
      <w:r>
        <w:rPr>
          <w:rFonts w:hint="eastAsia" w:ascii="Times New Roman" w:hAnsi="Times New Roman" w:eastAsia="仿宋_GB2312" w:cs="Times New Roman"/>
          <w:sz w:val="28"/>
          <w:szCs w:val="28"/>
          <w:lang w:val="en-US" w:eastAsia="zh-CN"/>
        </w:rPr>
        <w:t>招标文件</w:t>
      </w:r>
      <w:r>
        <w:rPr>
          <w:rFonts w:hint="default" w:ascii="Times New Roman" w:hAnsi="Times New Roman" w:eastAsia="仿宋_GB2312" w:cs="Times New Roman"/>
          <w:sz w:val="28"/>
          <w:szCs w:val="28"/>
          <w:lang w:val="en-US" w:eastAsia="zh-CN"/>
        </w:rPr>
        <w:t>内容和</w:t>
      </w:r>
      <w:r>
        <w:rPr>
          <w:rFonts w:hint="eastAsia" w:ascii="Times New Roman" w:hAnsi="Times New Roman" w:eastAsia="仿宋_GB2312" w:cs="Times New Roman"/>
          <w:sz w:val="28"/>
          <w:szCs w:val="28"/>
          <w:lang w:val="en-US" w:eastAsia="zh-CN"/>
        </w:rPr>
        <w:t>投标</w:t>
      </w:r>
      <w:r>
        <w:rPr>
          <w:rFonts w:hint="default" w:ascii="Times New Roman" w:hAnsi="Times New Roman" w:eastAsia="仿宋_GB2312" w:cs="Times New Roman"/>
          <w:sz w:val="28"/>
          <w:szCs w:val="28"/>
          <w:lang w:val="en-US" w:eastAsia="zh-CN"/>
        </w:rPr>
        <w:t>文件承诺的条件下友好协商签订</w:t>
      </w:r>
      <w:r>
        <w:rPr>
          <w:rFonts w:hint="eastAsia" w:ascii="Times New Roman" w:hAnsi="Times New Roman" w:eastAsia="仿宋_GB2312" w:cs="Times New Roman"/>
          <w:sz w:val="28"/>
          <w:szCs w:val="28"/>
          <w:lang w:val="en-US" w:eastAsia="zh-CN"/>
        </w:rPr>
        <w:t>。</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16"/>
    <w:bookmarkEnd w:id="17"/>
    <w:bookmarkEnd w:id="18"/>
    <w:bookmarkEnd w:id="19"/>
    <w:bookmarkEnd w:id="20"/>
    <w:bookmarkEnd w:id="21"/>
    <w:bookmarkEnd w:id="22"/>
    <w:bookmarkEnd w:id="23"/>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详见附件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注：施工图纸建筑设计总说明中“电梯一览表”个别有误，3#楼开门形式有误，4#、5#楼层数、站数有误，以“附件：电梯一览表”为准。详见各层平面图、附件：分项报价清单、附件：电梯一览表。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strike/>
          <w:dstrike w:val="0"/>
          <w:color w:val="FF0000"/>
          <w:sz w:val="28"/>
          <w:szCs w:val="28"/>
          <w:highlight w:val="cyan"/>
        </w:rPr>
      </w:pPr>
      <w:r>
        <w:rPr>
          <w:rFonts w:hint="eastAsia" w:asciiTheme="majorEastAsia" w:hAnsiTheme="majorEastAsia" w:eastAsiaTheme="majorEastAsia" w:cstheme="majorEastAsia"/>
          <w:b/>
          <w:bCs/>
          <w:sz w:val="32"/>
          <w:szCs w:val="32"/>
          <w:highlight w:val="none"/>
          <w:lang w:val="en-US" w:eastAsia="zh-CN"/>
        </w:rPr>
        <w:t>第六章 技术标准和要求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lang w:val="en-US" w:eastAsia="zh-CN"/>
        </w:rPr>
        <w:t>一、</w:t>
      </w:r>
      <w:r>
        <w:rPr>
          <w:rFonts w:hint="eastAsia" w:asciiTheme="minorEastAsia" w:hAnsiTheme="minorEastAsia" w:eastAsiaTheme="minorEastAsia" w:cstheme="minorEastAsia"/>
          <w:b/>
          <w:sz w:val="24"/>
          <w:szCs w:val="24"/>
        </w:rPr>
        <w:t>招标范围</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1、</w:t>
      </w:r>
      <w:r>
        <w:rPr>
          <w:rFonts w:hint="eastAsia" w:asciiTheme="minorEastAsia" w:hAnsiTheme="minorEastAsia" w:eastAsiaTheme="minorEastAsia" w:cstheme="minorEastAsia"/>
          <w:sz w:val="24"/>
          <w:szCs w:val="24"/>
        </w:rPr>
        <w:t>投标人负责电梯的供货、包装运输、安装调试、电梯轿厢装修、培训、验收、移交、售后服务等全部工作。</w:t>
      </w:r>
    </w:p>
    <w:p>
      <w:pPr>
        <w:keepNext w:val="0"/>
        <w:keepLines w:val="0"/>
        <w:pageBreakBefore w:val="0"/>
        <w:widowControl w:val="0"/>
        <w:numPr>
          <w:ilvl w:val="0"/>
          <w:numId w:val="0"/>
        </w:numPr>
        <w:tabs>
          <w:tab w:val="left" w:pos="480"/>
        </w:tabs>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lang w:val="en-US" w:eastAsia="zh-CN"/>
        </w:rPr>
        <w:t>2、</w:t>
      </w:r>
      <w:r>
        <w:rPr>
          <w:rFonts w:hint="eastAsia" w:asciiTheme="minorEastAsia" w:hAnsiTheme="minorEastAsia" w:eastAsiaTheme="minorEastAsia" w:cstheme="minorEastAsia"/>
          <w:b/>
          <w:sz w:val="24"/>
          <w:szCs w:val="24"/>
        </w:rPr>
        <w:t>安装、调试、检验和验收</w:t>
      </w:r>
    </w:p>
    <w:p>
      <w:pPr>
        <w:keepNext w:val="0"/>
        <w:keepLines w:val="0"/>
        <w:pageBreakBefore w:val="0"/>
        <w:widowControl w:val="0"/>
        <w:numPr>
          <w:ilvl w:val="0"/>
          <w:numId w:val="0"/>
        </w:numPr>
        <w:tabs>
          <w:tab w:val="left" w:pos="480"/>
        </w:tabs>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b/>
          <w:bCs/>
          <w:color w:val="FF0000"/>
          <w:sz w:val="24"/>
          <w:szCs w:val="24"/>
        </w:rPr>
        <w:t>本次所采购电梯的安装属于“交钥匙”工程，即由中标人负责合同的安装、调试、报验直至领取运行许可的所有证照，期间发生的一切费用由中标人负责。</w:t>
      </w:r>
      <w:r>
        <w:rPr>
          <w:rFonts w:hint="eastAsia" w:asciiTheme="minorEastAsia" w:hAnsiTheme="minorEastAsia" w:eastAsiaTheme="minorEastAsia" w:cstheme="minorEastAsia"/>
          <w:sz w:val="24"/>
          <w:szCs w:val="24"/>
        </w:rPr>
        <w:t>中标人在施工过程中需要与现场其他施工单位积极配合协调。</w:t>
      </w:r>
    </w:p>
    <w:p>
      <w:pPr>
        <w:keepNext w:val="0"/>
        <w:keepLines w:val="0"/>
        <w:pageBreakBefore w:val="0"/>
        <w:widowControl w:val="0"/>
        <w:numPr>
          <w:ilvl w:val="0"/>
          <w:numId w:val="0"/>
        </w:numPr>
        <w:tabs>
          <w:tab w:val="left" w:pos="480"/>
        </w:tabs>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在设备安装之前，招标人负责完成电梯土建的井道施工。在安装、调试过程中招标人提供水和电源。</w:t>
      </w:r>
      <w:r>
        <w:rPr>
          <w:rFonts w:hint="eastAsia" w:asciiTheme="minorEastAsia" w:hAnsiTheme="minorEastAsia" w:eastAsiaTheme="minorEastAsia" w:cstheme="minorEastAsia"/>
          <w:b/>
          <w:bCs/>
          <w:color w:val="FF0000"/>
          <w:sz w:val="24"/>
          <w:szCs w:val="24"/>
        </w:rPr>
        <w:t>货物到达现场后卸货所需的起重设备、辅助及货物现场保管</w:t>
      </w:r>
      <w:r>
        <w:rPr>
          <w:rFonts w:hint="eastAsia" w:asciiTheme="minorEastAsia" w:hAnsiTheme="minorEastAsia" w:cstheme="minorEastAsia"/>
          <w:b/>
          <w:bCs/>
          <w:color w:val="FF0000"/>
          <w:sz w:val="24"/>
          <w:szCs w:val="24"/>
          <w:lang w:eastAsia="zh-CN"/>
        </w:rPr>
        <w:t>、</w:t>
      </w:r>
      <w:r>
        <w:rPr>
          <w:rFonts w:hint="eastAsia" w:asciiTheme="minorEastAsia" w:hAnsiTheme="minorEastAsia" w:eastAsiaTheme="minorEastAsia" w:cstheme="minorEastAsia"/>
          <w:b/>
          <w:bCs/>
          <w:color w:val="FF0000"/>
          <w:sz w:val="24"/>
          <w:szCs w:val="24"/>
        </w:rPr>
        <w:t>安装调试</w:t>
      </w:r>
      <w:r>
        <w:rPr>
          <w:rFonts w:hint="eastAsia" w:asciiTheme="minorEastAsia" w:hAnsiTheme="minorEastAsia" w:cstheme="minorEastAsia"/>
          <w:b/>
          <w:bCs/>
          <w:color w:val="FF0000"/>
          <w:sz w:val="24"/>
          <w:szCs w:val="24"/>
          <w:lang w:val="en-US" w:eastAsia="zh-CN"/>
        </w:rPr>
        <w:t>等</w:t>
      </w:r>
      <w:r>
        <w:rPr>
          <w:rFonts w:hint="eastAsia" w:asciiTheme="minorEastAsia" w:hAnsiTheme="minorEastAsia" w:eastAsiaTheme="minorEastAsia" w:cstheme="minorEastAsia"/>
          <w:b/>
          <w:bCs/>
          <w:color w:val="FF0000"/>
          <w:sz w:val="24"/>
          <w:szCs w:val="24"/>
        </w:rPr>
        <w:t>所需的一切费用由中标人负责。</w:t>
      </w:r>
    </w:p>
    <w:p>
      <w:pPr>
        <w:keepNext w:val="0"/>
        <w:keepLines w:val="0"/>
        <w:pageBreakBefore w:val="0"/>
        <w:widowControl w:val="0"/>
        <w:numPr>
          <w:ilvl w:val="0"/>
          <w:numId w:val="0"/>
        </w:numPr>
        <w:tabs>
          <w:tab w:val="left" w:pos="480"/>
        </w:tabs>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在安装调试过程中，允许招标人人员参加。设备在此过程中的损坏由中标人负责。</w:t>
      </w:r>
    </w:p>
    <w:p>
      <w:pPr>
        <w:keepNext w:val="0"/>
        <w:keepLines w:val="0"/>
        <w:pageBreakBefore w:val="0"/>
        <w:widowControl w:val="0"/>
        <w:numPr>
          <w:ilvl w:val="0"/>
          <w:numId w:val="0"/>
        </w:numPr>
        <w:tabs>
          <w:tab w:val="left" w:pos="480"/>
        </w:tabs>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安装要求：</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720" w:firstLineChars="3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a</w:t>
      </w:r>
      <w:r>
        <w:rPr>
          <w:rFonts w:hint="eastAsia" w:asciiTheme="minorEastAsia" w:hAnsiTheme="minorEastAsia" w:eastAsiaTheme="minorEastAsia" w:cstheme="minorEastAsia"/>
          <w:sz w:val="24"/>
          <w:szCs w:val="24"/>
          <w:lang w:eastAsia="zh-CN"/>
        </w:rPr>
        <w:t>）须</w:t>
      </w:r>
      <w:r>
        <w:rPr>
          <w:rFonts w:hint="eastAsia" w:asciiTheme="minorEastAsia" w:hAnsiTheme="minorEastAsia" w:eastAsiaTheme="minorEastAsia" w:cstheme="minorEastAsia"/>
          <w:sz w:val="24"/>
          <w:szCs w:val="24"/>
        </w:rPr>
        <w:t>具有《中华人民共和国特种安装改造维修许可证》B级及以上资质，并说明安装队伍的同类型电梯安装工程业绩。</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720" w:firstLineChars="3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b</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安装队伍概况说明，拟参加安装人员技术证书和工作证及其安装业绩表。</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720" w:firstLineChars="3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c</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安装施工组织计划及流程，所采用的新工艺、新方法。</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720" w:firstLineChars="3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d</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电梯的安装标准将执行最新的国家标准。</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 xml:space="preserve"> 鉴定和验收</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a</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现场验收：设备、附件及备件的开箱检验，应在货物到达交货地点后10天内在合同制定的现场完成。</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b</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场地环境：货物到达安装现场后，按有关技术规程的规定存放和保管，如中标人有特殊要求，应向招标人及早提出。</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c</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安装调试：货物应</w:t>
      </w:r>
      <w:r>
        <w:rPr>
          <w:rFonts w:hint="eastAsia" w:asciiTheme="minorEastAsia" w:hAnsiTheme="minorEastAsia" w:cstheme="minorEastAsia"/>
          <w:sz w:val="24"/>
          <w:szCs w:val="24"/>
          <w:lang w:eastAsia="zh-CN"/>
        </w:rPr>
        <w:t>由</w:t>
      </w:r>
      <w:r>
        <w:rPr>
          <w:rFonts w:hint="eastAsia" w:asciiTheme="minorEastAsia" w:hAnsiTheme="minorEastAsia" w:eastAsiaTheme="minorEastAsia" w:cstheme="minorEastAsia"/>
          <w:sz w:val="24"/>
          <w:szCs w:val="24"/>
        </w:rPr>
        <w:t>中标人负责在招标人建筑工地现场进行安装、调试及试运行，经当地技术监督局电梯检测合格后交付招标人使用。在安装、调试过程中造成的货物损坏，责任均在中标人。</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3．质量保证</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投标人提供的所有货物在设计、制造、产品性能、材料的选择和材料的检验及产品的测试等方面均须符合最新发布的国家标准和技术规范。投标人在投标书中应对货物的质量保证体系和使用的标准做出说明。</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投标人所提供货物的技术规格应与招标文件技术规格规定的标准相一致或优于招标文件技术规格。若技术规格中无相应规定，货物则应符合相应的国家标准或其原厂家最新颁布的相应的正式标准。</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质量保证期：</w:t>
      </w:r>
      <w:r>
        <w:rPr>
          <w:rFonts w:hint="eastAsia" w:asciiTheme="minorEastAsia" w:hAnsiTheme="minorEastAsia" w:eastAsiaTheme="minorEastAsia" w:cstheme="minorEastAsia"/>
          <w:b/>
          <w:bCs/>
          <w:color w:val="FF0000"/>
          <w:sz w:val="24"/>
          <w:szCs w:val="24"/>
        </w:rPr>
        <w:t>在</w:t>
      </w:r>
      <w:r>
        <w:rPr>
          <w:rFonts w:hint="eastAsia" w:asciiTheme="minorEastAsia" w:hAnsiTheme="minorEastAsia" w:eastAsiaTheme="minorEastAsia" w:cstheme="minorEastAsia"/>
          <w:b/>
          <w:bCs/>
          <w:color w:val="0000FF"/>
          <w:sz w:val="24"/>
          <w:szCs w:val="24"/>
          <w:lang w:val="en-US" w:eastAsia="zh-CN"/>
        </w:rPr>
        <w:t>24</w:t>
      </w:r>
      <w:r>
        <w:rPr>
          <w:rFonts w:hint="eastAsia" w:asciiTheme="minorEastAsia" w:hAnsiTheme="minorEastAsia" w:eastAsiaTheme="minorEastAsia" w:cstheme="minorEastAsia"/>
          <w:b/>
          <w:bCs/>
          <w:color w:val="FF0000"/>
          <w:sz w:val="24"/>
          <w:szCs w:val="24"/>
        </w:rPr>
        <w:t>个月质量保证期内（如投标人另有承诺，从其承诺执行）</w:t>
      </w:r>
      <w:r>
        <w:rPr>
          <w:rFonts w:hint="eastAsia" w:asciiTheme="minorEastAsia" w:hAnsiTheme="minorEastAsia" w:eastAsiaTheme="minorEastAsia" w:cstheme="minorEastAsia"/>
          <w:sz w:val="24"/>
          <w:szCs w:val="24"/>
        </w:rPr>
        <w:t>，招标人按照系统使用说明书，在正常条件下使用，由于中标人设计或制造上的缺陷而发生的损坏由中标人负责。</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4.技术支持和服务</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计划</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在合同生效后的15天内，中标人应向招标人提供一份详尽的“工作进度表”，该进度表应含：交货时间表、安装、调试计划和时间表，对招标人人员的培训计划等，并在“工作计划表”中说明招标人应具备的安装条件。</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培训</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中标人应免费为招标人培训设备维修及操作人员各2名，使招标人能够尽快地熟悉设备的性能和使用，甚至能够独立操作。</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质量保证期内的服务</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a</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零、部件更换</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对由于零、部件质量问题造成的零、部件损坏，中标人将提供现场服务，免费维修更换损坏的零、部件。由于招标人人为原因造成的零、部件损坏，中标人有义务对损坏零、部件</w:t>
      </w:r>
      <w:r>
        <w:rPr>
          <w:rFonts w:hint="eastAsia" w:asciiTheme="minorEastAsia" w:hAnsiTheme="minorEastAsia" w:cstheme="minorEastAsia"/>
          <w:sz w:val="24"/>
          <w:szCs w:val="24"/>
          <w:lang w:eastAsia="zh-CN"/>
        </w:rPr>
        <w:t>做</w:t>
      </w:r>
      <w:r>
        <w:rPr>
          <w:rFonts w:hint="eastAsia" w:asciiTheme="minorEastAsia" w:hAnsiTheme="minorEastAsia" w:eastAsiaTheme="minorEastAsia" w:cstheme="minorEastAsia"/>
          <w:sz w:val="24"/>
          <w:szCs w:val="24"/>
        </w:rPr>
        <w:t>有偿的维修更换。更换后的质量保证期不少于贰年。</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b</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故障响应</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中标人所提供的设备发生故障后，招标人应立即通知中标人。对于操作故障中标人应在接到故障通知四小时内给予解答；对于设备故障，中标人应在接到故障通知后24小时内派技术人员到达现场。在接到招标人故障通知后，若中标人在应该到达现场的情况下而未能在48小时内到达现场，招标人有权要求中标人给予赔偿。具体做法是：从接到招标人故障通知之日的第四天起，每天赔偿招标人质量保证金的2％。</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c</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软件升级</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中标人有责任及时向招标人通报软件升级情况，中标人应免费提供软件升级服务。</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保修期内的服务</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a</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在保修期内中标人应继续对招标人使用过程中的设备损坏进行售后服务。</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b</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保修期内的服务是有偿服务，但中标人应以低于市场价的优惠价格收取相应费用。</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保修期外的服务</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a</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热线服务：中标人应提供一条热线电话以保证招标人及时要求服务。</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b</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备件服务：中标人应具备充分的备品、配件、可及时向招标人提供技术服务和备件服务。</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维护与保养</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a</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制造商在招标人当地必须设立售后服务站（点）。售后服务站（点）必须具有质检部门颁发电梯安装、维护、保养及改造许可证；</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b</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具有类似产品的维护、保养经验；</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c</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具有质量体系认证的证书；</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d</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完善的零部件供应体制。中标人应以低于市场价的优惠价格提供易损件；</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e</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可按客户选择的非繁忙时间提供服务；</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f</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保养电梯每年作一次全面整梯检修，并视不同易损部件实行1</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6个月定期检修、维护；</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g</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可提供代办每年向政府部门申请年审；并通过年间验收。</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h</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可提供遥监控制系统服务等。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lang w:val="en-US" w:eastAsia="zh-CN"/>
        </w:rPr>
        <w:t>二、</w:t>
      </w:r>
      <w:r>
        <w:rPr>
          <w:rFonts w:hint="eastAsia" w:asciiTheme="minorEastAsia" w:hAnsiTheme="minorEastAsia" w:eastAsiaTheme="minorEastAsia" w:cstheme="minorEastAsia"/>
          <w:b/>
          <w:sz w:val="24"/>
          <w:szCs w:val="24"/>
        </w:rPr>
        <w:t>技术要求</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lang w:val="en-US" w:eastAsia="zh-CN"/>
        </w:rPr>
        <w:t>1</w:t>
      </w:r>
      <w:r>
        <w:rPr>
          <w:rFonts w:hint="eastAsia" w:asciiTheme="minorEastAsia" w:hAnsiTheme="minorEastAsia" w:eastAsiaTheme="minorEastAsia" w:cstheme="minorEastAsia"/>
          <w:b/>
          <w:sz w:val="24"/>
          <w:szCs w:val="24"/>
        </w:rPr>
        <w:t>.电梯技术具体要求</w:t>
      </w:r>
      <w:r>
        <w:rPr>
          <w:rFonts w:hint="eastAsia" w:asciiTheme="minorEastAsia" w:hAnsiTheme="minorEastAsia" w:eastAsiaTheme="minorEastAsia" w:cstheme="minorEastAsia"/>
          <w:sz w:val="24"/>
          <w:szCs w:val="24"/>
        </w:rPr>
        <w:t xml:space="preserve">                                       </w:t>
      </w:r>
    </w:p>
    <w:tbl>
      <w:tblPr>
        <w:tblStyle w:val="16"/>
        <w:tblW w:w="8570" w:type="dxa"/>
        <w:tblInd w:w="0" w:type="dxa"/>
        <w:tblLayout w:type="fixed"/>
        <w:tblCellMar>
          <w:top w:w="0" w:type="dxa"/>
          <w:left w:w="108" w:type="dxa"/>
          <w:bottom w:w="0" w:type="dxa"/>
          <w:right w:w="108" w:type="dxa"/>
        </w:tblCellMar>
      </w:tblPr>
      <w:tblGrid>
        <w:gridCol w:w="1326"/>
        <w:gridCol w:w="1176"/>
        <w:gridCol w:w="1469"/>
        <w:gridCol w:w="4599"/>
      </w:tblGrid>
      <w:tr>
        <w:tblPrEx>
          <w:tblCellMar>
            <w:top w:w="0" w:type="dxa"/>
            <w:left w:w="108" w:type="dxa"/>
            <w:bottom w:w="0" w:type="dxa"/>
            <w:right w:w="108" w:type="dxa"/>
          </w:tblCellMar>
        </w:tblPrEx>
        <w:trPr>
          <w:trHeight w:val="404" w:hRule="atLeast"/>
        </w:trPr>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品目</w:t>
            </w:r>
          </w:p>
        </w:tc>
        <w:tc>
          <w:tcPr>
            <w:tcW w:w="264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参数</w:t>
            </w:r>
          </w:p>
        </w:tc>
        <w:tc>
          <w:tcPr>
            <w:tcW w:w="459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具体要求</w:t>
            </w:r>
          </w:p>
        </w:tc>
      </w:tr>
      <w:tr>
        <w:tblPrEx>
          <w:tblCellMar>
            <w:top w:w="0" w:type="dxa"/>
            <w:left w:w="108" w:type="dxa"/>
            <w:bottom w:w="0" w:type="dxa"/>
            <w:right w:w="108" w:type="dxa"/>
          </w:tblCellMar>
        </w:tblPrEx>
        <w:trPr>
          <w:trHeight w:val="326" w:hRule="atLeast"/>
        </w:trPr>
        <w:tc>
          <w:tcPr>
            <w:tcW w:w="1326"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机械、</w:t>
            </w:r>
          </w:p>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电器</w:t>
            </w:r>
          </w:p>
        </w:tc>
        <w:tc>
          <w:tcPr>
            <w:tcW w:w="264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起始层</w:t>
            </w:r>
          </w:p>
        </w:tc>
        <w:tc>
          <w:tcPr>
            <w:tcW w:w="459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见施工图纸</w:t>
            </w:r>
          </w:p>
        </w:tc>
      </w:tr>
      <w:tr>
        <w:tblPrEx>
          <w:tblCellMar>
            <w:top w:w="0" w:type="dxa"/>
            <w:left w:w="108" w:type="dxa"/>
            <w:bottom w:w="0" w:type="dxa"/>
            <w:right w:w="108" w:type="dxa"/>
          </w:tblCellMar>
        </w:tblPrEx>
        <w:trPr>
          <w:trHeight w:val="326" w:hRule="atLeast"/>
        </w:trPr>
        <w:tc>
          <w:tcPr>
            <w:tcW w:w="132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p>
        </w:tc>
        <w:tc>
          <w:tcPr>
            <w:tcW w:w="264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停层</w:t>
            </w:r>
          </w:p>
        </w:tc>
        <w:tc>
          <w:tcPr>
            <w:tcW w:w="459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color w:val="0000FF"/>
                <w:sz w:val="24"/>
                <w:szCs w:val="24"/>
              </w:rPr>
              <w:t>详见清单及电梯一览表</w:t>
            </w:r>
          </w:p>
        </w:tc>
      </w:tr>
      <w:tr>
        <w:tblPrEx>
          <w:tblCellMar>
            <w:top w:w="0" w:type="dxa"/>
            <w:left w:w="108" w:type="dxa"/>
            <w:bottom w:w="0" w:type="dxa"/>
            <w:right w:w="108" w:type="dxa"/>
          </w:tblCellMar>
        </w:tblPrEx>
        <w:trPr>
          <w:trHeight w:val="326" w:hRule="atLeast"/>
        </w:trPr>
        <w:tc>
          <w:tcPr>
            <w:tcW w:w="132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p>
        </w:tc>
        <w:tc>
          <w:tcPr>
            <w:tcW w:w="264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速度</w:t>
            </w:r>
          </w:p>
        </w:tc>
        <w:tc>
          <w:tcPr>
            <w:tcW w:w="459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见施工图纸</w:t>
            </w:r>
          </w:p>
        </w:tc>
      </w:tr>
      <w:tr>
        <w:tblPrEx>
          <w:tblCellMar>
            <w:top w:w="0" w:type="dxa"/>
            <w:left w:w="108" w:type="dxa"/>
            <w:bottom w:w="0" w:type="dxa"/>
            <w:right w:w="108" w:type="dxa"/>
          </w:tblCellMar>
        </w:tblPrEx>
        <w:trPr>
          <w:trHeight w:val="326" w:hRule="atLeast"/>
        </w:trPr>
        <w:tc>
          <w:tcPr>
            <w:tcW w:w="132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p>
        </w:tc>
        <w:tc>
          <w:tcPr>
            <w:tcW w:w="264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载重</w:t>
            </w:r>
          </w:p>
        </w:tc>
        <w:tc>
          <w:tcPr>
            <w:tcW w:w="459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见施工图纸</w:t>
            </w:r>
          </w:p>
        </w:tc>
      </w:tr>
      <w:tr>
        <w:tblPrEx>
          <w:tblCellMar>
            <w:top w:w="0" w:type="dxa"/>
            <w:left w:w="108" w:type="dxa"/>
            <w:bottom w:w="0" w:type="dxa"/>
            <w:right w:w="108" w:type="dxa"/>
          </w:tblCellMar>
        </w:tblPrEx>
        <w:trPr>
          <w:trHeight w:val="326" w:hRule="atLeast"/>
        </w:trPr>
        <w:tc>
          <w:tcPr>
            <w:tcW w:w="132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p>
        </w:tc>
        <w:tc>
          <w:tcPr>
            <w:tcW w:w="264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井道总高度</w:t>
            </w:r>
          </w:p>
        </w:tc>
        <w:tc>
          <w:tcPr>
            <w:tcW w:w="459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见施工图纸</w:t>
            </w:r>
          </w:p>
        </w:tc>
      </w:tr>
      <w:tr>
        <w:tblPrEx>
          <w:tblCellMar>
            <w:top w:w="0" w:type="dxa"/>
            <w:left w:w="108" w:type="dxa"/>
            <w:bottom w:w="0" w:type="dxa"/>
            <w:right w:w="108" w:type="dxa"/>
          </w:tblCellMar>
        </w:tblPrEx>
        <w:trPr>
          <w:trHeight w:val="326" w:hRule="atLeast"/>
        </w:trPr>
        <w:tc>
          <w:tcPr>
            <w:tcW w:w="132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p>
        </w:tc>
        <w:tc>
          <w:tcPr>
            <w:tcW w:w="264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机房位置</w:t>
            </w:r>
          </w:p>
        </w:tc>
        <w:tc>
          <w:tcPr>
            <w:tcW w:w="459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见施工图纸</w:t>
            </w:r>
          </w:p>
        </w:tc>
      </w:tr>
      <w:tr>
        <w:tblPrEx>
          <w:tblCellMar>
            <w:top w:w="0" w:type="dxa"/>
            <w:left w:w="108" w:type="dxa"/>
            <w:bottom w:w="0" w:type="dxa"/>
            <w:right w:w="108" w:type="dxa"/>
          </w:tblCellMar>
        </w:tblPrEx>
        <w:trPr>
          <w:trHeight w:val="326" w:hRule="atLeast"/>
        </w:trPr>
        <w:tc>
          <w:tcPr>
            <w:tcW w:w="132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p>
        </w:tc>
        <w:tc>
          <w:tcPr>
            <w:tcW w:w="264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控制方式</w:t>
            </w:r>
          </w:p>
        </w:tc>
        <w:tc>
          <w:tcPr>
            <w:tcW w:w="459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并联控制</w:t>
            </w:r>
          </w:p>
        </w:tc>
      </w:tr>
      <w:tr>
        <w:tblPrEx>
          <w:tblCellMar>
            <w:top w:w="0" w:type="dxa"/>
            <w:left w:w="108" w:type="dxa"/>
            <w:bottom w:w="0" w:type="dxa"/>
            <w:right w:w="108" w:type="dxa"/>
          </w:tblCellMar>
        </w:tblPrEx>
        <w:trPr>
          <w:trHeight w:val="110" w:hRule="atLeast"/>
        </w:trPr>
        <w:tc>
          <w:tcPr>
            <w:tcW w:w="132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p>
        </w:tc>
        <w:tc>
          <w:tcPr>
            <w:tcW w:w="264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电源要求</w:t>
            </w:r>
          </w:p>
        </w:tc>
        <w:tc>
          <w:tcPr>
            <w:tcW w:w="459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动力电源：交流，三相，380V，50Hz</w:t>
            </w:r>
          </w:p>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照明电源：交流，单相，220V，50Hz</w:t>
            </w:r>
          </w:p>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见施工图纸</w:t>
            </w:r>
          </w:p>
        </w:tc>
      </w:tr>
      <w:tr>
        <w:tblPrEx>
          <w:tblCellMar>
            <w:top w:w="0" w:type="dxa"/>
            <w:left w:w="108" w:type="dxa"/>
            <w:bottom w:w="0" w:type="dxa"/>
            <w:right w:w="108" w:type="dxa"/>
          </w:tblCellMar>
        </w:tblPrEx>
        <w:trPr>
          <w:trHeight w:val="326" w:hRule="atLeast"/>
        </w:trPr>
        <w:tc>
          <w:tcPr>
            <w:tcW w:w="1326"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各节</w:t>
            </w:r>
          </w:p>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尺寸</w:t>
            </w:r>
          </w:p>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（详见电梯设计图）</w:t>
            </w:r>
          </w:p>
        </w:tc>
        <w:tc>
          <w:tcPr>
            <w:tcW w:w="1176"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电梯井</w:t>
            </w:r>
          </w:p>
        </w:tc>
        <w:tc>
          <w:tcPr>
            <w:tcW w:w="146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设计宽度</w:t>
            </w:r>
          </w:p>
        </w:tc>
        <w:tc>
          <w:tcPr>
            <w:tcW w:w="459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见施工图纸</w:t>
            </w:r>
          </w:p>
        </w:tc>
      </w:tr>
      <w:tr>
        <w:tblPrEx>
          <w:tblCellMar>
            <w:top w:w="0" w:type="dxa"/>
            <w:left w:w="108" w:type="dxa"/>
            <w:bottom w:w="0" w:type="dxa"/>
            <w:right w:w="108" w:type="dxa"/>
          </w:tblCellMar>
        </w:tblPrEx>
        <w:trPr>
          <w:trHeight w:val="326" w:hRule="atLeast"/>
        </w:trPr>
        <w:tc>
          <w:tcPr>
            <w:tcW w:w="132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p>
        </w:tc>
        <w:tc>
          <w:tcPr>
            <w:tcW w:w="117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p>
        </w:tc>
        <w:tc>
          <w:tcPr>
            <w:tcW w:w="146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设计深度</w:t>
            </w:r>
          </w:p>
        </w:tc>
        <w:tc>
          <w:tcPr>
            <w:tcW w:w="459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见施工图纸</w:t>
            </w:r>
          </w:p>
        </w:tc>
      </w:tr>
      <w:tr>
        <w:tblPrEx>
          <w:tblCellMar>
            <w:top w:w="0" w:type="dxa"/>
            <w:left w:w="108" w:type="dxa"/>
            <w:bottom w:w="0" w:type="dxa"/>
            <w:right w:w="108" w:type="dxa"/>
          </w:tblCellMar>
        </w:tblPrEx>
        <w:trPr>
          <w:trHeight w:val="326" w:hRule="atLeast"/>
        </w:trPr>
        <w:tc>
          <w:tcPr>
            <w:tcW w:w="132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p>
        </w:tc>
        <w:tc>
          <w:tcPr>
            <w:tcW w:w="1176"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电梯门</w:t>
            </w:r>
          </w:p>
        </w:tc>
        <w:tc>
          <w:tcPr>
            <w:tcW w:w="146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门宽度</w:t>
            </w:r>
          </w:p>
        </w:tc>
        <w:tc>
          <w:tcPr>
            <w:tcW w:w="459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见施工图纸</w:t>
            </w:r>
          </w:p>
        </w:tc>
      </w:tr>
      <w:tr>
        <w:tblPrEx>
          <w:tblCellMar>
            <w:top w:w="0" w:type="dxa"/>
            <w:left w:w="108" w:type="dxa"/>
            <w:bottom w:w="0" w:type="dxa"/>
            <w:right w:w="108" w:type="dxa"/>
          </w:tblCellMar>
        </w:tblPrEx>
        <w:trPr>
          <w:trHeight w:val="326" w:hRule="atLeast"/>
        </w:trPr>
        <w:tc>
          <w:tcPr>
            <w:tcW w:w="132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p>
        </w:tc>
        <w:tc>
          <w:tcPr>
            <w:tcW w:w="117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p>
        </w:tc>
        <w:tc>
          <w:tcPr>
            <w:tcW w:w="146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门高度</w:t>
            </w:r>
          </w:p>
        </w:tc>
        <w:tc>
          <w:tcPr>
            <w:tcW w:w="459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见施工图纸</w:t>
            </w:r>
          </w:p>
        </w:tc>
      </w:tr>
      <w:tr>
        <w:tblPrEx>
          <w:tblCellMar>
            <w:top w:w="0" w:type="dxa"/>
            <w:left w:w="108" w:type="dxa"/>
            <w:bottom w:w="0" w:type="dxa"/>
            <w:right w:w="108" w:type="dxa"/>
          </w:tblCellMar>
        </w:tblPrEx>
        <w:trPr>
          <w:trHeight w:val="326" w:hRule="atLeast"/>
        </w:trPr>
        <w:tc>
          <w:tcPr>
            <w:tcW w:w="132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p>
        </w:tc>
        <w:tc>
          <w:tcPr>
            <w:tcW w:w="264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顶层深度</w:t>
            </w:r>
          </w:p>
        </w:tc>
        <w:tc>
          <w:tcPr>
            <w:tcW w:w="459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见施工图纸</w:t>
            </w:r>
          </w:p>
        </w:tc>
      </w:tr>
      <w:tr>
        <w:tblPrEx>
          <w:tblCellMar>
            <w:top w:w="0" w:type="dxa"/>
            <w:left w:w="108" w:type="dxa"/>
            <w:bottom w:w="0" w:type="dxa"/>
            <w:right w:w="108" w:type="dxa"/>
          </w:tblCellMar>
        </w:tblPrEx>
        <w:trPr>
          <w:trHeight w:val="326" w:hRule="atLeast"/>
        </w:trPr>
        <w:tc>
          <w:tcPr>
            <w:tcW w:w="132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p>
        </w:tc>
        <w:tc>
          <w:tcPr>
            <w:tcW w:w="264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底坑深度</w:t>
            </w:r>
          </w:p>
        </w:tc>
        <w:tc>
          <w:tcPr>
            <w:tcW w:w="459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见施工图纸</w:t>
            </w:r>
          </w:p>
        </w:tc>
      </w:tr>
      <w:tr>
        <w:tblPrEx>
          <w:tblCellMar>
            <w:top w:w="0" w:type="dxa"/>
            <w:left w:w="108" w:type="dxa"/>
            <w:bottom w:w="0" w:type="dxa"/>
            <w:right w:w="108" w:type="dxa"/>
          </w:tblCellMar>
        </w:tblPrEx>
        <w:trPr>
          <w:trHeight w:val="326" w:hRule="atLeast"/>
        </w:trPr>
        <w:tc>
          <w:tcPr>
            <w:tcW w:w="1326"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装</w:t>
            </w:r>
          </w:p>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饰</w:t>
            </w:r>
          </w:p>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要</w:t>
            </w:r>
          </w:p>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求</w:t>
            </w:r>
          </w:p>
        </w:tc>
        <w:tc>
          <w:tcPr>
            <w:tcW w:w="264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天花</w:t>
            </w:r>
          </w:p>
        </w:tc>
        <w:tc>
          <w:tcPr>
            <w:tcW w:w="459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标准顶</w:t>
            </w:r>
          </w:p>
        </w:tc>
      </w:tr>
      <w:tr>
        <w:tblPrEx>
          <w:tblCellMar>
            <w:top w:w="0" w:type="dxa"/>
            <w:left w:w="108" w:type="dxa"/>
            <w:bottom w:w="0" w:type="dxa"/>
            <w:right w:w="108" w:type="dxa"/>
          </w:tblCellMar>
        </w:tblPrEx>
        <w:trPr>
          <w:trHeight w:val="326" w:hRule="atLeast"/>
        </w:trPr>
        <w:tc>
          <w:tcPr>
            <w:tcW w:w="132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p>
        </w:tc>
        <w:tc>
          <w:tcPr>
            <w:tcW w:w="264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地台</w:t>
            </w:r>
          </w:p>
        </w:tc>
        <w:tc>
          <w:tcPr>
            <w:tcW w:w="459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pvc塑胶地板</w:t>
            </w:r>
          </w:p>
        </w:tc>
      </w:tr>
      <w:tr>
        <w:tblPrEx>
          <w:tblCellMar>
            <w:top w:w="0" w:type="dxa"/>
            <w:left w:w="108" w:type="dxa"/>
            <w:bottom w:w="0" w:type="dxa"/>
            <w:right w:w="108" w:type="dxa"/>
          </w:tblCellMar>
        </w:tblPrEx>
        <w:trPr>
          <w:trHeight w:val="326" w:hRule="atLeast"/>
        </w:trPr>
        <w:tc>
          <w:tcPr>
            <w:tcW w:w="132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p>
        </w:tc>
        <w:tc>
          <w:tcPr>
            <w:tcW w:w="264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灯具</w:t>
            </w:r>
          </w:p>
        </w:tc>
        <w:tc>
          <w:tcPr>
            <w:tcW w:w="459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标准配置</w:t>
            </w:r>
          </w:p>
        </w:tc>
      </w:tr>
      <w:tr>
        <w:tblPrEx>
          <w:tblCellMar>
            <w:top w:w="0" w:type="dxa"/>
            <w:left w:w="108" w:type="dxa"/>
            <w:bottom w:w="0" w:type="dxa"/>
            <w:right w:w="108" w:type="dxa"/>
          </w:tblCellMar>
        </w:tblPrEx>
        <w:trPr>
          <w:trHeight w:val="326" w:hRule="atLeast"/>
        </w:trPr>
        <w:tc>
          <w:tcPr>
            <w:tcW w:w="132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p>
        </w:tc>
        <w:tc>
          <w:tcPr>
            <w:tcW w:w="264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轿厢四周及门，抽气/通风</w:t>
            </w:r>
          </w:p>
        </w:tc>
        <w:tc>
          <w:tcPr>
            <w:tcW w:w="459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发纹不锈钢，厚度不小于1.2mm</w:t>
            </w:r>
          </w:p>
        </w:tc>
      </w:tr>
      <w:tr>
        <w:tblPrEx>
          <w:tblCellMar>
            <w:top w:w="0" w:type="dxa"/>
            <w:left w:w="108" w:type="dxa"/>
            <w:bottom w:w="0" w:type="dxa"/>
            <w:right w:w="108" w:type="dxa"/>
          </w:tblCellMar>
        </w:tblPrEx>
        <w:trPr>
          <w:trHeight w:val="326" w:hRule="atLeast"/>
        </w:trPr>
        <w:tc>
          <w:tcPr>
            <w:tcW w:w="132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p>
        </w:tc>
        <w:tc>
          <w:tcPr>
            <w:tcW w:w="264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各厅层门及门框</w:t>
            </w:r>
          </w:p>
        </w:tc>
        <w:tc>
          <w:tcPr>
            <w:tcW w:w="459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发纹不锈钢，厚度不小于1.2mm</w:t>
            </w:r>
          </w:p>
        </w:tc>
      </w:tr>
      <w:tr>
        <w:tblPrEx>
          <w:tblCellMar>
            <w:top w:w="0" w:type="dxa"/>
            <w:left w:w="108" w:type="dxa"/>
            <w:bottom w:w="0" w:type="dxa"/>
            <w:right w:w="108" w:type="dxa"/>
          </w:tblCellMar>
        </w:tblPrEx>
        <w:trPr>
          <w:trHeight w:val="326" w:hRule="atLeast"/>
        </w:trPr>
        <w:tc>
          <w:tcPr>
            <w:tcW w:w="132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p>
        </w:tc>
        <w:tc>
          <w:tcPr>
            <w:tcW w:w="264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门套</w:t>
            </w:r>
          </w:p>
        </w:tc>
        <w:tc>
          <w:tcPr>
            <w:tcW w:w="459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各层均采用发纹不锈钢门套，厚度不小于1.2mm</w:t>
            </w:r>
          </w:p>
        </w:tc>
      </w:tr>
      <w:tr>
        <w:tblPrEx>
          <w:tblCellMar>
            <w:top w:w="0" w:type="dxa"/>
            <w:left w:w="108" w:type="dxa"/>
            <w:bottom w:w="0" w:type="dxa"/>
            <w:right w:w="108" w:type="dxa"/>
          </w:tblCellMar>
        </w:tblPrEx>
        <w:trPr>
          <w:trHeight w:val="326" w:hRule="atLeast"/>
        </w:trPr>
        <w:tc>
          <w:tcPr>
            <w:tcW w:w="132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p>
        </w:tc>
        <w:tc>
          <w:tcPr>
            <w:tcW w:w="264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各厅站梯门</w:t>
            </w:r>
          </w:p>
        </w:tc>
        <w:tc>
          <w:tcPr>
            <w:tcW w:w="459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门厅、梯门提供</w:t>
            </w:r>
            <w:r>
              <w:rPr>
                <w:rFonts w:hint="eastAsia" w:asciiTheme="minorEastAsia" w:hAnsiTheme="minorEastAsia" w:cstheme="minorEastAsia"/>
                <w:sz w:val="24"/>
                <w:szCs w:val="24"/>
                <w:shd w:val="clear" w:fill="FFFF00"/>
                <w:lang w:val="en-US" w:eastAsia="zh-CN"/>
              </w:rPr>
              <w:t>钢制门槛</w:t>
            </w:r>
          </w:p>
        </w:tc>
      </w:tr>
      <w:tr>
        <w:tblPrEx>
          <w:tblCellMar>
            <w:top w:w="0" w:type="dxa"/>
            <w:left w:w="108" w:type="dxa"/>
            <w:bottom w:w="0" w:type="dxa"/>
            <w:right w:w="108" w:type="dxa"/>
          </w:tblCellMar>
        </w:tblPrEx>
        <w:trPr>
          <w:trHeight w:val="326" w:hRule="atLeast"/>
        </w:trPr>
        <w:tc>
          <w:tcPr>
            <w:tcW w:w="132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p>
        </w:tc>
        <w:tc>
          <w:tcPr>
            <w:tcW w:w="264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电梯安装完成后保护</w:t>
            </w:r>
          </w:p>
        </w:tc>
        <w:tc>
          <w:tcPr>
            <w:tcW w:w="459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轿厢内木工板（1cm）保护</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val="en-US" w:eastAsia="zh-CN"/>
        </w:rPr>
        <w:t>2、</w:t>
      </w:r>
      <w:r>
        <w:rPr>
          <w:rFonts w:hint="eastAsia" w:asciiTheme="minorEastAsia" w:hAnsiTheme="minorEastAsia" w:eastAsiaTheme="minorEastAsia" w:cstheme="minorEastAsia"/>
          <w:b/>
          <w:bCs/>
          <w:sz w:val="24"/>
          <w:szCs w:val="24"/>
        </w:rPr>
        <w:t>电梯的技术、功能及配置要求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b/>
          <w:sz w:val="24"/>
          <w:szCs w:val="24"/>
        </w:rPr>
        <w:t>提供曳引机功率参数、控制系统、门机系统的详细介绍资料，如型号、性能、特点。</w:t>
      </w:r>
    </w:p>
    <w:p>
      <w:pPr>
        <w:keepNext w:val="0"/>
        <w:keepLines w:val="0"/>
        <w:pageBreakBefore w:val="0"/>
        <w:widowControl w:val="0"/>
        <w:tabs>
          <w:tab w:val="left" w:pos="1440"/>
        </w:tabs>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在火警等特殊情况下能自动回归首层或就近楼层疏散。</w:t>
      </w:r>
    </w:p>
    <w:p>
      <w:pPr>
        <w:keepNext w:val="0"/>
        <w:keepLines w:val="0"/>
        <w:pageBreakBefore w:val="0"/>
        <w:widowControl w:val="0"/>
        <w:tabs>
          <w:tab w:val="left" w:pos="1440"/>
        </w:tabs>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所有电梯必须满足国标要求，同时轿厢内要光线明亮。</w:t>
      </w:r>
    </w:p>
    <w:p>
      <w:pPr>
        <w:keepNext w:val="0"/>
        <w:keepLines w:val="0"/>
        <w:pageBreakBefore w:val="0"/>
        <w:widowControl w:val="0"/>
        <w:tabs>
          <w:tab w:val="left" w:pos="1440"/>
        </w:tabs>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b/>
          <w:color w:val="FF0000"/>
          <w:sz w:val="24"/>
          <w:szCs w:val="24"/>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b/>
          <w:color w:val="FF0000"/>
          <w:sz w:val="24"/>
          <w:szCs w:val="24"/>
        </w:rPr>
        <w:t>具体要求如下：</w:t>
      </w:r>
    </w:p>
    <w:tbl>
      <w:tblPr>
        <w:tblStyle w:val="16"/>
        <w:tblW w:w="8628" w:type="dxa"/>
        <w:tblInd w:w="0" w:type="dxa"/>
        <w:tblLayout w:type="fixed"/>
        <w:tblCellMar>
          <w:top w:w="0" w:type="dxa"/>
          <w:left w:w="108" w:type="dxa"/>
          <w:bottom w:w="0" w:type="dxa"/>
          <w:right w:w="108" w:type="dxa"/>
        </w:tblCellMar>
      </w:tblPr>
      <w:tblGrid>
        <w:gridCol w:w="666"/>
        <w:gridCol w:w="2089"/>
        <w:gridCol w:w="4650"/>
        <w:gridCol w:w="1223"/>
      </w:tblGrid>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序号</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技术及功能要求</w:t>
            </w:r>
          </w:p>
        </w:tc>
        <w:tc>
          <w:tcPr>
            <w:tcW w:w="465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技术及功能说明</w:t>
            </w:r>
          </w:p>
        </w:tc>
        <w:tc>
          <w:tcPr>
            <w:tcW w:w="12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备注</w:t>
            </w: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一</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基本技术要求</w:t>
            </w:r>
          </w:p>
        </w:tc>
        <w:tc>
          <w:tcPr>
            <w:tcW w:w="4650" w:type="dxa"/>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p>
        </w:tc>
        <w:tc>
          <w:tcPr>
            <w:tcW w:w="12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电源</w:t>
            </w:r>
          </w:p>
        </w:tc>
        <w:tc>
          <w:tcPr>
            <w:tcW w:w="4650" w:type="dxa"/>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动力电源：交流，三相，380V(±7％)，50Hz</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照明电源：交流，单相，220V(±7％)220V，50Hz</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配双电源插槽。</w:t>
            </w:r>
          </w:p>
        </w:tc>
        <w:tc>
          <w:tcPr>
            <w:tcW w:w="12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主机</w:t>
            </w:r>
          </w:p>
        </w:tc>
        <w:tc>
          <w:tcPr>
            <w:tcW w:w="4650" w:type="dxa"/>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交流变频变压调速拖动(VVVF)，永磁同步无齿轮曳引机，曳引机必须为原品牌产品。</w:t>
            </w:r>
          </w:p>
        </w:tc>
        <w:tc>
          <w:tcPr>
            <w:tcW w:w="12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3</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机房位置</w:t>
            </w:r>
          </w:p>
        </w:tc>
        <w:tc>
          <w:tcPr>
            <w:tcW w:w="4650" w:type="dxa"/>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见施工图</w:t>
            </w:r>
          </w:p>
        </w:tc>
        <w:tc>
          <w:tcPr>
            <w:tcW w:w="12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4</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控制系统</w:t>
            </w:r>
          </w:p>
        </w:tc>
        <w:tc>
          <w:tcPr>
            <w:tcW w:w="4650" w:type="dxa"/>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全电脑全微机控制或电脑模块化控制</w:t>
            </w:r>
          </w:p>
        </w:tc>
        <w:tc>
          <w:tcPr>
            <w:tcW w:w="12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5</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联机方式</w:t>
            </w:r>
          </w:p>
        </w:tc>
        <w:tc>
          <w:tcPr>
            <w:tcW w:w="4650" w:type="dxa"/>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并联</w:t>
            </w:r>
          </w:p>
        </w:tc>
        <w:tc>
          <w:tcPr>
            <w:tcW w:w="12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rPr>
          <w:trHeight w:val="90" w:hRule="atLeast"/>
        </w:trPr>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6</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门机</w:t>
            </w:r>
          </w:p>
        </w:tc>
        <w:tc>
          <w:tcPr>
            <w:tcW w:w="4650" w:type="dxa"/>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变频齿带传动门机</w:t>
            </w:r>
          </w:p>
        </w:tc>
        <w:tc>
          <w:tcPr>
            <w:tcW w:w="12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7</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开门方式</w:t>
            </w:r>
          </w:p>
        </w:tc>
        <w:tc>
          <w:tcPr>
            <w:tcW w:w="4650" w:type="dxa"/>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中分门</w:t>
            </w:r>
            <w:r>
              <w:rPr>
                <w:rFonts w:hint="eastAsia" w:asciiTheme="minorEastAsia" w:hAnsiTheme="minorEastAsia" w:cstheme="minorEastAsia"/>
                <w:sz w:val="24"/>
                <w:szCs w:val="24"/>
                <w:highlight w:val="yellow"/>
                <w:lang w:eastAsia="zh-CN"/>
              </w:rPr>
              <w:t>（</w:t>
            </w:r>
            <w:r>
              <w:rPr>
                <w:rFonts w:hint="eastAsia" w:asciiTheme="minorEastAsia" w:hAnsiTheme="minorEastAsia" w:cstheme="minorEastAsia"/>
                <w:sz w:val="24"/>
                <w:szCs w:val="24"/>
                <w:highlight w:val="yellow"/>
                <w:lang w:val="en-US" w:eastAsia="zh-CN"/>
              </w:rPr>
              <w:t>详见图纸及清单</w:t>
            </w:r>
            <w:r>
              <w:rPr>
                <w:rFonts w:hint="eastAsia" w:asciiTheme="minorEastAsia" w:hAnsiTheme="minorEastAsia" w:cstheme="minorEastAsia"/>
                <w:sz w:val="24"/>
                <w:szCs w:val="24"/>
                <w:highlight w:val="yellow"/>
                <w:lang w:eastAsia="zh-CN"/>
              </w:rPr>
              <w:t>）</w:t>
            </w:r>
          </w:p>
        </w:tc>
        <w:tc>
          <w:tcPr>
            <w:tcW w:w="12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8</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门保护</w:t>
            </w:r>
            <w:r>
              <w:rPr>
                <w:rFonts w:hint="eastAsia" w:asciiTheme="minorEastAsia" w:hAnsiTheme="minorEastAsia" w:eastAsiaTheme="minorEastAsia" w:cstheme="minorEastAsia"/>
                <w:sz w:val="24"/>
                <w:szCs w:val="24"/>
                <w:lang w:val="en-US" w:eastAsia="zh-CN"/>
              </w:rPr>
              <w:t>系统</w:t>
            </w:r>
          </w:p>
        </w:tc>
        <w:tc>
          <w:tcPr>
            <w:tcW w:w="4650" w:type="dxa"/>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门光幕保护</w:t>
            </w:r>
          </w:p>
        </w:tc>
        <w:tc>
          <w:tcPr>
            <w:tcW w:w="12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9</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平层精确度</w:t>
            </w:r>
          </w:p>
        </w:tc>
        <w:tc>
          <w:tcPr>
            <w:tcW w:w="465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≤±5mm</w:t>
            </w:r>
          </w:p>
        </w:tc>
        <w:tc>
          <w:tcPr>
            <w:tcW w:w="12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val="en-US" w:eastAsia="zh-CN"/>
              </w:rPr>
              <w:t>0</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厅轿门关闭连锁打开瞬间至电梯启动瞬间的间隔时间应</w:t>
            </w:r>
          </w:p>
        </w:tc>
        <w:tc>
          <w:tcPr>
            <w:tcW w:w="4650" w:type="dxa"/>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＜0.3秒</w:t>
            </w:r>
          </w:p>
        </w:tc>
        <w:tc>
          <w:tcPr>
            <w:tcW w:w="12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val="en-US" w:eastAsia="zh-CN"/>
              </w:rPr>
              <w:t>1</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电梯运行时，垂直方向和水平方向的震动加速分别</w:t>
            </w:r>
          </w:p>
        </w:tc>
        <w:tc>
          <w:tcPr>
            <w:tcW w:w="4650"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≤10cm/s</w:t>
            </w:r>
            <w:r>
              <w:rPr>
                <w:rFonts w:hint="eastAsia" w:asciiTheme="minorEastAsia" w:hAnsiTheme="minorEastAsia" w:eastAsiaTheme="minorEastAsia" w:cstheme="minorEastAsia"/>
                <w:sz w:val="24"/>
                <w:szCs w:val="24"/>
                <w:vertAlign w:val="superscript"/>
              </w:rPr>
              <w:t>2</w:t>
            </w:r>
          </w:p>
        </w:tc>
        <w:tc>
          <w:tcPr>
            <w:tcW w:w="12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val="en-US" w:eastAsia="zh-CN"/>
              </w:rPr>
              <w:t>2</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门运行效率</w:t>
            </w:r>
          </w:p>
        </w:tc>
        <w:tc>
          <w:tcPr>
            <w:tcW w:w="4650" w:type="dxa"/>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开、关门时间应可调整</w:t>
            </w:r>
          </w:p>
        </w:tc>
        <w:tc>
          <w:tcPr>
            <w:tcW w:w="12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val="en-US" w:eastAsia="zh-CN"/>
              </w:rPr>
              <w:t>3</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厅外召唤及显示</w:t>
            </w:r>
          </w:p>
        </w:tc>
        <w:tc>
          <w:tcPr>
            <w:tcW w:w="4650" w:type="dxa"/>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配有标准上下指示器及楼层指示器、停站按钮等，</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侧装；点阵式数字式方向及位置指示器，普通样式。</w:t>
            </w:r>
          </w:p>
        </w:tc>
        <w:tc>
          <w:tcPr>
            <w:tcW w:w="12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val="en-US" w:eastAsia="zh-CN"/>
              </w:rPr>
              <w:t>4</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轿厢操作盘、讯号装置</w:t>
            </w:r>
          </w:p>
        </w:tc>
        <w:tc>
          <w:tcPr>
            <w:tcW w:w="4650" w:type="dxa"/>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轿箱内配有标准方向指示器、楼层显示器、控制按钮、紧急报警按钮等。</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一体式数字及方向显示，侧置</w:t>
            </w:r>
          </w:p>
        </w:tc>
        <w:tc>
          <w:tcPr>
            <w:tcW w:w="12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val="en-US" w:eastAsia="zh-CN"/>
              </w:rPr>
              <w:t>5</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轿厢内通风、照明</w:t>
            </w:r>
          </w:p>
        </w:tc>
        <w:tc>
          <w:tcPr>
            <w:tcW w:w="4650" w:type="dxa"/>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配有日光灯，两侧通风道及横流式风扇</w:t>
            </w:r>
          </w:p>
        </w:tc>
        <w:tc>
          <w:tcPr>
            <w:tcW w:w="12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二</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基本功能要求</w:t>
            </w:r>
          </w:p>
        </w:tc>
        <w:tc>
          <w:tcPr>
            <w:tcW w:w="4650" w:type="dxa"/>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p>
        </w:tc>
        <w:tc>
          <w:tcPr>
            <w:tcW w:w="12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全集选控制运行功能</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开关门按钮</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（厅，轿厢）方向显示</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过载不启动（含警示灯及蜂鸣器）</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超速保护功能</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轿内紧急报警及应急照明</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防捣乱操作</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急停操作</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w:t>
            </w:r>
          </w:p>
        </w:tc>
        <w:tc>
          <w:tcPr>
            <w:tcW w:w="2089" w:type="dxa"/>
            <w:tcBorders>
              <w:top w:val="single" w:color="000000" w:sz="4" w:space="0"/>
              <w:left w:val="single" w:color="000000" w:sz="4" w:space="0"/>
              <w:bottom w:val="single" w:color="000000" w:sz="4" w:space="0"/>
              <w:right w:val="single" w:color="000000" w:sz="4" w:space="0"/>
            </w:tcBorders>
            <w:vAlign w:val="center"/>
          </w:tcPr>
          <w:p>
            <w:pPr>
              <w:pStyle w:val="1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设立独立的（厅，轿厢）门时间</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驻停开关</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轿门内风扇开关控制（自动）</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满载不停梯</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13</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强迫关门</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14</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（厅，轿厢）呼梯/登记</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15</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（厅，轿厢）数字式位置指示器</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16</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防止失速内部计数器保护</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17</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指令误登记消除</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rPr>
          <w:trHeight w:val="657" w:hRule="atLeast"/>
        </w:trPr>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18</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轿厢内对讲设施（五方对讲</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监控等</w:t>
            </w:r>
            <w:r>
              <w:rPr>
                <w:rFonts w:hint="eastAsia" w:asciiTheme="minorEastAsia" w:hAnsiTheme="minorEastAsia" w:eastAsiaTheme="minorEastAsia" w:cstheme="minorEastAsia"/>
                <w:sz w:val="24"/>
                <w:szCs w:val="24"/>
              </w:rPr>
              <w:t>）</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lang w:val="en-US" w:eastAsia="zh-CN"/>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19</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安全门锁装置</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20</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轿顶与机房检修</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21</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低噪声风机</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22</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自动／检修专用运行</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23</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消防功能（备注：全部含消防功能）</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24</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门受阻保护（光幕）</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25</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开门异常自动选层</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26</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电动机空转保护功能</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27</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故障低速自救运行功能及自动</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28</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停车在非门区提示</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29</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位置异常自动校正</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30</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轿内检修操作功能</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31</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机房内检修操作功能</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32</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安全回路保护</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33</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运行状态显示功能</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34</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启动补偿功能</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35</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故障自诊断及自动停靠功能</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36</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轿内照明自动控制功能</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37</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轿内通风自动控制功能</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38</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开门时间自动调整功能</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39</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开门时间自动控制功能</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40</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门过载保护功能</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41</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反向内指令自动消除功能</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42</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层门指示灯检查功能</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43</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故障自动检测功能</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44</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故障自动存储功能</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45</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消防迫降</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46</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两台以上并联控制功能</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47</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轿厢内设置无障碍功能</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语音报站、残疾人操纵箱、单面扶手、后壁中间镜面不锈钢、盲文按钮</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48</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自动不停站通过</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49</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上下越层及上下极限保护装置</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50</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下行超速保护装置</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51</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上行超速保护装置</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52</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门联锁保护</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53</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主接触器保护</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54</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抱闸检测保护</w:t>
            </w:r>
          </w:p>
        </w:tc>
        <w:tc>
          <w:tcPr>
            <w:tcW w:w="4650" w:type="dxa"/>
            <w:tcBorders>
              <w:top w:val="single" w:color="000000" w:sz="4" w:space="0"/>
              <w:left w:val="single" w:color="000000" w:sz="4" w:space="0"/>
              <w:bottom w:val="single" w:color="000000" w:sz="4" w:space="0"/>
              <w:right w:val="single" w:color="000000" w:sz="4" w:space="0"/>
            </w:tcBorders>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电梯装潢要求</w:t>
            </w:r>
          </w:p>
        </w:tc>
        <w:tc>
          <w:tcPr>
            <w:tcW w:w="4650"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厅门</w:t>
            </w:r>
          </w:p>
        </w:tc>
        <w:tc>
          <w:tcPr>
            <w:tcW w:w="4650"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发纹不锈钢面板，厚度不小于1.2mm</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轿厢顶</w:t>
            </w:r>
          </w:p>
        </w:tc>
        <w:tc>
          <w:tcPr>
            <w:tcW w:w="4650"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含灯和通风扇，按选配标准配置（厂家提供多种装修方案）</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轿厢壁</w:t>
            </w:r>
          </w:p>
        </w:tc>
        <w:tc>
          <w:tcPr>
            <w:tcW w:w="4650"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发纹不锈钢面板，厚度不小于1.2mm</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地  板</w:t>
            </w:r>
          </w:p>
        </w:tc>
        <w:tc>
          <w:tcPr>
            <w:tcW w:w="4650"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pvc塑胶地板</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轿  门</w:t>
            </w:r>
          </w:p>
        </w:tc>
        <w:tc>
          <w:tcPr>
            <w:tcW w:w="4650"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sz w:val="24"/>
                <w:szCs w:val="24"/>
              </w:rPr>
              <w:t>发纹不锈钢面板，厚度不小于1.2mm</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厅  门</w:t>
            </w:r>
          </w:p>
        </w:tc>
        <w:tc>
          <w:tcPr>
            <w:tcW w:w="4650"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每层均为发纹不锈钢面板，厚度不小于1.2mm</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门  套</w:t>
            </w:r>
          </w:p>
        </w:tc>
        <w:tc>
          <w:tcPr>
            <w:tcW w:w="4650" w:type="dxa"/>
            <w:tcBorders>
              <w:top w:val="single" w:color="000000" w:sz="4" w:space="0"/>
              <w:left w:val="single" w:color="000000" w:sz="4" w:space="0"/>
              <w:bottom w:val="single" w:color="000000" w:sz="4" w:space="0"/>
              <w:right w:val="single" w:color="000000" w:sz="4" w:space="0"/>
            </w:tcBorders>
            <w:vAlign w:val="top"/>
          </w:tcPr>
          <w:p>
            <w:pPr>
              <w:rPr>
                <w:rFonts w:hint="eastAsia"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color w:val="FF0000"/>
                <w:sz w:val="24"/>
                <w:szCs w:val="24"/>
                <w:highlight w:val="cyan"/>
              </w:rPr>
              <w:t>发纹不锈钢门套</w:t>
            </w:r>
            <w:r>
              <w:rPr>
                <w:rFonts w:hint="eastAsia" w:asciiTheme="minorEastAsia" w:hAnsiTheme="minorEastAsia" w:cstheme="minorEastAsia"/>
                <w:color w:val="FF0000"/>
                <w:sz w:val="24"/>
                <w:szCs w:val="24"/>
                <w:highlight w:val="cyan"/>
                <w:lang w:eastAsia="zh-CN"/>
              </w:rPr>
              <w:t>，</w:t>
            </w:r>
            <w:r>
              <w:rPr>
                <w:rFonts w:hint="eastAsia" w:asciiTheme="minorEastAsia" w:hAnsiTheme="minorEastAsia" w:eastAsiaTheme="minorEastAsia" w:cstheme="minorEastAsia"/>
                <w:sz w:val="24"/>
                <w:szCs w:val="24"/>
                <w:highlight w:val="yellow"/>
              </w:rPr>
              <w:t>厚度不小于1.2mm</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轿厢地坎</w:t>
            </w:r>
          </w:p>
        </w:tc>
        <w:tc>
          <w:tcPr>
            <w:tcW w:w="4650" w:type="dxa"/>
            <w:tcBorders>
              <w:top w:val="single" w:color="000000" w:sz="4" w:space="0"/>
              <w:left w:val="single" w:color="000000" w:sz="4" w:space="0"/>
              <w:bottom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不锈钢（带防滑纹），不低于5mm厚</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w:t>
            </w:r>
          </w:p>
        </w:tc>
        <w:tc>
          <w:tcPr>
            <w:tcW w:w="2089" w:type="dxa"/>
            <w:tcBorders>
              <w:top w:val="single" w:color="000000" w:sz="4" w:space="0"/>
              <w:left w:val="single" w:color="000000" w:sz="4" w:space="0"/>
              <w:bottom w:val="single" w:color="000000" w:sz="4" w:space="0"/>
              <w:right w:val="single" w:color="000000" w:sz="4" w:space="0"/>
            </w:tcBorders>
            <w:vAlign w:val="center"/>
          </w:tcPr>
          <w:p>
            <w:pPr>
              <w:pStyle w:val="1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厅门地坎</w:t>
            </w:r>
          </w:p>
        </w:tc>
        <w:tc>
          <w:tcPr>
            <w:tcW w:w="4650" w:type="dxa"/>
            <w:tcBorders>
              <w:top w:val="single" w:color="000000" w:sz="4" w:space="0"/>
              <w:left w:val="single" w:color="000000" w:sz="4" w:space="0"/>
              <w:bottom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highlight w:val="yellow"/>
              </w:rPr>
              <w:t>发纹不锈钢</w:t>
            </w:r>
            <w:r>
              <w:rPr>
                <w:rFonts w:hint="eastAsia" w:asciiTheme="minorEastAsia" w:hAnsiTheme="minorEastAsia" w:eastAsiaTheme="minorEastAsia" w:cstheme="minorEastAsia"/>
                <w:color w:val="0000FF"/>
                <w:sz w:val="24"/>
                <w:szCs w:val="24"/>
              </w:rPr>
              <w:t>地坎</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w:t>
            </w:r>
          </w:p>
        </w:tc>
        <w:tc>
          <w:tcPr>
            <w:tcW w:w="2089" w:type="dxa"/>
            <w:tcBorders>
              <w:top w:val="single" w:color="000000" w:sz="4" w:space="0"/>
              <w:left w:val="single" w:color="000000" w:sz="4" w:space="0"/>
              <w:bottom w:val="single" w:color="000000" w:sz="4" w:space="0"/>
              <w:right w:val="single" w:color="000000" w:sz="4" w:space="0"/>
            </w:tcBorders>
            <w:vAlign w:val="center"/>
          </w:tcPr>
          <w:p>
            <w:pPr>
              <w:pStyle w:val="1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厅外召唤箱</w:t>
            </w:r>
          </w:p>
        </w:tc>
        <w:tc>
          <w:tcPr>
            <w:tcW w:w="4650" w:type="dxa"/>
            <w:tcBorders>
              <w:top w:val="single" w:color="000000" w:sz="4" w:space="0"/>
              <w:left w:val="single" w:color="000000" w:sz="4" w:space="0"/>
              <w:bottom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发纹不锈钢普通型</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highlight w:val="yellow"/>
              </w:rPr>
              <w:t>厚度不小于1.2mm</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轿厢操作盘及轿内显示</w:t>
            </w:r>
          </w:p>
        </w:tc>
        <w:tc>
          <w:tcPr>
            <w:tcW w:w="4650" w:type="dxa"/>
            <w:tcBorders>
              <w:top w:val="single" w:color="000000" w:sz="4" w:space="0"/>
              <w:left w:val="single" w:color="000000" w:sz="4" w:space="0"/>
              <w:bottom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发纹不锈钢面板</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highlight w:val="yellow"/>
              </w:rPr>
              <w:t>厚度不小于1.2mm</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w:t>
            </w: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召唤按钮</w:t>
            </w:r>
          </w:p>
        </w:tc>
        <w:tc>
          <w:tcPr>
            <w:tcW w:w="4650" w:type="dxa"/>
            <w:tcBorders>
              <w:top w:val="single" w:color="000000" w:sz="4" w:space="0"/>
              <w:left w:val="single" w:color="000000" w:sz="4" w:space="0"/>
              <w:bottom w:val="single" w:color="000000" w:sz="4" w:space="0"/>
              <w:right w:val="single" w:color="000000" w:sz="4" w:space="0"/>
            </w:tcBorders>
            <w:vAlign w:val="top"/>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发纹不锈钢</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highlight w:val="yellow"/>
              </w:rPr>
              <w:t>厚度不小于1.2mm</w:t>
            </w: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r>
        <w:tblPrEx>
          <w:tblCellMar>
            <w:top w:w="0" w:type="dxa"/>
            <w:left w:w="108" w:type="dxa"/>
            <w:bottom w:w="0" w:type="dxa"/>
            <w:right w:w="108" w:type="dxa"/>
          </w:tblCellMar>
        </w:tblPrEx>
        <w:tc>
          <w:tcPr>
            <w:tcW w:w="666" w:type="dxa"/>
            <w:tcBorders>
              <w:top w:val="single" w:color="000000" w:sz="4" w:space="0"/>
              <w:left w:val="single" w:color="000000" w:sz="4" w:space="0"/>
              <w:bottom w:val="single" w:color="000000" w:sz="4" w:space="0"/>
              <w:right w:val="single" w:color="000000" w:sz="4" w:space="0"/>
            </w:tcBorders>
            <w:vAlign w:val="center"/>
          </w:tcPr>
          <w:p>
            <w:pPr>
              <w:rPr>
                <w:rFonts w:hint="eastAsia" w:asciiTheme="minorEastAsia" w:hAnsiTheme="minorEastAsia" w:eastAsiaTheme="minorEastAsia" w:cstheme="minorEastAsia"/>
                <w:sz w:val="24"/>
                <w:szCs w:val="24"/>
              </w:rPr>
            </w:pPr>
          </w:p>
        </w:tc>
        <w:tc>
          <w:tcPr>
            <w:tcW w:w="20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Theme="minorEastAsia" w:hAnsiTheme="minorEastAsia" w:eastAsiaTheme="minorEastAsia" w:cstheme="minorEastAsia"/>
                <w:sz w:val="24"/>
                <w:szCs w:val="24"/>
              </w:rPr>
            </w:pPr>
          </w:p>
        </w:tc>
        <w:tc>
          <w:tcPr>
            <w:tcW w:w="4650"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c>
          <w:tcPr>
            <w:tcW w:w="1223" w:type="dxa"/>
            <w:tcBorders>
              <w:top w:val="single" w:color="000000" w:sz="4" w:space="0"/>
              <w:left w:val="single" w:color="000000" w:sz="4" w:space="0"/>
              <w:bottom w:val="single" w:color="000000" w:sz="4" w:space="0"/>
              <w:right w:val="single" w:color="000000" w:sz="4" w:space="0"/>
            </w:tcBorders>
          </w:tcPr>
          <w:p>
            <w:pPr>
              <w:rPr>
                <w:rFonts w:hint="eastAsia" w:asciiTheme="minorEastAsia" w:hAnsiTheme="minorEastAsia" w:eastAsiaTheme="minorEastAsia" w:cstheme="minorEastAsia"/>
                <w:sz w:val="24"/>
                <w:szCs w:val="24"/>
              </w:rPr>
            </w:pP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color w:val="FF0000"/>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b/>
          <w:color w:val="FF0000"/>
          <w:sz w:val="24"/>
          <w:szCs w:val="24"/>
          <w:lang w:eastAsia="zh-CN"/>
        </w:rPr>
      </w:pPr>
      <w:r>
        <w:rPr>
          <w:rFonts w:hint="eastAsia" w:asciiTheme="minorEastAsia" w:hAnsiTheme="minorEastAsia" w:eastAsiaTheme="minorEastAsia" w:cstheme="minorEastAsia"/>
          <w:b/>
          <w:color w:val="FF0000"/>
          <w:sz w:val="24"/>
          <w:szCs w:val="24"/>
        </w:rPr>
        <w:t>电梯参数、台数、运行高度等统计数据由投标单位参考，具体以施工图设计为准，投标人在编制投标文件时应仔细核对。如表中数据与设计不一致，则在电梯安装阶段以设计为准，业主不再为此增加任何费用</w:t>
      </w:r>
      <w:r>
        <w:rPr>
          <w:rFonts w:hint="eastAsia" w:asciiTheme="minorEastAsia" w:hAnsiTheme="minorEastAsia" w:cstheme="minorEastAsia"/>
          <w:b/>
          <w:color w:val="FF0000"/>
          <w:sz w:val="24"/>
          <w:szCs w:val="24"/>
          <w:lang w:eastAsia="zh-CN"/>
        </w:rPr>
        <w:t>。</w:t>
      </w:r>
    </w:p>
    <w:p>
      <w:pPr>
        <w:keepNext w:val="0"/>
        <w:keepLines w:val="0"/>
        <w:pageBreakBefore w:val="0"/>
        <w:widowControl w:val="0"/>
        <w:tabs>
          <w:tab w:val="left" w:pos="576"/>
          <w:tab w:val="left" w:pos="701"/>
          <w:tab w:val="left" w:pos="1080"/>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lang w:val="en-US" w:eastAsia="zh-CN"/>
        </w:rPr>
        <w:t>三、</w:t>
      </w:r>
      <w:r>
        <w:rPr>
          <w:rFonts w:hint="eastAsia" w:asciiTheme="minorEastAsia" w:hAnsiTheme="minorEastAsia" w:eastAsiaTheme="minorEastAsia" w:cstheme="minorEastAsia"/>
          <w:b/>
          <w:sz w:val="24"/>
          <w:szCs w:val="24"/>
        </w:rPr>
        <w:t>质量要求</w:t>
      </w:r>
    </w:p>
    <w:p>
      <w:pPr>
        <w:keepNext w:val="0"/>
        <w:keepLines w:val="0"/>
        <w:pageBreakBefore w:val="0"/>
        <w:widowControl w:val="0"/>
        <w:kinsoku/>
        <w:wordWrap/>
        <w:overflowPunct/>
        <w:topLinePunct w:val="0"/>
        <w:autoSpaceDE/>
        <w:autoSpaceDN/>
        <w:bidi w:val="0"/>
        <w:adjustRightInd/>
        <w:snapToGrid/>
        <w:spacing w:line="360" w:lineRule="auto"/>
        <w:ind w:firstLine="550"/>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sz w:val="24"/>
          <w:szCs w:val="24"/>
        </w:rPr>
        <w:t>投标人所提供货物的设计、制造、产品性能、材料的选择和材料的检验、产品的测试等，都应按国内外通行的现行标准和相应的技术规范执行。而这些标准和技术规范应为合同签字日为止最新公布发行的标准和技术规范。</w:t>
      </w:r>
    </w:p>
    <w:p>
      <w:pPr>
        <w:keepNext w:val="0"/>
        <w:keepLines w:val="0"/>
        <w:pageBreakBefore w:val="0"/>
        <w:widowControl w:val="0"/>
        <w:tabs>
          <w:tab w:val="left" w:pos="576"/>
          <w:tab w:val="left" w:pos="701"/>
          <w:tab w:val="left" w:pos="1080"/>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lang w:val="en-US" w:eastAsia="zh-CN"/>
        </w:rPr>
        <w:t>四、</w:t>
      </w:r>
      <w:r>
        <w:rPr>
          <w:rFonts w:hint="eastAsia" w:asciiTheme="minorEastAsia" w:hAnsiTheme="minorEastAsia" w:eastAsiaTheme="minorEastAsia" w:cstheme="minorEastAsia"/>
          <w:b/>
          <w:sz w:val="24"/>
          <w:szCs w:val="24"/>
        </w:rPr>
        <w:t>其他要求</w:t>
      </w:r>
    </w:p>
    <w:p>
      <w:pPr>
        <w:keepNext w:val="0"/>
        <w:keepLines w:val="0"/>
        <w:pageBreakBefore w:val="0"/>
        <w:widowControl w:val="0"/>
        <w:tabs>
          <w:tab w:val="left" w:pos="1260"/>
        </w:tabs>
        <w:kinsoku/>
        <w:wordWrap/>
        <w:overflowPunct/>
        <w:topLinePunct w:val="0"/>
        <w:autoSpaceDE/>
        <w:autoSpaceDN/>
        <w:bidi w:val="0"/>
        <w:adjustRightInd/>
        <w:snapToGrid/>
        <w:spacing w:line="360" w:lineRule="auto"/>
        <w:ind w:left="0" w:leftChars="0" w:firstLine="422" w:firstLineChars="175"/>
        <w:textAlignment w:val="auto"/>
        <w:rPr>
          <w:rFonts w:hint="eastAsia" w:asciiTheme="minorEastAsia" w:hAnsiTheme="minorEastAsia" w:eastAsiaTheme="minorEastAsia" w:cstheme="minorEastAsia"/>
          <w:b/>
          <w:strike/>
          <w:dstrike w:val="0"/>
          <w:sz w:val="24"/>
          <w:szCs w:val="24"/>
        </w:rPr>
      </w:pPr>
      <w:r>
        <w:rPr>
          <w:rFonts w:hint="eastAsia" w:asciiTheme="minorEastAsia" w:hAnsiTheme="minorEastAsia" w:eastAsiaTheme="minorEastAsia" w:cstheme="minorEastAsia"/>
          <w:b/>
          <w:sz w:val="24"/>
          <w:szCs w:val="24"/>
        </w:rPr>
        <w:t>1</w:t>
      </w:r>
      <w:r>
        <w:rPr>
          <w:rFonts w:hint="eastAsia" w:asciiTheme="minorEastAsia" w:hAnsiTheme="minorEastAsia" w:eastAsiaTheme="minorEastAsia" w:cstheme="minorEastAsia"/>
          <w:b/>
          <w:sz w:val="24"/>
          <w:szCs w:val="24"/>
          <w:lang w:eastAsia="zh-CN"/>
        </w:rPr>
        <w:t>、</w:t>
      </w:r>
      <w:r>
        <w:rPr>
          <w:rFonts w:hint="eastAsia" w:asciiTheme="minorEastAsia" w:hAnsiTheme="minorEastAsia" w:eastAsiaTheme="minorEastAsia" w:cstheme="minorEastAsia"/>
          <w:b/>
          <w:sz w:val="24"/>
          <w:szCs w:val="24"/>
        </w:rPr>
        <w:t>质保期</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b/>
          <w:bCs/>
          <w:color w:val="FF0000"/>
          <w:sz w:val="24"/>
          <w:szCs w:val="24"/>
        </w:rPr>
        <w:t>自取得电梯验收合格证之日起</w:t>
      </w:r>
      <w:r>
        <w:rPr>
          <w:rFonts w:hint="eastAsia" w:asciiTheme="minorEastAsia" w:hAnsiTheme="minorEastAsia" w:cstheme="minorEastAsia"/>
          <w:b/>
          <w:bCs/>
          <w:color w:val="FF0000"/>
          <w:sz w:val="24"/>
          <w:szCs w:val="24"/>
          <w:lang w:val="en-US" w:eastAsia="zh-CN"/>
        </w:rPr>
        <w:t>2年（如投标人另有承诺，从其承诺执行）</w:t>
      </w:r>
      <w:r>
        <w:rPr>
          <w:rFonts w:hint="eastAsia" w:asciiTheme="minorEastAsia" w:hAnsiTheme="minorEastAsia" w:eastAsiaTheme="minorEastAsia" w:cstheme="minorEastAsia"/>
          <w:b/>
          <w:bCs/>
          <w:color w:val="FF0000"/>
          <w:sz w:val="24"/>
          <w:szCs w:val="24"/>
        </w:rPr>
        <w:t>，质保期内免费维保</w:t>
      </w:r>
      <w:r>
        <w:rPr>
          <w:rFonts w:hint="eastAsia" w:asciiTheme="minorEastAsia" w:hAnsiTheme="minorEastAsia" w:eastAsiaTheme="minorEastAsia" w:cstheme="minorEastAsia"/>
          <w:b/>
          <w:bCs/>
          <w:strike w:val="0"/>
          <w:dstrike w:val="0"/>
          <w:color w:val="FF0000"/>
          <w:sz w:val="24"/>
          <w:szCs w:val="24"/>
        </w:rPr>
        <w:t>。</w:t>
      </w:r>
    </w:p>
    <w:p>
      <w:pPr>
        <w:keepNext w:val="0"/>
        <w:keepLines w:val="0"/>
        <w:pageBreakBefore w:val="0"/>
        <w:widowControl w:val="0"/>
        <w:tabs>
          <w:tab w:val="left" w:pos="1260"/>
        </w:tabs>
        <w:kinsoku/>
        <w:wordWrap/>
        <w:overflowPunct/>
        <w:topLinePunct w:val="0"/>
        <w:autoSpaceDE/>
        <w:autoSpaceDN/>
        <w:bidi w:val="0"/>
        <w:adjustRightInd/>
        <w:snapToGrid/>
        <w:spacing w:line="360" w:lineRule="auto"/>
        <w:ind w:left="0" w:leftChars="0" w:firstLine="422" w:firstLineChars="175"/>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2</w:t>
      </w:r>
      <w:r>
        <w:rPr>
          <w:rFonts w:hint="eastAsia" w:asciiTheme="minorEastAsia" w:hAnsiTheme="minorEastAsia" w:eastAsiaTheme="minorEastAsia" w:cstheme="minorEastAsia"/>
          <w:b/>
          <w:sz w:val="24"/>
          <w:szCs w:val="24"/>
          <w:lang w:eastAsia="zh-CN"/>
        </w:rPr>
        <w:t>、</w:t>
      </w:r>
      <w:r>
        <w:rPr>
          <w:rFonts w:hint="eastAsia" w:asciiTheme="minorEastAsia" w:hAnsiTheme="minorEastAsia" w:eastAsiaTheme="minorEastAsia" w:cstheme="minorEastAsia"/>
          <w:b/>
          <w:sz w:val="24"/>
          <w:szCs w:val="24"/>
        </w:rPr>
        <w:t>投标报价：电梯报价应包含（但不仅限）以下内容</w:t>
      </w:r>
    </w:p>
    <w:p>
      <w:pPr>
        <w:keepNext w:val="0"/>
        <w:keepLines w:val="0"/>
        <w:pageBreakBefore w:val="0"/>
        <w:widowControl w:val="0"/>
        <w:tabs>
          <w:tab w:val="left" w:pos="1260"/>
          <w:tab w:val="left" w:pos="1440"/>
        </w:tabs>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b/>
          <w:bCs/>
          <w:color w:val="FF0000"/>
          <w:sz w:val="24"/>
          <w:szCs w:val="24"/>
        </w:rPr>
        <w:t>电梯的采购（含装卸及运输）、整机安装（含洞口开凿及</w:t>
      </w:r>
      <w:r>
        <w:rPr>
          <w:rFonts w:hint="eastAsia" w:asciiTheme="minorEastAsia" w:hAnsiTheme="minorEastAsia" w:cstheme="minorEastAsia"/>
          <w:b/>
          <w:bCs/>
          <w:color w:val="FF0000"/>
          <w:sz w:val="24"/>
          <w:szCs w:val="24"/>
          <w:lang w:val="en-US" w:eastAsia="zh-CN"/>
        </w:rPr>
        <w:t>后置件</w:t>
      </w:r>
      <w:r>
        <w:rPr>
          <w:rFonts w:hint="eastAsia" w:asciiTheme="minorEastAsia" w:hAnsiTheme="minorEastAsia" w:eastAsiaTheme="minorEastAsia" w:cstheme="minorEastAsia"/>
          <w:b/>
          <w:bCs/>
          <w:color w:val="FF0000"/>
          <w:sz w:val="24"/>
          <w:szCs w:val="24"/>
        </w:rPr>
        <w:t>制作安装）、调试、试运行、技术质量监督部门检测及验收取证、合格交付、驻点维保的一切费用</w:t>
      </w:r>
      <w:r>
        <w:rPr>
          <w:rFonts w:hint="eastAsia" w:asciiTheme="minorEastAsia" w:hAnsiTheme="minorEastAsia" w:eastAsiaTheme="minorEastAsia" w:cstheme="minorEastAsia"/>
          <w:sz w:val="24"/>
          <w:szCs w:val="24"/>
        </w:rPr>
        <w:t>。</w:t>
      </w:r>
    </w:p>
    <w:p>
      <w:pPr>
        <w:keepNext w:val="0"/>
        <w:keepLines w:val="0"/>
        <w:pageBreakBefore w:val="0"/>
        <w:widowControl w:val="0"/>
        <w:tabs>
          <w:tab w:val="left" w:pos="1260"/>
          <w:tab w:val="left" w:pos="1440"/>
        </w:tabs>
        <w:kinsoku/>
        <w:wordWrap/>
        <w:overflowPunct/>
        <w:topLinePunct w:val="0"/>
        <w:autoSpaceDE/>
        <w:autoSpaceDN/>
        <w:bidi w:val="0"/>
        <w:adjustRightInd/>
        <w:snapToGrid/>
        <w:spacing w:line="360" w:lineRule="auto"/>
        <w:ind w:left="0" w:leftChars="0" w:firstLine="422" w:firstLineChars="175"/>
        <w:textAlignment w:val="auto"/>
        <w:rPr>
          <w:rFonts w:hint="eastAsia" w:asciiTheme="minorEastAsia" w:hAnsiTheme="minorEastAsia" w:eastAsiaTheme="minorEastAsia" w:cstheme="minorEastAsia"/>
          <w:b/>
          <w:bCs/>
          <w:color w:val="FF0000"/>
          <w:sz w:val="24"/>
          <w:szCs w:val="24"/>
        </w:rPr>
      </w:pPr>
      <w:r>
        <w:rPr>
          <w:rFonts w:hint="eastAsia" w:asciiTheme="minorEastAsia" w:hAnsiTheme="minorEastAsia" w:eastAsiaTheme="minorEastAsia" w:cstheme="minorEastAsia"/>
          <w:b/>
          <w:bCs/>
          <w:color w:val="FF0000"/>
          <w:sz w:val="24"/>
          <w:szCs w:val="24"/>
          <w:lang w:eastAsia="zh-CN"/>
        </w:rPr>
        <w:t>（</w:t>
      </w:r>
      <w:r>
        <w:rPr>
          <w:rFonts w:hint="eastAsia" w:asciiTheme="minorEastAsia" w:hAnsiTheme="minorEastAsia" w:eastAsiaTheme="minorEastAsia" w:cstheme="minorEastAsia"/>
          <w:b/>
          <w:bCs/>
          <w:color w:val="FF0000"/>
          <w:sz w:val="24"/>
          <w:szCs w:val="24"/>
          <w:lang w:val="en-US" w:eastAsia="zh-CN"/>
        </w:rPr>
        <w:t>2</w:t>
      </w:r>
      <w:r>
        <w:rPr>
          <w:rFonts w:hint="eastAsia" w:asciiTheme="minorEastAsia" w:hAnsiTheme="minorEastAsia" w:eastAsiaTheme="minorEastAsia" w:cstheme="minorEastAsia"/>
          <w:b/>
          <w:bCs/>
          <w:color w:val="FF0000"/>
          <w:sz w:val="24"/>
          <w:szCs w:val="24"/>
          <w:lang w:eastAsia="zh-CN"/>
        </w:rPr>
        <w:t>）</w:t>
      </w:r>
      <w:r>
        <w:rPr>
          <w:rFonts w:hint="eastAsia" w:asciiTheme="minorEastAsia" w:hAnsiTheme="minorEastAsia" w:eastAsiaTheme="minorEastAsia" w:cstheme="minorEastAsia"/>
          <w:b/>
          <w:bCs/>
          <w:color w:val="FF0000"/>
          <w:sz w:val="24"/>
          <w:szCs w:val="24"/>
        </w:rPr>
        <w:t>质保期内电梯年检等所发生的一切费用。</w:t>
      </w:r>
    </w:p>
    <w:p>
      <w:pPr>
        <w:keepNext w:val="0"/>
        <w:keepLines w:val="0"/>
        <w:pageBreakBefore w:val="0"/>
        <w:widowControl w:val="0"/>
        <w:tabs>
          <w:tab w:val="left" w:pos="1260"/>
          <w:tab w:val="left" w:pos="1440"/>
        </w:tabs>
        <w:kinsoku/>
        <w:wordWrap/>
        <w:overflowPunct/>
        <w:topLinePunct w:val="0"/>
        <w:autoSpaceDE/>
        <w:autoSpaceDN/>
        <w:bidi w:val="0"/>
        <w:adjustRightInd/>
        <w:snapToGrid/>
        <w:spacing w:line="360" w:lineRule="auto"/>
        <w:ind w:left="0" w:leftChars="0" w:firstLine="422" w:firstLineChars="175"/>
        <w:textAlignment w:val="auto"/>
        <w:rPr>
          <w:rFonts w:hint="eastAsia" w:asciiTheme="minorEastAsia" w:hAnsiTheme="minorEastAsia" w:eastAsiaTheme="minorEastAsia" w:cstheme="minorEastAsia"/>
          <w:b/>
          <w:bCs/>
          <w:color w:val="FF0000"/>
          <w:sz w:val="24"/>
          <w:szCs w:val="24"/>
        </w:rPr>
      </w:pPr>
      <w:r>
        <w:rPr>
          <w:rFonts w:hint="eastAsia" w:asciiTheme="minorEastAsia" w:hAnsiTheme="minorEastAsia" w:eastAsiaTheme="minorEastAsia" w:cstheme="minorEastAsia"/>
          <w:b/>
          <w:bCs/>
          <w:color w:val="FF0000"/>
          <w:sz w:val="24"/>
          <w:szCs w:val="24"/>
          <w:lang w:eastAsia="zh-CN"/>
        </w:rPr>
        <w:t>（</w:t>
      </w:r>
      <w:r>
        <w:rPr>
          <w:rFonts w:hint="eastAsia" w:asciiTheme="minorEastAsia" w:hAnsiTheme="minorEastAsia" w:eastAsiaTheme="minorEastAsia" w:cstheme="minorEastAsia"/>
          <w:b/>
          <w:bCs/>
          <w:color w:val="FF0000"/>
          <w:sz w:val="24"/>
          <w:szCs w:val="24"/>
          <w:lang w:val="en-US" w:eastAsia="zh-CN"/>
        </w:rPr>
        <w:t>3</w:t>
      </w:r>
      <w:r>
        <w:rPr>
          <w:rFonts w:hint="eastAsia" w:asciiTheme="minorEastAsia" w:hAnsiTheme="minorEastAsia" w:eastAsiaTheme="minorEastAsia" w:cstheme="minorEastAsia"/>
          <w:b/>
          <w:bCs/>
          <w:color w:val="FF0000"/>
          <w:sz w:val="24"/>
          <w:szCs w:val="24"/>
          <w:lang w:eastAsia="zh-CN"/>
        </w:rPr>
        <w:t>）</w:t>
      </w:r>
      <w:r>
        <w:rPr>
          <w:rFonts w:hint="eastAsia" w:asciiTheme="minorEastAsia" w:hAnsiTheme="minorEastAsia" w:cstheme="minorEastAsia"/>
          <w:b/>
          <w:bCs/>
          <w:color w:val="FF0000"/>
          <w:sz w:val="24"/>
          <w:szCs w:val="24"/>
          <w:lang w:val="en-US" w:eastAsia="zh-CN"/>
        </w:rPr>
        <w:t>招标人</w:t>
      </w:r>
      <w:r>
        <w:rPr>
          <w:rFonts w:hint="eastAsia" w:asciiTheme="minorEastAsia" w:hAnsiTheme="minorEastAsia" w:eastAsiaTheme="minorEastAsia" w:cstheme="minorEastAsia"/>
          <w:b/>
          <w:bCs/>
          <w:color w:val="FF0000"/>
          <w:sz w:val="24"/>
          <w:szCs w:val="24"/>
        </w:rPr>
        <w:t>对整机性能的检测费由</w:t>
      </w:r>
      <w:r>
        <w:rPr>
          <w:rFonts w:hint="eastAsia" w:asciiTheme="minorEastAsia" w:hAnsiTheme="minorEastAsia" w:cstheme="minorEastAsia"/>
          <w:b/>
          <w:bCs/>
          <w:color w:val="FF0000"/>
          <w:sz w:val="24"/>
          <w:szCs w:val="24"/>
          <w:lang w:val="en-US" w:eastAsia="zh-CN"/>
        </w:rPr>
        <w:t>中标人</w:t>
      </w:r>
      <w:r>
        <w:rPr>
          <w:rFonts w:hint="eastAsia" w:asciiTheme="minorEastAsia" w:hAnsiTheme="minorEastAsia" w:eastAsiaTheme="minorEastAsia" w:cstheme="minorEastAsia"/>
          <w:b/>
          <w:bCs/>
          <w:color w:val="FF0000"/>
          <w:sz w:val="24"/>
          <w:szCs w:val="24"/>
        </w:rPr>
        <w:t>负责支付，费用包含在投标报价中。</w:t>
      </w:r>
    </w:p>
    <w:p>
      <w:pPr>
        <w:keepNext w:val="0"/>
        <w:keepLines w:val="0"/>
        <w:pageBreakBefore w:val="0"/>
        <w:widowControl w:val="0"/>
        <w:tabs>
          <w:tab w:val="left" w:pos="1260"/>
          <w:tab w:val="left" w:pos="1440"/>
        </w:tabs>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b/>
          <w:color w:val="FF0000"/>
          <w:sz w:val="24"/>
          <w:szCs w:val="24"/>
        </w:rPr>
        <w:t>中标单位应承担</w:t>
      </w:r>
      <w:r>
        <w:rPr>
          <w:rFonts w:hint="eastAsia" w:asciiTheme="minorEastAsia" w:hAnsiTheme="minorEastAsia" w:cstheme="minorEastAsia"/>
          <w:b/>
          <w:color w:val="FF0000"/>
          <w:sz w:val="24"/>
          <w:szCs w:val="24"/>
          <w:lang w:val="en-US" w:eastAsia="zh-CN"/>
        </w:rPr>
        <w:t>监控、</w:t>
      </w:r>
      <w:r>
        <w:rPr>
          <w:rFonts w:hint="eastAsia" w:asciiTheme="minorEastAsia" w:hAnsiTheme="minorEastAsia" w:eastAsiaTheme="minorEastAsia" w:cstheme="minorEastAsia"/>
          <w:b/>
          <w:color w:val="FF0000"/>
          <w:sz w:val="24"/>
          <w:szCs w:val="24"/>
        </w:rPr>
        <w:t>五方对讲安装调试、每台电梯与安徽省电梯物联网公共安全监控中心的远程监控接入等</w:t>
      </w:r>
      <w:r>
        <w:rPr>
          <w:rFonts w:hint="eastAsia" w:asciiTheme="minorEastAsia" w:hAnsiTheme="minorEastAsia" w:eastAsiaTheme="minorEastAsia" w:cstheme="minorEastAsia"/>
          <w:sz w:val="24"/>
          <w:szCs w:val="24"/>
        </w:rPr>
        <w:t>一切费用（</w:t>
      </w:r>
      <w:r>
        <w:rPr>
          <w:rFonts w:hint="eastAsia" w:asciiTheme="minorEastAsia" w:hAnsiTheme="minorEastAsia" w:cstheme="minorEastAsia"/>
          <w:sz w:val="24"/>
          <w:szCs w:val="24"/>
          <w:lang w:val="en-US" w:eastAsia="zh-CN"/>
        </w:rPr>
        <w:t>中标人</w:t>
      </w:r>
      <w:r>
        <w:rPr>
          <w:rFonts w:hint="eastAsia" w:asciiTheme="minorEastAsia" w:hAnsiTheme="minorEastAsia" w:eastAsiaTheme="minorEastAsia" w:cstheme="minorEastAsia"/>
          <w:sz w:val="24"/>
          <w:szCs w:val="24"/>
        </w:rPr>
        <w:t>需根据</w:t>
      </w:r>
      <w:r>
        <w:rPr>
          <w:rFonts w:hint="eastAsia" w:asciiTheme="minorEastAsia" w:hAnsiTheme="minorEastAsia" w:cstheme="minorEastAsia"/>
          <w:sz w:val="24"/>
          <w:szCs w:val="24"/>
          <w:lang w:val="en-US" w:eastAsia="zh-CN"/>
        </w:rPr>
        <w:t>招标人</w:t>
      </w:r>
      <w:r>
        <w:rPr>
          <w:rFonts w:hint="eastAsia" w:asciiTheme="minorEastAsia" w:hAnsiTheme="minorEastAsia" w:eastAsiaTheme="minorEastAsia" w:cstheme="minorEastAsia"/>
          <w:sz w:val="24"/>
          <w:szCs w:val="24"/>
        </w:rPr>
        <w:t>提供的路由位置自行设计和施工，费用包含在投标报价中）。</w:t>
      </w:r>
    </w:p>
    <w:p>
      <w:pPr>
        <w:keepNext w:val="0"/>
        <w:keepLines w:val="0"/>
        <w:pageBreakBefore w:val="0"/>
        <w:widowControl w:val="0"/>
        <w:tabs>
          <w:tab w:val="left" w:pos="1260"/>
          <w:tab w:val="left" w:pos="1440"/>
        </w:tabs>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b/>
          <w:color w:val="FF0000"/>
          <w:sz w:val="24"/>
          <w:szCs w:val="24"/>
        </w:rPr>
        <w:t>投标方应仔细查看施工图纸，充分了解电梯安装运行环境，如图纸设计电梯井尺寸与电梯安装存在误差等问题，由中标单位自行考虑该项风险并纳入投标报价，中标后不得以图纸设计存在的任何问题提出价格调整或工期顺延。</w:t>
      </w:r>
      <w:r>
        <w:rPr>
          <w:rFonts w:hint="eastAsia" w:asciiTheme="minorEastAsia" w:hAnsiTheme="minorEastAsia" w:eastAsiaTheme="minorEastAsia" w:cstheme="minorEastAsia"/>
          <w:b/>
          <w:sz w:val="24"/>
          <w:szCs w:val="24"/>
          <w:lang w:val="en-US" w:eastAsia="zh-CN"/>
        </w:rPr>
        <w:t>五、</w:t>
      </w:r>
      <w:r>
        <w:rPr>
          <w:rFonts w:hint="eastAsia" w:asciiTheme="minorEastAsia" w:hAnsiTheme="minorEastAsia" w:eastAsiaTheme="minorEastAsia" w:cstheme="minorEastAsia"/>
          <w:b/>
          <w:sz w:val="24"/>
          <w:szCs w:val="24"/>
        </w:rPr>
        <w:t>安装要求</w:t>
      </w:r>
    </w:p>
    <w:p>
      <w:pPr>
        <w:keepNext w:val="0"/>
        <w:keepLines w:val="0"/>
        <w:pageBreakBefore w:val="0"/>
        <w:widowControl w:val="0"/>
        <w:tabs>
          <w:tab w:val="left" w:pos="1260"/>
          <w:tab w:val="left" w:pos="1440"/>
        </w:tabs>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本项目电梯的安装、维保单位须为</w:t>
      </w:r>
      <w:r>
        <w:rPr>
          <w:rFonts w:hint="eastAsia" w:asciiTheme="minorEastAsia" w:hAnsiTheme="minorEastAsia" w:cstheme="minorEastAsia"/>
          <w:color w:val="000000" w:themeColor="text1"/>
          <w:sz w:val="24"/>
          <w:szCs w:val="24"/>
          <w:lang w:val="en-US" w:eastAsia="zh-CN"/>
          <w14:textFill>
            <w14:solidFill>
              <w14:schemeClr w14:val="tx1"/>
            </w14:solidFill>
          </w14:textFill>
        </w:rPr>
        <w:t>中标单位</w:t>
      </w:r>
      <w:r>
        <w:rPr>
          <w:rFonts w:hint="eastAsia" w:asciiTheme="minorEastAsia" w:hAnsiTheme="minorEastAsia" w:eastAsiaTheme="minorEastAsia" w:cstheme="minorEastAsia"/>
          <w:color w:val="000000" w:themeColor="text1"/>
          <w:sz w:val="24"/>
          <w:szCs w:val="24"/>
          <w14:textFill>
            <w14:solidFill>
              <w14:schemeClr w14:val="tx1"/>
            </w14:solidFill>
          </w14:textFill>
        </w:rPr>
        <w:t>，具有安装、维修B级及以上资质及相应的专业设备。</w:t>
      </w:r>
    </w:p>
    <w:p>
      <w:pPr>
        <w:keepNext w:val="0"/>
        <w:keepLines w:val="0"/>
        <w:pageBreakBefore w:val="0"/>
        <w:widowControl w:val="0"/>
        <w:tabs>
          <w:tab w:val="left" w:pos="1260"/>
          <w:tab w:val="left" w:pos="1440"/>
        </w:tabs>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color w:val="FF0000"/>
          <w:sz w:val="24"/>
          <w:szCs w:val="24"/>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电梯安装人员须具备《特种设备作业人员证》。</w:t>
      </w:r>
    </w:p>
    <w:p>
      <w:pPr>
        <w:keepNext w:val="0"/>
        <w:keepLines w:val="0"/>
        <w:pageBreakBefore w:val="0"/>
        <w:widowControl w:val="0"/>
        <w:tabs>
          <w:tab w:val="left" w:pos="1260"/>
          <w:tab w:val="left" w:pos="1440"/>
        </w:tabs>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电梯安装前</w:t>
      </w:r>
      <w:r>
        <w:rPr>
          <w:rFonts w:hint="eastAsia" w:asciiTheme="minorEastAsia" w:hAnsiTheme="minorEastAsia" w:cstheme="minorEastAsia"/>
          <w:sz w:val="24"/>
          <w:szCs w:val="24"/>
          <w:lang w:val="en-US" w:eastAsia="zh-CN"/>
        </w:rPr>
        <w:t>15</w:t>
      </w:r>
      <w:r>
        <w:rPr>
          <w:rFonts w:hint="eastAsia" w:asciiTheme="minorEastAsia" w:hAnsiTheme="minorEastAsia" w:eastAsiaTheme="minorEastAsia" w:cstheme="minorEastAsia"/>
          <w:sz w:val="24"/>
          <w:szCs w:val="24"/>
        </w:rPr>
        <w:t>天承包人须将</w:t>
      </w:r>
      <w:r>
        <w:rPr>
          <w:rFonts w:hint="eastAsia" w:asciiTheme="minorEastAsia" w:hAnsiTheme="minorEastAsia" w:eastAsiaTheme="minorEastAsia" w:cstheme="minorEastAsia"/>
          <w:color w:val="000000" w:themeColor="text1"/>
          <w:sz w:val="24"/>
          <w:szCs w:val="24"/>
          <w14:textFill>
            <w14:solidFill>
              <w14:schemeClr w14:val="tx1"/>
            </w14:solidFill>
          </w14:textFill>
        </w:rPr>
        <w:t>安装施工组织计划</w:t>
      </w:r>
      <w:r>
        <w:rPr>
          <w:rFonts w:hint="eastAsia" w:asciiTheme="minorEastAsia" w:hAnsiTheme="minorEastAsia" w:eastAsiaTheme="minorEastAsia" w:cstheme="minorEastAsia"/>
          <w:sz w:val="24"/>
          <w:szCs w:val="24"/>
        </w:rPr>
        <w:t>报监理人、发包人审批，批准后方可实施。安装施工组织计划包括但不仅限：安装队伍概况说明，参加安装人员技术证书和工作证，安装施工组织计划及流程，所采用的新工艺、新方法等。</w:t>
      </w:r>
    </w:p>
    <w:p>
      <w:pPr>
        <w:keepNext w:val="0"/>
        <w:keepLines w:val="0"/>
        <w:pageBreakBefore w:val="0"/>
        <w:widowControl w:val="0"/>
        <w:tabs>
          <w:tab w:val="left" w:pos="1260"/>
          <w:tab w:val="left" w:pos="1440"/>
        </w:tabs>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电梯的安装标准将执行最新的国家标准，按质量检验评定标准评定为优良，观感质量须达到1级以上，否则不予验收。</w:t>
      </w:r>
    </w:p>
    <w:p>
      <w:pPr>
        <w:keepNext w:val="0"/>
        <w:keepLines w:val="0"/>
        <w:pageBreakBefore w:val="0"/>
        <w:widowControl w:val="0"/>
        <w:tabs>
          <w:tab w:val="left" w:pos="1260"/>
          <w:tab w:val="left" w:pos="1440"/>
        </w:tabs>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电梯的安装调试必须有制造商的专家现场技术指导。</w:t>
      </w:r>
    </w:p>
    <w:p>
      <w:pPr>
        <w:keepNext w:val="0"/>
        <w:keepLines w:val="0"/>
        <w:pageBreakBefore w:val="0"/>
        <w:widowControl w:val="0"/>
        <w:tabs>
          <w:tab w:val="left" w:pos="1260"/>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lang w:val="en-US" w:eastAsia="zh-CN"/>
        </w:rPr>
        <w:t>六、</w:t>
      </w:r>
      <w:r>
        <w:rPr>
          <w:rFonts w:hint="eastAsia" w:asciiTheme="minorEastAsia" w:hAnsiTheme="minorEastAsia" w:eastAsiaTheme="minorEastAsia" w:cstheme="minorEastAsia"/>
          <w:b/>
          <w:sz w:val="24"/>
          <w:szCs w:val="24"/>
        </w:rPr>
        <w:t>电梯调试、验收</w:t>
      </w:r>
    </w:p>
    <w:p>
      <w:pPr>
        <w:keepNext w:val="0"/>
        <w:keepLines w:val="0"/>
        <w:pageBreakBefore w:val="0"/>
        <w:widowControl w:val="0"/>
        <w:tabs>
          <w:tab w:val="left" w:pos="1440"/>
        </w:tabs>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现场验收：</w:t>
      </w:r>
      <w:r>
        <w:rPr>
          <w:rFonts w:hint="eastAsia" w:asciiTheme="minorEastAsia" w:hAnsiTheme="minorEastAsia" w:cstheme="minorEastAsia"/>
          <w:sz w:val="24"/>
          <w:szCs w:val="24"/>
          <w:lang w:val="en-US" w:eastAsia="zh-CN"/>
        </w:rPr>
        <w:t>中标人</w:t>
      </w:r>
      <w:r>
        <w:rPr>
          <w:rFonts w:hint="eastAsia" w:asciiTheme="minorEastAsia" w:hAnsiTheme="minorEastAsia" w:eastAsiaTheme="minorEastAsia" w:cstheme="minorEastAsia"/>
          <w:sz w:val="24"/>
          <w:szCs w:val="24"/>
        </w:rPr>
        <w:t>对设备、附件及备件的开箱检验做好记录，应对货物的开箱清单及设备的随机文件做好保管，在安装工程完毕后进行检测及验收工作，待群体工程全部建设内容完成竣工验收后一并移交给</w:t>
      </w:r>
      <w:r>
        <w:rPr>
          <w:rFonts w:hint="eastAsia" w:asciiTheme="minorEastAsia" w:hAnsiTheme="minorEastAsia" w:cstheme="minorEastAsia"/>
          <w:sz w:val="24"/>
          <w:szCs w:val="24"/>
          <w:lang w:eastAsia="zh-CN"/>
        </w:rPr>
        <w:t>招标人</w:t>
      </w:r>
      <w:r>
        <w:rPr>
          <w:rFonts w:hint="eastAsia" w:asciiTheme="minorEastAsia" w:hAnsiTheme="minorEastAsia" w:eastAsiaTheme="minorEastAsia" w:cstheme="minorEastAsia"/>
          <w:sz w:val="24"/>
          <w:szCs w:val="24"/>
        </w:rPr>
        <w:t>（电梯须经技术质量监督部门检测、验收，合格后方可交付</w:t>
      </w:r>
      <w:r>
        <w:rPr>
          <w:rFonts w:hint="eastAsia" w:asciiTheme="minorEastAsia" w:hAnsiTheme="minorEastAsia" w:cstheme="minorEastAsia"/>
          <w:sz w:val="24"/>
          <w:szCs w:val="24"/>
          <w:lang w:eastAsia="zh-CN"/>
        </w:rPr>
        <w:t>招标人</w:t>
      </w:r>
      <w:r>
        <w:rPr>
          <w:rFonts w:hint="eastAsia" w:asciiTheme="minorEastAsia" w:hAnsiTheme="minorEastAsia" w:eastAsiaTheme="minorEastAsia" w:cstheme="minorEastAsia"/>
          <w:sz w:val="24"/>
          <w:szCs w:val="24"/>
        </w:rPr>
        <w:t>使用）。</w:t>
      </w:r>
    </w:p>
    <w:p>
      <w:pPr>
        <w:keepNext w:val="0"/>
        <w:keepLines w:val="0"/>
        <w:pageBreakBefore w:val="0"/>
        <w:widowControl w:val="0"/>
        <w:tabs>
          <w:tab w:val="left" w:pos="1440"/>
        </w:tabs>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安装调试：货物应由</w:t>
      </w:r>
      <w:r>
        <w:rPr>
          <w:rFonts w:hint="eastAsia" w:asciiTheme="minorEastAsia" w:hAnsiTheme="minorEastAsia" w:cstheme="minorEastAsia"/>
          <w:sz w:val="24"/>
          <w:szCs w:val="24"/>
          <w:lang w:eastAsia="zh-CN"/>
        </w:rPr>
        <w:t>中标人</w:t>
      </w:r>
      <w:r>
        <w:rPr>
          <w:rFonts w:hint="eastAsia" w:asciiTheme="minorEastAsia" w:hAnsiTheme="minorEastAsia" w:eastAsiaTheme="minorEastAsia" w:cstheme="minorEastAsia"/>
          <w:sz w:val="24"/>
          <w:szCs w:val="24"/>
        </w:rPr>
        <w:t>负责在本项目工地现场进行安装、调试及试运行，一切在安装、调试及试运行过程中造成的货物损坏，责任均由</w:t>
      </w:r>
      <w:r>
        <w:rPr>
          <w:rFonts w:hint="eastAsia" w:asciiTheme="minorEastAsia" w:hAnsiTheme="minorEastAsia" w:cstheme="minorEastAsia"/>
          <w:sz w:val="24"/>
          <w:szCs w:val="24"/>
          <w:lang w:eastAsia="zh-CN"/>
        </w:rPr>
        <w:t>中标人</w:t>
      </w:r>
      <w:r>
        <w:rPr>
          <w:rFonts w:hint="eastAsia" w:asciiTheme="minorEastAsia" w:hAnsiTheme="minorEastAsia" w:eastAsiaTheme="minorEastAsia" w:cstheme="minorEastAsia"/>
          <w:sz w:val="24"/>
          <w:szCs w:val="24"/>
        </w:rPr>
        <w:t>承担。</w:t>
      </w:r>
    </w:p>
    <w:p>
      <w:pPr>
        <w:keepNext w:val="0"/>
        <w:keepLines w:val="0"/>
        <w:pageBreakBefore w:val="0"/>
        <w:widowControl w:val="0"/>
        <w:tabs>
          <w:tab w:val="left" w:pos="1440"/>
        </w:tabs>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设备的检验和验收：电梯安装完毕后，</w:t>
      </w:r>
      <w:r>
        <w:rPr>
          <w:rFonts w:hint="eastAsia" w:asciiTheme="minorEastAsia" w:hAnsiTheme="minorEastAsia" w:cstheme="minorEastAsia"/>
          <w:sz w:val="24"/>
          <w:szCs w:val="24"/>
          <w:lang w:eastAsia="zh-CN"/>
        </w:rPr>
        <w:t>招标人</w:t>
      </w:r>
      <w:r>
        <w:rPr>
          <w:rFonts w:hint="eastAsia" w:asciiTheme="minorEastAsia" w:hAnsiTheme="minorEastAsia" w:eastAsiaTheme="minorEastAsia" w:cstheme="minorEastAsia"/>
          <w:sz w:val="24"/>
          <w:szCs w:val="24"/>
        </w:rPr>
        <w:t>要求对整机的性能至少作以下调试、检测（相关费用包含在投标报价中）。试验结果必须符合我国电梯制造与安装安全规范（GB10058，GB10060）以及</w:t>
      </w:r>
      <w:r>
        <w:rPr>
          <w:rFonts w:hint="eastAsia" w:asciiTheme="minorEastAsia" w:hAnsiTheme="minorEastAsia" w:cstheme="minorEastAsia"/>
          <w:sz w:val="24"/>
          <w:szCs w:val="24"/>
          <w:lang w:eastAsia="zh-CN"/>
        </w:rPr>
        <w:t>中标人</w:t>
      </w:r>
      <w:r>
        <w:rPr>
          <w:rFonts w:hint="eastAsia" w:asciiTheme="minorEastAsia" w:hAnsiTheme="minorEastAsia" w:eastAsiaTheme="minorEastAsia" w:cstheme="minorEastAsia"/>
          <w:sz w:val="24"/>
          <w:szCs w:val="24"/>
        </w:rPr>
        <w:t>提供的制造与安装标准和技术规范要求：</w:t>
      </w:r>
    </w:p>
    <w:p>
      <w:pPr>
        <w:keepNext w:val="0"/>
        <w:keepLines w:val="0"/>
        <w:pageBreakBefore w:val="0"/>
        <w:widowControl w:val="0"/>
        <w:numPr>
          <w:ilvl w:val="0"/>
          <w:numId w:val="2"/>
        </w:numPr>
        <w:tabs>
          <w:tab w:val="left" w:pos="900"/>
        </w:tabs>
        <w:kinsoku/>
        <w:wordWrap/>
        <w:overflowPunct/>
        <w:topLinePunct w:val="0"/>
        <w:autoSpaceDE/>
        <w:autoSpaceDN/>
        <w:bidi w:val="0"/>
        <w:adjustRightInd/>
        <w:snapToGrid/>
        <w:spacing w:line="360" w:lineRule="auto"/>
        <w:ind w:firstLine="54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检验：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已安装完毕的电梯实测数据与</w:t>
      </w:r>
      <w:r>
        <w:rPr>
          <w:rFonts w:hint="eastAsia" w:asciiTheme="minorEastAsia" w:hAnsiTheme="minorEastAsia" w:cstheme="minorEastAsia"/>
          <w:sz w:val="24"/>
          <w:szCs w:val="24"/>
          <w:lang w:eastAsia="zh-CN"/>
        </w:rPr>
        <w:t>中标人</w:t>
      </w:r>
      <w:r>
        <w:rPr>
          <w:rFonts w:hint="eastAsia" w:asciiTheme="minorEastAsia" w:hAnsiTheme="minorEastAsia" w:eastAsiaTheme="minorEastAsia" w:cstheme="minorEastAsia"/>
          <w:sz w:val="24"/>
          <w:szCs w:val="24"/>
        </w:rPr>
        <w:t>提交的电梯配套技术参数比较。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对外观及无特殊要求的部件制造、安装质量，进行直观检查。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对于门锁装置、厅门、限速器、安全钳、缓冲器等部件，</w:t>
      </w:r>
      <w:r>
        <w:rPr>
          <w:rFonts w:hint="eastAsia" w:asciiTheme="minorEastAsia" w:hAnsiTheme="minorEastAsia" w:cstheme="minorEastAsia"/>
          <w:sz w:val="24"/>
          <w:szCs w:val="24"/>
          <w:lang w:eastAsia="zh-CN"/>
        </w:rPr>
        <w:t>中标人</w:t>
      </w:r>
      <w:r>
        <w:rPr>
          <w:rFonts w:hint="eastAsia" w:asciiTheme="minorEastAsia" w:hAnsiTheme="minorEastAsia" w:eastAsiaTheme="minorEastAsia" w:cstheme="minorEastAsia"/>
          <w:sz w:val="24"/>
          <w:szCs w:val="24"/>
        </w:rPr>
        <w:t>必须提供鉴定合格证的副本，并将其合格证详细内容与电梯特性进行比较。</w:t>
      </w:r>
    </w:p>
    <w:p>
      <w:pPr>
        <w:keepNext w:val="0"/>
        <w:keepLines w:val="0"/>
        <w:pageBreakBefore w:val="0"/>
        <w:widowControl w:val="0"/>
        <w:numPr>
          <w:ilvl w:val="0"/>
          <w:numId w:val="2"/>
        </w:numPr>
        <w:tabs>
          <w:tab w:val="left" w:pos="900"/>
        </w:tabs>
        <w:kinsoku/>
        <w:wordWrap/>
        <w:overflowPunct/>
        <w:topLinePunct w:val="0"/>
        <w:autoSpaceDE/>
        <w:autoSpaceDN/>
        <w:bidi w:val="0"/>
        <w:adjustRightInd/>
        <w:snapToGrid/>
        <w:spacing w:line="360" w:lineRule="auto"/>
        <w:ind w:firstLine="54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试验和校验：</w:t>
      </w:r>
      <w:r>
        <w:rPr>
          <w:rFonts w:hint="eastAsia" w:asciiTheme="minorEastAsia" w:hAnsiTheme="minorEastAsia" w:cstheme="minorEastAsia"/>
          <w:sz w:val="24"/>
          <w:szCs w:val="24"/>
          <w:lang w:eastAsia="zh-CN"/>
        </w:rPr>
        <w:t>招标人</w:t>
      </w:r>
      <w:r>
        <w:rPr>
          <w:rFonts w:hint="eastAsia" w:asciiTheme="minorEastAsia" w:hAnsiTheme="minorEastAsia" w:eastAsiaTheme="minorEastAsia" w:cstheme="minorEastAsia"/>
          <w:sz w:val="24"/>
          <w:szCs w:val="24"/>
        </w:rPr>
        <w:t>要求进行如下试验和校验项目，</w:t>
      </w:r>
      <w:r>
        <w:rPr>
          <w:rFonts w:hint="eastAsia" w:asciiTheme="minorEastAsia" w:hAnsiTheme="minorEastAsia" w:cstheme="minorEastAsia"/>
          <w:sz w:val="24"/>
          <w:szCs w:val="24"/>
          <w:lang w:eastAsia="zh-CN"/>
        </w:rPr>
        <w:t>招标人</w:t>
      </w:r>
      <w:r>
        <w:rPr>
          <w:rFonts w:hint="eastAsia" w:asciiTheme="minorEastAsia" w:hAnsiTheme="minorEastAsia" w:eastAsiaTheme="minorEastAsia" w:cstheme="minorEastAsia"/>
          <w:sz w:val="24"/>
          <w:szCs w:val="24"/>
        </w:rPr>
        <w:t>可在此基础上提供其他必要的试验和校验项目。</w:t>
      </w:r>
    </w:p>
    <w:p>
      <w:pPr>
        <w:keepNext w:val="0"/>
        <w:keepLines w:val="0"/>
        <w:pageBreakBefore w:val="0"/>
        <w:widowControl w:val="0"/>
        <w:numPr>
          <w:ilvl w:val="1"/>
          <w:numId w:val="2"/>
        </w:numPr>
        <w:kinsoku/>
        <w:wordWrap/>
        <w:overflowPunct/>
        <w:topLinePunct w:val="0"/>
        <w:autoSpaceDE/>
        <w:autoSpaceDN/>
        <w:bidi w:val="0"/>
        <w:adjustRightInd/>
        <w:snapToGrid/>
        <w:spacing w:line="360" w:lineRule="auto"/>
        <w:ind w:firstLine="72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运行速度和运行加速度、减速度试验</w:t>
      </w:r>
    </w:p>
    <w:p>
      <w:pPr>
        <w:keepNext w:val="0"/>
        <w:keepLines w:val="0"/>
        <w:pageBreakBefore w:val="0"/>
        <w:widowControl w:val="0"/>
        <w:numPr>
          <w:ilvl w:val="1"/>
          <w:numId w:val="2"/>
        </w:numPr>
        <w:kinsoku/>
        <w:wordWrap/>
        <w:overflowPunct/>
        <w:topLinePunct w:val="0"/>
        <w:autoSpaceDE/>
        <w:autoSpaceDN/>
        <w:bidi w:val="0"/>
        <w:adjustRightInd/>
        <w:snapToGrid/>
        <w:spacing w:line="360" w:lineRule="auto"/>
        <w:ind w:firstLine="72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运行平稳性（振动加速度）测试三个方向振动幅值</w:t>
      </w:r>
    </w:p>
    <w:p>
      <w:pPr>
        <w:keepNext w:val="0"/>
        <w:keepLines w:val="0"/>
        <w:pageBreakBefore w:val="0"/>
        <w:widowControl w:val="0"/>
        <w:numPr>
          <w:ilvl w:val="1"/>
          <w:numId w:val="2"/>
        </w:numPr>
        <w:kinsoku/>
        <w:wordWrap/>
        <w:overflowPunct/>
        <w:topLinePunct w:val="0"/>
        <w:autoSpaceDE/>
        <w:autoSpaceDN/>
        <w:bidi w:val="0"/>
        <w:adjustRightInd/>
        <w:snapToGrid/>
        <w:spacing w:line="360" w:lineRule="auto"/>
        <w:ind w:firstLine="72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噪声测试（机房、轿厢、自动门机构等）</w:t>
      </w:r>
    </w:p>
    <w:p>
      <w:pPr>
        <w:keepNext w:val="0"/>
        <w:keepLines w:val="0"/>
        <w:pageBreakBefore w:val="0"/>
        <w:widowControl w:val="0"/>
        <w:numPr>
          <w:ilvl w:val="1"/>
          <w:numId w:val="2"/>
        </w:numPr>
        <w:kinsoku/>
        <w:wordWrap/>
        <w:overflowPunct/>
        <w:topLinePunct w:val="0"/>
        <w:autoSpaceDE/>
        <w:autoSpaceDN/>
        <w:bidi w:val="0"/>
        <w:adjustRightInd/>
        <w:snapToGrid/>
        <w:spacing w:line="360" w:lineRule="auto"/>
        <w:ind w:firstLine="72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平层准确度测试</w:t>
      </w:r>
    </w:p>
    <w:p>
      <w:pPr>
        <w:keepNext w:val="0"/>
        <w:keepLines w:val="0"/>
        <w:pageBreakBefore w:val="0"/>
        <w:widowControl w:val="0"/>
        <w:numPr>
          <w:ilvl w:val="1"/>
          <w:numId w:val="2"/>
        </w:numPr>
        <w:kinsoku/>
        <w:wordWrap/>
        <w:overflowPunct/>
        <w:topLinePunct w:val="0"/>
        <w:autoSpaceDE/>
        <w:autoSpaceDN/>
        <w:bidi w:val="0"/>
        <w:adjustRightInd/>
        <w:snapToGrid/>
        <w:spacing w:line="360" w:lineRule="auto"/>
        <w:ind w:firstLine="72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曳引机的静载、满载、超载试验</w:t>
      </w:r>
    </w:p>
    <w:p>
      <w:pPr>
        <w:keepNext w:val="0"/>
        <w:keepLines w:val="0"/>
        <w:pageBreakBefore w:val="0"/>
        <w:widowControl w:val="0"/>
        <w:numPr>
          <w:ilvl w:val="1"/>
          <w:numId w:val="2"/>
        </w:numPr>
        <w:kinsoku/>
        <w:wordWrap/>
        <w:overflowPunct/>
        <w:topLinePunct w:val="0"/>
        <w:autoSpaceDE/>
        <w:autoSpaceDN/>
        <w:bidi w:val="0"/>
        <w:adjustRightInd/>
        <w:snapToGrid/>
        <w:spacing w:line="360" w:lineRule="auto"/>
        <w:ind w:firstLine="72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控制系统、信息系统性能测试</w:t>
      </w:r>
    </w:p>
    <w:p>
      <w:pPr>
        <w:keepNext w:val="0"/>
        <w:keepLines w:val="0"/>
        <w:pageBreakBefore w:val="0"/>
        <w:widowControl w:val="0"/>
        <w:numPr>
          <w:ilvl w:val="1"/>
          <w:numId w:val="2"/>
        </w:numPr>
        <w:kinsoku/>
        <w:wordWrap/>
        <w:overflowPunct/>
        <w:topLinePunct w:val="0"/>
        <w:autoSpaceDE/>
        <w:autoSpaceDN/>
        <w:bidi w:val="0"/>
        <w:adjustRightInd/>
        <w:snapToGrid/>
        <w:spacing w:line="360" w:lineRule="auto"/>
        <w:ind w:firstLine="72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电气设备的检查和电流、功率的测试</w:t>
      </w:r>
    </w:p>
    <w:p>
      <w:pPr>
        <w:keepNext w:val="0"/>
        <w:keepLines w:val="0"/>
        <w:pageBreakBefore w:val="0"/>
        <w:widowControl w:val="0"/>
        <w:numPr>
          <w:ilvl w:val="1"/>
          <w:numId w:val="2"/>
        </w:numPr>
        <w:kinsoku/>
        <w:wordWrap/>
        <w:overflowPunct/>
        <w:topLinePunct w:val="0"/>
        <w:autoSpaceDE/>
        <w:autoSpaceDN/>
        <w:bidi w:val="0"/>
        <w:adjustRightInd/>
        <w:snapToGrid/>
        <w:spacing w:line="360" w:lineRule="auto"/>
        <w:ind w:firstLine="72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各种安全保护设施的检试</w:t>
      </w:r>
    </w:p>
    <w:p>
      <w:pPr>
        <w:keepNext w:val="0"/>
        <w:keepLines w:val="0"/>
        <w:pageBreakBefore w:val="0"/>
        <w:widowControl w:val="0"/>
        <w:numPr>
          <w:ilvl w:val="2"/>
          <w:numId w:val="2"/>
        </w:numPr>
        <w:tabs>
          <w:tab w:val="left" w:pos="1800"/>
        </w:tabs>
        <w:kinsoku/>
        <w:wordWrap/>
        <w:overflowPunct/>
        <w:topLinePunct w:val="0"/>
        <w:autoSpaceDE/>
        <w:autoSpaceDN/>
        <w:bidi w:val="0"/>
        <w:adjustRightInd/>
        <w:snapToGrid/>
        <w:spacing w:line="360" w:lineRule="auto"/>
        <w:ind w:left="1200" w:firstLine="6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限速器运作性能</w:t>
      </w:r>
    </w:p>
    <w:p>
      <w:pPr>
        <w:keepNext w:val="0"/>
        <w:keepLines w:val="0"/>
        <w:pageBreakBefore w:val="0"/>
        <w:widowControl w:val="0"/>
        <w:numPr>
          <w:ilvl w:val="2"/>
          <w:numId w:val="2"/>
        </w:numPr>
        <w:tabs>
          <w:tab w:val="left" w:pos="1800"/>
        </w:tabs>
        <w:kinsoku/>
        <w:wordWrap/>
        <w:overflowPunct/>
        <w:topLinePunct w:val="0"/>
        <w:autoSpaceDE/>
        <w:autoSpaceDN/>
        <w:bidi w:val="0"/>
        <w:adjustRightInd/>
        <w:snapToGrid/>
        <w:spacing w:line="360" w:lineRule="auto"/>
        <w:ind w:left="1200" w:firstLine="6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缓冲器运作性能</w:t>
      </w:r>
    </w:p>
    <w:p>
      <w:pPr>
        <w:keepNext w:val="0"/>
        <w:keepLines w:val="0"/>
        <w:pageBreakBefore w:val="0"/>
        <w:widowControl w:val="0"/>
        <w:numPr>
          <w:ilvl w:val="2"/>
          <w:numId w:val="2"/>
        </w:numPr>
        <w:tabs>
          <w:tab w:val="left" w:pos="1800"/>
        </w:tabs>
        <w:kinsoku/>
        <w:wordWrap/>
        <w:overflowPunct/>
        <w:topLinePunct w:val="0"/>
        <w:autoSpaceDE/>
        <w:autoSpaceDN/>
        <w:bidi w:val="0"/>
        <w:adjustRightInd/>
        <w:snapToGrid/>
        <w:spacing w:line="360" w:lineRule="auto"/>
        <w:ind w:left="1200" w:firstLine="6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厅门、轿门、带有机电联锁性能</w:t>
      </w:r>
    </w:p>
    <w:p>
      <w:pPr>
        <w:keepNext w:val="0"/>
        <w:keepLines w:val="0"/>
        <w:pageBreakBefore w:val="0"/>
        <w:widowControl w:val="0"/>
        <w:numPr>
          <w:ilvl w:val="2"/>
          <w:numId w:val="2"/>
        </w:numPr>
        <w:tabs>
          <w:tab w:val="left" w:pos="1800"/>
        </w:tabs>
        <w:kinsoku/>
        <w:wordWrap/>
        <w:overflowPunct/>
        <w:topLinePunct w:val="0"/>
        <w:autoSpaceDE/>
        <w:autoSpaceDN/>
        <w:bidi w:val="0"/>
        <w:adjustRightInd/>
        <w:snapToGrid/>
        <w:spacing w:line="360" w:lineRule="auto"/>
        <w:ind w:left="1200" w:firstLine="6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安全钳检查和安全钳机械件及开关动作性能</w:t>
      </w:r>
    </w:p>
    <w:p>
      <w:pPr>
        <w:keepNext w:val="0"/>
        <w:keepLines w:val="0"/>
        <w:pageBreakBefore w:val="0"/>
        <w:widowControl w:val="0"/>
        <w:numPr>
          <w:ilvl w:val="2"/>
          <w:numId w:val="2"/>
        </w:numPr>
        <w:tabs>
          <w:tab w:val="left" w:pos="1800"/>
        </w:tabs>
        <w:kinsoku/>
        <w:wordWrap/>
        <w:overflowPunct/>
        <w:topLinePunct w:val="0"/>
        <w:autoSpaceDE/>
        <w:autoSpaceDN/>
        <w:bidi w:val="0"/>
        <w:adjustRightInd/>
        <w:snapToGrid/>
        <w:spacing w:line="360" w:lineRule="auto"/>
        <w:ind w:left="1200" w:firstLine="6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终端限位开关性能</w:t>
      </w:r>
    </w:p>
    <w:p>
      <w:pPr>
        <w:keepNext w:val="0"/>
        <w:keepLines w:val="0"/>
        <w:pageBreakBefore w:val="0"/>
        <w:widowControl w:val="0"/>
        <w:numPr>
          <w:ilvl w:val="2"/>
          <w:numId w:val="2"/>
        </w:numPr>
        <w:tabs>
          <w:tab w:val="left" w:pos="1800"/>
        </w:tabs>
        <w:kinsoku/>
        <w:wordWrap/>
        <w:overflowPunct/>
        <w:topLinePunct w:val="0"/>
        <w:autoSpaceDE/>
        <w:autoSpaceDN/>
        <w:bidi w:val="0"/>
        <w:adjustRightInd/>
        <w:snapToGrid/>
        <w:spacing w:line="360" w:lineRule="auto"/>
        <w:ind w:left="1200" w:firstLine="6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不同电路的绝缘性能</w:t>
      </w:r>
    </w:p>
    <w:p>
      <w:pPr>
        <w:keepNext w:val="0"/>
        <w:keepLines w:val="0"/>
        <w:pageBreakBefore w:val="0"/>
        <w:widowControl w:val="0"/>
        <w:numPr>
          <w:ilvl w:val="2"/>
          <w:numId w:val="2"/>
        </w:numPr>
        <w:tabs>
          <w:tab w:val="left" w:pos="1800"/>
        </w:tabs>
        <w:kinsoku/>
        <w:wordWrap/>
        <w:overflowPunct/>
        <w:topLinePunct w:val="0"/>
        <w:autoSpaceDE/>
        <w:autoSpaceDN/>
        <w:bidi w:val="0"/>
        <w:adjustRightInd/>
        <w:snapToGrid/>
        <w:spacing w:line="360" w:lineRule="auto"/>
        <w:ind w:left="1200" w:firstLine="6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门锁装置</w:t>
      </w:r>
    </w:p>
    <w:p>
      <w:pPr>
        <w:keepNext w:val="0"/>
        <w:keepLines w:val="0"/>
        <w:pageBreakBefore w:val="0"/>
        <w:widowControl w:val="0"/>
        <w:numPr>
          <w:ilvl w:val="2"/>
          <w:numId w:val="2"/>
        </w:numPr>
        <w:tabs>
          <w:tab w:val="left" w:pos="1800"/>
        </w:tabs>
        <w:kinsoku/>
        <w:wordWrap/>
        <w:overflowPunct/>
        <w:topLinePunct w:val="0"/>
        <w:autoSpaceDE/>
        <w:autoSpaceDN/>
        <w:bidi w:val="0"/>
        <w:adjustRightInd/>
        <w:snapToGrid/>
        <w:spacing w:line="360" w:lineRule="auto"/>
        <w:ind w:left="1200" w:firstLine="6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电气安全装置</w:t>
      </w:r>
    </w:p>
    <w:p>
      <w:pPr>
        <w:keepNext w:val="0"/>
        <w:keepLines w:val="0"/>
        <w:pageBreakBefore w:val="0"/>
        <w:widowControl w:val="0"/>
        <w:numPr>
          <w:ilvl w:val="2"/>
          <w:numId w:val="2"/>
        </w:numPr>
        <w:tabs>
          <w:tab w:val="left" w:pos="1800"/>
        </w:tabs>
        <w:kinsoku/>
        <w:wordWrap/>
        <w:overflowPunct/>
        <w:topLinePunct w:val="0"/>
        <w:autoSpaceDE/>
        <w:autoSpaceDN/>
        <w:bidi w:val="0"/>
        <w:adjustRightInd/>
        <w:snapToGrid/>
        <w:spacing w:line="360" w:lineRule="auto"/>
        <w:ind w:left="1200" w:firstLine="6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因故中途停电，轿厢慢速移动的措施</w:t>
      </w:r>
    </w:p>
    <w:p>
      <w:pPr>
        <w:keepNext w:val="0"/>
        <w:keepLines w:val="0"/>
        <w:pageBreakBefore w:val="0"/>
        <w:widowControl w:val="0"/>
        <w:numPr>
          <w:ilvl w:val="2"/>
          <w:numId w:val="2"/>
        </w:numPr>
        <w:tabs>
          <w:tab w:val="left" w:pos="1800"/>
        </w:tabs>
        <w:kinsoku/>
        <w:wordWrap/>
        <w:overflowPunct/>
        <w:topLinePunct w:val="0"/>
        <w:autoSpaceDE/>
        <w:autoSpaceDN/>
        <w:bidi w:val="0"/>
        <w:adjustRightInd/>
        <w:snapToGrid/>
        <w:spacing w:line="360" w:lineRule="auto"/>
        <w:ind w:left="1200" w:firstLine="6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制动系统</w:t>
      </w:r>
    </w:p>
    <w:p>
      <w:pPr>
        <w:keepNext w:val="0"/>
        <w:keepLines w:val="0"/>
        <w:pageBreakBefore w:val="0"/>
        <w:widowControl w:val="0"/>
        <w:numPr>
          <w:ilvl w:val="2"/>
          <w:numId w:val="2"/>
        </w:numPr>
        <w:tabs>
          <w:tab w:val="left" w:pos="1800"/>
        </w:tabs>
        <w:kinsoku/>
        <w:wordWrap/>
        <w:overflowPunct/>
        <w:topLinePunct w:val="0"/>
        <w:autoSpaceDE/>
        <w:autoSpaceDN/>
        <w:bidi w:val="0"/>
        <w:adjustRightInd/>
        <w:snapToGrid/>
        <w:spacing w:line="360" w:lineRule="auto"/>
        <w:ind w:left="1200" w:firstLine="6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报警装置</w:t>
      </w:r>
    </w:p>
    <w:p>
      <w:pPr>
        <w:keepNext w:val="0"/>
        <w:keepLines w:val="0"/>
        <w:pageBreakBefore w:val="0"/>
        <w:widowControl w:val="0"/>
        <w:numPr>
          <w:ilvl w:val="2"/>
          <w:numId w:val="2"/>
        </w:numPr>
        <w:tabs>
          <w:tab w:val="left" w:pos="1800"/>
        </w:tabs>
        <w:kinsoku/>
        <w:wordWrap/>
        <w:overflowPunct/>
        <w:topLinePunct w:val="0"/>
        <w:autoSpaceDE/>
        <w:autoSpaceDN/>
        <w:bidi w:val="0"/>
        <w:adjustRightInd/>
        <w:snapToGrid/>
        <w:spacing w:line="360" w:lineRule="auto"/>
        <w:ind w:left="1200" w:firstLine="6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通信装置</w:t>
      </w:r>
    </w:p>
    <w:p>
      <w:pPr>
        <w:keepNext w:val="0"/>
        <w:keepLines w:val="0"/>
        <w:pageBreakBefore w:val="0"/>
        <w:widowControl w:val="0"/>
        <w:numPr>
          <w:ilvl w:val="2"/>
          <w:numId w:val="2"/>
        </w:numPr>
        <w:tabs>
          <w:tab w:val="left" w:pos="1800"/>
        </w:tabs>
        <w:kinsoku/>
        <w:wordWrap/>
        <w:overflowPunct/>
        <w:topLinePunct w:val="0"/>
        <w:autoSpaceDE/>
        <w:autoSpaceDN/>
        <w:bidi w:val="0"/>
        <w:adjustRightInd/>
        <w:snapToGrid/>
        <w:spacing w:line="360" w:lineRule="auto"/>
        <w:ind w:left="1200" w:firstLine="6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消防功能试验</w:t>
      </w:r>
    </w:p>
    <w:p>
      <w:pPr>
        <w:keepNext w:val="0"/>
        <w:keepLines w:val="0"/>
        <w:pageBreakBefore w:val="0"/>
        <w:widowControl w:val="0"/>
        <w:tabs>
          <w:tab w:val="left" w:pos="1440"/>
        </w:tabs>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设备安装调试合格后，由</w:t>
      </w:r>
      <w:r>
        <w:rPr>
          <w:rFonts w:hint="eastAsia" w:asciiTheme="minorEastAsia" w:hAnsiTheme="minorEastAsia" w:cstheme="minorEastAsia"/>
          <w:sz w:val="24"/>
          <w:szCs w:val="24"/>
          <w:lang w:eastAsia="zh-CN"/>
        </w:rPr>
        <w:t>中标人</w:t>
      </w:r>
      <w:r>
        <w:rPr>
          <w:rFonts w:hint="eastAsia" w:asciiTheme="minorEastAsia" w:hAnsiTheme="minorEastAsia" w:eastAsiaTheme="minorEastAsia" w:cstheme="minorEastAsia"/>
          <w:sz w:val="24"/>
          <w:szCs w:val="24"/>
        </w:rPr>
        <w:t>负责联系使用地国家法定检验部门，并办理使用许可证。</w:t>
      </w:r>
    </w:p>
    <w:p>
      <w:pPr>
        <w:keepNext w:val="0"/>
        <w:keepLines w:val="0"/>
        <w:pageBreakBefore w:val="0"/>
        <w:widowControl w:val="0"/>
        <w:tabs>
          <w:tab w:val="left" w:pos="1260"/>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lang w:val="en-US" w:eastAsia="zh-CN"/>
        </w:rPr>
        <w:t>七、</w:t>
      </w:r>
      <w:r>
        <w:rPr>
          <w:rFonts w:hint="eastAsia" w:asciiTheme="minorEastAsia" w:hAnsiTheme="minorEastAsia" w:eastAsiaTheme="minorEastAsia" w:cstheme="minorEastAsia"/>
          <w:b/>
          <w:sz w:val="24"/>
          <w:szCs w:val="24"/>
        </w:rPr>
        <w:t>包装及运输要求</w:t>
      </w:r>
    </w:p>
    <w:p>
      <w:pPr>
        <w:keepNext w:val="0"/>
        <w:keepLines w:val="0"/>
        <w:pageBreakBefore w:val="0"/>
        <w:widowControl w:val="0"/>
        <w:tabs>
          <w:tab w:val="left" w:pos="1440"/>
        </w:tabs>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需包扎和装箱的零部件，应保证其不受损伤和腐蚀，并符合JB2759-1980《机电产品包装通用技术条件》和运输的有关要求。货物的包装应为生产厂商出厂时的原包装。</w:t>
      </w:r>
    </w:p>
    <w:p>
      <w:pPr>
        <w:keepNext w:val="0"/>
        <w:keepLines w:val="0"/>
        <w:pageBreakBefore w:val="0"/>
        <w:widowControl w:val="0"/>
        <w:tabs>
          <w:tab w:val="left" w:pos="1440"/>
        </w:tabs>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lang w:eastAsia="zh-CN"/>
        </w:rPr>
        <w:t>、</w:t>
      </w:r>
      <w:r>
        <w:rPr>
          <w:rFonts w:hint="eastAsia" w:asciiTheme="minorEastAsia" w:hAnsiTheme="minorEastAsia" w:cstheme="minorEastAsia"/>
          <w:sz w:val="24"/>
          <w:szCs w:val="24"/>
          <w:lang w:eastAsia="zh-CN"/>
        </w:rPr>
        <w:t>中标人</w:t>
      </w:r>
      <w:r>
        <w:rPr>
          <w:rFonts w:hint="eastAsia" w:asciiTheme="minorEastAsia" w:hAnsiTheme="minorEastAsia" w:eastAsiaTheme="minorEastAsia" w:cstheme="minorEastAsia"/>
          <w:sz w:val="24"/>
          <w:szCs w:val="24"/>
        </w:rPr>
        <w:t>应确保所提供的货物在装、卸、运输和储存过程中有足够的包装保护，防止货物受潮、生锈、被腐蚀、受到冲撞以及其他不可预见的损坏。</w:t>
      </w:r>
    </w:p>
    <w:p>
      <w:pPr>
        <w:keepNext w:val="0"/>
        <w:keepLines w:val="0"/>
        <w:pageBreakBefore w:val="0"/>
        <w:widowControl w:val="0"/>
        <w:tabs>
          <w:tab w:val="left" w:pos="1440"/>
        </w:tabs>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货物包装箱内必须附有详细的装箱清单，主机、附件、各种零部件和消耗品有清楚的与装箱单相对应的名称和编号。</w:t>
      </w:r>
    </w:p>
    <w:p>
      <w:pPr>
        <w:keepNext w:val="0"/>
        <w:keepLines w:val="0"/>
        <w:pageBreakBefore w:val="0"/>
        <w:widowControl w:val="0"/>
        <w:tabs>
          <w:tab w:val="left" w:pos="1260"/>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lang w:val="en-US" w:eastAsia="zh-CN"/>
        </w:rPr>
        <w:t>八、</w:t>
      </w:r>
      <w:r>
        <w:rPr>
          <w:rFonts w:hint="eastAsia" w:asciiTheme="minorEastAsia" w:hAnsiTheme="minorEastAsia" w:eastAsiaTheme="minorEastAsia" w:cstheme="minorEastAsia"/>
          <w:b/>
          <w:sz w:val="24"/>
          <w:szCs w:val="24"/>
        </w:rPr>
        <w:t>技术服务</w:t>
      </w:r>
    </w:p>
    <w:p>
      <w:pPr>
        <w:keepNext w:val="0"/>
        <w:keepLines w:val="0"/>
        <w:pageBreakBefore w:val="0"/>
        <w:widowControl w:val="0"/>
        <w:tabs>
          <w:tab w:val="left" w:pos="1440"/>
        </w:tabs>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eastAsia="zh-CN"/>
        </w:rPr>
        <w:t>、</w:t>
      </w:r>
      <w:r>
        <w:rPr>
          <w:rFonts w:hint="eastAsia" w:asciiTheme="minorEastAsia" w:hAnsiTheme="minorEastAsia" w:cstheme="minorEastAsia"/>
          <w:sz w:val="24"/>
          <w:szCs w:val="24"/>
          <w:lang w:eastAsia="zh-CN"/>
        </w:rPr>
        <w:t>中标人</w:t>
      </w:r>
      <w:r>
        <w:rPr>
          <w:rFonts w:hint="eastAsia" w:asciiTheme="minorEastAsia" w:hAnsiTheme="minorEastAsia" w:eastAsiaTheme="minorEastAsia" w:cstheme="minorEastAsia"/>
          <w:sz w:val="24"/>
          <w:szCs w:val="24"/>
        </w:rPr>
        <w:t>须依照须派遣有经验的技术人员到</w:t>
      </w:r>
      <w:r>
        <w:rPr>
          <w:rFonts w:hint="eastAsia" w:asciiTheme="minorEastAsia" w:hAnsiTheme="minorEastAsia" w:cstheme="minorEastAsia"/>
          <w:sz w:val="24"/>
          <w:szCs w:val="24"/>
          <w:lang w:eastAsia="zh-CN"/>
        </w:rPr>
        <w:t>招标人</w:t>
      </w:r>
      <w:r>
        <w:rPr>
          <w:rFonts w:hint="eastAsia" w:asciiTheme="minorEastAsia" w:hAnsiTheme="minorEastAsia" w:eastAsiaTheme="minorEastAsia" w:cstheme="minorEastAsia"/>
          <w:sz w:val="24"/>
          <w:szCs w:val="24"/>
        </w:rPr>
        <w:t>现场实施售前及售后技术服务。</w:t>
      </w:r>
    </w:p>
    <w:p>
      <w:pPr>
        <w:keepNext w:val="0"/>
        <w:keepLines w:val="0"/>
        <w:pageBreakBefore w:val="0"/>
        <w:widowControl w:val="0"/>
        <w:tabs>
          <w:tab w:val="left" w:pos="1440"/>
        </w:tabs>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现场培训:</w:t>
      </w:r>
      <w:r>
        <w:rPr>
          <w:rFonts w:hint="eastAsia" w:asciiTheme="minorEastAsia" w:hAnsiTheme="minorEastAsia" w:cstheme="minorEastAsia"/>
          <w:sz w:val="24"/>
          <w:szCs w:val="24"/>
          <w:lang w:eastAsia="zh-CN"/>
        </w:rPr>
        <w:t>中标人</w:t>
      </w:r>
      <w:r>
        <w:rPr>
          <w:rFonts w:hint="eastAsia" w:asciiTheme="minorEastAsia" w:hAnsiTheme="minorEastAsia" w:eastAsiaTheme="minorEastAsia" w:cstheme="minorEastAsia"/>
          <w:sz w:val="24"/>
          <w:szCs w:val="24"/>
        </w:rPr>
        <w:t>技术人员应对</w:t>
      </w:r>
      <w:r>
        <w:rPr>
          <w:rFonts w:hint="eastAsia" w:asciiTheme="minorEastAsia" w:hAnsiTheme="minorEastAsia" w:cstheme="minorEastAsia"/>
          <w:sz w:val="24"/>
          <w:szCs w:val="24"/>
          <w:lang w:eastAsia="zh-CN"/>
        </w:rPr>
        <w:t>招标人</w:t>
      </w:r>
      <w:r>
        <w:rPr>
          <w:rFonts w:hint="eastAsia" w:asciiTheme="minorEastAsia" w:hAnsiTheme="minorEastAsia" w:eastAsiaTheme="minorEastAsia" w:cstheme="minorEastAsia"/>
          <w:sz w:val="24"/>
          <w:szCs w:val="24"/>
        </w:rPr>
        <w:t>技术人员进行现场培训，向</w:t>
      </w:r>
      <w:r>
        <w:rPr>
          <w:rFonts w:hint="eastAsia" w:asciiTheme="minorEastAsia" w:hAnsiTheme="minorEastAsia" w:cstheme="minorEastAsia"/>
          <w:sz w:val="24"/>
          <w:szCs w:val="24"/>
          <w:lang w:eastAsia="zh-CN"/>
        </w:rPr>
        <w:t>招标人</w:t>
      </w:r>
      <w:r>
        <w:rPr>
          <w:rFonts w:hint="eastAsia" w:asciiTheme="minorEastAsia" w:hAnsiTheme="minorEastAsia" w:eastAsiaTheme="minorEastAsia" w:cstheme="minorEastAsia"/>
          <w:sz w:val="24"/>
          <w:szCs w:val="24"/>
        </w:rPr>
        <w:t>讲授说明设备的安装、操作、保养和应该注意的事项，使</w:t>
      </w:r>
      <w:r>
        <w:rPr>
          <w:rFonts w:hint="eastAsia" w:asciiTheme="minorEastAsia" w:hAnsiTheme="minorEastAsia" w:cstheme="minorEastAsia"/>
          <w:sz w:val="24"/>
          <w:szCs w:val="24"/>
          <w:lang w:eastAsia="zh-CN"/>
        </w:rPr>
        <w:t>招标人</w:t>
      </w:r>
      <w:r>
        <w:rPr>
          <w:rFonts w:hint="eastAsia" w:asciiTheme="minorEastAsia" w:hAnsiTheme="minorEastAsia" w:eastAsiaTheme="minorEastAsia" w:cstheme="minorEastAsia"/>
          <w:sz w:val="24"/>
          <w:szCs w:val="24"/>
        </w:rPr>
        <w:t>能够尽快地熟悉设备的性能和使用。</w:t>
      </w:r>
    </w:p>
    <w:p>
      <w:pPr>
        <w:keepNext w:val="0"/>
        <w:keepLines w:val="0"/>
        <w:pageBreakBefore w:val="0"/>
        <w:widowControl w:val="0"/>
        <w:tabs>
          <w:tab w:val="left" w:pos="1440"/>
        </w:tabs>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质量保证期内的服务</w:t>
      </w:r>
    </w:p>
    <w:p>
      <w:pPr>
        <w:keepNext w:val="0"/>
        <w:keepLines w:val="0"/>
        <w:pageBreakBefore w:val="0"/>
        <w:widowControl w:val="0"/>
        <w:kinsoku/>
        <w:wordWrap/>
        <w:overflowPunct/>
        <w:topLinePunct w:val="0"/>
        <w:autoSpaceDE/>
        <w:autoSpaceDN/>
        <w:bidi w:val="0"/>
        <w:adjustRightInd/>
        <w:snapToGrid/>
        <w:spacing w:line="360" w:lineRule="auto"/>
        <w:ind w:firstLine="55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（1）零、部件更换：对由于零、部件质量问题造成的零、部件损坏，</w:t>
      </w:r>
      <w:r>
        <w:rPr>
          <w:rFonts w:hint="eastAsia" w:asciiTheme="minorEastAsia" w:hAnsiTheme="minorEastAsia" w:cstheme="minorEastAsia"/>
          <w:sz w:val="24"/>
          <w:szCs w:val="24"/>
          <w:lang w:eastAsia="zh-CN"/>
        </w:rPr>
        <w:t>中标人</w:t>
      </w:r>
      <w:r>
        <w:rPr>
          <w:rFonts w:hint="eastAsia" w:asciiTheme="minorEastAsia" w:hAnsiTheme="minorEastAsia" w:eastAsiaTheme="minorEastAsia" w:cstheme="minorEastAsia"/>
          <w:sz w:val="24"/>
          <w:szCs w:val="24"/>
        </w:rPr>
        <w:t>将提供现场服务，免费维修更换损坏的零、部件。由于</w:t>
      </w:r>
      <w:r>
        <w:rPr>
          <w:rFonts w:hint="eastAsia" w:asciiTheme="minorEastAsia" w:hAnsiTheme="minorEastAsia" w:cstheme="minorEastAsia"/>
          <w:sz w:val="24"/>
          <w:szCs w:val="24"/>
          <w:lang w:eastAsia="zh-CN"/>
        </w:rPr>
        <w:t>招标人</w:t>
      </w:r>
      <w:r>
        <w:rPr>
          <w:rFonts w:hint="eastAsia" w:asciiTheme="minorEastAsia" w:hAnsiTheme="minorEastAsia" w:eastAsiaTheme="minorEastAsia" w:cstheme="minorEastAsia"/>
          <w:sz w:val="24"/>
          <w:szCs w:val="24"/>
        </w:rPr>
        <w:t>人为原因造成的零、部件损坏，</w:t>
      </w:r>
      <w:r>
        <w:rPr>
          <w:rFonts w:hint="eastAsia" w:asciiTheme="minorEastAsia" w:hAnsiTheme="minorEastAsia" w:cstheme="minorEastAsia"/>
          <w:sz w:val="24"/>
          <w:szCs w:val="24"/>
          <w:lang w:eastAsia="zh-CN"/>
        </w:rPr>
        <w:t>中标人</w:t>
      </w:r>
      <w:r>
        <w:rPr>
          <w:rFonts w:hint="eastAsia" w:asciiTheme="minorEastAsia" w:hAnsiTheme="minorEastAsia" w:eastAsiaTheme="minorEastAsia" w:cstheme="minorEastAsia"/>
          <w:sz w:val="24"/>
          <w:szCs w:val="24"/>
        </w:rPr>
        <w:t>有义务对损坏零、部件作有偿的维修更换。更换后的质量保证期不少于两年。</w:t>
      </w:r>
    </w:p>
    <w:p>
      <w:pPr>
        <w:keepNext w:val="0"/>
        <w:keepLines w:val="0"/>
        <w:pageBreakBefore w:val="0"/>
        <w:widowControl w:val="0"/>
        <w:kinsoku/>
        <w:wordWrap/>
        <w:overflowPunct/>
        <w:topLinePunct w:val="0"/>
        <w:autoSpaceDE/>
        <w:autoSpaceDN/>
        <w:bidi w:val="0"/>
        <w:adjustRightInd/>
        <w:snapToGrid/>
        <w:spacing w:line="360" w:lineRule="auto"/>
        <w:ind w:firstLine="55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（2）软件升级：</w:t>
      </w:r>
      <w:r>
        <w:rPr>
          <w:rFonts w:hint="eastAsia" w:asciiTheme="minorEastAsia" w:hAnsiTheme="minorEastAsia" w:cstheme="minorEastAsia"/>
          <w:sz w:val="24"/>
          <w:szCs w:val="24"/>
          <w:lang w:eastAsia="zh-CN"/>
        </w:rPr>
        <w:t>中标人</w:t>
      </w:r>
      <w:r>
        <w:rPr>
          <w:rFonts w:hint="eastAsia" w:asciiTheme="minorEastAsia" w:hAnsiTheme="minorEastAsia" w:eastAsiaTheme="minorEastAsia" w:cstheme="minorEastAsia"/>
          <w:sz w:val="24"/>
          <w:szCs w:val="24"/>
        </w:rPr>
        <w:t>有责任及时向</w:t>
      </w:r>
      <w:r>
        <w:rPr>
          <w:rFonts w:hint="eastAsia" w:asciiTheme="minorEastAsia" w:hAnsiTheme="minorEastAsia" w:cstheme="minorEastAsia"/>
          <w:sz w:val="24"/>
          <w:szCs w:val="24"/>
          <w:lang w:eastAsia="zh-CN"/>
        </w:rPr>
        <w:t>招标人</w:t>
      </w:r>
      <w:r>
        <w:rPr>
          <w:rFonts w:hint="eastAsia" w:asciiTheme="minorEastAsia" w:hAnsiTheme="minorEastAsia" w:eastAsiaTheme="minorEastAsia" w:cstheme="minorEastAsia"/>
          <w:sz w:val="24"/>
          <w:szCs w:val="24"/>
        </w:rPr>
        <w:t>通报软件升级情况，</w:t>
      </w:r>
      <w:r>
        <w:rPr>
          <w:rFonts w:hint="eastAsia" w:asciiTheme="minorEastAsia" w:hAnsiTheme="minorEastAsia" w:cstheme="minorEastAsia"/>
          <w:sz w:val="24"/>
          <w:szCs w:val="24"/>
          <w:lang w:eastAsia="zh-CN"/>
        </w:rPr>
        <w:t>中标人</w:t>
      </w:r>
      <w:r>
        <w:rPr>
          <w:rFonts w:hint="eastAsia" w:asciiTheme="minorEastAsia" w:hAnsiTheme="minorEastAsia" w:eastAsiaTheme="minorEastAsia" w:cstheme="minorEastAsia"/>
          <w:sz w:val="24"/>
          <w:szCs w:val="24"/>
        </w:rPr>
        <w:t>应免费提供软件升级服务。</w:t>
      </w:r>
    </w:p>
    <w:p>
      <w:pPr>
        <w:keepNext w:val="0"/>
        <w:keepLines w:val="0"/>
        <w:pageBreakBefore w:val="0"/>
        <w:widowControl w:val="0"/>
        <w:kinsoku/>
        <w:wordWrap/>
        <w:overflowPunct/>
        <w:topLinePunct w:val="0"/>
        <w:autoSpaceDE/>
        <w:autoSpaceDN/>
        <w:bidi w:val="0"/>
        <w:adjustRightInd/>
        <w:snapToGrid/>
        <w:spacing w:line="360" w:lineRule="auto"/>
        <w:ind w:firstLine="55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（3）其他服务：</w:t>
      </w:r>
      <w:r>
        <w:rPr>
          <w:rFonts w:hint="eastAsia" w:asciiTheme="minorEastAsia" w:hAnsiTheme="minorEastAsia" w:cstheme="minorEastAsia"/>
          <w:sz w:val="24"/>
          <w:szCs w:val="24"/>
          <w:lang w:eastAsia="zh-CN"/>
        </w:rPr>
        <w:t>中标人</w:t>
      </w:r>
      <w:r>
        <w:rPr>
          <w:rFonts w:hint="eastAsia" w:asciiTheme="minorEastAsia" w:hAnsiTheme="minorEastAsia" w:eastAsiaTheme="minorEastAsia" w:cstheme="minorEastAsia"/>
          <w:sz w:val="24"/>
          <w:szCs w:val="24"/>
        </w:rPr>
        <w:t>有义务根据</w:t>
      </w:r>
      <w:r>
        <w:rPr>
          <w:rFonts w:hint="eastAsia" w:asciiTheme="minorEastAsia" w:hAnsiTheme="minorEastAsia" w:cstheme="minorEastAsia"/>
          <w:sz w:val="24"/>
          <w:szCs w:val="24"/>
          <w:lang w:eastAsia="zh-CN"/>
        </w:rPr>
        <w:t>招标人</w:t>
      </w:r>
      <w:r>
        <w:rPr>
          <w:rFonts w:hint="eastAsia" w:asciiTheme="minorEastAsia" w:hAnsiTheme="minorEastAsia" w:eastAsiaTheme="minorEastAsia" w:cstheme="minorEastAsia"/>
          <w:sz w:val="24"/>
          <w:szCs w:val="24"/>
        </w:rPr>
        <w:t>要求提供相应的产品运行方式的设置等技术服务，而不再另行收取费用。</w:t>
      </w:r>
    </w:p>
    <w:p>
      <w:pPr>
        <w:keepNext w:val="0"/>
        <w:keepLines w:val="0"/>
        <w:pageBreakBefore w:val="0"/>
        <w:widowControl w:val="0"/>
        <w:tabs>
          <w:tab w:val="left" w:pos="1260"/>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lang w:val="en-US" w:eastAsia="zh-CN"/>
        </w:rPr>
        <w:t>九、</w:t>
      </w:r>
      <w:r>
        <w:rPr>
          <w:rFonts w:hint="eastAsia" w:asciiTheme="minorEastAsia" w:hAnsiTheme="minorEastAsia" w:eastAsiaTheme="minorEastAsia" w:cstheme="minorEastAsia"/>
          <w:b/>
          <w:sz w:val="24"/>
          <w:szCs w:val="24"/>
        </w:rPr>
        <w:t>维护与保养</w:t>
      </w:r>
    </w:p>
    <w:p>
      <w:pPr>
        <w:keepNext w:val="0"/>
        <w:keepLines w:val="0"/>
        <w:pageBreakBefore w:val="0"/>
        <w:widowControl w:val="0"/>
        <w:tabs>
          <w:tab w:val="left" w:pos="1440"/>
        </w:tabs>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在本地设有固定维保机构，并在项目现场设置售后服务站（点）。</w:t>
      </w:r>
    </w:p>
    <w:p>
      <w:pPr>
        <w:keepNext w:val="0"/>
        <w:keepLines w:val="0"/>
        <w:pageBreakBefore w:val="0"/>
        <w:widowControl w:val="0"/>
        <w:tabs>
          <w:tab w:val="left" w:pos="1440"/>
        </w:tabs>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完善的零部件供应体制。</w:t>
      </w:r>
      <w:r>
        <w:rPr>
          <w:rFonts w:hint="eastAsia" w:asciiTheme="minorEastAsia" w:hAnsiTheme="minorEastAsia" w:cstheme="minorEastAsia"/>
          <w:sz w:val="24"/>
          <w:szCs w:val="24"/>
          <w:lang w:eastAsia="zh-CN"/>
        </w:rPr>
        <w:t>中标人</w:t>
      </w:r>
      <w:r>
        <w:rPr>
          <w:rFonts w:hint="eastAsia" w:asciiTheme="minorEastAsia" w:hAnsiTheme="minorEastAsia" w:eastAsiaTheme="minorEastAsia" w:cstheme="minorEastAsia"/>
          <w:sz w:val="24"/>
          <w:szCs w:val="24"/>
        </w:rPr>
        <w:t>应以低于市场价的优惠价格提供易损件；</w:t>
      </w:r>
    </w:p>
    <w:p>
      <w:pPr>
        <w:keepNext w:val="0"/>
        <w:keepLines w:val="0"/>
        <w:pageBreakBefore w:val="0"/>
        <w:widowControl w:val="0"/>
        <w:tabs>
          <w:tab w:val="left" w:pos="1440"/>
        </w:tabs>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保养电梯每年作一次全面整梯检修；</w:t>
      </w:r>
    </w:p>
    <w:p>
      <w:pPr>
        <w:keepNext w:val="0"/>
        <w:keepLines w:val="0"/>
        <w:pageBreakBefore w:val="0"/>
        <w:widowControl w:val="0"/>
        <w:tabs>
          <w:tab w:val="left" w:pos="1440"/>
        </w:tabs>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质保期内每年代为向政府部门申请办理年审，并保证通过年检验收。</w:t>
      </w:r>
    </w:p>
    <w:p>
      <w:pPr>
        <w:keepNext w:val="0"/>
        <w:keepLines w:val="0"/>
        <w:pageBreakBefore w:val="0"/>
        <w:widowControl w:val="0"/>
        <w:tabs>
          <w:tab w:val="left" w:pos="1440"/>
        </w:tabs>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 xml:space="preserve">提供遥监控制系统服务等。    </w:t>
      </w:r>
    </w:p>
    <w:p>
      <w:pPr>
        <w:keepNext w:val="0"/>
        <w:keepLines w:val="0"/>
        <w:pageBreakBefore w:val="0"/>
        <w:widowControl w:val="0"/>
        <w:tabs>
          <w:tab w:val="left" w:pos="1260"/>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lang w:val="en-US" w:eastAsia="zh-CN"/>
        </w:rPr>
        <w:t>十、</w:t>
      </w:r>
      <w:r>
        <w:rPr>
          <w:rFonts w:hint="eastAsia" w:asciiTheme="minorEastAsia" w:hAnsiTheme="minorEastAsia" w:eastAsiaTheme="minorEastAsia" w:cstheme="minorEastAsia"/>
          <w:b/>
          <w:sz w:val="24"/>
          <w:szCs w:val="24"/>
        </w:rPr>
        <w:t>说明</w:t>
      </w:r>
    </w:p>
    <w:p>
      <w:pPr>
        <w:keepNext w:val="0"/>
        <w:keepLines w:val="0"/>
        <w:pageBreakBefore w:val="0"/>
        <w:widowControl w:val="0"/>
        <w:tabs>
          <w:tab w:val="left" w:pos="1440"/>
        </w:tabs>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本技术规格及要求提供的是最低限度的技术要求，并未对一切技术细节做出规定，也未充分引述有关标准和规范的条文，投标人应保证提供符合本技术规格及要求和有关标准的优质产品，价格不变。</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lang w:eastAsia="zh-CN"/>
        </w:rPr>
        <w:t>、</w:t>
      </w:r>
      <w:r>
        <w:rPr>
          <w:rFonts w:hint="eastAsia" w:asciiTheme="minorEastAsia" w:hAnsiTheme="minorEastAsia" w:cstheme="minorEastAsia"/>
          <w:sz w:val="24"/>
          <w:szCs w:val="24"/>
          <w:lang w:eastAsia="zh-CN"/>
        </w:rPr>
        <w:t>中标人</w:t>
      </w:r>
      <w:r>
        <w:rPr>
          <w:rFonts w:hint="eastAsia" w:asciiTheme="minorEastAsia" w:hAnsiTheme="minorEastAsia" w:eastAsiaTheme="minorEastAsia" w:cstheme="minorEastAsia"/>
          <w:sz w:val="24"/>
          <w:szCs w:val="24"/>
        </w:rPr>
        <w:t>所提供的货物，如若发生侵犯知识产权的行为时，其侵权责任与</w:t>
      </w:r>
      <w:r>
        <w:rPr>
          <w:rFonts w:hint="eastAsia" w:asciiTheme="minorEastAsia" w:hAnsiTheme="minorEastAsia" w:cstheme="minorEastAsia"/>
          <w:sz w:val="24"/>
          <w:szCs w:val="24"/>
          <w:lang w:eastAsia="zh-CN"/>
        </w:rPr>
        <w:t>招标人</w:t>
      </w:r>
      <w:r>
        <w:rPr>
          <w:rFonts w:hint="eastAsia" w:asciiTheme="minorEastAsia" w:hAnsiTheme="minorEastAsia" w:eastAsiaTheme="minorEastAsia" w:cstheme="minorEastAsia"/>
          <w:sz w:val="24"/>
          <w:szCs w:val="24"/>
        </w:rPr>
        <w:t>无关，应由</w:t>
      </w:r>
      <w:r>
        <w:rPr>
          <w:rFonts w:hint="eastAsia" w:asciiTheme="minorEastAsia" w:hAnsiTheme="minorEastAsia" w:cstheme="minorEastAsia"/>
          <w:sz w:val="24"/>
          <w:szCs w:val="24"/>
          <w:lang w:eastAsia="zh-CN"/>
        </w:rPr>
        <w:t>中标人</w:t>
      </w:r>
      <w:r>
        <w:rPr>
          <w:rFonts w:hint="eastAsia" w:asciiTheme="minorEastAsia" w:hAnsiTheme="minorEastAsia" w:eastAsiaTheme="minorEastAsia" w:cstheme="minorEastAsia"/>
          <w:sz w:val="24"/>
          <w:szCs w:val="24"/>
        </w:rPr>
        <w:t>承担相应的责任，并不得损害</w:t>
      </w:r>
      <w:r>
        <w:rPr>
          <w:rFonts w:hint="eastAsia" w:asciiTheme="minorEastAsia" w:hAnsiTheme="minorEastAsia" w:cstheme="minorEastAsia"/>
          <w:sz w:val="24"/>
          <w:szCs w:val="24"/>
          <w:lang w:eastAsia="zh-CN"/>
        </w:rPr>
        <w:t>招标人</w:t>
      </w:r>
      <w:r>
        <w:rPr>
          <w:rFonts w:hint="eastAsia" w:asciiTheme="minorEastAsia" w:hAnsiTheme="minorEastAsia" w:eastAsiaTheme="minorEastAsia" w:cstheme="minorEastAsia"/>
          <w:sz w:val="24"/>
          <w:szCs w:val="24"/>
        </w:rPr>
        <w:t>的利益。</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3、电梯推荐品牌</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三菱电梯、OTIS奥的斯、KONE通力电梯、HITACHI日立、Schindler迅达电梯、蒂升电梯TKE、奥的斯机电OtisElectric、富士达电梯FUJITEC、康力电梯KONL、西奥电梯XIOLIFI。</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以上推荐品牌仅供参考，并非指定，相当于或优于推荐品牌的均可参加投标。</w:t>
      </w: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七</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亳州高铁南站金融商务中心项目电梯采购及安装工程</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80" w:name="_Toc152042576"/>
      <w:bookmarkStart w:id="81" w:name="_Toc144974856"/>
      <w:bookmarkStart w:id="82" w:name="_Toc247527827"/>
      <w:bookmarkStart w:id="83" w:name="_Toc300835209"/>
      <w:bookmarkStart w:id="84" w:name="_Toc247514246"/>
      <w:bookmarkStart w:id="85" w:name="_Toc152045787"/>
      <w:r>
        <w:rPr>
          <w:rFonts w:hint="default" w:ascii="Times New Roman" w:hAnsi="Times New Roman" w:cs="Times New Roman"/>
        </w:rPr>
        <w:t>目    录</w:t>
      </w:r>
      <w:bookmarkEnd w:id="80"/>
      <w:bookmarkEnd w:id="81"/>
      <w:bookmarkEnd w:id="82"/>
      <w:bookmarkEnd w:id="83"/>
      <w:bookmarkEnd w:id="84"/>
      <w:bookmarkEnd w:id="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分项报价表</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售后服务方案</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九、其他资料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eastAsia="黑体" w:cs="Times New Roman"/>
          <w:sz w:val="20"/>
          <w:szCs w:val="20"/>
        </w:rPr>
      </w:pPr>
      <w:bookmarkStart w:id="86" w:name="_Toc247514247"/>
      <w:bookmarkStart w:id="87" w:name="_Toc247527828"/>
      <w:bookmarkStart w:id="88" w:name="_Toc152045788"/>
      <w:bookmarkStart w:id="89" w:name="_Toc152042577"/>
      <w:bookmarkStart w:id="90" w:name="_Toc300835210"/>
      <w:bookmarkStart w:id="91" w:name="_Toc144974857"/>
      <w:r>
        <w:rPr>
          <w:rFonts w:hint="default" w:ascii="Times New Roman" w:hAnsi="Times New Roman" w:cs="Times New Roman"/>
        </w:rPr>
        <w:t>一、投标函及投标函附录</w:t>
      </w:r>
      <w:bookmarkEnd w:id="86"/>
      <w:bookmarkEnd w:id="87"/>
      <w:bookmarkEnd w:id="88"/>
      <w:bookmarkEnd w:id="89"/>
      <w:bookmarkEnd w:id="90"/>
      <w:bookmarkEnd w:id="91"/>
    </w:p>
    <w:p>
      <w:pPr>
        <w:pStyle w:val="4"/>
        <w:rPr>
          <w:rFonts w:hint="default" w:ascii="Times New Roman" w:hAnsi="Times New Roman" w:cs="Times New Roman"/>
          <w:sz w:val="20"/>
          <w:szCs w:val="20"/>
        </w:rPr>
      </w:pPr>
      <w:bookmarkStart w:id="92" w:name="_Toc144974858"/>
      <w:bookmarkStart w:id="93" w:name="_Toc300835211"/>
      <w:bookmarkStart w:id="94" w:name="_Toc152045789"/>
      <w:bookmarkStart w:id="95" w:name="_Toc152042578"/>
      <w:bookmarkStart w:id="96" w:name="_Toc247527829"/>
      <w:bookmarkStart w:id="97" w:name="_Toc247514248"/>
      <w:r>
        <w:rPr>
          <w:rFonts w:hint="default" w:ascii="Times New Roman" w:hAnsi="Times New Roman" w:cs="Times New Roman"/>
        </w:rPr>
        <w:t>（一）投标函</w:t>
      </w:r>
      <w:bookmarkEnd w:id="92"/>
      <w:bookmarkEnd w:id="93"/>
      <w:bookmarkEnd w:id="94"/>
      <w:bookmarkEnd w:id="95"/>
      <w:bookmarkEnd w:id="96"/>
      <w:bookmarkEnd w:id="97"/>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（项目名称）招标文件的全部内容，愿意以</w:t>
      </w:r>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的投标总报价，工期</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日历天，按合同约定实施和完成本项目全部工作内容，工程质量达到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98" w:name="_Toc144974859"/>
      <w:bookmarkStart w:id="99" w:name="_Toc247514249"/>
      <w:bookmarkStart w:id="100" w:name="_Toc300835212"/>
      <w:bookmarkStart w:id="101" w:name="_Toc247527830"/>
      <w:bookmarkStart w:id="102" w:name="_Toc152045790"/>
      <w:bookmarkStart w:id="103" w:name="_Toc152042579"/>
    </w:p>
    <w:p>
      <w:pPr>
        <w:rPr>
          <w:rFonts w:hint="default"/>
        </w:rPr>
      </w:pPr>
    </w:p>
    <w:p>
      <w:pPr>
        <w:pStyle w:val="4"/>
        <w:rPr>
          <w:rFonts w:hint="default" w:ascii="Times New Roman" w:hAnsi="Times New Roman" w:cs="Times New Roman"/>
        </w:rPr>
      </w:pPr>
      <w:r>
        <w:rPr>
          <w:rFonts w:hint="default" w:ascii="Times New Roman" w:hAnsi="Times New Roman" w:cs="Times New Roman"/>
        </w:rPr>
        <w:t>（二）投标函附录</w:t>
      </w:r>
      <w:bookmarkEnd w:id="98"/>
      <w:bookmarkEnd w:id="99"/>
      <w:bookmarkEnd w:id="100"/>
      <w:bookmarkEnd w:id="101"/>
      <w:bookmarkEnd w:id="102"/>
      <w:bookmarkEnd w:id="103"/>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3448"/>
        <w:gridCol w:w="13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质保期</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104" w:name="_Toc247527831"/>
      <w:bookmarkStart w:id="105" w:name="_Toc300835213"/>
      <w:bookmarkStart w:id="106" w:name="_Toc247514283"/>
      <w:bookmarkStart w:id="107" w:name="_Toc152045791"/>
      <w:bookmarkStart w:id="108" w:name="_Toc152042580"/>
      <w:bookmarkStart w:id="109" w:name="_Toc144974860"/>
      <w:r>
        <w:rPr>
          <w:rFonts w:hint="default" w:ascii="Times New Roman" w:hAnsi="Times New Roman" w:cs="Times New Roman"/>
        </w:rPr>
        <w:t>二、法定代表人身份证明</w:t>
      </w:r>
      <w:bookmarkEnd w:id="104"/>
      <w:bookmarkEnd w:id="105"/>
      <w:bookmarkEnd w:id="106"/>
      <w:bookmarkEnd w:id="107"/>
      <w:bookmarkEnd w:id="108"/>
      <w:bookmarkEnd w:id="10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110" w:name="_Toc300835214"/>
      <w:bookmarkStart w:id="111" w:name="_Toc247514284"/>
      <w:bookmarkStart w:id="112" w:name="_Toc144974861"/>
      <w:bookmarkStart w:id="113" w:name="_Toc152045792"/>
      <w:bookmarkStart w:id="114" w:name="_Toc152042581"/>
      <w:bookmarkStart w:id="115" w:name="_Toc247527832"/>
      <w:r>
        <w:rPr>
          <w:rFonts w:hint="default" w:ascii="Times New Roman" w:hAnsi="Times New Roman" w:cs="Times New Roman"/>
        </w:rPr>
        <w:t>二、授权委托书</w:t>
      </w:r>
      <w:bookmarkEnd w:id="110"/>
      <w:bookmarkEnd w:id="111"/>
      <w:bookmarkEnd w:id="112"/>
      <w:bookmarkEnd w:id="113"/>
      <w:bookmarkEnd w:id="114"/>
      <w:bookmarkEnd w:id="11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r>
        <w:rPr>
          <w:rFonts w:hint="eastAsia" w:ascii="Times New Roman" w:hAnsi="Times New Roman" w:cs="Times New Roman"/>
          <w:color w:val="FF0000"/>
          <w:szCs w:val="21"/>
          <w:highlight w:val="none"/>
          <w:u w:val="single"/>
          <w:lang w:val="en-US" w:eastAsia="zh-CN"/>
        </w:rPr>
        <w:t>2021年6月以来任意连续3个月</w:t>
      </w:r>
      <w:r>
        <w:rPr>
          <w:rFonts w:hint="eastAsia" w:ascii="Times New Roman" w:hAnsi="Times New Roman" w:cs="Times New Roman"/>
          <w:szCs w:val="21"/>
          <w:highlight w:val="none"/>
          <w:lang w:val="en-US" w:eastAsia="zh-CN"/>
        </w:rPr>
        <w:t>的养老保险缴费证明复印件。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116" w:name="_Toc152045794"/>
      <w:bookmarkStart w:id="117" w:name="_Toc247527834"/>
      <w:bookmarkStart w:id="118" w:name="_Toc300835216"/>
      <w:bookmarkStart w:id="119" w:name="_Toc144974862"/>
      <w:bookmarkStart w:id="120" w:name="_Toc152042583"/>
      <w:bookmarkStart w:id="121" w:name="_Toc247514286"/>
      <w:r>
        <w:rPr>
          <w:rFonts w:hint="default" w:ascii="Times New Roman" w:hAnsi="Times New Roman" w:cs="Times New Roman"/>
          <w:lang w:val="en-US" w:eastAsia="zh-CN"/>
        </w:rPr>
        <w:t>三</w:t>
      </w:r>
      <w:r>
        <w:rPr>
          <w:rFonts w:hint="default" w:ascii="Times New Roman" w:hAnsi="Times New Roman" w:cs="Times New Roman"/>
        </w:rPr>
        <w:t>、投标保证金</w:t>
      </w:r>
      <w:bookmarkEnd w:id="116"/>
      <w:bookmarkEnd w:id="117"/>
      <w:bookmarkEnd w:id="118"/>
      <w:bookmarkEnd w:id="119"/>
      <w:bookmarkEnd w:id="120"/>
      <w:bookmarkEnd w:id="12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2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122"/>
    <w:p>
      <w:pPr>
        <w:rPr>
          <w:rFonts w:hint="default" w:ascii="Times New Roman" w:hAnsi="Times New Roman" w:cs="Times New Roman"/>
        </w:rPr>
      </w:pPr>
      <w:bookmarkStart w:id="123" w:name="_Toc300835218"/>
      <w:bookmarkStart w:id="124" w:name="_Toc152042584"/>
      <w:bookmarkStart w:id="125" w:name="_Toc247527835"/>
      <w:bookmarkStart w:id="126" w:name="_Toc144974863"/>
      <w:bookmarkStart w:id="127" w:name="_Toc247514287"/>
      <w:bookmarkStart w:id="128" w:name="_Toc152045795"/>
      <w:r>
        <w:rPr>
          <w:rFonts w:hint="default" w:ascii="Times New Roman" w:hAnsi="Times New Roman" w:cs="Times New Roman"/>
        </w:rPr>
        <w:br w:type="page"/>
      </w:r>
    </w:p>
    <w:bookmarkEnd w:id="123"/>
    <w:bookmarkEnd w:id="124"/>
    <w:bookmarkEnd w:id="125"/>
    <w:bookmarkEnd w:id="126"/>
    <w:bookmarkEnd w:id="127"/>
    <w:bookmarkEnd w:id="128"/>
    <w:p>
      <w:pPr>
        <w:pStyle w:val="3"/>
        <w:jc w:val="center"/>
        <w:rPr>
          <w:rFonts w:hint="default" w:ascii="Times New Roman" w:hAnsi="Times New Roman" w:cs="Times New Roman"/>
          <w:highlight w:val="none"/>
          <w:lang w:val="en-US" w:eastAsia="zh-CN"/>
        </w:rPr>
      </w:pPr>
      <w:bookmarkStart w:id="129" w:name="_Toc144974864"/>
      <w:bookmarkStart w:id="130" w:name="_Toc247527836"/>
      <w:bookmarkStart w:id="131" w:name="_Toc247514288"/>
      <w:bookmarkStart w:id="132" w:name="_Toc152045796"/>
      <w:bookmarkStart w:id="133" w:name="_Toc300835221"/>
      <w:bookmarkStart w:id="134" w:name="_Toc152042585"/>
      <w:r>
        <w:rPr>
          <w:rFonts w:hint="eastAsia" w:ascii="Times New Roman" w:hAnsi="Times New Roman" w:cs="Times New Roman"/>
          <w:highlight w:val="none"/>
          <w:lang w:val="en-US" w:eastAsia="zh-CN"/>
        </w:rPr>
        <w:t>四、分项报价表</w:t>
      </w:r>
    </w:p>
    <w:tbl>
      <w:tblPr>
        <w:tblStyle w:val="16"/>
        <w:tblW w:w="9250" w:type="dxa"/>
        <w:tblInd w:w="-21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3"/>
        <w:gridCol w:w="650"/>
        <w:gridCol w:w="667"/>
        <w:gridCol w:w="2857"/>
        <w:gridCol w:w="719"/>
        <w:gridCol w:w="647"/>
        <w:gridCol w:w="1077"/>
        <w:gridCol w:w="1050"/>
        <w:gridCol w:w="10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533" w:type="dxa"/>
            <w:vMerge w:val="restart"/>
            <w:tcBorders>
              <w:top w:val="single" w:color="000000" w:sz="8" w:space="0"/>
              <w:left w:val="single" w:color="000000" w:sz="8" w:space="0"/>
              <w:bottom w:val="single" w:color="000000" w:sz="4" w:space="0"/>
              <w:right w:val="single" w:color="000000" w:sz="4" w:space="0"/>
            </w:tcBorders>
            <w:shd w:val="clear" w:color="FFFFFF" w:fill="FFFFFF"/>
            <w:noWrap w:val="0"/>
            <w:vAlign w:val="center"/>
          </w:tcPr>
          <w:p>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650" w:type="dxa"/>
            <w:vMerge w:val="restart"/>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楼栋</w:t>
            </w:r>
          </w:p>
        </w:tc>
        <w:tc>
          <w:tcPr>
            <w:tcW w:w="667" w:type="dxa"/>
            <w:vMerge w:val="restart"/>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2857" w:type="dxa"/>
            <w:vMerge w:val="restart"/>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719" w:type="dxa"/>
            <w:vMerge w:val="restart"/>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647" w:type="dxa"/>
            <w:vMerge w:val="restart"/>
            <w:tcBorders>
              <w:top w:val="single" w:color="000000" w:sz="8"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3177" w:type="dxa"/>
            <w:gridSpan w:val="3"/>
            <w:tcBorders>
              <w:top w:val="single" w:color="000000" w:sz="8" w:space="0"/>
              <w:left w:val="single" w:color="000000" w:sz="4" w:space="0"/>
              <w:bottom w:val="single" w:color="000000" w:sz="4" w:space="0"/>
              <w:right w:val="single" w:color="000000" w:sz="8" w:space="0"/>
            </w:tcBorders>
            <w:shd w:val="clear" w:color="FFFFFF" w:fill="FFFFFF"/>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trPr>
        <w:tc>
          <w:tcPr>
            <w:tcW w:w="533" w:type="dxa"/>
            <w:vMerge w:val="continue"/>
            <w:tcBorders>
              <w:top w:val="single" w:color="000000" w:sz="8" w:space="0"/>
              <w:left w:val="single" w:color="000000" w:sz="8" w:space="0"/>
              <w:bottom w:val="single" w:color="000000" w:sz="8" w:space="0"/>
              <w:right w:val="single" w:color="000000" w:sz="4" w:space="0"/>
            </w:tcBorders>
            <w:shd w:val="clear" w:color="FFFFFF" w:fill="FFFFFF"/>
            <w:noWrap w:val="0"/>
            <w:vAlign w:val="center"/>
          </w:tcPr>
          <w:p>
            <w:pPr>
              <w:jc w:val="center"/>
              <w:rPr>
                <w:rFonts w:hint="eastAsia" w:ascii="黑体" w:hAnsi="宋体" w:eastAsia="黑体" w:cs="黑体"/>
                <w:i w:val="0"/>
                <w:iCs w:val="0"/>
                <w:color w:val="000000"/>
                <w:sz w:val="21"/>
                <w:szCs w:val="21"/>
                <w:u w:val="none"/>
              </w:rPr>
            </w:pPr>
          </w:p>
        </w:tc>
        <w:tc>
          <w:tcPr>
            <w:tcW w:w="650" w:type="dxa"/>
            <w:vMerge w:val="continue"/>
            <w:tcBorders>
              <w:top w:val="single" w:color="000000" w:sz="8" w:space="0"/>
              <w:left w:val="single" w:color="000000" w:sz="4" w:space="0"/>
              <w:bottom w:val="single" w:color="000000" w:sz="8" w:space="0"/>
              <w:right w:val="single" w:color="000000" w:sz="4" w:space="0"/>
            </w:tcBorders>
            <w:shd w:val="clear" w:color="FFFFFF" w:fill="FFFFFF"/>
            <w:noWrap w:val="0"/>
            <w:vAlign w:val="center"/>
          </w:tcPr>
          <w:p>
            <w:pPr>
              <w:jc w:val="center"/>
              <w:rPr>
                <w:rFonts w:hint="eastAsia" w:ascii="黑体" w:hAnsi="宋体" w:eastAsia="黑体" w:cs="黑体"/>
                <w:i w:val="0"/>
                <w:iCs w:val="0"/>
                <w:color w:val="000000"/>
                <w:sz w:val="21"/>
                <w:szCs w:val="21"/>
                <w:u w:val="none"/>
              </w:rPr>
            </w:pPr>
          </w:p>
        </w:tc>
        <w:tc>
          <w:tcPr>
            <w:tcW w:w="667" w:type="dxa"/>
            <w:vMerge w:val="continue"/>
            <w:tcBorders>
              <w:top w:val="single" w:color="000000" w:sz="8" w:space="0"/>
              <w:left w:val="single" w:color="000000" w:sz="4" w:space="0"/>
              <w:bottom w:val="single" w:color="000000" w:sz="8" w:space="0"/>
              <w:right w:val="single" w:color="000000" w:sz="4" w:space="0"/>
            </w:tcBorders>
            <w:shd w:val="clear" w:color="FFFFFF" w:fill="FFFFFF"/>
            <w:noWrap w:val="0"/>
            <w:vAlign w:val="center"/>
          </w:tcPr>
          <w:p>
            <w:pPr>
              <w:jc w:val="center"/>
              <w:rPr>
                <w:rFonts w:hint="eastAsia" w:ascii="黑体" w:hAnsi="宋体" w:eastAsia="黑体" w:cs="黑体"/>
                <w:i w:val="0"/>
                <w:iCs w:val="0"/>
                <w:color w:val="000000"/>
                <w:sz w:val="21"/>
                <w:szCs w:val="21"/>
                <w:u w:val="none"/>
              </w:rPr>
            </w:pPr>
          </w:p>
        </w:tc>
        <w:tc>
          <w:tcPr>
            <w:tcW w:w="2857" w:type="dxa"/>
            <w:vMerge w:val="continue"/>
            <w:tcBorders>
              <w:top w:val="single" w:color="000000" w:sz="8" w:space="0"/>
              <w:left w:val="single" w:color="000000" w:sz="4" w:space="0"/>
              <w:bottom w:val="single" w:color="000000" w:sz="8" w:space="0"/>
              <w:right w:val="single" w:color="000000" w:sz="4" w:space="0"/>
            </w:tcBorders>
            <w:shd w:val="clear" w:color="FFFFFF" w:fill="FFFFFF"/>
            <w:noWrap w:val="0"/>
            <w:vAlign w:val="center"/>
          </w:tcPr>
          <w:p>
            <w:pPr>
              <w:jc w:val="center"/>
              <w:rPr>
                <w:rFonts w:hint="eastAsia" w:ascii="黑体" w:hAnsi="宋体" w:eastAsia="黑体" w:cs="黑体"/>
                <w:i w:val="0"/>
                <w:iCs w:val="0"/>
                <w:color w:val="000000"/>
                <w:sz w:val="21"/>
                <w:szCs w:val="21"/>
                <w:u w:val="none"/>
              </w:rPr>
            </w:pPr>
          </w:p>
        </w:tc>
        <w:tc>
          <w:tcPr>
            <w:tcW w:w="719" w:type="dxa"/>
            <w:vMerge w:val="continue"/>
            <w:tcBorders>
              <w:top w:val="single" w:color="000000" w:sz="8" w:space="0"/>
              <w:left w:val="single" w:color="000000" w:sz="4" w:space="0"/>
              <w:bottom w:val="single" w:color="000000" w:sz="8" w:space="0"/>
              <w:right w:val="single" w:color="000000" w:sz="4" w:space="0"/>
            </w:tcBorders>
            <w:shd w:val="clear" w:color="FFFFFF" w:fill="FFFFFF"/>
            <w:noWrap w:val="0"/>
            <w:vAlign w:val="center"/>
          </w:tcPr>
          <w:p>
            <w:pPr>
              <w:jc w:val="center"/>
              <w:rPr>
                <w:rFonts w:hint="eastAsia" w:ascii="黑体" w:hAnsi="宋体" w:eastAsia="黑体" w:cs="黑体"/>
                <w:i w:val="0"/>
                <w:iCs w:val="0"/>
                <w:color w:val="000000"/>
                <w:sz w:val="21"/>
                <w:szCs w:val="21"/>
                <w:u w:val="none"/>
              </w:rPr>
            </w:pPr>
          </w:p>
        </w:tc>
        <w:tc>
          <w:tcPr>
            <w:tcW w:w="647" w:type="dxa"/>
            <w:vMerge w:val="continue"/>
            <w:tcBorders>
              <w:top w:val="single" w:color="000000" w:sz="8" w:space="0"/>
              <w:left w:val="single" w:color="000000" w:sz="4" w:space="0"/>
              <w:bottom w:val="single" w:color="000000" w:sz="8" w:space="0"/>
              <w:right w:val="single" w:color="000000" w:sz="4" w:space="0"/>
            </w:tcBorders>
            <w:shd w:val="clear" w:color="FFFFFF" w:fill="FFFFFF"/>
            <w:noWrap w:val="0"/>
            <w:vAlign w:val="center"/>
          </w:tcPr>
          <w:p>
            <w:pPr>
              <w:jc w:val="center"/>
              <w:rPr>
                <w:rFonts w:hint="eastAsia" w:ascii="黑体" w:hAnsi="宋体" w:eastAsia="黑体" w:cs="黑体"/>
                <w:i w:val="0"/>
                <w:iCs w:val="0"/>
                <w:color w:val="000000"/>
                <w:sz w:val="21"/>
                <w:szCs w:val="21"/>
                <w:u w:val="none"/>
              </w:rPr>
            </w:pPr>
          </w:p>
        </w:tc>
        <w:tc>
          <w:tcPr>
            <w:tcW w:w="1077"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设备价</w:t>
            </w:r>
          </w:p>
        </w:tc>
        <w:tc>
          <w:tcPr>
            <w:tcW w:w="1050"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安装价</w:t>
            </w:r>
          </w:p>
        </w:tc>
        <w:tc>
          <w:tcPr>
            <w:tcW w:w="1050" w:type="dxa"/>
            <w:tcBorders>
              <w:top w:val="single" w:color="000000" w:sz="4" w:space="0"/>
              <w:left w:val="single" w:color="000000" w:sz="4" w:space="0"/>
              <w:bottom w:val="single" w:color="000000" w:sz="4" w:space="0"/>
              <w:right w:val="single" w:color="000000" w:sz="8" w:space="0"/>
            </w:tcBorders>
            <w:shd w:val="clear" w:color="FFFFFF" w:fill="FFFFFF"/>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6" w:hRule="atLeast"/>
        </w:trPr>
        <w:tc>
          <w:tcPr>
            <w:tcW w:w="533" w:type="dxa"/>
            <w:tcBorders>
              <w:top w:val="single" w:color="000000" w:sz="8" w:space="0"/>
              <w:left w:val="single" w:color="000000" w:sz="8" w:space="0"/>
              <w:bottom w:val="single" w:color="000000" w:sz="8" w:space="0"/>
              <w:right w:val="single" w:color="000000" w:sz="4" w:space="0"/>
            </w:tcBorders>
            <w:shd w:val="clear" w:color="FFFFFF" w:fill="FFFFFF"/>
            <w:noWrap w:val="0"/>
            <w:vAlign w:val="center"/>
          </w:tcPr>
          <w:p>
            <w:pPr>
              <w:jc w:val="center"/>
              <w:rPr>
                <w:rFonts w:hint="eastAsia" w:ascii="黑体" w:hAnsi="宋体" w:eastAsia="黑体" w:cs="黑体"/>
                <w:i w:val="0"/>
                <w:iCs w:val="0"/>
                <w:color w:val="000000"/>
                <w:sz w:val="21"/>
                <w:szCs w:val="21"/>
                <w:u w:val="none"/>
              </w:rPr>
            </w:pPr>
          </w:p>
        </w:tc>
        <w:tc>
          <w:tcPr>
            <w:tcW w:w="650" w:type="dxa"/>
            <w:tcBorders>
              <w:top w:val="single" w:color="000000" w:sz="8" w:space="0"/>
              <w:left w:val="single" w:color="000000" w:sz="4" w:space="0"/>
              <w:bottom w:val="single" w:color="000000" w:sz="8" w:space="0"/>
              <w:right w:val="single" w:color="000000" w:sz="4" w:space="0"/>
            </w:tcBorders>
            <w:shd w:val="clear" w:color="FFFFFF" w:fill="FFFFFF"/>
            <w:noWrap w:val="0"/>
            <w:vAlign w:val="center"/>
          </w:tcPr>
          <w:p>
            <w:pPr>
              <w:jc w:val="center"/>
              <w:rPr>
                <w:rFonts w:hint="eastAsia" w:ascii="黑体" w:hAnsi="宋体" w:eastAsia="黑体" w:cs="黑体"/>
                <w:i w:val="0"/>
                <w:iCs w:val="0"/>
                <w:color w:val="000000"/>
                <w:sz w:val="21"/>
                <w:szCs w:val="21"/>
                <w:u w:val="none"/>
              </w:rPr>
            </w:pPr>
          </w:p>
        </w:tc>
        <w:tc>
          <w:tcPr>
            <w:tcW w:w="667" w:type="dxa"/>
            <w:tcBorders>
              <w:top w:val="single" w:color="000000" w:sz="8" w:space="0"/>
              <w:left w:val="single" w:color="000000" w:sz="4" w:space="0"/>
              <w:bottom w:val="single" w:color="000000" w:sz="8" w:space="0"/>
              <w:right w:val="single" w:color="000000" w:sz="4" w:space="0"/>
            </w:tcBorders>
            <w:shd w:val="clear" w:color="FFFFFF" w:fill="FFFFFF"/>
            <w:noWrap w:val="0"/>
            <w:vAlign w:val="center"/>
          </w:tcPr>
          <w:p>
            <w:pPr>
              <w:jc w:val="center"/>
              <w:rPr>
                <w:rFonts w:hint="eastAsia" w:ascii="黑体" w:hAnsi="宋体" w:eastAsia="黑体" w:cs="黑体"/>
                <w:i w:val="0"/>
                <w:iCs w:val="0"/>
                <w:color w:val="000000"/>
                <w:sz w:val="21"/>
                <w:szCs w:val="21"/>
                <w:u w:val="none"/>
              </w:rPr>
            </w:pPr>
          </w:p>
        </w:tc>
        <w:tc>
          <w:tcPr>
            <w:tcW w:w="2857" w:type="dxa"/>
            <w:tcBorders>
              <w:top w:val="single" w:color="000000" w:sz="8" w:space="0"/>
              <w:left w:val="single" w:color="000000" w:sz="4" w:space="0"/>
              <w:bottom w:val="single" w:color="000000" w:sz="8" w:space="0"/>
              <w:right w:val="single" w:color="000000" w:sz="4" w:space="0"/>
            </w:tcBorders>
            <w:shd w:val="clear" w:color="FFFFFF" w:fill="FFFFFF"/>
            <w:noWrap w:val="0"/>
            <w:vAlign w:val="center"/>
          </w:tcPr>
          <w:p>
            <w:pPr>
              <w:jc w:val="center"/>
              <w:rPr>
                <w:rFonts w:hint="eastAsia" w:ascii="黑体" w:hAnsi="宋体" w:eastAsia="黑体" w:cs="黑体"/>
                <w:i w:val="0"/>
                <w:iCs w:val="0"/>
                <w:color w:val="000000"/>
                <w:sz w:val="21"/>
                <w:szCs w:val="21"/>
                <w:u w:val="none"/>
              </w:rPr>
            </w:pPr>
          </w:p>
        </w:tc>
        <w:tc>
          <w:tcPr>
            <w:tcW w:w="719" w:type="dxa"/>
            <w:tcBorders>
              <w:top w:val="single" w:color="000000" w:sz="8" w:space="0"/>
              <w:left w:val="single" w:color="000000" w:sz="4" w:space="0"/>
              <w:bottom w:val="single" w:color="000000" w:sz="8" w:space="0"/>
              <w:right w:val="single" w:color="000000" w:sz="4" w:space="0"/>
            </w:tcBorders>
            <w:shd w:val="clear" w:color="FFFFFF" w:fill="FFFFFF"/>
            <w:noWrap w:val="0"/>
            <w:vAlign w:val="center"/>
          </w:tcPr>
          <w:p>
            <w:pPr>
              <w:jc w:val="center"/>
              <w:rPr>
                <w:rFonts w:hint="eastAsia" w:ascii="黑体" w:hAnsi="宋体" w:eastAsia="黑体" w:cs="黑体"/>
                <w:i w:val="0"/>
                <w:iCs w:val="0"/>
                <w:color w:val="000000"/>
                <w:sz w:val="21"/>
                <w:szCs w:val="21"/>
                <w:u w:val="none"/>
              </w:rPr>
            </w:pPr>
          </w:p>
        </w:tc>
        <w:tc>
          <w:tcPr>
            <w:tcW w:w="647" w:type="dxa"/>
            <w:tcBorders>
              <w:top w:val="single" w:color="000000" w:sz="8" w:space="0"/>
              <w:left w:val="single" w:color="000000" w:sz="4" w:space="0"/>
              <w:bottom w:val="single" w:color="000000" w:sz="8" w:space="0"/>
              <w:right w:val="single" w:color="000000" w:sz="4" w:space="0"/>
            </w:tcBorders>
            <w:shd w:val="clear" w:color="FFFFFF" w:fill="FFFFFF"/>
            <w:noWrap w:val="0"/>
            <w:vAlign w:val="center"/>
          </w:tcPr>
          <w:p>
            <w:pPr>
              <w:jc w:val="center"/>
              <w:rPr>
                <w:rFonts w:hint="eastAsia" w:ascii="黑体" w:hAnsi="宋体" w:eastAsia="黑体" w:cs="黑体"/>
                <w:i w:val="0"/>
                <w:iCs w:val="0"/>
                <w:color w:val="000000"/>
                <w:sz w:val="21"/>
                <w:szCs w:val="21"/>
                <w:u w:val="none"/>
              </w:rPr>
            </w:pPr>
          </w:p>
        </w:tc>
        <w:tc>
          <w:tcPr>
            <w:tcW w:w="1077"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p>
        </w:tc>
        <w:tc>
          <w:tcPr>
            <w:tcW w:w="1050"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p>
        </w:tc>
        <w:tc>
          <w:tcPr>
            <w:tcW w:w="1050" w:type="dxa"/>
            <w:tcBorders>
              <w:top w:val="single" w:color="000000" w:sz="4" w:space="0"/>
              <w:left w:val="single" w:color="000000" w:sz="4" w:space="0"/>
              <w:bottom w:val="single" w:color="000000" w:sz="4" w:space="0"/>
              <w:right w:val="single" w:color="000000" w:sz="8" w:space="0"/>
            </w:tcBorders>
            <w:shd w:val="clear" w:color="FFFFFF" w:fill="FFFFFF"/>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533" w:type="dxa"/>
            <w:tcBorders>
              <w:top w:val="single" w:color="000000" w:sz="8" w:space="0"/>
              <w:left w:val="single" w:color="000000" w:sz="8" w:space="0"/>
              <w:bottom w:val="single" w:color="000000" w:sz="8" w:space="0"/>
              <w:right w:val="single" w:color="000000" w:sz="4" w:space="0"/>
            </w:tcBorders>
            <w:shd w:val="clear" w:color="FFFFFF" w:fill="FFFFFF"/>
            <w:noWrap w:val="0"/>
            <w:vAlign w:val="center"/>
          </w:tcPr>
          <w:p>
            <w:pPr>
              <w:jc w:val="center"/>
              <w:rPr>
                <w:rFonts w:hint="eastAsia" w:ascii="黑体" w:hAnsi="宋体" w:eastAsia="黑体" w:cs="黑体"/>
                <w:i w:val="0"/>
                <w:iCs w:val="0"/>
                <w:color w:val="000000"/>
                <w:sz w:val="21"/>
                <w:szCs w:val="21"/>
                <w:u w:val="none"/>
              </w:rPr>
            </w:pPr>
          </w:p>
        </w:tc>
        <w:tc>
          <w:tcPr>
            <w:tcW w:w="650" w:type="dxa"/>
            <w:tcBorders>
              <w:top w:val="single" w:color="000000" w:sz="8" w:space="0"/>
              <w:left w:val="single" w:color="000000" w:sz="4" w:space="0"/>
              <w:bottom w:val="single" w:color="000000" w:sz="8" w:space="0"/>
              <w:right w:val="single" w:color="000000" w:sz="4" w:space="0"/>
            </w:tcBorders>
            <w:shd w:val="clear" w:color="FFFFFF" w:fill="FFFFFF"/>
            <w:noWrap w:val="0"/>
            <w:vAlign w:val="center"/>
          </w:tcPr>
          <w:p>
            <w:pPr>
              <w:jc w:val="center"/>
              <w:rPr>
                <w:rFonts w:hint="eastAsia" w:ascii="黑体" w:hAnsi="宋体" w:eastAsia="黑体" w:cs="黑体"/>
                <w:i w:val="0"/>
                <w:iCs w:val="0"/>
                <w:color w:val="000000"/>
                <w:sz w:val="21"/>
                <w:szCs w:val="21"/>
                <w:u w:val="none"/>
              </w:rPr>
            </w:pPr>
          </w:p>
        </w:tc>
        <w:tc>
          <w:tcPr>
            <w:tcW w:w="667" w:type="dxa"/>
            <w:tcBorders>
              <w:top w:val="single" w:color="000000" w:sz="8" w:space="0"/>
              <w:left w:val="single" w:color="000000" w:sz="4" w:space="0"/>
              <w:bottom w:val="single" w:color="000000" w:sz="8" w:space="0"/>
              <w:right w:val="single" w:color="000000" w:sz="4" w:space="0"/>
            </w:tcBorders>
            <w:shd w:val="clear" w:color="FFFFFF" w:fill="FFFFFF"/>
            <w:noWrap w:val="0"/>
            <w:vAlign w:val="center"/>
          </w:tcPr>
          <w:p>
            <w:pPr>
              <w:jc w:val="center"/>
              <w:rPr>
                <w:rFonts w:hint="eastAsia" w:ascii="黑体" w:hAnsi="宋体" w:eastAsia="黑体" w:cs="黑体"/>
                <w:i w:val="0"/>
                <w:iCs w:val="0"/>
                <w:color w:val="000000"/>
                <w:sz w:val="21"/>
                <w:szCs w:val="21"/>
                <w:u w:val="none"/>
              </w:rPr>
            </w:pPr>
          </w:p>
        </w:tc>
        <w:tc>
          <w:tcPr>
            <w:tcW w:w="2857" w:type="dxa"/>
            <w:tcBorders>
              <w:top w:val="single" w:color="000000" w:sz="8" w:space="0"/>
              <w:left w:val="single" w:color="000000" w:sz="4" w:space="0"/>
              <w:bottom w:val="single" w:color="000000" w:sz="8" w:space="0"/>
              <w:right w:val="single" w:color="000000" w:sz="4" w:space="0"/>
            </w:tcBorders>
            <w:shd w:val="clear" w:color="FFFFFF" w:fill="FFFFFF"/>
            <w:noWrap w:val="0"/>
            <w:vAlign w:val="center"/>
          </w:tcPr>
          <w:p>
            <w:pPr>
              <w:jc w:val="center"/>
              <w:rPr>
                <w:rFonts w:hint="eastAsia" w:ascii="黑体" w:hAnsi="宋体" w:eastAsia="黑体" w:cs="黑体"/>
                <w:i w:val="0"/>
                <w:iCs w:val="0"/>
                <w:color w:val="000000"/>
                <w:sz w:val="21"/>
                <w:szCs w:val="21"/>
                <w:u w:val="none"/>
              </w:rPr>
            </w:pPr>
          </w:p>
        </w:tc>
        <w:tc>
          <w:tcPr>
            <w:tcW w:w="719" w:type="dxa"/>
            <w:tcBorders>
              <w:top w:val="single" w:color="000000" w:sz="8" w:space="0"/>
              <w:left w:val="single" w:color="000000" w:sz="4" w:space="0"/>
              <w:bottom w:val="single" w:color="000000" w:sz="8" w:space="0"/>
              <w:right w:val="single" w:color="000000" w:sz="4" w:space="0"/>
            </w:tcBorders>
            <w:shd w:val="clear" w:color="FFFFFF" w:fill="FFFFFF"/>
            <w:noWrap w:val="0"/>
            <w:vAlign w:val="center"/>
          </w:tcPr>
          <w:p>
            <w:pPr>
              <w:jc w:val="center"/>
              <w:rPr>
                <w:rFonts w:hint="eastAsia" w:ascii="黑体" w:hAnsi="宋体" w:eastAsia="黑体" w:cs="黑体"/>
                <w:i w:val="0"/>
                <w:iCs w:val="0"/>
                <w:color w:val="000000"/>
                <w:sz w:val="21"/>
                <w:szCs w:val="21"/>
                <w:u w:val="none"/>
              </w:rPr>
            </w:pPr>
          </w:p>
        </w:tc>
        <w:tc>
          <w:tcPr>
            <w:tcW w:w="647" w:type="dxa"/>
            <w:tcBorders>
              <w:top w:val="single" w:color="000000" w:sz="8" w:space="0"/>
              <w:left w:val="single" w:color="000000" w:sz="4" w:space="0"/>
              <w:bottom w:val="single" w:color="000000" w:sz="8" w:space="0"/>
              <w:right w:val="single" w:color="000000" w:sz="4" w:space="0"/>
            </w:tcBorders>
            <w:shd w:val="clear" w:color="FFFFFF" w:fill="FFFFFF"/>
            <w:noWrap w:val="0"/>
            <w:vAlign w:val="center"/>
          </w:tcPr>
          <w:p>
            <w:pPr>
              <w:jc w:val="center"/>
              <w:rPr>
                <w:rFonts w:hint="eastAsia" w:ascii="黑体" w:hAnsi="宋体" w:eastAsia="黑体" w:cs="黑体"/>
                <w:i w:val="0"/>
                <w:iCs w:val="0"/>
                <w:color w:val="000000"/>
                <w:sz w:val="21"/>
                <w:szCs w:val="21"/>
                <w:u w:val="none"/>
              </w:rPr>
            </w:pPr>
          </w:p>
        </w:tc>
        <w:tc>
          <w:tcPr>
            <w:tcW w:w="1077"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p>
        </w:tc>
        <w:tc>
          <w:tcPr>
            <w:tcW w:w="1050"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p>
        </w:tc>
        <w:tc>
          <w:tcPr>
            <w:tcW w:w="1050" w:type="dxa"/>
            <w:tcBorders>
              <w:top w:val="single" w:color="000000" w:sz="4" w:space="0"/>
              <w:left w:val="single" w:color="000000" w:sz="4" w:space="0"/>
              <w:bottom w:val="single" w:color="000000" w:sz="4" w:space="0"/>
              <w:right w:val="single" w:color="000000" w:sz="8" w:space="0"/>
            </w:tcBorders>
            <w:shd w:val="clear" w:color="FFFFFF" w:fill="FFFFFF"/>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8" w:hRule="atLeast"/>
        </w:trPr>
        <w:tc>
          <w:tcPr>
            <w:tcW w:w="533" w:type="dxa"/>
            <w:tcBorders>
              <w:top w:val="single" w:color="000000" w:sz="8" w:space="0"/>
              <w:left w:val="single" w:color="000000" w:sz="8" w:space="0"/>
              <w:bottom w:val="single" w:color="000000" w:sz="8" w:space="0"/>
              <w:right w:val="single" w:color="000000" w:sz="4" w:space="0"/>
            </w:tcBorders>
            <w:shd w:val="clear" w:color="FFFFFF" w:fill="FFFFFF"/>
            <w:noWrap w:val="0"/>
            <w:vAlign w:val="center"/>
          </w:tcPr>
          <w:p>
            <w:pPr>
              <w:jc w:val="center"/>
              <w:rPr>
                <w:rFonts w:hint="eastAsia" w:ascii="黑体" w:hAnsi="宋体" w:eastAsia="黑体" w:cs="黑体"/>
                <w:i w:val="0"/>
                <w:iCs w:val="0"/>
                <w:color w:val="000000"/>
                <w:sz w:val="21"/>
                <w:szCs w:val="21"/>
                <w:u w:val="none"/>
              </w:rPr>
            </w:pPr>
          </w:p>
        </w:tc>
        <w:tc>
          <w:tcPr>
            <w:tcW w:w="650" w:type="dxa"/>
            <w:tcBorders>
              <w:top w:val="single" w:color="000000" w:sz="8" w:space="0"/>
              <w:left w:val="single" w:color="000000" w:sz="4" w:space="0"/>
              <w:bottom w:val="single" w:color="000000" w:sz="8" w:space="0"/>
              <w:right w:val="single" w:color="000000" w:sz="4" w:space="0"/>
            </w:tcBorders>
            <w:shd w:val="clear" w:color="FFFFFF" w:fill="FFFFFF"/>
            <w:noWrap w:val="0"/>
            <w:vAlign w:val="center"/>
          </w:tcPr>
          <w:p>
            <w:pPr>
              <w:jc w:val="center"/>
              <w:rPr>
                <w:rFonts w:hint="eastAsia" w:ascii="黑体" w:hAnsi="宋体" w:eastAsia="黑体" w:cs="黑体"/>
                <w:i w:val="0"/>
                <w:iCs w:val="0"/>
                <w:color w:val="000000"/>
                <w:sz w:val="21"/>
                <w:szCs w:val="21"/>
                <w:u w:val="none"/>
              </w:rPr>
            </w:pPr>
          </w:p>
        </w:tc>
        <w:tc>
          <w:tcPr>
            <w:tcW w:w="667" w:type="dxa"/>
            <w:tcBorders>
              <w:top w:val="single" w:color="000000" w:sz="8" w:space="0"/>
              <w:left w:val="single" w:color="000000" w:sz="4" w:space="0"/>
              <w:bottom w:val="single" w:color="000000" w:sz="8" w:space="0"/>
              <w:right w:val="single" w:color="000000" w:sz="4" w:space="0"/>
            </w:tcBorders>
            <w:shd w:val="clear" w:color="FFFFFF" w:fill="FFFFFF"/>
            <w:noWrap w:val="0"/>
            <w:vAlign w:val="center"/>
          </w:tcPr>
          <w:p>
            <w:pPr>
              <w:jc w:val="center"/>
              <w:rPr>
                <w:rFonts w:hint="eastAsia" w:ascii="黑体" w:hAnsi="宋体" w:eastAsia="黑体" w:cs="黑体"/>
                <w:i w:val="0"/>
                <w:iCs w:val="0"/>
                <w:color w:val="000000"/>
                <w:sz w:val="21"/>
                <w:szCs w:val="21"/>
                <w:u w:val="none"/>
              </w:rPr>
            </w:pPr>
          </w:p>
        </w:tc>
        <w:tc>
          <w:tcPr>
            <w:tcW w:w="2857" w:type="dxa"/>
            <w:tcBorders>
              <w:top w:val="single" w:color="000000" w:sz="8" w:space="0"/>
              <w:left w:val="single" w:color="000000" w:sz="4" w:space="0"/>
              <w:bottom w:val="single" w:color="000000" w:sz="8" w:space="0"/>
              <w:right w:val="single" w:color="000000" w:sz="4" w:space="0"/>
            </w:tcBorders>
            <w:shd w:val="clear" w:color="FFFFFF" w:fill="FFFFFF"/>
            <w:noWrap w:val="0"/>
            <w:vAlign w:val="center"/>
          </w:tcPr>
          <w:p>
            <w:pPr>
              <w:jc w:val="center"/>
              <w:rPr>
                <w:rFonts w:hint="eastAsia" w:ascii="黑体" w:hAnsi="宋体" w:eastAsia="黑体" w:cs="黑体"/>
                <w:i w:val="0"/>
                <w:iCs w:val="0"/>
                <w:color w:val="000000"/>
                <w:sz w:val="21"/>
                <w:szCs w:val="21"/>
                <w:u w:val="none"/>
              </w:rPr>
            </w:pPr>
          </w:p>
        </w:tc>
        <w:tc>
          <w:tcPr>
            <w:tcW w:w="719" w:type="dxa"/>
            <w:tcBorders>
              <w:top w:val="single" w:color="000000" w:sz="8" w:space="0"/>
              <w:left w:val="single" w:color="000000" w:sz="4" w:space="0"/>
              <w:bottom w:val="single" w:color="000000" w:sz="8" w:space="0"/>
              <w:right w:val="single" w:color="000000" w:sz="4" w:space="0"/>
            </w:tcBorders>
            <w:shd w:val="clear" w:color="FFFFFF" w:fill="FFFFFF"/>
            <w:noWrap w:val="0"/>
            <w:vAlign w:val="center"/>
          </w:tcPr>
          <w:p>
            <w:pPr>
              <w:jc w:val="center"/>
              <w:rPr>
                <w:rFonts w:hint="eastAsia" w:ascii="黑体" w:hAnsi="宋体" w:eastAsia="黑体" w:cs="黑体"/>
                <w:i w:val="0"/>
                <w:iCs w:val="0"/>
                <w:color w:val="000000"/>
                <w:sz w:val="21"/>
                <w:szCs w:val="21"/>
                <w:u w:val="none"/>
              </w:rPr>
            </w:pPr>
          </w:p>
        </w:tc>
        <w:tc>
          <w:tcPr>
            <w:tcW w:w="647" w:type="dxa"/>
            <w:tcBorders>
              <w:top w:val="single" w:color="000000" w:sz="8" w:space="0"/>
              <w:left w:val="single" w:color="000000" w:sz="4" w:space="0"/>
              <w:bottom w:val="single" w:color="000000" w:sz="8" w:space="0"/>
              <w:right w:val="single" w:color="000000" w:sz="4" w:space="0"/>
            </w:tcBorders>
            <w:shd w:val="clear" w:color="FFFFFF" w:fill="FFFFFF"/>
            <w:noWrap w:val="0"/>
            <w:vAlign w:val="center"/>
          </w:tcPr>
          <w:p>
            <w:pPr>
              <w:jc w:val="center"/>
              <w:rPr>
                <w:rFonts w:hint="eastAsia" w:ascii="黑体" w:hAnsi="宋体" w:eastAsia="黑体" w:cs="黑体"/>
                <w:i w:val="0"/>
                <w:iCs w:val="0"/>
                <w:color w:val="000000"/>
                <w:sz w:val="21"/>
                <w:szCs w:val="21"/>
                <w:u w:val="none"/>
              </w:rPr>
            </w:pPr>
          </w:p>
        </w:tc>
        <w:tc>
          <w:tcPr>
            <w:tcW w:w="1077"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p>
        </w:tc>
        <w:tc>
          <w:tcPr>
            <w:tcW w:w="1050"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p>
        </w:tc>
        <w:tc>
          <w:tcPr>
            <w:tcW w:w="1050" w:type="dxa"/>
            <w:tcBorders>
              <w:top w:val="single" w:color="000000" w:sz="4" w:space="0"/>
              <w:left w:val="single" w:color="000000" w:sz="4" w:space="0"/>
              <w:bottom w:val="single" w:color="000000" w:sz="4" w:space="0"/>
              <w:right w:val="single" w:color="000000" w:sz="8" w:space="0"/>
            </w:tcBorders>
            <w:shd w:val="clear" w:color="FFFFFF" w:fill="FFFFFF"/>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4" w:hRule="atLeast"/>
        </w:trPr>
        <w:tc>
          <w:tcPr>
            <w:tcW w:w="1850" w:type="dxa"/>
            <w:gridSpan w:val="3"/>
            <w:tcBorders>
              <w:top w:val="single" w:color="000000" w:sz="8" w:space="0"/>
              <w:left w:val="single" w:color="000000" w:sz="8" w:space="0"/>
              <w:bottom w:val="single" w:color="000000" w:sz="8" w:space="0"/>
              <w:right w:val="single" w:color="000000" w:sz="4" w:space="0"/>
            </w:tcBorders>
            <w:shd w:val="clear" w:color="FFFFFF" w:fill="FFFFFF"/>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宋体" w:hAnsi="宋体" w:eastAsia="宋体" w:cs="宋体"/>
                <w:sz w:val="24"/>
                <w:szCs w:val="28"/>
              </w:rPr>
              <w:t>设备总价款</w:t>
            </w:r>
          </w:p>
        </w:tc>
        <w:tc>
          <w:tcPr>
            <w:tcW w:w="7400" w:type="dxa"/>
            <w:gridSpan w:val="6"/>
            <w:tcBorders>
              <w:top w:val="single" w:color="000000" w:sz="8" w:space="0"/>
              <w:left w:val="single" w:color="000000" w:sz="4" w:space="0"/>
              <w:bottom w:val="single" w:color="000000" w:sz="8" w:space="0"/>
              <w:right w:val="single" w:color="000000" w:sz="8" w:space="0"/>
            </w:tcBorders>
            <w:shd w:val="clear" w:color="FFFFFF" w:fill="FFFFFF"/>
            <w:noWrap w:val="0"/>
            <w:vAlign w:val="center"/>
          </w:tcPr>
          <w:p>
            <w:pPr>
              <w:tabs>
                <w:tab w:val="left" w:pos="1426"/>
              </w:tabs>
              <w:jc w:val="left"/>
              <w:rPr>
                <w:rFonts w:hint="eastAsia" w:ascii="黑体" w:hAnsi="宋体" w:eastAsia="黑体" w:cs="黑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3" w:hRule="atLeast"/>
        </w:trPr>
        <w:tc>
          <w:tcPr>
            <w:tcW w:w="1850" w:type="dxa"/>
            <w:gridSpan w:val="3"/>
            <w:tcBorders>
              <w:top w:val="single" w:color="000000" w:sz="8" w:space="0"/>
              <w:left w:val="single" w:color="000000" w:sz="8" w:space="0"/>
              <w:bottom w:val="single" w:color="000000" w:sz="8" w:space="0"/>
              <w:right w:val="single" w:color="000000" w:sz="4" w:space="0"/>
            </w:tcBorders>
            <w:shd w:val="clear" w:color="FFFFFF" w:fill="FFFFFF"/>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宋体" w:hAnsi="宋体" w:eastAsia="宋体" w:cs="宋体"/>
                <w:sz w:val="24"/>
                <w:szCs w:val="28"/>
              </w:rPr>
              <w:t>安装总费用</w:t>
            </w:r>
          </w:p>
        </w:tc>
        <w:tc>
          <w:tcPr>
            <w:tcW w:w="7400" w:type="dxa"/>
            <w:gridSpan w:val="6"/>
            <w:tcBorders>
              <w:top w:val="single" w:color="000000" w:sz="8" w:space="0"/>
              <w:left w:val="single" w:color="000000" w:sz="4" w:space="0"/>
              <w:bottom w:val="single" w:color="000000" w:sz="8" w:space="0"/>
              <w:right w:val="single" w:color="000000" w:sz="8" w:space="0"/>
            </w:tcBorders>
            <w:shd w:val="clear" w:color="FFFFFF" w:fill="FFFFFF"/>
            <w:noWrap w:val="0"/>
            <w:vAlign w:val="center"/>
          </w:tcPr>
          <w:p>
            <w:pPr>
              <w:tabs>
                <w:tab w:val="left" w:pos="1426"/>
              </w:tabs>
              <w:jc w:val="left"/>
              <w:rPr>
                <w:rFonts w:hint="eastAsia" w:ascii="黑体" w:hAnsi="宋体" w:eastAsia="黑体" w:cs="黑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6" w:hRule="atLeast"/>
        </w:trPr>
        <w:tc>
          <w:tcPr>
            <w:tcW w:w="1850" w:type="dxa"/>
            <w:gridSpan w:val="3"/>
            <w:tcBorders>
              <w:top w:val="single" w:color="000000" w:sz="8" w:space="0"/>
              <w:left w:val="single" w:color="000000" w:sz="8" w:space="0"/>
              <w:bottom w:val="single" w:color="000000" w:sz="4" w:space="0"/>
              <w:right w:val="single" w:color="000000" w:sz="4" w:space="0"/>
            </w:tcBorders>
            <w:shd w:val="clear" w:color="FFFFFF" w:fill="FFFFFF"/>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宋体" w:hAnsi="宋体" w:eastAsia="宋体" w:cs="宋体"/>
                <w:sz w:val="24"/>
                <w:szCs w:val="28"/>
                <w:lang w:val="en-US" w:eastAsia="zh-CN"/>
              </w:rPr>
              <w:t>合计报价</w:t>
            </w:r>
          </w:p>
        </w:tc>
        <w:tc>
          <w:tcPr>
            <w:tcW w:w="7400" w:type="dxa"/>
            <w:gridSpan w:val="6"/>
            <w:tcBorders>
              <w:top w:val="single" w:color="000000" w:sz="8" w:space="0"/>
              <w:left w:val="single" w:color="000000" w:sz="4" w:space="0"/>
              <w:bottom w:val="single" w:color="000000" w:sz="4" w:space="0"/>
              <w:right w:val="single" w:color="000000" w:sz="8" w:space="0"/>
            </w:tcBorders>
            <w:shd w:val="clear" w:color="FFFFFF" w:fill="FFFFFF"/>
            <w:noWrap w:val="0"/>
            <w:vAlign w:val="center"/>
          </w:tcPr>
          <w:p>
            <w:pPr>
              <w:tabs>
                <w:tab w:val="left" w:pos="1426"/>
              </w:tabs>
              <w:ind w:firstLine="240" w:firstLineChars="100"/>
              <w:jc w:val="left"/>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大写：</w:t>
            </w:r>
            <w:r>
              <w:rPr>
                <w:rFonts w:hint="eastAsia" w:ascii="宋体" w:hAnsi="宋体" w:eastAsia="宋体" w:cs="宋体"/>
                <w:sz w:val="24"/>
                <w:szCs w:val="24"/>
                <w:u w:val="single"/>
                <w:vertAlign w:val="baseline"/>
                <w:lang w:val="en-US" w:eastAsia="zh-CN"/>
              </w:rPr>
              <w:t xml:space="preserve">     </w:t>
            </w:r>
            <w:r>
              <w:rPr>
                <w:rFonts w:hint="eastAsia" w:ascii="宋体" w:hAnsi="宋体" w:eastAsia="宋体" w:cs="宋体"/>
                <w:sz w:val="24"/>
                <w:szCs w:val="24"/>
                <w:vertAlign w:val="baseline"/>
                <w:lang w:val="en-US" w:eastAsia="zh-CN"/>
              </w:rPr>
              <w:t>元 (小写：</w:t>
            </w:r>
            <w:r>
              <w:rPr>
                <w:rFonts w:hint="eastAsia" w:ascii="宋体" w:hAnsi="宋体" w:eastAsia="宋体" w:cs="宋体"/>
                <w:sz w:val="24"/>
                <w:szCs w:val="24"/>
                <w:u w:val="single"/>
                <w:vertAlign w:val="baseline"/>
                <w:lang w:val="en-US" w:eastAsia="zh-CN"/>
              </w:rPr>
              <w:t xml:space="preserve">      </w:t>
            </w:r>
            <w:r>
              <w:rPr>
                <w:rFonts w:hint="eastAsia" w:ascii="宋体" w:hAnsi="宋体" w:eastAsia="宋体" w:cs="宋体"/>
                <w:sz w:val="24"/>
                <w:szCs w:val="24"/>
                <w:vertAlign w:val="baseline"/>
                <w:lang w:val="en-US" w:eastAsia="zh-CN"/>
              </w:rPr>
              <w:t>元)</w:t>
            </w:r>
          </w:p>
          <w:p>
            <w:pPr>
              <w:tabs>
                <w:tab w:val="left" w:pos="1426"/>
              </w:tabs>
              <w:jc w:val="left"/>
              <w:rPr>
                <w:rFonts w:hint="eastAsia" w:ascii="黑体" w:hAnsi="宋体" w:eastAsia="黑体" w:cs="黑体"/>
                <w:i w:val="0"/>
                <w:iCs w:val="0"/>
                <w:color w:val="000000"/>
                <w:kern w:val="0"/>
                <w:sz w:val="21"/>
                <w:szCs w:val="21"/>
                <w:u w:val="none"/>
                <w:lang w:val="en-US" w:eastAsia="zh-CN" w:bidi="ar"/>
              </w:rPr>
            </w:pPr>
            <w:r>
              <w:rPr>
                <w:rFonts w:hint="eastAsia" w:ascii="宋体" w:hAnsi="宋体" w:eastAsia="宋体" w:cs="宋体"/>
                <w:sz w:val="24"/>
                <w:szCs w:val="24"/>
                <w:vertAlign w:val="baseline"/>
                <w:lang w:val="en-US" w:eastAsia="zh-CN"/>
              </w:rPr>
              <w:t>（ 设备含</w:t>
            </w:r>
            <w:r>
              <w:rPr>
                <w:rFonts w:hint="eastAsia" w:ascii="宋体" w:hAnsi="宋体" w:cs="宋体"/>
                <w:sz w:val="24"/>
                <w:szCs w:val="24"/>
                <w:u w:val="single"/>
                <w:vertAlign w:val="baseline"/>
                <w:lang w:val="en-US" w:eastAsia="zh-CN"/>
              </w:rPr>
              <w:t xml:space="preserve">   </w:t>
            </w:r>
            <w:r>
              <w:rPr>
                <w:rFonts w:hint="eastAsia" w:ascii="宋体" w:hAnsi="宋体" w:eastAsia="宋体" w:cs="宋体"/>
                <w:sz w:val="24"/>
                <w:szCs w:val="24"/>
                <w:u w:val="single"/>
                <w:vertAlign w:val="baseline"/>
                <w:lang w:val="en-US" w:eastAsia="zh-CN"/>
              </w:rPr>
              <w:t xml:space="preserve"> </w:t>
            </w:r>
            <w:r>
              <w:rPr>
                <w:rFonts w:hint="eastAsia" w:ascii="宋体" w:hAnsi="宋体" w:eastAsia="宋体" w:cs="宋体"/>
                <w:sz w:val="24"/>
                <w:szCs w:val="24"/>
                <w:vertAlign w:val="baseline"/>
                <w:lang w:val="en-US" w:eastAsia="zh-CN"/>
              </w:rPr>
              <w:t>%增值税专用发票，安装含</w:t>
            </w:r>
            <w:r>
              <w:rPr>
                <w:rFonts w:hint="eastAsia" w:ascii="宋体" w:hAnsi="宋体" w:cs="宋体"/>
                <w:sz w:val="24"/>
                <w:szCs w:val="24"/>
                <w:u w:val="single"/>
                <w:vertAlign w:val="baseline"/>
                <w:lang w:val="en-US" w:eastAsia="zh-CN"/>
              </w:rPr>
              <w:t xml:space="preserve">    </w:t>
            </w:r>
            <w:r>
              <w:rPr>
                <w:rFonts w:hint="eastAsia" w:ascii="宋体" w:hAnsi="宋体" w:eastAsia="宋体" w:cs="宋体"/>
                <w:sz w:val="24"/>
                <w:szCs w:val="24"/>
                <w:vertAlign w:val="baseline"/>
                <w:lang w:val="en-US" w:eastAsia="zh-CN"/>
              </w:rPr>
              <w:t>%增值税专用发票）</w:t>
            </w:r>
          </w:p>
        </w:tc>
      </w:tr>
    </w:tbl>
    <w:p>
      <w:pPr>
        <w:pStyle w:val="3"/>
        <w:jc w:val="cente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pStyle w:val="3"/>
        <w:keepNext w:val="0"/>
        <w:keepLines w:val="0"/>
        <w:pageBreakBefore w:val="0"/>
        <w:widowControl w:val="0"/>
        <w:kinsoku/>
        <w:wordWrap/>
        <w:overflowPunct/>
        <w:topLinePunct w:val="0"/>
        <w:autoSpaceDE/>
        <w:autoSpaceDN/>
        <w:bidi w:val="0"/>
        <w:adjustRightInd/>
        <w:snapToGrid/>
        <w:spacing w:line="416" w:lineRule="auto"/>
        <w:jc w:val="center"/>
        <w:textAlignment w:val="auto"/>
        <w:rPr>
          <w:rFonts w:hint="eastAsia" w:ascii="Times New Roman" w:hAnsi="Times New Roman" w:cs="Times New Roman"/>
          <w:highlight w:val="none"/>
          <w:lang w:val="en-US" w:eastAsia="zh-CN"/>
        </w:rPr>
      </w:pPr>
    </w:p>
    <w:p>
      <w:pPr>
        <w:pStyle w:val="3"/>
        <w:keepNext w:val="0"/>
        <w:keepLines w:val="0"/>
        <w:pageBreakBefore w:val="0"/>
        <w:widowControl w:val="0"/>
        <w:kinsoku/>
        <w:wordWrap/>
        <w:overflowPunct/>
        <w:topLinePunct w:val="0"/>
        <w:autoSpaceDE/>
        <w:autoSpaceDN/>
        <w:bidi w:val="0"/>
        <w:adjustRightInd/>
        <w:snapToGrid/>
        <w:spacing w:line="416" w:lineRule="auto"/>
        <w:jc w:val="center"/>
        <w:textAlignment w:val="auto"/>
        <w:rPr>
          <w:rFonts w:hint="eastAsia" w:ascii="Times New Roman" w:hAnsi="Times New Roman" w:cs="Times New Roman"/>
          <w:highlight w:val="none"/>
          <w:lang w:val="en-US" w:eastAsia="zh-CN"/>
        </w:rPr>
      </w:pP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129"/>
      <w:bookmarkEnd w:id="130"/>
      <w:bookmarkEnd w:id="131"/>
      <w:bookmarkEnd w:id="132"/>
      <w:bookmarkEnd w:id="133"/>
      <w:bookmarkEnd w:id="134"/>
      <w:r>
        <w:rPr>
          <w:rFonts w:hint="eastAsia" w:ascii="Times New Roman" w:hAnsi="Times New Roman" w:cs="Times New Roman"/>
          <w:highlight w:val="none"/>
          <w:lang w:val="en-US" w:eastAsia="zh-CN"/>
        </w:rPr>
        <w:t>施工方案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135"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val="en-US" w:eastAsia="zh-CN"/>
        </w:rPr>
        <w:t>施工方案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r>
        <w:rPr>
          <w:rFonts w:hint="default" w:ascii="Times New Roman" w:hAnsi="Times New Roman" w:cs="Times New Roman"/>
          <w:szCs w:val="21"/>
        </w:rPr>
        <w:br w:type="page"/>
      </w:r>
    </w:p>
    <w:p>
      <w:pPr>
        <w:pStyle w:val="4"/>
        <w:rPr>
          <w:rFonts w:hint="default" w:ascii="Times New Roman" w:hAnsi="Times New Roman" w:cs="Times New Roman"/>
        </w:rPr>
      </w:pPr>
      <w:bookmarkStart w:id="136" w:name="_Toc246996365"/>
      <w:bookmarkStart w:id="137" w:name="_Toc296602610"/>
      <w:bookmarkStart w:id="138" w:name="_Toc179632817"/>
      <w:bookmarkStart w:id="139" w:name="_Toc144974865"/>
      <w:bookmarkStart w:id="140" w:name="_Toc246997108"/>
      <w:bookmarkStart w:id="141" w:name="_Toc152045797"/>
      <w:bookmarkStart w:id="142" w:name="_Toc152042586"/>
      <w:bookmarkStart w:id="143" w:name="_Toc247085883"/>
      <w:r>
        <w:rPr>
          <w:rFonts w:hint="default" w:ascii="Times New Roman" w:hAnsi="Times New Roman" w:cs="Times New Roman"/>
        </w:rPr>
        <w:t>附表一：拟投入本项目的主要施工设备表</w:t>
      </w:r>
      <w:bookmarkEnd w:id="136"/>
      <w:bookmarkEnd w:id="137"/>
      <w:bookmarkEnd w:id="138"/>
      <w:bookmarkEnd w:id="139"/>
      <w:bookmarkEnd w:id="140"/>
      <w:bookmarkEnd w:id="141"/>
      <w:bookmarkEnd w:id="142"/>
      <w:bookmarkEnd w:id="143"/>
    </w:p>
    <w:tbl>
      <w:tblPr>
        <w:tblStyle w:val="1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144" w:name="_Toc246996366"/>
      <w:bookmarkStart w:id="145" w:name="_Toc247085884"/>
      <w:bookmarkStart w:id="146" w:name="_Toc144974867"/>
      <w:bookmarkStart w:id="147" w:name="_Toc152042588"/>
      <w:bookmarkStart w:id="148" w:name="_Toc152045799"/>
      <w:bookmarkStart w:id="149" w:name="_Toc179632819"/>
      <w:bookmarkStart w:id="150" w:name="_Toc246997109"/>
      <w:bookmarkStart w:id="151" w:name="_Toc296602611"/>
      <w:r>
        <w:rPr>
          <w:rFonts w:hint="default" w:ascii="Times New Roman" w:hAnsi="Times New Roman" w:cs="Times New Roman"/>
        </w:rPr>
        <w:t>附表二：劳动力计划表</w:t>
      </w:r>
      <w:bookmarkEnd w:id="144"/>
      <w:bookmarkEnd w:id="145"/>
      <w:bookmarkEnd w:id="146"/>
      <w:bookmarkEnd w:id="147"/>
      <w:bookmarkEnd w:id="148"/>
      <w:bookmarkEnd w:id="149"/>
      <w:bookmarkEnd w:id="150"/>
      <w:bookmarkEnd w:id="151"/>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9"/>
        <w:rPr>
          <w:rFonts w:hint="default" w:ascii="Times New Roman" w:hAnsi="Times New Roman" w:cs="Times New Roman"/>
        </w:rPr>
      </w:pPr>
      <w:bookmarkStart w:id="152" w:name="_Toc246996367"/>
      <w:bookmarkStart w:id="153" w:name="_Toc246997110"/>
      <w:bookmarkStart w:id="154" w:name="_Toc144974868"/>
      <w:bookmarkStart w:id="155" w:name="_Toc152045800"/>
      <w:bookmarkStart w:id="156" w:name="_Toc179632820"/>
      <w:bookmarkStart w:id="157" w:name="_Toc152042589"/>
    </w:p>
    <w:p>
      <w:pPr>
        <w:pStyle w:val="9"/>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158" w:name="_Toc296602612"/>
      <w:bookmarkStart w:id="159" w:name="_Toc247085885"/>
      <w:r>
        <w:rPr>
          <w:rFonts w:hint="default" w:ascii="Times New Roman" w:hAnsi="Times New Roman" w:cs="Times New Roman"/>
        </w:rPr>
        <w:t>附表三：进度计划</w:t>
      </w:r>
      <w:bookmarkEnd w:id="152"/>
      <w:bookmarkEnd w:id="153"/>
      <w:bookmarkEnd w:id="154"/>
      <w:bookmarkEnd w:id="155"/>
      <w:bookmarkEnd w:id="156"/>
      <w:bookmarkEnd w:id="157"/>
      <w:bookmarkEnd w:id="158"/>
      <w:bookmarkEnd w:id="159"/>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135"/>
    <w:p>
      <w:pPr>
        <w:pStyle w:val="3"/>
        <w:jc w:val="center"/>
        <w:rPr>
          <w:rFonts w:eastAsia="黑体"/>
          <w:sz w:val="23"/>
          <w:szCs w:val="23"/>
        </w:rPr>
      </w:pPr>
      <w:bookmarkStart w:id="160" w:name="_Toc179632823"/>
      <w:bookmarkStart w:id="161" w:name="_Toc296602614"/>
      <w:bookmarkStart w:id="162" w:name="_Toc246996369"/>
      <w:bookmarkStart w:id="163" w:name="_Toc144974871"/>
      <w:bookmarkStart w:id="164" w:name="_Toc246997112"/>
      <w:bookmarkStart w:id="165" w:name="_Toc247085887"/>
      <w:bookmarkStart w:id="166" w:name="_Toc152042592"/>
      <w:bookmarkStart w:id="167" w:name="_Toc152045803"/>
      <w:bookmarkStart w:id="168" w:name="_Toc300835224"/>
      <w:bookmarkStart w:id="169" w:name="_Toc144974876"/>
      <w:bookmarkStart w:id="170" w:name="_Toc247514300"/>
      <w:bookmarkStart w:id="171" w:name="_Toc247527848"/>
      <w:bookmarkStart w:id="172" w:name="_Toc152045808"/>
      <w:bookmarkStart w:id="173" w:name="_Toc152042597"/>
      <w:r>
        <w:rPr>
          <w:rFonts w:hint="eastAsia"/>
          <w:lang w:val="en-US" w:eastAsia="zh-CN"/>
        </w:rPr>
        <w:t>六</w:t>
      </w:r>
      <w:r>
        <w:t>、项目管理机构</w:t>
      </w:r>
      <w:bookmarkEnd w:id="160"/>
      <w:bookmarkEnd w:id="161"/>
      <w:bookmarkEnd w:id="162"/>
      <w:bookmarkEnd w:id="163"/>
      <w:bookmarkEnd w:id="164"/>
      <w:bookmarkEnd w:id="165"/>
      <w:bookmarkEnd w:id="166"/>
      <w:bookmarkEnd w:id="167"/>
    </w:p>
    <w:p>
      <w:pPr>
        <w:pStyle w:val="4"/>
        <w:jc w:val="both"/>
      </w:pPr>
      <w:bookmarkStart w:id="174" w:name="_Toc247085888"/>
      <w:bookmarkStart w:id="175" w:name="_Toc246997113"/>
      <w:bookmarkStart w:id="176" w:name="_Toc246996370"/>
      <w:bookmarkStart w:id="177" w:name="_Toc296602615"/>
      <w:r>
        <w:t>（一）项目管理机构组成表</w:t>
      </w:r>
      <w:bookmarkEnd w:id="174"/>
      <w:bookmarkEnd w:id="175"/>
      <w:bookmarkEnd w:id="176"/>
      <w:bookmarkEnd w:id="177"/>
    </w:p>
    <w:p>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178" w:name="_Toc247085889"/>
      <w:bookmarkStart w:id="179" w:name="_Toc246996371"/>
      <w:bookmarkStart w:id="180" w:name="_Toc296602616"/>
      <w:bookmarkStart w:id="181" w:name="_Toc246997114"/>
      <w:r>
        <w:t>（二）</w:t>
      </w:r>
      <w:r>
        <w:rPr>
          <w:rFonts w:hint="eastAsia"/>
          <w:lang w:eastAsia="zh-CN"/>
        </w:rPr>
        <w:t>项目负责人</w:t>
      </w:r>
      <w:r>
        <w:t>简历表</w:t>
      </w:r>
      <w:bookmarkEnd w:id="178"/>
      <w:bookmarkEnd w:id="179"/>
      <w:bookmarkEnd w:id="180"/>
      <w:bookmarkEnd w:id="181"/>
    </w:p>
    <w:p>
      <w:pPr>
        <w:topLinePunct/>
        <w:spacing w:line="440" w:lineRule="exact"/>
        <w:jc w:val="center"/>
        <w:rPr>
          <w:rFonts w:eastAsia="黑体"/>
          <w:sz w:val="23"/>
          <w:szCs w:val="23"/>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hint="eastAsia" w:ascii="宋体" w:hAnsi="宋体"/>
                <w:szCs w:val="21"/>
                <w:lang w:eastAsia="zh-CN"/>
              </w:rPr>
              <w:t>招标人</w:t>
            </w:r>
            <w:r>
              <w:rPr>
                <w:rFonts w:ascii="宋体" w:hAnsi="宋体"/>
                <w:szCs w:val="21"/>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spacing w:line="400" w:lineRule="exact"/>
        <w:rPr>
          <w:rFonts w:hint="default"/>
          <w:highlight w:val="none"/>
          <w:lang w:val="en-US" w:eastAsia="zh-CN"/>
        </w:rPr>
      </w:pPr>
      <w:r>
        <w:rPr>
          <w:rFonts w:hint="eastAsia"/>
          <w:highlight w:val="none"/>
          <w:lang w:val="en-US" w:eastAsia="zh-CN"/>
        </w:rPr>
        <w:t>注：</w:t>
      </w:r>
    </w:p>
    <w:p>
      <w:pPr>
        <w:spacing w:line="400" w:lineRule="exact"/>
        <w:ind w:firstLine="420" w:firstLineChars="200"/>
        <w:rPr>
          <w:rFonts w:hint="eastAsia" w:eastAsiaTheme="minorEastAsia"/>
          <w:highlight w:val="none"/>
          <w:lang w:eastAsia="zh-CN"/>
        </w:rPr>
      </w:pPr>
      <w:r>
        <w:rPr>
          <w:rFonts w:hint="eastAsia"/>
          <w:highlight w:val="none"/>
          <w:lang w:val="en-US" w:eastAsia="zh-CN"/>
        </w:rPr>
        <w:t>项目负责人简历应附身份证、学历证、职称证、执业资格证书、</w:t>
      </w:r>
      <w:r>
        <w:rPr>
          <w:rFonts w:hint="default" w:ascii="Times New Roman" w:hAnsi="Times New Roman" w:cs="Times New Roman"/>
          <w:color w:val="FF0000"/>
          <w:highlight w:val="none"/>
          <w:u w:val="single"/>
        </w:rPr>
        <w:t>202</w:t>
      </w:r>
      <w:r>
        <w:rPr>
          <w:rFonts w:hint="eastAsia" w:ascii="Times New Roman" w:hAnsi="Times New Roman" w:cs="Times New Roman"/>
          <w:color w:val="FF0000"/>
          <w:highlight w:val="none"/>
          <w:u w:val="single"/>
          <w:lang w:val="en-US" w:eastAsia="zh-CN"/>
        </w:rPr>
        <w:t>1</w:t>
      </w:r>
      <w:r>
        <w:rPr>
          <w:rFonts w:hint="default" w:ascii="Times New Roman" w:hAnsi="Times New Roman" w:cs="Times New Roman"/>
          <w:color w:val="FF0000"/>
          <w:highlight w:val="none"/>
          <w:u w:val="single"/>
        </w:rPr>
        <w:t>年6月以来任意连续3个月</w:t>
      </w:r>
      <w:r>
        <w:rPr>
          <w:rFonts w:hint="eastAsia" w:ascii="Times New Roman" w:hAnsi="Times New Roman" w:cs="Times New Roman"/>
          <w:color w:val="auto"/>
          <w:highlight w:val="none"/>
          <w:u w:val="none"/>
          <w:lang w:val="en-US" w:eastAsia="zh-CN"/>
        </w:rPr>
        <w:t>的</w:t>
      </w:r>
      <w:r>
        <w:rPr>
          <w:rFonts w:hint="eastAsia"/>
          <w:highlight w:val="none"/>
          <w:lang w:val="en-US" w:eastAsia="zh-CN"/>
        </w:rPr>
        <w:t>社保缴费证明</w:t>
      </w:r>
      <w:r>
        <w:rPr>
          <w:rFonts w:hint="eastAsia"/>
          <w:highlight w:val="none"/>
        </w:rPr>
        <w:t>复印件，管理过的项目业绩须附合同协议书复印件</w:t>
      </w:r>
      <w:r>
        <w:rPr>
          <w:rFonts w:hint="eastAsia"/>
          <w:highlight w:val="none"/>
          <w:lang w:eastAsia="zh-CN"/>
        </w:rPr>
        <w:t>。</w:t>
      </w:r>
    </w:p>
    <w:p>
      <w:pPr>
        <w:rPr>
          <w:rFonts w:hint="default" w:ascii="Times New Roman" w:hAnsi="Times New Roman" w:cs="Times New Roman"/>
        </w:rPr>
      </w:pPr>
      <w:r>
        <w:rPr>
          <w:rFonts w:hint="eastAsia"/>
          <w:highlight w:val="none"/>
          <w:lang w:val="en-US" w:eastAsia="zh-CN"/>
        </w:rPr>
        <w:t>其他主要人员应附身份证、学历证、职称证、有关证书和</w:t>
      </w:r>
      <w:r>
        <w:rPr>
          <w:rFonts w:hint="default" w:ascii="Times New Roman" w:hAnsi="Times New Roman" w:cs="Times New Roman"/>
          <w:color w:val="FF0000"/>
          <w:highlight w:val="none"/>
          <w:u w:val="single"/>
        </w:rPr>
        <w:t>202</w:t>
      </w:r>
      <w:r>
        <w:rPr>
          <w:rFonts w:hint="eastAsia" w:ascii="Times New Roman" w:hAnsi="Times New Roman" w:cs="Times New Roman"/>
          <w:color w:val="FF0000"/>
          <w:highlight w:val="none"/>
          <w:u w:val="single"/>
          <w:lang w:val="en-US" w:eastAsia="zh-CN"/>
        </w:rPr>
        <w:t>1</w:t>
      </w:r>
      <w:r>
        <w:rPr>
          <w:rFonts w:hint="default" w:ascii="Times New Roman" w:hAnsi="Times New Roman" w:cs="Times New Roman"/>
          <w:color w:val="FF0000"/>
          <w:highlight w:val="none"/>
          <w:u w:val="single"/>
        </w:rPr>
        <w:t>年6月以来任意连续3个月</w:t>
      </w:r>
      <w:r>
        <w:rPr>
          <w:rFonts w:hint="eastAsia" w:ascii="Times New Roman" w:hAnsi="Times New Roman" w:cs="Times New Roman"/>
          <w:color w:val="auto"/>
          <w:highlight w:val="none"/>
          <w:u w:val="none"/>
          <w:lang w:val="en-US" w:eastAsia="zh-CN"/>
        </w:rPr>
        <w:t>的</w:t>
      </w:r>
      <w:r>
        <w:rPr>
          <w:rFonts w:hint="eastAsia"/>
          <w:highlight w:val="none"/>
          <w:lang w:val="en-US" w:eastAsia="zh-CN"/>
        </w:rPr>
        <w:t>社保缴费证明</w:t>
      </w:r>
      <w:r>
        <w:rPr>
          <w:rFonts w:hint="eastAsia"/>
          <w:highlight w:val="none"/>
        </w:rPr>
        <w:t>复印件</w:t>
      </w:r>
      <w:r>
        <w:rPr>
          <w:rFonts w:hint="eastAsia"/>
          <w:highlight w:val="none"/>
          <w:lang w:eastAsia="zh-CN"/>
        </w:rPr>
        <w:t>。</w:t>
      </w:r>
      <w:r>
        <w:rPr>
          <w:rFonts w:hint="default" w:ascii="Times New Roman" w:hAnsi="Times New Roman" w:cs="Times New Roman"/>
        </w:rPr>
        <w:br w:type="page"/>
      </w:r>
    </w:p>
    <w:p>
      <w:pPr>
        <w:pStyle w:val="3"/>
        <w:jc w:val="center"/>
        <w:rPr>
          <w:rFonts w:hint="eastAsia"/>
        </w:rPr>
      </w:pPr>
      <w:bookmarkStart w:id="182" w:name="_Toc246997115"/>
      <w:bookmarkStart w:id="183" w:name="_Toc152045807"/>
      <w:bookmarkStart w:id="184" w:name="_Toc152042596"/>
      <w:bookmarkStart w:id="185" w:name="_Toc144974875"/>
      <w:bookmarkStart w:id="186" w:name="_Toc179632827"/>
      <w:bookmarkStart w:id="187" w:name="_Toc296602617"/>
      <w:bookmarkStart w:id="188" w:name="_Toc246996372"/>
      <w:bookmarkStart w:id="189" w:name="_Toc247085890"/>
      <w:r>
        <w:rPr>
          <w:rFonts w:hint="eastAsia"/>
          <w:lang w:val="en-US" w:eastAsia="zh-CN"/>
        </w:rPr>
        <w:t>七</w:t>
      </w:r>
      <w:r>
        <w:t>、资格审查资料</w:t>
      </w:r>
      <w:bookmarkEnd w:id="182"/>
      <w:bookmarkEnd w:id="183"/>
      <w:bookmarkEnd w:id="184"/>
      <w:bookmarkEnd w:id="185"/>
      <w:bookmarkEnd w:id="186"/>
      <w:bookmarkEnd w:id="187"/>
      <w:bookmarkEnd w:id="188"/>
      <w:bookmarkEnd w:id="189"/>
    </w:p>
    <w:p>
      <w:pPr>
        <w:pStyle w:val="4"/>
        <w:jc w:val="both"/>
        <w:rPr>
          <w:rFonts w:hint="eastAsia"/>
        </w:rPr>
      </w:pPr>
      <w:bookmarkStart w:id="190" w:name="_Toc247085891"/>
      <w:bookmarkStart w:id="191" w:name="_Toc246996373"/>
      <w:bookmarkStart w:id="192" w:name="_Toc179632828"/>
      <w:bookmarkStart w:id="193" w:name="_Toc246997116"/>
      <w:bookmarkStart w:id="194" w:name="_Toc296602618"/>
      <w:r>
        <w:t>（一）投标人基本情况表</w:t>
      </w:r>
      <w:bookmarkEnd w:id="190"/>
      <w:bookmarkEnd w:id="191"/>
      <w:bookmarkEnd w:id="192"/>
      <w:bookmarkEnd w:id="193"/>
      <w:bookmarkEnd w:id="194"/>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eastAsia="黑体" w:cs="Times New Roman"/>
          <w:sz w:val="23"/>
          <w:szCs w:val="23"/>
        </w:rPr>
      </w:pPr>
      <w:r>
        <w:rPr>
          <w:rFonts w:hint="default" w:ascii="Times New Roman" w:hAnsi="Times New Roman" w:cs="Times New Roman"/>
          <w:highlight w:val="none"/>
        </w:rPr>
        <w:t xml:space="preserve"> </w:t>
      </w:r>
      <w:r>
        <w:rPr>
          <w:rFonts w:hint="eastAsia" w:ascii="Times New Roman" w:hAnsi="Times New Roman" w:cs="Times New Roman"/>
          <w:highlight w:val="none"/>
          <w:lang w:val="en-US" w:eastAsia="zh-CN"/>
        </w:rPr>
        <w:t>注：</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投标人基本情况表</w:t>
      </w:r>
      <w:r>
        <w:rPr>
          <w:rFonts w:hint="eastAsia" w:ascii="Times New Roman" w:hAnsi="Times New Roman" w:cs="Times New Roman"/>
          <w:highlight w:val="none"/>
          <w:lang w:eastAsia="zh-CN"/>
        </w:rPr>
        <w:t>”</w:t>
      </w:r>
      <w:r>
        <w:rPr>
          <w:rFonts w:hint="default" w:ascii="Times New Roman" w:hAnsi="Times New Roman" w:cs="Times New Roman"/>
          <w:highlight w:val="none"/>
        </w:rPr>
        <w:t>应附投标人营业执照</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资质证书副本和安全生产许可证</w:t>
      </w:r>
      <w:r>
        <w:rPr>
          <w:rFonts w:hint="default" w:ascii="Times New Roman" w:hAnsi="Times New Roman" w:cs="Times New Roman"/>
          <w:highlight w:val="none"/>
        </w:rPr>
        <w:t>等材料的复印件。</w:t>
      </w:r>
      <w:r>
        <w:rPr>
          <w:rFonts w:hint="default" w:ascii="Times New Roman" w:hAnsi="Times New Roman" w:cs="Times New Roman"/>
        </w:rPr>
        <w:br w:type="page"/>
      </w:r>
      <w:bookmarkEnd w:id="168"/>
      <w:bookmarkEnd w:id="169"/>
      <w:bookmarkEnd w:id="170"/>
      <w:bookmarkEnd w:id="171"/>
      <w:bookmarkEnd w:id="172"/>
      <w:bookmarkEnd w:id="173"/>
    </w:p>
    <w:p>
      <w:pPr>
        <w:pStyle w:val="4"/>
        <w:rPr>
          <w:rFonts w:hint="default" w:ascii="Times New Roman" w:hAnsi="Times New Roman" w:cs="Times New Roman"/>
        </w:rPr>
      </w:pPr>
      <w:bookmarkStart w:id="195" w:name="_Toc300835226"/>
      <w:bookmarkStart w:id="196" w:name="_Toc152042599"/>
      <w:bookmarkStart w:id="197" w:name="_Toc144974878"/>
      <w:bookmarkStart w:id="198" w:name="_Toc247527850"/>
      <w:bookmarkStart w:id="199" w:name="_Toc247514302"/>
      <w:bookmarkStart w:id="200" w:name="_Toc152045810"/>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bookmarkEnd w:id="195"/>
      <w:bookmarkEnd w:id="196"/>
      <w:bookmarkEnd w:id="197"/>
      <w:bookmarkEnd w:id="198"/>
      <w:bookmarkEnd w:id="199"/>
      <w:bookmarkEnd w:id="200"/>
    </w:p>
    <w:p>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招标人</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招标人</w:t>
            </w:r>
            <w:r>
              <w:rPr>
                <w:rFonts w:hint="default" w:ascii="Times New Roman" w:hAnsi="Times New Roman" w:cs="Times New Roman"/>
                <w:szCs w:val="21"/>
              </w:rPr>
              <w:t>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招标人</w:t>
            </w:r>
            <w:r>
              <w:rPr>
                <w:rFonts w:hint="default" w:ascii="Times New Roman" w:hAnsi="Times New Roman" w:cs="Times New Roman"/>
                <w:szCs w:val="21"/>
              </w:rPr>
              <w:t>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201" w:name="_Toc247514303"/>
      <w:bookmarkStart w:id="202" w:name="_Toc152042600"/>
      <w:bookmarkStart w:id="203" w:name="_Toc152045811"/>
      <w:bookmarkStart w:id="204" w:name="_Toc144974879"/>
      <w:bookmarkStart w:id="205" w:name="_Toc247527851"/>
      <w:r>
        <w:rPr>
          <w:rFonts w:hint="eastAsia" w:ascii="Times New Roman" w:hAnsi="Times New Roman" w:cs="Times New Roman"/>
          <w:highlight w:val="none"/>
          <w:lang w:val="en-US" w:eastAsia="zh-CN"/>
        </w:rPr>
        <w:t>注：“</w:t>
      </w:r>
      <w:r>
        <w:rPr>
          <w:rFonts w:hint="default" w:ascii="Times New Roman" w:hAnsi="Times New Roman" w:cs="Times New Roman"/>
          <w:highlight w:val="none"/>
        </w:rPr>
        <w:t>近年完成的类似项目情况表</w:t>
      </w:r>
      <w:r>
        <w:rPr>
          <w:rFonts w:hint="eastAsia" w:ascii="Times New Roman" w:hAnsi="Times New Roman" w:cs="Times New Roman"/>
          <w:highlight w:val="none"/>
          <w:lang w:eastAsia="zh-CN"/>
        </w:rPr>
        <w:t>”</w:t>
      </w:r>
      <w:r>
        <w:rPr>
          <w:rFonts w:hint="default" w:ascii="Times New Roman" w:hAnsi="Times New Roman" w:cs="Times New Roman"/>
          <w:highlight w:val="none"/>
        </w:rPr>
        <w:t>应附合同协议书</w:t>
      </w:r>
      <w:r>
        <w:rPr>
          <w:rFonts w:hint="eastAsia" w:ascii="Times New Roman" w:hAnsi="Times New Roman" w:cs="Times New Roman"/>
          <w:highlight w:val="none"/>
          <w:lang w:val="en-US" w:eastAsia="zh-CN"/>
        </w:rPr>
        <w:t>等相关资料</w:t>
      </w:r>
      <w:r>
        <w:rPr>
          <w:rFonts w:hint="default" w:ascii="Times New Roman" w:hAnsi="Times New Roman" w:cs="Times New Roman"/>
          <w:highlight w:val="none"/>
        </w:rPr>
        <w:t>复印件，具体年份要求见投标人须知前附表。每张表格只填写一个项目，并标明序号。</w:t>
      </w:r>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206" w:name="_Toc300835227"/>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）正在实施的和新承接的项目情况表</w:t>
      </w:r>
      <w:bookmarkEnd w:id="201"/>
      <w:bookmarkEnd w:id="202"/>
      <w:bookmarkEnd w:id="203"/>
      <w:bookmarkEnd w:id="204"/>
      <w:bookmarkEnd w:id="205"/>
      <w:bookmarkEnd w:id="206"/>
    </w:p>
    <w:p>
      <w:pPr>
        <w:spacing w:line="440" w:lineRule="exact"/>
        <w:rPr>
          <w:rFonts w:hint="default" w:ascii="Times New Roman" w:hAnsi="Times New Roman" w:eastAsia="黑体" w:cs="Times New Roman"/>
          <w:sz w:val="20"/>
          <w:szCs w:val="20"/>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招标人</w:t>
            </w:r>
            <w:r>
              <w:rPr>
                <w:rFonts w:hint="default" w:ascii="Times New Roman" w:hAnsi="Times New Roman" w:cs="Times New Roman"/>
                <w:szCs w:val="21"/>
              </w:rPr>
              <w:t>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招标人</w:t>
            </w:r>
            <w:r>
              <w:rPr>
                <w:rFonts w:hint="default" w:ascii="Times New Roman" w:hAnsi="Times New Roman" w:cs="Times New Roman"/>
                <w:szCs w:val="21"/>
              </w:rPr>
              <w:t>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招标人</w:t>
            </w:r>
            <w:r>
              <w:rPr>
                <w:rFonts w:hint="default" w:ascii="Times New Roman" w:hAnsi="Times New Roman" w:cs="Times New Roman"/>
                <w:szCs w:val="21"/>
              </w:rPr>
              <w:t>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207" w:name="_Toc152042601"/>
      <w:bookmarkStart w:id="208" w:name="_Toc247514304"/>
      <w:bookmarkStart w:id="209" w:name="_Toc247527852"/>
      <w:bookmarkStart w:id="210" w:name="_Toc152045812"/>
      <w:bookmarkStart w:id="211" w:name="_Toc144974880"/>
      <w:r>
        <w:rPr>
          <w:rFonts w:hint="eastAsia" w:ascii="Times New Roman" w:hAnsi="Times New Roman" w:cs="Times New Roman"/>
          <w:highlight w:val="none"/>
          <w:lang w:val="en-US" w:eastAsia="zh-CN"/>
        </w:rPr>
        <w:t>注：</w:t>
      </w:r>
      <w:r>
        <w:rPr>
          <w:rFonts w:hint="eastAsia" w:ascii="Times New Roman" w:hAnsi="Times New Roman" w:cs="Times New Roman"/>
          <w:highlight w:val="none"/>
          <w:lang w:eastAsia="zh-CN"/>
        </w:rPr>
        <w:t>“</w:t>
      </w:r>
      <w:r>
        <w:rPr>
          <w:rFonts w:hint="default" w:ascii="Times New Roman" w:hAnsi="Times New Roman" w:cs="Times New Roman"/>
          <w:highlight w:val="none"/>
        </w:rPr>
        <w:t>正在</w:t>
      </w:r>
      <w:r>
        <w:rPr>
          <w:rFonts w:hint="eastAsia" w:ascii="Times New Roman" w:hAnsi="Times New Roman" w:cs="Times New Roman"/>
          <w:highlight w:val="none"/>
          <w:lang w:val="en-US" w:eastAsia="zh-CN"/>
        </w:rPr>
        <w:t>实施</w:t>
      </w:r>
      <w:r>
        <w:rPr>
          <w:rFonts w:hint="default" w:ascii="Times New Roman" w:hAnsi="Times New Roman" w:cs="Times New Roman"/>
          <w:highlight w:val="none"/>
        </w:rPr>
        <w:t>和新承接的项目情况表</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应</w:t>
      </w:r>
      <w:r>
        <w:rPr>
          <w:rFonts w:hint="default" w:ascii="Times New Roman" w:hAnsi="Times New Roman" w:cs="Times New Roman"/>
          <w:highlight w:val="none"/>
        </w:rPr>
        <w:t>附中标通知书或合同协议书</w:t>
      </w:r>
      <w:r>
        <w:rPr>
          <w:rFonts w:hint="eastAsia" w:ascii="Times New Roman" w:hAnsi="Times New Roman" w:cs="Times New Roman"/>
          <w:highlight w:val="none"/>
          <w:lang w:val="en-US" w:eastAsia="zh-CN"/>
        </w:rPr>
        <w:t>等相关资料</w:t>
      </w:r>
      <w:r>
        <w:rPr>
          <w:rFonts w:hint="default" w:ascii="Times New Roman" w:hAnsi="Times New Roman" w:cs="Times New Roman"/>
          <w:highlight w:val="none"/>
        </w:rPr>
        <w:t>复印件。每张表格只填写一个项目，并标明序号。</w:t>
      </w:r>
    </w:p>
    <w:p>
      <w:pPr>
        <w:spacing w:line="440" w:lineRule="exact"/>
        <w:rPr>
          <w:rFonts w:hint="default" w:ascii="Times New Roman" w:hAnsi="Times New Roman" w:cs="Times New Roman"/>
        </w:rPr>
      </w:pPr>
    </w:p>
    <w:bookmarkEnd w:id="207"/>
    <w:bookmarkEnd w:id="208"/>
    <w:bookmarkEnd w:id="209"/>
    <w:bookmarkEnd w:id="210"/>
    <w:bookmarkEnd w:id="211"/>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八、售后服务方案</w:t>
      </w:r>
    </w:p>
    <w:p>
      <w:pPr>
        <w:jc w:val="center"/>
        <w:rPr>
          <w:rFonts w:hint="default"/>
          <w:lang w:val="en-US" w:eastAsia="zh-CN"/>
        </w:rPr>
      </w:pPr>
      <w:r>
        <w:rPr>
          <w:rFonts w:hint="eastAsia"/>
          <w:lang w:val="en-US" w:eastAsia="zh-CN"/>
        </w:rPr>
        <w:t>格式、内容由投标人自行拟制</w:t>
      </w:r>
    </w:p>
    <w:p>
      <w:pPr>
        <w:spacing w:line="440" w:lineRule="exact"/>
        <w:rPr>
          <w:rFonts w:hint="default" w:ascii="Times New Roman" w:hAnsi="Times New Roman" w:cs="Times New Roman" w:eastAsiaTheme="minorEastAsia"/>
          <w:lang w:val="en-US" w:eastAsia="zh-CN"/>
        </w:rPr>
      </w:pPr>
      <w:r>
        <w:rPr>
          <w:rFonts w:hint="default" w:ascii="Times New Roman" w:hAnsi="Times New Roman" w:cs="Times New Roman"/>
        </w:rPr>
        <w:br w:type="page"/>
      </w:r>
      <w:bookmarkStart w:id="212" w:name="_Toc247514305"/>
      <w:bookmarkStart w:id="213" w:name="_Toc247527853"/>
      <w:bookmarkStart w:id="214" w:name="_Toc144974881"/>
      <w:bookmarkStart w:id="215" w:name="_Toc152045813"/>
      <w:bookmarkStart w:id="216" w:name="_Toc247530162"/>
      <w:bookmarkStart w:id="217" w:name="_Toc152042602"/>
    </w:p>
    <w:bookmarkEnd w:id="212"/>
    <w:bookmarkEnd w:id="213"/>
    <w:bookmarkEnd w:id="214"/>
    <w:bookmarkEnd w:id="215"/>
    <w:bookmarkEnd w:id="216"/>
    <w:bookmarkEnd w:id="217"/>
    <w:p>
      <w:pPr>
        <w:pStyle w:val="3"/>
        <w:jc w:val="center"/>
        <w:rPr>
          <w:rFonts w:hint="default" w:ascii="Times New Roman" w:hAnsi="Times New Roman" w:cs="Times New Roman"/>
        </w:rPr>
      </w:pPr>
      <w:bookmarkStart w:id="218" w:name="_Toc271821942"/>
      <w:bookmarkStart w:id="219" w:name="_Toc300835233"/>
      <w:r>
        <w:rPr>
          <w:rFonts w:hint="eastAsia" w:ascii="Times New Roman" w:hAnsi="Times New Roman" w:cs="Times New Roman"/>
          <w:lang w:val="en-US" w:eastAsia="zh-CN"/>
        </w:rPr>
        <w:t>九</w:t>
      </w:r>
      <w:r>
        <w:rPr>
          <w:rFonts w:hint="default" w:ascii="Times New Roman" w:hAnsi="Times New Roman" w:cs="Times New Roman"/>
        </w:rPr>
        <w:t>、其他资料</w:t>
      </w:r>
      <w:bookmarkEnd w:id="218"/>
      <w:bookmarkEnd w:id="219"/>
    </w:p>
    <w:p>
      <w:pPr>
        <w:ind w:firstLine="420" w:firstLineChars="200"/>
        <w:rPr>
          <w:rFonts w:hint="eastAsia" w:ascii="Times New Roman" w:hAnsi="Times New Roman" w:eastAsiaTheme="minorEastAsia"/>
          <w:lang w:eastAsia="zh-CN"/>
        </w:rPr>
      </w:pPr>
      <w:r>
        <w:rPr>
          <w:rFonts w:hint="eastAsia" w:ascii="Times New Roman" w:hAnsi="Times New Roman"/>
          <w:highlight w:val="none"/>
        </w:rPr>
        <w:t>第</w:t>
      </w:r>
      <w:r>
        <w:rPr>
          <w:rFonts w:hint="eastAsia" w:ascii="Times New Roman" w:hAnsi="Times New Roman"/>
          <w:highlight w:val="none"/>
          <w:lang w:val="en-US" w:eastAsia="zh-CN"/>
        </w:rPr>
        <w:t>六</w:t>
      </w:r>
      <w:r>
        <w:rPr>
          <w:rFonts w:hint="eastAsia" w:ascii="Times New Roman" w:hAnsi="Times New Roman"/>
          <w:highlight w:val="none"/>
        </w:rPr>
        <w:t>章“投标文件格式”未详尽列举，但招标文件要求或</w:t>
      </w:r>
      <w:r>
        <w:rPr>
          <w:rFonts w:hint="eastAsia" w:ascii="Times New Roman" w:hAnsi="Times New Roman"/>
          <w:highlight w:val="none"/>
          <w:lang w:val="en-US" w:eastAsia="zh-CN"/>
        </w:rPr>
        <w:t>投标人认为</w:t>
      </w:r>
      <w:r>
        <w:rPr>
          <w:rFonts w:hint="eastAsia" w:ascii="Times New Roman" w:hAnsi="Times New Roman"/>
          <w:highlight w:val="none"/>
        </w:rPr>
        <w:t>有必要提供的资料</w:t>
      </w:r>
      <w:r>
        <w:rPr>
          <w:rFonts w:hint="eastAsia" w:ascii="Times New Roman" w:hAnsi="Times New Roman"/>
          <w:highlight w:val="none"/>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D8A1A8"/>
    <w:multiLevelType w:val="singleLevel"/>
    <w:tmpl w:val="CBD8A1A8"/>
    <w:lvl w:ilvl="0" w:tentative="0">
      <w:start w:val="1"/>
      <w:numFmt w:val="decimal"/>
      <w:suff w:val="space"/>
      <w:lvlText w:val="%1."/>
      <w:lvlJc w:val="left"/>
    </w:lvl>
  </w:abstractNum>
  <w:abstractNum w:abstractNumId="1">
    <w:nsid w:val="553F1C97"/>
    <w:multiLevelType w:val="multilevel"/>
    <w:tmpl w:val="553F1C97"/>
    <w:lvl w:ilvl="0" w:tentative="0">
      <w:start w:val="1"/>
      <w:numFmt w:val="decimal"/>
      <w:lvlText w:val="%1、"/>
      <w:lvlJc w:val="left"/>
      <w:pPr>
        <w:tabs>
          <w:tab w:val="left" w:pos="0"/>
        </w:tabs>
        <w:ind w:left="0" w:firstLine="0"/>
      </w:pPr>
    </w:lvl>
    <w:lvl w:ilvl="1" w:tentative="0">
      <w:start w:val="1"/>
      <w:numFmt w:val="decimal"/>
      <w:lvlText w:val="(%2)"/>
      <w:lvlJc w:val="left"/>
      <w:pPr>
        <w:tabs>
          <w:tab w:val="left" w:pos="0"/>
        </w:tabs>
        <w:ind w:left="0" w:firstLine="0"/>
      </w:pPr>
    </w:lvl>
    <w:lvl w:ilvl="2" w:tentative="0">
      <w:start w:val="1"/>
      <w:numFmt w:val="lowerLetter"/>
      <w:lvlText w:val="%3)、"/>
      <w:lvlJc w:val="left"/>
      <w:pPr>
        <w:tabs>
          <w:tab w:val="left" w:pos="0"/>
        </w:tabs>
        <w:ind w:left="0" w:firstLine="0"/>
      </w:pPr>
    </w:lvl>
    <w:lvl w:ilvl="3" w:tentative="0">
      <w:start w:val="1"/>
      <w:numFmt w:val="decimal"/>
      <w:lvlText w:val="（%4）"/>
      <w:lvlJc w:val="left"/>
      <w:pPr>
        <w:tabs>
          <w:tab w:val="left" w:pos="0"/>
        </w:tabs>
        <w:ind w:left="0" w:firstLine="0"/>
      </w:pPr>
    </w:lvl>
    <w:lvl w:ilvl="4" w:tentative="0">
      <w:start w:val="1"/>
      <w:numFmt w:val="lowerLetter"/>
      <w:lvlText w:val="%5)"/>
      <w:lvlJc w:val="left"/>
      <w:pPr>
        <w:tabs>
          <w:tab w:val="left" w:pos="0"/>
        </w:tabs>
        <w:ind w:left="0" w:firstLine="0"/>
      </w:pPr>
    </w:lvl>
    <w:lvl w:ilvl="5" w:tentative="0">
      <w:start w:val="1"/>
      <w:numFmt w:val="lowerRoman"/>
      <w:lvlText w:val="%6."/>
      <w:lvlJc w:val="left"/>
      <w:pPr>
        <w:tabs>
          <w:tab w:val="left" w:pos="0"/>
        </w:tabs>
        <w:ind w:left="0" w:firstLine="0"/>
      </w:pPr>
    </w:lvl>
    <w:lvl w:ilvl="6" w:tentative="0">
      <w:start w:val="1"/>
      <w:numFmt w:val="decimal"/>
      <w:lvlText w:val="%7."/>
      <w:lvlJc w:val="left"/>
      <w:pPr>
        <w:tabs>
          <w:tab w:val="left" w:pos="0"/>
        </w:tabs>
        <w:ind w:left="0" w:firstLine="0"/>
      </w:pPr>
    </w:lvl>
    <w:lvl w:ilvl="7" w:tentative="0">
      <w:start w:val="1"/>
      <w:numFmt w:val="lowerLetter"/>
      <w:lvlText w:val="%8)"/>
      <w:lvlJc w:val="left"/>
      <w:pPr>
        <w:tabs>
          <w:tab w:val="left" w:pos="0"/>
        </w:tabs>
        <w:ind w:left="0" w:firstLine="0"/>
      </w:pPr>
    </w:lvl>
    <w:lvl w:ilvl="8" w:tentative="0">
      <w:start w:val="1"/>
      <w:numFmt w:val="lowerRoman"/>
      <w:lvlText w:val="%9."/>
      <w:lvlJc w:val="left"/>
      <w:pPr>
        <w:tabs>
          <w:tab w:val="left" w:pos="0"/>
        </w:tabs>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B2E75"/>
    <w:rsid w:val="002C069E"/>
    <w:rsid w:val="0040224D"/>
    <w:rsid w:val="00522102"/>
    <w:rsid w:val="0064222D"/>
    <w:rsid w:val="00733B0B"/>
    <w:rsid w:val="00764376"/>
    <w:rsid w:val="00796B76"/>
    <w:rsid w:val="00850CC0"/>
    <w:rsid w:val="00B00F2F"/>
    <w:rsid w:val="00C17647"/>
    <w:rsid w:val="00C6738B"/>
    <w:rsid w:val="00D27B9A"/>
    <w:rsid w:val="00D5063D"/>
    <w:rsid w:val="00F71495"/>
    <w:rsid w:val="00FA103D"/>
    <w:rsid w:val="00FA6C80"/>
    <w:rsid w:val="00FF308E"/>
    <w:rsid w:val="00FF56BA"/>
    <w:rsid w:val="011E6004"/>
    <w:rsid w:val="01255B30"/>
    <w:rsid w:val="013B55DB"/>
    <w:rsid w:val="0145105E"/>
    <w:rsid w:val="01761E20"/>
    <w:rsid w:val="01796E8A"/>
    <w:rsid w:val="018C152A"/>
    <w:rsid w:val="019846E3"/>
    <w:rsid w:val="01AD18AD"/>
    <w:rsid w:val="01CB0CDF"/>
    <w:rsid w:val="01CD2334"/>
    <w:rsid w:val="01E140D3"/>
    <w:rsid w:val="01E74ACC"/>
    <w:rsid w:val="01F16263"/>
    <w:rsid w:val="02016132"/>
    <w:rsid w:val="021D348F"/>
    <w:rsid w:val="02372857"/>
    <w:rsid w:val="024144DC"/>
    <w:rsid w:val="024B505A"/>
    <w:rsid w:val="026A35F5"/>
    <w:rsid w:val="026E5FAB"/>
    <w:rsid w:val="02720655"/>
    <w:rsid w:val="02983D41"/>
    <w:rsid w:val="02987B74"/>
    <w:rsid w:val="02A31129"/>
    <w:rsid w:val="02A46690"/>
    <w:rsid w:val="02AC508C"/>
    <w:rsid w:val="02BE075F"/>
    <w:rsid w:val="02DB6D08"/>
    <w:rsid w:val="02DF155D"/>
    <w:rsid w:val="02F4317E"/>
    <w:rsid w:val="03017B0F"/>
    <w:rsid w:val="0324584F"/>
    <w:rsid w:val="032652C7"/>
    <w:rsid w:val="033057E0"/>
    <w:rsid w:val="033964DC"/>
    <w:rsid w:val="033C441A"/>
    <w:rsid w:val="035021B2"/>
    <w:rsid w:val="035122D4"/>
    <w:rsid w:val="03562E11"/>
    <w:rsid w:val="03696450"/>
    <w:rsid w:val="036F2FCB"/>
    <w:rsid w:val="037E6D6A"/>
    <w:rsid w:val="038E65F9"/>
    <w:rsid w:val="03AC38D7"/>
    <w:rsid w:val="03AF1B00"/>
    <w:rsid w:val="03C10800"/>
    <w:rsid w:val="03C930C6"/>
    <w:rsid w:val="03C96DCC"/>
    <w:rsid w:val="03DD7159"/>
    <w:rsid w:val="03FB71CD"/>
    <w:rsid w:val="04127BBC"/>
    <w:rsid w:val="041371DB"/>
    <w:rsid w:val="041515CF"/>
    <w:rsid w:val="04210376"/>
    <w:rsid w:val="04212D24"/>
    <w:rsid w:val="042C575E"/>
    <w:rsid w:val="04382327"/>
    <w:rsid w:val="043A5387"/>
    <w:rsid w:val="043A6EF6"/>
    <w:rsid w:val="043F5557"/>
    <w:rsid w:val="044363A4"/>
    <w:rsid w:val="04653DAA"/>
    <w:rsid w:val="047E6672"/>
    <w:rsid w:val="04885B47"/>
    <w:rsid w:val="048F443C"/>
    <w:rsid w:val="04936A4B"/>
    <w:rsid w:val="04A52387"/>
    <w:rsid w:val="04B54547"/>
    <w:rsid w:val="04BC59E8"/>
    <w:rsid w:val="04BE0941"/>
    <w:rsid w:val="04C10803"/>
    <w:rsid w:val="04CD15E8"/>
    <w:rsid w:val="04CF4810"/>
    <w:rsid w:val="04D4275A"/>
    <w:rsid w:val="04D63FDF"/>
    <w:rsid w:val="04EB08D2"/>
    <w:rsid w:val="04EC7DA2"/>
    <w:rsid w:val="050252F6"/>
    <w:rsid w:val="051B1778"/>
    <w:rsid w:val="052634D3"/>
    <w:rsid w:val="05462D7A"/>
    <w:rsid w:val="055625ED"/>
    <w:rsid w:val="05663F59"/>
    <w:rsid w:val="05687CD1"/>
    <w:rsid w:val="056B5204"/>
    <w:rsid w:val="0572490A"/>
    <w:rsid w:val="057E3D65"/>
    <w:rsid w:val="058253F2"/>
    <w:rsid w:val="05872EB9"/>
    <w:rsid w:val="05933026"/>
    <w:rsid w:val="05BA17C0"/>
    <w:rsid w:val="05D71145"/>
    <w:rsid w:val="05D9116E"/>
    <w:rsid w:val="061F0438"/>
    <w:rsid w:val="06292F58"/>
    <w:rsid w:val="06345BBB"/>
    <w:rsid w:val="063F4D83"/>
    <w:rsid w:val="064B59D4"/>
    <w:rsid w:val="06501BB5"/>
    <w:rsid w:val="06624967"/>
    <w:rsid w:val="06626753"/>
    <w:rsid w:val="06714440"/>
    <w:rsid w:val="067240CC"/>
    <w:rsid w:val="06866D3C"/>
    <w:rsid w:val="06937EA4"/>
    <w:rsid w:val="06972E4E"/>
    <w:rsid w:val="06A31B6E"/>
    <w:rsid w:val="06A848F7"/>
    <w:rsid w:val="06B45015"/>
    <w:rsid w:val="06B86823"/>
    <w:rsid w:val="06BF2153"/>
    <w:rsid w:val="06D375E0"/>
    <w:rsid w:val="06D82C35"/>
    <w:rsid w:val="06D9502E"/>
    <w:rsid w:val="06E329B2"/>
    <w:rsid w:val="06EB4F76"/>
    <w:rsid w:val="06ED1728"/>
    <w:rsid w:val="06F81D74"/>
    <w:rsid w:val="06FC2DC7"/>
    <w:rsid w:val="07230354"/>
    <w:rsid w:val="07344B1B"/>
    <w:rsid w:val="07397F3B"/>
    <w:rsid w:val="074267A8"/>
    <w:rsid w:val="07437013"/>
    <w:rsid w:val="074A7C93"/>
    <w:rsid w:val="075721EC"/>
    <w:rsid w:val="07666E00"/>
    <w:rsid w:val="07723470"/>
    <w:rsid w:val="0785176B"/>
    <w:rsid w:val="078F59E9"/>
    <w:rsid w:val="07972327"/>
    <w:rsid w:val="07A85930"/>
    <w:rsid w:val="07B46B95"/>
    <w:rsid w:val="07DC0503"/>
    <w:rsid w:val="07EE56D8"/>
    <w:rsid w:val="08096024"/>
    <w:rsid w:val="083726B7"/>
    <w:rsid w:val="084B605B"/>
    <w:rsid w:val="08525ED6"/>
    <w:rsid w:val="08554A0D"/>
    <w:rsid w:val="08563EE1"/>
    <w:rsid w:val="086D3DA1"/>
    <w:rsid w:val="08774BE1"/>
    <w:rsid w:val="08844E22"/>
    <w:rsid w:val="088F5820"/>
    <w:rsid w:val="08903F11"/>
    <w:rsid w:val="08932D8F"/>
    <w:rsid w:val="08A914D3"/>
    <w:rsid w:val="08DF40BB"/>
    <w:rsid w:val="08ED571D"/>
    <w:rsid w:val="091D0DD3"/>
    <w:rsid w:val="0922447E"/>
    <w:rsid w:val="092D0C4C"/>
    <w:rsid w:val="09523172"/>
    <w:rsid w:val="096213E6"/>
    <w:rsid w:val="09641BD1"/>
    <w:rsid w:val="0967298A"/>
    <w:rsid w:val="0978425B"/>
    <w:rsid w:val="098B3F8E"/>
    <w:rsid w:val="09A60DC8"/>
    <w:rsid w:val="09A71C3D"/>
    <w:rsid w:val="09AB63DF"/>
    <w:rsid w:val="09AF2C22"/>
    <w:rsid w:val="09B32D8C"/>
    <w:rsid w:val="09C37FE6"/>
    <w:rsid w:val="09D236A1"/>
    <w:rsid w:val="09DB25D9"/>
    <w:rsid w:val="09DF226A"/>
    <w:rsid w:val="09EC69D2"/>
    <w:rsid w:val="0A0251D7"/>
    <w:rsid w:val="0A074254"/>
    <w:rsid w:val="0A1B0141"/>
    <w:rsid w:val="0A1C108A"/>
    <w:rsid w:val="0A3B332D"/>
    <w:rsid w:val="0A3E3CF5"/>
    <w:rsid w:val="0A424F95"/>
    <w:rsid w:val="0A4C56C0"/>
    <w:rsid w:val="0A500304"/>
    <w:rsid w:val="0A5234C1"/>
    <w:rsid w:val="0A5C05C2"/>
    <w:rsid w:val="0A704DEE"/>
    <w:rsid w:val="0A7113D6"/>
    <w:rsid w:val="0A735376"/>
    <w:rsid w:val="0A747118"/>
    <w:rsid w:val="0A79472F"/>
    <w:rsid w:val="0A8B5261"/>
    <w:rsid w:val="0A8D3D36"/>
    <w:rsid w:val="0A8E5075"/>
    <w:rsid w:val="0AA913FB"/>
    <w:rsid w:val="0AAE6B76"/>
    <w:rsid w:val="0AB37F43"/>
    <w:rsid w:val="0AB930A2"/>
    <w:rsid w:val="0ABD461B"/>
    <w:rsid w:val="0ADD0DF0"/>
    <w:rsid w:val="0AEB40E8"/>
    <w:rsid w:val="0AEC3153"/>
    <w:rsid w:val="0AFB20FF"/>
    <w:rsid w:val="0B071D3B"/>
    <w:rsid w:val="0B1906C0"/>
    <w:rsid w:val="0B223FE8"/>
    <w:rsid w:val="0B3D39AE"/>
    <w:rsid w:val="0B416906"/>
    <w:rsid w:val="0B5036E2"/>
    <w:rsid w:val="0B5D1C2A"/>
    <w:rsid w:val="0B616ACC"/>
    <w:rsid w:val="0B685C3C"/>
    <w:rsid w:val="0B7202E7"/>
    <w:rsid w:val="0B991D46"/>
    <w:rsid w:val="0B9F686D"/>
    <w:rsid w:val="0BA542AC"/>
    <w:rsid w:val="0BD51E39"/>
    <w:rsid w:val="0BDB744F"/>
    <w:rsid w:val="0BDC4F75"/>
    <w:rsid w:val="0BF87D1D"/>
    <w:rsid w:val="0C110CA2"/>
    <w:rsid w:val="0C1C35C4"/>
    <w:rsid w:val="0C7518CB"/>
    <w:rsid w:val="0C773477"/>
    <w:rsid w:val="0C9F113B"/>
    <w:rsid w:val="0CA24707"/>
    <w:rsid w:val="0CC223BD"/>
    <w:rsid w:val="0CC37C01"/>
    <w:rsid w:val="0CD3448B"/>
    <w:rsid w:val="0CE627E3"/>
    <w:rsid w:val="0CF072F3"/>
    <w:rsid w:val="0CF171E3"/>
    <w:rsid w:val="0CF2744E"/>
    <w:rsid w:val="0D026AF3"/>
    <w:rsid w:val="0D2466BD"/>
    <w:rsid w:val="0D347AC7"/>
    <w:rsid w:val="0D3A1668"/>
    <w:rsid w:val="0D5C2246"/>
    <w:rsid w:val="0D6A3C45"/>
    <w:rsid w:val="0D7F3B4D"/>
    <w:rsid w:val="0D84383E"/>
    <w:rsid w:val="0DA13B17"/>
    <w:rsid w:val="0DA277FF"/>
    <w:rsid w:val="0DB62D18"/>
    <w:rsid w:val="0DB8057F"/>
    <w:rsid w:val="0DC57869"/>
    <w:rsid w:val="0DCB4A51"/>
    <w:rsid w:val="0DD20D93"/>
    <w:rsid w:val="0DD331D8"/>
    <w:rsid w:val="0DDB677F"/>
    <w:rsid w:val="0E093A81"/>
    <w:rsid w:val="0E1201C4"/>
    <w:rsid w:val="0E1E35AA"/>
    <w:rsid w:val="0E292143"/>
    <w:rsid w:val="0E2C33E4"/>
    <w:rsid w:val="0E3C08A3"/>
    <w:rsid w:val="0E6221EE"/>
    <w:rsid w:val="0E626142"/>
    <w:rsid w:val="0E6D3EE4"/>
    <w:rsid w:val="0E7867FA"/>
    <w:rsid w:val="0E8168AC"/>
    <w:rsid w:val="0E9601D9"/>
    <w:rsid w:val="0EA94B8B"/>
    <w:rsid w:val="0EDF4D5E"/>
    <w:rsid w:val="0EF860F0"/>
    <w:rsid w:val="0EFD148A"/>
    <w:rsid w:val="0F024085"/>
    <w:rsid w:val="0F034892"/>
    <w:rsid w:val="0F0B2BA8"/>
    <w:rsid w:val="0F0E10C8"/>
    <w:rsid w:val="0F1438EF"/>
    <w:rsid w:val="0F1B5DB5"/>
    <w:rsid w:val="0F36499C"/>
    <w:rsid w:val="0F463825"/>
    <w:rsid w:val="0F4B0F6A"/>
    <w:rsid w:val="0F575798"/>
    <w:rsid w:val="0F5F5CB1"/>
    <w:rsid w:val="0F6D192D"/>
    <w:rsid w:val="0F6E4AA0"/>
    <w:rsid w:val="0F886069"/>
    <w:rsid w:val="0F91371B"/>
    <w:rsid w:val="0F9F69E6"/>
    <w:rsid w:val="0FA819A2"/>
    <w:rsid w:val="0FB90701"/>
    <w:rsid w:val="0FCA08C0"/>
    <w:rsid w:val="0FCA14B6"/>
    <w:rsid w:val="0FD6455F"/>
    <w:rsid w:val="0FE42DE8"/>
    <w:rsid w:val="0FFD0542"/>
    <w:rsid w:val="100F5919"/>
    <w:rsid w:val="101038A7"/>
    <w:rsid w:val="101C65AE"/>
    <w:rsid w:val="101E2D38"/>
    <w:rsid w:val="1021061E"/>
    <w:rsid w:val="10407E4F"/>
    <w:rsid w:val="10446D2F"/>
    <w:rsid w:val="104957CA"/>
    <w:rsid w:val="104D6EF3"/>
    <w:rsid w:val="1069417C"/>
    <w:rsid w:val="106C1E4B"/>
    <w:rsid w:val="108A23D3"/>
    <w:rsid w:val="1095135B"/>
    <w:rsid w:val="10D35E97"/>
    <w:rsid w:val="10D86B5D"/>
    <w:rsid w:val="11114551"/>
    <w:rsid w:val="112269D1"/>
    <w:rsid w:val="11356135"/>
    <w:rsid w:val="11625553"/>
    <w:rsid w:val="11630CA3"/>
    <w:rsid w:val="11800917"/>
    <w:rsid w:val="118955AD"/>
    <w:rsid w:val="11970BCB"/>
    <w:rsid w:val="1197226B"/>
    <w:rsid w:val="11AA0839"/>
    <w:rsid w:val="11C42470"/>
    <w:rsid w:val="11C71895"/>
    <w:rsid w:val="11CD444A"/>
    <w:rsid w:val="11E2334D"/>
    <w:rsid w:val="11FC3F3B"/>
    <w:rsid w:val="12261F12"/>
    <w:rsid w:val="122C0E13"/>
    <w:rsid w:val="12334093"/>
    <w:rsid w:val="12340917"/>
    <w:rsid w:val="124D3BAD"/>
    <w:rsid w:val="12505591"/>
    <w:rsid w:val="125A52C4"/>
    <w:rsid w:val="12655D96"/>
    <w:rsid w:val="12683EFD"/>
    <w:rsid w:val="127C1804"/>
    <w:rsid w:val="12872B08"/>
    <w:rsid w:val="128E3C38"/>
    <w:rsid w:val="12A66BF0"/>
    <w:rsid w:val="12BF2922"/>
    <w:rsid w:val="12C81DAF"/>
    <w:rsid w:val="12C87155"/>
    <w:rsid w:val="12C942C8"/>
    <w:rsid w:val="12DC5F5E"/>
    <w:rsid w:val="12DC7F8C"/>
    <w:rsid w:val="12E36BE9"/>
    <w:rsid w:val="12E82A0B"/>
    <w:rsid w:val="12E84200"/>
    <w:rsid w:val="12E925C7"/>
    <w:rsid w:val="13185B61"/>
    <w:rsid w:val="131873D2"/>
    <w:rsid w:val="132032F3"/>
    <w:rsid w:val="13274F9C"/>
    <w:rsid w:val="13417410"/>
    <w:rsid w:val="134A448A"/>
    <w:rsid w:val="134F7EA7"/>
    <w:rsid w:val="135107A8"/>
    <w:rsid w:val="136066CF"/>
    <w:rsid w:val="1364083C"/>
    <w:rsid w:val="13657E31"/>
    <w:rsid w:val="136C3340"/>
    <w:rsid w:val="1387094F"/>
    <w:rsid w:val="139C08EB"/>
    <w:rsid w:val="13C46A1B"/>
    <w:rsid w:val="13D35238"/>
    <w:rsid w:val="13D518B0"/>
    <w:rsid w:val="13D81B1F"/>
    <w:rsid w:val="14061B66"/>
    <w:rsid w:val="141D5767"/>
    <w:rsid w:val="142B5FE2"/>
    <w:rsid w:val="142F0A2D"/>
    <w:rsid w:val="14361CB2"/>
    <w:rsid w:val="1443206B"/>
    <w:rsid w:val="14515DD5"/>
    <w:rsid w:val="14542872"/>
    <w:rsid w:val="145F6C92"/>
    <w:rsid w:val="147E2423"/>
    <w:rsid w:val="1487273A"/>
    <w:rsid w:val="148C28CB"/>
    <w:rsid w:val="14944440"/>
    <w:rsid w:val="14A059A0"/>
    <w:rsid w:val="14B97B05"/>
    <w:rsid w:val="14CD31B9"/>
    <w:rsid w:val="14DA6BBE"/>
    <w:rsid w:val="14E454E2"/>
    <w:rsid w:val="14E67563"/>
    <w:rsid w:val="15021B62"/>
    <w:rsid w:val="150A21BA"/>
    <w:rsid w:val="151779D1"/>
    <w:rsid w:val="1522437E"/>
    <w:rsid w:val="152276CC"/>
    <w:rsid w:val="1525275F"/>
    <w:rsid w:val="15283931"/>
    <w:rsid w:val="15285244"/>
    <w:rsid w:val="153233F5"/>
    <w:rsid w:val="153674A4"/>
    <w:rsid w:val="15382F40"/>
    <w:rsid w:val="15804BC3"/>
    <w:rsid w:val="158374C1"/>
    <w:rsid w:val="158F33D0"/>
    <w:rsid w:val="159D19E8"/>
    <w:rsid w:val="15A62ECC"/>
    <w:rsid w:val="15AB5D92"/>
    <w:rsid w:val="15B14179"/>
    <w:rsid w:val="15C516BD"/>
    <w:rsid w:val="15D86967"/>
    <w:rsid w:val="15E33500"/>
    <w:rsid w:val="15F7082D"/>
    <w:rsid w:val="160B7DEB"/>
    <w:rsid w:val="16290DB7"/>
    <w:rsid w:val="163242DB"/>
    <w:rsid w:val="166266B1"/>
    <w:rsid w:val="168701AB"/>
    <w:rsid w:val="16A448E1"/>
    <w:rsid w:val="16A55218"/>
    <w:rsid w:val="16C17241"/>
    <w:rsid w:val="16C724D4"/>
    <w:rsid w:val="16D077F5"/>
    <w:rsid w:val="16D411E7"/>
    <w:rsid w:val="16E11692"/>
    <w:rsid w:val="16F1099D"/>
    <w:rsid w:val="170756D4"/>
    <w:rsid w:val="170F4587"/>
    <w:rsid w:val="17123F41"/>
    <w:rsid w:val="172D2B29"/>
    <w:rsid w:val="17321EED"/>
    <w:rsid w:val="17463BEB"/>
    <w:rsid w:val="175A40D1"/>
    <w:rsid w:val="176115DC"/>
    <w:rsid w:val="17683B61"/>
    <w:rsid w:val="176D7525"/>
    <w:rsid w:val="17824660"/>
    <w:rsid w:val="178B315E"/>
    <w:rsid w:val="178F2FF8"/>
    <w:rsid w:val="179121FE"/>
    <w:rsid w:val="17915931"/>
    <w:rsid w:val="17BD0316"/>
    <w:rsid w:val="17C41ABF"/>
    <w:rsid w:val="17C95B06"/>
    <w:rsid w:val="18175D56"/>
    <w:rsid w:val="181E2804"/>
    <w:rsid w:val="18276B10"/>
    <w:rsid w:val="18954E2A"/>
    <w:rsid w:val="189B5F22"/>
    <w:rsid w:val="18A70256"/>
    <w:rsid w:val="18A944F8"/>
    <w:rsid w:val="18B73074"/>
    <w:rsid w:val="18DA76F1"/>
    <w:rsid w:val="18E86D07"/>
    <w:rsid w:val="19034C2D"/>
    <w:rsid w:val="190B1C45"/>
    <w:rsid w:val="1916127C"/>
    <w:rsid w:val="193D465D"/>
    <w:rsid w:val="193D4E12"/>
    <w:rsid w:val="1965139D"/>
    <w:rsid w:val="196C6238"/>
    <w:rsid w:val="198A59D6"/>
    <w:rsid w:val="198C250A"/>
    <w:rsid w:val="198F5ED8"/>
    <w:rsid w:val="19924EC5"/>
    <w:rsid w:val="19A32B32"/>
    <w:rsid w:val="19A73D74"/>
    <w:rsid w:val="19AA5416"/>
    <w:rsid w:val="19BE3F0C"/>
    <w:rsid w:val="19CE7FF6"/>
    <w:rsid w:val="19D70C6D"/>
    <w:rsid w:val="19E2271F"/>
    <w:rsid w:val="19E35721"/>
    <w:rsid w:val="1A075570"/>
    <w:rsid w:val="1A0F7F7E"/>
    <w:rsid w:val="1A1B135F"/>
    <w:rsid w:val="1A1C623A"/>
    <w:rsid w:val="1A270D5F"/>
    <w:rsid w:val="1A341685"/>
    <w:rsid w:val="1A4223DF"/>
    <w:rsid w:val="1A4D4CED"/>
    <w:rsid w:val="1A512FD1"/>
    <w:rsid w:val="1A7647E7"/>
    <w:rsid w:val="1A797469"/>
    <w:rsid w:val="1A8850B8"/>
    <w:rsid w:val="1A930AF8"/>
    <w:rsid w:val="1AD4460E"/>
    <w:rsid w:val="1AD81B7B"/>
    <w:rsid w:val="1ADB0B95"/>
    <w:rsid w:val="1AEF3412"/>
    <w:rsid w:val="1AF33A19"/>
    <w:rsid w:val="1AF80851"/>
    <w:rsid w:val="1B0361BC"/>
    <w:rsid w:val="1B093317"/>
    <w:rsid w:val="1B19240A"/>
    <w:rsid w:val="1B262D26"/>
    <w:rsid w:val="1B2670F4"/>
    <w:rsid w:val="1B2D1E19"/>
    <w:rsid w:val="1B2D7FD6"/>
    <w:rsid w:val="1B2E2CDD"/>
    <w:rsid w:val="1B3A5220"/>
    <w:rsid w:val="1B3B258E"/>
    <w:rsid w:val="1B440DF3"/>
    <w:rsid w:val="1B5863FE"/>
    <w:rsid w:val="1B595A49"/>
    <w:rsid w:val="1B652C95"/>
    <w:rsid w:val="1B70155F"/>
    <w:rsid w:val="1B723039"/>
    <w:rsid w:val="1B7700FA"/>
    <w:rsid w:val="1B8371BB"/>
    <w:rsid w:val="1B894EBC"/>
    <w:rsid w:val="1B8C1172"/>
    <w:rsid w:val="1B9269B7"/>
    <w:rsid w:val="1BB12BB2"/>
    <w:rsid w:val="1BB82FB7"/>
    <w:rsid w:val="1BCA4E1B"/>
    <w:rsid w:val="1BCE49E9"/>
    <w:rsid w:val="1BD12722"/>
    <w:rsid w:val="1BD15865"/>
    <w:rsid w:val="1BFE7E24"/>
    <w:rsid w:val="1C100B6A"/>
    <w:rsid w:val="1C1A18BC"/>
    <w:rsid w:val="1C2075D6"/>
    <w:rsid w:val="1C2B6CB4"/>
    <w:rsid w:val="1C3404B6"/>
    <w:rsid w:val="1C3774BA"/>
    <w:rsid w:val="1C495CAA"/>
    <w:rsid w:val="1C5D5F8B"/>
    <w:rsid w:val="1C6E241C"/>
    <w:rsid w:val="1C7D688D"/>
    <w:rsid w:val="1CB07DF9"/>
    <w:rsid w:val="1CBB6C4E"/>
    <w:rsid w:val="1CC3681B"/>
    <w:rsid w:val="1CF16E69"/>
    <w:rsid w:val="1CF251D3"/>
    <w:rsid w:val="1CFF3217"/>
    <w:rsid w:val="1D004E1B"/>
    <w:rsid w:val="1D0C3E62"/>
    <w:rsid w:val="1D15201A"/>
    <w:rsid w:val="1D1D0D81"/>
    <w:rsid w:val="1D2350B3"/>
    <w:rsid w:val="1D520897"/>
    <w:rsid w:val="1D5835F0"/>
    <w:rsid w:val="1D6509EF"/>
    <w:rsid w:val="1D7E1552"/>
    <w:rsid w:val="1D887DB3"/>
    <w:rsid w:val="1D8C5045"/>
    <w:rsid w:val="1D9244F8"/>
    <w:rsid w:val="1D931CEA"/>
    <w:rsid w:val="1D9B6A3E"/>
    <w:rsid w:val="1DB93368"/>
    <w:rsid w:val="1DC177D9"/>
    <w:rsid w:val="1DDE692B"/>
    <w:rsid w:val="1E195BB5"/>
    <w:rsid w:val="1E1A236E"/>
    <w:rsid w:val="1E1D490C"/>
    <w:rsid w:val="1E225BB3"/>
    <w:rsid w:val="1E2A6113"/>
    <w:rsid w:val="1E2D212B"/>
    <w:rsid w:val="1E2E6E13"/>
    <w:rsid w:val="1E32182A"/>
    <w:rsid w:val="1E5A61EE"/>
    <w:rsid w:val="1E713E2F"/>
    <w:rsid w:val="1E724E47"/>
    <w:rsid w:val="1E7C6041"/>
    <w:rsid w:val="1E9006BF"/>
    <w:rsid w:val="1E982F7E"/>
    <w:rsid w:val="1EA573D8"/>
    <w:rsid w:val="1EB0513B"/>
    <w:rsid w:val="1EB72F76"/>
    <w:rsid w:val="1EC34B11"/>
    <w:rsid w:val="1ECB060D"/>
    <w:rsid w:val="1EDF7955"/>
    <w:rsid w:val="1EE36B2C"/>
    <w:rsid w:val="1EE91A2B"/>
    <w:rsid w:val="1EF03AB0"/>
    <w:rsid w:val="1EF342CB"/>
    <w:rsid w:val="1F020A44"/>
    <w:rsid w:val="1F041BC7"/>
    <w:rsid w:val="1F095C2A"/>
    <w:rsid w:val="1F0A4E3E"/>
    <w:rsid w:val="1F127B09"/>
    <w:rsid w:val="1F1C0DDD"/>
    <w:rsid w:val="1F2354C8"/>
    <w:rsid w:val="1F36160E"/>
    <w:rsid w:val="1F3A2287"/>
    <w:rsid w:val="1F4E5358"/>
    <w:rsid w:val="1F5460C6"/>
    <w:rsid w:val="1F5D00BF"/>
    <w:rsid w:val="1F640255"/>
    <w:rsid w:val="1F664187"/>
    <w:rsid w:val="1F671677"/>
    <w:rsid w:val="1F722047"/>
    <w:rsid w:val="1F8D37F6"/>
    <w:rsid w:val="1F904945"/>
    <w:rsid w:val="1FAA6A2E"/>
    <w:rsid w:val="1FC11059"/>
    <w:rsid w:val="1FDA4F3D"/>
    <w:rsid w:val="1FE570E2"/>
    <w:rsid w:val="1FE7673E"/>
    <w:rsid w:val="20024ECA"/>
    <w:rsid w:val="200E38F2"/>
    <w:rsid w:val="200E3AD5"/>
    <w:rsid w:val="201E3957"/>
    <w:rsid w:val="201E585F"/>
    <w:rsid w:val="2049266D"/>
    <w:rsid w:val="20534B67"/>
    <w:rsid w:val="20557DC5"/>
    <w:rsid w:val="205A5C16"/>
    <w:rsid w:val="205B7D6A"/>
    <w:rsid w:val="207C33EE"/>
    <w:rsid w:val="2081342E"/>
    <w:rsid w:val="209740BF"/>
    <w:rsid w:val="2099242E"/>
    <w:rsid w:val="20AC4ABE"/>
    <w:rsid w:val="20B0411F"/>
    <w:rsid w:val="20B4353A"/>
    <w:rsid w:val="20D658C9"/>
    <w:rsid w:val="20D95B5B"/>
    <w:rsid w:val="20DC2416"/>
    <w:rsid w:val="20E34258"/>
    <w:rsid w:val="20F22231"/>
    <w:rsid w:val="21015C26"/>
    <w:rsid w:val="21121083"/>
    <w:rsid w:val="211518DD"/>
    <w:rsid w:val="212B2F31"/>
    <w:rsid w:val="21327DB2"/>
    <w:rsid w:val="213D6756"/>
    <w:rsid w:val="213D7BD8"/>
    <w:rsid w:val="214C4EC5"/>
    <w:rsid w:val="2153567F"/>
    <w:rsid w:val="21543E5D"/>
    <w:rsid w:val="2158094E"/>
    <w:rsid w:val="215A2F4E"/>
    <w:rsid w:val="21635AC5"/>
    <w:rsid w:val="217422B6"/>
    <w:rsid w:val="217F6677"/>
    <w:rsid w:val="2186750E"/>
    <w:rsid w:val="2188758A"/>
    <w:rsid w:val="21A61686"/>
    <w:rsid w:val="21A75047"/>
    <w:rsid w:val="21B24356"/>
    <w:rsid w:val="21C13A32"/>
    <w:rsid w:val="21E12E8E"/>
    <w:rsid w:val="21ED72B0"/>
    <w:rsid w:val="220A4192"/>
    <w:rsid w:val="221B63A0"/>
    <w:rsid w:val="22270787"/>
    <w:rsid w:val="22327245"/>
    <w:rsid w:val="22391422"/>
    <w:rsid w:val="224D73DD"/>
    <w:rsid w:val="225638C3"/>
    <w:rsid w:val="22592601"/>
    <w:rsid w:val="22594605"/>
    <w:rsid w:val="226D7B83"/>
    <w:rsid w:val="22894601"/>
    <w:rsid w:val="229225F5"/>
    <w:rsid w:val="2293123C"/>
    <w:rsid w:val="22962F1E"/>
    <w:rsid w:val="22A570EC"/>
    <w:rsid w:val="22BA7D42"/>
    <w:rsid w:val="22C34E6C"/>
    <w:rsid w:val="22C65DC0"/>
    <w:rsid w:val="232E56FD"/>
    <w:rsid w:val="233F5F96"/>
    <w:rsid w:val="235F4D23"/>
    <w:rsid w:val="236849F1"/>
    <w:rsid w:val="236D4028"/>
    <w:rsid w:val="23722133"/>
    <w:rsid w:val="237E6AB4"/>
    <w:rsid w:val="238A4DFC"/>
    <w:rsid w:val="23915139"/>
    <w:rsid w:val="23AC2112"/>
    <w:rsid w:val="23BD4D73"/>
    <w:rsid w:val="24226CC5"/>
    <w:rsid w:val="24312A4A"/>
    <w:rsid w:val="243939F6"/>
    <w:rsid w:val="244A5E9A"/>
    <w:rsid w:val="244C4BB8"/>
    <w:rsid w:val="24691193"/>
    <w:rsid w:val="246C3A46"/>
    <w:rsid w:val="246E214F"/>
    <w:rsid w:val="247152E7"/>
    <w:rsid w:val="247C629F"/>
    <w:rsid w:val="247D533D"/>
    <w:rsid w:val="249935AC"/>
    <w:rsid w:val="24996600"/>
    <w:rsid w:val="24C7039E"/>
    <w:rsid w:val="24C843C7"/>
    <w:rsid w:val="24D97E4C"/>
    <w:rsid w:val="24E54A43"/>
    <w:rsid w:val="24E86184"/>
    <w:rsid w:val="24F72ECB"/>
    <w:rsid w:val="24FA6CBF"/>
    <w:rsid w:val="24FA7ECF"/>
    <w:rsid w:val="24FF7718"/>
    <w:rsid w:val="251A7612"/>
    <w:rsid w:val="25237A22"/>
    <w:rsid w:val="252B1EAB"/>
    <w:rsid w:val="252E0774"/>
    <w:rsid w:val="25481BCE"/>
    <w:rsid w:val="254D680A"/>
    <w:rsid w:val="256242E5"/>
    <w:rsid w:val="256F0B2A"/>
    <w:rsid w:val="25812F8D"/>
    <w:rsid w:val="25814DB7"/>
    <w:rsid w:val="258222BA"/>
    <w:rsid w:val="25824959"/>
    <w:rsid w:val="258D5DD4"/>
    <w:rsid w:val="25987A23"/>
    <w:rsid w:val="25BC46FF"/>
    <w:rsid w:val="25C517A2"/>
    <w:rsid w:val="25E22D30"/>
    <w:rsid w:val="25F5789E"/>
    <w:rsid w:val="25FD6A72"/>
    <w:rsid w:val="2608561B"/>
    <w:rsid w:val="260B0166"/>
    <w:rsid w:val="26196938"/>
    <w:rsid w:val="26217CFD"/>
    <w:rsid w:val="26261861"/>
    <w:rsid w:val="26382AAC"/>
    <w:rsid w:val="26506FAD"/>
    <w:rsid w:val="2660140A"/>
    <w:rsid w:val="26656277"/>
    <w:rsid w:val="26663117"/>
    <w:rsid w:val="267771CA"/>
    <w:rsid w:val="267B5902"/>
    <w:rsid w:val="26807144"/>
    <w:rsid w:val="268A362E"/>
    <w:rsid w:val="269404CF"/>
    <w:rsid w:val="269560EE"/>
    <w:rsid w:val="269F5771"/>
    <w:rsid w:val="26AF686C"/>
    <w:rsid w:val="26C16DEA"/>
    <w:rsid w:val="26CA60FC"/>
    <w:rsid w:val="26D16018"/>
    <w:rsid w:val="26DB3228"/>
    <w:rsid w:val="26DF6074"/>
    <w:rsid w:val="26E05716"/>
    <w:rsid w:val="26FE679C"/>
    <w:rsid w:val="270D7607"/>
    <w:rsid w:val="270E64D3"/>
    <w:rsid w:val="271574CD"/>
    <w:rsid w:val="272C00FB"/>
    <w:rsid w:val="27301EDB"/>
    <w:rsid w:val="27453115"/>
    <w:rsid w:val="274D2B26"/>
    <w:rsid w:val="276C029F"/>
    <w:rsid w:val="27867E0A"/>
    <w:rsid w:val="278E13C2"/>
    <w:rsid w:val="27982DD4"/>
    <w:rsid w:val="27A04C51"/>
    <w:rsid w:val="27C47B9B"/>
    <w:rsid w:val="27DD09CE"/>
    <w:rsid w:val="27EC553C"/>
    <w:rsid w:val="27FD449F"/>
    <w:rsid w:val="280C4BFC"/>
    <w:rsid w:val="280F76A9"/>
    <w:rsid w:val="2813394B"/>
    <w:rsid w:val="281C1F63"/>
    <w:rsid w:val="281C54D8"/>
    <w:rsid w:val="282063C5"/>
    <w:rsid w:val="283610D5"/>
    <w:rsid w:val="283E5412"/>
    <w:rsid w:val="28563171"/>
    <w:rsid w:val="28563CAD"/>
    <w:rsid w:val="285F5293"/>
    <w:rsid w:val="28622D71"/>
    <w:rsid w:val="286E69FD"/>
    <w:rsid w:val="287357F0"/>
    <w:rsid w:val="28752761"/>
    <w:rsid w:val="28875F31"/>
    <w:rsid w:val="289B3D96"/>
    <w:rsid w:val="28BF7615"/>
    <w:rsid w:val="28C56178"/>
    <w:rsid w:val="28CC35F2"/>
    <w:rsid w:val="28FA546B"/>
    <w:rsid w:val="28FE025E"/>
    <w:rsid w:val="29021687"/>
    <w:rsid w:val="2911463E"/>
    <w:rsid w:val="29245F1A"/>
    <w:rsid w:val="292F68CF"/>
    <w:rsid w:val="29366359"/>
    <w:rsid w:val="29586D7A"/>
    <w:rsid w:val="295E7D5A"/>
    <w:rsid w:val="29772B51"/>
    <w:rsid w:val="29791894"/>
    <w:rsid w:val="297B2C7E"/>
    <w:rsid w:val="297F493C"/>
    <w:rsid w:val="29816DB3"/>
    <w:rsid w:val="2984235F"/>
    <w:rsid w:val="29967FD2"/>
    <w:rsid w:val="299822D2"/>
    <w:rsid w:val="299E1DBF"/>
    <w:rsid w:val="29A52D8F"/>
    <w:rsid w:val="29AC17B3"/>
    <w:rsid w:val="29C56C3A"/>
    <w:rsid w:val="29D85278"/>
    <w:rsid w:val="29DF3110"/>
    <w:rsid w:val="29E1380C"/>
    <w:rsid w:val="29E85046"/>
    <w:rsid w:val="2A017BFD"/>
    <w:rsid w:val="2A0A71F8"/>
    <w:rsid w:val="2A146CA7"/>
    <w:rsid w:val="2A181417"/>
    <w:rsid w:val="2A1831C5"/>
    <w:rsid w:val="2A1A7DD5"/>
    <w:rsid w:val="2A4913A2"/>
    <w:rsid w:val="2A5C1303"/>
    <w:rsid w:val="2A9154D8"/>
    <w:rsid w:val="2AA04C57"/>
    <w:rsid w:val="2ACD39BF"/>
    <w:rsid w:val="2AD750C3"/>
    <w:rsid w:val="2AE23674"/>
    <w:rsid w:val="2AE77D08"/>
    <w:rsid w:val="2AEA3011"/>
    <w:rsid w:val="2B120785"/>
    <w:rsid w:val="2B252D72"/>
    <w:rsid w:val="2B25478F"/>
    <w:rsid w:val="2B3E0375"/>
    <w:rsid w:val="2B492499"/>
    <w:rsid w:val="2B5E554F"/>
    <w:rsid w:val="2B5E72FD"/>
    <w:rsid w:val="2B606BD1"/>
    <w:rsid w:val="2B652A8D"/>
    <w:rsid w:val="2B6C55DB"/>
    <w:rsid w:val="2B8D5640"/>
    <w:rsid w:val="2BEE68D3"/>
    <w:rsid w:val="2BF4029C"/>
    <w:rsid w:val="2C157D19"/>
    <w:rsid w:val="2C1C6937"/>
    <w:rsid w:val="2C1F6654"/>
    <w:rsid w:val="2C202757"/>
    <w:rsid w:val="2C270D43"/>
    <w:rsid w:val="2C300C99"/>
    <w:rsid w:val="2C346FDE"/>
    <w:rsid w:val="2C49183D"/>
    <w:rsid w:val="2C6436A6"/>
    <w:rsid w:val="2C7A2A8F"/>
    <w:rsid w:val="2C86150A"/>
    <w:rsid w:val="2C8F66B8"/>
    <w:rsid w:val="2C9023A5"/>
    <w:rsid w:val="2C932FD6"/>
    <w:rsid w:val="2C937549"/>
    <w:rsid w:val="2C9510BB"/>
    <w:rsid w:val="2C994B71"/>
    <w:rsid w:val="2C9D6A04"/>
    <w:rsid w:val="2CAE1D7E"/>
    <w:rsid w:val="2CB62598"/>
    <w:rsid w:val="2CBA1D11"/>
    <w:rsid w:val="2CBC136A"/>
    <w:rsid w:val="2CC802C1"/>
    <w:rsid w:val="2CC969F8"/>
    <w:rsid w:val="2CEB4BC0"/>
    <w:rsid w:val="2CF92A1C"/>
    <w:rsid w:val="2CFE607B"/>
    <w:rsid w:val="2D095409"/>
    <w:rsid w:val="2D123224"/>
    <w:rsid w:val="2D3A3199"/>
    <w:rsid w:val="2D4B38E7"/>
    <w:rsid w:val="2D5470D9"/>
    <w:rsid w:val="2D551303"/>
    <w:rsid w:val="2D772574"/>
    <w:rsid w:val="2D8D31B7"/>
    <w:rsid w:val="2D8D5835"/>
    <w:rsid w:val="2DAB1C25"/>
    <w:rsid w:val="2DB51CF5"/>
    <w:rsid w:val="2DB66155"/>
    <w:rsid w:val="2DCC12FC"/>
    <w:rsid w:val="2DD66E3A"/>
    <w:rsid w:val="2DD70527"/>
    <w:rsid w:val="2DF17D73"/>
    <w:rsid w:val="2E395265"/>
    <w:rsid w:val="2E4A7364"/>
    <w:rsid w:val="2E652B8E"/>
    <w:rsid w:val="2E66167A"/>
    <w:rsid w:val="2E6C7EF1"/>
    <w:rsid w:val="2E6D69DB"/>
    <w:rsid w:val="2E6F6584"/>
    <w:rsid w:val="2E7823B0"/>
    <w:rsid w:val="2E786928"/>
    <w:rsid w:val="2E891DB2"/>
    <w:rsid w:val="2E933BCE"/>
    <w:rsid w:val="2E9C6490"/>
    <w:rsid w:val="2EA40069"/>
    <w:rsid w:val="2EAA3B87"/>
    <w:rsid w:val="2EB66E96"/>
    <w:rsid w:val="2EBC23A0"/>
    <w:rsid w:val="2ED478FD"/>
    <w:rsid w:val="2EEF75A5"/>
    <w:rsid w:val="2EF80B5D"/>
    <w:rsid w:val="2EFA0191"/>
    <w:rsid w:val="2F0A36D2"/>
    <w:rsid w:val="2F1C360D"/>
    <w:rsid w:val="2F2E1CC1"/>
    <w:rsid w:val="2F436846"/>
    <w:rsid w:val="2F4556CE"/>
    <w:rsid w:val="2F494144"/>
    <w:rsid w:val="2F58048B"/>
    <w:rsid w:val="2F6A0C10"/>
    <w:rsid w:val="2F6F3C93"/>
    <w:rsid w:val="2F754A27"/>
    <w:rsid w:val="2F7A0EEE"/>
    <w:rsid w:val="2F890548"/>
    <w:rsid w:val="2F8A246F"/>
    <w:rsid w:val="2FB1448A"/>
    <w:rsid w:val="2FC802AE"/>
    <w:rsid w:val="2FCC0CD9"/>
    <w:rsid w:val="2FD14541"/>
    <w:rsid w:val="301601A6"/>
    <w:rsid w:val="301B756B"/>
    <w:rsid w:val="301C41BF"/>
    <w:rsid w:val="303474C0"/>
    <w:rsid w:val="305C41A9"/>
    <w:rsid w:val="30820205"/>
    <w:rsid w:val="3085528F"/>
    <w:rsid w:val="308E41B5"/>
    <w:rsid w:val="30952C59"/>
    <w:rsid w:val="30A01032"/>
    <w:rsid w:val="30B4125A"/>
    <w:rsid w:val="30B8300C"/>
    <w:rsid w:val="30BB0583"/>
    <w:rsid w:val="30BC755C"/>
    <w:rsid w:val="30F009F7"/>
    <w:rsid w:val="30FF4D69"/>
    <w:rsid w:val="3113559B"/>
    <w:rsid w:val="311978DB"/>
    <w:rsid w:val="312421F6"/>
    <w:rsid w:val="3127420C"/>
    <w:rsid w:val="312863E3"/>
    <w:rsid w:val="31477BEB"/>
    <w:rsid w:val="31550888"/>
    <w:rsid w:val="315523B1"/>
    <w:rsid w:val="31681726"/>
    <w:rsid w:val="317909ED"/>
    <w:rsid w:val="31801ECA"/>
    <w:rsid w:val="31905D36"/>
    <w:rsid w:val="3198056E"/>
    <w:rsid w:val="31A57673"/>
    <w:rsid w:val="31C53807"/>
    <w:rsid w:val="31CD31BF"/>
    <w:rsid w:val="31CD5309"/>
    <w:rsid w:val="31CE1B2F"/>
    <w:rsid w:val="31E109D7"/>
    <w:rsid w:val="31E10F55"/>
    <w:rsid w:val="320B7F80"/>
    <w:rsid w:val="3211678F"/>
    <w:rsid w:val="321626E0"/>
    <w:rsid w:val="3219008D"/>
    <w:rsid w:val="32215B79"/>
    <w:rsid w:val="322241F2"/>
    <w:rsid w:val="3229379D"/>
    <w:rsid w:val="32294133"/>
    <w:rsid w:val="322A618B"/>
    <w:rsid w:val="322D5AFA"/>
    <w:rsid w:val="322D6924"/>
    <w:rsid w:val="322F4277"/>
    <w:rsid w:val="32514C44"/>
    <w:rsid w:val="325921E1"/>
    <w:rsid w:val="32804A28"/>
    <w:rsid w:val="328916BE"/>
    <w:rsid w:val="32974C7A"/>
    <w:rsid w:val="32BB4ABE"/>
    <w:rsid w:val="32C8549C"/>
    <w:rsid w:val="32CA16D9"/>
    <w:rsid w:val="32CF7262"/>
    <w:rsid w:val="32E326AB"/>
    <w:rsid w:val="32E42591"/>
    <w:rsid w:val="32E83928"/>
    <w:rsid w:val="32F45590"/>
    <w:rsid w:val="32F8563C"/>
    <w:rsid w:val="33543860"/>
    <w:rsid w:val="335C4122"/>
    <w:rsid w:val="33743B62"/>
    <w:rsid w:val="33773188"/>
    <w:rsid w:val="337E77C9"/>
    <w:rsid w:val="338029D1"/>
    <w:rsid w:val="338F53C2"/>
    <w:rsid w:val="33925662"/>
    <w:rsid w:val="339B7AA1"/>
    <w:rsid w:val="33AA7583"/>
    <w:rsid w:val="33B7637D"/>
    <w:rsid w:val="33B8005E"/>
    <w:rsid w:val="33D4661F"/>
    <w:rsid w:val="33E36A20"/>
    <w:rsid w:val="33ED39C2"/>
    <w:rsid w:val="33F16F60"/>
    <w:rsid w:val="340F56DE"/>
    <w:rsid w:val="34172742"/>
    <w:rsid w:val="3425597D"/>
    <w:rsid w:val="342A5DF5"/>
    <w:rsid w:val="34483300"/>
    <w:rsid w:val="344851FD"/>
    <w:rsid w:val="34516BC6"/>
    <w:rsid w:val="345854C5"/>
    <w:rsid w:val="34604202"/>
    <w:rsid w:val="346E7D28"/>
    <w:rsid w:val="34877759"/>
    <w:rsid w:val="349B5E0E"/>
    <w:rsid w:val="34A264AC"/>
    <w:rsid w:val="34A432B6"/>
    <w:rsid w:val="34AA020B"/>
    <w:rsid w:val="34BC17DA"/>
    <w:rsid w:val="34C74165"/>
    <w:rsid w:val="34D015E3"/>
    <w:rsid w:val="34F436BE"/>
    <w:rsid w:val="34F653AB"/>
    <w:rsid w:val="34F85DA8"/>
    <w:rsid w:val="35034972"/>
    <w:rsid w:val="3509398E"/>
    <w:rsid w:val="353510CF"/>
    <w:rsid w:val="3547266B"/>
    <w:rsid w:val="354B03B2"/>
    <w:rsid w:val="3554479E"/>
    <w:rsid w:val="357D63E5"/>
    <w:rsid w:val="357F00D0"/>
    <w:rsid w:val="35894506"/>
    <w:rsid w:val="358B7134"/>
    <w:rsid w:val="358D6B03"/>
    <w:rsid w:val="35A377DB"/>
    <w:rsid w:val="35B8168E"/>
    <w:rsid w:val="35E7387F"/>
    <w:rsid w:val="35E81F7A"/>
    <w:rsid w:val="35F26FC0"/>
    <w:rsid w:val="35F52BF3"/>
    <w:rsid w:val="360530D8"/>
    <w:rsid w:val="3605698A"/>
    <w:rsid w:val="36162F1C"/>
    <w:rsid w:val="363277D2"/>
    <w:rsid w:val="363E6B4A"/>
    <w:rsid w:val="36433EE9"/>
    <w:rsid w:val="364A2958"/>
    <w:rsid w:val="36531ABF"/>
    <w:rsid w:val="366244D5"/>
    <w:rsid w:val="366C7855"/>
    <w:rsid w:val="368258A1"/>
    <w:rsid w:val="36875E18"/>
    <w:rsid w:val="36A302BA"/>
    <w:rsid w:val="36A82C1D"/>
    <w:rsid w:val="36A858D0"/>
    <w:rsid w:val="36B11DEF"/>
    <w:rsid w:val="36B34449"/>
    <w:rsid w:val="36BB54E1"/>
    <w:rsid w:val="36C342D9"/>
    <w:rsid w:val="36C920C3"/>
    <w:rsid w:val="36E2683F"/>
    <w:rsid w:val="370F2E34"/>
    <w:rsid w:val="370F2E93"/>
    <w:rsid w:val="370F32ED"/>
    <w:rsid w:val="37312412"/>
    <w:rsid w:val="374932C1"/>
    <w:rsid w:val="374E35E0"/>
    <w:rsid w:val="37560CC6"/>
    <w:rsid w:val="375A4E90"/>
    <w:rsid w:val="376637C1"/>
    <w:rsid w:val="377E3467"/>
    <w:rsid w:val="378D0CEB"/>
    <w:rsid w:val="37912606"/>
    <w:rsid w:val="379A026D"/>
    <w:rsid w:val="37A2207E"/>
    <w:rsid w:val="37A2434F"/>
    <w:rsid w:val="37B40245"/>
    <w:rsid w:val="37CD3E53"/>
    <w:rsid w:val="37ED6D6E"/>
    <w:rsid w:val="380C3B20"/>
    <w:rsid w:val="382D2E87"/>
    <w:rsid w:val="38422CE2"/>
    <w:rsid w:val="38464281"/>
    <w:rsid w:val="385C6972"/>
    <w:rsid w:val="386E21B0"/>
    <w:rsid w:val="38AE496C"/>
    <w:rsid w:val="38B54D45"/>
    <w:rsid w:val="38D242CD"/>
    <w:rsid w:val="38F044E5"/>
    <w:rsid w:val="3908412D"/>
    <w:rsid w:val="39352A06"/>
    <w:rsid w:val="393E0C7A"/>
    <w:rsid w:val="39470BCD"/>
    <w:rsid w:val="395F7476"/>
    <w:rsid w:val="3961697B"/>
    <w:rsid w:val="3967193B"/>
    <w:rsid w:val="396843A2"/>
    <w:rsid w:val="397B47E7"/>
    <w:rsid w:val="397D4DF2"/>
    <w:rsid w:val="39821F75"/>
    <w:rsid w:val="398B5520"/>
    <w:rsid w:val="398C3DB7"/>
    <w:rsid w:val="399A19E4"/>
    <w:rsid w:val="39A607ED"/>
    <w:rsid w:val="39AB6275"/>
    <w:rsid w:val="39E17621"/>
    <w:rsid w:val="39F227B1"/>
    <w:rsid w:val="39F74BA5"/>
    <w:rsid w:val="3A0966C5"/>
    <w:rsid w:val="3A151290"/>
    <w:rsid w:val="3A1F3B3B"/>
    <w:rsid w:val="3A201663"/>
    <w:rsid w:val="3A212AC9"/>
    <w:rsid w:val="3A292038"/>
    <w:rsid w:val="3A2D5A3F"/>
    <w:rsid w:val="3A34174C"/>
    <w:rsid w:val="3A4359D8"/>
    <w:rsid w:val="3A4524F1"/>
    <w:rsid w:val="3A4818A4"/>
    <w:rsid w:val="3A524E6B"/>
    <w:rsid w:val="3A683CF4"/>
    <w:rsid w:val="3A762A49"/>
    <w:rsid w:val="3A7B6C0B"/>
    <w:rsid w:val="3A814617"/>
    <w:rsid w:val="3A826354"/>
    <w:rsid w:val="3A916DA7"/>
    <w:rsid w:val="3A9D28F5"/>
    <w:rsid w:val="3AB64A60"/>
    <w:rsid w:val="3ACD43C9"/>
    <w:rsid w:val="3AEE41FA"/>
    <w:rsid w:val="3AF64E5C"/>
    <w:rsid w:val="3AFF2C64"/>
    <w:rsid w:val="3B0664E6"/>
    <w:rsid w:val="3B1D4ADF"/>
    <w:rsid w:val="3B2F69DB"/>
    <w:rsid w:val="3B79226F"/>
    <w:rsid w:val="3B862684"/>
    <w:rsid w:val="3B8C57C0"/>
    <w:rsid w:val="3B904834"/>
    <w:rsid w:val="3B932344"/>
    <w:rsid w:val="3B9D20F5"/>
    <w:rsid w:val="3BB33F88"/>
    <w:rsid w:val="3BC760D1"/>
    <w:rsid w:val="3BD93153"/>
    <w:rsid w:val="3BDA6996"/>
    <w:rsid w:val="3BF3258E"/>
    <w:rsid w:val="3C073260"/>
    <w:rsid w:val="3C084999"/>
    <w:rsid w:val="3C0A3047"/>
    <w:rsid w:val="3C2E50FB"/>
    <w:rsid w:val="3C37637A"/>
    <w:rsid w:val="3C4A12AD"/>
    <w:rsid w:val="3C5125FC"/>
    <w:rsid w:val="3C522566"/>
    <w:rsid w:val="3C690ECB"/>
    <w:rsid w:val="3C860AC6"/>
    <w:rsid w:val="3C8C2842"/>
    <w:rsid w:val="3C960BC8"/>
    <w:rsid w:val="3C9848A1"/>
    <w:rsid w:val="3C9A5CBB"/>
    <w:rsid w:val="3CA509B7"/>
    <w:rsid w:val="3CA509D1"/>
    <w:rsid w:val="3CD537E6"/>
    <w:rsid w:val="3CD93879"/>
    <w:rsid w:val="3CEA487B"/>
    <w:rsid w:val="3D2571D3"/>
    <w:rsid w:val="3D3D5921"/>
    <w:rsid w:val="3D557433"/>
    <w:rsid w:val="3D673DEF"/>
    <w:rsid w:val="3D7A2818"/>
    <w:rsid w:val="3D8106EA"/>
    <w:rsid w:val="3D834DF8"/>
    <w:rsid w:val="3D8F79D1"/>
    <w:rsid w:val="3DA01433"/>
    <w:rsid w:val="3DA352B1"/>
    <w:rsid w:val="3DBA61E7"/>
    <w:rsid w:val="3DD55956"/>
    <w:rsid w:val="3DD77965"/>
    <w:rsid w:val="3DE92EB1"/>
    <w:rsid w:val="3E100FFC"/>
    <w:rsid w:val="3E201534"/>
    <w:rsid w:val="3E3D7669"/>
    <w:rsid w:val="3E3F4D6C"/>
    <w:rsid w:val="3E5500EC"/>
    <w:rsid w:val="3E651EE9"/>
    <w:rsid w:val="3E784A78"/>
    <w:rsid w:val="3E7A1FFB"/>
    <w:rsid w:val="3E8554F5"/>
    <w:rsid w:val="3E97217F"/>
    <w:rsid w:val="3EA91324"/>
    <w:rsid w:val="3EB65E71"/>
    <w:rsid w:val="3EC33032"/>
    <w:rsid w:val="3EC61DB3"/>
    <w:rsid w:val="3EC6679A"/>
    <w:rsid w:val="3EF62661"/>
    <w:rsid w:val="3EF76BEA"/>
    <w:rsid w:val="3F1A0B0A"/>
    <w:rsid w:val="3F3C595E"/>
    <w:rsid w:val="3F43088C"/>
    <w:rsid w:val="3F59346C"/>
    <w:rsid w:val="3F657308"/>
    <w:rsid w:val="3F7856B5"/>
    <w:rsid w:val="3F7970EE"/>
    <w:rsid w:val="3F8003ED"/>
    <w:rsid w:val="3F812070"/>
    <w:rsid w:val="3FA7706D"/>
    <w:rsid w:val="3FB12ADB"/>
    <w:rsid w:val="3FB555CB"/>
    <w:rsid w:val="3FC519F7"/>
    <w:rsid w:val="3FD0326B"/>
    <w:rsid w:val="3FD34D1A"/>
    <w:rsid w:val="3FE3325F"/>
    <w:rsid w:val="3FE61418"/>
    <w:rsid w:val="3FED63B1"/>
    <w:rsid w:val="3FF22538"/>
    <w:rsid w:val="40031733"/>
    <w:rsid w:val="40076D3D"/>
    <w:rsid w:val="401F65F0"/>
    <w:rsid w:val="4024421A"/>
    <w:rsid w:val="402931E4"/>
    <w:rsid w:val="402E57E1"/>
    <w:rsid w:val="404470DB"/>
    <w:rsid w:val="404B4535"/>
    <w:rsid w:val="404C2292"/>
    <w:rsid w:val="405D572D"/>
    <w:rsid w:val="40664832"/>
    <w:rsid w:val="407927B7"/>
    <w:rsid w:val="408D1EA0"/>
    <w:rsid w:val="408E2DBF"/>
    <w:rsid w:val="409B3CAE"/>
    <w:rsid w:val="409D2A1A"/>
    <w:rsid w:val="409D5D7A"/>
    <w:rsid w:val="40A752D1"/>
    <w:rsid w:val="40AE50F3"/>
    <w:rsid w:val="40B21FB5"/>
    <w:rsid w:val="40B95E2E"/>
    <w:rsid w:val="40C17F9E"/>
    <w:rsid w:val="40C43B66"/>
    <w:rsid w:val="40C50F14"/>
    <w:rsid w:val="40E247F7"/>
    <w:rsid w:val="40E531C2"/>
    <w:rsid w:val="40EE5966"/>
    <w:rsid w:val="40FD7DAA"/>
    <w:rsid w:val="410F1967"/>
    <w:rsid w:val="41335FC7"/>
    <w:rsid w:val="413B474C"/>
    <w:rsid w:val="415978C8"/>
    <w:rsid w:val="415C1B4D"/>
    <w:rsid w:val="41633D81"/>
    <w:rsid w:val="41654863"/>
    <w:rsid w:val="417843F2"/>
    <w:rsid w:val="417939DB"/>
    <w:rsid w:val="418A1799"/>
    <w:rsid w:val="418A2EDF"/>
    <w:rsid w:val="419E624E"/>
    <w:rsid w:val="41A61C3F"/>
    <w:rsid w:val="41B17185"/>
    <w:rsid w:val="41C6108C"/>
    <w:rsid w:val="41F05895"/>
    <w:rsid w:val="42075BA1"/>
    <w:rsid w:val="420C70DA"/>
    <w:rsid w:val="4226611D"/>
    <w:rsid w:val="424B0183"/>
    <w:rsid w:val="425402BB"/>
    <w:rsid w:val="42564ADA"/>
    <w:rsid w:val="426D4851"/>
    <w:rsid w:val="42747A95"/>
    <w:rsid w:val="427513D2"/>
    <w:rsid w:val="427B20EB"/>
    <w:rsid w:val="427E52C8"/>
    <w:rsid w:val="42823479"/>
    <w:rsid w:val="42AC064C"/>
    <w:rsid w:val="42C1753A"/>
    <w:rsid w:val="42ED4D97"/>
    <w:rsid w:val="42F900FF"/>
    <w:rsid w:val="42FA6BD0"/>
    <w:rsid w:val="42FB4E01"/>
    <w:rsid w:val="4301585B"/>
    <w:rsid w:val="431A1904"/>
    <w:rsid w:val="431B31A4"/>
    <w:rsid w:val="43285FDD"/>
    <w:rsid w:val="43325808"/>
    <w:rsid w:val="433510AA"/>
    <w:rsid w:val="433E1CAF"/>
    <w:rsid w:val="43412297"/>
    <w:rsid w:val="43413ED4"/>
    <w:rsid w:val="434563B7"/>
    <w:rsid w:val="435240C0"/>
    <w:rsid w:val="43536C41"/>
    <w:rsid w:val="43594499"/>
    <w:rsid w:val="43636C3F"/>
    <w:rsid w:val="436A288B"/>
    <w:rsid w:val="436A322F"/>
    <w:rsid w:val="436E5353"/>
    <w:rsid w:val="43743C56"/>
    <w:rsid w:val="438073DF"/>
    <w:rsid w:val="43851473"/>
    <w:rsid w:val="43884ABF"/>
    <w:rsid w:val="439D6340"/>
    <w:rsid w:val="43CD542C"/>
    <w:rsid w:val="43D67925"/>
    <w:rsid w:val="43FD7280"/>
    <w:rsid w:val="441532B2"/>
    <w:rsid w:val="441C5686"/>
    <w:rsid w:val="441E55BD"/>
    <w:rsid w:val="442B4A16"/>
    <w:rsid w:val="442C59F4"/>
    <w:rsid w:val="442C5CE7"/>
    <w:rsid w:val="443237BA"/>
    <w:rsid w:val="443D55D7"/>
    <w:rsid w:val="443F7EE3"/>
    <w:rsid w:val="44477A7A"/>
    <w:rsid w:val="445A5900"/>
    <w:rsid w:val="44692B43"/>
    <w:rsid w:val="446C177D"/>
    <w:rsid w:val="44785685"/>
    <w:rsid w:val="448F1AB6"/>
    <w:rsid w:val="449D0A3E"/>
    <w:rsid w:val="44A26055"/>
    <w:rsid w:val="44A44E89"/>
    <w:rsid w:val="44A72CB4"/>
    <w:rsid w:val="44C264AA"/>
    <w:rsid w:val="44C71516"/>
    <w:rsid w:val="44D90BEB"/>
    <w:rsid w:val="44DC0CFE"/>
    <w:rsid w:val="44DC4FCA"/>
    <w:rsid w:val="44FD1C6D"/>
    <w:rsid w:val="45084DCC"/>
    <w:rsid w:val="451612EF"/>
    <w:rsid w:val="452E1696"/>
    <w:rsid w:val="453F207E"/>
    <w:rsid w:val="453F71F0"/>
    <w:rsid w:val="454276A8"/>
    <w:rsid w:val="45442EDA"/>
    <w:rsid w:val="45465AD9"/>
    <w:rsid w:val="45760C69"/>
    <w:rsid w:val="458A2D71"/>
    <w:rsid w:val="45985841"/>
    <w:rsid w:val="45A31600"/>
    <w:rsid w:val="45CD0EAF"/>
    <w:rsid w:val="45E526C2"/>
    <w:rsid w:val="45EF5694"/>
    <w:rsid w:val="45F32D75"/>
    <w:rsid w:val="45FE4441"/>
    <w:rsid w:val="46037998"/>
    <w:rsid w:val="460934CE"/>
    <w:rsid w:val="461F685B"/>
    <w:rsid w:val="462A01E9"/>
    <w:rsid w:val="463A35BA"/>
    <w:rsid w:val="464059BC"/>
    <w:rsid w:val="464478D6"/>
    <w:rsid w:val="46594972"/>
    <w:rsid w:val="465E7A33"/>
    <w:rsid w:val="46603AD2"/>
    <w:rsid w:val="46763AFA"/>
    <w:rsid w:val="4685469A"/>
    <w:rsid w:val="46A0480D"/>
    <w:rsid w:val="46A86AC5"/>
    <w:rsid w:val="46AE0C53"/>
    <w:rsid w:val="46AF0ACC"/>
    <w:rsid w:val="46C95E4B"/>
    <w:rsid w:val="46CD2EA3"/>
    <w:rsid w:val="46E33C2A"/>
    <w:rsid w:val="46EB5C2E"/>
    <w:rsid w:val="46F74436"/>
    <w:rsid w:val="47153B47"/>
    <w:rsid w:val="47191F43"/>
    <w:rsid w:val="471B210D"/>
    <w:rsid w:val="47330BB1"/>
    <w:rsid w:val="47336C7D"/>
    <w:rsid w:val="474340E1"/>
    <w:rsid w:val="47540356"/>
    <w:rsid w:val="4754737E"/>
    <w:rsid w:val="475950F1"/>
    <w:rsid w:val="475C3032"/>
    <w:rsid w:val="476E5DEA"/>
    <w:rsid w:val="477F442B"/>
    <w:rsid w:val="47914A33"/>
    <w:rsid w:val="47994C23"/>
    <w:rsid w:val="479B0044"/>
    <w:rsid w:val="479C10BC"/>
    <w:rsid w:val="47A31A0A"/>
    <w:rsid w:val="47A4380D"/>
    <w:rsid w:val="47A6297A"/>
    <w:rsid w:val="47B35BF8"/>
    <w:rsid w:val="47B6267F"/>
    <w:rsid w:val="47C041C7"/>
    <w:rsid w:val="47C959E1"/>
    <w:rsid w:val="47CB4E60"/>
    <w:rsid w:val="47CD1E0C"/>
    <w:rsid w:val="47D964DB"/>
    <w:rsid w:val="47FC33A5"/>
    <w:rsid w:val="47FF2468"/>
    <w:rsid w:val="48012A31"/>
    <w:rsid w:val="481B63B6"/>
    <w:rsid w:val="481D4366"/>
    <w:rsid w:val="483F050D"/>
    <w:rsid w:val="484342DE"/>
    <w:rsid w:val="485803F1"/>
    <w:rsid w:val="485B6C46"/>
    <w:rsid w:val="4865215C"/>
    <w:rsid w:val="486942C4"/>
    <w:rsid w:val="486F6582"/>
    <w:rsid w:val="487B552A"/>
    <w:rsid w:val="48842F37"/>
    <w:rsid w:val="48B05292"/>
    <w:rsid w:val="48B971DC"/>
    <w:rsid w:val="48F556EA"/>
    <w:rsid w:val="49065285"/>
    <w:rsid w:val="49157780"/>
    <w:rsid w:val="491946D3"/>
    <w:rsid w:val="49211C3E"/>
    <w:rsid w:val="492218EC"/>
    <w:rsid w:val="4924047E"/>
    <w:rsid w:val="49276380"/>
    <w:rsid w:val="4929464F"/>
    <w:rsid w:val="493078B5"/>
    <w:rsid w:val="4948117F"/>
    <w:rsid w:val="4949765E"/>
    <w:rsid w:val="494B0B0D"/>
    <w:rsid w:val="497E20AD"/>
    <w:rsid w:val="49820EB7"/>
    <w:rsid w:val="4989333F"/>
    <w:rsid w:val="498E0956"/>
    <w:rsid w:val="499416E9"/>
    <w:rsid w:val="499F07E3"/>
    <w:rsid w:val="49A63EAD"/>
    <w:rsid w:val="49B4166E"/>
    <w:rsid w:val="49BA2C9E"/>
    <w:rsid w:val="49CF3D92"/>
    <w:rsid w:val="49E14F29"/>
    <w:rsid w:val="49F62FBE"/>
    <w:rsid w:val="49F72310"/>
    <w:rsid w:val="49FD2EE4"/>
    <w:rsid w:val="4A0B4FDE"/>
    <w:rsid w:val="4A0C644A"/>
    <w:rsid w:val="4A343D11"/>
    <w:rsid w:val="4A497D35"/>
    <w:rsid w:val="4A626327"/>
    <w:rsid w:val="4A8A37D8"/>
    <w:rsid w:val="4A8B4AB2"/>
    <w:rsid w:val="4AAE1A22"/>
    <w:rsid w:val="4ABB09F4"/>
    <w:rsid w:val="4AC46D25"/>
    <w:rsid w:val="4AD856F0"/>
    <w:rsid w:val="4AD9595B"/>
    <w:rsid w:val="4AF93EAE"/>
    <w:rsid w:val="4B06454F"/>
    <w:rsid w:val="4B125CE2"/>
    <w:rsid w:val="4B215777"/>
    <w:rsid w:val="4B311212"/>
    <w:rsid w:val="4B3D651A"/>
    <w:rsid w:val="4B3E6720"/>
    <w:rsid w:val="4B3F0159"/>
    <w:rsid w:val="4B43535A"/>
    <w:rsid w:val="4B441376"/>
    <w:rsid w:val="4B476348"/>
    <w:rsid w:val="4B625BF7"/>
    <w:rsid w:val="4B7F49FA"/>
    <w:rsid w:val="4B8244EA"/>
    <w:rsid w:val="4B9622A2"/>
    <w:rsid w:val="4BB21AF4"/>
    <w:rsid w:val="4BB54107"/>
    <w:rsid w:val="4BB67EEE"/>
    <w:rsid w:val="4BD17814"/>
    <w:rsid w:val="4BDC5109"/>
    <w:rsid w:val="4BDF0267"/>
    <w:rsid w:val="4BE84FA7"/>
    <w:rsid w:val="4BF70C92"/>
    <w:rsid w:val="4BFD0513"/>
    <w:rsid w:val="4C005E77"/>
    <w:rsid w:val="4C0D0F25"/>
    <w:rsid w:val="4C1A02C6"/>
    <w:rsid w:val="4C2B76C1"/>
    <w:rsid w:val="4C2E6FBD"/>
    <w:rsid w:val="4C371778"/>
    <w:rsid w:val="4C4023DB"/>
    <w:rsid w:val="4C436489"/>
    <w:rsid w:val="4C4F261E"/>
    <w:rsid w:val="4C5419A1"/>
    <w:rsid w:val="4C5429A3"/>
    <w:rsid w:val="4C645A11"/>
    <w:rsid w:val="4C6D6445"/>
    <w:rsid w:val="4C7E2D4D"/>
    <w:rsid w:val="4C7E7EB3"/>
    <w:rsid w:val="4C87254B"/>
    <w:rsid w:val="4C9D5A7F"/>
    <w:rsid w:val="4CA87E7C"/>
    <w:rsid w:val="4CBA35F0"/>
    <w:rsid w:val="4CDE4416"/>
    <w:rsid w:val="4D1C2C8C"/>
    <w:rsid w:val="4D1E77BE"/>
    <w:rsid w:val="4D245FC5"/>
    <w:rsid w:val="4D277005"/>
    <w:rsid w:val="4D2B3B2C"/>
    <w:rsid w:val="4D3121D0"/>
    <w:rsid w:val="4D3F08E5"/>
    <w:rsid w:val="4D4C54A4"/>
    <w:rsid w:val="4D707311"/>
    <w:rsid w:val="4D7C2AC8"/>
    <w:rsid w:val="4D84520A"/>
    <w:rsid w:val="4D930C30"/>
    <w:rsid w:val="4DA943B0"/>
    <w:rsid w:val="4DB36BDD"/>
    <w:rsid w:val="4DC515BB"/>
    <w:rsid w:val="4DCB5984"/>
    <w:rsid w:val="4DD64458"/>
    <w:rsid w:val="4DF01669"/>
    <w:rsid w:val="4E135BFA"/>
    <w:rsid w:val="4E1B2DDB"/>
    <w:rsid w:val="4E250E8C"/>
    <w:rsid w:val="4E355E12"/>
    <w:rsid w:val="4E516B22"/>
    <w:rsid w:val="4E5D7C3A"/>
    <w:rsid w:val="4E8D762E"/>
    <w:rsid w:val="4E9B1112"/>
    <w:rsid w:val="4EA06365"/>
    <w:rsid w:val="4EA35EC7"/>
    <w:rsid w:val="4EAA4484"/>
    <w:rsid w:val="4EAC5A99"/>
    <w:rsid w:val="4EB62E28"/>
    <w:rsid w:val="4EBD3915"/>
    <w:rsid w:val="4ECD54B1"/>
    <w:rsid w:val="4ED4046B"/>
    <w:rsid w:val="4EDE29D3"/>
    <w:rsid w:val="4EDF4B15"/>
    <w:rsid w:val="4EF43B16"/>
    <w:rsid w:val="4EFB083B"/>
    <w:rsid w:val="4EFF657E"/>
    <w:rsid w:val="4F2B6C13"/>
    <w:rsid w:val="4F3153D3"/>
    <w:rsid w:val="4F39402C"/>
    <w:rsid w:val="4F5F3ED1"/>
    <w:rsid w:val="4F804E7C"/>
    <w:rsid w:val="4F85516A"/>
    <w:rsid w:val="4F944D8F"/>
    <w:rsid w:val="4FC73FA6"/>
    <w:rsid w:val="4FCA5221"/>
    <w:rsid w:val="4FED0FB9"/>
    <w:rsid w:val="4FF26FAA"/>
    <w:rsid w:val="501317C3"/>
    <w:rsid w:val="5016144E"/>
    <w:rsid w:val="505D7B39"/>
    <w:rsid w:val="507410D2"/>
    <w:rsid w:val="508770A9"/>
    <w:rsid w:val="508F6276"/>
    <w:rsid w:val="50A4392E"/>
    <w:rsid w:val="50A97681"/>
    <w:rsid w:val="50AE3B94"/>
    <w:rsid w:val="50AF7418"/>
    <w:rsid w:val="50BB64D4"/>
    <w:rsid w:val="50CB3858"/>
    <w:rsid w:val="50E93575"/>
    <w:rsid w:val="50F04D4E"/>
    <w:rsid w:val="50F57385"/>
    <w:rsid w:val="50F6016F"/>
    <w:rsid w:val="50FB1FB9"/>
    <w:rsid w:val="50FD4C86"/>
    <w:rsid w:val="51132FF4"/>
    <w:rsid w:val="51151213"/>
    <w:rsid w:val="512E0A74"/>
    <w:rsid w:val="513225F9"/>
    <w:rsid w:val="51336ECE"/>
    <w:rsid w:val="513F5114"/>
    <w:rsid w:val="51440384"/>
    <w:rsid w:val="514E1FAF"/>
    <w:rsid w:val="515E6A1B"/>
    <w:rsid w:val="516B705C"/>
    <w:rsid w:val="516E7C13"/>
    <w:rsid w:val="5177537A"/>
    <w:rsid w:val="518806E3"/>
    <w:rsid w:val="518C67E7"/>
    <w:rsid w:val="519805C3"/>
    <w:rsid w:val="51A1217B"/>
    <w:rsid w:val="51A47CAD"/>
    <w:rsid w:val="51BC2004"/>
    <w:rsid w:val="51C462A1"/>
    <w:rsid w:val="51CB0C5C"/>
    <w:rsid w:val="51CB74F6"/>
    <w:rsid w:val="51D13948"/>
    <w:rsid w:val="51E22EEE"/>
    <w:rsid w:val="51EB5979"/>
    <w:rsid w:val="521736E5"/>
    <w:rsid w:val="52191C8A"/>
    <w:rsid w:val="521A0101"/>
    <w:rsid w:val="52241967"/>
    <w:rsid w:val="522D1CB6"/>
    <w:rsid w:val="523C53F3"/>
    <w:rsid w:val="52444C58"/>
    <w:rsid w:val="525210BA"/>
    <w:rsid w:val="5252788D"/>
    <w:rsid w:val="52623DC9"/>
    <w:rsid w:val="5263075C"/>
    <w:rsid w:val="52660A26"/>
    <w:rsid w:val="52717995"/>
    <w:rsid w:val="528315FB"/>
    <w:rsid w:val="529423A5"/>
    <w:rsid w:val="52990759"/>
    <w:rsid w:val="52B87033"/>
    <w:rsid w:val="52BE5917"/>
    <w:rsid w:val="52DF63B3"/>
    <w:rsid w:val="52EA12F3"/>
    <w:rsid w:val="52ED3633"/>
    <w:rsid w:val="531B72EC"/>
    <w:rsid w:val="531D3476"/>
    <w:rsid w:val="531E35FC"/>
    <w:rsid w:val="531E3DBA"/>
    <w:rsid w:val="53202F66"/>
    <w:rsid w:val="532145E9"/>
    <w:rsid w:val="532B1547"/>
    <w:rsid w:val="532C2C22"/>
    <w:rsid w:val="533E6E17"/>
    <w:rsid w:val="5343182D"/>
    <w:rsid w:val="53552E21"/>
    <w:rsid w:val="53654785"/>
    <w:rsid w:val="536C4A63"/>
    <w:rsid w:val="538B7A2E"/>
    <w:rsid w:val="539B26A9"/>
    <w:rsid w:val="539E00E2"/>
    <w:rsid w:val="53A201DA"/>
    <w:rsid w:val="53AE5F9E"/>
    <w:rsid w:val="53B22D34"/>
    <w:rsid w:val="53B6236C"/>
    <w:rsid w:val="53BD6F30"/>
    <w:rsid w:val="53CA43DD"/>
    <w:rsid w:val="53CF10A7"/>
    <w:rsid w:val="53DD0E57"/>
    <w:rsid w:val="53F44044"/>
    <w:rsid w:val="53FA40C1"/>
    <w:rsid w:val="540540F5"/>
    <w:rsid w:val="5426639B"/>
    <w:rsid w:val="542913B3"/>
    <w:rsid w:val="543F18BA"/>
    <w:rsid w:val="546850FB"/>
    <w:rsid w:val="54883400"/>
    <w:rsid w:val="54932F58"/>
    <w:rsid w:val="54944A6C"/>
    <w:rsid w:val="5495528E"/>
    <w:rsid w:val="54A81CB5"/>
    <w:rsid w:val="54AF6350"/>
    <w:rsid w:val="54C41B11"/>
    <w:rsid w:val="54CB0CB0"/>
    <w:rsid w:val="550E49C6"/>
    <w:rsid w:val="555702BF"/>
    <w:rsid w:val="558605DD"/>
    <w:rsid w:val="55A1589A"/>
    <w:rsid w:val="55A47D96"/>
    <w:rsid w:val="55BE40DF"/>
    <w:rsid w:val="55C56D62"/>
    <w:rsid w:val="55C776C9"/>
    <w:rsid w:val="55C94049"/>
    <w:rsid w:val="55DA287E"/>
    <w:rsid w:val="55DD1819"/>
    <w:rsid w:val="55EE6DAD"/>
    <w:rsid w:val="56073162"/>
    <w:rsid w:val="5609127C"/>
    <w:rsid w:val="56243B92"/>
    <w:rsid w:val="56265B4C"/>
    <w:rsid w:val="5631079C"/>
    <w:rsid w:val="563D619D"/>
    <w:rsid w:val="563F6627"/>
    <w:rsid w:val="56413F2B"/>
    <w:rsid w:val="56537C47"/>
    <w:rsid w:val="565E73E2"/>
    <w:rsid w:val="56904C8C"/>
    <w:rsid w:val="56A010C0"/>
    <w:rsid w:val="56B55774"/>
    <w:rsid w:val="56B96B8E"/>
    <w:rsid w:val="56BE08D2"/>
    <w:rsid w:val="56C747B5"/>
    <w:rsid w:val="56D27821"/>
    <w:rsid w:val="56D42684"/>
    <w:rsid w:val="56DD2471"/>
    <w:rsid w:val="57015C72"/>
    <w:rsid w:val="57210A6D"/>
    <w:rsid w:val="572C330F"/>
    <w:rsid w:val="57390153"/>
    <w:rsid w:val="5739517F"/>
    <w:rsid w:val="5744214A"/>
    <w:rsid w:val="574B480A"/>
    <w:rsid w:val="574D3BFE"/>
    <w:rsid w:val="57543081"/>
    <w:rsid w:val="577B4C0F"/>
    <w:rsid w:val="5789649C"/>
    <w:rsid w:val="579E445A"/>
    <w:rsid w:val="57A373F0"/>
    <w:rsid w:val="57C739B1"/>
    <w:rsid w:val="57C83C57"/>
    <w:rsid w:val="57D86F33"/>
    <w:rsid w:val="57D91936"/>
    <w:rsid w:val="57FB2FB4"/>
    <w:rsid w:val="580A7D41"/>
    <w:rsid w:val="582028C2"/>
    <w:rsid w:val="582908A2"/>
    <w:rsid w:val="582F1556"/>
    <w:rsid w:val="582F2AAA"/>
    <w:rsid w:val="583D07DD"/>
    <w:rsid w:val="584C46AD"/>
    <w:rsid w:val="585F1862"/>
    <w:rsid w:val="58620D26"/>
    <w:rsid w:val="5868712C"/>
    <w:rsid w:val="58706FB1"/>
    <w:rsid w:val="587246A0"/>
    <w:rsid w:val="587C5983"/>
    <w:rsid w:val="588C013C"/>
    <w:rsid w:val="58953AAF"/>
    <w:rsid w:val="58B008E9"/>
    <w:rsid w:val="58C752C8"/>
    <w:rsid w:val="58E35531"/>
    <w:rsid w:val="58E660B8"/>
    <w:rsid w:val="58E8415E"/>
    <w:rsid w:val="58EB7B73"/>
    <w:rsid w:val="58FF1A45"/>
    <w:rsid w:val="591C580B"/>
    <w:rsid w:val="59263776"/>
    <w:rsid w:val="5926497A"/>
    <w:rsid w:val="59284812"/>
    <w:rsid w:val="59586FFD"/>
    <w:rsid w:val="595D3E12"/>
    <w:rsid w:val="59624053"/>
    <w:rsid w:val="596811C3"/>
    <w:rsid w:val="596A347D"/>
    <w:rsid w:val="596B196A"/>
    <w:rsid w:val="59821704"/>
    <w:rsid w:val="59961EFB"/>
    <w:rsid w:val="59A11353"/>
    <w:rsid w:val="59B40569"/>
    <w:rsid w:val="59C02DAD"/>
    <w:rsid w:val="5A0336C4"/>
    <w:rsid w:val="5A1D0D82"/>
    <w:rsid w:val="5A20315B"/>
    <w:rsid w:val="5A4F49BE"/>
    <w:rsid w:val="5A5827FE"/>
    <w:rsid w:val="5A70211C"/>
    <w:rsid w:val="5A8D789D"/>
    <w:rsid w:val="5AAB2A29"/>
    <w:rsid w:val="5AAB3211"/>
    <w:rsid w:val="5AAC7307"/>
    <w:rsid w:val="5AB86388"/>
    <w:rsid w:val="5AD07CB2"/>
    <w:rsid w:val="5AD175C5"/>
    <w:rsid w:val="5AE37CAA"/>
    <w:rsid w:val="5AEF1DC1"/>
    <w:rsid w:val="5B0D0909"/>
    <w:rsid w:val="5B33633C"/>
    <w:rsid w:val="5B3A7E78"/>
    <w:rsid w:val="5B3D442E"/>
    <w:rsid w:val="5B412C22"/>
    <w:rsid w:val="5B486560"/>
    <w:rsid w:val="5B4B2EB1"/>
    <w:rsid w:val="5B570332"/>
    <w:rsid w:val="5B5F0395"/>
    <w:rsid w:val="5B6300A3"/>
    <w:rsid w:val="5B6560C9"/>
    <w:rsid w:val="5B6C0ED6"/>
    <w:rsid w:val="5B790B4E"/>
    <w:rsid w:val="5B7A2400"/>
    <w:rsid w:val="5B9B626D"/>
    <w:rsid w:val="5BB83E2F"/>
    <w:rsid w:val="5BD32897"/>
    <w:rsid w:val="5BF50A44"/>
    <w:rsid w:val="5C221AFD"/>
    <w:rsid w:val="5C295CCC"/>
    <w:rsid w:val="5C2E1982"/>
    <w:rsid w:val="5C381A3A"/>
    <w:rsid w:val="5C5B0523"/>
    <w:rsid w:val="5C5C135C"/>
    <w:rsid w:val="5C6A5252"/>
    <w:rsid w:val="5C872DAA"/>
    <w:rsid w:val="5C974816"/>
    <w:rsid w:val="5CA97228"/>
    <w:rsid w:val="5CAE41EC"/>
    <w:rsid w:val="5CBA57BD"/>
    <w:rsid w:val="5CC43989"/>
    <w:rsid w:val="5CC5471C"/>
    <w:rsid w:val="5CCB1509"/>
    <w:rsid w:val="5CDC5386"/>
    <w:rsid w:val="5CEE7B85"/>
    <w:rsid w:val="5CF73D69"/>
    <w:rsid w:val="5D057FB8"/>
    <w:rsid w:val="5D202057"/>
    <w:rsid w:val="5D3E0AE4"/>
    <w:rsid w:val="5D4700C2"/>
    <w:rsid w:val="5D4A130C"/>
    <w:rsid w:val="5D6C4615"/>
    <w:rsid w:val="5D7C5A81"/>
    <w:rsid w:val="5D9B2FA8"/>
    <w:rsid w:val="5DAA2D87"/>
    <w:rsid w:val="5DB80454"/>
    <w:rsid w:val="5DD0497B"/>
    <w:rsid w:val="5DD31E8F"/>
    <w:rsid w:val="5DDF2196"/>
    <w:rsid w:val="5DE01F17"/>
    <w:rsid w:val="5DE84681"/>
    <w:rsid w:val="5DF704AE"/>
    <w:rsid w:val="5DF954B7"/>
    <w:rsid w:val="5DFF05CD"/>
    <w:rsid w:val="5E0D4FC5"/>
    <w:rsid w:val="5E1672C2"/>
    <w:rsid w:val="5E183CE4"/>
    <w:rsid w:val="5E1B6033"/>
    <w:rsid w:val="5E2612F9"/>
    <w:rsid w:val="5E327CD5"/>
    <w:rsid w:val="5E534129"/>
    <w:rsid w:val="5E59557E"/>
    <w:rsid w:val="5E6E3C24"/>
    <w:rsid w:val="5E7255BD"/>
    <w:rsid w:val="5E937CCC"/>
    <w:rsid w:val="5ED115B9"/>
    <w:rsid w:val="5EE515A0"/>
    <w:rsid w:val="5EF83794"/>
    <w:rsid w:val="5F0173CC"/>
    <w:rsid w:val="5F153210"/>
    <w:rsid w:val="5F1A1A93"/>
    <w:rsid w:val="5F261904"/>
    <w:rsid w:val="5F287F7E"/>
    <w:rsid w:val="5F475677"/>
    <w:rsid w:val="5F484198"/>
    <w:rsid w:val="5F567498"/>
    <w:rsid w:val="5F8420E2"/>
    <w:rsid w:val="5F887220"/>
    <w:rsid w:val="5F9022AB"/>
    <w:rsid w:val="5FB81E56"/>
    <w:rsid w:val="5FD85FDC"/>
    <w:rsid w:val="5FE734A3"/>
    <w:rsid w:val="5FEB78D3"/>
    <w:rsid w:val="5FEC00EE"/>
    <w:rsid w:val="600951D4"/>
    <w:rsid w:val="6010358A"/>
    <w:rsid w:val="601A25EF"/>
    <w:rsid w:val="60250EC1"/>
    <w:rsid w:val="603E7832"/>
    <w:rsid w:val="6044067F"/>
    <w:rsid w:val="60461266"/>
    <w:rsid w:val="605E4267"/>
    <w:rsid w:val="606D6BF5"/>
    <w:rsid w:val="60793AF7"/>
    <w:rsid w:val="608F2EE2"/>
    <w:rsid w:val="6099592B"/>
    <w:rsid w:val="609A237A"/>
    <w:rsid w:val="60A13AB9"/>
    <w:rsid w:val="60A7744C"/>
    <w:rsid w:val="60B60A25"/>
    <w:rsid w:val="60B96C2C"/>
    <w:rsid w:val="60CF04AB"/>
    <w:rsid w:val="60DB5486"/>
    <w:rsid w:val="60E82C1A"/>
    <w:rsid w:val="60EC0541"/>
    <w:rsid w:val="60FD245E"/>
    <w:rsid w:val="60FD48BA"/>
    <w:rsid w:val="61033EA8"/>
    <w:rsid w:val="610A1613"/>
    <w:rsid w:val="611E6634"/>
    <w:rsid w:val="61251167"/>
    <w:rsid w:val="61432D9E"/>
    <w:rsid w:val="61683AEB"/>
    <w:rsid w:val="61845719"/>
    <w:rsid w:val="618A70BC"/>
    <w:rsid w:val="61963F6D"/>
    <w:rsid w:val="61BD1F9D"/>
    <w:rsid w:val="61EA093B"/>
    <w:rsid w:val="61F210FF"/>
    <w:rsid w:val="62024DB4"/>
    <w:rsid w:val="62110197"/>
    <w:rsid w:val="62117D72"/>
    <w:rsid w:val="62210A89"/>
    <w:rsid w:val="62285DB7"/>
    <w:rsid w:val="625E7778"/>
    <w:rsid w:val="626857C6"/>
    <w:rsid w:val="62791D4B"/>
    <w:rsid w:val="627F63D9"/>
    <w:rsid w:val="62923991"/>
    <w:rsid w:val="62D5731A"/>
    <w:rsid w:val="62EC639D"/>
    <w:rsid w:val="62EF64B1"/>
    <w:rsid w:val="62F20D03"/>
    <w:rsid w:val="62F26EC0"/>
    <w:rsid w:val="62F75B83"/>
    <w:rsid w:val="63095375"/>
    <w:rsid w:val="6312135F"/>
    <w:rsid w:val="632A3D0D"/>
    <w:rsid w:val="633044BC"/>
    <w:rsid w:val="633443AB"/>
    <w:rsid w:val="63451BB4"/>
    <w:rsid w:val="63554566"/>
    <w:rsid w:val="63727FC1"/>
    <w:rsid w:val="63870498"/>
    <w:rsid w:val="638857E1"/>
    <w:rsid w:val="63AB4186"/>
    <w:rsid w:val="63AB78F4"/>
    <w:rsid w:val="63B83DDB"/>
    <w:rsid w:val="63C642C7"/>
    <w:rsid w:val="63C85688"/>
    <w:rsid w:val="63CD5666"/>
    <w:rsid w:val="63D01EF3"/>
    <w:rsid w:val="63D2038C"/>
    <w:rsid w:val="63E631E1"/>
    <w:rsid w:val="63F66CE6"/>
    <w:rsid w:val="63F93BD1"/>
    <w:rsid w:val="63F95441"/>
    <w:rsid w:val="640E7E19"/>
    <w:rsid w:val="642009EA"/>
    <w:rsid w:val="64281C7B"/>
    <w:rsid w:val="64356063"/>
    <w:rsid w:val="64430EB5"/>
    <w:rsid w:val="647527CB"/>
    <w:rsid w:val="648A0F84"/>
    <w:rsid w:val="648E4974"/>
    <w:rsid w:val="648F4377"/>
    <w:rsid w:val="649E65A7"/>
    <w:rsid w:val="64B70C4D"/>
    <w:rsid w:val="64BB489D"/>
    <w:rsid w:val="64BB664B"/>
    <w:rsid w:val="64D14920"/>
    <w:rsid w:val="64EA382F"/>
    <w:rsid w:val="64ED3306"/>
    <w:rsid w:val="64F52441"/>
    <w:rsid w:val="6511603A"/>
    <w:rsid w:val="652763A9"/>
    <w:rsid w:val="653B0F51"/>
    <w:rsid w:val="653F5E12"/>
    <w:rsid w:val="65434194"/>
    <w:rsid w:val="65472365"/>
    <w:rsid w:val="65477730"/>
    <w:rsid w:val="654912E0"/>
    <w:rsid w:val="654B3D0A"/>
    <w:rsid w:val="655063FF"/>
    <w:rsid w:val="655820EC"/>
    <w:rsid w:val="65621152"/>
    <w:rsid w:val="656A4332"/>
    <w:rsid w:val="65733372"/>
    <w:rsid w:val="65744876"/>
    <w:rsid w:val="657845AE"/>
    <w:rsid w:val="65991D3E"/>
    <w:rsid w:val="659E280B"/>
    <w:rsid w:val="65B74A52"/>
    <w:rsid w:val="65BD55BD"/>
    <w:rsid w:val="65C53449"/>
    <w:rsid w:val="65D61F4D"/>
    <w:rsid w:val="65F00576"/>
    <w:rsid w:val="65F27286"/>
    <w:rsid w:val="6602655A"/>
    <w:rsid w:val="66037BA1"/>
    <w:rsid w:val="660D45C7"/>
    <w:rsid w:val="66280ABB"/>
    <w:rsid w:val="662B15AE"/>
    <w:rsid w:val="663F257E"/>
    <w:rsid w:val="665447A2"/>
    <w:rsid w:val="6664496F"/>
    <w:rsid w:val="666717B3"/>
    <w:rsid w:val="6668032B"/>
    <w:rsid w:val="667425DD"/>
    <w:rsid w:val="66772B36"/>
    <w:rsid w:val="66774B04"/>
    <w:rsid w:val="667C4290"/>
    <w:rsid w:val="66850239"/>
    <w:rsid w:val="66B53CF3"/>
    <w:rsid w:val="66C249EB"/>
    <w:rsid w:val="66C95898"/>
    <w:rsid w:val="66F8201A"/>
    <w:rsid w:val="66FD37B8"/>
    <w:rsid w:val="6708699C"/>
    <w:rsid w:val="671C5A04"/>
    <w:rsid w:val="673F01D2"/>
    <w:rsid w:val="676777C3"/>
    <w:rsid w:val="677D4B8A"/>
    <w:rsid w:val="67802ACE"/>
    <w:rsid w:val="67804B33"/>
    <w:rsid w:val="678A3061"/>
    <w:rsid w:val="67A554D7"/>
    <w:rsid w:val="67B575EA"/>
    <w:rsid w:val="67C40A09"/>
    <w:rsid w:val="67D020A7"/>
    <w:rsid w:val="67D600B8"/>
    <w:rsid w:val="67E31595"/>
    <w:rsid w:val="67E4087E"/>
    <w:rsid w:val="6821192D"/>
    <w:rsid w:val="68285FD2"/>
    <w:rsid w:val="68337E89"/>
    <w:rsid w:val="68337EE8"/>
    <w:rsid w:val="683A6C76"/>
    <w:rsid w:val="68594AF9"/>
    <w:rsid w:val="685C5B46"/>
    <w:rsid w:val="685C6397"/>
    <w:rsid w:val="688356D2"/>
    <w:rsid w:val="688C0656"/>
    <w:rsid w:val="689B3025"/>
    <w:rsid w:val="68AE1735"/>
    <w:rsid w:val="68B14910"/>
    <w:rsid w:val="68B72950"/>
    <w:rsid w:val="68BB3CDD"/>
    <w:rsid w:val="68D60630"/>
    <w:rsid w:val="68E01CD2"/>
    <w:rsid w:val="68F8555D"/>
    <w:rsid w:val="691D712E"/>
    <w:rsid w:val="692A1FF1"/>
    <w:rsid w:val="693B7D5A"/>
    <w:rsid w:val="694039E4"/>
    <w:rsid w:val="69405A83"/>
    <w:rsid w:val="69484920"/>
    <w:rsid w:val="696077C1"/>
    <w:rsid w:val="696D1EDE"/>
    <w:rsid w:val="697E7396"/>
    <w:rsid w:val="69843021"/>
    <w:rsid w:val="69A009FE"/>
    <w:rsid w:val="69A729C5"/>
    <w:rsid w:val="69A92E72"/>
    <w:rsid w:val="69BF206E"/>
    <w:rsid w:val="69D215D7"/>
    <w:rsid w:val="69E46DF1"/>
    <w:rsid w:val="69E8174D"/>
    <w:rsid w:val="69EB7655"/>
    <w:rsid w:val="69F5158E"/>
    <w:rsid w:val="69F66247"/>
    <w:rsid w:val="69F86AAF"/>
    <w:rsid w:val="69FD5505"/>
    <w:rsid w:val="6A0757E2"/>
    <w:rsid w:val="6A1F6154"/>
    <w:rsid w:val="6A2746CC"/>
    <w:rsid w:val="6A321B28"/>
    <w:rsid w:val="6A3824EC"/>
    <w:rsid w:val="6A401D01"/>
    <w:rsid w:val="6A4F7CF0"/>
    <w:rsid w:val="6A5517EC"/>
    <w:rsid w:val="6A657FB8"/>
    <w:rsid w:val="6A694BA1"/>
    <w:rsid w:val="6A734205"/>
    <w:rsid w:val="6A9A2360"/>
    <w:rsid w:val="6AA554F7"/>
    <w:rsid w:val="6AB365BB"/>
    <w:rsid w:val="6ABC3292"/>
    <w:rsid w:val="6ABD223C"/>
    <w:rsid w:val="6AC04F0B"/>
    <w:rsid w:val="6AD34458"/>
    <w:rsid w:val="6ADC4801"/>
    <w:rsid w:val="6ADF25FC"/>
    <w:rsid w:val="6AE01484"/>
    <w:rsid w:val="6AFC176B"/>
    <w:rsid w:val="6B020CD0"/>
    <w:rsid w:val="6B03006B"/>
    <w:rsid w:val="6B0D193D"/>
    <w:rsid w:val="6B1148AC"/>
    <w:rsid w:val="6B252A70"/>
    <w:rsid w:val="6B333357"/>
    <w:rsid w:val="6B3C4D2B"/>
    <w:rsid w:val="6B3E0351"/>
    <w:rsid w:val="6B4210C9"/>
    <w:rsid w:val="6B42449D"/>
    <w:rsid w:val="6B4A5562"/>
    <w:rsid w:val="6B565807"/>
    <w:rsid w:val="6B5C265D"/>
    <w:rsid w:val="6B6537B4"/>
    <w:rsid w:val="6B750792"/>
    <w:rsid w:val="6B7A369F"/>
    <w:rsid w:val="6B8B35CE"/>
    <w:rsid w:val="6BA047ED"/>
    <w:rsid w:val="6BA21273"/>
    <w:rsid w:val="6BAC2823"/>
    <w:rsid w:val="6BAF2419"/>
    <w:rsid w:val="6BBD5024"/>
    <w:rsid w:val="6BE10B7B"/>
    <w:rsid w:val="6BF37DF1"/>
    <w:rsid w:val="6C053261"/>
    <w:rsid w:val="6C0A7FDA"/>
    <w:rsid w:val="6C164AAF"/>
    <w:rsid w:val="6C3C4515"/>
    <w:rsid w:val="6C573E71"/>
    <w:rsid w:val="6C5C0714"/>
    <w:rsid w:val="6C630CE9"/>
    <w:rsid w:val="6C686B68"/>
    <w:rsid w:val="6C81461E"/>
    <w:rsid w:val="6C914CAA"/>
    <w:rsid w:val="6C97436A"/>
    <w:rsid w:val="6CA67E59"/>
    <w:rsid w:val="6CEC0F34"/>
    <w:rsid w:val="6CF73CA4"/>
    <w:rsid w:val="6D005FF7"/>
    <w:rsid w:val="6D05105B"/>
    <w:rsid w:val="6D192078"/>
    <w:rsid w:val="6D207FCD"/>
    <w:rsid w:val="6D280C36"/>
    <w:rsid w:val="6D286C4C"/>
    <w:rsid w:val="6D2B5B01"/>
    <w:rsid w:val="6D381497"/>
    <w:rsid w:val="6D521B17"/>
    <w:rsid w:val="6D6A2DB3"/>
    <w:rsid w:val="6D6A69AA"/>
    <w:rsid w:val="6D715443"/>
    <w:rsid w:val="6D79127B"/>
    <w:rsid w:val="6D832281"/>
    <w:rsid w:val="6D8844F6"/>
    <w:rsid w:val="6DC237AE"/>
    <w:rsid w:val="6DD53854"/>
    <w:rsid w:val="6DD76B71"/>
    <w:rsid w:val="6DD81A0E"/>
    <w:rsid w:val="6DDD2E42"/>
    <w:rsid w:val="6DE30D60"/>
    <w:rsid w:val="6DF91502"/>
    <w:rsid w:val="6E01482E"/>
    <w:rsid w:val="6E073A2D"/>
    <w:rsid w:val="6E0D1941"/>
    <w:rsid w:val="6E145703"/>
    <w:rsid w:val="6E18292B"/>
    <w:rsid w:val="6E1F06F3"/>
    <w:rsid w:val="6E2365B9"/>
    <w:rsid w:val="6E380D0C"/>
    <w:rsid w:val="6E402C35"/>
    <w:rsid w:val="6E403BCF"/>
    <w:rsid w:val="6E424CF7"/>
    <w:rsid w:val="6E455212"/>
    <w:rsid w:val="6E9028F6"/>
    <w:rsid w:val="6E96703D"/>
    <w:rsid w:val="6E984122"/>
    <w:rsid w:val="6EC4761A"/>
    <w:rsid w:val="6ED10FE5"/>
    <w:rsid w:val="6ED26905"/>
    <w:rsid w:val="6EDF562C"/>
    <w:rsid w:val="6EE20566"/>
    <w:rsid w:val="6EEB6DD8"/>
    <w:rsid w:val="6EF513F6"/>
    <w:rsid w:val="6EF7257C"/>
    <w:rsid w:val="6F1F0771"/>
    <w:rsid w:val="6F2179F2"/>
    <w:rsid w:val="6F234AFA"/>
    <w:rsid w:val="6F3669E2"/>
    <w:rsid w:val="6F3A0437"/>
    <w:rsid w:val="6F3B641D"/>
    <w:rsid w:val="6F452492"/>
    <w:rsid w:val="6F4E1ABB"/>
    <w:rsid w:val="6F65489B"/>
    <w:rsid w:val="6F86274A"/>
    <w:rsid w:val="6F8A6B50"/>
    <w:rsid w:val="6F9E4E98"/>
    <w:rsid w:val="6F9F79CF"/>
    <w:rsid w:val="6FB51312"/>
    <w:rsid w:val="6FB536E7"/>
    <w:rsid w:val="6FC169C6"/>
    <w:rsid w:val="6FC54822"/>
    <w:rsid w:val="6FD0001C"/>
    <w:rsid w:val="6FFE53DF"/>
    <w:rsid w:val="700148B1"/>
    <w:rsid w:val="700708F2"/>
    <w:rsid w:val="7007092A"/>
    <w:rsid w:val="70216E77"/>
    <w:rsid w:val="70227EC6"/>
    <w:rsid w:val="70262445"/>
    <w:rsid w:val="705A7720"/>
    <w:rsid w:val="70796EB7"/>
    <w:rsid w:val="707B1384"/>
    <w:rsid w:val="70891E2B"/>
    <w:rsid w:val="709304FC"/>
    <w:rsid w:val="70B21D55"/>
    <w:rsid w:val="70BA4068"/>
    <w:rsid w:val="70C20D61"/>
    <w:rsid w:val="70C251BD"/>
    <w:rsid w:val="70E82CAE"/>
    <w:rsid w:val="70F06D61"/>
    <w:rsid w:val="70F36F46"/>
    <w:rsid w:val="71115347"/>
    <w:rsid w:val="711E068D"/>
    <w:rsid w:val="71231B23"/>
    <w:rsid w:val="713660B2"/>
    <w:rsid w:val="713B214A"/>
    <w:rsid w:val="714633CE"/>
    <w:rsid w:val="714A4407"/>
    <w:rsid w:val="714A7D71"/>
    <w:rsid w:val="717E66B7"/>
    <w:rsid w:val="718621EE"/>
    <w:rsid w:val="71894FD2"/>
    <w:rsid w:val="718C24E9"/>
    <w:rsid w:val="71A3311F"/>
    <w:rsid w:val="71AA4E1C"/>
    <w:rsid w:val="71BB7E6B"/>
    <w:rsid w:val="71C619CE"/>
    <w:rsid w:val="72005730"/>
    <w:rsid w:val="7211041B"/>
    <w:rsid w:val="721418F3"/>
    <w:rsid w:val="72280301"/>
    <w:rsid w:val="7231753D"/>
    <w:rsid w:val="723637B5"/>
    <w:rsid w:val="72386C6E"/>
    <w:rsid w:val="723A3057"/>
    <w:rsid w:val="72400885"/>
    <w:rsid w:val="724B6026"/>
    <w:rsid w:val="724E6E8A"/>
    <w:rsid w:val="725273EA"/>
    <w:rsid w:val="725A4F7F"/>
    <w:rsid w:val="725B1897"/>
    <w:rsid w:val="72600668"/>
    <w:rsid w:val="72603689"/>
    <w:rsid w:val="726928DF"/>
    <w:rsid w:val="726C47BC"/>
    <w:rsid w:val="729955F2"/>
    <w:rsid w:val="72CD2240"/>
    <w:rsid w:val="72DC19E2"/>
    <w:rsid w:val="72E078C7"/>
    <w:rsid w:val="72EC4E12"/>
    <w:rsid w:val="72F82D01"/>
    <w:rsid w:val="731279BA"/>
    <w:rsid w:val="73306456"/>
    <w:rsid w:val="73373DED"/>
    <w:rsid w:val="73391B68"/>
    <w:rsid w:val="733F7A24"/>
    <w:rsid w:val="735008A6"/>
    <w:rsid w:val="735B2ABC"/>
    <w:rsid w:val="735C44F0"/>
    <w:rsid w:val="736A01CD"/>
    <w:rsid w:val="736B4D35"/>
    <w:rsid w:val="73741988"/>
    <w:rsid w:val="73814929"/>
    <w:rsid w:val="738342DB"/>
    <w:rsid w:val="73927EC3"/>
    <w:rsid w:val="7393399F"/>
    <w:rsid w:val="739709AF"/>
    <w:rsid w:val="73984022"/>
    <w:rsid w:val="739D530A"/>
    <w:rsid w:val="73C11347"/>
    <w:rsid w:val="73E2421D"/>
    <w:rsid w:val="74000D97"/>
    <w:rsid w:val="741915E0"/>
    <w:rsid w:val="744A422C"/>
    <w:rsid w:val="744C14FD"/>
    <w:rsid w:val="7463285B"/>
    <w:rsid w:val="74694C3B"/>
    <w:rsid w:val="746A6AAD"/>
    <w:rsid w:val="746F7452"/>
    <w:rsid w:val="747A4FBC"/>
    <w:rsid w:val="748B466B"/>
    <w:rsid w:val="74AA7A59"/>
    <w:rsid w:val="74B43489"/>
    <w:rsid w:val="74D94903"/>
    <w:rsid w:val="74DC7834"/>
    <w:rsid w:val="74E271F1"/>
    <w:rsid w:val="75326EC3"/>
    <w:rsid w:val="754D1541"/>
    <w:rsid w:val="7551327B"/>
    <w:rsid w:val="75550ED5"/>
    <w:rsid w:val="755F3E02"/>
    <w:rsid w:val="755F782E"/>
    <w:rsid w:val="756C22AA"/>
    <w:rsid w:val="75A16A9F"/>
    <w:rsid w:val="75BC6CCF"/>
    <w:rsid w:val="75C9148E"/>
    <w:rsid w:val="75DD4BF4"/>
    <w:rsid w:val="75E2761D"/>
    <w:rsid w:val="75E27D49"/>
    <w:rsid w:val="761867BE"/>
    <w:rsid w:val="761B5AA3"/>
    <w:rsid w:val="76232FB1"/>
    <w:rsid w:val="76365AD0"/>
    <w:rsid w:val="76476D94"/>
    <w:rsid w:val="7659011F"/>
    <w:rsid w:val="765D57EA"/>
    <w:rsid w:val="76606BFC"/>
    <w:rsid w:val="766C1E9B"/>
    <w:rsid w:val="7688585F"/>
    <w:rsid w:val="76EE28B0"/>
    <w:rsid w:val="76F54CF0"/>
    <w:rsid w:val="76FD23B9"/>
    <w:rsid w:val="76FD5906"/>
    <w:rsid w:val="76FD644A"/>
    <w:rsid w:val="77072866"/>
    <w:rsid w:val="770B684E"/>
    <w:rsid w:val="771D50F3"/>
    <w:rsid w:val="77204CB1"/>
    <w:rsid w:val="773055F7"/>
    <w:rsid w:val="77377FF2"/>
    <w:rsid w:val="773E5F5A"/>
    <w:rsid w:val="7754352C"/>
    <w:rsid w:val="77543DD8"/>
    <w:rsid w:val="775A1BA9"/>
    <w:rsid w:val="775C3282"/>
    <w:rsid w:val="777420FE"/>
    <w:rsid w:val="777C1603"/>
    <w:rsid w:val="779A741A"/>
    <w:rsid w:val="77A14CDE"/>
    <w:rsid w:val="77AA2F7D"/>
    <w:rsid w:val="77AD4E6B"/>
    <w:rsid w:val="77C25A25"/>
    <w:rsid w:val="77C96BD3"/>
    <w:rsid w:val="77D95381"/>
    <w:rsid w:val="78024BAC"/>
    <w:rsid w:val="781B592D"/>
    <w:rsid w:val="78266CE5"/>
    <w:rsid w:val="7827421F"/>
    <w:rsid w:val="782B4A23"/>
    <w:rsid w:val="78302F8F"/>
    <w:rsid w:val="784117AB"/>
    <w:rsid w:val="78510397"/>
    <w:rsid w:val="78552936"/>
    <w:rsid w:val="785E3A65"/>
    <w:rsid w:val="78677EE4"/>
    <w:rsid w:val="78731F0E"/>
    <w:rsid w:val="78747FCF"/>
    <w:rsid w:val="78754CBA"/>
    <w:rsid w:val="78962FA5"/>
    <w:rsid w:val="78A2215D"/>
    <w:rsid w:val="78A2423D"/>
    <w:rsid w:val="78A34657"/>
    <w:rsid w:val="78BF3BDD"/>
    <w:rsid w:val="78C148AC"/>
    <w:rsid w:val="78CA1FEE"/>
    <w:rsid w:val="78CB3FEB"/>
    <w:rsid w:val="78F7348E"/>
    <w:rsid w:val="790F7560"/>
    <w:rsid w:val="792A65AF"/>
    <w:rsid w:val="793B5CE2"/>
    <w:rsid w:val="795C411F"/>
    <w:rsid w:val="796834B3"/>
    <w:rsid w:val="797B3C8A"/>
    <w:rsid w:val="797F45FC"/>
    <w:rsid w:val="79815346"/>
    <w:rsid w:val="79970647"/>
    <w:rsid w:val="79D815F5"/>
    <w:rsid w:val="79D9682C"/>
    <w:rsid w:val="79DB75C0"/>
    <w:rsid w:val="79E37881"/>
    <w:rsid w:val="79E4486C"/>
    <w:rsid w:val="79EA2E0E"/>
    <w:rsid w:val="79ED08FA"/>
    <w:rsid w:val="79F10494"/>
    <w:rsid w:val="79FB478D"/>
    <w:rsid w:val="7A03606C"/>
    <w:rsid w:val="7A036672"/>
    <w:rsid w:val="7A067AFA"/>
    <w:rsid w:val="7A0C585A"/>
    <w:rsid w:val="7A21562A"/>
    <w:rsid w:val="7A2C7450"/>
    <w:rsid w:val="7A326B5A"/>
    <w:rsid w:val="7A553725"/>
    <w:rsid w:val="7A616D0A"/>
    <w:rsid w:val="7A6A5E4D"/>
    <w:rsid w:val="7A7F2C76"/>
    <w:rsid w:val="7A98273D"/>
    <w:rsid w:val="7AAC462A"/>
    <w:rsid w:val="7AAC60CD"/>
    <w:rsid w:val="7AC3454D"/>
    <w:rsid w:val="7AD95CCB"/>
    <w:rsid w:val="7AE50DF1"/>
    <w:rsid w:val="7AF84FA0"/>
    <w:rsid w:val="7AF909C6"/>
    <w:rsid w:val="7B0F1420"/>
    <w:rsid w:val="7B135043"/>
    <w:rsid w:val="7B1B3F2B"/>
    <w:rsid w:val="7B400DF3"/>
    <w:rsid w:val="7B611E85"/>
    <w:rsid w:val="7B6F1BD0"/>
    <w:rsid w:val="7B732126"/>
    <w:rsid w:val="7B755C15"/>
    <w:rsid w:val="7B7B20CE"/>
    <w:rsid w:val="7B8E1216"/>
    <w:rsid w:val="7B912423"/>
    <w:rsid w:val="7B9A1345"/>
    <w:rsid w:val="7BAB0D70"/>
    <w:rsid w:val="7BCA6C86"/>
    <w:rsid w:val="7BD03F32"/>
    <w:rsid w:val="7C044DA1"/>
    <w:rsid w:val="7C060136"/>
    <w:rsid w:val="7CA33449"/>
    <w:rsid w:val="7CA57EB5"/>
    <w:rsid w:val="7CA91E7F"/>
    <w:rsid w:val="7CB414EB"/>
    <w:rsid w:val="7CB974BC"/>
    <w:rsid w:val="7CBD0FCB"/>
    <w:rsid w:val="7CF624BE"/>
    <w:rsid w:val="7D0A0BA4"/>
    <w:rsid w:val="7D0D7365"/>
    <w:rsid w:val="7D107AF3"/>
    <w:rsid w:val="7D154658"/>
    <w:rsid w:val="7D230E1B"/>
    <w:rsid w:val="7D4253C7"/>
    <w:rsid w:val="7D4C5341"/>
    <w:rsid w:val="7D4E5EE6"/>
    <w:rsid w:val="7D5205D1"/>
    <w:rsid w:val="7D5F439E"/>
    <w:rsid w:val="7D8901AD"/>
    <w:rsid w:val="7D8E577D"/>
    <w:rsid w:val="7D9A426A"/>
    <w:rsid w:val="7D9E2700"/>
    <w:rsid w:val="7DCE69B8"/>
    <w:rsid w:val="7E006F08"/>
    <w:rsid w:val="7E0A723E"/>
    <w:rsid w:val="7E333E03"/>
    <w:rsid w:val="7E391FE6"/>
    <w:rsid w:val="7E916762"/>
    <w:rsid w:val="7E944DB6"/>
    <w:rsid w:val="7EA8461B"/>
    <w:rsid w:val="7EA916FD"/>
    <w:rsid w:val="7EE53C64"/>
    <w:rsid w:val="7EF26CB5"/>
    <w:rsid w:val="7EF50554"/>
    <w:rsid w:val="7F223472"/>
    <w:rsid w:val="7F541580"/>
    <w:rsid w:val="7F590594"/>
    <w:rsid w:val="7F667225"/>
    <w:rsid w:val="7F6B7807"/>
    <w:rsid w:val="7F844A6E"/>
    <w:rsid w:val="7F89469B"/>
    <w:rsid w:val="7FAA1C29"/>
    <w:rsid w:val="7FAC4830"/>
    <w:rsid w:val="7FB659E5"/>
    <w:rsid w:val="7FB7407D"/>
    <w:rsid w:val="7FC60E35"/>
    <w:rsid w:val="7FE5681A"/>
    <w:rsid w:val="7FEF65CD"/>
    <w:rsid w:val="7FF337B8"/>
    <w:rsid w:val="7FF61AD5"/>
    <w:rsid w:val="7FF66E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Balloon Text"/>
    <w:basedOn w:val="1"/>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rPr>
  </w:style>
  <w:style w:type="paragraph" w:customStyle="1" w:styleId="30">
    <w:name w:val="标4"/>
    <w:basedOn w:val="1"/>
    <w:qFormat/>
    <w:uiPriority w:val="0"/>
    <w:pPr>
      <w:adjustRightInd w:val="0"/>
      <w:spacing w:before="240" w:after="360" w:line="240" w:lineRule="exact"/>
      <w:ind w:firstLine="0" w:firstLineChars="0"/>
      <w:outlineLvl w:val="3"/>
    </w:pPr>
    <w:rPr>
      <w:rFonts w:ascii="Arial" w:hAnsi="Arial" w:cs="Arial"/>
      <w:b/>
      <w:bCs/>
      <w:kern w:val="24"/>
    </w:rPr>
  </w:style>
  <w:style w:type="paragraph" w:customStyle="1" w:styleId="31">
    <w:name w:val="Normal"/>
    <w:qFormat/>
    <w:uiPriority w:val="0"/>
    <w:pPr>
      <w:widowControl w:val="0"/>
      <w:adjustRightInd w:val="0"/>
      <w:spacing w:line="312" w:lineRule="atLeast"/>
      <w:jc w:val="both"/>
      <w:textAlignment w:val="baseline"/>
    </w:pPr>
    <w:rPr>
      <w:rFonts w:ascii="宋体" w:hAnsi="Times New Roman" w:eastAsia="宋体" w:cs="Times New Roman"/>
      <w:kern w:val="0"/>
      <w:sz w:val="24"/>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50</Pages>
  <Words>17117</Words>
  <Characters>18786</Characters>
  <Lines>0</Lines>
  <Paragraphs>0</Paragraphs>
  <TotalTime>38</TotalTime>
  <ScaleCrop>false</ScaleCrop>
  <LinksUpToDate>false</LinksUpToDate>
  <CharactersWithSpaces>20011</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2022-06-22T02:45:00Z</cp:lastPrinted>
  <dcterms:modified xsi:type="dcterms:W3CDTF">2022-06-22T09:40:26Z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2D021911ED1546C99DC6813B68C5E59F</vt:lpwstr>
  </property>
</Properties>
</file>