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亳州高铁南站金融商务中心项目幕墙、保温、门窗及栏杆工程专业分包（二次）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015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二〇二二年五</w:t>
      </w:r>
      <w:r>
        <w:rPr>
          <w:rFonts w:hint="eastAsia" w:ascii="Times New Roman" w:hAnsi="Times New Roman" w:eastAsia="楷体" w:cs="Times New Roman"/>
          <w:kern w:val="0"/>
          <w:sz w:val="32"/>
          <w:szCs w:val="32"/>
          <w:highlight w:val="none"/>
          <w:u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九</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 xml:space="preserve"> 亳州高铁南站金融商务中心项目幕墙、保温、门窗及栏杆工程</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专业分包（二次）</w:t>
      </w:r>
      <w:r>
        <w:rPr>
          <w:rFonts w:hint="eastAsia" w:ascii="Times New Roman" w:hAnsi="Times New Roman" w:eastAsia="黑体" w:cs="Times New Roman"/>
          <w:sz w:val="28"/>
          <w:szCs w:val="28"/>
          <w:highlight w:val="none"/>
          <w:lang w:val="en-US" w:eastAsia="zh-CN"/>
        </w:rPr>
        <w:t>招标公告</w:t>
      </w:r>
      <w:bookmarkStart w:id="0" w:name="_Toc152042295"/>
      <w:bookmarkStart w:id="1" w:name="_Toc144974487"/>
      <w:bookmarkStart w:id="2" w:name="_Toc179632536"/>
      <w:bookmarkStart w:id="3" w:name="_Toc246996909"/>
      <w:bookmarkStart w:id="4" w:name="_Toc152045519"/>
      <w:bookmarkStart w:id="5" w:name="_Toc246996166"/>
      <w:bookmarkStart w:id="6" w:name="_Toc247085680"/>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44974488"/>
      <w:bookmarkStart w:id="9" w:name="_Toc179632537"/>
      <w:bookmarkStart w:id="10" w:name="_Toc296602411"/>
      <w:bookmarkStart w:id="11" w:name="_Toc247085681"/>
      <w:bookmarkStart w:id="12" w:name="_Toc152042296"/>
      <w:bookmarkStart w:id="13" w:name="_Toc152045520"/>
      <w:bookmarkStart w:id="14" w:name="_Toc246996910"/>
      <w:bookmarkStart w:id="15" w:name="_Toc246996167"/>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亳州高铁南站金融商务中心项目幕墙、保温、门窗及栏杆工程专业分包（二次）</w:t>
      </w:r>
      <w:r>
        <w:rPr>
          <w:rFonts w:hint="eastAsia" w:ascii="Times New Roman" w:hAnsi="Times New Roman" w:eastAsia="仿宋_GB2312" w:cs="Times New Roman"/>
          <w:sz w:val="28"/>
          <w:szCs w:val="28"/>
          <w:highlight w:val="none"/>
          <w:u w:val="none"/>
          <w:lang w:val="en-US" w:eastAsia="zh-CN"/>
        </w:rPr>
        <w:t>（项目名称），项目</w:t>
      </w:r>
      <w:r>
        <w:rPr>
          <w:rFonts w:hint="eastAsia" w:ascii="Times New Roman" w:hAnsi="Times New Roman" w:eastAsia="仿宋_GB2312" w:cs="Times New Roman"/>
          <w:sz w:val="28"/>
          <w:szCs w:val="28"/>
          <w:highlight w:val="none"/>
          <w:lang w:val="en-US" w:eastAsia="zh-CN"/>
        </w:rPr>
        <w:t>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u w:val="none"/>
          <w:lang w:val="en-US" w:eastAsia="zh-CN"/>
        </w:rPr>
        <w:t>，项目出资比例为</w:t>
      </w:r>
      <w:r>
        <w:rPr>
          <w:rFonts w:hint="eastAsia" w:ascii="Times New Roman" w:hAnsi="Times New Roman" w:eastAsia="黑体" w:cs="Times New Roman"/>
          <w:sz w:val="28"/>
          <w:szCs w:val="28"/>
          <w:highlight w:val="none"/>
          <w:u w:val="single"/>
          <w:lang w:val="en-US" w:eastAsia="zh-CN"/>
        </w:rPr>
        <w:t xml:space="preserve"> 100% </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安徽通康建设工程有限公司</w:t>
      </w:r>
      <w:r>
        <w:rPr>
          <w:rFonts w:hint="eastAsia" w:ascii="Times New Roman" w:hAnsi="Times New Roman" w:eastAsia="仿宋_GB2312" w:cs="Times New Roman"/>
          <w:sz w:val="28"/>
          <w:szCs w:val="28"/>
          <w:highlight w:val="none"/>
          <w:lang w:val="en-US" w:eastAsia="zh-CN"/>
        </w:rPr>
        <w:t>。项目已具备招标条件，现对该项目施工进行</w:t>
      </w:r>
      <w:r>
        <w:rPr>
          <w:rFonts w:hint="eastAsia" w:ascii="Times New Roman" w:hAnsi="Times New Roman" w:eastAsia="仿宋_GB2312" w:cs="Times New Roman"/>
          <w:sz w:val="28"/>
          <w:szCs w:val="28"/>
          <w:highlight w:val="none"/>
          <w:u w:val="single"/>
          <w:lang w:val="en-US" w:eastAsia="zh-CN"/>
        </w:rPr>
        <w:t>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w:t>
      </w:r>
      <w:r>
        <w:rPr>
          <w:rFonts w:hint="eastAsia" w:ascii="Times New Roman" w:hAnsi="Times New Roman" w:eastAsia="仿宋_GB2312" w:cs="Times New Roman"/>
          <w:sz w:val="28"/>
          <w:szCs w:val="28"/>
          <w:highlight w:val="none"/>
          <w:u w:val="none"/>
          <w:lang w:val="en-US" w:eastAsia="zh-CN"/>
        </w:rPr>
        <w:t>亳州高铁南站金融商务中心项目位于酒城大道北侧、神农大道西侧，项目投资估算约2亿元，占地面积约18522.1平方米，总建筑面积约47000平方米，其中地上建筑面积约34131.58平方米，地下建筑面积约13201.58平方米，幕墙工程含石材幕墙、金属板幕墙、玻璃幕墙等，造价约1982万元，保温工程含保温不上人屋面、保温隔热墙面等工程造价约205万元，门窗及栏杆工程造价约436万元</w:t>
      </w:r>
      <w:r>
        <w:rPr>
          <w:rFonts w:hint="eastAsia" w:ascii="Times New Roman" w:hAnsi="Times New Roman" w:eastAsia="仿宋_GB2312" w:cs="Times New Roman"/>
          <w:strike w:val="0"/>
          <w:dstrike w:val="0"/>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现场已具备施工条件。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yellow"/>
          <w:lang w:val="en-US" w:eastAsia="zh-CN"/>
        </w:rPr>
      </w:pPr>
      <w:r>
        <w:rPr>
          <w:rFonts w:hint="eastAsia" w:ascii="Times New Roman" w:hAnsi="Times New Roman" w:eastAsia="仿宋_GB2312" w:cs="Times New Roman"/>
          <w:sz w:val="28"/>
          <w:szCs w:val="28"/>
          <w:highlight w:val="none"/>
          <w:lang w:val="en-US" w:eastAsia="zh-CN"/>
        </w:rPr>
        <w:t>（二）招标范围：亳州高铁南站金融商务中心项目幕墙、保温、门窗及栏杆工程专业分包。施工包括施工图纸及清单范围，具体内容但不限于：幕墙工程含石材幕墙、金属板幕墙、玻璃幕墙，保温工程含保温不上人屋面、保温隔热墙面等工程（外墙保温含胶粘剂、耐碱网格布、抹面胶浆等全部材料及施工）。门窗工程含门联窗、金属窗、金属百页窗、金属扶手、栏杆、栏板等全部施工内容。以上工程为包工包料、包质量、包安全、包资料、包方案、包施工机械、包施工措施、包税费、包检测、包文明施工、包竣工验收合格和工程保修等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iCs/>
          <w:color w:val="auto"/>
          <w:sz w:val="28"/>
          <w:szCs w:val="28"/>
          <w:highlight w:val="none"/>
          <w:u w:val="single"/>
          <w:shd w:val="clear" w:color="auto" w:fill="auto"/>
          <w:lang w:val="en-US" w:eastAsia="zh-CN"/>
        </w:rPr>
      </w:pPr>
      <w:r>
        <w:rPr>
          <w:rFonts w:hint="eastAsia" w:ascii="Times New Roman" w:hAnsi="Times New Roman" w:eastAsia="仿宋_GB2312" w:cs="Times New Roman"/>
          <w:sz w:val="28"/>
          <w:szCs w:val="28"/>
          <w:highlight w:val="none"/>
          <w:lang w:val="en-US" w:eastAsia="zh-CN"/>
        </w:rPr>
        <w:t>（三）质量标准：</w:t>
      </w:r>
      <w:r>
        <w:rPr>
          <w:rFonts w:hint="eastAsia" w:ascii="Times New Roman" w:hAnsi="Times New Roman" w:eastAsia="仿宋_GB2312" w:cs="Times New Roman"/>
          <w:color w:val="auto"/>
          <w:sz w:val="28"/>
          <w:szCs w:val="28"/>
          <w:highlight w:val="none"/>
          <w:shd w:val="clear" w:color="auto" w:fill="auto"/>
          <w:lang w:val="en-US" w:eastAsia="zh-CN"/>
        </w:rPr>
        <w:t>符合国家、行业及地方现行相关规范合格标准。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sz w:val="28"/>
          <w:szCs w:val="28"/>
          <w:highlight w:val="none"/>
          <w:lang w:val="en-US" w:eastAsia="zh-CN"/>
        </w:rPr>
        <w:t>（四）计划工期：</w:t>
      </w:r>
      <w:r>
        <w:rPr>
          <w:rFonts w:hint="eastAsia" w:ascii="Times New Roman" w:hAnsi="Times New Roman" w:eastAsia="仿宋_GB2312" w:cs="Times New Roman"/>
          <w:color w:val="auto"/>
          <w:sz w:val="28"/>
          <w:szCs w:val="28"/>
          <w:highlight w:val="none"/>
          <w:shd w:val="clear" w:color="auto" w:fill="auto"/>
          <w:lang w:val="en-US" w:eastAsia="zh-CN"/>
        </w:rPr>
        <w:t>自签订合同之日起120个日历天内完成本项目全部施工内容。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shd w:val="clear"/>
          <w:lang w:val="en-US" w:eastAsia="zh-CN"/>
        </w:rPr>
        <w:t>（五）最高投标限价（含税）：经第三方造价咨询机构编制的清单控制价为26239202.19元，最高投标限价不超过清单控制价的91.5%（24008870元）。本项目按固定总价方式报价，投标人不再对清单进行分项报价。投标报价应包括为完成本项目招标范围包含的实体和辅助以及各种协调工作，包括各阶段工作以及后期服务所需的全部费用、利润、规费及税金，</w:t>
      </w:r>
      <w:r>
        <w:rPr>
          <w:rFonts w:hint="eastAsia" w:ascii="Times New Roman" w:hAnsi="Times New Roman" w:eastAsia="仿宋_GB2312" w:cs="Times New Roman"/>
          <w:sz w:val="28"/>
          <w:szCs w:val="28"/>
          <w:highlight w:val="none"/>
          <w:lang w:val="en-US" w:eastAsia="zh-CN"/>
        </w:rPr>
        <w:t>其他未尽事宜应统一考虑在报价内。投标报价超出限价或低于成本价的，按无效投标处理。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投标人须具有独立企业法人资格，具有有效的营业执照，并在人员、设备、资金等方面具有承担本项目的能力。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eastAsia" w:ascii="Times New Roman" w:hAnsi="Times New Roman" w:eastAsia="仿宋_GB2312" w:cs="Times New Roman"/>
          <w:sz w:val="28"/>
          <w:szCs w:val="28"/>
          <w:highlight w:val="none"/>
          <w:shd w:val="clear"/>
          <w:lang w:val="en-US" w:eastAsia="zh-CN"/>
        </w:rPr>
        <w:t>（二）资质要求：</w:t>
      </w:r>
      <w:r>
        <w:rPr>
          <w:rFonts w:hint="eastAsia" w:ascii="Times New Roman" w:hAnsi="Times New Roman" w:eastAsia="仿宋_GB2312" w:cs="Times New Roman"/>
          <w:color w:val="auto"/>
          <w:sz w:val="28"/>
          <w:szCs w:val="28"/>
          <w:highlight w:val="none"/>
          <w:shd w:val="clear" w:color="auto" w:fill="auto"/>
          <w:lang w:val="en-US" w:eastAsia="zh-CN"/>
        </w:rPr>
        <w:t>投标人须具有建筑幕墙工程专业承包一级及以上、建筑装饰装修工程专业承包二级及以上、防水防腐保温工程专业分包二级及以上资质，</w:t>
      </w:r>
      <w:r>
        <w:rPr>
          <w:rFonts w:hint="eastAsia" w:ascii="Times New Roman" w:hAnsi="Times New Roman" w:eastAsia="仿宋_GB2312" w:cs="Times New Roman"/>
          <w:color w:val="auto"/>
          <w:sz w:val="28"/>
          <w:szCs w:val="28"/>
          <w:highlight w:val="none"/>
          <w:shd w:val="clear"/>
          <w:lang w:val="en-US" w:eastAsia="zh-CN"/>
        </w:rPr>
        <w:t>具有有效的</w:t>
      </w:r>
      <w:r>
        <w:rPr>
          <w:rFonts w:hint="eastAsia" w:ascii="Times New Roman" w:hAnsi="Times New Roman" w:eastAsia="仿宋_GB2312" w:cs="Times New Roman"/>
          <w:sz w:val="28"/>
          <w:szCs w:val="28"/>
          <w:highlight w:val="none"/>
          <w:shd w:val="clear"/>
          <w:lang w:val="en-US" w:eastAsia="zh-CN"/>
        </w:rPr>
        <w:t>安全生产许可证。</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（三）人员要求：</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 </w:t>
      </w:r>
      <w:r>
        <w:rPr>
          <w:rFonts w:hint="eastAsia" w:ascii="Times New Roman" w:hAnsi="Times New Roman" w:eastAsia="仿宋_GB2312" w:cs="Times New Roman"/>
          <w:color w:val="auto"/>
          <w:sz w:val="28"/>
          <w:szCs w:val="28"/>
          <w:highlight w:val="none"/>
          <w:shd w:val="clear" w:color="auto" w:fill="auto"/>
          <w:lang w:val="en-US" w:eastAsia="zh-CN"/>
        </w:rPr>
        <w:t>投标人拟派项目负责人须具备</w:t>
      </w:r>
      <w:r>
        <w:rPr>
          <w:rFonts w:hint="eastAsia" w:ascii="Times New Roman" w:hAnsi="Times New Roman" w:eastAsia="黑体" w:cs="Times New Roman"/>
          <w:color w:val="auto"/>
          <w:sz w:val="28"/>
          <w:szCs w:val="28"/>
          <w:highlight w:val="none"/>
          <w:u w:val="single"/>
          <w:shd w:val="clear" w:color="auto" w:fill="auto"/>
          <w:lang w:val="en-US" w:eastAsia="zh-CN"/>
        </w:rPr>
        <w:t xml:space="preserve"> </w:t>
      </w:r>
      <w:r>
        <w:rPr>
          <w:rFonts w:hint="eastAsia" w:ascii="Times New Roman" w:hAnsi="Times New Roman" w:eastAsia="仿宋_GB2312" w:cs="Times New Roman"/>
          <w:color w:val="auto"/>
          <w:sz w:val="28"/>
          <w:szCs w:val="28"/>
          <w:highlight w:val="none"/>
          <w:u w:val="single"/>
          <w:shd w:val="clear" w:color="auto" w:fill="auto"/>
          <w:lang w:val="en-US" w:eastAsia="zh-CN"/>
        </w:rPr>
        <w:t>建筑</w:t>
      </w:r>
      <w:r>
        <w:rPr>
          <w:rFonts w:hint="eastAsia" w:ascii="Times New Roman" w:hAnsi="Times New Roman" w:eastAsia="黑体" w:cs="Times New Roman"/>
          <w:color w:val="auto"/>
          <w:sz w:val="28"/>
          <w:szCs w:val="28"/>
          <w:highlight w:val="none"/>
          <w:u w:val="single"/>
          <w:shd w:val="clear" w:color="auto" w:fill="auto"/>
          <w:lang w:val="en-US" w:eastAsia="zh-CN"/>
        </w:rPr>
        <w:t xml:space="preserve"> </w:t>
      </w:r>
      <w:r>
        <w:rPr>
          <w:rFonts w:hint="eastAsia" w:ascii="Times New Roman" w:hAnsi="Times New Roman" w:eastAsia="仿宋_GB2312" w:cs="Times New Roman"/>
          <w:color w:val="auto"/>
          <w:sz w:val="28"/>
          <w:szCs w:val="28"/>
          <w:highlight w:val="none"/>
          <w:shd w:val="clear" w:color="auto" w:fill="auto"/>
          <w:lang w:val="en-US" w:eastAsia="zh-CN"/>
        </w:rPr>
        <w:t>专业</w:t>
      </w:r>
      <w:r>
        <w:rPr>
          <w:rFonts w:hint="eastAsia" w:ascii="Times New Roman" w:hAnsi="Times New Roman" w:eastAsia="仿宋_GB2312" w:cs="Times New Roman"/>
          <w:color w:val="auto"/>
          <w:sz w:val="28"/>
          <w:szCs w:val="28"/>
          <w:highlight w:val="none"/>
          <w:u w:val="single"/>
          <w:shd w:val="clear" w:color="auto" w:fill="auto"/>
          <w:lang w:val="en-US" w:eastAsia="zh-CN"/>
        </w:rPr>
        <w:t>二</w:t>
      </w:r>
      <w:r>
        <w:rPr>
          <w:rFonts w:hint="eastAsia" w:ascii="Times New Roman" w:hAnsi="Times New Roman" w:eastAsia="仿宋_GB2312" w:cs="Times New Roman"/>
          <w:color w:val="auto"/>
          <w:sz w:val="28"/>
          <w:szCs w:val="28"/>
          <w:highlight w:val="none"/>
          <w:shd w:val="clear" w:color="auto" w:fill="auto"/>
          <w:lang w:val="en-US" w:eastAsia="zh-CN"/>
        </w:rPr>
        <w:t>级及以上注册建造师执业资格，具备有效的安全考核合格证书B证，</w:t>
      </w:r>
      <w:r>
        <w:rPr>
          <w:rFonts w:hint="eastAsia" w:ascii="Times New Roman" w:hAnsi="Times New Roman" w:eastAsia="仿宋_GB2312" w:cs="Times New Roman"/>
          <w:sz w:val="28"/>
          <w:szCs w:val="28"/>
          <w:highlight w:val="none"/>
          <w:lang w:val="en-US" w:eastAsia="zh-CN"/>
        </w:rPr>
        <w:t>无被亳州市市本级（县区）各行业主管部门及公共资源交易监管部门限制投标的不良行为记录（有效期内），未担任其他在建工程项目的项目负责人且符合注册建造师执业管理办法规定；</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2. 投标人拟派技术负责人须具备建筑工程中级及以上职称；</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3. 投标人拟派安全员、</w:t>
      </w:r>
      <w:r>
        <w:rPr>
          <w:rFonts w:hint="eastAsia" w:ascii="Times New Roman" w:hAnsi="Times New Roman" w:eastAsia="仿宋_GB2312" w:cs="Times New Roman"/>
          <w:color w:val="auto"/>
          <w:sz w:val="28"/>
          <w:szCs w:val="28"/>
          <w:highlight w:val="none"/>
          <w:u w:val="none"/>
          <w:shd w:val="clear" w:color="auto" w:fill="auto"/>
          <w:lang w:val="en-US" w:eastAsia="zh-CN"/>
        </w:rPr>
        <w:t>质检员</w:t>
      </w:r>
      <w:r>
        <w:rPr>
          <w:rFonts w:hint="eastAsia" w:ascii="Times New Roman" w:hAnsi="Times New Roman" w:eastAsia="仿宋_GB2312" w:cs="Times New Roman"/>
          <w:color w:val="auto"/>
          <w:sz w:val="28"/>
          <w:szCs w:val="28"/>
          <w:highlight w:val="none"/>
          <w:shd w:val="clear" w:color="auto" w:fill="auto"/>
          <w:lang w:val="en-US" w:eastAsia="zh-CN"/>
        </w:rPr>
        <w:t>、施工员、材料员、资料员各一名；</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注：上述人员须提供有效的资格证书和公司为其缴纳的2021年8月1日起任意3 个月及以上社保证明。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（四）投标人须提供以下企业类似项目业绩：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u w:val="single"/>
          <w:shd w:val="clear" w:color="auto" w:fill="auto"/>
          <w:lang w:val="en-US" w:eastAsia="zh-CN"/>
        </w:rPr>
      </w:pPr>
      <w:r>
        <w:rPr>
          <w:rFonts w:hint="eastAsia" w:ascii="Times New Roman" w:hAnsi="Times New Roman" w:eastAsia="仿宋_GB2312" w:cs="Times New Roman"/>
          <w:sz w:val="28"/>
          <w:szCs w:val="28"/>
          <w:highlight w:val="none"/>
          <w:lang w:val="en-US" w:eastAsia="zh-CN"/>
        </w:rPr>
        <w:t>1. 投标人须提供至少1项</w:t>
      </w:r>
      <w:r>
        <w:rPr>
          <w:rFonts w:hint="eastAsia" w:ascii="Times New Roman" w:hAnsi="Times New Roman" w:eastAsia="仿宋_GB2312" w:cs="Times New Roman"/>
          <w:color w:val="auto"/>
          <w:sz w:val="28"/>
          <w:szCs w:val="28"/>
          <w:highlight w:val="none"/>
          <w:u w:val="none"/>
          <w:shd w:val="clear" w:color="auto" w:fill="auto"/>
          <w:lang w:val="en-US" w:eastAsia="zh-CN"/>
        </w:rPr>
        <w:t>2019年1月1日至今承接的单项合同中建筑幕墙工程金额不低于1500万元的业绩；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u w:val="single"/>
          <w:shd w:val="clear" w:color="auto" w:fill="auto"/>
          <w:lang w:val="en-US" w:eastAsia="zh-CN"/>
        </w:rPr>
      </w:pPr>
      <w:r>
        <w:rPr>
          <w:rFonts w:hint="eastAsia" w:ascii="Times New Roman" w:hAnsi="Times New Roman" w:eastAsia="仿宋_GB2312" w:cs="Times New Roman"/>
          <w:i w:val="0"/>
          <w:iCs w:val="0"/>
          <w:color w:val="auto"/>
          <w:sz w:val="28"/>
          <w:szCs w:val="28"/>
          <w:highlight w:val="none"/>
          <w:u w:val="none"/>
          <w:shd w:val="clear" w:color="auto" w:fill="auto"/>
          <w:lang w:val="en-US" w:eastAsia="zh-CN"/>
        </w:rPr>
        <w:t xml:space="preserve">2. </w:t>
      </w:r>
      <w:r>
        <w:rPr>
          <w:rFonts w:hint="eastAsia" w:ascii="Times New Roman" w:hAnsi="Times New Roman" w:eastAsia="仿宋_GB2312" w:cs="Times New Roman"/>
          <w:sz w:val="28"/>
          <w:szCs w:val="28"/>
          <w:highlight w:val="none"/>
          <w:lang w:val="en-US" w:eastAsia="zh-CN"/>
        </w:rPr>
        <w:t>投标人须提供至少1项</w:t>
      </w:r>
      <w:r>
        <w:rPr>
          <w:rFonts w:hint="eastAsia" w:ascii="Times New Roman" w:hAnsi="Times New Roman" w:eastAsia="仿宋_GB2312" w:cs="Times New Roman"/>
          <w:color w:val="auto"/>
          <w:sz w:val="28"/>
          <w:szCs w:val="28"/>
          <w:highlight w:val="none"/>
          <w:u w:val="none"/>
          <w:shd w:val="clear" w:color="auto" w:fill="auto"/>
          <w:lang w:val="en-US" w:eastAsia="zh-CN"/>
        </w:rPr>
        <w:t>2019年1月1日至今承接的单项合同中保温工程金额不低于200万元的业绩；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u w:val="none"/>
          <w:shd w:val="clear" w:color="auto" w:fill="auto"/>
          <w:lang w:val="en-US" w:eastAsia="zh-CN"/>
        </w:rPr>
      </w:pPr>
      <w:r>
        <w:rPr>
          <w:rFonts w:hint="eastAsia" w:ascii="Times New Roman" w:hAnsi="Times New Roman" w:eastAsia="仿宋_GB2312" w:cs="Times New Roman"/>
          <w:color w:val="auto"/>
          <w:sz w:val="28"/>
          <w:szCs w:val="28"/>
          <w:highlight w:val="none"/>
          <w:u w:val="none"/>
          <w:shd w:val="clear" w:color="auto" w:fill="auto"/>
          <w:lang w:val="en-US" w:eastAsia="zh-CN"/>
        </w:rPr>
        <w:t xml:space="preserve">3. </w:t>
      </w:r>
      <w:r>
        <w:rPr>
          <w:rFonts w:hint="eastAsia" w:ascii="Times New Roman" w:hAnsi="Times New Roman" w:eastAsia="仿宋_GB2312" w:cs="Times New Roman"/>
          <w:sz w:val="28"/>
          <w:szCs w:val="28"/>
          <w:highlight w:val="none"/>
          <w:lang w:val="en-US" w:eastAsia="zh-CN"/>
        </w:rPr>
        <w:t>投标人须提供至少1项</w:t>
      </w:r>
      <w:r>
        <w:rPr>
          <w:rFonts w:hint="eastAsia" w:ascii="Times New Roman" w:hAnsi="Times New Roman" w:eastAsia="仿宋_GB2312" w:cs="Times New Roman"/>
          <w:color w:val="auto"/>
          <w:sz w:val="28"/>
          <w:szCs w:val="28"/>
          <w:highlight w:val="none"/>
          <w:u w:val="none"/>
          <w:shd w:val="clear" w:color="auto" w:fill="auto"/>
          <w:lang w:val="en-US" w:eastAsia="zh-CN"/>
        </w:rPr>
        <w:t>2019年1月1日至今承接的单项合同中门窗工程金额不低于400万元的业绩。</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注：</w:t>
      </w:r>
      <w:r>
        <w:rPr>
          <w:rFonts w:hint="eastAsia" w:ascii="Times New Roman" w:hAnsi="Times New Roman" w:eastAsia="楷体_GB2312" w:cs="Times New Roman"/>
          <w:sz w:val="28"/>
          <w:szCs w:val="28"/>
          <w:highlight w:val="none"/>
          <w:lang w:val="en-US" w:eastAsia="zh-CN"/>
        </w:rPr>
        <w:t>业绩时间以竣工验收时间为准。投标人须</w:t>
      </w:r>
      <w:r>
        <w:rPr>
          <w:rFonts w:hint="default" w:ascii="Times New Roman" w:hAnsi="Times New Roman" w:eastAsia="楷体_GB2312" w:cs="Times New Roman"/>
          <w:sz w:val="28"/>
          <w:szCs w:val="28"/>
          <w:highlight w:val="none"/>
          <w:lang w:val="en-US" w:eastAsia="zh-CN"/>
        </w:rPr>
        <w:t>提供业绩合同、竣工验收文件（验收报告、验收备案表或业主证明等）的复印件或扫描件，加盖投标人公章并装订入投标文件中。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（五）信誉要求：投标人存在以下不良信用记录情形之一的，不得推荐为中标候选人。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以上情形以“信用中国”（www.creditchina.gov.cn）发布的为准，有限制期限的按规定期限执行。（提供信用中国网站查询结果截图）。</w:t>
      </w:r>
    </w:p>
    <w:p>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本次招标</w:t>
      </w:r>
      <w:r>
        <w:rPr>
          <w:rFonts w:hint="eastAsia" w:asciiTheme="minorEastAsia" w:hAnsiTheme="minorEastAsia" w:cstheme="minorEastAsia"/>
          <w:i w:val="0"/>
          <w:iCs w:val="0"/>
          <w:color w:val="auto"/>
          <w:sz w:val="28"/>
          <w:szCs w:val="28"/>
          <w:highlight w:val="none"/>
          <w:u w:val="single"/>
          <w:shd w:val="clear" w:color="auto" w:fill="auto"/>
          <w:lang w:val="en-US" w:eastAsia="zh-CN"/>
        </w:rPr>
        <w:t>接受</w:t>
      </w:r>
      <w:r>
        <w:rPr>
          <w:rFonts w:hint="eastAsia" w:ascii="Times New Roman" w:hAnsi="Times New Roman" w:eastAsia="仿宋_GB2312" w:cs="Times New Roman"/>
          <w:color w:val="auto"/>
          <w:sz w:val="28"/>
          <w:szCs w:val="28"/>
          <w:highlight w:val="none"/>
          <w:shd w:val="clear" w:color="auto" w:fill="auto"/>
          <w:lang w:val="en-US" w:eastAsia="zh-CN"/>
        </w:rPr>
        <w:t>联合体投标。</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w:t>
      </w:r>
      <w:r>
        <w:rPr>
          <w:rFonts w:hint="default" w:ascii="Times New Roman" w:hAnsi="Times New Roman" w:eastAsia="仿宋_GB2312" w:cs="Times New Roman"/>
          <w:sz w:val="28"/>
          <w:szCs w:val="28"/>
          <w:highlight w:val="none"/>
          <w:lang w:val="en-US" w:eastAsia="zh-CN"/>
        </w:rPr>
        <w:t>联合体投标文件中必须包含联合体协议且联合体协议中必须指定牵头单位；</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2.</w:t>
      </w:r>
      <w:r>
        <w:rPr>
          <w:rFonts w:hint="default" w:ascii="Times New Roman" w:hAnsi="Times New Roman" w:eastAsia="仿宋_GB2312" w:cs="Times New Roman"/>
          <w:color w:val="auto"/>
          <w:sz w:val="28"/>
          <w:szCs w:val="28"/>
          <w:highlight w:val="none"/>
          <w:shd w:val="clear" w:color="auto" w:fill="auto"/>
          <w:lang w:val="en-US" w:eastAsia="zh-CN"/>
        </w:rPr>
        <w:t>联合体组成不得超过两名成员，联合体牵头方须为</w:t>
      </w:r>
      <w:r>
        <w:rPr>
          <w:rFonts w:hint="eastAsia" w:ascii="Times New Roman" w:hAnsi="Times New Roman" w:eastAsia="仿宋_GB2312" w:cs="Times New Roman"/>
          <w:color w:val="auto"/>
          <w:sz w:val="28"/>
          <w:szCs w:val="28"/>
          <w:highlight w:val="none"/>
          <w:shd w:val="clear" w:color="auto" w:fill="auto"/>
          <w:lang w:val="en-US" w:eastAsia="zh-CN"/>
        </w:rPr>
        <w:t>幕墙</w:t>
      </w:r>
      <w:r>
        <w:rPr>
          <w:rFonts w:hint="default" w:ascii="Times New Roman" w:hAnsi="Times New Roman" w:eastAsia="仿宋_GB2312" w:cs="Times New Roman"/>
          <w:color w:val="auto"/>
          <w:sz w:val="28"/>
          <w:szCs w:val="28"/>
          <w:highlight w:val="none"/>
          <w:shd w:val="clear" w:color="auto" w:fill="auto"/>
          <w:lang w:val="en-US" w:eastAsia="zh-CN"/>
        </w:rPr>
        <w:t>施工单位</w:t>
      </w:r>
      <w:r>
        <w:rPr>
          <w:rFonts w:hint="eastAsia" w:ascii="Times New Roman" w:hAnsi="Times New Roman" w:eastAsia="仿宋_GB2312" w:cs="Times New Roman"/>
          <w:color w:val="auto"/>
          <w:sz w:val="28"/>
          <w:szCs w:val="28"/>
          <w:highlight w:val="none"/>
          <w:shd w:val="clear" w:color="auto" w:fill="auto"/>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w:t>
      </w:r>
      <w:r>
        <w:rPr>
          <w:rFonts w:hint="default" w:ascii="Times New Roman" w:hAnsi="Times New Roman" w:eastAsia="仿宋_GB2312" w:cs="Times New Roman"/>
          <w:sz w:val="28"/>
          <w:szCs w:val="28"/>
          <w:highlight w:val="none"/>
          <w:lang w:val="en-US" w:eastAsia="zh-CN"/>
        </w:rPr>
        <w:t>由联合体牵头单位负责本次招投标的一切事务（包括但不限于招标文件下载、投标保证金及履约保证金的缴纳、投标文件递交、异议、投诉、合同签订、合同履行过程中的管理、沟通、协调及相关文件签署等）；</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w:t>
      </w:r>
      <w:r>
        <w:rPr>
          <w:rFonts w:hint="default" w:ascii="Times New Roman" w:hAnsi="Times New Roman" w:eastAsia="仿宋_GB2312" w:cs="Times New Roman"/>
          <w:sz w:val="28"/>
          <w:szCs w:val="28"/>
          <w:highlight w:val="none"/>
          <w:lang w:val="en-US" w:eastAsia="zh-CN"/>
        </w:rPr>
        <w:t>合同签订前联合体成员变更或解体或有成员退出的，视为联合体自动放弃中标资格，招标人有权拒绝签订合同且不退还投标保证金；</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w:t>
      </w:r>
      <w:r>
        <w:rPr>
          <w:rFonts w:hint="default" w:ascii="Times New Roman" w:hAnsi="Times New Roman" w:eastAsia="仿宋_GB2312" w:cs="Times New Roman"/>
          <w:sz w:val="28"/>
          <w:szCs w:val="28"/>
          <w:highlight w:val="none"/>
          <w:lang w:val="en-US" w:eastAsia="zh-CN"/>
        </w:rPr>
        <w:t>联合体中标的，联合体各方须共同与招标人签订合同，否则视为联合体自动放弃中标资格，招标人有权拒绝签订合同且不退还投标保证金。</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（一）投标文件递交的截止时间（投标截止时间，下同）</w:t>
      </w:r>
      <w:r>
        <w:rPr>
          <w:rFonts w:hint="default" w:ascii="Times New Roman" w:hAnsi="Times New Roman" w:eastAsia="仿宋_GB2312" w:cs="Times New Roman"/>
          <w:color w:val="auto"/>
          <w:sz w:val="28"/>
          <w:szCs w:val="28"/>
          <w:highlight w:val="none"/>
          <w:shd w:val="clear" w:color="auto" w:fill="auto"/>
          <w:lang w:val="en-US" w:eastAsia="zh-CN"/>
        </w:rPr>
        <w:t>为</w:t>
      </w:r>
      <w:r>
        <w:rPr>
          <w:rFonts w:hint="eastAsia" w:ascii="Times New Roman" w:hAnsi="Times New Roman" w:eastAsia="仿宋_GB2312" w:cs="Times New Roman"/>
          <w:color w:val="auto"/>
          <w:sz w:val="28"/>
          <w:szCs w:val="28"/>
          <w:highlight w:val="none"/>
          <w:shd w:val="clear" w:color="auto" w:fill="auto"/>
          <w:lang w:val="en-US" w:eastAsia="zh-CN"/>
        </w:rPr>
        <w:t>2022年5月20日</w:t>
      </w:r>
      <w:r>
        <w:rPr>
          <w:rFonts w:hint="default" w:ascii="Times New Roman" w:hAnsi="Times New Roman" w:eastAsia="仿宋_GB2312" w:cs="Times New Roman"/>
          <w:color w:val="auto"/>
          <w:sz w:val="28"/>
          <w:szCs w:val="28"/>
          <w:highlight w:val="none"/>
          <w:shd w:val="clear" w:color="auto" w:fill="auto"/>
          <w:lang w:val="en-US" w:eastAsia="zh-CN"/>
        </w:rPr>
        <w:t>9时00分，</w:t>
      </w:r>
      <w:r>
        <w:rPr>
          <w:rFonts w:hint="default" w:ascii="Times New Roman" w:hAnsi="Times New Roman" w:eastAsia="仿宋_GB2312" w:cs="Times New Roman"/>
          <w:sz w:val="28"/>
          <w:szCs w:val="28"/>
          <w:highlight w:val="none"/>
          <w:lang w:val="en-US" w:eastAsia="zh-CN"/>
        </w:rPr>
        <w:t>地点为亳州交通投资控股集团有限公司8楼会议室（药都大道与希夷大道交叉口东北角8楼）。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（二）逾期送达的、未送达指定地点的、不按照征集文件要求密封的，采购人将予以拒收。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 (三)为响应亳州市疫情防控要求，本次招标允许供应商以邮寄方式递交响应文件。供应商采用邮寄方式递交响应文件的，响应文件送达时间以采购人签收快递时间为准。邮寄信息同招标平台联系方式，供应商寄出投标文件后，应电话通知招标平台工作人员，以便采购人及时签收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本次招标公告同时在亳州交通投资控股集团有限公司官网（www.bzjkjt.com）、安徽省招标投标信息网（www.ahtba.org.cn）及优质采云采购平台（www.youzhicai.com）上发布。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址：安徽省亳州市谯城区大杨镇省道309线亳州收费站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王工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18133336516</w:t>
      </w:r>
      <w:bookmarkStart w:id="220" w:name="_GoBack"/>
      <w:bookmarkEnd w:id="22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ind w:firstLine="4480" w:firstLineChars="1600"/>
        <w:textAlignment w:val="auto"/>
        <w:rPr>
          <w:rFonts w:hint="eastAsia" w:asciiTheme="minorEastAsia" w:hAnsiTheme="minorEastAsia" w:cstheme="minorEastAsia"/>
          <w:i/>
          <w:iCs/>
          <w:color w:val="FF0000"/>
          <w:sz w:val="28"/>
          <w:szCs w:val="28"/>
          <w:highlight w:val="none"/>
          <w:u w:val="single"/>
          <w:lang w:val="en-US" w:eastAsia="zh-CN"/>
        </w:rPr>
      </w:pP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600" w:firstLineChars="20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5</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10</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3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招标文件的澄清在亳州交通投资控股集团有限公司官网（www.bzjkjt.com）、安徽省招标投标信息网（www.ahtba.org.cn）及优质采云采购平台（www.youzhicai.com）上的发布时间，视为投标人确认收到招标文件澄清的时间。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招标文件的修改在亳州交通投资控股集团有限公司官网（www.bzjkjt.com）、安徽省招标投标信息网（www.ahtba.org.cn）及优质采云采购平台（www.youzhicai.com）上的发布时间，视为投标人确认收到招标文件修改的时间。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iCs/>
                <w:color w:val="FF0000"/>
                <w:szCs w:val="21"/>
                <w:highlight w:val="none"/>
                <w:u w:val="single"/>
                <w:lang w:val="en-US" w:eastAsia="zh-CN"/>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 xml:space="preserve">伍拾万元整 </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500000元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color w:val="FF0000"/>
                <w:szCs w:val="21"/>
                <w:highlight w:val="yellow"/>
                <w:lang w:val="en-US" w:eastAsia="zh-CN"/>
              </w:rPr>
              <w:t>BZJK-2022-</w:t>
            </w:r>
            <w:r>
              <w:rPr>
                <w:rFonts w:hint="eastAsia" w:ascii="Times New Roman" w:hAnsi="Times New Roman" w:cs="Times New Roman"/>
                <w:b/>
                <w:bCs/>
                <w:color w:val="FF0000"/>
                <w:szCs w:val="21"/>
                <w:highlight w:val="yellow"/>
                <w:u w:val="single"/>
                <w:lang w:val="en-US" w:eastAsia="zh-CN"/>
              </w:rPr>
              <w:t>015</w:t>
            </w:r>
            <w:r>
              <w:rPr>
                <w:rFonts w:hint="eastAsia" w:ascii="Times New Roman" w:hAnsi="Times New Roman" w:cs="Times New Roman"/>
                <w:b/>
                <w:bCs/>
                <w:color w:val="FF0000"/>
                <w:szCs w:val="21"/>
                <w:highlight w:val="yellow"/>
                <w:lang w:val="en-US" w:eastAsia="zh-CN"/>
              </w:rPr>
              <w:t>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（1）招标不成功（或开标现场拒收投标文件）的，10个工作日内直接退还至该投标人汇出帐户。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（2）中标侯选人公示期满且确定中标人后，未中标人的投标保证金在10个工作日内直接退还至该投标人汇出帐户。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shd w:val="clear" w:fill="FFFF00"/>
                <w:lang w:val="en-US" w:eastAsia="zh-CN"/>
              </w:rPr>
              <w:t>样品</w:t>
            </w:r>
            <w:r>
              <w:rPr>
                <w:rFonts w:hint="default" w:ascii="Times New Roman" w:hAnsi="Times New Roman" w:cs="Times New Roman"/>
                <w:szCs w:val="21"/>
                <w:highlight w:val="none"/>
                <w:u w:val="none"/>
                <w:shd w:val="clear" w:fill="FFFF00"/>
                <w:lang w:val="en-US" w:eastAsia="zh-CN"/>
              </w:rPr>
              <w:t>要求：投标人须提供符合招标人技术要求的样品，30mm厚优质花岗岩、2.5mm铝单板。评标时样本不满足招标文件要求按无效投标处理。</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项目编号：BZJK-2022-</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中标后，投标保证金自动转为履约保证金，履约保证金不足部分由中标人在收到中标通知书后10日内从其基本账户开户行银行汇款或提交足额的银行保函或保兑支票或银行汇票形式的履约保证金。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color w:val="auto"/>
                <w:szCs w:val="21"/>
                <w:highlight w:val="none"/>
                <w:lang w:val="en-US" w:eastAsia="zh-CN"/>
              </w:rPr>
              <w:t>150万元</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无违约行为发生或违约行为已处理的情况下，竣工验收合格后10个工作日内返还全部履约保证金（本金无息）。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8</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递交投标文件不足三家或经评审不足三家的情形</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如递交投标文件或经评审合格的为 2 家，应</w:t>
            </w: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人要求，则</w:t>
            </w:r>
            <w:r>
              <w:rPr>
                <w:rFonts w:hint="eastAsia" w:ascii="Times New Roman" w:hAnsi="Times New Roman" w:cs="Times New Roman"/>
                <w:szCs w:val="21"/>
                <w:highlight w:val="none"/>
                <w:lang w:val="en-US" w:eastAsia="zh-CN"/>
              </w:rPr>
              <w:t>现场</w:t>
            </w:r>
            <w:r>
              <w:rPr>
                <w:rFonts w:hint="default" w:ascii="Times New Roman" w:hAnsi="Times New Roman" w:cs="Times New Roman"/>
                <w:szCs w:val="21"/>
                <w:highlight w:val="none"/>
              </w:rPr>
              <w:t>转为进行竞争性谈判。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w:t>
      </w:r>
      <w:r>
        <w:rPr>
          <w:rFonts w:hint="eastAsia" w:ascii="Times New Roman" w:hAnsi="Times New Roman" w:cs="Times New Roman"/>
          <w:color w:val="000000"/>
          <w:highlight w:val="none"/>
          <w:lang w:val="en-US" w:eastAsia="zh-CN"/>
        </w:rPr>
        <w:t>正文部分直接引用</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九</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179632607"/>
            <w:bookmarkStart w:id="17" w:name="_Toc152045589"/>
            <w:bookmarkStart w:id="18" w:name="_Toc247085747"/>
            <w:bookmarkStart w:id="19" w:name="_Toc246996975"/>
            <w:bookmarkStart w:id="20" w:name="_Toc296602477"/>
            <w:bookmarkStart w:id="21" w:name="_Toc246996232"/>
            <w:bookmarkStart w:id="22" w:name="_Toc152042366"/>
            <w:bookmarkStart w:id="23" w:name="_Toc14497455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u w:val="single"/>
                <w:lang w:val="en-US" w:eastAsia="zh-CN"/>
              </w:rPr>
            </w:pPr>
            <w:r>
              <w:rPr>
                <w:rFonts w:hint="eastAsia" w:ascii="Times New Roman" w:hAnsi="Times New Roman" w:cs="Times New Roman"/>
                <w:color w:val="auto"/>
                <w:kern w:val="0"/>
                <w:sz w:val="24"/>
                <w:szCs w:val="24"/>
                <w:highlight w:val="none"/>
                <w:lang w:val="en-US" w:eastAsia="zh-CN"/>
              </w:rPr>
              <w:t>专项技术方案：</w:t>
            </w:r>
            <w:r>
              <w:rPr>
                <w:rFonts w:hint="eastAsia" w:ascii="Times New Roman" w:hAnsi="Times New Roman" w:cs="Times New Roman"/>
                <w:color w:val="auto"/>
                <w:kern w:val="0"/>
                <w:sz w:val="24"/>
                <w:szCs w:val="24"/>
                <w:highlight w:val="none"/>
                <w:u w:val="single"/>
                <w:lang w:val="en-US" w:eastAsia="zh-CN"/>
              </w:rPr>
              <w:t>15</w:t>
            </w:r>
            <w:r>
              <w:rPr>
                <w:rFonts w:hint="eastAsia" w:ascii="Times New Roman" w:hAnsi="Times New Roman" w:cs="Times New Roman"/>
                <w:color w:val="auto"/>
                <w:kern w:val="0"/>
                <w:sz w:val="24"/>
                <w:szCs w:val="24"/>
                <w:highlight w:val="none"/>
                <w:u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u w:val="none"/>
                <w:lang w:val="en-US" w:eastAsia="zh-CN"/>
              </w:rPr>
            </w:pPr>
            <w:r>
              <w:rPr>
                <w:rFonts w:hint="eastAsia" w:ascii="Times New Roman" w:hAnsi="Times New Roman" w:cs="Times New Roman"/>
                <w:color w:val="auto"/>
                <w:kern w:val="0"/>
                <w:sz w:val="24"/>
                <w:szCs w:val="24"/>
                <w:highlight w:val="none"/>
                <w:u w:val="none"/>
                <w:lang w:val="en-US" w:eastAsia="zh-CN"/>
              </w:rPr>
              <w:t>企业荣誉：</w:t>
            </w:r>
            <w:r>
              <w:rPr>
                <w:rFonts w:hint="eastAsia" w:ascii="Times New Roman" w:hAnsi="Times New Roman" w:cs="Times New Roman"/>
                <w:color w:val="auto"/>
                <w:kern w:val="0"/>
                <w:sz w:val="24"/>
                <w:szCs w:val="24"/>
                <w:highlight w:val="none"/>
                <w:u w:val="single"/>
                <w:lang w:val="en-US" w:eastAsia="zh-CN"/>
              </w:rPr>
              <w:t>25</w:t>
            </w:r>
            <w:r>
              <w:rPr>
                <w:rFonts w:hint="eastAsia" w:ascii="Times New Roman" w:hAnsi="Times New Roman" w:cs="Times New Roman"/>
                <w:color w:val="auto"/>
                <w:kern w:val="0"/>
                <w:sz w:val="24"/>
                <w:szCs w:val="24"/>
                <w:highlight w:val="none"/>
                <w:u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60</w:t>
            </w:r>
            <w:r>
              <w:rPr>
                <w:rFonts w:hint="default" w:ascii="Times New Roman" w:hAnsi="Times New Roman" w:cs="Times New Roman" w:eastAsiaTheme="minorEastAsia"/>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取所有有效报价（通过初步评审且不高于最高限价）的算术平均值作为评标基准价。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2.2.4（1）</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专项技术方案（15分）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总体实施内容描述（满分1分）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针对项目实际情况，有总体实施内容描述，表述清晰、完整、严谨、合理，措施具体、有效、成熟，施工段划分呼应总体表述，划分清晰、合理、符合规范要求，工期、质量、安全、文明的标准与目标合理；对项目特殊工艺和或关键工序设想合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优：0.9-1分，良：0.7-0.9分，一般：0.6-0.7分，差：0分。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施工方案与技术措施（满分4分）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各主要分部施工方法符合项目实际，有详尽的、切实可行的施工技术方案，工艺先进、方法科学合理、可行，能指导具体施工并确保安全。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优：1.8-2分，良：1.4-1.8分，一般：1.2-1.4分，差：0分。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优：1.8-2分，良：1.4-1.8分，一般：1.2-1.4分，差：0分。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质量管理体系与措施（满分2分）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优：1.6-2分，良：1.2-1.6分，一般：0.8-1.2分，差：0分。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安全管理体系与措施（满分2分）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优：1.6-2分，良：1.2-1.6分，一般：0.8-1.2分，差：0分。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环境保护管理体系与措施（满分2分）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针对本工程项目特点，有具体的环境保护措施，各项措施周全、具体、有效。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优：1.6-2分，良：1.2-1.6分，一般：0.8-1.2分，差：0分。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工程进度计划与措施（满分1分）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在施工工艺、施工方法、材料选用、劳动力安排、技术等方面有保证工期的具体措施且措施得当，有控制工期的施工进度计划，有施工总进度表、施工网络图、横道图，各项计划图表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优：0.9-1分，良：0.7-0.9分，一般：0.6-0.7分，差：0分。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文明施工措施（满分2分）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针对项目实际情况，有具体、完整、可行、科学的文明施工计划和实施措施。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优：1.6-2分，良：1.2-1.6分，一般：0.8-1.2分，差：0分。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资源配备计划（满分1分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优：0.9-1分，良：0.7-0.9分，一般：0.6-0.7分，差：0分。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2.2.4（2）</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企业荣誉（25分）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企业业绩(满分10分)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在满足招标公告类似项目业绩要求的基础上，投标人每额外提供1个所承建的单项合同金额 1500万元及以上的类似项目业绩（类似项目业绩是指：幕墙工程），得5分，满分10分。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建造师业绩（满分5分）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拟派建造师以项目负责人身份完成1个单项合同金额1500万元及以上的类似项目业绩（类似项目业绩是指：幕墙工程），得5分；满分5分。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企业信用（满分10分）</w:t>
            </w:r>
          </w:p>
        </w:tc>
        <w:tc>
          <w:tcPr>
            <w:tcW w:w="483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投标人企业所承建的建筑类项目获得市标准化工地，每项得1分；获得省标准化工地，每项得2分；获得省（自治区、直辖市）级优质工程奖（如安徽省黄山杯，外省等同于黄山杯），每项得3分；获得“鲁班奖”或“国家优质工程奖”，每项得 6分；满分6分，同一工程项目不重复计分。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 拟派技术负责人具有高级及以上工程师技术职称证书的，得1分，满分1分。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 企业具有质量管理体系认证、环境管理体系认证、职业健康安全管理体系认证，且均在有效期内的，每提供一个得0.5分，满分1.5分。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4. 2019 年以来，企业提供一例纳税信用达A级的，得1.5分，满分1.5分；其他不得分。（须提供国家税务总局纳税信用等级官方截图）。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2.2.4（3）</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投标报价（60分）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取所有有效投标报价的算术平均值作为评标基准价，各投标人的投标报价得分按以下公式计算：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（1）投标人的投标报价等于评标基准价得60分；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（2）投标人的投标报价高于评标基准价：60-（投标人投标报价-评标基准价）/评标基准价*100*0.5；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（3）投标人的投标报价低于评标基准价：60+（投标人投标报价-评标基准价）/评标基准价*100*0.2。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4"/>
            <w:tcBorders>
              <w:top w:val="single" w:color="auto" w:sz="4" w:space="0"/>
              <w:bottom w:val="single" w:color="auto" w:sz="4" w:space="0"/>
              <w:right w:val="single" w:color="auto" w:sz="4" w:space="0"/>
            </w:tcBorders>
            <w:noWrap w:val="0"/>
            <w:vAlign w:val="center"/>
          </w:tcPr>
          <w:p>
            <w:pPr>
              <w:tabs>
                <w:tab w:val="left" w:pos="720"/>
              </w:tabs>
              <w:spacing w:line="360" w:lineRule="exact"/>
              <w:rPr>
                <w:rFonts w:hint="eastAsia" w:ascii="宋体" w:hAnsi="宋体"/>
              </w:rPr>
            </w:pPr>
            <w:r>
              <w:rPr>
                <w:rFonts w:hint="eastAsia" w:ascii="宋体" w:hAnsi="宋体"/>
                <w:b/>
              </w:rPr>
              <w:t>注</w:t>
            </w:r>
            <w:r>
              <w:rPr>
                <w:rFonts w:hint="eastAsia" w:ascii="宋体" w:hAnsi="宋体"/>
              </w:rPr>
              <w:t>：①企业和拟派建造师</w:t>
            </w:r>
            <w:r>
              <w:rPr>
                <w:rFonts w:hint="eastAsia" w:ascii="宋体" w:hAnsi="宋体"/>
                <w:b/>
              </w:rPr>
              <w:t>奖项</w:t>
            </w:r>
            <w:r>
              <w:rPr>
                <w:rFonts w:hint="eastAsia" w:ascii="宋体" w:hAnsi="宋体"/>
              </w:rPr>
              <w:t>：投标文件中须提供获奖证书或文件、通知等证明文件材料的复印件或扫描件，否则不加分；</w:t>
            </w:r>
          </w:p>
          <w:p>
            <w:pPr>
              <w:tabs>
                <w:tab w:val="left" w:pos="720"/>
              </w:tabs>
              <w:spacing w:line="360" w:lineRule="exact"/>
              <w:rPr>
                <w:rFonts w:ascii="宋体" w:hAnsi="宋体"/>
              </w:rPr>
            </w:pPr>
            <w:r>
              <w:rPr>
                <w:rFonts w:hint="eastAsia" w:ascii="宋体" w:hAnsi="宋体"/>
              </w:rPr>
              <w:t>②企业和拟派建造师类似项目业绩：投标文件中须提供业绩合同、竣工验收文件（验收报告、验收备案表或业主证明等）的复印件或扫描件，否则不加分；拟派建造师业绩以工程竣工验收证书（或工程接收证书或工程竣工验收备案表）上建造师（</w:t>
            </w:r>
            <w:r>
              <w:rPr>
                <w:rFonts w:hint="eastAsia" w:ascii="宋体" w:hAnsi="宋体"/>
                <w:lang w:eastAsia="zh-CN"/>
              </w:rPr>
              <w:t>项目负责人</w:t>
            </w:r>
            <w:r>
              <w:rPr>
                <w:rFonts w:hint="eastAsia" w:ascii="宋体" w:hAnsi="宋体"/>
              </w:rPr>
              <w:t>）的名字为准。</w:t>
            </w:r>
          </w:p>
          <w:p>
            <w:pPr>
              <w:tabs>
                <w:tab w:val="left" w:pos="720"/>
              </w:tabs>
              <w:spacing w:line="360" w:lineRule="exact"/>
              <w:rPr>
                <w:rFonts w:hint="eastAsia" w:ascii="宋体" w:hAnsi="宋体"/>
                <w:b/>
              </w:rPr>
            </w:pPr>
            <w:r>
              <w:rPr>
                <w:rFonts w:ascii="宋体" w:hAnsi="宋体"/>
                <w:szCs w:val="21"/>
              </w:rPr>
              <w:fldChar w:fldCharType="begin"/>
            </w:r>
            <w:r>
              <w:rPr>
                <w:rFonts w:ascii="宋体" w:hAnsi="宋体"/>
                <w:szCs w:val="21"/>
              </w:rPr>
              <w:instrText xml:space="preserve"> </w:instrText>
            </w:r>
            <w:r>
              <w:rPr>
                <w:rFonts w:hint="eastAsia" w:ascii="宋体" w:hAnsi="宋体"/>
                <w:szCs w:val="21"/>
              </w:rPr>
              <w:instrText xml:space="preserve">= 3 \* GB3</w:instrText>
            </w:r>
            <w:r>
              <w:rPr>
                <w:rFonts w:ascii="宋体" w:hAnsi="宋体"/>
                <w:szCs w:val="21"/>
              </w:rPr>
              <w:instrText xml:space="preserve"> </w:instrText>
            </w:r>
            <w:r>
              <w:rPr>
                <w:rFonts w:ascii="宋体" w:hAnsi="宋体"/>
                <w:szCs w:val="21"/>
              </w:rPr>
              <w:fldChar w:fldCharType="separate"/>
            </w:r>
            <w:r>
              <w:rPr>
                <w:rFonts w:hint="eastAsia" w:ascii="宋体" w:hAnsi="宋体"/>
                <w:szCs w:val="21"/>
              </w:rPr>
              <w:t>③</w:t>
            </w:r>
            <w:r>
              <w:rPr>
                <w:rFonts w:ascii="宋体" w:hAnsi="宋体"/>
                <w:szCs w:val="21"/>
              </w:rPr>
              <w:fldChar w:fldCharType="end"/>
            </w:r>
            <w:r>
              <w:rPr>
                <w:rFonts w:hint="eastAsia" w:ascii="宋体" w:hAnsi="宋体"/>
                <w:b/>
              </w:rPr>
              <w:t>以上业绩、奖项时间：自</w:t>
            </w:r>
            <w:r>
              <w:rPr>
                <w:rFonts w:hint="eastAsia" w:ascii="宋体" w:hAnsi="宋体"/>
                <w:b/>
                <w:lang w:val="en-US" w:eastAsia="zh-CN"/>
              </w:rPr>
              <w:t>2019</w:t>
            </w:r>
            <w:r>
              <w:rPr>
                <w:rFonts w:hint="eastAsia" w:ascii="宋体" w:hAnsi="宋体"/>
                <w:b/>
              </w:rPr>
              <w:t>年</w:t>
            </w:r>
            <w:r>
              <w:rPr>
                <w:rFonts w:hint="eastAsia" w:ascii="宋体" w:hAnsi="宋体"/>
                <w:b/>
                <w:lang w:val="en-US" w:eastAsia="zh-CN"/>
              </w:rPr>
              <w:t>1</w:t>
            </w:r>
            <w:r>
              <w:rPr>
                <w:rFonts w:hint="eastAsia" w:ascii="宋体" w:hAnsi="宋体"/>
                <w:b/>
              </w:rPr>
              <w:t>月起至今（奖项以获奖证书颁发时间为准，</w:t>
            </w:r>
            <w:r>
              <w:rPr>
                <w:rFonts w:hint="eastAsia"/>
                <w:b/>
                <w:szCs w:val="21"/>
              </w:rPr>
              <w:t>类似业绩以竣工验收时间为准</w:t>
            </w:r>
            <w:r>
              <w:rPr>
                <w:rFonts w:hint="eastAsia" w:ascii="宋体" w:hAnsi="宋体"/>
                <w:b/>
              </w:rPr>
              <w:t>）。</w:t>
            </w:r>
          </w:p>
          <w:p>
            <w:pPr>
              <w:tabs>
                <w:tab w:val="left" w:pos="720"/>
              </w:tabs>
              <w:spacing w:line="360" w:lineRule="exact"/>
              <w:rPr>
                <w:rFonts w:hint="default" w:ascii="宋体" w:hAnsi="宋体"/>
                <w:lang w:val="en-US" w:eastAsia="zh-CN"/>
              </w:rPr>
            </w:pPr>
            <w:r>
              <w:rPr>
                <w:rFonts w:hint="eastAsia" w:ascii="宋体" w:hAnsi="宋体"/>
                <w:lang w:val="en-US" w:eastAsia="zh-CN"/>
              </w:rPr>
              <w:t>④仅联合体牵头单位参与评分。</w:t>
            </w:r>
          </w:p>
          <w:p>
            <w:pPr>
              <w:tabs>
                <w:tab w:val="left" w:pos="720"/>
              </w:tabs>
              <w:spacing w:line="360" w:lineRule="exact"/>
              <w:rPr>
                <w:rFonts w:hint="eastAsia" w:ascii="宋体" w:hAnsi="宋体"/>
                <w:b/>
              </w:rPr>
            </w:pPr>
          </w:p>
          <w:p>
            <w:pPr>
              <w:tabs>
                <w:tab w:val="left" w:pos="720"/>
              </w:tabs>
              <w:spacing w:line="360" w:lineRule="exact"/>
              <w:rPr>
                <w:rFonts w:hint="eastAsia" w:ascii="宋体" w:hAnsi="宋体"/>
                <w:b/>
              </w:rPr>
            </w:pPr>
            <w:r>
              <w:rPr>
                <w:rFonts w:hint="eastAsia" w:ascii="宋体" w:hAnsi="宋体"/>
                <w:b/>
              </w:rPr>
              <w:t>外省等同于“黄山杯”的奖项名称</w:t>
            </w:r>
          </w:p>
          <w:p>
            <w:pPr>
              <w:tabs>
                <w:tab w:val="left" w:pos="720"/>
              </w:tabs>
              <w:spacing w:line="360" w:lineRule="exact"/>
              <w:rPr>
                <w:rFonts w:hint="eastAsia" w:ascii="宋体" w:hAnsi="宋体"/>
                <w:b/>
              </w:rPr>
            </w:pPr>
            <w:r>
              <w:rPr>
                <w:rFonts w:hint="eastAsia" w:ascii="宋体" w:hAnsi="宋体"/>
                <w:b/>
              </w:rPr>
              <w:t>北京：长城杯 安徽：黄山杯 上海：白玉兰杯 浙江：钱江杯</w:t>
            </w:r>
          </w:p>
          <w:p>
            <w:pPr>
              <w:tabs>
                <w:tab w:val="left" w:pos="720"/>
              </w:tabs>
              <w:spacing w:line="360" w:lineRule="exact"/>
              <w:rPr>
                <w:rFonts w:hint="eastAsia" w:ascii="宋体" w:hAnsi="宋体"/>
                <w:b/>
              </w:rPr>
            </w:pPr>
            <w:r>
              <w:rPr>
                <w:rFonts w:hint="eastAsia" w:ascii="宋体" w:hAnsi="宋体"/>
                <w:b/>
              </w:rPr>
              <w:t>天津：海河杯 江西：杜鹃花杯 重庆：巴渝杯 湖北：楚天杯</w:t>
            </w:r>
          </w:p>
          <w:p>
            <w:pPr>
              <w:tabs>
                <w:tab w:val="left" w:pos="720"/>
              </w:tabs>
              <w:spacing w:line="360" w:lineRule="exact"/>
              <w:rPr>
                <w:rFonts w:hint="eastAsia" w:ascii="宋体" w:hAnsi="宋体"/>
                <w:b/>
              </w:rPr>
            </w:pPr>
            <w:r>
              <w:rPr>
                <w:rFonts w:hint="eastAsia" w:ascii="宋体" w:hAnsi="宋体"/>
                <w:b/>
              </w:rPr>
              <w:t>黑龙江：龙江杯 湖南：芙蓉奖 吉林：长白山杯 四川：天府杯</w:t>
            </w:r>
          </w:p>
          <w:p>
            <w:pPr>
              <w:tabs>
                <w:tab w:val="left" w:pos="720"/>
              </w:tabs>
              <w:spacing w:line="360" w:lineRule="exact"/>
              <w:rPr>
                <w:rFonts w:hint="eastAsia" w:ascii="宋体" w:hAnsi="宋体"/>
                <w:b/>
              </w:rPr>
            </w:pPr>
            <w:r>
              <w:rPr>
                <w:rFonts w:hint="eastAsia" w:ascii="宋体" w:hAnsi="宋体"/>
                <w:b/>
              </w:rPr>
              <w:t>辽宁：世纪杯 云南：云南省优质工程 内蒙古：草原杯 广西：广西优质工程奖</w:t>
            </w:r>
          </w:p>
          <w:p>
            <w:pPr>
              <w:tabs>
                <w:tab w:val="left" w:pos="720"/>
              </w:tabs>
              <w:spacing w:line="360" w:lineRule="exact"/>
              <w:rPr>
                <w:rFonts w:hint="eastAsia" w:ascii="宋体" w:hAnsi="宋体"/>
                <w:b/>
              </w:rPr>
            </w:pPr>
            <w:r>
              <w:rPr>
                <w:rFonts w:hint="eastAsia" w:ascii="宋体" w:hAnsi="宋体"/>
                <w:b/>
              </w:rPr>
              <w:t>山西：汾水杯 广东：金匠奖 山东：泰山杯 贵州：黄果树杯</w:t>
            </w:r>
          </w:p>
          <w:p>
            <w:pPr>
              <w:tabs>
                <w:tab w:val="left" w:pos="720"/>
              </w:tabs>
              <w:spacing w:line="360" w:lineRule="exact"/>
              <w:rPr>
                <w:rFonts w:hint="eastAsia" w:ascii="宋体" w:hAnsi="宋体"/>
                <w:b/>
              </w:rPr>
            </w:pPr>
            <w:r>
              <w:rPr>
                <w:rFonts w:hint="eastAsia" w:ascii="宋体" w:hAnsi="宋体"/>
                <w:b/>
              </w:rPr>
              <w:t>陕西：长安杯 福建：闽江杯 宁夏：西夏杯 西藏：雪莲杯</w:t>
            </w:r>
          </w:p>
          <w:p>
            <w:pPr>
              <w:tabs>
                <w:tab w:val="left" w:pos="720"/>
              </w:tabs>
              <w:spacing w:line="360" w:lineRule="exact"/>
              <w:rPr>
                <w:rFonts w:hint="eastAsia" w:ascii="宋体" w:hAnsi="宋体"/>
                <w:b/>
              </w:rPr>
            </w:pPr>
            <w:r>
              <w:rPr>
                <w:rFonts w:hint="eastAsia" w:ascii="宋体" w:hAnsi="宋体"/>
                <w:b/>
              </w:rPr>
              <w:t>甘肃：飞天奖 河北：安济杯 青海：江河源杯 河南：中州杯</w:t>
            </w:r>
          </w:p>
          <w:p>
            <w:pPr>
              <w:tabs>
                <w:tab w:val="left" w:pos="720"/>
              </w:tabs>
              <w:spacing w:line="360" w:lineRule="exact"/>
              <w:rPr>
                <w:rFonts w:hint="eastAsia" w:ascii="宋体" w:hAnsi="宋体"/>
                <w:b/>
              </w:rPr>
            </w:pPr>
            <w:r>
              <w:rPr>
                <w:rFonts w:hint="eastAsia" w:ascii="宋体" w:hAnsi="宋体"/>
                <w:b/>
              </w:rPr>
              <w:t>新疆：天山奖 江苏：扬子杯 海南：绿岛杯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说明：评分区间一律按左闭右开计算</w:t>
      </w:r>
      <w:r>
        <w:rPr>
          <w:rFonts w:hint="eastAsia" w:ascii="Times New Roman" w:hAnsi="Times New Roman" w:cs="Times New Roman"/>
          <w:color w:val="auto"/>
          <w:kern w:val="0"/>
          <w:sz w:val="24"/>
          <w:szCs w:val="24"/>
          <w:highlight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7085748"/>
      <w:bookmarkStart w:id="25" w:name="_Toc296602478"/>
      <w:bookmarkStart w:id="26" w:name="_Toc179632608"/>
      <w:bookmarkStart w:id="27" w:name="_Toc246996976"/>
      <w:bookmarkStart w:id="28" w:name="_Toc152045590"/>
      <w:bookmarkStart w:id="29" w:name="_Toc144974557"/>
      <w:bookmarkStart w:id="30" w:name="_Toc246996233"/>
      <w:bookmarkStart w:id="31" w:name="_Toc152042367"/>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977"/>
      <w:bookmarkStart w:id="33" w:name="_Toc144974558"/>
      <w:bookmarkStart w:id="34" w:name="_Toc296602479"/>
      <w:bookmarkStart w:id="35" w:name="_Toc179632609"/>
      <w:bookmarkStart w:id="36" w:name="_Toc246996234"/>
      <w:bookmarkStart w:id="37" w:name="_Toc152045591"/>
      <w:bookmarkStart w:id="38" w:name="_Toc247085749"/>
      <w:bookmarkStart w:id="39"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246996236"/>
      <w:bookmarkStart w:id="41" w:name="_Toc246996979"/>
      <w:bookmarkStart w:id="42" w:name="_Toc247085751"/>
      <w:bookmarkStart w:id="43" w:name="_Toc152042370"/>
      <w:bookmarkStart w:id="44" w:name="_Toc296602481"/>
      <w:bookmarkStart w:id="45" w:name="_Toc179632611"/>
      <w:bookmarkStart w:id="46" w:name="_Toc152045593"/>
      <w:bookmarkStart w:id="47" w:name="_Toc14497456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color w:val="auto"/>
          <w:kern w:val="0"/>
          <w:sz w:val="24"/>
          <w:szCs w:val="24"/>
          <w:highlight w:val="none"/>
          <w:lang w:val="en-US" w:eastAsia="zh-CN"/>
        </w:rPr>
        <w:t>专项技术方案：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（2）企业荣誉：</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eastAsia="zh-CN"/>
        </w:rPr>
      </w:pP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color w:val="auto"/>
          <w:kern w:val="0"/>
          <w:sz w:val="24"/>
          <w:szCs w:val="24"/>
          <w:highlight w:val="none"/>
          <w:lang w:val="en-US" w:eastAsia="zh-CN"/>
        </w:rPr>
        <w:t>专项技术方案评分标准：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（2）企业荣誉</w:t>
      </w:r>
      <w:r>
        <w:rPr>
          <w:rFonts w:hint="eastAsia" w:ascii="Times New Roman" w:hAnsi="Times New Roman" w:cs="Times New Roman"/>
          <w:color w:val="auto"/>
          <w:kern w:val="0"/>
          <w:sz w:val="24"/>
          <w:szCs w:val="24"/>
          <w:highlight w:val="none"/>
          <w:lang w:val="en-US" w:eastAsia="zh-CN"/>
        </w:rPr>
        <w:t>评分标准</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eastAsia="zh-CN"/>
        </w:rPr>
      </w:pP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eastAsiaTheme="minorEastAsia"/>
          <w:kern w:val="0"/>
          <w:sz w:val="24"/>
          <w:szCs w:val="24"/>
          <w:highlight w:val="none"/>
          <w:lang w:val="en-US" w:eastAsia="zh-CN"/>
        </w:rPr>
        <w:t>投标报价</w:t>
      </w:r>
      <w:r>
        <w:rPr>
          <w:rFonts w:hint="eastAsia" w:ascii="Times New Roman" w:hAnsi="Times New Roman" w:cs="Times New Roman"/>
          <w:color w:val="auto"/>
          <w:kern w:val="0"/>
          <w:sz w:val="24"/>
          <w:szCs w:val="24"/>
          <w:highlight w:val="none"/>
          <w:lang w:val="en-US" w:eastAsia="zh-CN"/>
        </w:rPr>
        <w:t>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179632612"/>
      <w:bookmarkStart w:id="50" w:name="_Toc152045594"/>
      <w:bookmarkStart w:id="51" w:name="_Toc246996980"/>
      <w:bookmarkStart w:id="52" w:name="_Toc246996237"/>
      <w:bookmarkStart w:id="53" w:name="_Toc247085752"/>
      <w:bookmarkStart w:id="54" w:name="_Toc152042371"/>
      <w:bookmarkStart w:id="55" w:name="_Toc29660248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6996238"/>
      <w:bookmarkStart w:id="57" w:name="_Toc296602483"/>
      <w:bookmarkStart w:id="58" w:name="_Toc246996981"/>
      <w:bookmarkStart w:id="59" w:name="_Toc152045595"/>
      <w:bookmarkStart w:id="60" w:name="_Toc247085753"/>
      <w:bookmarkStart w:id="61" w:name="_Toc144974562"/>
      <w:bookmarkStart w:id="62" w:name="_Toc179632613"/>
      <w:bookmarkStart w:id="63" w:name="_Toc152042372"/>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44974563"/>
      <w:bookmarkStart w:id="65" w:name="_Toc152045596"/>
      <w:bookmarkStart w:id="66" w:name="_Toc247085754"/>
      <w:bookmarkStart w:id="67" w:name="_Toc179632614"/>
      <w:bookmarkStart w:id="68" w:name="_Toc152042373"/>
      <w:bookmarkStart w:id="69" w:name="_Toc246996239"/>
      <w:bookmarkStart w:id="70" w:name="_Toc246996982"/>
      <w:bookmarkStart w:id="71"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第2.2.4（1）目规定的评审因素和分值对专项技术方案部分计算出得分A；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第2.2.4（2）目规定的评审因素和分值对企业荣誉部分计算出得分B；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 xml:space="preserve">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152042374"/>
      <w:bookmarkStart w:id="73" w:name="_Toc296602485"/>
      <w:bookmarkStart w:id="74" w:name="_Toc179632615"/>
      <w:bookmarkStart w:id="75" w:name="_Toc144974564"/>
      <w:bookmarkStart w:id="76" w:name="_Toc246996983"/>
      <w:bookmarkStart w:id="77" w:name="_Toc152045597"/>
      <w:bookmarkStart w:id="78" w:name="_Toc247085755"/>
      <w:bookmarkStart w:id="79" w:name="_Toc246996240"/>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主要合同条款前附表</w:t>
      </w:r>
    </w:p>
    <w:tbl>
      <w:tblPr>
        <w:tblStyle w:val="16"/>
        <w:tblW w:w="9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862" w:type="dxa"/>
            <w:vAlign w:val="center"/>
          </w:tcPr>
          <w:p>
            <w:pPr>
              <w:pStyle w:val="5"/>
              <w:spacing w:line="360" w:lineRule="auto"/>
              <w:rPr>
                <w:i w:val="0"/>
                <w:iCs w:val="0"/>
                <w:color w:val="0000FF"/>
              </w:rPr>
            </w:pP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建设单位提供的清单控制价×中标人投标报价浮动率作为过程支付依据。每月支付审定工程进度款的75%；竣工验收通过后（五方责任主体验收通过），工程款付至累计审定工程价款的85%；竣工验收合格及第三方竣工结算审计成果出具完毕30工作日内付至审定工程价款的97%，余3%作为质量保修金，待两年质保期满无质量问题或质量问题已解决后无息支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color w:val="FF0000"/>
                <w:kern w:val="0"/>
                <w:sz w:val="24"/>
                <w:szCs w:val="24"/>
                <w:highlight w:val="none"/>
                <w:shd w:val="clear" w:color="auto" w:fill="auto"/>
                <w:vertAlign w:val="baseline"/>
                <w:lang w:val="en-US" w:eastAsia="zh-CN"/>
              </w:rPr>
              <w:t>投标报价浮动率 =投标报价/最高投标限价*100%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86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自竣工验收合格之日起</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kern w:val="0"/>
                <w:sz w:val="24"/>
                <w:szCs w:val="24"/>
                <w:highlight w:val="none"/>
                <w:shd w:val="clear" w:color="auto" w:fill="auto"/>
                <w:vertAlign w:val="baseline"/>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vertAlign w:val="baseline"/>
                <w:lang w:val="en-US" w:eastAsia="zh-CN"/>
                <w14:textFill>
                  <w14:solidFill>
                    <w14:schemeClr w14:val="tx1"/>
                  </w14:solidFill>
                </w14:textFill>
              </w:rPr>
              <w:t>人员要求</w:t>
            </w:r>
          </w:p>
        </w:tc>
        <w:tc>
          <w:tcPr>
            <w:tcW w:w="6862"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施工现场项目负责人与投标项目负责人要一致，并且为本工程专职项目负责人，必须参加各种例会和打卡考勤，发包人对项目负责人进行打卡考勤。非经发包人同意，承包人擅自更换项目负责人，视同违约，按10万元/人次支付违约处罚；擅自更换技术负责人的，按5万元/人次支付违约处罚。项目负责人、技术负责人、施工员、质检员、安全员、材料员等关键岗位人员必须保证每个月不少于 22 天常驻现场组织施工，每天在岗时间不少于6小时，缺勤处罚违约金：项目负责人 3000 元/天，项目技术负责人 2000 元/天，施工员、质检员、安全员、材料员等关键岗位人员 1000元/天。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widowControl/>
              <w:suppressLineNumbers w:val="0"/>
              <w:jc w:val="left"/>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工期延误</w:t>
            </w:r>
          </w:p>
        </w:tc>
        <w:tc>
          <w:tcPr>
            <w:tcW w:w="6862"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因承包人原因造成工期延误，逾期竣工违约金的计算方法为：每延期竣工一天，承包人支付发包人5000元违约金；工程延期 10 日以上的，从第10日开始，每日按20000元向发包人支付违约金；违约金最高限额为合同价款的 10%；延期竣工30天以上的，发包人有权解除合同，并追究连带损失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w:t>
            </w:r>
          </w:p>
        </w:tc>
        <w:tc>
          <w:tcPr>
            <w:tcW w:w="1417" w:type="dxa"/>
            <w:vAlign w:val="center"/>
          </w:tcPr>
          <w:p>
            <w:pPr>
              <w:keepNext w:val="0"/>
              <w:keepLines w:val="0"/>
              <w:widowControl/>
              <w:suppressLineNumbers w:val="0"/>
              <w:jc w:val="center"/>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变更估价原则</w:t>
            </w:r>
          </w:p>
        </w:tc>
        <w:tc>
          <w:tcPr>
            <w:tcW w:w="6862" w:type="dxa"/>
            <w:vAlign w:val="center"/>
          </w:tcPr>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a. 清单控制价中已列项目，按清单控制价中的综合单价*报价浮动率 。 </w:t>
            </w:r>
          </w:p>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b.如工程量清单与施工图纸不一致；工程量清单描述不清的；工程量清单中未列的项目及数量有差异的项目，由投标人在投标报价中自行考虑费用，视为投标人已列入投标总价中。 </w:t>
            </w:r>
          </w:p>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c.工程变更中的报价：招标人清单控制价中有相同或类似综合单价的，按相同或类似综合单价*报价浮动率记取；承包人投标报价中无相同或类似综合单价的，参照招标文件重新组价；其中材料价格按招标人清单控制价中的材料价格执行；若清单控制价中没有，执行编制清单控制价时采用的同期亳州市建设工程造价管理站发布的信息价，亳州市建设工程造价管理站发布的信息价中若没有，按造价管理部门备案价格执行；机械台班单价按上述机械台班费用定额执行；人工费单价按安徽省最新政策文件规定执行。重新组价部分按最高限价与中标人投标报价的报价浮动率同比例下浮后进行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w:t>
            </w:r>
          </w:p>
        </w:tc>
        <w:tc>
          <w:tcPr>
            <w:tcW w:w="1417" w:type="dxa"/>
            <w:vAlign w:val="center"/>
          </w:tcPr>
          <w:p>
            <w:pPr>
              <w:keepNext w:val="0"/>
              <w:keepLines w:val="0"/>
              <w:widowControl/>
              <w:suppressLineNumbers w:val="0"/>
              <w:jc w:val="cente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承包人违约的责任</w:t>
            </w:r>
          </w:p>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p>
        </w:tc>
        <w:tc>
          <w:tcPr>
            <w:tcW w:w="6862" w:type="dxa"/>
            <w:vAlign w:val="center"/>
          </w:tcPr>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承包人违约责任的承担方式和计算方法：劳动力、材料、设备投入计划不能按投标文件中的承诺到场的，视为承包人违约一次，并向发包人支付 5000 元违约金，并限期在3日内按照投标文件中的承诺到场，否则，视为违约，累计超过3次，发包人有权解除合同，并没收履约保证金。 </w:t>
            </w:r>
          </w:p>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施工现场的项目班子管理人员要与投标文件中承诺的项目班子管理人员保持一致，否则视为挂靠分包，发包人有权解除合同，并没收履约保证金，清除出场。 </w:t>
            </w:r>
          </w:p>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投标文件中承诺的项目班子管理人员，原则上不更换，确因项目班子管理人员身体健康等不可抗拒原因需要变更时，要经发包人同意，完善变更手续，报送发包人备案。未经发包人同意替换的项目班子管理人员条件低于投标时条件的，视为违约，发包人有权解除合同，没收履约保证金，清除出场。承包人更换项目班子管理人员一次视为违约一次。如更换须向发包人支付人员违约金。 </w:t>
            </w:r>
          </w:p>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项目班子人员在施工期间不能满足工程的需要，发包人有权要求更换，并视为承包人违约一次，承包人并支付人员违约金。承包人未按合同约定的质量标准完成建设的，应及时整改至约定的质量标准。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w:t>
            </w:r>
          </w:p>
        </w:tc>
        <w:tc>
          <w:tcPr>
            <w:tcW w:w="1417"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因承包人违约解除合同</w:t>
            </w:r>
          </w:p>
        </w:tc>
        <w:tc>
          <w:tcPr>
            <w:tcW w:w="6862"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关于承包人违约解除合同的特别约定： 施工过程中如承包人违约，不履行合同义务时间超出 15 天，合同自动终止，发包人只支付已完成合格工程量 50%的价款，并且履约保证金不予退还。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8</w:t>
            </w:r>
          </w:p>
        </w:tc>
        <w:tc>
          <w:tcPr>
            <w:tcW w:w="1417"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成品保护</w:t>
            </w:r>
          </w:p>
        </w:tc>
        <w:tc>
          <w:tcPr>
            <w:tcW w:w="6862"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已竣工工程未交付发包人之前所发生的保护工作由承包人负责并承担相关费用。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9</w:t>
            </w:r>
          </w:p>
        </w:tc>
        <w:tc>
          <w:tcPr>
            <w:tcW w:w="1417" w:type="dxa"/>
            <w:vAlign w:val="center"/>
          </w:tcPr>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清洁卫生</w:t>
            </w:r>
          </w:p>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p>
        </w:tc>
        <w:tc>
          <w:tcPr>
            <w:tcW w:w="6862"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分包工程范围内的清洁卫生工作，符合亳州市对施工场地文明施工和清洁卫生的有关规定。</w:t>
            </w: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w:t>
      </w:r>
      <w:r>
        <w:rPr>
          <w:rFonts w:hint="eastAsia" w:ascii="Times New Roman" w:hAnsi="Times New Roman" w:eastAsia="仿宋_GB2312" w:cs="Times New Roman"/>
          <w:color w:val="000000" w:themeColor="text1"/>
          <w:sz w:val="28"/>
          <w:szCs w:val="28"/>
          <w:shd w:val="clear" w:color="auto" w:fill="auto"/>
          <w:lang w:val="en-US" w:eastAsia="zh-CN"/>
          <w14:textFill>
            <w14:solidFill>
              <w14:schemeClr w14:val="tx1"/>
            </w14:solidFill>
          </w14:textFill>
        </w:rPr>
        <w:t>其他</w:t>
      </w:r>
      <w:r>
        <w:rPr>
          <w:rFonts w:hint="eastAsia" w:ascii="Times New Roman" w:hAnsi="Times New Roman" w:eastAsia="仿宋_GB2312" w:cs="Times New Roman"/>
          <w:sz w:val="28"/>
          <w:szCs w:val="28"/>
          <w:lang w:val="en-US" w:eastAsia="zh-CN"/>
        </w:rPr>
        <w:t>具体合同条款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r>
        <w:rPr>
          <w:rFonts w:hint="eastAsia" w:ascii="Times New Roman" w:hAnsi="Times New Roman" w:eastAsia="仿宋_GB2312" w:cs="Times New Roman"/>
          <w:sz w:val="28"/>
          <w:szCs w:val="28"/>
          <w:lang w:val="en-US" w:eastAsia="zh-CN"/>
        </w:rPr>
        <w:t>。</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3120" w:firstLineChars="1300"/>
        <w:jc w:val="both"/>
        <w:textAlignment w:val="auto"/>
        <w:rPr>
          <w:rFonts w:hint="eastAsia" w:ascii="Times New Roman" w:hAnsi="Times New Roman" w:cs="Times New Roman"/>
          <w:color w:val="FF0000"/>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3120" w:firstLineChars="1300"/>
        <w:jc w:val="both"/>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工程量清单详见附件</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color w:val="0000FF"/>
          <w:kern w:val="0"/>
          <w:sz w:val="24"/>
          <w:szCs w:val="24"/>
          <w:highlight w:val="none"/>
          <w:shd w:val="clear" w:color="FFFFFF" w:fill="D9D9D9"/>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imes New Roman" w:hAnsi="Times New Roman" w:cs="Times New Roman"/>
          <w:color w:val="000000" w:themeColor="text1"/>
          <w:kern w:val="0"/>
          <w:sz w:val="24"/>
          <w:szCs w:val="24"/>
          <w:highlight w:val="none"/>
          <w:shd w:val="clear" w:color="auto" w:fill="auto"/>
          <w:lang w:val="en-US" w:eastAsia="zh-CN"/>
          <w14:textFill>
            <w14:solidFill>
              <w14:schemeClr w14:val="tx1"/>
            </w14:solidFill>
          </w14:textFill>
        </w:rPr>
        <w:t>招标人提供的工程量清单及最高投标限价作为本次投标报价的基础依据，投标人应在投标答疑截止时间前根据施工图对招标人提供的工程量清单及最高投标限价组价进行核算并提出异议。若投标人在规定的期限内提出异议，并提供相应的工程量计算书，以便招标人及时核对，并以招标人重新确定的工程量清单作为报价依据，开标后工程量清单及最高投标限价组价一律不予调整（设计变更、经济签证、工程联系单等除外）。技术规范要求的费用应包括在投标报价中。在设计图中如无图示或未表达明确的，且各投标单位没在规定期限内提出异议，决算时不得调整造价，视为该项费用已包括在投标总价内。 后期结算过程中利用招标人发布的工程量清单及分项组价作为结算依据。为规范工程结算管理，发布招标文件时，最高投标限价、工程量清单及工程项目最高投标限价汇总表、单项工程组价汇总表、单位工程组价汇总表、分部分项工程量清单计价表、措施项目清单计价表、其他项目清单计价汇总表、规费、税金项目清单计价表、主要材料价格表等一同发布，以利于后期作为结算的依据。</w:t>
      </w: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3360" w:firstLineChars="1400"/>
        <w:jc w:val="both"/>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图纸详见附件</w:t>
      </w: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widowControl/>
        <w:suppressLineNumbers w:val="0"/>
        <w:jc w:val="left"/>
        <w:rPr>
          <w:rFonts w:hint="eastAsia"/>
          <w:b/>
          <w:bCs/>
          <w:color w:val="000000" w:themeColor="text1"/>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t>一、门窗工程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（一）、断热铝合金门窗的选用标准</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1、断热铝合金型材：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1）加工标准：国标；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2）型材：</w:t>
      </w:r>
      <w:r>
        <w:rPr>
          <w:rFonts w:hint="eastAsia" w:ascii="仿宋_GB2312" w:hAnsi="仿宋_GB2312" w:eastAsia="仿宋_GB2312" w:cs="仿宋_GB2312"/>
          <w:color w:val="000000" w:themeColor="text1"/>
          <w:sz w:val="24"/>
          <w:szCs w:val="24"/>
          <w:highlight w:val="yellow"/>
          <w:shd w:val="clear" w:color="auto" w:fill="auto"/>
          <w:lang w:val="en-US" w:eastAsia="zh-CN"/>
          <w14:textFill>
            <w14:solidFill>
              <w14:schemeClr w14:val="tx1"/>
            </w14:solidFill>
          </w14:textFill>
        </w:rPr>
        <w:t>著名品牌</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65 系列、80 系列、90 系列、100 系列、108 系列等断桥铝合金型材，具体做法详见图纸、设计变更、招标清单等文件；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3）壁厚：符合国标，铝门窗主型材壁厚不应低于以下数值:门结构型材2.2mm，窗结构型材1.8 mm;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4）附框：采用</w:t>
      </w:r>
      <w:r>
        <w:rPr>
          <w:rFonts w:hint="eastAsia" w:ascii="仿宋_GB2312" w:hAnsi="仿宋_GB2312" w:eastAsia="仿宋_GB2312" w:cs="仿宋_GB2312"/>
          <w:strike w:val="0"/>
          <w:dstrike w:val="0"/>
          <w:color w:val="000000" w:themeColor="text1"/>
          <w:sz w:val="24"/>
          <w:szCs w:val="24"/>
          <w:highlight w:val="none"/>
          <w:shd w:val="clear" w:color="auto" w:fill="auto"/>
          <w:lang w:val="en-US" w:eastAsia="zh-CN"/>
          <w14:textFill>
            <w14:solidFill>
              <w14:schemeClr w14:val="tx1"/>
            </w14:solidFill>
          </w14:textFill>
        </w:rPr>
        <w:t>金属隔热型材</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，壁厚符合国标要求；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5）面膜（漆）：粉末喷涂；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6）颜色：深灰色，且符合建设单位要求；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7）是否带纱：带金刚网的外墙纱窗为金刚一体化纱窗，纱窗扇现场装齐；其他外墙窗框型材均带纱窗导轨，纱窗扇用户自理。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8）框扇组角密封方式：组角件加防水胶；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9）框/中梃拼缝密封方式：涂胶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10）框/中梃连接方式：自攻螺钉 T 型连接、机械组角（平开）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11）框扇组角方式：机械组角挤角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12）框室内面层转角应做成圆弧形钝角；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2、玻璃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1)玻璃:采用6中透光low-E+12空气+6 中空玻璃，具体详见图纸、设计变更、招标清单等文件；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2）玻璃的尺寸偏差、外观质量及性能应符合现行标准规定。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3、紧固件及五金配件标准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1）门窗锁具：多点锁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2）限位器（滑撑）、滑轮、折页材质均为：不锈钢（304）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3）防撞挡板材质：塑料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4、密封胶、结构胶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1）材质：硅酮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5、胶条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1）材质：三元乙丙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6、嵌缝材料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1）材质：聚氨酯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7、玻璃胶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1）材质：硅酮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8、密封（毛）条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1）材质：单纤维毛条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9、隔热条：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1）材质：聚氨酯（PU）、（PA）穿条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10、暖边条：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1）材质：不锈钢聚苯烯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注：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1、手动开启装置、消防救援标识、五金件、密封胶、发泡剂、防火封堵等安装辅材等投标人综合考虑到全费用单价中。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2、铝合金门窗型材、玻璃等选用规格具体详见图纸、设计变更、招标清单等文件；门窗防火、节能等验收性能检测由投标人按规范要求委托具备有资质的检测机构检测，费用包含在投标费用内，投标人拟选用的型材、五金、锁具等品牌由投标人自定，结算时不得以实际采用型材、五金、锁具等的规格、档次、壁厚、性能等高于招标要求为由要求招标人增加费用。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000000" w:themeColor="text1"/>
          <w:sz w:val="24"/>
          <w:szCs w:val="24"/>
          <w:highlight w:val="red"/>
          <w:shd w:val="clear" w:color="auto" w:fill="auto"/>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FFFF00"/>
          <w:lang w:val="en-US" w:eastAsia="zh-CN"/>
          <w14:textFill>
            <w14:solidFill>
              <w14:schemeClr w14:val="tx1"/>
            </w14:solidFill>
          </w14:textFill>
        </w:rPr>
        <w:t xml:space="preserve">3、门窗招标安装的要求：（1）大堂门预留可视对讲机安装底框；门框及门扇（大堂门及侧门）预留门禁、可视对讲机穿线管；（2）门窗防雷焊接，总包预留接地点，门窗单位负责门窗与接地点之间的连接。 </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t>（二）铝合金百叶窗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8"/>
          <w:szCs w:val="28"/>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1、铝合金百叶采用 80 系列防雨百叶，叶片厚度不小于 </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1.2mm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，宽度不小于</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40mm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，间距不大于</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50mm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，内衬钢丝网，当同一栋建筑有多种单幅宽度时，统一按最大单幅宽度选用百叶片。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2、本工程通风百叶采用铝合金百叶，铝合金表面为PVDF氟碳喷涂;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3、百叶窗有效通风率应≥70%;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4、下雨天气中，雨量在75mm小时、风速在13米/秒情况下，外墙百叶窗不得有漏水;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5、外墙上的百叶在内部与设备管道妥善衔接，无管道部分应采用不小于50 mm厚度的复合铝合金夹心板（内填保温材料）封堵，封堵板材应妥善固定；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8"/>
          <w:szCs w:val="28"/>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6、外墙百叶窗应设置不锈钢防虫网；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7、要求：铝合金百叶窗单幅尺寸宽度大于 1000mm时增加中间立撑；较大尺寸窗户可以分体做，接头处用铝钉或不锈钢自攻螺栓连接。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（三）防护栏杆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1、立杆 30*30mm 方钢管壁厚 </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2.0mm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，竖向间距 </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100mm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，边框 </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50*50mm </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方钢管壁厚 </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3.0mm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本工程所有阳合栏杆及室外汽车坡道、自行车坡道等侧面防护栏杆均采用防止儿童攀爬的指施。室外坡道防护栏杆净高均不低于1400mm;内侧不应有支撑，竖杆净距不大于110mm。中庭栏杆高度不低于14O0mm;首层风井、人孔、下沉广场等距地面1400 mm范围内均应设置防护栏杆。栏杆最薄弱处承受的最小水平推力应不小于1.0kN/m3。</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2、防护栏杆立杆净高为贴地砖后高度，中标人合理考虑后期贴砖，费用包含在投标报价中。</w:t>
      </w:r>
    </w:p>
    <w:p>
      <w:pPr>
        <w:ind w:firstLine="482" w:firstLineChars="200"/>
        <w:rPr>
          <w:rFonts w:hint="default" w:ascii="仿宋_GB2312" w:hAnsi="仿宋_GB2312" w:eastAsia="仿宋_GB2312" w:cs="仿宋_GB2312"/>
          <w:color w:val="000000" w:themeColor="text1"/>
          <w:sz w:val="28"/>
          <w:szCs w:val="28"/>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（四）门窗工程主要材料推荐品牌</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2867"/>
        <w:gridCol w:w="3108"/>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22" w:type="dxa"/>
            <w:gridSpan w:val="4"/>
            <w:noWrap w:val="0"/>
            <w:vAlign w:val="top"/>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门窗工程主要材料推荐品牌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材料</w:t>
            </w:r>
          </w:p>
        </w:tc>
        <w:tc>
          <w:tcPr>
            <w:tcW w:w="2867"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型号</w:t>
            </w:r>
          </w:p>
        </w:tc>
        <w:tc>
          <w:tcPr>
            <w:tcW w:w="3108"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品牌</w:t>
            </w:r>
          </w:p>
        </w:tc>
        <w:tc>
          <w:tcPr>
            <w:tcW w:w="1154"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门窗型材</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详见图纸及工程量清单</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华建铝材、浙东铝材、奋安铝 材、宇马铝材、云铝铝材、广 铝、徽铝</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门窗玻璃</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lang w:val="en-US"/>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详见图纸及工程量清单</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沙玻、中联、华尔润、盛润、</w:t>
            </w:r>
          </w:p>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联益、长利</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五金</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执手、多点锁、专用滑撑、 防脱器、滑轮、月牙锁等</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坚朗、合和、GMT、顶固、国强</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门窗密封</w:t>
            </w:r>
          </w:p>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胶</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硅酮耐候密封胶</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之江、安泰、乐途、润泰</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密封胶条</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三元乙丙胶条</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窗友、窗霸、狮城</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组角胶、断</w:t>
            </w:r>
          </w:p>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面密封胶</w:t>
            </w: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卫仕或同等档次及以上</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隔热条</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隔热条应采用强化尼龙</w:t>
            </w:r>
          </w:p>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PA66材料</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泰诺风、麦克维、优泰、源发</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地弹簧</w:t>
            </w: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坚朗或 GMT</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粉末喷涂</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静电粉末喷涂</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阿克苏、杜邦或同等档次及以上</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发泡剂</w:t>
            </w: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易高、东元、固诺</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bl>
    <w:p>
      <w:pPr>
        <w:keepNext w:val="0"/>
        <w:keepLines w:val="0"/>
        <w:widowControl/>
        <w:suppressLineNumbers w:val="0"/>
        <w:ind w:firstLine="562" w:firstLineChars="200"/>
        <w:jc w:val="left"/>
        <w:rPr>
          <w:color w:val="000000" w:themeColor="text1"/>
          <w:highlight w:val="none"/>
          <w:shd w:val="clear" w:color="auto" w:fill="auto"/>
          <w14:textFill>
            <w14:solidFill>
              <w14:schemeClr w14:val="tx1"/>
            </w14:solidFill>
          </w14:textFill>
        </w:rPr>
      </w:pPr>
      <w:r>
        <w:rPr>
          <w:rFonts w:hint="eastAsia" w:ascii="仿宋_GB2312" w:hAnsi="仿宋_GB2312" w:eastAsia="仿宋_GB2312" w:cs="仿宋_GB2312"/>
          <w:b/>
          <w:bCs/>
          <w:color w:val="000000" w:themeColor="text1"/>
          <w:kern w:val="0"/>
          <w:sz w:val="28"/>
          <w:szCs w:val="28"/>
          <w:highlight w:val="none"/>
          <w:shd w:val="clear" w:color="auto" w:fill="auto"/>
          <w:lang w:val="en-US" w:eastAsia="zh-CN" w:bidi="ar"/>
          <w14:textFill>
            <w14:solidFill>
              <w14:schemeClr w14:val="tx1"/>
            </w14:solidFill>
          </w14:textFill>
        </w:rPr>
        <w:t>以上推荐品牌仅供参考，并非指定，相当于或优于推荐品牌的均可参加投标。</w:t>
      </w:r>
    </w:p>
    <w:p>
      <w:pPr>
        <w:keepNext w:val="0"/>
        <w:keepLines w:val="0"/>
        <w:widowControl/>
        <w:suppressLineNumbers w:val="0"/>
        <w:jc w:val="left"/>
        <w:rPr>
          <w:rFonts w:hint="default"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t>二、幕墙工程</w:t>
      </w:r>
    </w:p>
    <w:p>
      <w:pPr>
        <w:ind w:firstLine="482" w:firstLineChars="200"/>
        <w:rPr>
          <w:rFonts w:hint="default"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（一）</w:t>
      </w:r>
      <w:r>
        <w:rPr>
          <w:rFonts w:hint="default"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石材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选用3</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0</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mm厚</w:t>
      </w: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A级</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优质</w:t>
      </w: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米白色</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花岗岩,其</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弯曲</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强度应经法定检测</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机构</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检测确定,其弯曲强度</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不应</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小于8.0MPa;幕墙石材应选用火成岩,石材吸水率应小于0</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6%,石材的表面处理方法应根据环境和用途决定。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所有石材表面应进行六面防护剂处理。(毛面石材不低于28mm厚,光面石材</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不低于</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25mm。)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石材进场应进行合格检验,不得有</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暗</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裂纹崩裂情况;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3、</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石材进行表面清洁处理后经72小时自然干燥,六面涂刷石材保护液;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4、</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选用石材不得有明显色差;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5、</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石材幕墙应作风压变形性能;空气渗透性能;雨水渗透性能和平面内变形性能</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四项</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物理性能实验;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6、</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石材供应商应提供石材硅酮</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胶</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无污染检验报告,其放射性分类控制应符合JG518标准</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heme="majorEastAsia" w:hAnsiTheme="majorEastAsia" w:eastAsiaTheme="majorEastAsia" w:cstheme="majorEastAsia"/>
          <w:b/>
          <w:bCs/>
          <w:color w:val="000000" w:themeColor="text1"/>
          <w:sz w:val="32"/>
          <w:szCs w:val="32"/>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7、</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背栓的中心线与石材面板边缘的距离不应大于300mm,也不应小于50mm;背栓与背栓孔之间防止硬性接触;背栓之间的距离不应大于1200mm;背栓应采用A4-80奥氏体不锈钢。背栓孔切入的有效深度为面板厚度的2/3,且不小于15mm.背栓孔离石板边缘净距不小于板厚的5倍,且不大于其支承边长0.2倍。孔底至板面的剩余厚度应不小于8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背栓螺栓埋装时,背栓孔内应注环氧胶粘剂。背栓支承应有防松脱构造并有可调节余量。本工程采用双切面背栓。</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（二）铝单板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铝单板采用国内著名厂家生产的单层铝板（具体厚度已工程量清单项目特征描述为准）,基材材质为3003-H24(表面经喷漆固化处理后,状态为H44）；单层铝板的化学成分符合CB/T 3190。铝板可视表面氟碳喷涂,三涂两烤处理,平均涂膜厚度≥4um,局部涂膜厚度≥35um,氟碳涂漆材料为KYNAR500,其聚偏二氟乙烯含量≥70%(树脂重量比),采用PPG品牌。铝单板的抗拉强度不低于89N/mm2,抗剪强度不低于52N/mm2 ,大板块选用需出厂前增加加强肋。铝单板幕墙的安装应达到JG.J133-2001规范7.3.1-7.3..8的规定。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施工图纸及工程量清单项目特征描述的铝单板厚度为不含涂膜层的厚度。</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（三）玻璃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1、本工程玻璃幕墙大面采用隔热铝合金立柱。</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2、本工程玻璃大面选用国产优质钢化中空玻璃,局部门位置也采用国产优质钢化中空玻璃,玻璃的参数如下：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6Low-E+12A+6 ,玻璃面积低于3㎡时采用;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8Low-E+12A+8 ,玻璃面积低于4㎡时采用；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玻璃雨棚采用8+1.52pvb+8mm钢化夹胶玻璃;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玻璃采光顶采用8Low-E+12A+6+1.52pvb+6mm钢化中空夹胶玻璃;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其中LOW-E膜层均设置在室外往室内数的第二面,玻离幕墙的节能参数知下(各个部位详见建筑节能计算书):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其中中空层为空气层,玻璃为离线单银Low-E玻璃,中透光,玻璃传热系数K=1.8,综合传热系数K=2.4,玻璃太阳得热系数SHGC=0.52,可见光透射比=0.6，其中隔热铝型材的隔热条高度为20 mm,传热系数K=2.8；</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40" w:leftChars="0" w:firstLine="560" w:firstLineChars="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本工程所有玻璃均采用钢化玻璃,均需做均质处理(外片超白处理)。玻璃外观质量及尺寸偏差必须符合国家现行规范及技术要求，外观上不允许存在加胶层气泡、裂痕、缺角、夹钳印、叠层、磨伤、脱胶等缺陷。在所有玻璃幕墙的钢化玻璃必须进行二次热处理(夹丝类除外)。玻璃采用离线镀膜工艺，玻璃均要求原厂原片、原厂合片，颜色由业主确定。幕墙玻璃应进行机械三边细磨处理,磨轮的目数应在180目以上;点支撑幕墙玻璃的孔、板边缘应进行磨边和倒棱，磨边宜细磨，倒棱宽度不宜小于1mm,以上产品应符合国家标准：《平板玻璃》GB11614-2009、《钢化玻璃》CB15763.2-2005。</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40" w:leftChars="0" w:firstLine="560" w:firstLineChars="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玻璃幕墙采用夹层玻璃时,应采用干法加工合战,其夹片宜采用聚乙烯醇缩丁醛(PVB)肢片。夹层玻离合片时,应严格控制温、湿度。</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40" w:leftChars="0" w:firstLine="560" w:firstLineChars="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对于点支承玻璃幕墙及雨棚，采用浮头式连接件的幕墙玻璃厚度不应小于6mm，采用沉头式连接件的幕墙玻璃厚度不小于8mm，安装连接件的夹层玻璃和中空玻璃，其单层厚度也应符合上述要求，玻璃之间的空隙宽度不应小于10mm，且应采用硅酮建筑密封胶嵌缝。</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40" w:leftChars="0" w:firstLine="560" w:firstLineChars="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玻璃幕墙根据建筑要求设计消防救援窗,消防救援窗应符合消防规范要求。消防救援窗口为可击碎玻璃,不得采用夹胶玻璃。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幕墙和窗户均易受到撞击的部位均设置护窗栏和明显的警示标示。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仿宋_GB2312" w:hAnsi="仿宋_GB2312" w:eastAsia="仿宋_GB2312" w:cs="仿宋_GB2312"/>
          <w:color w:val="0000FF"/>
          <w:sz w:val="24"/>
          <w:szCs w:val="24"/>
          <w:highlight w:val="none"/>
          <w:shd w:val="clear" w:color="FFFFFF" w:fill="D9D9D9"/>
          <w:lang w:val="en-US" w:eastAsia="zh-CN"/>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7、玻璃及附件选用品牌参照门窗工程要求。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第八章 招标人要求</w:t>
      </w:r>
    </w:p>
    <w:p>
      <w:pPr>
        <w:ind w:firstLine="560" w:firstLineChars="200"/>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p>
    <w:p>
      <w:pPr>
        <w:ind w:firstLine="560" w:firstLineChars="200"/>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1、部分雨棚、幕墙预埋板已施工，此费用约30万元。后期结算时，此费用从工程款中扣除，中标单位应综合考虑。未预埋部分由中标单位后置，相关检测费用包含在投标报价中；</w:t>
      </w:r>
    </w:p>
    <w:p>
      <w:pPr>
        <w:ind w:firstLine="560" w:firstLineChars="200"/>
        <w:jc w:val="left"/>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2、主要材料进场前，须提供知名品牌样品，经监理及建设单位认可；</w:t>
      </w:r>
    </w:p>
    <w:p>
      <w:pPr>
        <w:ind w:firstLine="560" w:firstLineChars="200"/>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3、如遇建设单位对清单项调整分包单位无条件执行；</w:t>
      </w:r>
    </w:p>
    <w:p>
      <w:pPr>
        <w:ind w:firstLine="560" w:firstLineChars="200"/>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4、施工所需的临水、临电及道路位置以现状为准，临电发包人仅提供至二级配电箱，二级箱以外的三级配电箱及相应电缆由承包人自行提供，且符合国家标准及规范，满足监理单位的、发包人要求，费用包含在投标报价中；</w:t>
      </w:r>
    </w:p>
    <w:p>
      <w:pPr>
        <w:ind w:firstLine="560" w:firstLineChars="200"/>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5、由于近来原材料价格波动幅度较大，投标人需充分考虑材料价格上涨带来的风险。在本项目工期内，招标人一律不调整材料价差，一旦中标，投标人不得因材料上涨而向招标人提出额外要求。设备一律不调差价；</w:t>
      </w:r>
    </w:p>
    <w:p>
      <w:pPr>
        <w:ind w:firstLine="560" w:firstLineChars="200"/>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6、由于设计变更，铝单板的厚度执行工程量清单项目特征描述；</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7、1#、3#楼屋顶层因审图意见结构标高降低100mm，六层的窗高度应同降100mm。</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8、本项目不记取总包配合费，水电费由总包单位承担。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9、经建设单位、监理单位、总包单位认可同意后，中标人可自行对幕墙工程、门窗工程图纸进行优化设计。</w:t>
      </w: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九</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亳州高铁南站金融商务中心项目幕墙、保温、门窗及栏杆工程专业分包（二次）</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152045787"/>
      <w:bookmarkStart w:id="81" w:name="_Toc152042576"/>
      <w:bookmarkStart w:id="82" w:name="_Toc144974856"/>
      <w:bookmarkStart w:id="83" w:name="_Toc300835209"/>
      <w:bookmarkStart w:id="84" w:name="_Toc247514246"/>
      <w:bookmarkStart w:id="85" w:name="_Toc247527827"/>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联合体协议书</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五、专项技术方案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86" w:name="_Toc152045788"/>
      <w:bookmarkStart w:id="87" w:name="_Toc300835210"/>
      <w:bookmarkStart w:id="88" w:name="_Toc247514247"/>
      <w:bookmarkStart w:id="89" w:name="_Toc144974857"/>
      <w:bookmarkStart w:id="90" w:name="_Toc152042577"/>
      <w:bookmarkStart w:id="91" w:name="_Toc247527828"/>
      <w:r>
        <w:rPr>
          <w:rFonts w:hint="default" w:ascii="Times New Roman" w:hAnsi="Times New Roman" w:cs="Times New Roman"/>
        </w:rPr>
        <w:t>一、投标函及投标函附录</w:t>
      </w:r>
      <w:bookmarkEnd w:id="86"/>
      <w:bookmarkEnd w:id="87"/>
      <w:bookmarkEnd w:id="88"/>
      <w:bookmarkEnd w:id="89"/>
      <w:bookmarkEnd w:id="90"/>
      <w:bookmarkEnd w:id="91"/>
    </w:p>
    <w:p>
      <w:pPr>
        <w:pStyle w:val="4"/>
        <w:rPr>
          <w:rFonts w:hint="default" w:ascii="Times New Roman" w:hAnsi="Times New Roman" w:cs="Times New Roman"/>
          <w:sz w:val="20"/>
          <w:szCs w:val="20"/>
        </w:rPr>
      </w:pPr>
      <w:bookmarkStart w:id="92" w:name="_Toc152042578"/>
      <w:bookmarkStart w:id="93" w:name="_Toc152045789"/>
      <w:bookmarkStart w:id="94" w:name="_Toc247514248"/>
      <w:bookmarkStart w:id="95" w:name="_Toc300835211"/>
      <w:bookmarkStart w:id="96" w:name="_Toc144974858"/>
      <w:bookmarkStart w:id="97" w:name="_Toc247527829"/>
      <w:r>
        <w:rPr>
          <w:rFonts w:hint="default" w:ascii="Times New Roman" w:hAnsi="Times New Roman" w:cs="Times New Roman"/>
        </w:rPr>
        <w:t>（一）投标函</w:t>
      </w:r>
      <w:bookmarkEnd w:id="92"/>
      <w:bookmarkEnd w:id="93"/>
      <w:bookmarkEnd w:id="94"/>
      <w:bookmarkEnd w:id="95"/>
      <w:bookmarkEnd w:id="96"/>
      <w:bookmarkEnd w:id="97"/>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98" w:name="_Toc152042579"/>
      <w:bookmarkStart w:id="99" w:name="_Toc144974859"/>
      <w:bookmarkStart w:id="100" w:name="_Toc300835212"/>
      <w:bookmarkStart w:id="101" w:name="_Toc247514249"/>
      <w:bookmarkStart w:id="102" w:name="_Toc152045790"/>
      <w:bookmarkStart w:id="103" w:name="_Toc247527830"/>
    </w:p>
    <w:p>
      <w:pPr>
        <w:rPr>
          <w:rFonts w:hint="default"/>
        </w:rPr>
      </w:pPr>
    </w:p>
    <w:p>
      <w:pPr>
        <w:pStyle w:val="4"/>
        <w:rPr>
          <w:rFonts w:hint="default" w:ascii="Times New Roman" w:hAnsi="Times New Roman" w:cs="Times New Roman"/>
        </w:rPr>
      </w:pPr>
      <w:r>
        <w:rPr>
          <w:rFonts w:hint="default" w:ascii="Times New Roman" w:hAnsi="Times New Roman" w:cs="Times New Roman"/>
        </w:rPr>
        <w:t>（二）投标函附录</w:t>
      </w:r>
      <w:bookmarkEnd w:id="98"/>
      <w:bookmarkEnd w:id="99"/>
      <w:bookmarkEnd w:id="100"/>
      <w:bookmarkEnd w:id="101"/>
      <w:bookmarkEnd w:id="102"/>
      <w:bookmarkEnd w:id="103"/>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448"/>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质保期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104" w:name="_Toc152045791"/>
      <w:bookmarkStart w:id="105" w:name="_Toc300835213"/>
      <w:bookmarkStart w:id="106" w:name="_Toc144974860"/>
      <w:bookmarkStart w:id="107" w:name="_Toc247514283"/>
      <w:bookmarkStart w:id="108" w:name="_Toc152042580"/>
      <w:bookmarkStart w:id="109" w:name="_Toc247527831"/>
      <w:r>
        <w:rPr>
          <w:rFonts w:hint="default" w:ascii="Times New Roman" w:hAnsi="Times New Roman" w:cs="Times New Roman"/>
        </w:rPr>
        <w:t>二、法定代表人身份证明</w:t>
      </w:r>
      <w:bookmarkEnd w:id="104"/>
      <w:bookmarkEnd w:id="105"/>
      <w:bookmarkEnd w:id="106"/>
      <w:bookmarkEnd w:id="107"/>
      <w:bookmarkEnd w:id="108"/>
      <w:bookmarkEnd w:id="1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10" w:name="_Toc247514284"/>
      <w:bookmarkStart w:id="111" w:name="_Toc152045792"/>
      <w:bookmarkStart w:id="112" w:name="_Toc300835214"/>
      <w:bookmarkStart w:id="113" w:name="_Toc152042581"/>
      <w:bookmarkStart w:id="114" w:name="_Toc144974861"/>
      <w:bookmarkStart w:id="115" w:name="_Toc247527832"/>
      <w:r>
        <w:rPr>
          <w:rFonts w:hint="default" w:ascii="Times New Roman" w:hAnsi="Times New Roman" w:cs="Times New Roman"/>
        </w:rPr>
        <w:t>二、授权委托书</w:t>
      </w:r>
      <w:bookmarkEnd w:id="110"/>
      <w:bookmarkEnd w:id="111"/>
      <w:bookmarkEnd w:id="112"/>
      <w:bookmarkEnd w:id="113"/>
      <w:bookmarkEnd w:id="114"/>
      <w:bookmarkEnd w:id="1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16" w:name="_Toc152042583"/>
      <w:bookmarkStart w:id="117" w:name="_Toc152045794"/>
      <w:bookmarkStart w:id="118" w:name="_Toc144974862"/>
      <w:bookmarkStart w:id="119" w:name="_Toc300835216"/>
      <w:bookmarkStart w:id="120" w:name="_Toc247514286"/>
      <w:bookmarkStart w:id="121" w:name="_Toc247527834"/>
      <w:r>
        <w:rPr>
          <w:rFonts w:hint="default" w:ascii="Times New Roman" w:hAnsi="Times New Roman" w:cs="Times New Roman"/>
          <w:lang w:val="en-US" w:eastAsia="zh-CN"/>
        </w:rPr>
        <w:t>三</w:t>
      </w:r>
      <w:r>
        <w:rPr>
          <w:rFonts w:hint="default" w:ascii="Times New Roman" w:hAnsi="Times New Roman" w:cs="Times New Roman"/>
        </w:rPr>
        <w:t>、投标保证金</w:t>
      </w:r>
      <w:bookmarkEnd w:id="116"/>
      <w:bookmarkEnd w:id="117"/>
      <w:bookmarkEnd w:id="118"/>
      <w:bookmarkEnd w:id="119"/>
      <w:bookmarkEnd w:id="120"/>
      <w:bookmarkEnd w:id="1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22"/>
    <w:p>
      <w:pPr>
        <w:rPr>
          <w:rFonts w:hint="default" w:ascii="Times New Roman" w:hAnsi="Times New Roman" w:cs="Times New Roman"/>
        </w:rPr>
      </w:pPr>
      <w:bookmarkStart w:id="123" w:name="_Toc152045795"/>
      <w:bookmarkStart w:id="124" w:name="_Toc247514287"/>
      <w:bookmarkStart w:id="125" w:name="_Toc144974863"/>
      <w:bookmarkStart w:id="126" w:name="_Toc247527835"/>
      <w:bookmarkStart w:id="127" w:name="_Toc152042584"/>
      <w:bookmarkStart w:id="128" w:name="_Toc300835218"/>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123"/>
      <w:bookmarkEnd w:id="124"/>
      <w:bookmarkEnd w:id="125"/>
      <w:bookmarkEnd w:id="126"/>
      <w:bookmarkEnd w:id="127"/>
      <w:bookmarkEnd w:id="128"/>
      <w:r>
        <w:rPr>
          <w:rFonts w:hint="eastAsia" w:ascii="Times New Roman" w:hAnsi="Times New Roman" w:cs="Times New Roman"/>
          <w:lang w:val="en-US" w:eastAsia="zh-C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129" w:name="_Toc247527836"/>
      <w:bookmarkStart w:id="130" w:name="_Toc300835221"/>
      <w:bookmarkStart w:id="131" w:name="_Toc152042585"/>
      <w:bookmarkStart w:id="132" w:name="_Toc247514288"/>
      <w:bookmarkStart w:id="133" w:name="_Toc152045796"/>
      <w:bookmarkStart w:id="134" w:name="_Toc144974864"/>
      <w:r>
        <w:rPr>
          <w:rFonts w:hint="eastAsia" w:ascii="Times New Roman" w:hAnsi="Times New Roman" w:cs="Times New Roman"/>
          <w:szCs w:val="21"/>
          <w:lang w:val="en-US" w:eastAsia="zh-CN"/>
        </w:rPr>
        <w:t>（如果采用联合体投标的，则适用此表，否则不适用）</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（项目名称）投标。现就联合体投标事宜订立如下协议。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牵头人合法代表联合体各成员负责本招标项目投标文件编制和合同谈判活动，并代表联合体提交和接收相关的资料、信息及指示，并处理与之有关的一切事务，负责合同实施阶段的主办、组织和协调工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3、联合体将严格按照招标文件的各项要求，递交投标文件，履行合同，并对外承担连带责任。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份，联合体成员和招标人各执一份。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（签字或盖章或打印姓名）</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（签字或盖章或打印姓名）</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成员二名称：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（签字或盖章或打印姓名）</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default" w:ascii="Times New Roman" w:hAnsi="Times New Roman" w:cs="Times New Roman"/>
          <w:szCs w:val="21"/>
        </w:rPr>
      </w:pPr>
      <w:r>
        <w:rPr>
          <w:rFonts w:hint="eastAsia" w:ascii="Times New Roman" w:hAnsi="Times New Roman" w:cs="Times New Roman"/>
          <w:szCs w:val="21"/>
          <w:lang w:val="en-US" w:eastAsia="zh-CN"/>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年</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月</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日</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129"/>
      <w:bookmarkEnd w:id="130"/>
      <w:bookmarkEnd w:id="131"/>
      <w:bookmarkEnd w:id="132"/>
      <w:bookmarkEnd w:id="133"/>
      <w:bookmarkEnd w:id="134"/>
      <w:r>
        <w:rPr>
          <w:rFonts w:hint="eastAsia" w:ascii="Times New Roman" w:hAnsi="Times New Roman" w:cs="Times New Roman"/>
          <w:highlight w:val="none"/>
          <w:lang w:val="en-US" w:eastAsia="zh-CN"/>
        </w:rPr>
        <w:t>专项技术方案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1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val="en-US" w:eastAsia="zh-CN"/>
        </w:rPr>
        <w:t>专项技术方案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r>
        <w:rPr>
          <w:rFonts w:hint="default" w:ascii="Times New Roman" w:hAnsi="Times New Roman" w:cs="Times New Roman"/>
          <w:szCs w:val="21"/>
        </w:rPr>
        <w:br w:type="page"/>
      </w:r>
    </w:p>
    <w:p>
      <w:pPr>
        <w:pStyle w:val="4"/>
        <w:rPr>
          <w:rFonts w:hint="default" w:ascii="Times New Roman" w:hAnsi="Times New Roman" w:cs="Times New Roman"/>
        </w:rPr>
      </w:pPr>
      <w:bookmarkStart w:id="136" w:name="_Toc296602610"/>
      <w:bookmarkStart w:id="137" w:name="_Toc246997108"/>
      <w:bookmarkStart w:id="138" w:name="_Toc247085883"/>
      <w:bookmarkStart w:id="139" w:name="_Toc152042586"/>
      <w:bookmarkStart w:id="140" w:name="_Toc246996365"/>
      <w:bookmarkStart w:id="141" w:name="_Toc179632817"/>
      <w:bookmarkStart w:id="142" w:name="_Toc152045797"/>
      <w:bookmarkStart w:id="143" w:name="_Toc144974865"/>
      <w:r>
        <w:rPr>
          <w:rFonts w:hint="default" w:ascii="Times New Roman" w:hAnsi="Times New Roman" w:cs="Times New Roman"/>
        </w:rPr>
        <w:t>附表一：拟投入本项目的主要施工设备表</w:t>
      </w:r>
      <w:bookmarkEnd w:id="136"/>
      <w:bookmarkEnd w:id="137"/>
      <w:bookmarkEnd w:id="138"/>
      <w:bookmarkEnd w:id="139"/>
      <w:bookmarkEnd w:id="140"/>
      <w:bookmarkEnd w:id="141"/>
      <w:bookmarkEnd w:id="142"/>
      <w:bookmarkEnd w:id="143"/>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144" w:name="_Toc152045799"/>
      <w:bookmarkStart w:id="145" w:name="_Toc296602611"/>
      <w:bookmarkStart w:id="146" w:name="_Toc246996366"/>
      <w:bookmarkStart w:id="147" w:name="_Toc247085884"/>
      <w:bookmarkStart w:id="148" w:name="_Toc246997109"/>
      <w:bookmarkStart w:id="149" w:name="_Toc144974867"/>
      <w:bookmarkStart w:id="150" w:name="_Toc179632819"/>
      <w:bookmarkStart w:id="151" w:name="_Toc152042588"/>
      <w:r>
        <w:rPr>
          <w:rFonts w:hint="default" w:ascii="Times New Roman" w:hAnsi="Times New Roman" w:cs="Times New Roman"/>
        </w:rPr>
        <w:t>附表二：劳动力计划表</w:t>
      </w:r>
      <w:bookmarkEnd w:id="144"/>
      <w:bookmarkEnd w:id="145"/>
      <w:bookmarkEnd w:id="146"/>
      <w:bookmarkEnd w:id="147"/>
      <w:bookmarkEnd w:id="148"/>
      <w:bookmarkEnd w:id="149"/>
      <w:bookmarkEnd w:id="150"/>
      <w:bookmarkEnd w:id="1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152" w:name="_Toc246997110"/>
      <w:bookmarkStart w:id="153" w:name="_Toc179632820"/>
      <w:bookmarkStart w:id="154" w:name="_Toc152045800"/>
      <w:bookmarkStart w:id="155" w:name="_Toc144974868"/>
      <w:bookmarkStart w:id="156" w:name="_Toc246996367"/>
      <w:bookmarkStart w:id="157" w:name="_Toc152042589"/>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158" w:name="_Toc296602612"/>
      <w:bookmarkStart w:id="159" w:name="_Toc247085885"/>
      <w:r>
        <w:rPr>
          <w:rFonts w:hint="default" w:ascii="Times New Roman" w:hAnsi="Times New Roman" w:cs="Times New Roman"/>
        </w:rPr>
        <w:t>附表三：进度计划</w:t>
      </w:r>
      <w:bookmarkEnd w:id="152"/>
      <w:bookmarkEnd w:id="153"/>
      <w:bookmarkEnd w:id="154"/>
      <w:bookmarkEnd w:id="155"/>
      <w:bookmarkEnd w:id="156"/>
      <w:bookmarkEnd w:id="157"/>
      <w:bookmarkEnd w:id="158"/>
      <w:bookmarkEnd w:id="1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135"/>
    <w:p>
      <w:pPr>
        <w:pStyle w:val="3"/>
        <w:jc w:val="center"/>
        <w:rPr>
          <w:szCs w:val="21"/>
        </w:rPr>
      </w:pPr>
      <w:bookmarkStart w:id="160" w:name="_Toc179632823"/>
      <w:bookmarkStart w:id="161" w:name="_Toc152045803"/>
      <w:bookmarkStart w:id="162" w:name="_Toc144974871"/>
      <w:bookmarkStart w:id="163" w:name="_Toc246997112"/>
      <w:bookmarkStart w:id="164" w:name="_Toc152042592"/>
      <w:bookmarkStart w:id="165" w:name="_Toc247085887"/>
      <w:bookmarkStart w:id="166" w:name="_Toc296602614"/>
      <w:bookmarkStart w:id="167" w:name="_Toc246996369"/>
      <w:bookmarkStart w:id="168" w:name="_Toc300835224"/>
      <w:bookmarkStart w:id="169" w:name="_Toc247527848"/>
      <w:bookmarkStart w:id="170" w:name="_Toc247514300"/>
      <w:bookmarkStart w:id="171" w:name="_Toc144974876"/>
      <w:bookmarkStart w:id="172" w:name="_Toc152045808"/>
      <w:bookmarkStart w:id="173" w:name="_Toc152042597"/>
      <w:r>
        <w:rPr>
          <w:rFonts w:hint="eastAsia"/>
        </w:rPr>
        <w:t>六</w:t>
      </w:r>
      <w:r>
        <w:t>、项目管理机构</w:t>
      </w:r>
      <w:bookmarkEnd w:id="160"/>
      <w:bookmarkEnd w:id="161"/>
      <w:bookmarkEnd w:id="162"/>
      <w:bookmarkEnd w:id="163"/>
      <w:bookmarkEnd w:id="164"/>
      <w:bookmarkEnd w:id="165"/>
      <w:bookmarkEnd w:id="166"/>
      <w:bookmarkEnd w:id="167"/>
    </w:p>
    <w:p>
      <w:pPr>
        <w:spacing w:line="440" w:lineRule="exact"/>
        <w:jc w:val="center"/>
        <w:rPr>
          <w:rFonts w:eastAsia="黑体"/>
          <w:sz w:val="23"/>
          <w:szCs w:val="23"/>
        </w:rPr>
      </w:pPr>
    </w:p>
    <w:p>
      <w:pPr>
        <w:pStyle w:val="4"/>
        <w:jc w:val="both"/>
      </w:pPr>
      <w:bookmarkStart w:id="174" w:name="_Toc247085888"/>
      <w:bookmarkStart w:id="175" w:name="_Toc246997113"/>
      <w:bookmarkStart w:id="176" w:name="_Toc246996370"/>
      <w:bookmarkStart w:id="177" w:name="_Toc296602615"/>
      <w:r>
        <w:t>（一）项目管理机构组成表</w:t>
      </w:r>
      <w:bookmarkEnd w:id="174"/>
      <w:bookmarkEnd w:id="175"/>
      <w:bookmarkEnd w:id="176"/>
      <w:bookmarkEnd w:id="177"/>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178" w:name="_Toc296602616"/>
      <w:bookmarkStart w:id="179" w:name="_Toc246996371"/>
      <w:bookmarkStart w:id="180" w:name="_Toc247085889"/>
      <w:bookmarkStart w:id="181" w:name="_Toc246997114"/>
      <w:r>
        <w:t>（二）</w:t>
      </w:r>
      <w:r>
        <w:rPr>
          <w:rFonts w:hint="eastAsia"/>
          <w:lang w:eastAsia="zh-CN"/>
        </w:rPr>
        <w:t>项目负责人</w:t>
      </w:r>
      <w:r>
        <w:t>简历表</w:t>
      </w:r>
      <w:bookmarkEnd w:id="178"/>
      <w:bookmarkEnd w:id="179"/>
      <w:bookmarkEnd w:id="180"/>
      <w:bookmarkEnd w:id="181"/>
    </w:p>
    <w:p>
      <w:pPr>
        <w:spacing w:line="400" w:lineRule="exact"/>
        <w:ind w:firstLine="420" w:firstLineChars="200"/>
        <w:rPr>
          <w:rFonts w:hint="eastAsia"/>
        </w:rPr>
      </w:pPr>
      <w:r>
        <w:rPr>
          <w:rFonts w:hint="eastAsia"/>
        </w:rPr>
        <w:t>应附注册建造师执业资格证书、身份证、职称证、学历证、</w:t>
      </w:r>
      <w:r>
        <w:rPr>
          <w:rFonts w:hint="eastAsia"/>
          <w:lang w:val="en-US" w:eastAsia="zh-CN"/>
        </w:rPr>
        <w:t>社会</w:t>
      </w:r>
      <w:r>
        <w:rPr>
          <w:rFonts w:hint="eastAsia"/>
        </w:rPr>
        <w:t>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182" w:name="_Toc152045807"/>
      <w:bookmarkStart w:id="183" w:name="_Toc246997115"/>
      <w:bookmarkStart w:id="184" w:name="_Toc144974875"/>
      <w:bookmarkStart w:id="185" w:name="_Toc247085890"/>
      <w:bookmarkStart w:id="186" w:name="_Toc179632827"/>
      <w:bookmarkStart w:id="187" w:name="_Toc246996372"/>
      <w:bookmarkStart w:id="188" w:name="_Toc296602617"/>
      <w:bookmarkStart w:id="189" w:name="_Toc152042596"/>
      <w:r>
        <w:rPr>
          <w:rFonts w:hint="eastAsia"/>
        </w:rPr>
        <w:t>七</w:t>
      </w:r>
      <w:r>
        <w:t>、资格审查资料</w:t>
      </w:r>
      <w:bookmarkEnd w:id="182"/>
      <w:bookmarkEnd w:id="183"/>
      <w:bookmarkEnd w:id="184"/>
      <w:bookmarkEnd w:id="185"/>
      <w:bookmarkEnd w:id="186"/>
      <w:bookmarkEnd w:id="187"/>
      <w:bookmarkEnd w:id="188"/>
      <w:bookmarkEnd w:id="189"/>
    </w:p>
    <w:p>
      <w:pPr>
        <w:pStyle w:val="4"/>
        <w:jc w:val="both"/>
        <w:rPr>
          <w:rFonts w:hint="eastAsia"/>
        </w:rPr>
      </w:pPr>
      <w:bookmarkStart w:id="190" w:name="_Toc179632828"/>
      <w:bookmarkStart w:id="191" w:name="_Toc246996373"/>
      <w:bookmarkStart w:id="192" w:name="_Toc246997116"/>
      <w:bookmarkStart w:id="193" w:name="_Toc247085891"/>
      <w:bookmarkStart w:id="194" w:name="_Toc296602618"/>
      <w:r>
        <w:t>（一）投标人基本情况表</w:t>
      </w:r>
      <w:bookmarkEnd w:id="190"/>
      <w:bookmarkEnd w:id="191"/>
      <w:bookmarkEnd w:id="192"/>
      <w:bookmarkEnd w:id="193"/>
      <w:bookmarkEnd w:id="194"/>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eastAsia="黑体" w:cs="Times New Roman"/>
          <w:sz w:val="23"/>
          <w:szCs w:val="23"/>
        </w:rPr>
      </w:pPr>
      <w:r>
        <w:rPr>
          <w:rFonts w:hint="default" w:ascii="Times New Roman" w:hAnsi="Times New Roman" w:cs="Times New Roman"/>
        </w:rPr>
        <w:br w:type="page"/>
      </w:r>
      <w:bookmarkEnd w:id="168"/>
      <w:bookmarkEnd w:id="169"/>
      <w:bookmarkEnd w:id="170"/>
      <w:bookmarkEnd w:id="171"/>
      <w:bookmarkEnd w:id="172"/>
      <w:bookmarkEnd w:id="173"/>
    </w:p>
    <w:p>
      <w:pPr>
        <w:pStyle w:val="4"/>
        <w:rPr>
          <w:rFonts w:hint="default" w:ascii="Times New Roman" w:hAnsi="Times New Roman" w:cs="Times New Roman"/>
        </w:rPr>
      </w:pPr>
      <w:bookmarkStart w:id="195" w:name="_Toc152042599"/>
      <w:bookmarkStart w:id="196" w:name="_Toc300835226"/>
      <w:bookmarkStart w:id="197" w:name="_Toc247527850"/>
      <w:bookmarkStart w:id="198" w:name="_Toc247514302"/>
      <w:bookmarkStart w:id="199" w:name="_Toc152045810"/>
      <w:bookmarkStart w:id="200" w:name="_Toc144974878"/>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195"/>
      <w:bookmarkEnd w:id="196"/>
      <w:bookmarkEnd w:id="197"/>
      <w:bookmarkEnd w:id="198"/>
      <w:bookmarkEnd w:id="199"/>
      <w:bookmarkEnd w:id="200"/>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01" w:name="_Toc247527851"/>
      <w:bookmarkStart w:id="202" w:name="_Toc152045811"/>
      <w:bookmarkStart w:id="203" w:name="_Toc152042600"/>
      <w:bookmarkStart w:id="204" w:name="_Toc247514303"/>
      <w:bookmarkStart w:id="205" w:name="_Toc144974879"/>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206" w:name="_Toc300835227"/>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）正在实施的和新承接的项目情况表</w:t>
      </w:r>
      <w:bookmarkEnd w:id="201"/>
      <w:bookmarkEnd w:id="202"/>
      <w:bookmarkEnd w:id="203"/>
      <w:bookmarkEnd w:id="204"/>
      <w:bookmarkEnd w:id="205"/>
      <w:bookmarkEnd w:id="206"/>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07" w:name="_Toc247514304"/>
      <w:bookmarkStart w:id="208" w:name="_Toc152042601"/>
      <w:bookmarkStart w:id="209" w:name="_Toc247527852"/>
      <w:bookmarkStart w:id="210" w:name="_Toc152045812"/>
      <w:bookmarkStart w:id="211" w:name="_Toc144974880"/>
    </w:p>
    <w:p>
      <w:pPr>
        <w:spacing w:line="440" w:lineRule="exact"/>
        <w:rPr>
          <w:rFonts w:hint="default" w:ascii="Times New Roman" w:hAnsi="Times New Roman" w:cs="Times New Roman"/>
        </w:rPr>
      </w:pPr>
    </w:p>
    <w:bookmarkEnd w:id="207"/>
    <w:bookmarkEnd w:id="208"/>
    <w:bookmarkEnd w:id="209"/>
    <w:bookmarkEnd w:id="210"/>
    <w:bookmarkEnd w:id="211"/>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212" w:name="_Toc152042602"/>
      <w:bookmarkStart w:id="213" w:name="_Toc152045813"/>
      <w:bookmarkStart w:id="214" w:name="_Toc247514305"/>
      <w:bookmarkStart w:id="215" w:name="_Toc144974881"/>
      <w:bookmarkStart w:id="216" w:name="_Toc247530162"/>
      <w:bookmarkStart w:id="217" w:name="_Toc247527853"/>
    </w:p>
    <w:bookmarkEnd w:id="212"/>
    <w:bookmarkEnd w:id="213"/>
    <w:bookmarkEnd w:id="214"/>
    <w:bookmarkEnd w:id="215"/>
    <w:bookmarkEnd w:id="216"/>
    <w:bookmarkEnd w:id="217"/>
    <w:p>
      <w:pPr>
        <w:pStyle w:val="3"/>
        <w:jc w:val="center"/>
        <w:rPr>
          <w:rFonts w:hint="default" w:ascii="Times New Roman" w:hAnsi="Times New Roman" w:cs="Times New Roman"/>
        </w:rPr>
      </w:pPr>
      <w:bookmarkStart w:id="218" w:name="_Toc271821942"/>
      <w:bookmarkStart w:id="219"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218"/>
      <w:bookmarkEnd w:id="219"/>
    </w:p>
    <w:p>
      <w:pPr>
        <w:keepNext w:val="0"/>
        <w:keepLines w:val="0"/>
        <w:widowControl/>
        <w:suppressLineNumbers w:val="0"/>
        <w:jc w:val="center"/>
      </w:pPr>
      <w:r>
        <w:rPr>
          <w:rFonts w:hint="eastAsia" w:ascii="宋体" w:hAnsi="宋体" w:eastAsia="宋体" w:cs="宋体"/>
          <w:b/>
          <w:color w:val="000000"/>
          <w:kern w:val="0"/>
          <w:sz w:val="31"/>
          <w:szCs w:val="31"/>
          <w:lang w:val="en-US" w:eastAsia="zh-CN" w:bidi="ar"/>
        </w:rPr>
        <w:t>（一）主要材料品牌响应一览表</w:t>
      </w:r>
    </w:p>
    <w:p>
      <w:pPr>
        <w:ind w:firstLine="420" w:firstLineChars="200"/>
        <w:rPr>
          <w:rFonts w:hint="eastAsia" w:ascii="Times New Roman" w:hAnsi="Times New Roma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2867"/>
        <w:gridCol w:w="3108"/>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22" w:type="dxa"/>
            <w:gridSpan w:val="4"/>
            <w:noWrap w:val="0"/>
            <w:vAlign w:val="top"/>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门窗工程主要材料推荐品牌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材料</w:t>
            </w:r>
          </w:p>
        </w:tc>
        <w:tc>
          <w:tcPr>
            <w:tcW w:w="2867"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型号</w:t>
            </w:r>
          </w:p>
        </w:tc>
        <w:tc>
          <w:tcPr>
            <w:tcW w:w="3108"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品牌</w:t>
            </w:r>
          </w:p>
        </w:tc>
        <w:tc>
          <w:tcPr>
            <w:tcW w:w="1154"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lang w:val="en-US"/>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bl>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keepNext w:val="0"/>
        <w:keepLines w:val="0"/>
        <w:widowControl/>
        <w:suppressLineNumbers w:val="0"/>
        <w:jc w:val="both"/>
        <w:rPr>
          <w:rFonts w:hint="eastAsia" w:ascii="宋体" w:hAnsi="宋体" w:eastAsia="宋体" w:cs="宋体"/>
          <w:b/>
          <w:color w:val="000000"/>
          <w:kern w:val="0"/>
          <w:sz w:val="31"/>
          <w:szCs w:val="31"/>
          <w:lang w:val="en-US" w:eastAsia="zh-CN" w:bidi="ar"/>
        </w:rPr>
      </w:pPr>
      <w:r>
        <w:rPr>
          <w:rFonts w:hint="eastAsia" w:ascii="宋体" w:hAnsi="宋体" w:eastAsia="宋体" w:cs="宋体"/>
          <w:b/>
          <w:color w:val="000000"/>
          <w:kern w:val="0"/>
          <w:sz w:val="31"/>
          <w:szCs w:val="31"/>
          <w:lang w:val="en-US" w:eastAsia="zh-CN" w:bidi="ar"/>
        </w:rPr>
        <w:t>（二）第八章“投标文件格式”未详尽列举，但招标文件要求或投标人认为有必要提供的资料。</w:t>
      </w:r>
    </w:p>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3BFC7A"/>
    <w:multiLevelType w:val="singleLevel"/>
    <w:tmpl w:val="8B3BFC7A"/>
    <w:lvl w:ilvl="0" w:tentative="0">
      <w:start w:val="3"/>
      <w:numFmt w:val="decimal"/>
      <w:suff w:val="nothing"/>
      <w:lvlText w:val="%1、"/>
      <w:lvlJc w:val="left"/>
      <w:pPr>
        <w:ind w:left="-140"/>
      </w:pPr>
    </w:lvl>
  </w:abstractNum>
  <w:abstractNum w:abstractNumId="1">
    <w:nsid w:val="07A8BC2C"/>
    <w:multiLevelType w:val="singleLevel"/>
    <w:tmpl w:val="07A8BC2C"/>
    <w:lvl w:ilvl="0" w:tentative="0">
      <w:start w:val="6"/>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B2E75"/>
    <w:rsid w:val="002C069E"/>
    <w:rsid w:val="0040224D"/>
    <w:rsid w:val="0064222D"/>
    <w:rsid w:val="00733B0B"/>
    <w:rsid w:val="00764376"/>
    <w:rsid w:val="00796B76"/>
    <w:rsid w:val="00850CC0"/>
    <w:rsid w:val="00B00F2F"/>
    <w:rsid w:val="00C17647"/>
    <w:rsid w:val="00C6738B"/>
    <w:rsid w:val="00D27B9A"/>
    <w:rsid w:val="00F71495"/>
    <w:rsid w:val="00FA103D"/>
    <w:rsid w:val="00FA6C80"/>
    <w:rsid w:val="00FF308E"/>
    <w:rsid w:val="011E6004"/>
    <w:rsid w:val="01255B30"/>
    <w:rsid w:val="013B55DB"/>
    <w:rsid w:val="0145105E"/>
    <w:rsid w:val="01796E8A"/>
    <w:rsid w:val="019846E3"/>
    <w:rsid w:val="01AD18AD"/>
    <w:rsid w:val="01CB0CDF"/>
    <w:rsid w:val="01CD2334"/>
    <w:rsid w:val="01E140D3"/>
    <w:rsid w:val="01F16263"/>
    <w:rsid w:val="02016132"/>
    <w:rsid w:val="021D348F"/>
    <w:rsid w:val="024144DC"/>
    <w:rsid w:val="026A35F5"/>
    <w:rsid w:val="026E5FAB"/>
    <w:rsid w:val="02720655"/>
    <w:rsid w:val="02983D41"/>
    <w:rsid w:val="02A31129"/>
    <w:rsid w:val="02A46690"/>
    <w:rsid w:val="02AC508C"/>
    <w:rsid w:val="02BE075F"/>
    <w:rsid w:val="02DB6D08"/>
    <w:rsid w:val="02DF155D"/>
    <w:rsid w:val="02F4317E"/>
    <w:rsid w:val="03017B0F"/>
    <w:rsid w:val="0324584F"/>
    <w:rsid w:val="032652C7"/>
    <w:rsid w:val="033057E0"/>
    <w:rsid w:val="033964DC"/>
    <w:rsid w:val="033C441A"/>
    <w:rsid w:val="035021B2"/>
    <w:rsid w:val="035122D4"/>
    <w:rsid w:val="03696450"/>
    <w:rsid w:val="038E65F9"/>
    <w:rsid w:val="03AF1B00"/>
    <w:rsid w:val="03C10800"/>
    <w:rsid w:val="03C930C6"/>
    <w:rsid w:val="03C96DCC"/>
    <w:rsid w:val="03DD7159"/>
    <w:rsid w:val="03FB71CD"/>
    <w:rsid w:val="04127BBC"/>
    <w:rsid w:val="041371DB"/>
    <w:rsid w:val="041515CF"/>
    <w:rsid w:val="04210376"/>
    <w:rsid w:val="04212D24"/>
    <w:rsid w:val="042C575E"/>
    <w:rsid w:val="04382327"/>
    <w:rsid w:val="043A6EF6"/>
    <w:rsid w:val="043F5557"/>
    <w:rsid w:val="044363A4"/>
    <w:rsid w:val="047E6672"/>
    <w:rsid w:val="04885B47"/>
    <w:rsid w:val="048F443C"/>
    <w:rsid w:val="04936A4B"/>
    <w:rsid w:val="04A52387"/>
    <w:rsid w:val="04B54547"/>
    <w:rsid w:val="04BC59E8"/>
    <w:rsid w:val="04BE0941"/>
    <w:rsid w:val="04C10803"/>
    <w:rsid w:val="04CD15E8"/>
    <w:rsid w:val="04CF4810"/>
    <w:rsid w:val="04D63FDF"/>
    <w:rsid w:val="04EB08D2"/>
    <w:rsid w:val="04EC7DA2"/>
    <w:rsid w:val="050252F6"/>
    <w:rsid w:val="051B1778"/>
    <w:rsid w:val="052634D3"/>
    <w:rsid w:val="05462D7A"/>
    <w:rsid w:val="055625ED"/>
    <w:rsid w:val="056B5204"/>
    <w:rsid w:val="0572490A"/>
    <w:rsid w:val="057E3D65"/>
    <w:rsid w:val="058253F2"/>
    <w:rsid w:val="05872EB9"/>
    <w:rsid w:val="05933026"/>
    <w:rsid w:val="05BA17C0"/>
    <w:rsid w:val="05D71145"/>
    <w:rsid w:val="05D9116E"/>
    <w:rsid w:val="061F0438"/>
    <w:rsid w:val="06292F58"/>
    <w:rsid w:val="063F4D83"/>
    <w:rsid w:val="064B59D4"/>
    <w:rsid w:val="06501BB5"/>
    <w:rsid w:val="06624967"/>
    <w:rsid w:val="06626753"/>
    <w:rsid w:val="06714440"/>
    <w:rsid w:val="067240CC"/>
    <w:rsid w:val="06866D3C"/>
    <w:rsid w:val="06937EA4"/>
    <w:rsid w:val="06972E4E"/>
    <w:rsid w:val="06A31B6E"/>
    <w:rsid w:val="06A848F7"/>
    <w:rsid w:val="06B86823"/>
    <w:rsid w:val="06BF2153"/>
    <w:rsid w:val="06D375E0"/>
    <w:rsid w:val="06D9502E"/>
    <w:rsid w:val="06E329B2"/>
    <w:rsid w:val="06EB4F76"/>
    <w:rsid w:val="06ED1728"/>
    <w:rsid w:val="06F81D74"/>
    <w:rsid w:val="07344B1B"/>
    <w:rsid w:val="07397F3B"/>
    <w:rsid w:val="074267A8"/>
    <w:rsid w:val="07437013"/>
    <w:rsid w:val="074A7C93"/>
    <w:rsid w:val="075721EC"/>
    <w:rsid w:val="07666E00"/>
    <w:rsid w:val="07723470"/>
    <w:rsid w:val="0785176B"/>
    <w:rsid w:val="07972327"/>
    <w:rsid w:val="07A85930"/>
    <w:rsid w:val="07B46B95"/>
    <w:rsid w:val="07EE56D8"/>
    <w:rsid w:val="08096024"/>
    <w:rsid w:val="083726B7"/>
    <w:rsid w:val="084B605B"/>
    <w:rsid w:val="08554A0D"/>
    <w:rsid w:val="08563EE1"/>
    <w:rsid w:val="086D3DA1"/>
    <w:rsid w:val="08774BE1"/>
    <w:rsid w:val="088F5820"/>
    <w:rsid w:val="08903F11"/>
    <w:rsid w:val="08932D8F"/>
    <w:rsid w:val="08A914D3"/>
    <w:rsid w:val="08DF40BB"/>
    <w:rsid w:val="08ED571D"/>
    <w:rsid w:val="0922447E"/>
    <w:rsid w:val="092D0C4C"/>
    <w:rsid w:val="096213E6"/>
    <w:rsid w:val="09641BD1"/>
    <w:rsid w:val="0967298A"/>
    <w:rsid w:val="09A71C3D"/>
    <w:rsid w:val="09AF2C22"/>
    <w:rsid w:val="09B32D8C"/>
    <w:rsid w:val="09C37FE6"/>
    <w:rsid w:val="09D236A1"/>
    <w:rsid w:val="09DB25D9"/>
    <w:rsid w:val="09DF226A"/>
    <w:rsid w:val="09EC69D2"/>
    <w:rsid w:val="0A0251D7"/>
    <w:rsid w:val="0A074254"/>
    <w:rsid w:val="0A1B0141"/>
    <w:rsid w:val="0A3B332D"/>
    <w:rsid w:val="0A4C56C0"/>
    <w:rsid w:val="0A500304"/>
    <w:rsid w:val="0A5234C1"/>
    <w:rsid w:val="0A5C05C2"/>
    <w:rsid w:val="0A704DEE"/>
    <w:rsid w:val="0A735376"/>
    <w:rsid w:val="0A8B5261"/>
    <w:rsid w:val="0A8E5075"/>
    <w:rsid w:val="0AA913FB"/>
    <w:rsid w:val="0AAE6B76"/>
    <w:rsid w:val="0AB37F43"/>
    <w:rsid w:val="0AB930A2"/>
    <w:rsid w:val="0ADD0DF0"/>
    <w:rsid w:val="0AEB40E8"/>
    <w:rsid w:val="0B1906C0"/>
    <w:rsid w:val="0B223FE8"/>
    <w:rsid w:val="0B416906"/>
    <w:rsid w:val="0B5D1C2A"/>
    <w:rsid w:val="0B685C3C"/>
    <w:rsid w:val="0B7202E7"/>
    <w:rsid w:val="0B991D46"/>
    <w:rsid w:val="0B9F686D"/>
    <w:rsid w:val="0BA542AC"/>
    <w:rsid w:val="0BF87D1D"/>
    <w:rsid w:val="0C110CA2"/>
    <w:rsid w:val="0C7518CB"/>
    <w:rsid w:val="0C773477"/>
    <w:rsid w:val="0C9F113B"/>
    <w:rsid w:val="0CC37C01"/>
    <w:rsid w:val="0CD3448B"/>
    <w:rsid w:val="0CE627E3"/>
    <w:rsid w:val="0CF072F3"/>
    <w:rsid w:val="0CF2744E"/>
    <w:rsid w:val="0D026AF3"/>
    <w:rsid w:val="0D2466BD"/>
    <w:rsid w:val="0D347AC7"/>
    <w:rsid w:val="0D3A1668"/>
    <w:rsid w:val="0D5C2246"/>
    <w:rsid w:val="0D6A3C45"/>
    <w:rsid w:val="0D7F3B4D"/>
    <w:rsid w:val="0D84383E"/>
    <w:rsid w:val="0DA13B17"/>
    <w:rsid w:val="0DA277FF"/>
    <w:rsid w:val="0DB62D18"/>
    <w:rsid w:val="0DB8057F"/>
    <w:rsid w:val="0DC57869"/>
    <w:rsid w:val="0DCB4A51"/>
    <w:rsid w:val="0DD331D8"/>
    <w:rsid w:val="0DDB677F"/>
    <w:rsid w:val="0E093A81"/>
    <w:rsid w:val="0E1201C4"/>
    <w:rsid w:val="0E1E35AA"/>
    <w:rsid w:val="0E2C33E4"/>
    <w:rsid w:val="0E3C08A3"/>
    <w:rsid w:val="0E6221EE"/>
    <w:rsid w:val="0E626142"/>
    <w:rsid w:val="0E6D3EE4"/>
    <w:rsid w:val="0E8168AC"/>
    <w:rsid w:val="0E9601D9"/>
    <w:rsid w:val="0EA94B8B"/>
    <w:rsid w:val="0EDF4D5E"/>
    <w:rsid w:val="0EF860F0"/>
    <w:rsid w:val="0F024085"/>
    <w:rsid w:val="0F034892"/>
    <w:rsid w:val="0F0B2BA8"/>
    <w:rsid w:val="0F0E10C8"/>
    <w:rsid w:val="0F1438EF"/>
    <w:rsid w:val="0F463825"/>
    <w:rsid w:val="0F4B0F6A"/>
    <w:rsid w:val="0F575798"/>
    <w:rsid w:val="0F5F5CB1"/>
    <w:rsid w:val="0F6D192D"/>
    <w:rsid w:val="0F6E4AA0"/>
    <w:rsid w:val="0F886069"/>
    <w:rsid w:val="0F91371B"/>
    <w:rsid w:val="0FA819A2"/>
    <w:rsid w:val="0FB90701"/>
    <w:rsid w:val="0FCA08C0"/>
    <w:rsid w:val="0FCA14B6"/>
    <w:rsid w:val="0FD6455F"/>
    <w:rsid w:val="0FE42DE8"/>
    <w:rsid w:val="101038A7"/>
    <w:rsid w:val="101C65AE"/>
    <w:rsid w:val="101E2D38"/>
    <w:rsid w:val="1021061E"/>
    <w:rsid w:val="10407E4F"/>
    <w:rsid w:val="10446D2F"/>
    <w:rsid w:val="104957CA"/>
    <w:rsid w:val="104D6EF3"/>
    <w:rsid w:val="1069417C"/>
    <w:rsid w:val="106C1E4B"/>
    <w:rsid w:val="108A23D3"/>
    <w:rsid w:val="1095135B"/>
    <w:rsid w:val="10D35E97"/>
    <w:rsid w:val="10D86B5D"/>
    <w:rsid w:val="11114551"/>
    <w:rsid w:val="112269D1"/>
    <w:rsid w:val="11356135"/>
    <w:rsid w:val="11625553"/>
    <w:rsid w:val="11630CA3"/>
    <w:rsid w:val="11800917"/>
    <w:rsid w:val="118955AD"/>
    <w:rsid w:val="11970BCB"/>
    <w:rsid w:val="1197226B"/>
    <w:rsid w:val="11AA0839"/>
    <w:rsid w:val="11C42470"/>
    <w:rsid w:val="11C71895"/>
    <w:rsid w:val="11CD444A"/>
    <w:rsid w:val="11E2334D"/>
    <w:rsid w:val="11FC3F3B"/>
    <w:rsid w:val="12261F12"/>
    <w:rsid w:val="122C0E13"/>
    <w:rsid w:val="12340917"/>
    <w:rsid w:val="124D3BAD"/>
    <w:rsid w:val="125A52C4"/>
    <w:rsid w:val="12655D96"/>
    <w:rsid w:val="12683EFD"/>
    <w:rsid w:val="127C1804"/>
    <w:rsid w:val="128E3C38"/>
    <w:rsid w:val="12A66BF0"/>
    <w:rsid w:val="12BF2922"/>
    <w:rsid w:val="12C942C8"/>
    <w:rsid w:val="12DC5F5E"/>
    <w:rsid w:val="12DC7F8C"/>
    <w:rsid w:val="12E82A0B"/>
    <w:rsid w:val="12E925C7"/>
    <w:rsid w:val="13185B61"/>
    <w:rsid w:val="131873D2"/>
    <w:rsid w:val="132032F3"/>
    <w:rsid w:val="13274F9C"/>
    <w:rsid w:val="13417410"/>
    <w:rsid w:val="134A448A"/>
    <w:rsid w:val="134F7EA7"/>
    <w:rsid w:val="135107A8"/>
    <w:rsid w:val="136066CF"/>
    <w:rsid w:val="13657E31"/>
    <w:rsid w:val="136C3340"/>
    <w:rsid w:val="1387094F"/>
    <w:rsid w:val="139C08EB"/>
    <w:rsid w:val="13D35238"/>
    <w:rsid w:val="13D518B0"/>
    <w:rsid w:val="13D81B1F"/>
    <w:rsid w:val="14061B66"/>
    <w:rsid w:val="141D5767"/>
    <w:rsid w:val="142B5FE2"/>
    <w:rsid w:val="142F0A2D"/>
    <w:rsid w:val="14361CB2"/>
    <w:rsid w:val="1443206B"/>
    <w:rsid w:val="14542872"/>
    <w:rsid w:val="145F6C92"/>
    <w:rsid w:val="147E2423"/>
    <w:rsid w:val="1487273A"/>
    <w:rsid w:val="148C28CB"/>
    <w:rsid w:val="14944440"/>
    <w:rsid w:val="14A059A0"/>
    <w:rsid w:val="14B97B05"/>
    <w:rsid w:val="14CD31B9"/>
    <w:rsid w:val="14DA6BBE"/>
    <w:rsid w:val="14E454E2"/>
    <w:rsid w:val="14E67563"/>
    <w:rsid w:val="15021B62"/>
    <w:rsid w:val="150A21BA"/>
    <w:rsid w:val="151779D1"/>
    <w:rsid w:val="1522437E"/>
    <w:rsid w:val="152276CC"/>
    <w:rsid w:val="15283931"/>
    <w:rsid w:val="15285244"/>
    <w:rsid w:val="153233F5"/>
    <w:rsid w:val="15382F40"/>
    <w:rsid w:val="158374C1"/>
    <w:rsid w:val="158F33D0"/>
    <w:rsid w:val="159D19E8"/>
    <w:rsid w:val="15A62ECC"/>
    <w:rsid w:val="15B14179"/>
    <w:rsid w:val="15C516BD"/>
    <w:rsid w:val="15D86967"/>
    <w:rsid w:val="15E33500"/>
    <w:rsid w:val="15F7082D"/>
    <w:rsid w:val="160B7DEB"/>
    <w:rsid w:val="163242DB"/>
    <w:rsid w:val="166266B1"/>
    <w:rsid w:val="16A55218"/>
    <w:rsid w:val="16C724D4"/>
    <w:rsid w:val="16D411E7"/>
    <w:rsid w:val="16F1099D"/>
    <w:rsid w:val="170756D4"/>
    <w:rsid w:val="170F4587"/>
    <w:rsid w:val="175A40D1"/>
    <w:rsid w:val="176115DC"/>
    <w:rsid w:val="176D7525"/>
    <w:rsid w:val="17824660"/>
    <w:rsid w:val="178B315E"/>
    <w:rsid w:val="178F2FF8"/>
    <w:rsid w:val="179121FE"/>
    <w:rsid w:val="17915931"/>
    <w:rsid w:val="17BD0316"/>
    <w:rsid w:val="17C41ABF"/>
    <w:rsid w:val="18175D56"/>
    <w:rsid w:val="18276B10"/>
    <w:rsid w:val="189B5F22"/>
    <w:rsid w:val="18A70256"/>
    <w:rsid w:val="18A944F8"/>
    <w:rsid w:val="18B73074"/>
    <w:rsid w:val="18DA76F1"/>
    <w:rsid w:val="19034C2D"/>
    <w:rsid w:val="190B1C45"/>
    <w:rsid w:val="1916127C"/>
    <w:rsid w:val="193D465D"/>
    <w:rsid w:val="193D4E12"/>
    <w:rsid w:val="1965139D"/>
    <w:rsid w:val="196C6238"/>
    <w:rsid w:val="198A59D6"/>
    <w:rsid w:val="198C250A"/>
    <w:rsid w:val="19A73D74"/>
    <w:rsid w:val="19AA5416"/>
    <w:rsid w:val="19CE7FF6"/>
    <w:rsid w:val="19D70C6D"/>
    <w:rsid w:val="19E2271F"/>
    <w:rsid w:val="1A075570"/>
    <w:rsid w:val="1A0F7F7E"/>
    <w:rsid w:val="1A1C623A"/>
    <w:rsid w:val="1A270D5F"/>
    <w:rsid w:val="1A341685"/>
    <w:rsid w:val="1A4D4CED"/>
    <w:rsid w:val="1A512FD1"/>
    <w:rsid w:val="1A797469"/>
    <w:rsid w:val="1A8850B8"/>
    <w:rsid w:val="1A930AF8"/>
    <w:rsid w:val="1AD4460E"/>
    <w:rsid w:val="1ADB0B95"/>
    <w:rsid w:val="1AEF3412"/>
    <w:rsid w:val="1AF33A19"/>
    <w:rsid w:val="1AF80851"/>
    <w:rsid w:val="1B0361BC"/>
    <w:rsid w:val="1B093317"/>
    <w:rsid w:val="1B19240A"/>
    <w:rsid w:val="1B262D26"/>
    <w:rsid w:val="1B2670F4"/>
    <w:rsid w:val="1B2D1E19"/>
    <w:rsid w:val="1B2D7FD6"/>
    <w:rsid w:val="1B2E2CDD"/>
    <w:rsid w:val="1B3A5220"/>
    <w:rsid w:val="1B3B258E"/>
    <w:rsid w:val="1B440DF3"/>
    <w:rsid w:val="1B652C95"/>
    <w:rsid w:val="1B70155F"/>
    <w:rsid w:val="1B723039"/>
    <w:rsid w:val="1B7700FA"/>
    <w:rsid w:val="1B894EBC"/>
    <w:rsid w:val="1B8C1172"/>
    <w:rsid w:val="1B9269B7"/>
    <w:rsid w:val="1BB12BB2"/>
    <w:rsid w:val="1BCA4E1B"/>
    <w:rsid w:val="1BCE49E9"/>
    <w:rsid w:val="1BD12722"/>
    <w:rsid w:val="1BD15865"/>
    <w:rsid w:val="1BFE7E24"/>
    <w:rsid w:val="1C100B6A"/>
    <w:rsid w:val="1C2075D6"/>
    <w:rsid w:val="1C2B6CB4"/>
    <w:rsid w:val="1C3774BA"/>
    <w:rsid w:val="1C495CAA"/>
    <w:rsid w:val="1C5D5F8B"/>
    <w:rsid w:val="1C6E241C"/>
    <w:rsid w:val="1C7D688D"/>
    <w:rsid w:val="1CB07DF9"/>
    <w:rsid w:val="1CBB6C4E"/>
    <w:rsid w:val="1CC3681B"/>
    <w:rsid w:val="1CF16E69"/>
    <w:rsid w:val="1CF251D3"/>
    <w:rsid w:val="1CFF3217"/>
    <w:rsid w:val="1D004E1B"/>
    <w:rsid w:val="1D0C3E62"/>
    <w:rsid w:val="1D15201A"/>
    <w:rsid w:val="1D1D0D81"/>
    <w:rsid w:val="1D2350B3"/>
    <w:rsid w:val="1D520897"/>
    <w:rsid w:val="1D5835F0"/>
    <w:rsid w:val="1D6509EF"/>
    <w:rsid w:val="1D8C5045"/>
    <w:rsid w:val="1D9244F8"/>
    <w:rsid w:val="1D931CEA"/>
    <w:rsid w:val="1DC177D9"/>
    <w:rsid w:val="1E1A236E"/>
    <w:rsid w:val="1E225BB3"/>
    <w:rsid w:val="1E2A6113"/>
    <w:rsid w:val="1E2D212B"/>
    <w:rsid w:val="1E2E6E13"/>
    <w:rsid w:val="1E32182A"/>
    <w:rsid w:val="1E5A61EE"/>
    <w:rsid w:val="1E713E2F"/>
    <w:rsid w:val="1E724E47"/>
    <w:rsid w:val="1E7C6041"/>
    <w:rsid w:val="1EA573D8"/>
    <w:rsid w:val="1EB0513B"/>
    <w:rsid w:val="1EB72F76"/>
    <w:rsid w:val="1ECB060D"/>
    <w:rsid w:val="1EDF7955"/>
    <w:rsid w:val="1EE36B2C"/>
    <w:rsid w:val="1EF03AB0"/>
    <w:rsid w:val="1EF342CB"/>
    <w:rsid w:val="1F020A44"/>
    <w:rsid w:val="1F041BC7"/>
    <w:rsid w:val="1F0A4E3E"/>
    <w:rsid w:val="1F127B09"/>
    <w:rsid w:val="1F1C0DDD"/>
    <w:rsid w:val="1F2354C8"/>
    <w:rsid w:val="1F36160E"/>
    <w:rsid w:val="1F4E5358"/>
    <w:rsid w:val="1F5460C6"/>
    <w:rsid w:val="1F5D00BF"/>
    <w:rsid w:val="1F640255"/>
    <w:rsid w:val="1F664187"/>
    <w:rsid w:val="1F671677"/>
    <w:rsid w:val="1F722047"/>
    <w:rsid w:val="1F8D37F6"/>
    <w:rsid w:val="1F904945"/>
    <w:rsid w:val="1FAA6A2E"/>
    <w:rsid w:val="1FC11059"/>
    <w:rsid w:val="1FE570E2"/>
    <w:rsid w:val="1FE7673E"/>
    <w:rsid w:val="20024ECA"/>
    <w:rsid w:val="200E38F2"/>
    <w:rsid w:val="200E3AD5"/>
    <w:rsid w:val="201E585F"/>
    <w:rsid w:val="2049266D"/>
    <w:rsid w:val="20534B67"/>
    <w:rsid w:val="20557DC5"/>
    <w:rsid w:val="205A5C16"/>
    <w:rsid w:val="205B7D6A"/>
    <w:rsid w:val="207C33EE"/>
    <w:rsid w:val="2081342E"/>
    <w:rsid w:val="209740BF"/>
    <w:rsid w:val="2099242E"/>
    <w:rsid w:val="20B0411F"/>
    <w:rsid w:val="20B4353A"/>
    <w:rsid w:val="20D658C9"/>
    <w:rsid w:val="20D95B5B"/>
    <w:rsid w:val="20DC2416"/>
    <w:rsid w:val="20F22231"/>
    <w:rsid w:val="21015C26"/>
    <w:rsid w:val="21121083"/>
    <w:rsid w:val="211518DD"/>
    <w:rsid w:val="212B2F31"/>
    <w:rsid w:val="21327DB2"/>
    <w:rsid w:val="213D6756"/>
    <w:rsid w:val="213D7BD8"/>
    <w:rsid w:val="214C4EC5"/>
    <w:rsid w:val="2153567F"/>
    <w:rsid w:val="2158094E"/>
    <w:rsid w:val="215A2F4E"/>
    <w:rsid w:val="217422B6"/>
    <w:rsid w:val="2186750E"/>
    <w:rsid w:val="2188758A"/>
    <w:rsid w:val="21A61686"/>
    <w:rsid w:val="21A75047"/>
    <w:rsid w:val="21C13A32"/>
    <w:rsid w:val="21ED72B0"/>
    <w:rsid w:val="22270787"/>
    <w:rsid w:val="22391422"/>
    <w:rsid w:val="224D73DD"/>
    <w:rsid w:val="22592601"/>
    <w:rsid w:val="22594605"/>
    <w:rsid w:val="226D7B83"/>
    <w:rsid w:val="229225F5"/>
    <w:rsid w:val="2293123C"/>
    <w:rsid w:val="22A570EC"/>
    <w:rsid w:val="22BA7D42"/>
    <w:rsid w:val="22C65DC0"/>
    <w:rsid w:val="232E56FD"/>
    <w:rsid w:val="233F5F96"/>
    <w:rsid w:val="235F4D23"/>
    <w:rsid w:val="236849F1"/>
    <w:rsid w:val="236D4028"/>
    <w:rsid w:val="237E6AB4"/>
    <w:rsid w:val="238A4DFC"/>
    <w:rsid w:val="23915139"/>
    <w:rsid w:val="24226CC5"/>
    <w:rsid w:val="24312A4A"/>
    <w:rsid w:val="243939F6"/>
    <w:rsid w:val="244A5E9A"/>
    <w:rsid w:val="244C4BB8"/>
    <w:rsid w:val="24691193"/>
    <w:rsid w:val="246C3A46"/>
    <w:rsid w:val="246E214F"/>
    <w:rsid w:val="247152E7"/>
    <w:rsid w:val="24996600"/>
    <w:rsid w:val="24C7039E"/>
    <w:rsid w:val="24C843C7"/>
    <w:rsid w:val="24FA6CBF"/>
    <w:rsid w:val="24FA7ECF"/>
    <w:rsid w:val="24FF7718"/>
    <w:rsid w:val="251A7612"/>
    <w:rsid w:val="25237A22"/>
    <w:rsid w:val="252B1EAB"/>
    <w:rsid w:val="252E0774"/>
    <w:rsid w:val="25481BCE"/>
    <w:rsid w:val="254D680A"/>
    <w:rsid w:val="256F0B2A"/>
    <w:rsid w:val="25812F8D"/>
    <w:rsid w:val="25814DB7"/>
    <w:rsid w:val="258222BA"/>
    <w:rsid w:val="25824959"/>
    <w:rsid w:val="258D5DD4"/>
    <w:rsid w:val="25987A23"/>
    <w:rsid w:val="25BC46FF"/>
    <w:rsid w:val="25C517A2"/>
    <w:rsid w:val="25F5789E"/>
    <w:rsid w:val="25FD6A72"/>
    <w:rsid w:val="2608561B"/>
    <w:rsid w:val="260B0166"/>
    <w:rsid w:val="26196938"/>
    <w:rsid w:val="26261861"/>
    <w:rsid w:val="26382AAC"/>
    <w:rsid w:val="26506FAD"/>
    <w:rsid w:val="2660140A"/>
    <w:rsid w:val="26656277"/>
    <w:rsid w:val="26663117"/>
    <w:rsid w:val="267771CA"/>
    <w:rsid w:val="267B5902"/>
    <w:rsid w:val="26807144"/>
    <w:rsid w:val="268A362E"/>
    <w:rsid w:val="269560EE"/>
    <w:rsid w:val="269F5771"/>
    <w:rsid w:val="26AF686C"/>
    <w:rsid w:val="26CA60FC"/>
    <w:rsid w:val="26D16018"/>
    <w:rsid w:val="26DB3228"/>
    <w:rsid w:val="26DF6074"/>
    <w:rsid w:val="26E05716"/>
    <w:rsid w:val="26FE679C"/>
    <w:rsid w:val="270D7607"/>
    <w:rsid w:val="271574CD"/>
    <w:rsid w:val="272C00FB"/>
    <w:rsid w:val="27301EDB"/>
    <w:rsid w:val="27453115"/>
    <w:rsid w:val="274D2B26"/>
    <w:rsid w:val="276C029F"/>
    <w:rsid w:val="27867E0A"/>
    <w:rsid w:val="27982DD4"/>
    <w:rsid w:val="27C47B9B"/>
    <w:rsid w:val="27DD09CE"/>
    <w:rsid w:val="27EC553C"/>
    <w:rsid w:val="280C4BFC"/>
    <w:rsid w:val="280F76A9"/>
    <w:rsid w:val="2813394B"/>
    <w:rsid w:val="281C1F63"/>
    <w:rsid w:val="281C54D8"/>
    <w:rsid w:val="282063C5"/>
    <w:rsid w:val="283610D5"/>
    <w:rsid w:val="283E5412"/>
    <w:rsid w:val="28563171"/>
    <w:rsid w:val="28563CAD"/>
    <w:rsid w:val="285F5293"/>
    <w:rsid w:val="28622D71"/>
    <w:rsid w:val="286E69FD"/>
    <w:rsid w:val="287357F0"/>
    <w:rsid w:val="28752761"/>
    <w:rsid w:val="28875F31"/>
    <w:rsid w:val="28BF7615"/>
    <w:rsid w:val="28C56178"/>
    <w:rsid w:val="28CC35F2"/>
    <w:rsid w:val="28FA546B"/>
    <w:rsid w:val="28FE025E"/>
    <w:rsid w:val="29021687"/>
    <w:rsid w:val="2911463E"/>
    <w:rsid w:val="29245F1A"/>
    <w:rsid w:val="292F68CF"/>
    <w:rsid w:val="29366359"/>
    <w:rsid w:val="29586D7A"/>
    <w:rsid w:val="295E7D5A"/>
    <w:rsid w:val="29772B51"/>
    <w:rsid w:val="29791894"/>
    <w:rsid w:val="297B2C7E"/>
    <w:rsid w:val="297F493C"/>
    <w:rsid w:val="29816DB3"/>
    <w:rsid w:val="2984235F"/>
    <w:rsid w:val="29967FD2"/>
    <w:rsid w:val="299822D2"/>
    <w:rsid w:val="299E1DBF"/>
    <w:rsid w:val="29A52D8F"/>
    <w:rsid w:val="29AC17B3"/>
    <w:rsid w:val="29C56C3A"/>
    <w:rsid w:val="29D85278"/>
    <w:rsid w:val="29DF3110"/>
    <w:rsid w:val="29E1380C"/>
    <w:rsid w:val="29E85046"/>
    <w:rsid w:val="2A017BFD"/>
    <w:rsid w:val="2A0A71F8"/>
    <w:rsid w:val="2A146CA7"/>
    <w:rsid w:val="2A4913A2"/>
    <w:rsid w:val="2A9154D8"/>
    <w:rsid w:val="2AA04C57"/>
    <w:rsid w:val="2ACD39BF"/>
    <w:rsid w:val="2AD750C3"/>
    <w:rsid w:val="2AE23674"/>
    <w:rsid w:val="2AE77D08"/>
    <w:rsid w:val="2AEA3011"/>
    <w:rsid w:val="2B120785"/>
    <w:rsid w:val="2B252D72"/>
    <w:rsid w:val="2B25478F"/>
    <w:rsid w:val="2B3E0375"/>
    <w:rsid w:val="2B492499"/>
    <w:rsid w:val="2B652A8D"/>
    <w:rsid w:val="2B6C55DB"/>
    <w:rsid w:val="2B8D5640"/>
    <w:rsid w:val="2BF4029C"/>
    <w:rsid w:val="2C157D19"/>
    <w:rsid w:val="2C1C6937"/>
    <w:rsid w:val="2C202757"/>
    <w:rsid w:val="2C270D43"/>
    <w:rsid w:val="2C346FDE"/>
    <w:rsid w:val="2C49183D"/>
    <w:rsid w:val="2C6436A6"/>
    <w:rsid w:val="2C7A2A8F"/>
    <w:rsid w:val="2C86150A"/>
    <w:rsid w:val="2C9023A5"/>
    <w:rsid w:val="2C937549"/>
    <w:rsid w:val="2C9510BB"/>
    <w:rsid w:val="2C9D6A04"/>
    <w:rsid w:val="2CAE1D7E"/>
    <w:rsid w:val="2CB62598"/>
    <w:rsid w:val="2CBA1D11"/>
    <w:rsid w:val="2CBC136A"/>
    <w:rsid w:val="2CF92A1C"/>
    <w:rsid w:val="2CFE607B"/>
    <w:rsid w:val="2D095409"/>
    <w:rsid w:val="2D3A3199"/>
    <w:rsid w:val="2D4B38E7"/>
    <w:rsid w:val="2D5470D9"/>
    <w:rsid w:val="2D551303"/>
    <w:rsid w:val="2D772574"/>
    <w:rsid w:val="2D8D31B7"/>
    <w:rsid w:val="2D8D5835"/>
    <w:rsid w:val="2DAB1C25"/>
    <w:rsid w:val="2DB51CF5"/>
    <w:rsid w:val="2DB66155"/>
    <w:rsid w:val="2DCC12FC"/>
    <w:rsid w:val="2DD66E3A"/>
    <w:rsid w:val="2DD70527"/>
    <w:rsid w:val="2DF17D73"/>
    <w:rsid w:val="2E4A7364"/>
    <w:rsid w:val="2E652B8E"/>
    <w:rsid w:val="2E66167A"/>
    <w:rsid w:val="2E6C7EF1"/>
    <w:rsid w:val="2E6D69DB"/>
    <w:rsid w:val="2E6F6584"/>
    <w:rsid w:val="2E7823B0"/>
    <w:rsid w:val="2E891DB2"/>
    <w:rsid w:val="2E933BCE"/>
    <w:rsid w:val="2E9C6490"/>
    <w:rsid w:val="2EA40069"/>
    <w:rsid w:val="2EAA3B87"/>
    <w:rsid w:val="2EB66E96"/>
    <w:rsid w:val="2EBC23A0"/>
    <w:rsid w:val="2ED478FD"/>
    <w:rsid w:val="2EEF75A5"/>
    <w:rsid w:val="2EF80B5D"/>
    <w:rsid w:val="2EFA0191"/>
    <w:rsid w:val="2F2E1CC1"/>
    <w:rsid w:val="2F436846"/>
    <w:rsid w:val="2F4556CE"/>
    <w:rsid w:val="2F494144"/>
    <w:rsid w:val="2F58048B"/>
    <w:rsid w:val="2F6A0C10"/>
    <w:rsid w:val="2F6F3C93"/>
    <w:rsid w:val="2F754A27"/>
    <w:rsid w:val="2F890548"/>
    <w:rsid w:val="2FB1448A"/>
    <w:rsid w:val="2FC802AE"/>
    <w:rsid w:val="301C41BF"/>
    <w:rsid w:val="303474C0"/>
    <w:rsid w:val="305C41A9"/>
    <w:rsid w:val="30820205"/>
    <w:rsid w:val="3085528F"/>
    <w:rsid w:val="308E41B5"/>
    <w:rsid w:val="30952C59"/>
    <w:rsid w:val="30A01032"/>
    <w:rsid w:val="30B4125A"/>
    <w:rsid w:val="30BB0583"/>
    <w:rsid w:val="30BC755C"/>
    <w:rsid w:val="30FF4D69"/>
    <w:rsid w:val="3113559B"/>
    <w:rsid w:val="311978DB"/>
    <w:rsid w:val="312421F6"/>
    <w:rsid w:val="3127420C"/>
    <w:rsid w:val="31477BEB"/>
    <w:rsid w:val="315523B1"/>
    <w:rsid w:val="31681726"/>
    <w:rsid w:val="31801ECA"/>
    <w:rsid w:val="3198056E"/>
    <w:rsid w:val="31A57673"/>
    <w:rsid w:val="31C53807"/>
    <w:rsid w:val="31CD31BF"/>
    <w:rsid w:val="31CD5309"/>
    <w:rsid w:val="31CE1B2F"/>
    <w:rsid w:val="31E109D7"/>
    <w:rsid w:val="31E10F55"/>
    <w:rsid w:val="320B7F80"/>
    <w:rsid w:val="3219008D"/>
    <w:rsid w:val="32215B79"/>
    <w:rsid w:val="322241F2"/>
    <w:rsid w:val="3229379D"/>
    <w:rsid w:val="32294133"/>
    <w:rsid w:val="322D5AFA"/>
    <w:rsid w:val="322D6924"/>
    <w:rsid w:val="322F4277"/>
    <w:rsid w:val="32514C44"/>
    <w:rsid w:val="325921E1"/>
    <w:rsid w:val="32804A28"/>
    <w:rsid w:val="328916BE"/>
    <w:rsid w:val="32974C7A"/>
    <w:rsid w:val="32BB4ABE"/>
    <w:rsid w:val="32C8549C"/>
    <w:rsid w:val="32CA16D9"/>
    <w:rsid w:val="32CF7262"/>
    <w:rsid w:val="32E326AB"/>
    <w:rsid w:val="32E42591"/>
    <w:rsid w:val="32E83928"/>
    <w:rsid w:val="32F45590"/>
    <w:rsid w:val="33773188"/>
    <w:rsid w:val="337E77C9"/>
    <w:rsid w:val="338029D1"/>
    <w:rsid w:val="338F53C2"/>
    <w:rsid w:val="33925662"/>
    <w:rsid w:val="339B7AA1"/>
    <w:rsid w:val="33B7637D"/>
    <w:rsid w:val="33B8005E"/>
    <w:rsid w:val="33D4661F"/>
    <w:rsid w:val="33ED39C2"/>
    <w:rsid w:val="340F56DE"/>
    <w:rsid w:val="34172742"/>
    <w:rsid w:val="3425597D"/>
    <w:rsid w:val="342A5DF5"/>
    <w:rsid w:val="34483300"/>
    <w:rsid w:val="344851FD"/>
    <w:rsid w:val="34516BC6"/>
    <w:rsid w:val="345854C5"/>
    <w:rsid w:val="34604202"/>
    <w:rsid w:val="346E7D28"/>
    <w:rsid w:val="34877759"/>
    <w:rsid w:val="349B5E0E"/>
    <w:rsid w:val="34A432B6"/>
    <w:rsid w:val="34AA020B"/>
    <w:rsid w:val="34BC17DA"/>
    <w:rsid w:val="34D015E3"/>
    <w:rsid w:val="34F436BE"/>
    <w:rsid w:val="34F653AB"/>
    <w:rsid w:val="34F85DA8"/>
    <w:rsid w:val="35034972"/>
    <w:rsid w:val="3509398E"/>
    <w:rsid w:val="3547266B"/>
    <w:rsid w:val="354B03B2"/>
    <w:rsid w:val="3554479E"/>
    <w:rsid w:val="357D63E5"/>
    <w:rsid w:val="357F00D0"/>
    <w:rsid w:val="35894506"/>
    <w:rsid w:val="358B7134"/>
    <w:rsid w:val="358D6B03"/>
    <w:rsid w:val="35A377DB"/>
    <w:rsid w:val="35B8168E"/>
    <w:rsid w:val="35E7387F"/>
    <w:rsid w:val="35E81F7A"/>
    <w:rsid w:val="35F52BF3"/>
    <w:rsid w:val="360530D8"/>
    <w:rsid w:val="3605698A"/>
    <w:rsid w:val="36162F1C"/>
    <w:rsid w:val="363277D2"/>
    <w:rsid w:val="36433EE9"/>
    <w:rsid w:val="366244D5"/>
    <w:rsid w:val="366C7855"/>
    <w:rsid w:val="368258A1"/>
    <w:rsid w:val="36875E18"/>
    <w:rsid w:val="36A82C1D"/>
    <w:rsid w:val="36B11DEF"/>
    <w:rsid w:val="36B34449"/>
    <w:rsid w:val="36C342D9"/>
    <w:rsid w:val="36C920C3"/>
    <w:rsid w:val="36E2683F"/>
    <w:rsid w:val="370F2E34"/>
    <w:rsid w:val="370F2E93"/>
    <w:rsid w:val="370F32ED"/>
    <w:rsid w:val="37312412"/>
    <w:rsid w:val="374932C1"/>
    <w:rsid w:val="374E35E0"/>
    <w:rsid w:val="37560CC6"/>
    <w:rsid w:val="375A4E90"/>
    <w:rsid w:val="377E3467"/>
    <w:rsid w:val="378D0CEB"/>
    <w:rsid w:val="37912606"/>
    <w:rsid w:val="379A026D"/>
    <w:rsid w:val="37A2207E"/>
    <w:rsid w:val="37A2434F"/>
    <w:rsid w:val="37ED6D6E"/>
    <w:rsid w:val="380C3B20"/>
    <w:rsid w:val="382D2E87"/>
    <w:rsid w:val="38422CE2"/>
    <w:rsid w:val="38464281"/>
    <w:rsid w:val="386E21B0"/>
    <w:rsid w:val="38AE496C"/>
    <w:rsid w:val="38B54D45"/>
    <w:rsid w:val="38D242CD"/>
    <w:rsid w:val="38F044E5"/>
    <w:rsid w:val="39352A06"/>
    <w:rsid w:val="393E0C7A"/>
    <w:rsid w:val="39470BCD"/>
    <w:rsid w:val="395F7476"/>
    <w:rsid w:val="3967193B"/>
    <w:rsid w:val="396843A2"/>
    <w:rsid w:val="397B47E7"/>
    <w:rsid w:val="39821F75"/>
    <w:rsid w:val="398B5520"/>
    <w:rsid w:val="398C3DB7"/>
    <w:rsid w:val="399A19E4"/>
    <w:rsid w:val="39AB6275"/>
    <w:rsid w:val="39E17621"/>
    <w:rsid w:val="39F227B1"/>
    <w:rsid w:val="3A0966C5"/>
    <w:rsid w:val="3A151290"/>
    <w:rsid w:val="3A201663"/>
    <w:rsid w:val="3A292038"/>
    <w:rsid w:val="3A2D5A3F"/>
    <w:rsid w:val="3A34174C"/>
    <w:rsid w:val="3A4359D8"/>
    <w:rsid w:val="3A524E6B"/>
    <w:rsid w:val="3A762A49"/>
    <w:rsid w:val="3A7B6C0B"/>
    <w:rsid w:val="3A826354"/>
    <w:rsid w:val="3A9D28F5"/>
    <w:rsid w:val="3ACD43C9"/>
    <w:rsid w:val="3AFF2C64"/>
    <w:rsid w:val="3B0664E6"/>
    <w:rsid w:val="3B2F69DB"/>
    <w:rsid w:val="3B79226F"/>
    <w:rsid w:val="3B904834"/>
    <w:rsid w:val="3B932344"/>
    <w:rsid w:val="3B9D20F5"/>
    <w:rsid w:val="3BB33F88"/>
    <w:rsid w:val="3BC760D1"/>
    <w:rsid w:val="3BD93153"/>
    <w:rsid w:val="3BDA6996"/>
    <w:rsid w:val="3BF3258E"/>
    <w:rsid w:val="3C073260"/>
    <w:rsid w:val="3C0A3047"/>
    <w:rsid w:val="3C2E50FB"/>
    <w:rsid w:val="3C37637A"/>
    <w:rsid w:val="3C4A12AD"/>
    <w:rsid w:val="3C5125FC"/>
    <w:rsid w:val="3C690ECB"/>
    <w:rsid w:val="3C860AC6"/>
    <w:rsid w:val="3C8C2842"/>
    <w:rsid w:val="3C960BC8"/>
    <w:rsid w:val="3C9848A1"/>
    <w:rsid w:val="3CA509B7"/>
    <w:rsid w:val="3CA509D1"/>
    <w:rsid w:val="3CD537E6"/>
    <w:rsid w:val="3CD93879"/>
    <w:rsid w:val="3D2571D3"/>
    <w:rsid w:val="3D3D5921"/>
    <w:rsid w:val="3D557433"/>
    <w:rsid w:val="3D7A2818"/>
    <w:rsid w:val="3D8106EA"/>
    <w:rsid w:val="3D834DF8"/>
    <w:rsid w:val="3D8F79D1"/>
    <w:rsid w:val="3DA352B1"/>
    <w:rsid w:val="3DBA61E7"/>
    <w:rsid w:val="3DD55956"/>
    <w:rsid w:val="3DD77965"/>
    <w:rsid w:val="3DE92EB1"/>
    <w:rsid w:val="3E100FFC"/>
    <w:rsid w:val="3E201534"/>
    <w:rsid w:val="3E3D7669"/>
    <w:rsid w:val="3E651EE9"/>
    <w:rsid w:val="3E784A78"/>
    <w:rsid w:val="3E7A1FFB"/>
    <w:rsid w:val="3E8554F5"/>
    <w:rsid w:val="3E97217F"/>
    <w:rsid w:val="3EA91324"/>
    <w:rsid w:val="3EB65E71"/>
    <w:rsid w:val="3EC33032"/>
    <w:rsid w:val="3EC61DB3"/>
    <w:rsid w:val="3EC6679A"/>
    <w:rsid w:val="3EF62661"/>
    <w:rsid w:val="3F1A0B0A"/>
    <w:rsid w:val="3F3C595E"/>
    <w:rsid w:val="3F59346C"/>
    <w:rsid w:val="3F657308"/>
    <w:rsid w:val="3F7856B5"/>
    <w:rsid w:val="3F7970EE"/>
    <w:rsid w:val="3F8003ED"/>
    <w:rsid w:val="3F812070"/>
    <w:rsid w:val="3FB555CB"/>
    <w:rsid w:val="3FC519F7"/>
    <w:rsid w:val="3FD0326B"/>
    <w:rsid w:val="3FD34D1A"/>
    <w:rsid w:val="3FE3325F"/>
    <w:rsid w:val="3FED63B1"/>
    <w:rsid w:val="3FF22538"/>
    <w:rsid w:val="40031733"/>
    <w:rsid w:val="40076D3D"/>
    <w:rsid w:val="401F65F0"/>
    <w:rsid w:val="404470DB"/>
    <w:rsid w:val="404B4535"/>
    <w:rsid w:val="404C2292"/>
    <w:rsid w:val="405D572D"/>
    <w:rsid w:val="408D1EA0"/>
    <w:rsid w:val="408E2DBF"/>
    <w:rsid w:val="409D2A1A"/>
    <w:rsid w:val="40A752D1"/>
    <w:rsid w:val="40AE50F3"/>
    <w:rsid w:val="40B21FB5"/>
    <w:rsid w:val="40B95E2E"/>
    <w:rsid w:val="40C17F9E"/>
    <w:rsid w:val="40C43B66"/>
    <w:rsid w:val="40C50F14"/>
    <w:rsid w:val="40E247F7"/>
    <w:rsid w:val="40E531C2"/>
    <w:rsid w:val="40EE5966"/>
    <w:rsid w:val="40FD7DAA"/>
    <w:rsid w:val="410F1967"/>
    <w:rsid w:val="41335FC7"/>
    <w:rsid w:val="413B474C"/>
    <w:rsid w:val="415978C8"/>
    <w:rsid w:val="415C1B4D"/>
    <w:rsid w:val="41654863"/>
    <w:rsid w:val="417843F2"/>
    <w:rsid w:val="417939DB"/>
    <w:rsid w:val="418A1799"/>
    <w:rsid w:val="418A2EDF"/>
    <w:rsid w:val="41A61C3F"/>
    <w:rsid w:val="41B17185"/>
    <w:rsid w:val="41C6108C"/>
    <w:rsid w:val="41F05895"/>
    <w:rsid w:val="420C70DA"/>
    <w:rsid w:val="4226611D"/>
    <w:rsid w:val="425402BB"/>
    <w:rsid w:val="42564ADA"/>
    <w:rsid w:val="42747A95"/>
    <w:rsid w:val="427513D2"/>
    <w:rsid w:val="427E52C8"/>
    <w:rsid w:val="42AC064C"/>
    <w:rsid w:val="42C1753A"/>
    <w:rsid w:val="42F900FF"/>
    <w:rsid w:val="42FA6BD0"/>
    <w:rsid w:val="42FB4E01"/>
    <w:rsid w:val="4301585B"/>
    <w:rsid w:val="431B31A4"/>
    <w:rsid w:val="43325808"/>
    <w:rsid w:val="433E1CAF"/>
    <w:rsid w:val="43412297"/>
    <w:rsid w:val="43413ED4"/>
    <w:rsid w:val="434563B7"/>
    <w:rsid w:val="435240C0"/>
    <w:rsid w:val="43536C41"/>
    <w:rsid w:val="43594499"/>
    <w:rsid w:val="43636C3F"/>
    <w:rsid w:val="436A322F"/>
    <w:rsid w:val="436E5353"/>
    <w:rsid w:val="43743C56"/>
    <w:rsid w:val="438073DF"/>
    <w:rsid w:val="439D6340"/>
    <w:rsid w:val="43CD542C"/>
    <w:rsid w:val="43D67925"/>
    <w:rsid w:val="43FD7280"/>
    <w:rsid w:val="441532B2"/>
    <w:rsid w:val="441C5686"/>
    <w:rsid w:val="441E55BD"/>
    <w:rsid w:val="442B4A16"/>
    <w:rsid w:val="442C59F4"/>
    <w:rsid w:val="442C5CE7"/>
    <w:rsid w:val="443237BA"/>
    <w:rsid w:val="443D55D7"/>
    <w:rsid w:val="443F7EE3"/>
    <w:rsid w:val="44477A7A"/>
    <w:rsid w:val="445A5900"/>
    <w:rsid w:val="446C177D"/>
    <w:rsid w:val="44785685"/>
    <w:rsid w:val="448F1AB6"/>
    <w:rsid w:val="44A44E89"/>
    <w:rsid w:val="44A72CB4"/>
    <w:rsid w:val="44C264AA"/>
    <w:rsid w:val="44C71516"/>
    <w:rsid w:val="44D90BEB"/>
    <w:rsid w:val="44DC0CFE"/>
    <w:rsid w:val="44DC4FCA"/>
    <w:rsid w:val="44FD1C6D"/>
    <w:rsid w:val="453F207E"/>
    <w:rsid w:val="453F71F0"/>
    <w:rsid w:val="454276A8"/>
    <w:rsid w:val="45442EDA"/>
    <w:rsid w:val="45465AD9"/>
    <w:rsid w:val="45760C69"/>
    <w:rsid w:val="45985841"/>
    <w:rsid w:val="45A31600"/>
    <w:rsid w:val="45E526C2"/>
    <w:rsid w:val="45EF5694"/>
    <w:rsid w:val="45F32D75"/>
    <w:rsid w:val="45FE4441"/>
    <w:rsid w:val="46037998"/>
    <w:rsid w:val="460934CE"/>
    <w:rsid w:val="461F685B"/>
    <w:rsid w:val="462A01E9"/>
    <w:rsid w:val="463A35BA"/>
    <w:rsid w:val="464059BC"/>
    <w:rsid w:val="464478D6"/>
    <w:rsid w:val="46594972"/>
    <w:rsid w:val="46763AFA"/>
    <w:rsid w:val="46A0480D"/>
    <w:rsid w:val="46A86AC5"/>
    <w:rsid w:val="46AE0C53"/>
    <w:rsid w:val="46AF0ACC"/>
    <w:rsid w:val="46C95E4B"/>
    <w:rsid w:val="46CD2EA3"/>
    <w:rsid w:val="46E33C2A"/>
    <w:rsid w:val="46EB5C2E"/>
    <w:rsid w:val="47153B47"/>
    <w:rsid w:val="47191F43"/>
    <w:rsid w:val="471B210D"/>
    <w:rsid w:val="47330BB1"/>
    <w:rsid w:val="47336C7D"/>
    <w:rsid w:val="474340E1"/>
    <w:rsid w:val="47540356"/>
    <w:rsid w:val="4754737E"/>
    <w:rsid w:val="475C3032"/>
    <w:rsid w:val="476E5DEA"/>
    <w:rsid w:val="47914A33"/>
    <w:rsid w:val="47994C23"/>
    <w:rsid w:val="479B0044"/>
    <w:rsid w:val="479C10BC"/>
    <w:rsid w:val="47A31A0A"/>
    <w:rsid w:val="47A4380D"/>
    <w:rsid w:val="47A6297A"/>
    <w:rsid w:val="47B35BF8"/>
    <w:rsid w:val="47B6267F"/>
    <w:rsid w:val="47C041C7"/>
    <w:rsid w:val="47C959E1"/>
    <w:rsid w:val="47CB4E60"/>
    <w:rsid w:val="47CD1E0C"/>
    <w:rsid w:val="47D964DB"/>
    <w:rsid w:val="47FC33A5"/>
    <w:rsid w:val="48012A31"/>
    <w:rsid w:val="481D4366"/>
    <w:rsid w:val="483F050D"/>
    <w:rsid w:val="484342DE"/>
    <w:rsid w:val="485803F1"/>
    <w:rsid w:val="4865215C"/>
    <w:rsid w:val="486942C4"/>
    <w:rsid w:val="486F6582"/>
    <w:rsid w:val="487B552A"/>
    <w:rsid w:val="48842F37"/>
    <w:rsid w:val="48B05292"/>
    <w:rsid w:val="48B971DC"/>
    <w:rsid w:val="48F556EA"/>
    <w:rsid w:val="49065285"/>
    <w:rsid w:val="49157780"/>
    <w:rsid w:val="491946D3"/>
    <w:rsid w:val="4924047E"/>
    <w:rsid w:val="49276380"/>
    <w:rsid w:val="493078B5"/>
    <w:rsid w:val="4948117F"/>
    <w:rsid w:val="494B0B0D"/>
    <w:rsid w:val="497E20AD"/>
    <w:rsid w:val="49820EB7"/>
    <w:rsid w:val="499416E9"/>
    <w:rsid w:val="499F07E3"/>
    <w:rsid w:val="49A63EAD"/>
    <w:rsid w:val="49B4166E"/>
    <w:rsid w:val="49BA2C9E"/>
    <w:rsid w:val="49F62FBE"/>
    <w:rsid w:val="49F72310"/>
    <w:rsid w:val="49FD2EE4"/>
    <w:rsid w:val="4A0B4FDE"/>
    <w:rsid w:val="4A343D11"/>
    <w:rsid w:val="4A497D35"/>
    <w:rsid w:val="4A8A37D8"/>
    <w:rsid w:val="4A8B4AB2"/>
    <w:rsid w:val="4AAE1A22"/>
    <w:rsid w:val="4ABB09F4"/>
    <w:rsid w:val="4AD856F0"/>
    <w:rsid w:val="4AD9595B"/>
    <w:rsid w:val="4AF93EAE"/>
    <w:rsid w:val="4B06454F"/>
    <w:rsid w:val="4B215777"/>
    <w:rsid w:val="4B311212"/>
    <w:rsid w:val="4B3E6720"/>
    <w:rsid w:val="4B43535A"/>
    <w:rsid w:val="4B441376"/>
    <w:rsid w:val="4B476348"/>
    <w:rsid w:val="4B625BF7"/>
    <w:rsid w:val="4BB21AF4"/>
    <w:rsid w:val="4BB54107"/>
    <w:rsid w:val="4BB67EEE"/>
    <w:rsid w:val="4BD17814"/>
    <w:rsid w:val="4BDC5109"/>
    <w:rsid w:val="4BE84FA7"/>
    <w:rsid w:val="4BF70C92"/>
    <w:rsid w:val="4BFD0513"/>
    <w:rsid w:val="4C005E77"/>
    <w:rsid w:val="4C0D0F25"/>
    <w:rsid w:val="4C1A02C6"/>
    <w:rsid w:val="4C2B76C1"/>
    <w:rsid w:val="4C2E6FBD"/>
    <w:rsid w:val="4C436489"/>
    <w:rsid w:val="4C5419A1"/>
    <w:rsid w:val="4C5429A3"/>
    <w:rsid w:val="4C645A11"/>
    <w:rsid w:val="4C6D6445"/>
    <w:rsid w:val="4C7E2D4D"/>
    <w:rsid w:val="4C7E7EB3"/>
    <w:rsid w:val="4C87254B"/>
    <w:rsid w:val="4CA87E7C"/>
    <w:rsid w:val="4CDE4416"/>
    <w:rsid w:val="4D1C2C8C"/>
    <w:rsid w:val="4D1E77BE"/>
    <w:rsid w:val="4D245FC5"/>
    <w:rsid w:val="4D277005"/>
    <w:rsid w:val="4D2B3B2C"/>
    <w:rsid w:val="4D707311"/>
    <w:rsid w:val="4D7C2AC8"/>
    <w:rsid w:val="4D84520A"/>
    <w:rsid w:val="4DA943B0"/>
    <w:rsid w:val="4DC515BB"/>
    <w:rsid w:val="4DCB5984"/>
    <w:rsid w:val="4DD64458"/>
    <w:rsid w:val="4DF01669"/>
    <w:rsid w:val="4E135BFA"/>
    <w:rsid w:val="4E1B2DDB"/>
    <w:rsid w:val="4E250E8C"/>
    <w:rsid w:val="4E355E12"/>
    <w:rsid w:val="4E5D7C3A"/>
    <w:rsid w:val="4E8D762E"/>
    <w:rsid w:val="4E9B1112"/>
    <w:rsid w:val="4EA06365"/>
    <w:rsid w:val="4EAC5A99"/>
    <w:rsid w:val="4EBD3915"/>
    <w:rsid w:val="4ECD54B1"/>
    <w:rsid w:val="4ED4046B"/>
    <w:rsid w:val="4EDE29D3"/>
    <w:rsid w:val="4EDF4B15"/>
    <w:rsid w:val="4EF43B16"/>
    <w:rsid w:val="4F2B6C13"/>
    <w:rsid w:val="4F3153D3"/>
    <w:rsid w:val="4F39402C"/>
    <w:rsid w:val="4F5F3ED1"/>
    <w:rsid w:val="4F804E7C"/>
    <w:rsid w:val="4F85516A"/>
    <w:rsid w:val="4F944D8F"/>
    <w:rsid w:val="4FC73FA6"/>
    <w:rsid w:val="4FCA5221"/>
    <w:rsid w:val="4FED0FB9"/>
    <w:rsid w:val="5016144E"/>
    <w:rsid w:val="505D7B39"/>
    <w:rsid w:val="507410D2"/>
    <w:rsid w:val="508F6276"/>
    <w:rsid w:val="50A4392E"/>
    <w:rsid w:val="50A97681"/>
    <w:rsid w:val="50AE3B94"/>
    <w:rsid w:val="50AF7418"/>
    <w:rsid w:val="50CB3858"/>
    <w:rsid w:val="50E93575"/>
    <w:rsid w:val="50F04D4E"/>
    <w:rsid w:val="50F57385"/>
    <w:rsid w:val="50F6016F"/>
    <w:rsid w:val="50FB1FB9"/>
    <w:rsid w:val="50FD4C86"/>
    <w:rsid w:val="51132FF4"/>
    <w:rsid w:val="51151213"/>
    <w:rsid w:val="512E0A74"/>
    <w:rsid w:val="513225F9"/>
    <w:rsid w:val="51336ECE"/>
    <w:rsid w:val="513F5114"/>
    <w:rsid w:val="51440384"/>
    <w:rsid w:val="514E1FAF"/>
    <w:rsid w:val="515E6A1B"/>
    <w:rsid w:val="516B705C"/>
    <w:rsid w:val="516E7C13"/>
    <w:rsid w:val="5177537A"/>
    <w:rsid w:val="518806E3"/>
    <w:rsid w:val="518C67E7"/>
    <w:rsid w:val="51A1217B"/>
    <w:rsid w:val="51A47CAD"/>
    <w:rsid w:val="51BC2004"/>
    <w:rsid w:val="51C462A1"/>
    <w:rsid w:val="51CB0C5C"/>
    <w:rsid w:val="51CB74F6"/>
    <w:rsid w:val="51D13948"/>
    <w:rsid w:val="51E22EEE"/>
    <w:rsid w:val="51EB5979"/>
    <w:rsid w:val="521736E5"/>
    <w:rsid w:val="52191C8A"/>
    <w:rsid w:val="521A0101"/>
    <w:rsid w:val="52241967"/>
    <w:rsid w:val="522D1CB6"/>
    <w:rsid w:val="52444C58"/>
    <w:rsid w:val="5252788D"/>
    <w:rsid w:val="52623DC9"/>
    <w:rsid w:val="5263075C"/>
    <w:rsid w:val="52660A26"/>
    <w:rsid w:val="52717995"/>
    <w:rsid w:val="528315FB"/>
    <w:rsid w:val="529423A5"/>
    <w:rsid w:val="52990759"/>
    <w:rsid w:val="52B87033"/>
    <w:rsid w:val="52BE5917"/>
    <w:rsid w:val="52DF63B3"/>
    <w:rsid w:val="52ED3633"/>
    <w:rsid w:val="531B72EC"/>
    <w:rsid w:val="531E35FC"/>
    <w:rsid w:val="531E3DBA"/>
    <w:rsid w:val="532B1547"/>
    <w:rsid w:val="532C2C22"/>
    <w:rsid w:val="533E6E17"/>
    <w:rsid w:val="5343182D"/>
    <w:rsid w:val="53552E21"/>
    <w:rsid w:val="53654785"/>
    <w:rsid w:val="536C4A63"/>
    <w:rsid w:val="539B26A9"/>
    <w:rsid w:val="539E00E2"/>
    <w:rsid w:val="53A201DA"/>
    <w:rsid w:val="53AE5F9E"/>
    <w:rsid w:val="53B22D34"/>
    <w:rsid w:val="53B6236C"/>
    <w:rsid w:val="53BD6F30"/>
    <w:rsid w:val="53CA43DD"/>
    <w:rsid w:val="53FA40C1"/>
    <w:rsid w:val="540540F5"/>
    <w:rsid w:val="5426639B"/>
    <w:rsid w:val="542913B3"/>
    <w:rsid w:val="543F18BA"/>
    <w:rsid w:val="546850FB"/>
    <w:rsid w:val="54883400"/>
    <w:rsid w:val="54932F58"/>
    <w:rsid w:val="54944A6C"/>
    <w:rsid w:val="54A81CB5"/>
    <w:rsid w:val="54C41B11"/>
    <w:rsid w:val="550E49C6"/>
    <w:rsid w:val="555702BF"/>
    <w:rsid w:val="558605DD"/>
    <w:rsid w:val="55A47D96"/>
    <w:rsid w:val="55BE40DF"/>
    <w:rsid w:val="55C56D62"/>
    <w:rsid w:val="55C94049"/>
    <w:rsid w:val="55DA287E"/>
    <w:rsid w:val="55DD1819"/>
    <w:rsid w:val="55EE6DAD"/>
    <w:rsid w:val="56073162"/>
    <w:rsid w:val="5609127C"/>
    <w:rsid w:val="56243B92"/>
    <w:rsid w:val="56265B4C"/>
    <w:rsid w:val="563D619D"/>
    <w:rsid w:val="563F6627"/>
    <w:rsid w:val="56413F2B"/>
    <w:rsid w:val="56537C47"/>
    <w:rsid w:val="565E73E2"/>
    <w:rsid w:val="56904C8C"/>
    <w:rsid w:val="56A010C0"/>
    <w:rsid w:val="56B96B8E"/>
    <w:rsid w:val="56BE08D2"/>
    <w:rsid w:val="56C747B5"/>
    <w:rsid w:val="56D42684"/>
    <w:rsid w:val="56DD2471"/>
    <w:rsid w:val="57015C72"/>
    <w:rsid w:val="57210A6D"/>
    <w:rsid w:val="572C330F"/>
    <w:rsid w:val="5739517F"/>
    <w:rsid w:val="5744214A"/>
    <w:rsid w:val="574B480A"/>
    <w:rsid w:val="57543081"/>
    <w:rsid w:val="5789649C"/>
    <w:rsid w:val="57A373F0"/>
    <w:rsid w:val="57C83C57"/>
    <w:rsid w:val="57FB2FB4"/>
    <w:rsid w:val="582028C2"/>
    <w:rsid w:val="582908A2"/>
    <w:rsid w:val="582F2AAA"/>
    <w:rsid w:val="583D07DD"/>
    <w:rsid w:val="585F1862"/>
    <w:rsid w:val="58620D26"/>
    <w:rsid w:val="5868712C"/>
    <w:rsid w:val="58706FB1"/>
    <w:rsid w:val="587C5983"/>
    <w:rsid w:val="58C752C8"/>
    <w:rsid w:val="58E8415E"/>
    <w:rsid w:val="58FF1A45"/>
    <w:rsid w:val="591C580B"/>
    <w:rsid w:val="59263776"/>
    <w:rsid w:val="5926497A"/>
    <w:rsid w:val="59284812"/>
    <w:rsid w:val="59586FFD"/>
    <w:rsid w:val="595D3E12"/>
    <w:rsid w:val="59624053"/>
    <w:rsid w:val="596B196A"/>
    <w:rsid w:val="59961EFB"/>
    <w:rsid w:val="59A11353"/>
    <w:rsid w:val="59B40569"/>
    <w:rsid w:val="5A0336C4"/>
    <w:rsid w:val="5A1D0D82"/>
    <w:rsid w:val="5A20315B"/>
    <w:rsid w:val="5A5827FE"/>
    <w:rsid w:val="5A70211C"/>
    <w:rsid w:val="5A8D789D"/>
    <w:rsid w:val="5AAB2A29"/>
    <w:rsid w:val="5AAB3211"/>
    <w:rsid w:val="5AAC7307"/>
    <w:rsid w:val="5AB86388"/>
    <w:rsid w:val="5AD07CB2"/>
    <w:rsid w:val="5AE37CAA"/>
    <w:rsid w:val="5AEF1DC1"/>
    <w:rsid w:val="5B0D0909"/>
    <w:rsid w:val="5B33633C"/>
    <w:rsid w:val="5B3A7E78"/>
    <w:rsid w:val="5B3D442E"/>
    <w:rsid w:val="5B412C22"/>
    <w:rsid w:val="5B486560"/>
    <w:rsid w:val="5B4B2EB1"/>
    <w:rsid w:val="5B570332"/>
    <w:rsid w:val="5B5F0395"/>
    <w:rsid w:val="5B6300A3"/>
    <w:rsid w:val="5B6560C9"/>
    <w:rsid w:val="5B6C0ED6"/>
    <w:rsid w:val="5B790B4E"/>
    <w:rsid w:val="5B7A2400"/>
    <w:rsid w:val="5B9B626D"/>
    <w:rsid w:val="5BB83E2F"/>
    <w:rsid w:val="5BD32897"/>
    <w:rsid w:val="5BF50A44"/>
    <w:rsid w:val="5C295CCC"/>
    <w:rsid w:val="5C381A3A"/>
    <w:rsid w:val="5C5B0523"/>
    <w:rsid w:val="5C5C135C"/>
    <w:rsid w:val="5C872DAA"/>
    <w:rsid w:val="5C974816"/>
    <w:rsid w:val="5CA97228"/>
    <w:rsid w:val="5CAE41EC"/>
    <w:rsid w:val="5CBA57BD"/>
    <w:rsid w:val="5CC5471C"/>
    <w:rsid w:val="5CCB1509"/>
    <w:rsid w:val="5CDC5386"/>
    <w:rsid w:val="5CEE7B85"/>
    <w:rsid w:val="5CF73D69"/>
    <w:rsid w:val="5D202057"/>
    <w:rsid w:val="5D3E0AE4"/>
    <w:rsid w:val="5D4700C2"/>
    <w:rsid w:val="5D6C4615"/>
    <w:rsid w:val="5D7C5A81"/>
    <w:rsid w:val="5D9B2FA8"/>
    <w:rsid w:val="5DAA2D87"/>
    <w:rsid w:val="5DB80454"/>
    <w:rsid w:val="5DD31E8F"/>
    <w:rsid w:val="5DDF2196"/>
    <w:rsid w:val="5DE01F17"/>
    <w:rsid w:val="5DF704AE"/>
    <w:rsid w:val="5DF954B7"/>
    <w:rsid w:val="5DFF05CD"/>
    <w:rsid w:val="5E1672C2"/>
    <w:rsid w:val="5E1B6033"/>
    <w:rsid w:val="5E2612F9"/>
    <w:rsid w:val="5E327CD5"/>
    <w:rsid w:val="5E534129"/>
    <w:rsid w:val="5E6E3C24"/>
    <w:rsid w:val="5E7255BD"/>
    <w:rsid w:val="5E937CCC"/>
    <w:rsid w:val="5EE515A0"/>
    <w:rsid w:val="5EF83794"/>
    <w:rsid w:val="5F0173CC"/>
    <w:rsid w:val="5F153210"/>
    <w:rsid w:val="5F1A1A93"/>
    <w:rsid w:val="5F287F7E"/>
    <w:rsid w:val="5F475677"/>
    <w:rsid w:val="5F484198"/>
    <w:rsid w:val="5F567498"/>
    <w:rsid w:val="5F8420E2"/>
    <w:rsid w:val="5F887220"/>
    <w:rsid w:val="5F9022AB"/>
    <w:rsid w:val="5FB81E56"/>
    <w:rsid w:val="5FD85FDC"/>
    <w:rsid w:val="5FEB78D3"/>
    <w:rsid w:val="5FEC00EE"/>
    <w:rsid w:val="600951D4"/>
    <w:rsid w:val="6010358A"/>
    <w:rsid w:val="601A25EF"/>
    <w:rsid w:val="60250EC1"/>
    <w:rsid w:val="603E7832"/>
    <w:rsid w:val="6044067F"/>
    <w:rsid w:val="60461266"/>
    <w:rsid w:val="605E4267"/>
    <w:rsid w:val="606D6BF5"/>
    <w:rsid w:val="60793AF7"/>
    <w:rsid w:val="6099592B"/>
    <w:rsid w:val="60A13AB9"/>
    <w:rsid w:val="60A7744C"/>
    <w:rsid w:val="60B60A25"/>
    <w:rsid w:val="60B96C2C"/>
    <w:rsid w:val="60CF04AB"/>
    <w:rsid w:val="60DB5486"/>
    <w:rsid w:val="60E82C1A"/>
    <w:rsid w:val="60EC0541"/>
    <w:rsid w:val="60FD245E"/>
    <w:rsid w:val="61033EA8"/>
    <w:rsid w:val="610A1613"/>
    <w:rsid w:val="611E6634"/>
    <w:rsid w:val="61251167"/>
    <w:rsid w:val="61432D9E"/>
    <w:rsid w:val="61683AEB"/>
    <w:rsid w:val="61845719"/>
    <w:rsid w:val="618A70BC"/>
    <w:rsid w:val="61963F6D"/>
    <w:rsid w:val="61BD1F9D"/>
    <w:rsid w:val="61EA093B"/>
    <w:rsid w:val="62024DB4"/>
    <w:rsid w:val="62117D72"/>
    <w:rsid w:val="62210A89"/>
    <w:rsid w:val="62285DB7"/>
    <w:rsid w:val="625E7778"/>
    <w:rsid w:val="626857C6"/>
    <w:rsid w:val="62923991"/>
    <w:rsid w:val="62D5731A"/>
    <w:rsid w:val="62EC639D"/>
    <w:rsid w:val="62F20D03"/>
    <w:rsid w:val="62F26EC0"/>
    <w:rsid w:val="62F75B83"/>
    <w:rsid w:val="63095375"/>
    <w:rsid w:val="6312135F"/>
    <w:rsid w:val="632A3D0D"/>
    <w:rsid w:val="633044BC"/>
    <w:rsid w:val="633443AB"/>
    <w:rsid w:val="63451BB4"/>
    <w:rsid w:val="63727FC1"/>
    <w:rsid w:val="638857E1"/>
    <w:rsid w:val="63AB78F4"/>
    <w:rsid w:val="63B83DDB"/>
    <w:rsid w:val="63C642C7"/>
    <w:rsid w:val="63C85688"/>
    <w:rsid w:val="63CD5666"/>
    <w:rsid w:val="63D01EF3"/>
    <w:rsid w:val="63D2038C"/>
    <w:rsid w:val="63E631E1"/>
    <w:rsid w:val="63F66CE6"/>
    <w:rsid w:val="63F93BD1"/>
    <w:rsid w:val="640E7E19"/>
    <w:rsid w:val="642009EA"/>
    <w:rsid w:val="64430EB5"/>
    <w:rsid w:val="647527CB"/>
    <w:rsid w:val="648A0F84"/>
    <w:rsid w:val="648E4974"/>
    <w:rsid w:val="648F4377"/>
    <w:rsid w:val="649E65A7"/>
    <w:rsid w:val="64B70C4D"/>
    <w:rsid w:val="64D14920"/>
    <w:rsid w:val="64EA382F"/>
    <w:rsid w:val="64ED3306"/>
    <w:rsid w:val="64F52441"/>
    <w:rsid w:val="6511603A"/>
    <w:rsid w:val="652763A9"/>
    <w:rsid w:val="653B0F51"/>
    <w:rsid w:val="653F5E12"/>
    <w:rsid w:val="65434194"/>
    <w:rsid w:val="65472365"/>
    <w:rsid w:val="65477730"/>
    <w:rsid w:val="654912E0"/>
    <w:rsid w:val="654B3D0A"/>
    <w:rsid w:val="655063FF"/>
    <w:rsid w:val="65621152"/>
    <w:rsid w:val="656A4332"/>
    <w:rsid w:val="65733372"/>
    <w:rsid w:val="65744876"/>
    <w:rsid w:val="657845AE"/>
    <w:rsid w:val="65991D3E"/>
    <w:rsid w:val="659E280B"/>
    <w:rsid w:val="65B74A52"/>
    <w:rsid w:val="65BD55BD"/>
    <w:rsid w:val="65C53449"/>
    <w:rsid w:val="65F27286"/>
    <w:rsid w:val="6602655A"/>
    <w:rsid w:val="66037BA1"/>
    <w:rsid w:val="660D45C7"/>
    <w:rsid w:val="66280ABB"/>
    <w:rsid w:val="665447A2"/>
    <w:rsid w:val="6664496F"/>
    <w:rsid w:val="666717B3"/>
    <w:rsid w:val="6668032B"/>
    <w:rsid w:val="667425DD"/>
    <w:rsid w:val="66772B36"/>
    <w:rsid w:val="66774B04"/>
    <w:rsid w:val="667C4290"/>
    <w:rsid w:val="66850239"/>
    <w:rsid w:val="66B53CF3"/>
    <w:rsid w:val="66C249EB"/>
    <w:rsid w:val="66C95898"/>
    <w:rsid w:val="66F8201A"/>
    <w:rsid w:val="66FD37B8"/>
    <w:rsid w:val="671C5A04"/>
    <w:rsid w:val="673F01D2"/>
    <w:rsid w:val="676777C3"/>
    <w:rsid w:val="677D4B8A"/>
    <w:rsid w:val="67802ACE"/>
    <w:rsid w:val="67804B33"/>
    <w:rsid w:val="678A3061"/>
    <w:rsid w:val="67A554D7"/>
    <w:rsid w:val="67B575EA"/>
    <w:rsid w:val="67C40A09"/>
    <w:rsid w:val="67D020A7"/>
    <w:rsid w:val="67D600B8"/>
    <w:rsid w:val="67E31595"/>
    <w:rsid w:val="67E4087E"/>
    <w:rsid w:val="6821192D"/>
    <w:rsid w:val="68285FD2"/>
    <w:rsid w:val="68337E89"/>
    <w:rsid w:val="68337EE8"/>
    <w:rsid w:val="683A6C76"/>
    <w:rsid w:val="685C5B46"/>
    <w:rsid w:val="688C0656"/>
    <w:rsid w:val="689B3025"/>
    <w:rsid w:val="68AE1735"/>
    <w:rsid w:val="68B14910"/>
    <w:rsid w:val="68B72950"/>
    <w:rsid w:val="68BB3CDD"/>
    <w:rsid w:val="68D60630"/>
    <w:rsid w:val="68E01CD2"/>
    <w:rsid w:val="68F8555D"/>
    <w:rsid w:val="691D712E"/>
    <w:rsid w:val="694039E4"/>
    <w:rsid w:val="69405A83"/>
    <w:rsid w:val="69484920"/>
    <w:rsid w:val="697E7396"/>
    <w:rsid w:val="69A009FE"/>
    <w:rsid w:val="69A729C5"/>
    <w:rsid w:val="69A92E72"/>
    <w:rsid w:val="69BF206E"/>
    <w:rsid w:val="69E46DF1"/>
    <w:rsid w:val="69E8174D"/>
    <w:rsid w:val="69EB7655"/>
    <w:rsid w:val="69F5158E"/>
    <w:rsid w:val="69F66247"/>
    <w:rsid w:val="69F86AAF"/>
    <w:rsid w:val="69FD5505"/>
    <w:rsid w:val="6A0757E2"/>
    <w:rsid w:val="6A1F6154"/>
    <w:rsid w:val="6A2746CC"/>
    <w:rsid w:val="6A401D01"/>
    <w:rsid w:val="6A4F7CF0"/>
    <w:rsid w:val="6A5517EC"/>
    <w:rsid w:val="6A657FB8"/>
    <w:rsid w:val="6A694BA1"/>
    <w:rsid w:val="6A734205"/>
    <w:rsid w:val="6A9A2360"/>
    <w:rsid w:val="6AA554F7"/>
    <w:rsid w:val="6AB365BB"/>
    <w:rsid w:val="6ABC3292"/>
    <w:rsid w:val="6ABD223C"/>
    <w:rsid w:val="6AC04F0B"/>
    <w:rsid w:val="6AD34458"/>
    <w:rsid w:val="6ADC4801"/>
    <w:rsid w:val="6ADF25FC"/>
    <w:rsid w:val="6AE01484"/>
    <w:rsid w:val="6B020CD0"/>
    <w:rsid w:val="6B03006B"/>
    <w:rsid w:val="6B1148AC"/>
    <w:rsid w:val="6B333357"/>
    <w:rsid w:val="6B3C4D2B"/>
    <w:rsid w:val="6B3E0351"/>
    <w:rsid w:val="6B4210C9"/>
    <w:rsid w:val="6B42449D"/>
    <w:rsid w:val="6B4A5562"/>
    <w:rsid w:val="6B565807"/>
    <w:rsid w:val="6B5C265D"/>
    <w:rsid w:val="6B750792"/>
    <w:rsid w:val="6B7A369F"/>
    <w:rsid w:val="6BA21273"/>
    <w:rsid w:val="6BAC2823"/>
    <w:rsid w:val="6BAF2419"/>
    <w:rsid w:val="6BBD5024"/>
    <w:rsid w:val="6BF37DF1"/>
    <w:rsid w:val="6C053261"/>
    <w:rsid w:val="6C0A7FDA"/>
    <w:rsid w:val="6C573E71"/>
    <w:rsid w:val="6C630CE9"/>
    <w:rsid w:val="6C914CAA"/>
    <w:rsid w:val="6CEC0F34"/>
    <w:rsid w:val="6CF73CA4"/>
    <w:rsid w:val="6D005FF7"/>
    <w:rsid w:val="6D05105B"/>
    <w:rsid w:val="6D192078"/>
    <w:rsid w:val="6D207FCD"/>
    <w:rsid w:val="6D280C36"/>
    <w:rsid w:val="6D286C4C"/>
    <w:rsid w:val="6D2B5B01"/>
    <w:rsid w:val="6D381497"/>
    <w:rsid w:val="6D6A2DB3"/>
    <w:rsid w:val="6D6A69AA"/>
    <w:rsid w:val="6D715443"/>
    <w:rsid w:val="6D79127B"/>
    <w:rsid w:val="6D832281"/>
    <w:rsid w:val="6D8844F6"/>
    <w:rsid w:val="6DC237AE"/>
    <w:rsid w:val="6DD53854"/>
    <w:rsid w:val="6DD81A0E"/>
    <w:rsid w:val="6DDD2E42"/>
    <w:rsid w:val="6DE30D60"/>
    <w:rsid w:val="6DF91502"/>
    <w:rsid w:val="6E01482E"/>
    <w:rsid w:val="6E073A2D"/>
    <w:rsid w:val="6E0D1941"/>
    <w:rsid w:val="6E18292B"/>
    <w:rsid w:val="6E1F06F3"/>
    <w:rsid w:val="6E402C35"/>
    <w:rsid w:val="6E403BCF"/>
    <w:rsid w:val="6E424CF7"/>
    <w:rsid w:val="6E455212"/>
    <w:rsid w:val="6E96703D"/>
    <w:rsid w:val="6E984122"/>
    <w:rsid w:val="6EC4761A"/>
    <w:rsid w:val="6ED26905"/>
    <w:rsid w:val="6EE20566"/>
    <w:rsid w:val="6EEB6DD8"/>
    <w:rsid w:val="6EF513F6"/>
    <w:rsid w:val="6EF7257C"/>
    <w:rsid w:val="6F1F0771"/>
    <w:rsid w:val="6F234AFA"/>
    <w:rsid w:val="6F3669E2"/>
    <w:rsid w:val="6F3A0437"/>
    <w:rsid w:val="6F3B641D"/>
    <w:rsid w:val="6F452492"/>
    <w:rsid w:val="6F4E1ABB"/>
    <w:rsid w:val="6F65489B"/>
    <w:rsid w:val="6F86274A"/>
    <w:rsid w:val="6F8A6B50"/>
    <w:rsid w:val="6F9E4E98"/>
    <w:rsid w:val="6F9F79CF"/>
    <w:rsid w:val="6FB51312"/>
    <w:rsid w:val="6FB536E7"/>
    <w:rsid w:val="6FC169C6"/>
    <w:rsid w:val="6FD0001C"/>
    <w:rsid w:val="6FFE53DF"/>
    <w:rsid w:val="700148B1"/>
    <w:rsid w:val="700708F2"/>
    <w:rsid w:val="7007092A"/>
    <w:rsid w:val="70216E77"/>
    <w:rsid w:val="70262445"/>
    <w:rsid w:val="705A7720"/>
    <w:rsid w:val="70796EB7"/>
    <w:rsid w:val="70891E2B"/>
    <w:rsid w:val="709304FC"/>
    <w:rsid w:val="70B21D55"/>
    <w:rsid w:val="70BA4068"/>
    <w:rsid w:val="70E82CAE"/>
    <w:rsid w:val="70F06D61"/>
    <w:rsid w:val="70F36F46"/>
    <w:rsid w:val="71115347"/>
    <w:rsid w:val="71231B23"/>
    <w:rsid w:val="713660B2"/>
    <w:rsid w:val="713B214A"/>
    <w:rsid w:val="714633CE"/>
    <w:rsid w:val="714A7D71"/>
    <w:rsid w:val="717E66B7"/>
    <w:rsid w:val="718621EE"/>
    <w:rsid w:val="71894FD2"/>
    <w:rsid w:val="718C24E9"/>
    <w:rsid w:val="71A3311F"/>
    <w:rsid w:val="71AA4E1C"/>
    <w:rsid w:val="71BB7E6B"/>
    <w:rsid w:val="71C619CE"/>
    <w:rsid w:val="72005730"/>
    <w:rsid w:val="7211041B"/>
    <w:rsid w:val="721418F3"/>
    <w:rsid w:val="72280301"/>
    <w:rsid w:val="7231753D"/>
    <w:rsid w:val="72386C6E"/>
    <w:rsid w:val="723A3057"/>
    <w:rsid w:val="72400885"/>
    <w:rsid w:val="724B6026"/>
    <w:rsid w:val="724E6E8A"/>
    <w:rsid w:val="725273EA"/>
    <w:rsid w:val="725B1897"/>
    <w:rsid w:val="72600668"/>
    <w:rsid w:val="72603689"/>
    <w:rsid w:val="726928DF"/>
    <w:rsid w:val="726C47BC"/>
    <w:rsid w:val="729955F2"/>
    <w:rsid w:val="72CD2240"/>
    <w:rsid w:val="72DC19E2"/>
    <w:rsid w:val="72E078C7"/>
    <w:rsid w:val="72EC4E12"/>
    <w:rsid w:val="72F82D01"/>
    <w:rsid w:val="731279BA"/>
    <w:rsid w:val="73373DED"/>
    <w:rsid w:val="73391B68"/>
    <w:rsid w:val="733F7A24"/>
    <w:rsid w:val="735C44F0"/>
    <w:rsid w:val="736A01CD"/>
    <w:rsid w:val="736B4D35"/>
    <w:rsid w:val="73741988"/>
    <w:rsid w:val="73814929"/>
    <w:rsid w:val="738342DB"/>
    <w:rsid w:val="7393399F"/>
    <w:rsid w:val="739709AF"/>
    <w:rsid w:val="73984022"/>
    <w:rsid w:val="739D530A"/>
    <w:rsid w:val="73C11347"/>
    <w:rsid w:val="73E2421D"/>
    <w:rsid w:val="74000D97"/>
    <w:rsid w:val="744A422C"/>
    <w:rsid w:val="744C14FD"/>
    <w:rsid w:val="74694C3B"/>
    <w:rsid w:val="746A6AAD"/>
    <w:rsid w:val="747A4FBC"/>
    <w:rsid w:val="748B466B"/>
    <w:rsid w:val="74AA7A59"/>
    <w:rsid w:val="74B43489"/>
    <w:rsid w:val="74D94903"/>
    <w:rsid w:val="74DC7834"/>
    <w:rsid w:val="74E271F1"/>
    <w:rsid w:val="75326EC3"/>
    <w:rsid w:val="7551327B"/>
    <w:rsid w:val="75550ED5"/>
    <w:rsid w:val="755F3E02"/>
    <w:rsid w:val="755F782E"/>
    <w:rsid w:val="756C22AA"/>
    <w:rsid w:val="75A16A9F"/>
    <w:rsid w:val="75BC6CCF"/>
    <w:rsid w:val="75C9148E"/>
    <w:rsid w:val="75DD4BF4"/>
    <w:rsid w:val="75E2761D"/>
    <w:rsid w:val="75E27D49"/>
    <w:rsid w:val="761867BE"/>
    <w:rsid w:val="761B5AA3"/>
    <w:rsid w:val="76232FB1"/>
    <w:rsid w:val="76365AD0"/>
    <w:rsid w:val="76476D94"/>
    <w:rsid w:val="765D57EA"/>
    <w:rsid w:val="76606BFC"/>
    <w:rsid w:val="7688585F"/>
    <w:rsid w:val="76F54CF0"/>
    <w:rsid w:val="76FD23B9"/>
    <w:rsid w:val="76FD5906"/>
    <w:rsid w:val="76FD644A"/>
    <w:rsid w:val="77072866"/>
    <w:rsid w:val="770B684E"/>
    <w:rsid w:val="771D50F3"/>
    <w:rsid w:val="77204CB1"/>
    <w:rsid w:val="773055F7"/>
    <w:rsid w:val="77377FF2"/>
    <w:rsid w:val="773E5F5A"/>
    <w:rsid w:val="7754352C"/>
    <w:rsid w:val="775A1BA9"/>
    <w:rsid w:val="775C3282"/>
    <w:rsid w:val="777420FE"/>
    <w:rsid w:val="777C1603"/>
    <w:rsid w:val="779A741A"/>
    <w:rsid w:val="77A14CDE"/>
    <w:rsid w:val="77AA2F7D"/>
    <w:rsid w:val="77AD4E6B"/>
    <w:rsid w:val="77C25A25"/>
    <w:rsid w:val="77C96BD3"/>
    <w:rsid w:val="77D95381"/>
    <w:rsid w:val="781B592D"/>
    <w:rsid w:val="78266CE5"/>
    <w:rsid w:val="7827421F"/>
    <w:rsid w:val="782B4A23"/>
    <w:rsid w:val="78302F8F"/>
    <w:rsid w:val="784117AB"/>
    <w:rsid w:val="78510397"/>
    <w:rsid w:val="78552936"/>
    <w:rsid w:val="78677EE4"/>
    <w:rsid w:val="78731F0E"/>
    <w:rsid w:val="78747FCF"/>
    <w:rsid w:val="78754CBA"/>
    <w:rsid w:val="78962FA5"/>
    <w:rsid w:val="78A2215D"/>
    <w:rsid w:val="78A2423D"/>
    <w:rsid w:val="78A34657"/>
    <w:rsid w:val="78C148AC"/>
    <w:rsid w:val="78CA1FEE"/>
    <w:rsid w:val="78CB3FEB"/>
    <w:rsid w:val="790F7560"/>
    <w:rsid w:val="792A65AF"/>
    <w:rsid w:val="793B5CE2"/>
    <w:rsid w:val="795C411F"/>
    <w:rsid w:val="796834B3"/>
    <w:rsid w:val="797B3C8A"/>
    <w:rsid w:val="797F45FC"/>
    <w:rsid w:val="79815346"/>
    <w:rsid w:val="79970647"/>
    <w:rsid w:val="79D9682C"/>
    <w:rsid w:val="79DB75C0"/>
    <w:rsid w:val="79E37881"/>
    <w:rsid w:val="79E4486C"/>
    <w:rsid w:val="79EA2E0E"/>
    <w:rsid w:val="79ED08FA"/>
    <w:rsid w:val="79F10494"/>
    <w:rsid w:val="79FB478D"/>
    <w:rsid w:val="7A067AFA"/>
    <w:rsid w:val="7A0C585A"/>
    <w:rsid w:val="7A2C7450"/>
    <w:rsid w:val="7A326B5A"/>
    <w:rsid w:val="7A553725"/>
    <w:rsid w:val="7A616D0A"/>
    <w:rsid w:val="7A6A5E4D"/>
    <w:rsid w:val="7A7F2C76"/>
    <w:rsid w:val="7AAC462A"/>
    <w:rsid w:val="7AAC60CD"/>
    <w:rsid w:val="7AC3454D"/>
    <w:rsid w:val="7AD95CCB"/>
    <w:rsid w:val="7AE50DF1"/>
    <w:rsid w:val="7AF84FA0"/>
    <w:rsid w:val="7AF909C6"/>
    <w:rsid w:val="7B135043"/>
    <w:rsid w:val="7B1B3F2B"/>
    <w:rsid w:val="7B6F1BD0"/>
    <w:rsid w:val="7B732126"/>
    <w:rsid w:val="7B755C15"/>
    <w:rsid w:val="7B7B20CE"/>
    <w:rsid w:val="7B8E1216"/>
    <w:rsid w:val="7B9A1345"/>
    <w:rsid w:val="7BCA6C86"/>
    <w:rsid w:val="7BD03F32"/>
    <w:rsid w:val="7C044DA1"/>
    <w:rsid w:val="7C060136"/>
    <w:rsid w:val="7CA33449"/>
    <w:rsid w:val="7CBD0FCB"/>
    <w:rsid w:val="7D0A0BA4"/>
    <w:rsid w:val="7D0D7365"/>
    <w:rsid w:val="7D107AF3"/>
    <w:rsid w:val="7D4253C7"/>
    <w:rsid w:val="7D4C5341"/>
    <w:rsid w:val="7D4E5EE6"/>
    <w:rsid w:val="7D5205D1"/>
    <w:rsid w:val="7D5F439E"/>
    <w:rsid w:val="7D8901AD"/>
    <w:rsid w:val="7D8E577D"/>
    <w:rsid w:val="7D9A426A"/>
    <w:rsid w:val="7D9E2700"/>
    <w:rsid w:val="7E006F08"/>
    <w:rsid w:val="7E0A723E"/>
    <w:rsid w:val="7E333E03"/>
    <w:rsid w:val="7E391FE6"/>
    <w:rsid w:val="7E916762"/>
    <w:rsid w:val="7E944DB6"/>
    <w:rsid w:val="7EA8461B"/>
    <w:rsid w:val="7EA916FD"/>
    <w:rsid w:val="7EE53C64"/>
    <w:rsid w:val="7F223472"/>
    <w:rsid w:val="7F541580"/>
    <w:rsid w:val="7F590594"/>
    <w:rsid w:val="7F667225"/>
    <w:rsid w:val="7F844A6E"/>
    <w:rsid w:val="7F89469B"/>
    <w:rsid w:val="7FAA1C29"/>
    <w:rsid w:val="7FAC4830"/>
    <w:rsid w:val="7FB659E5"/>
    <w:rsid w:val="7FB7407D"/>
    <w:rsid w:val="7FC60E35"/>
    <w:rsid w:val="7FEF65CD"/>
    <w:rsid w:val="7FF337B8"/>
    <w:rsid w:val="7FF61AD5"/>
    <w:rsid w:val="7FF66E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customStyle="1" w:styleId="29">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13</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2022-05-09T10:04:00Z</cp:lastPrinted>
  <dcterms:modified xsi:type="dcterms:W3CDTF">2022-05-10T00:14:11Z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