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附件1</w:t>
      </w:r>
    </w:p>
    <w:p>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采购清单</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50立方阻隔防爆撬装式加油装置1台，主要规格、技术参数及要求如下：</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1.简述</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阻隔防爆撬装式加油装置是一种集阻隔防爆储油罐、加油机、油气回收系统、安全消防控制系统等于一体的地面加油设备，阻隔防爆油罐应是装填有阻隔防爆材料及结构件的双壁罐，罐体上应设置有高液位报警液位仪、紧急卸压阀、防溢流阀、防雷防静电装置、漏油监测装置等。</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2.需求说明</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撬装式加油装置标准化、模块化系统设计应包含以下几个系统：标准部件、预制基座、标准阻隔防爆储罐、加油机系统、防火、防腐等防护系统、油气回收系统、紧急卸压系统、防溢流系统、自动断油保护阀、卸油泵、自动灭火系统、漏油监测、液位报警系统、防雷防静电系统等。</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3.撬装式加油装置的设计、制造、检验、安装调试与验收标准：</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《汽车加油加气站设计与施工规范》（GB50156-2014）</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《阻隔防爆撬装式加油（气）装置技术要求》（AQ3002-2005）</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《汽车加油（气）站、轻质燃油和液化石油气汽车罐车用阻隔防爆储罐技术要求》（AQ2001-2005）</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《采用撬装式加油装置的汽车加油站技术规范》（SH/T3134-2002）</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《加油站大气污染物排放标准》（GB 20952-2007）</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《燃油加油机国家标准》（GB/T9081-2001）</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《加油机检定规程》（JJG443-98）</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《税控燃油加油机鉴定大纲》（JJF1060-1999）</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《爆炸性气体环境用防爆电器设备》（GB3836.1.2.3.9-2000）</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《爆炸和火灾危险环境电力装置设计规范》（GB50058-1992）</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以上规范及标准已修订的，以现行规范、标准为准。</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4.撬装式加油装置的铭牌应固定于机身的明显位置，主要内容包括制造单位名称、产品编号、出厂日期、电源电压标准等，依据国家和企业标准制定。</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5.撬装式加油装置的供货总体要求：</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符合国家及有关技术规范规定，保证产品质量，满足采购方要求，做好技术及售后服务工作。产品实行终身保修维护，质保期1年，质保期内任何问题需在故障报告后12小时内予以解决。</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6.撬装加油装置的基本功能：</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（1）油品输卸：可进行运油车油品输卸作业；</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（2）油品储存：可储存一定量的周转供应油料；</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（3）油品计量：可进行卸油、加油、储罐的油品计量显示；</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（4）油品加注：设计有定量、定值等多种油品加注方式；</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（5）油品排残：设置排残口。</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7.单台50立方阻隔防爆撬装式加油装置的主要配置：</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701"/>
        <w:gridCol w:w="1417"/>
        <w:gridCol w:w="4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序号</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单元名称</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单元用量</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（台套件）</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外形包装</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外形包装为整体箱式，能达到使储油罐隔热的目的，箱体应通风良好，排水通畅。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阻隔防爆储罐</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1台</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w:t>
            </w:r>
            <w:r>
              <w:rPr>
                <w:rFonts w:hint="default" w:ascii="Times New Roman" w:hAnsi="Times New Roman" w:eastAsia="仿宋_GB2312" w:cs="Times New Roman"/>
                <w:sz w:val="24"/>
                <w:szCs w:val="24"/>
                <w:highlight w:val="none"/>
                <w:vertAlign w:val="baseline"/>
                <w:lang w:val="en-US" w:eastAsia="zh-CN"/>
              </w:rPr>
              <w:t>双岛双</w:t>
            </w:r>
            <w:r>
              <w:rPr>
                <w:rFonts w:hint="default" w:ascii="Times New Roman" w:hAnsi="Times New Roman" w:eastAsia="仿宋_GB2312" w:cs="Times New Roman"/>
                <w:sz w:val="24"/>
                <w:szCs w:val="24"/>
                <w:vertAlign w:val="baseline"/>
                <w:lang w:val="en-US" w:eastAsia="zh-CN"/>
              </w:rPr>
              <w:t>仓，内罐有效容积不低于50立方，可储备油品量不低于40吨，单油品，柴油</w:t>
            </w:r>
            <w:r>
              <w:rPr>
                <w:rFonts w:hint="eastAsia" w:ascii="Times New Roman" w:hAnsi="Times New Roman" w:eastAsia="仿宋_GB2312" w:cs="Times New Roman"/>
                <w:sz w:val="24"/>
                <w:szCs w:val="24"/>
                <w:vertAlign w:val="baseline"/>
                <w:lang w:val="en-US" w:eastAsia="zh-CN"/>
              </w:rPr>
              <w:t>；</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2.双层防爆储罐，储罐材质强度不低于Q235B，内罐壁厚不低于8mm，外罐壁厚不低于6mm，内外罐均须采用不低于插接工艺和双层焊口强化工艺标准的焊接工艺，其焊缝强度应高于14mm厚钢板的对焊焊缝强度。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3</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外饰及油漆</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Arial" w:hAnsi="Arial" w:eastAsia="仿宋_GB2312" w:cs="Arial"/>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1.罐体外部喷砂处理，喷涂环氧富锌防锈底漆</w:t>
            </w:r>
            <w:r>
              <w:rPr>
                <w:rFonts w:hint="default" w:ascii="Arial" w:hAnsi="Arial" w:eastAsia="仿宋_GB2312" w:cs="Arial"/>
                <w:sz w:val="24"/>
                <w:szCs w:val="24"/>
                <w:vertAlign w:val="baseline"/>
                <w:lang w:val="en-US" w:eastAsia="zh-CN"/>
              </w:rPr>
              <w:t>→</w:t>
            </w:r>
            <w:r>
              <w:rPr>
                <w:rFonts w:hint="eastAsia" w:ascii="Times New Roman" w:hAnsi="Times New Roman" w:eastAsia="仿宋_GB2312" w:cs="Times New Roman"/>
                <w:sz w:val="24"/>
                <w:szCs w:val="24"/>
                <w:vertAlign w:val="baseline"/>
                <w:lang w:val="en-US" w:eastAsia="zh-CN"/>
              </w:rPr>
              <w:t>环氧云铁中层漆</w:t>
            </w:r>
            <w:r>
              <w:rPr>
                <w:rFonts w:hint="default" w:ascii="Arial" w:hAnsi="Arial" w:eastAsia="仿宋_GB2312" w:cs="Arial"/>
                <w:sz w:val="24"/>
                <w:szCs w:val="24"/>
                <w:vertAlign w:val="baseline"/>
                <w:lang w:val="en-US" w:eastAsia="zh-CN"/>
              </w:rPr>
              <w:t>→</w:t>
            </w:r>
            <w:r>
              <w:rPr>
                <w:rFonts w:hint="eastAsia" w:ascii="Arial" w:hAnsi="Arial" w:eastAsia="仿宋_GB2312" w:cs="Arial"/>
                <w:sz w:val="24"/>
                <w:szCs w:val="24"/>
                <w:vertAlign w:val="baseline"/>
                <w:lang w:val="en-US" w:eastAsia="zh-CN"/>
              </w:rPr>
              <w:t>聚胺脂面漆；</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w:t>
            </w:r>
            <w:r>
              <w:rPr>
                <w:rFonts w:hint="eastAsia" w:ascii="Arial" w:hAnsi="Arial" w:eastAsia="仿宋_GB2312" w:cs="Arial"/>
                <w:sz w:val="24"/>
                <w:szCs w:val="24"/>
                <w:vertAlign w:val="baseline"/>
                <w:lang w:val="en-US" w:eastAsia="zh-CN"/>
              </w:rPr>
              <w:t>在阻隔防爆撬装式加油装置和罩棚两侧喷涂“交控石化”企业标识。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4</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阻隔防爆材料</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50立方</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内罐装填阻隔防爆材料，材料性能不低于IV型。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5</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防爆阻隔呼吸阀</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2组</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阻气排水，维持罐体气压平衡。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6</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紧急卸压装置</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当罐体内部压力无法通过阻火呼吸阀平衡时，紧急排气阀开启，快速卸掉罐内压力。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7</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漏油检测视镜</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1组</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外罐安装漏油检测视镜，监测内罐是否发生漏油情况。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可燃气体检测装置</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撬装加油装置设有油气浓度检测探头，具有浓度显示和声光报警功能。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10</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人工装置计量</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用于定期对电子液位仪的校对，在停电或者液位仪损坏时，可人工测量罐内油品容积。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11</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量油孔</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2个</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在断电情况下通过量油尺测量罐内液体的孔位，配套量油尺2个。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12</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卸油防溢装置</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卸油管路末端安装防溢流阀，罐内液位设定高度下，防溢阀的机械装置释放，自动关闭卸油阀阀片。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13</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高液位报警液位仪</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1.必须使用防爆组件；</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2.监测液位高度，带高低液位报警功能。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14</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清洗与排污装置</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安装排污管道，便于后续油罐内部油污清理。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15</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卸油管道泵</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1台</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必须使用防爆组件。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16</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卸油过滤装置</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卸油口单向球阀后加装过滤器，过滤外来油品中的杂质。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17</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圆球阀</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用于切断、分配和改变介质的流动方向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18</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紧急切断阀</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出油管路安装紧急切断阀，在意外失火及加油机被撞损坏时切断管路油流，阀芯自动封闭，防止燃油大量外泄。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19</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防雷防静电系统</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1.必须使用防爆组件；</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2.固定式静电接地报警器，全天候监控。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20</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止回阀</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罐内出油管路末端安装止回阀，防止燃油加油机停机时吸油管路内液体回流，阀门底端装滤网，进行第一重油污过滤。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21</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防爆配电系统</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1.必须使用防爆组件；</w:t>
            </w:r>
          </w:p>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2.集成设备所有的电源开关，分别为卸油泵、加油机、照明系统、液位仪、燃气报警器等供电。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22</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加油岛照明系统</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户外防雨、防尘、防爆的节能型防爆灯具。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23</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密闭装卸与油气回收系统</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储罐柴油仓设有一次油气回收系统。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24</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防爆双枪加油机</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highlight w:val="none"/>
                <w:vertAlign w:val="baseline"/>
                <w:lang w:val="en-US" w:eastAsia="zh-CN"/>
              </w:rPr>
              <w:t>1台</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大流量加油机单泵双枪，自吸泵、流量计、液晶显示屏、大功率电机、配8米</w:t>
            </w:r>
            <w:bookmarkStart w:id="0" w:name="_GoBack"/>
            <w:bookmarkEnd w:id="0"/>
            <w:r>
              <w:rPr>
                <w:rFonts w:hint="eastAsia" w:ascii="Times New Roman" w:hAnsi="Times New Roman" w:eastAsia="仿宋_GB2312" w:cs="Times New Roman"/>
                <w:sz w:val="24"/>
                <w:szCs w:val="24"/>
                <w:vertAlign w:val="baseline"/>
                <w:lang w:val="en-US" w:eastAsia="zh-CN"/>
              </w:rPr>
              <w:t>加油胶管。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25</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输油泵</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1台</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流量不小于80立方每小时，含流量计，双转子，滤网目数不小于3000目，精度准确。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26</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进销存远程监控系统</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联网版后台管理系统，可远程监控油品进销存数据。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27</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自动灭火装置</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设置自动温度感应式灭火器。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28</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撬装钢制底座</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1台</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材质强度不低于Q235B，用于承重。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29</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检修梯及栏杆</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设置检修梯和安全防护栏杆。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30</w:t>
            </w:r>
          </w:p>
        </w:tc>
        <w:tc>
          <w:tcPr>
            <w:tcW w:w="1701"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罩棚</w:t>
            </w:r>
          </w:p>
        </w:tc>
        <w:tc>
          <w:tcPr>
            <w:tcW w:w="1417"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1套</w:t>
            </w:r>
          </w:p>
        </w:tc>
        <w:tc>
          <w:tcPr>
            <w:tcW w:w="4552" w:type="dxa"/>
            <w:vAlign w:val="center"/>
          </w:tcPr>
          <w:p>
            <w:pPr>
              <w:pStyle w:val="2"/>
              <w:keepNext w:val="0"/>
              <w:keepLines w:val="0"/>
              <w:pageBreakBefore w:val="0"/>
              <w:widowControl/>
              <w:kinsoku/>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遮阳挡雨，为加油人员提供作业防护空间，同时防止加油装置受损。</w:t>
            </w:r>
          </w:p>
        </w:tc>
      </w:tr>
    </w:tbl>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4"/>
          <w:szCs w:val="24"/>
          <w:lang w:val="en-US" w:eastAsia="zh-CN"/>
        </w:rPr>
        <w:t>8.其他要求应不低于国家标准强制规定。</w:t>
      </w:r>
    </w:p>
    <w:p>
      <w:pPr>
        <w:pStyle w:val="2"/>
        <w:keepNext w:val="0"/>
        <w:keepLines w:val="0"/>
        <w:pageBreakBefore w:val="0"/>
        <w:widowControl/>
        <w:kinsoku/>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9.供应商交货时须提供供货产品（危险化学品罐体或危险化学品包装物、容器）的产品质量合格证书，以及国家认可的质量检测机构出具的检测报告，以供采购人核验，若不能提供，将取消供应商成交资格，并须向采购人赔偿延误采购的损失。</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3ED"/>
    <w:rsid w:val="000949EF"/>
    <w:rsid w:val="00134148"/>
    <w:rsid w:val="002E3A9F"/>
    <w:rsid w:val="00307CDE"/>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27D7456"/>
    <w:rsid w:val="035229D7"/>
    <w:rsid w:val="043E3EC5"/>
    <w:rsid w:val="059B19AA"/>
    <w:rsid w:val="066824AC"/>
    <w:rsid w:val="066F1D0E"/>
    <w:rsid w:val="084C6B81"/>
    <w:rsid w:val="09C57060"/>
    <w:rsid w:val="0BA57890"/>
    <w:rsid w:val="0C835425"/>
    <w:rsid w:val="10B8208B"/>
    <w:rsid w:val="11283B79"/>
    <w:rsid w:val="13C6589E"/>
    <w:rsid w:val="17BD38CF"/>
    <w:rsid w:val="20B217BD"/>
    <w:rsid w:val="23412A49"/>
    <w:rsid w:val="23FE0375"/>
    <w:rsid w:val="247B45F5"/>
    <w:rsid w:val="286E3521"/>
    <w:rsid w:val="2B0429EA"/>
    <w:rsid w:val="2B7D1B09"/>
    <w:rsid w:val="2DCD60CA"/>
    <w:rsid w:val="32DD707A"/>
    <w:rsid w:val="352C5C45"/>
    <w:rsid w:val="35F951F0"/>
    <w:rsid w:val="36C559EE"/>
    <w:rsid w:val="379E3CCD"/>
    <w:rsid w:val="39A9599C"/>
    <w:rsid w:val="3DCD3B6C"/>
    <w:rsid w:val="3E3560D8"/>
    <w:rsid w:val="3E877FCA"/>
    <w:rsid w:val="42B8477F"/>
    <w:rsid w:val="431D3028"/>
    <w:rsid w:val="44C2414A"/>
    <w:rsid w:val="45E64F46"/>
    <w:rsid w:val="46BA145A"/>
    <w:rsid w:val="4932021F"/>
    <w:rsid w:val="494444F5"/>
    <w:rsid w:val="4A4E4F4A"/>
    <w:rsid w:val="4D4E1987"/>
    <w:rsid w:val="4EC40452"/>
    <w:rsid w:val="51AF12BD"/>
    <w:rsid w:val="536216A1"/>
    <w:rsid w:val="537A064A"/>
    <w:rsid w:val="546122D3"/>
    <w:rsid w:val="59590F26"/>
    <w:rsid w:val="596800D2"/>
    <w:rsid w:val="59B35C75"/>
    <w:rsid w:val="604653D4"/>
    <w:rsid w:val="60C02B7A"/>
    <w:rsid w:val="60D3511D"/>
    <w:rsid w:val="636741DE"/>
    <w:rsid w:val="642E19FC"/>
    <w:rsid w:val="64E30C51"/>
    <w:rsid w:val="65486EC1"/>
    <w:rsid w:val="66247358"/>
    <w:rsid w:val="67370B98"/>
    <w:rsid w:val="6783033A"/>
    <w:rsid w:val="69277C26"/>
    <w:rsid w:val="697363FA"/>
    <w:rsid w:val="6AE961F4"/>
    <w:rsid w:val="6BB0024D"/>
    <w:rsid w:val="6BBC75A6"/>
    <w:rsid w:val="6C302987"/>
    <w:rsid w:val="6EE6277B"/>
    <w:rsid w:val="6EEF5B6E"/>
    <w:rsid w:val="6F4F4099"/>
    <w:rsid w:val="731E270E"/>
    <w:rsid w:val="7608705F"/>
    <w:rsid w:val="77384E73"/>
    <w:rsid w:val="777FA5D6"/>
    <w:rsid w:val="78B97DFB"/>
    <w:rsid w:val="7BCC6165"/>
    <w:rsid w:val="7C495D2D"/>
    <w:rsid w:val="7E2C7000"/>
    <w:rsid w:val="7E596D8E"/>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tabs>
        <w:tab w:val="left" w:pos="420"/>
      </w:tabs>
      <w:ind w:firstLine="480"/>
    </w:pPr>
    <w:rPr>
      <w:rFonts w:ascii="等线" w:hAnsi="等线" w:eastAsia="等线" w:cs="等线"/>
      <w:lang w:val="zh-CN" w:bidi="zh-C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471</Words>
  <Characters>2691</Characters>
  <Lines>22</Lines>
  <Paragraphs>6</Paragraphs>
  <TotalTime>4</TotalTime>
  <ScaleCrop>false</ScaleCrop>
  <LinksUpToDate>false</LinksUpToDate>
  <CharactersWithSpaces>3156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宅喵</cp:lastModifiedBy>
  <cp:lastPrinted>2021-05-25T08:19:00Z</cp:lastPrinted>
  <dcterms:modified xsi:type="dcterms:W3CDTF">2021-09-08T07:53:18Z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ECC8566045A84053B9B6B5C8CA024709</vt:lpwstr>
  </property>
</Properties>
</file>