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after="0" w:line="360" w:lineRule="auto"/>
        <w:jc w:val="center"/>
        <w:rPr>
          <w:rFonts w:ascii="Times New Roman" w:hAnsi="Times New Roman"/>
          <w:b w:val="0"/>
          <w:bCs w:val="0"/>
          <w:color w:val="auto"/>
          <w:sz w:val="36"/>
          <w:szCs w:val="36"/>
          <w:highlight w:val="none"/>
        </w:rPr>
      </w:pPr>
      <w:r>
        <w:rPr>
          <w:rFonts w:ascii="Times New Roman" w:hAnsi="Times New Roman"/>
          <w:b w:val="0"/>
          <w:bCs w:val="0"/>
          <w:color w:val="auto"/>
          <w:sz w:val="36"/>
          <w:szCs w:val="36"/>
          <w:highlight w:val="none"/>
        </w:rPr>
        <w:t>评标办法（综合评估法）</w:t>
      </w:r>
      <w:bookmarkStart w:id="55" w:name="_GoBack"/>
      <w:bookmarkEnd w:id="55"/>
    </w:p>
    <w:p>
      <w:pPr>
        <w:pStyle w:val="4"/>
        <w:spacing w:before="0" w:after="0" w:line="360" w:lineRule="auto"/>
        <w:jc w:val="center"/>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t>评标办法前附表</w:t>
      </w:r>
    </w:p>
    <w:tbl>
      <w:tblPr>
        <w:tblStyle w:val="6"/>
        <w:tblW w:w="907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072"/>
        <w:gridCol w:w="6"/>
        <w:gridCol w:w="1163"/>
        <w:gridCol w:w="683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blHeader/>
          <w:jc w:val="center"/>
        </w:trPr>
        <w:tc>
          <w:tcPr>
            <w:tcW w:w="2241" w:type="dxa"/>
            <w:gridSpan w:val="3"/>
            <w:tcBorders>
              <w:tl2br w:val="nil"/>
              <w:tr2bl w:val="nil"/>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条款号</w:t>
            </w:r>
          </w:p>
        </w:tc>
        <w:tc>
          <w:tcPr>
            <w:tcW w:w="6830" w:type="dxa"/>
            <w:tcBorders>
              <w:tl2br w:val="nil"/>
              <w:tr2bl w:val="nil"/>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评审因素与评审标准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076" w:hRule="atLeast"/>
          <w:jc w:val="center"/>
        </w:trPr>
        <w:tc>
          <w:tcPr>
            <w:tcW w:w="1072" w:type="dxa"/>
            <w:tcBorders>
              <w:tl2br w:val="nil"/>
              <w:tr2bl w:val="nil"/>
            </w:tcBorders>
            <w:vAlign w:val="center"/>
          </w:tcPr>
          <w:p>
            <w:pPr>
              <w:spacing w:line="400" w:lineRule="atLeast"/>
              <w:jc w:val="center"/>
              <w:rPr>
                <w:rFonts w:ascii="宋体" w:hAnsi="宋体" w:cs="宋体"/>
                <w:color w:val="auto"/>
                <w:szCs w:val="21"/>
                <w:highlight w:val="none"/>
              </w:rPr>
            </w:pPr>
            <w:r>
              <w:rPr>
                <w:rFonts w:hint="eastAsia" w:ascii="宋体" w:hAnsi="宋体" w:cs="宋体"/>
                <w:color w:val="auto"/>
                <w:szCs w:val="21"/>
                <w:highlight w:val="none"/>
              </w:rPr>
              <w:t>1</w:t>
            </w:r>
          </w:p>
        </w:tc>
        <w:tc>
          <w:tcPr>
            <w:tcW w:w="1169" w:type="dxa"/>
            <w:gridSpan w:val="2"/>
            <w:tcBorders>
              <w:tl2br w:val="nil"/>
              <w:tr2bl w:val="nil"/>
            </w:tcBorders>
            <w:vAlign w:val="center"/>
          </w:tcPr>
          <w:p>
            <w:pPr>
              <w:spacing w:line="400" w:lineRule="atLeast"/>
              <w:jc w:val="center"/>
              <w:rPr>
                <w:rFonts w:ascii="宋体" w:hAnsi="宋体" w:cs="宋体"/>
                <w:color w:val="auto"/>
                <w:szCs w:val="21"/>
                <w:highlight w:val="none"/>
              </w:rPr>
            </w:pPr>
            <w:r>
              <w:rPr>
                <w:rFonts w:hint="eastAsia" w:ascii="宋体" w:hAnsi="宋体" w:cs="宋体"/>
                <w:color w:val="auto"/>
                <w:szCs w:val="21"/>
                <w:highlight w:val="none"/>
              </w:rPr>
              <w:t>评标方法</w:t>
            </w:r>
          </w:p>
        </w:tc>
        <w:tc>
          <w:tcPr>
            <w:tcW w:w="6830" w:type="dxa"/>
            <w:tcBorders>
              <w:tl2br w:val="nil"/>
              <w:tr2bl w:val="nil"/>
            </w:tcBorders>
            <w:vAlign w:val="center"/>
          </w:tcPr>
          <w:p>
            <w:pPr>
              <w:ind w:firstLine="420" w:firstLineChars="200"/>
              <w:rPr>
                <w:rFonts w:ascii="宋体" w:hAnsi="宋体" w:cs="宋体"/>
                <w:color w:val="auto"/>
                <w:szCs w:val="21"/>
                <w:highlight w:val="none"/>
              </w:rPr>
            </w:pPr>
            <w:r>
              <w:rPr>
                <w:rFonts w:hint="eastAsia" w:ascii="宋体" w:hAnsi="宋体" w:cs="宋体"/>
                <w:color w:val="auto"/>
                <w:szCs w:val="21"/>
                <w:highlight w:val="none"/>
              </w:rPr>
              <w:t>评标委员会按得分由高到低顺序推荐中标候选人，得分相等时，评标委员会依次按照以下优先顺序推荐中标候选人：</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（1）评标价低的投标人优先；</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（2）商务和技术得分较高的投标人优先；</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（3）投标文件提供的业绩数量多的投标人优先；</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（4）投标文件提供的业绩累计合同金额大的投标人优先。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072" w:type="dxa"/>
            <w:tcBorders>
              <w:tl2br w:val="nil"/>
              <w:tr2bl w:val="nil"/>
            </w:tcBorders>
            <w:vAlign w:val="center"/>
          </w:tcPr>
          <w:p>
            <w:pPr>
              <w:spacing w:line="400" w:lineRule="atLeast"/>
              <w:jc w:val="center"/>
              <w:rPr>
                <w:rFonts w:ascii="宋体" w:hAnsi="宋体" w:cs="宋体"/>
                <w:color w:val="auto"/>
                <w:szCs w:val="21"/>
                <w:highlight w:val="none"/>
              </w:rPr>
            </w:pPr>
            <w:r>
              <w:rPr>
                <w:rFonts w:hint="eastAsia" w:ascii="宋体" w:hAnsi="宋体" w:cs="宋体"/>
                <w:color w:val="auto"/>
                <w:szCs w:val="21"/>
                <w:highlight w:val="none"/>
              </w:rPr>
              <w:t>2.1.1</w:t>
            </w:r>
          </w:p>
          <w:p>
            <w:pPr>
              <w:spacing w:line="400" w:lineRule="atLeast"/>
              <w:jc w:val="center"/>
              <w:rPr>
                <w:rFonts w:ascii="宋体" w:hAnsi="宋体" w:cs="宋体"/>
                <w:color w:val="auto"/>
                <w:szCs w:val="21"/>
                <w:highlight w:val="none"/>
              </w:rPr>
            </w:pPr>
            <w:r>
              <w:rPr>
                <w:rFonts w:hint="eastAsia" w:ascii="宋体" w:hAnsi="宋体" w:cs="宋体"/>
                <w:color w:val="auto"/>
                <w:szCs w:val="21"/>
                <w:highlight w:val="none"/>
              </w:rPr>
              <w:t>2.1.3</w:t>
            </w:r>
          </w:p>
        </w:tc>
        <w:tc>
          <w:tcPr>
            <w:tcW w:w="1169" w:type="dxa"/>
            <w:gridSpan w:val="2"/>
            <w:tcBorders>
              <w:tl2br w:val="nil"/>
              <w:tr2bl w:val="nil"/>
            </w:tcBorders>
            <w:vAlign w:val="center"/>
          </w:tcPr>
          <w:p>
            <w:pPr>
              <w:spacing w:line="400" w:lineRule="atLeast"/>
              <w:jc w:val="center"/>
              <w:rPr>
                <w:rFonts w:ascii="宋体" w:hAnsi="宋体" w:cs="宋体"/>
                <w:color w:val="auto"/>
                <w:szCs w:val="21"/>
                <w:highlight w:val="none"/>
              </w:rPr>
            </w:pPr>
            <w:r>
              <w:rPr>
                <w:rFonts w:hint="eastAsia" w:ascii="宋体" w:hAnsi="宋体" w:cs="宋体"/>
                <w:color w:val="auto"/>
                <w:szCs w:val="21"/>
                <w:highlight w:val="none"/>
              </w:rPr>
              <w:t>形式评审与响应性评审标准</w:t>
            </w:r>
          </w:p>
        </w:tc>
        <w:tc>
          <w:tcPr>
            <w:tcW w:w="6830" w:type="dxa"/>
            <w:tcBorders>
              <w:tl2br w:val="nil"/>
              <w:tr2bl w:val="nil"/>
            </w:tcBorders>
            <w:vAlign w:val="center"/>
          </w:tcPr>
          <w:p>
            <w:pPr>
              <w:adjustRightInd w:val="0"/>
              <w:rPr>
                <w:rFonts w:ascii="宋体" w:hAnsi="宋体" w:cs="宋体"/>
                <w:color w:val="auto"/>
                <w:szCs w:val="21"/>
                <w:highlight w:val="none"/>
              </w:rPr>
            </w:pPr>
            <w:r>
              <w:rPr>
                <w:rFonts w:hint="eastAsia" w:ascii="宋体" w:hAnsi="宋体" w:cs="宋体"/>
                <w:color w:val="auto"/>
                <w:szCs w:val="21"/>
                <w:highlight w:val="none"/>
              </w:rPr>
              <w:t>第一个信封（商务及技术文件）评审标准：</w:t>
            </w:r>
          </w:p>
          <w:p>
            <w:pPr>
              <w:adjustRightInd w:val="0"/>
              <w:rPr>
                <w:rFonts w:ascii="宋体" w:hAnsi="宋体" w:cs="宋体"/>
                <w:color w:val="auto"/>
                <w:szCs w:val="21"/>
                <w:highlight w:val="none"/>
              </w:rPr>
            </w:pPr>
            <w:r>
              <w:rPr>
                <w:rFonts w:hint="eastAsia" w:ascii="宋体" w:hAnsi="宋体" w:cs="宋体"/>
                <w:color w:val="auto"/>
                <w:szCs w:val="21"/>
                <w:highlight w:val="none"/>
              </w:rPr>
              <w:t>（1）投标文件按照招标文件规定的格式、内容填写，字迹清晰可辨：</w:t>
            </w:r>
          </w:p>
          <w:p>
            <w:pPr>
              <w:adjustRightInd w:val="0"/>
              <w:rPr>
                <w:rFonts w:ascii="宋体" w:hAnsi="宋体" w:cs="宋体"/>
                <w:color w:val="auto"/>
                <w:szCs w:val="21"/>
                <w:highlight w:val="none"/>
              </w:rPr>
            </w:pPr>
            <w:r>
              <w:rPr>
                <w:rFonts w:hint="eastAsia" w:ascii="宋体" w:hAnsi="宋体" w:cs="宋体"/>
                <w:color w:val="auto"/>
                <w:szCs w:val="21"/>
                <w:highlight w:val="none"/>
              </w:rPr>
              <w:t>a.投标函按招标文件规定填报了招标人名称、项目名称、标段号、补遗书编号（如有）、服务期限、工程质量要求及安全目标；</w:t>
            </w:r>
          </w:p>
          <w:p>
            <w:pPr>
              <w:adjustRightInd w:val="0"/>
              <w:rPr>
                <w:rFonts w:ascii="宋体" w:hAnsi="宋体" w:cs="宋体"/>
                <w:color w:val="auto"/>
                <w:szCs w:val="21"/>
                <w:highlight w:val="none"/>
              </w:rPr>
            </w:pPr>
            <w:r>
              <w:rPr>
                <w:rFonts w:hint="eastAsia" w:ascii="宋体" w:hAnsi="宋体" w:cs="宋体"/>
                <w:color w:val="auto"/>
                <w:szCs w:val="21"/>
                <w:highlight w:val="none"/>
              </w:rPr>
              <w:t>b.投标文件组成齐全完整，内容均按规定填写。</w:t>
            </w:r>
          </w:p>
          <w:p>
            <w:pPr>
              <w:adjustRightInd w:val="0"/>
              <w:rPr>
                <w:rFonts w:ascii="宋体" w:hAnsi="宋体" w:cs="宋体"/>
                <w:color w:val="auto"/>
                <w:szCs w:val="21"/>
                <w:highlight w:val="none"/>
              </w:rPr>
            </w:pPr>
            <w:r>
              <w:rPr>
                <w:rFonts w:hint="eastAsia" w:ascii="宋体" w:hAnsi="宋体" w:cs="宋体"/>
                <w:color w:val="auto"/>
                <w:szCs w:val="21"/>
                <w:highlight w:val="none"/>
              </w:rPr>
              <w:t>（2）投标文件上法定代表人或其授权代理人的签字、投标人的单位章盖章齐全，符合招标文件规定。</w:t>
            </w:r>
          </w:p>
          <w:p>
            <w:pPr>
              <w:adjustRightInd w:val="0"/>
              <w:rPr>
                <w:rFonts w:ascii="宋体" w:hAnsi="宋体" w:cs="宋体"/>
                <w:color w:val="auto"/>
                <w:szCs w:val="21"/>
                <w:highlight w:val="none"/>
              </w:rPr>
            </w:pPr>
            <w:r>
              <w:rPr>
                <w:rFonts w:hint="eastAsia" w:ascii="宋体" w:hAnsi="宋体" w:cs="宋体"/>
                <w:color w:val="auto"/>
                <w:szCs w:val="21"/>
                <w:highlight w:val="none"/>
              </w:rPr>
              <w:t>（3）投标人按照招标文件的规定提供了投标保证金：</w:t>
            </w:r>
          </w:p>
          <w:p>
            <w:pPr>
              <w:adjustRightInd w:val="0"/>
              <w:rPr>
                <w:rFonts w:ascii="宋体" w:hAnsi="宋体" w:cs="宋体"/>
                <w:color w:val="auto"/>
                <w:szCs w:val="21"/>
                <w:highlight w:val="none"/>
              </w:rPr>
            </w:pPr>
            <w:r>
              <w:rPr>
                <w:rFonts w:hint="eastAsia" w:ascii="宋体" w:hAnsi="宋体" w:cs="宋体"/>
                <w:color w:val="auto"/>
                <w:szCs w:val="21"/>
                <w:highlight w:val="none"/>
              </w:rPr>
              <w:t>a.投标保证金金额符合招标文件规定的金额，且投标保证金有效期不少于投标有效期；</w:t>
            </w:r>
          </w:p>
          <w:p>
            <w:pPr>
              <w:adjustRightInd w:val="0"/>
              <w:rPr>
                <w:rFonts w:ascii="宋体" w:hAnsi="宋体" w:cs="宋体"/>
                <w:color w:val="auto"/>
                <w:szCs w:val="21"/>
                <w:highlight w:val="none"/>
              </w:rPr>
            </w:pPr>
            <w:r>
              <w:rPr>
                <w:rFonts w:hint="eastAsia" w:ascii="宋体" w:hAnsi="宋体" w:cs="宋体"/>
                <w:color w:val="auto"/>
                <w:szCs w:val="21"/>
                <w:highlight w:val="none"/>
              </w:rPr>
              <w:t>b.若投标保证金采用现金或支票形式提交，投标人应在递交投标文件截止时间之前，将投标保证金由投标人的基本账户转入并到达招标文件指定账户；</w:t>
            </w:r>
          </w:p>
          <w:p>
            <w:pPr>
              <w:adjustRightInd w:val="0"/>
              <w:rPr>
                <w:rFonts w:ascii="宋体" w:hAnsi="宋体" w:cs="宋体"/>
                <w:color w:val="auto"/>
                <w:szCs w:val="21"/>
                <w:highlight w:val="none"/>
              </w:rPr>
            </w:pPr>
            <w:r>
              <w:rPr>
                <w:rFonts w:hint="eastAsia" w:ascii="宋体" w:hAnsi="宋体" w:cs="宋体"/>
                <w:color w:val="auto"/>
                <w:szCs w:val="21"/>
                <w:highlight w:val="none"/>
              </w:rPr>
              <w:t>c.若投标保证金采用银行保函形式提交，银行保函的格式、开具保函的银行均满足招标文件要求，且银行保函原件装订在投标文件的正本之中。</w:t>
            </w:r>
          </w:p>
          <w:p>
            <w:pPr>
              <w:adjustRightInd w:val="0"/>
              <w:rPr>
                <w:rFonts w:ascii="宋体" w:hAnsi="宋体" w:cs="宋体"/>
                <w:color w:val="auto"/>
                <w:szCs w:val="21"/>
                <w:highlight w:val="none"/>
              </w:rPr>
            </w:pPr>
            <w:r>
              <w:rPr>
                <w:rFonts w:hint="eastAsia" w:ascii="宋体" w:hAnsi="宋体" w:cs="宋体"/>
                <w:color w:val="auto"/>
                <w:szCs w:val="21"/>
                <w:highlight w:val="none"/>
              </w:rPr>
              <w:t>（4）投标人法定代表人授权委托代理人签署投标文件的，须提交授权委托书，且授权人和被授权人均在授权委托书上签名。</w:t>
            </w:r>
          </w:p>
          <w:p>
            <w:pPr>
              <w:adjustRightInd w:val="0"/>
              <w:rPr>
                <w:rFonts w:ascii="宋体" w:hAnsi="宋体" w:cs="宋体"/>
                <w:color w:val="auto"/>
                <w:szCs w:val="21"/>
                <w:highlight w:val="none"/>
              </w:rPr>
            </w:pPr>
            <w:r>
              <w:rPr>
                <w:rFonts w:hint="eastAsia" w:ascii="宋体" w:hAnsi="宋体" w:cs="宋体"/>
                <w:color w:val="auto"/>
                <w:szCs w:val="21"/>
                <w:highlight w:val="none"/>
              </w:rPr>
              <w:t>（5）投标人法定代表人亲自签署投标文件的，提供了法定代表人身份证明，且法定代表人在法定代表人身份证明上签名。</w:t>
            </w:r>
          </w:p>
          <w:p>
            <w:pPr>
              <w:adjustRightInd w:val="0"/>
              <w:rPr>
                <w:rFonts w:ascii="宋体" w:hAnsi="宋体" w:cs="宋体"/>
                <w:color w:val="auto"/>
                <w:szCs w:val="21"/>
                <w:highlight w:val="none"/>
              </w:rPr>
            </w:pPr>
            <w:r>
              <w:rPr>
                <w:rFonts w:hint="eastAsia" w:ascii="宋体" w:hAnsi="宋体" w:cs="宋体"/>
                <w:color w:val="auto"/>
                <w:szCs w:val="21"/>
                <w:highlight w:val="none"/>
              </w:rPr>
              <w:t>（6）投标人未以联合体形式参加投标的。</w:t>
            </w:r>
          </w:p>
          <w:p>
            <w:pPr>
              <w:adjustRightInd w:val="0"/>
              <w:rPr>
                <w:rFonts w:ascii="宋体" w:hAnsi="宋体" w:cs="宋体"/>
                <w:color w:val="auto"/>
                <w:szCs w:val="21"/>
                <w:highlight w:val="none"/>
              </w:rPr>
            </w:pPr>
            <w:r>
              <w:rPr>
                <w:rFonts w:hint="eastAsia" w:ascii="宋体" w:hAnsi="宋体" w:cs="宋体"/>
                <w:color w:val="auto"/>
                <w:szCs w:val="21"/>
                <w:highlight w:val="none"/>
              </w:rPr>
              <w:t>（7）同一投标人未提交两个及以上不同的投标文件。</w:t>
            </w:r>
          </w:p>
          <w:p>
            <w:pPr>
              <w:adjustRightInd w:val="0"/>
              <w:rPr>
                <w:rFonts w:ascii="宋体" w:hAnsi="宋体" w:cs="宋体"/>
                <w:color w:val="auto"/>
                <w:szCs w:val="21"/>
                <w:highlight w:val="none"/>
              </w:rPr>
            </w:pPr>
            <w:r>
              <w:rPr>
                <w:rFonts w:hint="eastAsia" w:ascii="宋体" w:hAnsi="宋体" w:cs="宋体"/>
                <w:color w:val="auto"/>
                <w:szCs w:val="21"/>
                <w:highlight w:val="none"/>
              </w:rPr>
              <w:t>（8）投标文件中未出现有关投标报价的内容。</w:t>
            </w:r>
          </w:p>
          <w:p>
            <w:pPr>
              <w:adjustRightInd w:val="0"/>
              <w:rPr>
                <w:rFonts w:ascii="宋体" w:hAnsi="宋体" w:cs="宋体"/>
                <w:color w:val="auto"/>
                <w:szCs w:val="21"/>
                <w:highlight w:val="none"/>
              </w:rPr>
            </w:pPr>
            <w:r>
              <w:rPr>
                <w:rFonts w:hint="eastAsia" w:ascii="宋体" w:hAnsi="宋体" w:cs="宋体"/>
                <w:color w:val="auto"/>
                <w:szCs w:val="21"/>
                <w:highlight w:val="none"/>
              </w:rPr>
              <w:t>（9）投标文件载明的招标项目完成期限符合招标文件规定。</w:t>
            </w:r>
          </w:p>
          <w:p>
            <w:pPr>
              <w:adjustRightInd w:val="0"/>
              <w:rPr>
                <w:rFonts w:ascii="宋体" w:hAnsi="宋体" w:cs="宋体"/>
                <w:color w:val="auto"/>
                <w:szCs w:val="21"/>
                <w:highlight w:val="none"/>
              </w:rPr>
            </w:pPr>
            <w:r>
              <w:rPr>
                <w:rFonts w:hint="eastAsia" w:ascii="宋体" w:hAnsi="宋体" w:cs="宋体"/>
                <w:color w:val="auto"/>
                <w:szCs w:val="21"/>
                <w:highlight w:val="none"/>
              </w:rPr>
              <w:t>（10）投标文件对招标文件的实质性要求和条件作出响应。</w:t>
            </w:r>
          </w:p>
          <w:p>
            <w:pPr>
              <w:adjustRightInd w:val="0"/>
              <w:rPr>
                <w:rFonts w:ascii="宋体" w:hAnsi="宋体" w:cs="宋体"/>
                <w:color w:val="auto"/>
                <w:szCs w:val="21"/>
                <w:highlight w:val="none"/>
              </w:rPr>
            </w:pPr>
            <w:r>
              <w:rPr>
                <w:rFonts w:hint="eastAsia" w:ascii="宋体" w:hAnsi="宋体" w:cs="宋体"/>
                <w:color w:val="auto"/>
                <w:szCs w:val="21"/>
                <w:highlight w:val="none"/>
              </w:rPr>
              <w:t>（11）权利义务符合招标文件规定：</w:t>
            </w:r>
          </w:p>
          <w:p>
            <w:pPr>
              <w:adjustRightInd w:val="0"/>
              <w:rPr>
                <w:rFonts w:ascii="宋体" w:hAnsi="宋体" w:cs="宋体"/>
                <w:color w:val="auto"/>
                <w:szCs w:val="21"/>
                <w:highlight w:val="none"/>
              </w:rPr>
            </w:pPr>
            <w:r>
              <w:rPr>
                <w:rFonts w:hint="eastAsia" w:ascii="宋体" w:hAnsi="宋体" w:cs="宋体"/>
                <w:color w:val="auto"/>
                <w:szCs w:val="21"/>
                <w:highlight w:val="none"/>
              </w:rPr>
              <w:t>a.投标人应接受招标文件规定的风险划分原则，未提出新的风险划分办法；</w:t>
            </w:r>
          </w:p>
          <w:p>
            <w:pPr>
              <w:adjustRightInd w:val="0"/>
              <w:rPr>
                <w:rFonts w:ascii="宋体" w:hAnsi="宋体" w:cs="宋体"/>
                <w:color w:val="auto"/>
                <w:szCs w:val="21"/>
                <w:highlight w:val="none"/>
              </w:rPr>
            </w:pPr>
            <w:r>
              <w:rPr>
                <w:rFonts w:hint="eastAsia" w:ascii="宋体" w:hAnsi="宋体" w:cs="宋体"/>
                <w:color w:val="auto"/>
                <w:szCs w:val="21"/>
                <w:highlight w:val="none"/>
              </w:rPr>
              <w:t>b.投标人未增加委托人的责任范围，或减少投标人义务；</w:t>
            </w:r>
          </w:p>
          <w:p>
            <w:pPr>
              <w:adjustRightInd w:val="0"/>
              <w:rPr>
                <w:rFonts w:ascii="宋体" w:hAnsi="宋体" w:cs="宋体"/>
                <w:color w:val="auto"/>
                <w:szCs w:val="21"/>
                <w:highlight w:val="none"/>
              </w:rPr>
            </w:pPr>
            <w:r>
              <w:rPr>
                <w:rFonts w:hint="eastAsia" w:ascii="宋体" w:hAnsi="宋体" w:cs="宋体"/>
                <w:color w:val="auto"/>
                <w:szCs w:val="21"/>
                <w:highlight w:val="none"/>
              </w:rPr>
              <w:t>c.投标人未提出不同的支付办法；</w:t>
            </w:r>
          </w:p>
          <w:p>
            <w:pPr>
              <w:adjustRightInd w:val="0"/>
              <w:rPr>
                <w:rFonts w:ascii="宋体" w:hAnsi="宋体" w:cs="宋体"/>
                <w:color w:val="auto"/>
                <w:szCs w:val="21"/>
                <w:highlight w:val="none"/>
              </w:rPr>
            </w:pPr>
            <w:r>
              <w:rPr>
                <w:rFonts w:hint="eastAsia" w:ascii="宋体" w:hAnsi="宋体" w:cs="宋体"/>
                <w:color w:val="auto"/>
                <w:szCs w:val="21"/>
                <w:highlight w:val="none"/>
              </w:rPr>
              <w:t>d.投标人对合同纠纷、事故处理办法未提出异议；</w:t>
            </w:r>
          </w:p>
          <w:p>
            <w:pPr>
              <w:adjustRightInd w:val="0"/>
              <w:rPr>
                <w:rFonts w:ascii="宋体" w:hAnsi="宋体" w:cs="宋体"/>
                <w:color w:val="auto"/>
                <w:szCs w:val="21"/>
                <w:highlight w:val="none"/>
              </w:rPr>
            </w:pPr>
            <w:r>
              <w:rPr>
                <w:rFonts w:hint="eastAsia" w:ascii="宋体" w:hAnsi="宋体" w:cs="宋体"/>
                <w:color w:val="auto"/>
                <w:szCs w:val="21"/>
                <w:highlight w:val="none"/>
              </w:rPr>
              <w:t>e.投标人在投标活动中无欺诈行为；</w:t>
            </w:r>
          </w:p>
          <w:p>
            <w:pPr>
              <w:adjustRightInd w:val="0"/>
              <w:rPr>
                <w:rFonts w:ascii="宋体" w:hAnsi="宋体" w:cs="宋体"/>
                <w:color w:val="auto"/>
                <w:szCs w:val="21"/>
                <w:highlight w:val="none"/>
              </w:rPr>
            </w:pPr>
            <w:r>
              <w:rPr>
                <w:rFonts w:hint="eastAsia" w:ascii="宋体" w:hAnsi="宋体" w:cs="宋体"/>
                <w:color w:val="auto"/>
                <w:szCs w:val="21"/>
                <w:highlight w:val="none"/>
              </w:rPr>
              <w:t>f.投标人未对合同条款有重要保留。</w:t>
            </w:r>
          </w:p>
          <w:p>
            <w:pPr>
              <w:adjustRightInd w:val="0"/>
              <w:rPr>
                <w:rFonts w:ascii="宋体" w:hAnsi="宋体" w:cs="宋体"/>
                <w:color w:val="auto"/>
                <w:szCs w:val="21"/>
                <w:highlight w:val="none"/>
              </w:rPr>
            </w:pPr>
            <w:r>
              <w:rPr>
                <w:rFonts w:hint="eastAsia" w:ascii="宋体" w:hAnsi="宋体" w:cs="宋体"/>
                <w:color w:val="auto"/>
                <w:szCs w:val="21"/>
                <w:highlight w:val="none"/>
              </w:rPr>
              <w:t>（12）投标文件正、副本份数和标记符合招标文件第二章“投标人须知”第3.7.4项规定。</w:t>
            </w:r>
          </w:p>
          <w:p>
            <w:pPr>
              <w:adjustRightInd w:val="0"/>
              <w:rPr>
                <w:rFonts w:ascii="宋体" w:hAnsi="宋体" w:cs="宋体"/>
                <w:color w:val="auto"/>
                <w:szCs w:val="21"/>
                <w:highlight w:val="none"/>
              </w:rPr>
            </w:pPr>
            <w:r>
              <w:rPr>
                <w:rFonts w:hint="eastAsia" w:ascii="宋体" w:hAnsi="宋体" w:cs="宋体"/>
                <w:color w:val="auto"/>
                <w:szCs w:val="21"/>
                <w:highlight w:val="none"/>
              </w:rPr>
              <w:t>（13）投标文件未附有招标人不能接受的条件。</w:t>
            </w:r>
          </w:p>
          <w:p>
            <w:pPr>
              <w:adjustRightInd w:val="0"/>
              <w:rPr>
                <w:rFonts w:ascii="宋体" w:hAnsi="宋体" w:cs="宋体"/>
                <w:color w:val="auto"/>
                <w:szCs w:val="21"/>
                <w:highlight w:val="none"/>
              </w:rPr>
            </w:pPr>
            <w:r>
              <w:rPr>
                <w:rFonts w:hint="eastAsia" w:ascii="宋体" w:hAnsi="宋体" w:cs="宋体"/>
                <w:color w:val="auto"/>
                <w:szCs w:val="21"/>
                <w:highlight w:val="none"/>
              </w:rPr>
              <w:t>第二个信封（报价文件）评审标准：</w:t>
            </w:r>
          </w:p>
          <w:p>
            <w:pPr>
              <w:adjustRightInd w:val="0"/>
              <w:rPr>
                <w:rFonts w:ascii="宋体" w:hAnsi="宋体" w:cs="宋体"/>
                <w:color w:val="auto"/>
                <w:szCs w:val="21"/>
                <w:highlight w:val="none"/>
              </w:rPr>
            </w:pPr>
            <w:r>
              <w:rPr>
                <w:rFonts w:hint="eastAsia" w:ascii="宋体" w:hAnsi="宋体" w:cs="宋体"/>
                <w:color w:val="auto"/>
                <w:szCs w:val="21"/>
                <w:highlight w:val="none"/>
              </w:rPr>
              <w:t>（1）报价文件按照招标文件规定的格式、内容填写，字迹清晰可辨：</w:t>
            </w:r>
          </w:p>
          <w:p>
            <w:pPr>
              <w:adjustRightInd w:val="0"/>
              <w:ind w:firstLine="420" w:firstLineChars="200"/>
              <w:rPr>
                <w:rFonts w:ascii="宋体" w:hAnsi="宋体" w:cs="宋体"/>
                <w:color w:val="auto"/>
                <w:szCs w:val="21"/>
                <w:highlight w:val="none"/>
              </w:rPr>
            </w:pPr>
            <w:r>
              <w:rPr>
                <w:rFonts w:hint="eastAsia" w:ascii="宋体" w:hAnsi="宋体" w:cs="宋体"/>
                <w:color w:val="auto"/>
                <w:szCs w:val="21"/>
                <w:highlight w:val="none"/>
              </w:rPr>
              <w:t>a.投标函按招标文件规定填报了招标人名称、项目名称、标段号、补遗书编号（如有）、投标价（包括大写金额和小写金额）；</w:t>
            </w:r>
          </w:p>
          <w:p>
            <w:pPr>
              <w:adjustRightInd w:val="0"/>
              <w:ind w:firstLine="420" w:firstLineChars="200"/>
              <w:rPr>
                <w:rFonts w:ascii="宋体" w:hAnsi="宋体" w:cs="宋体"/>
                <w:color w:val="auto"/>
                <w:szCs w:val="21"/>
                <w:highlight w:val="none"/>
              </w:rPr>
            </w:pPr>
            <w:r>
              <w:rPr>
                <w:rFonts w:hint="eastAsia" w:ascii="宋体" w:hAnsi="宋体" w:cs="宋体"/>
                <w:color w:val="auto"/>
                <w:szCs w:val="21"/>
                <w:highlight w:val="none"/>
              </w:rPr>
              <w:t>b.报价清单说明文字与招标文件规定一致，未进行实质性修改和删减；</w:t>
            </w:r>
          </w:p>
          <w:p>
            <w:pPr>
              <w:adjustRightInd w:val="0"/>
              <w:ind w:firstLine="420" w:firstLineChars="200"/>
              <w:rPr>
                <w:rFonts w:ascii="宋体" w:hAnsi="宋体" w:cs="宋体"/>
                <w:color w:val="auto"/>
                <w:szCs w:val="21"/>
                <w:highlight w:val="none"/>
              </w:rPr>
            </w:pPr>
            <w:r>
              <w:rPr>
                <w:rFonts w:hint="eastAsia" w:ascii="宋体" w:hAnsi="宋体" w:cs="宋体"/>
                <w:color w:val="auto"/>
                <w:szCs w:val="21"/>
                <w:highlight w:val="none"/>
              </w:rPr>
              <w:t>c.投标文件组成齐全完整，内容均按规定填写。</w:t>
            </w:r>
          </w:p>
          <w:p>
            <w:pPr>
              <w:adjustRightInd w:val="0"/>
              <w:rPr>
                <w:rFonts w:ascii="宋体" w:hAnsi="宋体" w:cs="宋体"/>
                <w:color w:val="auto"/>
                <w:szCs w:val="21"/>
                <w:highlight w:val="none"/>
              </w:rPr>
            </w:pPr>
            <w:r>
              <w:rPr>
                <w:rFonts w:hint="eastAsia" w:ascii="宋体" w:hAnsi="宋体" w:cs="宋体"/>
                <w:color w:val="auto"/>
                <w:szCs w:val="21"/>
                <w:highlight w:val="none"/>
              </w:rPr>
              <w:t>（2）报价文件上法定代表人或其授权代理人的签字、投标人的单位章盖章齐全，符合招标文件规定。</w:t>
            </w:r>
          </w:p>
          <w:p>
            <w:pPr>
              <w:adjustRightInd w:val="0"/>
              <w:rPr>
                <w:rFonts w:ascii="宋体" w:hAnsi="宋体" w:cs="宋体"/>
                <w:color w:val="auto"/>
                <w:szCs w:val="21"/>
                <w:highlight w:val="none"/>
              </w:rPr>
            </w:pPr>
            <w:r>
              <w:rPr>
                <w:rFonts w:hint="eastAsia" w:ascii="宋体" w:hAnsi="宋体" w:cs="宋体"/>
                <w:color w:val="auto"/>
                <w:szCs w:val="21"/>
                <w:highlight w:val="none"/>
              </w:rPr>
              <w:t>（3）投标报价未超过招标文件设定的最高投标限价。</w:t>
            </w:r>
          </w:p>
          <w:p>
            <w:pPr>
              <w:adjustRightInd w:val="0"/>
              <w:rPr>
                <w:rFonts w:ascii="宋体" w:hAnsi="宋体" w:cs="宋体"/>
                <w:color w:val="auto"/>
                <w:szCs w:val="21"/>
                <w:highlight w:val="none"/>
              </w:rPr>
            </w:pPr>
            <w:r>
              <w:rPr>
                <w:rFonts w:hint="eastAsia" w:ascii="宋体" w:hAnsi="宋体" w:cs="宋体"/>
                <w:color w:val="auto"/>
                <w:szCs w:val="21"/>
                <w:highlight w:val="none"/>
              </w:rPr>
              <w:t>（4）投标报价的大写金额能够确定具体数值。</w:t>
            </w:r>
          </w:p>
          <w:p>
            <w:pPr>
              <w:adjustRightInd w:val="0"/>
              <w:rPr>
                <w:rFonts w:ascii="宋体" w:hAnsi="宋体" w:cs="宋体"/>
                <w:color w:val="auto"/>
                <w:szCs w:val="21"/>
                <w:highlight w:val="none"/>
              </w:rPr>
            </w:pPr>
            <w:r>
              <w:rPr>
                <w:rFonts w:hint="eastAsia" w:ascii="宋体" w:hAnsi="宋体" w:cs="宋体"/>
                <w:color w:val="auto"/>
                <w:szCs w:val="21"/>
                <w:highlight w:val="none"/>
              </w:rPr>
              <w:t>（5）同一投标人未提交两个以上不同的投标报价。</w:t>
            </w:r>
          </w:p>
          <w:p>
            <w:pPr>
              <w:adjustRightInd w:val="0"/>
              <w:rPr>
                <w:rFonts w:ascii="宋体" w:hAnsi="宋体" w:cs="宋体"/>
                <w:color w:val="auto"/>
                <w:szCs w:val="21"/>
                <w:highlight w:val="none"/>
              </w:rPr>
            </w:pPr>
            <w:r>
              <w:rPr>
                <w:rFonts w:hint="eastAsia" w:ascii="宋体" w:hAnsi="宋体" w:cs="宋体"/>
                <w:color w:val="auto"/>
                <w:szCs w:val="21"/>
                <w:highlight w:val="none"/>
              </w:rPr>
              <w:t>（6）投标文件正、副本份数和标记符合招标文件第二章“投标人须知”第3.7.4项规定。</w:t>
            </w:r>
          </w:p>
          <w:p>
            <w:pPr>
              <w:adjustRightInd w:val="0"/>
              <w:rPr>
                <w:rFonts w:ascii="宋体" w:hAnsi="宋体" w:cs="宋体"/>
                <w:color w:val="auto"/>
                <w:szCs w:val="21"/>
                <w:highlight w:val="none"/>
              </w:rPr>
            </w:pPr>
            <w:r>
              <w:rPr>
                <w:rFonts w:hint="eastAsia" w:ascii="宋体" w:hAnsi="宋体" w:cs="宋体"/>
                <w:color w:val="auto"/>
                <w:szCs w:val="21"/>
                <w:highlight w:val="none"/>
              </w:rPr>
              <w:t>（7）未附有招标人不能接受的条件。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720" w:hRule="atLeast"/>
          <w:jc w:val="center"/>
        </w:trPr>
        <w:tc>
          <w:tcPr>
            <w:tcW w:w="1072" w:type="dxa"/>
            <w:tcBorders>
              <w:tl2br w:val="nil"/>
              <w:tr2bl w:val="nil"/>
            </w:tcBorders>
            <w:vAlign w:val="center"/>
          </w:tcPr>
          <w:p>
            <w:pPr>
              <w:spacing w:line="400" w:lineRule="atLeast"/>
              <w:jc w:val="center"/>
              <w:rPr>
                <w:rFonts w:ascii="宋体" w:hAnsi="宋体" w:cs="宋体"/>
                <w:color w:val="auto"/>
                <w:szCs w:val="21"/>
                <w:highlight w:val="none"/>
              </w:rPr>
            </w:pPr>
            <w:r>
              <w:rPr>
                <w:rFonts w:hint="eastAsia" w:ascii="宋体" w:hAnsi="宋体" w:cs="宋体"/>
                <w:color w:val="auto"/>
                <w:szCs w:val="21"/>
                <w:highlight w:val="none"/>
              </w:rPr>
              <w:t>2.1.2</w:t>
            </w:r>
          </w:p>
        </w:tc>
        <w:tc>
          <w:tcPr>
            <w:tcW w:w="1169" w:type="dxa"/>
            <w:gridSpan w:val="2"/>
            <w:tcBorders>
              <w:tl2br w:val="nil"/>
              <w:tr2bl w:val="nil"/>
            </w:tcBorders>
            <w:vAlign w:val="center"/>
          </w:tcPr>
          <w:p>
            <w:pPr>
              <w:spacing w:line="400" w:lineRule="atLeast"/>
              <w:jc w:val="center"/>
              <w:rPr>
                <w:rFonts w:ascii="宋体" w:hAnsi="宋体" w:cs="宋体"/>
                <w:color w:val="auto"/>
                <w:szCs w:val="21"/>
                <w:highlight w:val="none"/>
              </w:rPr>
            </w:pPr>
            <w:r>
              <w:rPr>
                <w:rFonts w:hint="eastAsia" w:ascii="宋体" w:hAnsi="宋体" w:cs="宋体"/>
                <w:color w:val="auto"/>
                <w:szCs w:val="21"/>
                <w:highlight w:val="none"/>
              </w:rPr>
              <w:t>资格评审标准</w:t>
            </w:r>
          </w:p>
        </w:tc>
        <w:tc>
          <w:tcPr>
            <w:tcW w:w="6830" w:type="dxa"/>
            <w:tcBorders>
              <w:tl2br w:val="nil"/>
              <w:tr2bl w:val="nil"/>
            </w:tcBorders>
            <w:vAlign w:val="center"/>
          </w:tcPr>
          <w:p>
            <w:pPr>
              <w:adjustRightInd w:val="0"/>
              <w:rPr>
                <w:rFonts w:ascii="宋体" w:hAnsi="宋体" w:cs="宋体"/>
                <w:color w:val="auto"/>
                <w:szCs w:val="21"/>
                <w:highlight w:val="none"/>
              </w:rPr>
            </w:pPr>
            <w:r>
              <w:rPr>
                <w:rFonts w:hint="eastAsia" w:ascii="宋体" w:hAnsi="宋体" w:cs="宋体"/>
                <w:color w:val="auto"/>
                <w:szCs w:val="21"/>
                <w:highlight w:val="none"/>
              </w:rPr>
              <w:t>（1）投标人具备有效的营业执照、组织机构代码证、资质证书和基本账户开户许可证；</w:t>
            </w:r>
          </w:p>
          <w:p>
            <w:pPr>
              <w:adjustRightInd w:val="0"/>
              <w:rPr>
                <w:rFonts w:ascii="宋体" w:hAnsi="宋体" w:cs="宋体"/>
                <w:color w:val="auto"/>
                <w:szCs w:val="21"/>
                <w:highlight w:val="none"/>
              </w:rPr>
            </w:pPr>
            <w:r>
              <w:rPr>
                <w:rFonts w:hint="eastAsia" w:ascii="宋体" w:hAnsi="宋体" w:cs="宋体"/>
                <w:color w:val="auto"/>
                <w:szCs w:val="21"/>
                <w:highlight w:val="none"/>
              </w:rPr>
              <w:t>（2）投标人的资质等级符合招标文件规定；</w:t>
            </w:r>
          </w:p>
          <w:p>
            <w:pPr>
              <w:adjustRightInd w:val="0"/>
              <w:rPr>
                <w:rFonts w:ascii="宋体" w:hAnsi="宋体" w:cs="宋体"/>
                <w:color w:val="auto"/>
                <w:szCs w:val="21"/>
                <w:highlight w:val="none"/>
              </w:rPr>
            </w:pPr>
            <w:r>
              <w:rPr>
                <w:rFonts w:hint="eastAsia" w:ascii="宋体" w:hAnsi="宋体" w:cs="宋体"/>
                <w:color w:val="auto"/>
                <w:szCs w:val="21"/>
                <w:highlight w:val="none"/>
              </w:rPr>
              <w:t>（3）投标人的类似项目业绩符合招标文件规定；</w:t>
            </w:r>
          </w:p>
          <w:p>
            <w:pPr>
              <w:adjustRightInd w:val="0"/>
              <w:rPr>
                <w:rFonts w:ascii="宋体" w:hAnsi="宋体" w:cs="宋体"/>
                <w:color w:val="auto"/>
                <w:szCs w:val="21"/>
                <w:highlight w:val="none"/>
              </w:rPr>
            </w:pPr>
            <w:r>
              <w:rPr>
                <w:rFonts w:hint="eastAsia" w:ascii="宋体" w:hAnsi="宋体" w:cs="宋体"/>
                <w:color w:val="auto"/>
                <w:szCs w:val="21"/>
                <w:highlight w:val="none"/>
              </w:rPr>
              <w:t>（4）投标人的信誉符合招标文件规定；</w:t>
            </w:r>
          </w:p>
          <w:p>
            <w:pPr>
              <w:adjustRightInd w:val="0"/>
              <w:rPr>
                <w:rFonts w:ascii="宋体" w:hAnsi="宋体" w:cs="宋体"/>
                <w:color w:val="auto"/>
                <w:szCs w:val="21"/>
                <w:highlight w:val="none"/>
              </w:rPr>
            </w:pPr>
            <w:r>
              <w:rPr>
                <w:rFonts w:hint="eastAsia" w:ascii="宋体" w:hAnsi="宋体" w:cs="宋体"/>
                <w:color w:val="auto"/>
                <w:szCs w:val="21"/>
                <w:highlight w:val="none"/>
              </w:rPr>
              <w:t>（5）投标人的主要人员资格符合招标文件规定；</w:t>
            </w:r>
          </w:p>
          <w:p>
            <w:pPr>
              <w:adjustRightInd w:val="0"/>
              <w:rPr>
                <w:rFonts w:ascii="宋体" w:hAnsi="宋体" w:cs="宋体"/>
                <w:color w:val="auto"/>
                <w:szCs w:val="21"/>
                <w:highlight w:val="none"/>
              </w:rPr>
            </w:pPr>
            <w:r>
              <w:rPr>
                <w:rFonts w:hint="eastAsia" w:ascii="宋体" w:hAnsi="宋体" w:cs="宋体"/>
                <w:color w:val="auto"/>
                <w:szCs w:val="21"/>
                <w:highlight w:val="none"/>
              </w:rPr>
              <w:t>（6）投标人拟投入主要试验检测仪器设备符合招标文件规定；</w:t>
            </w:r>
          </w:p>
          <w:p>
            <w:pPr>
              <w:adjustRightInd w:val="0"/>
              <w:rPr>
                <w:rFonts w:ascii="宋体" w:hAnsi="宋体" w:cs="宋体"/>
                <w:color w:val="auto"/>
                <w:szCs w:val="21"/>
                <w:highlight w:val="none"/>
              </w:rPr>
            </w:pPr>
            <w:r>
              <w:rPr>
                <w:rFonts w:hint="eastAsia" w:ascii="宋体" w:hAnsi="宋体" w:cs="宋体"/>
                <w:color w:val="auto"/>
                <w:szCs w:val="21"/>
                <w:highlight w:val="none"/>
              </w:rPr>
              <w:t>（7）投标人不存在第二章“投标人须知”第 1.4.3项或第 1.4.4项规定的任何一种情形；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94" w:hRule="atLeast"/>
          <w:jc w:val="center"/>
        </w:trPr>
        <w:tc>
          <w:tcPr>
            <w:tcW w:w="1078" w:type="dxa"/>
            <w:gridSpan w:val="2"/>
            <w:tcBorders>
              <w:tl2br w:val="nil"/>
              <w:tr2bl w:val="nil"/>
            </w:tcBorders>
            <w:vAlign w:val="center"/>
          </w:tcPr>
          <w:p>
            <w:pPr>
              <w:spacing w:line="288" w:lineRule="auto"/>
              <w:jc w:val="center"/>
              <w:rPr>
                <w:rFonts w:ascii="宋体" w:hAnsi="宋体" w:cs="宋体"/>
                <w:color w:val="auto"/>
                <w:szCs w:val="21"/>
                <w:highlight w:val="none"/>
              </w:rPr>
            </w:pPr>
            <w:r>
              <w:rPr>
                <w:rFonts w:hint="eastAsia" w:ascii="宋体" w:hAnsi="宋体" w:cs="宋体"/>
                <w:color w:val="auto"/>
                <w:szCs w:val="21"/>
                <w:highlight w:val="none"/>
              </w:rPr>
              <w:t>2.2.1</w:t>
            </w:r>
          </w:p>
        </w:tc>
        <w:tc>
          <w:tcPr>
            <w:tcW w:w="1163" w:type="dxa"/>
            <w:tcBorders>
              <w:tl2br w:val="nil"/>
              <w:tr2bl w:val="nil"/>
            </w:tcBorders>
            <w:vAlign w:val="center"/>
          </w:tcPr>
          <w:p>
            <w:pPr>
              <w:adjustRightInd w:val="0"/>
              <w:snapToGrid w:val="0"/>
              <w:jc w:val="center"/>
              <w:rPr>
                <w:rFonts w:ascii="宋体" w:hAnsi="宋体" w:cs="宋体"/>
                <w:color w:val="auto"/>
                <w:szCs w:val="21"/>
                <w:highlight w:val="none"/>
              </w:rPr>
            </w:pPr>
            <w:r>
              <w:rPr>
                <w:rFonts w:hint="eastAsia" w:ascii="宋体" w:hAnsi="宋体" w:cs="宋体"/>
                <w:color w:val="auto"/>
                <w:szCs w:val="21"/>
                <w:highlight w:val="none"/>
              </w:rPr>
              <w:t>分值构成</w:t>
            </w:r>
          </w:p>
          <w:p>
            <w:pPr>
              <w:adjustRightInd w:val="0"/>
              <w:snapToGrid w:val="0"/>
              <w:jc w:val="center"/>
              <w:rPr>
                <w:rFonts w:ascii="宋体" w:hAnsi="宋体" w:cs="宋体"/>
                <w:color w:val="auto"/>
                <w:szCs w:val="21"/>
                <w:highlight w:val="none"/>
              </w:rPr>
            </w:pPr>
            <w:r>
              <w:rPr>
                <w:rFonts w:hint="eastAsia" w:ascii="宋体" w:hAnsi="宋体" w:cs="宋体"/>
                <w:color w:val="auto"/>
                <w:szCs w:val="21"/>
                <w:highlight w:val="none"/>
              </w:rPr>
              <w:t>（总分100分）</w:t>
            </w:r>
          </w:p>
        </w:tc>
        <w:tc>
          <w:tcPr>
            <w:tcW w:w="6830" w:type="dxa"/>
            <w:tcBorders>
              <w:tl2br w:val="nil"/>
              <w:tr2bl w:val="nil"/>
            </w:tcBorders>
            <w:vAlign w:val="center"/>
          </w:tcPr>
          <w:p>
            <w:pPr>
              <w:rPr>
                <w:rFonts w:ascii="宋体" w:hAnsi="宋体" w:cs="宋体"/>
                <w:color w:val="auto"/>
                <w:szCs w:val="21"/>
                <w:highlight w:val="none"/>
              </w:rPr>
            </w:pPr>
            <w:r>
              <w:rPr>
                <w:rFonts w:hint="eastAsia" w:ascii="宋体" w:hAnsi="宋体" w:cs="宋体"/>
                <w:color w:val="auto"/>
                <w:szCs w:val="21"/>
                <w:highlight w:val="none"/>
              </w:rPr>
              <w:t>第一个信封（商务及技术文件）评分分值构成：</w:t>
            </w:r>
          </w:p>
          <w:p>
            <w:pPr>
              <w:snapToGrid w:val="0"/>
              <w:spacing w:line="312" w:lineRule="auto"/>
              <w:rPr>
                <w:rFonts w:ascii="宋体" w:hAnsi="宋体" w:cs="宋体"/>
                <w:color w:val="auto"/>
                <w:szCs w:val="21"/>
                <w:highlight w:val="none"/>
              </w:rPr>
            </w:pPr>
            <w:r>
              <w:rPr>
                <w:rFonts w:hint="eastAsia" w:ascii="宋体" w:hAnsi="宋体" w:cs="宋体"/>
                <w:color w:val="auto"/>
                <w:szCs w:val="21"/>
                <w:highlight w:val="none"/>
              </w:rPr>
              <w:t>技术建议书：</w:t>
            </w:r>
            <w:r>
              <w:rPr>
                <w:rFonts w:hint="eastAsia" w:ascii="宋体" w:hAnsi="宋体" w:cs="宋体"/>
                <w:color w:val="auto"/>
                <w:szCs w:val="21"/>
                <w:highlight w:val="none"/>
                <w:u w:val="single"/>
              </w:rPr>
              <w:t>40</w:t>
            </w:r>
            <w:r>
              <w:rPr>
                <w:rFonts w:hint="eastAsia" w:ascii="宋体" w:hAnsi="宋体" w:cs="宋体"/>
                <w:color w:val="auto"/>
                <w:szCs w:val="21"/>
                <w:highlight w:val="none"/>
              </w:rPr>
              <w:t>分</w:t>
            </w:r>
          </w:p>
          <w:p>
            <w:pPr>
              <w:pStyle w:val="2"/>
              <w:ind w:left="0" w:leftChars="0" w:firstLine="0" w:firstLineChars="0"/>
              <w:rPr>
                <w:color w:val="auto"/>
                <w:highlight w:val="none"/>
              </w:rPr>
            </w:pPr>
            <w:r>
              <w:rPr>
                <w:rFonts w:hint="eastAsia" w:ascii="宋体" w:hAnsi="宋体" w:cs="宋体"/>
                <w:color w:val="auto"/>
                <w:szCs w:val="21"/>
                <w:highlight w:val="none"/>
              </w:rPr>
              <w:t>主要人员：</w:t>
            </w:r>
            <w:r>
              <w:rPr>
                <w:rFonts w:hint="eastAsia" w:ascii="宋体" w:hAnsi="宋体" w:cs="宋体"/>
                <w:color w:val="auto"/>
                <w:szCs w:val="21"/>
                <w:highlight w:val="none"/>
                <w:u w:val="single"/>
              </w:rPr>
              <w:t>15</w:t>
            </w:r>
            <w:r>
              <w:rPr>
                <w:rFonts w:hint="eastAsia" w:ascii="宋体" w:hAnsi="宋体" w:cs="宋体"/>
                <w:color w:val="auto"/>
                <w:szCs w:val="21"/>
                <w:highlight w:val="none"/>
              </w:rPr>
              <w:t>分</w:t>
            </w:r>
          </w:p>
          <w:p>
            <w:pPr>
              <w:snapToGrid w:val="0"/>
              <w:spacing w:line="312" w:lineRule="auto"/>
              <w:rPr>
                <w:rFonts w:ascii="宋体" w:hAnsi="宋体" w:cs="宋体"/>
                <w:color w:val="auto"/>
                <w:szCs w:val="21"/>
                <w:highlight w:val="none"/>
              </w:rPr>
            </w:pPr>
            <w:r>
              <w:rPr>
                <w:rFonts w:hint="eastAsia" w:ascii="宋体" w:hAnsi="宋体" w:cs="宋体"/>
                <w:color w:val="auto"/>
                <w:szCs w:val="21"/>
                <w:highlight w:val="none"/>
              </w:rPr>
              <w:t>业绩：</w:t>
            </w:r>
            <w:r>
              <w:rPr>
                <w:rFonts w:hint="eastAsia" w:ascii="宋体" w:hAnsi="宋体" w:cs="宋体"/>
                <w:color w:val="auto"/>
                <w:szCs w:val="21"/>
                <w:highlight w:val="none"/>
                <w:u w:val="single"/>
              </w:rPr>
              <w:t>20</w:t>
            </w:r>
            <w:r>
              <w:rPr>
                <w:rFonts w:hint="eastAsia" w:ascii="宋体" w:hAnsi="宋体" w:cs="宋体"/>
                <w:color w:val="auto"/>
                <w:szCs w:val="21"/>
                <w:highlight w:val="none"/>
              </w:rPr>
              <w:t>分</w:t>
            </w:r>
          </w:p>
          <w:p>
            <w:pPr>
              <w:pStyle w:val="2"/>
              <w:ind w:left="0" w:leftChars="0" w:firstLine="0" w:firstLineChars="0"/>
              <w:rPr>
                <w:color w:val="auto"/>
                <w:highlight w:val="none"/>
              </w:rPr>
            </w:pPr>
            <w:r>
              <w:rPr>
                <w:color w:val="auto"/>
                <w:highlight w:val="none"/>
              </w:rPr>
              <w:t>履约信誉</w:t>
            </w:r>
            <w:r>
              <w:rPr>
                <w:rFonts w:hint="eastAsia" w:ascii="宋体" w:hAnsi="宋体" w:cs="宋体"/>
                <w:color w:val="auto"/>
                <w:szCs w:val="21"/>
                <w:highlight w:val="none"/>
              </w:rPr>
              <w:t>：</w:t>
            </w:r>
            <w:r>
              <w:rPr>
                <w:rFonts w:hint="eastAsia" w:ascii="宋体" w:hAnsi="宋体" w:cs="宋体"/>
                <w:color w:val="auto"/>
                <w:szCs w:val="21"/>
                <w:highlight w:val="none"/>
                <w:u w:val="single"/>
              </w:rPr>
              <w:t>5</w:t>
            </w:r>
            <w:r>
              <w:rPr>
                <w:rFonts w:hint="eastAsia" w:ascii="宋体" w:hAnsi="宋体" w:cs="宋体"/>
                <w:color w:val="auto"/>
                <w:szCs w:val="21"/>
                <w:highlight w:val="none"/>
              </w:rPr>
              <w:t>分</w:t>
            </w:r>
          </w:p>
          <w:p>
            <w:pPr>
              <w:rPr>
                <w:rFonts w:ascii="宋体" w:hAnsi="宋体" w:cs="宋体"/>
                <w:color w:val="auto"/>
                <w:szCs w:val="21"/>
                <w:highlight w:val="none"/>
              </w:rPr>
            </w:pPr>
            <w:r>
              <w:rPr>
                <w:rFonts w:hint="eastAsia" w:ascii="宋体" w:hAnsi="宋体" w:cs="宋体"/>
                <w:color w:val="auto"/>
                <w:szCs w:val="21"/>
                <w:highlight w:val="none"/>
              </w:rPr>
              <w:t>第二个信封（报价文件）评分分值构成：</w:t>
            </w:r>
          </w:p>
          <w:p>
            <w:pPr>
              <w:spacing w:line="288" w:lineRule="auto"/>
              <w:rPr>
                <w:rFonts w:ascii="宋体" w:hAnsi="宋体" w:cs="宋体"/>
                <w:color w:val="auto"/>
                <w:szCs w:val="21"/>
                <w:highlight w:val="none"/>
              </w:rPr>
            </w:pPr>
            <w:r>
              <w:rPr>
                <w:rFonts w:hint="eastAsia" w:ascii="宋体" w:hAnsi="宋体" w:cs="宋体"/>
                <w:color w:val="auto"/>
                <w:szCs w:val="21"/>
                <w:highlight w:val="none"/>
              </w:rPr>
              <w:t>评标价：</w:t>
            </w:r>
            <w:r>
              <w:rPr>
                <w:rFonts w:hint="eastAsia" w:ascii="宋体" w:hAnsi="宋体" w:cs="宋体"/>
                <w:color w:val="auto"/>
                <w:szCs w:val="21"/>
                <w:highlight w:val="none"/>
                <w:u w:val="single"/>
              </w:rPr>
              <w:t>20</w:t>
            </w:r>
            <w:r>
              <w:rPr>
                <w:rFonts w:hint="eastAsia" w:ascii="宋体" w:hAnsi="宋体" w:cs="宋体"/>
                <w:color w:val="auto"/>
                <w:szCs w:val="21"/>
                <w:highlight w:val="none"/>
              </w:rPr>
              <w:t>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92" w:hRule="atLeast"/>
          <w:jc w:val="center"/>
        </w:trPr>
        <w:tc>
          <w:tcPr>
            <w:tcW w:w="1078" w:type="dxa"/>
            <w:gridSpan w:val="2"/>
            <w:tcBorders>
              <w:tl2br w:val="nil"/>
              <w:tr2bl w:val="nil"/>
            </w:tcBorders>
            <w:vAlign w:val="center"/>
          </w:tcPr>
          <w:p>
            <w:pPr>
              <w:spacing w:line="400" w:lineRule="atLeast"/>
              <w:jc w:val="center"/>
              <w:rPr>
                <w:rFonts w:ascii="宋体" w:hAnsi="宋体" w:cs="宋体"/>
                <w:color w:val="auto"/>
                <w:szCs w:val="21"/>
                <w:highlight w:val="none"/>
              </w:rPr>
            </w:pPr>
            <w:r>
              <w:rPr>
                <w:rFonts w:hint="eastAsia" w:ascii="宋体" w:hAnsi="宋体" w:cs="宋体"/>
                <w:color w:val="auto"/>
                <w:szCs w:val="21"/>
                <w:highlight w:val="none"/>
              </w:rPr>
              <w:t>2.2.2</w:t>
            </w:r>
          </w:p>
        </w:tc>
        <w:tc>
          <w:tcPr>
            <w:tcW w:w="1163" w:type="dxa"/>
            <w:tcBorders>
              <w:tl2br w:val="nil"/>
              <w:tr2bl w:val="nil"/>
            </w:tcBorders>
            <w:vAlign w:val="center"/>
          </w:tcPr>
          <w:p>
            <w:pPr>
              <w:adjustRightInd w:val="0"/>
              <w:snapToGrid w:val="0"/>
              <w:jc w:val="center"/>
              <w:rPr>
                <w:rFonts w:ascii="宋体" w:hAnsi="宋体" w:cs="宋体"/>
                <w:color w:val="auto"/>
                <w:szCs w:val="21"/>
                <w:highlight w:val="none"/>
              </w:rPr>
            </w:pPr>
            <w:r>
              <w:rPr>
                <w:rFonts w:hint="eastAsia" w:ascii="宋体" w:hAnsi="宋体" w:cs="宋体"/>
                <w:color w:val="auto"/>
                <w:szCs w:val="21"/>
                <w:highlight w:val="none"/>
              </w:rPr>
              <w:t>评标基准价</w:t>
            </w:r>
          </w:p>
          <w:p>
            <w:pPr>
              <w:adjustRightInd w:val="0"/>
              <w:snapToGrid w:val="0"/>
              <w:jc w:val="center"/>
              <w:rPr>
                <w:rFonts w:ascii="宋体" w:hAnsi="宋体" w:cs="宋体"/>
                <w:color w:val="auto"/>
                <w:szCs w:val="21"/>
                <w:highlight w:val="none"/>
              </w:rPr>
            </w:pPr>
            <w:r>
              <w:rPr>
                <w:rFonts w:hint="eastAsia" w:ascii="宋体" w:hAnsi="宋体" w:cs="宋体"/>
                <w:color w:val="auto"/>
                <w:szCs w:val="21"/>
                <w:highlight w:val="none"/>
              </w:rPr>
              <w:t>计算方法</w:t>
            </w:r>
          </w:p>
        </w:tc>
        <w:tc>
          <w:tcPr>
            <w:tcW w:w="6830" w:type="dxa"/>
            <w:tcBorders>
              <w:tl2br w:val="nil"/>
              <w:tr2bl w:val="nil"/>
            </w:tcBorders>
            <w:vAlign w:val="center"/>
          </w:tcPr>
          <w:p>
            <w:pPr>
              <w:spacing w:line="276" w:lineRule="auto"/>
              <w:ind w:left="113" w:right="113" w:firstLine="210" w:firstLineChars="100"/>
              <w:rPr>
                <w:rFonts w:ascii="宋体" w:hAnsi="宋体" w:cs="宋体"/>
                <w:color w:val="auto"/>
                <w:szCs w:val="21"/>
                <w:highlight w:val="none"/>
              </w:rPr>
            </w:pPr>
            <w:r>
              <w:rPr>
                <w:rFonts w:hint="eastAsia" w:ascii="宋体" w:hAnsi="宋体" w:cs="宋体"/>
                <w:color w:val="auto"/>
                <w:szCs w:val="21"/>
                <w:highlight w:val="none"/>
              </w:rPr>
              <w:t>评标基准价的计算：</w:t>
            </w:r>
          </w:p>
          <w:p>
            <w:pPr>
              <w:spacing w:line="276" w:lineRule="auto"/>
              <w:ind w:left="113" w:right="113" w:firstLine="210" w:firstLineChars="100"/>
              <w:rPr>
                <w:rFonts w:ascii="宋体" w:hAnsi="宋体" w:cs="宋体"/>
                <w:color w:val="auto"/>
                <w:szCs w:val="21"/>
                <w:highlight w:val="none"/>
              </w:rPr>
            </w:pPr>
            <w:r>
              <w:rPr>
                <w:rFonts w:hint="eastAsia" w:ascii="宋体" w:hAnsi="宋体" w:cs="宋体"/>
                <w:color w:val="auto"/>
                <w:szCs w:val="21"/>
                <w:highlight w:val="none"/>
              </w:rPr>
              <w:t>（1）评标价的确定：</w:t>
            </w:r>
          </w:p>
          <w:p>
            <w:pPr>
              <w:spacing w:line="276" w:lineRule="auto"/>
              <w:ind w:left="113" w:right="113" w:firstLine="210" w:firstLineChars="100"/>
              <w:rPr>
                <w:rFonts w:ascii="宋体" w:hAnsi="宋体" w:cs="宋体"/>
                <w:color w:val="auto"/>
                <w:szCs w:val="21"/>
                <w:highlight w:val="none"/>
              </w:rPr>
            </w:pPr>
            <w:r>
              <w:rPr>
                <w:rFonts w:hint="eastAsia" w:ascii="宋体" w:hAnsi="宋体" w:cs="宋体"/>
                <w:color w:val="auto"/>
                <w:szCs w:val="21"/>
                <w:highlight w:val="none"/>
              </w:rPr>
              <w:t>评标价=投标函文字报价</w:t>
            </w:r>
          </w:p>
          <w:p>
            <w:pPr>
              <w:spacing w:line="276" w:lineRule="auto"/>
              <w:ind w:left="113" w:right="113" w:firstLine="210" w:firstLineChars="100"/>
              <w:rPr>
                <w:rFonts w:ascii="宋体" w:hAnsi="宋体" w:cs="宋体"/>
                <w:color w:val="auto"/>
                <w:szCs w:val="21"/>
                <w:highlight w:val="none"/>
              </w:rPr>
            </w:pPr>
            <w:r>
              <w:rPr>
                <w:rFonts w:hint="eastAsia" w:ascii="宋体" w:hAnsi="宋体" w:cs="宋体"/>
                <w:color w:val="auto"/>
                <w:szCs w:val="21"/>
                <w:highlight w:val="none"/>
              </w:rPr>
              <w:t>（2）评标基准价的确定：</w:t>
            </w:r>
          </w:p>
          <w:p>
            <w:pPr>
              <w:spacing w:line="276" w:lineRule="auto"/>
              <w:ind w:left="113" w:right="113" w:firstLine="210" w:firstLineChars="100"/>
              <w:rPr>
                <w:rFonts w:ascii="宋体" w:hAnsi="宋体" w:cs="宋体"/>
                <w:color w:val="auto"/>
                <w:szCs w:val="21"/>
                <w:highlight w:val="none"/>
              </w:rPr>
            </w:pPr>
            <w:r>
              <w:rPr>
                <w:rFonts w:hint="eastAsia" w:ascii="宋体" w:hAnsi="宋体" w:cs="宋体"/>
                <w:color w:val="auto"/>
                <w:szCs w:val="21"/>
                <w:highlight w:val="none"/>
              </w:rPr>
              <w:t>评标基准价等于所有通过第二个信封（报价文件）评审的投标人的评标价的算术平均值。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078" w:type="dxa"/>
            <w:gridSpan w:val="2"/>
            <w:tcBorders>
              <w:tl2br w:val="nil"/>
              <w:tr2bl w:val="nil"/>
            </w:tcBorders>
            <w:vAlign w:val="center"/>
          </w:tcPr>
          <w:p>
            <w:pPr>
              <w:snapToGrid w:val="0"/>
              <w:spacing w:line="312" w:lineRule="auto"/>
              <w:jc w:val="center"/>
              <w:rPr>
                <w:rFonts w:ascii="宋体" w:hAnsi="宋体" w:cs="宋体"/>
                <w:color w:val="auto"/>
                <w:szCs w:val="21"/>
                <w:highlight w:val="none"/>
              </w:rPr>
            </w:pPr>
            <w:r>
              <w:rPr>
                <w:rFonts w:hint="eastAsia" w:ascii="宋体" w:hAnsi="宋体" w:cs="宋体"/>
                <w:color w:val="auto"/>
                <w:szCs w:val="21"/>
                <w:highlight w:val="none"/>
              </w:rPr>
              <w:t>2.2.3</w:t>
            </w:r>
          </w:p>
        </w:tc>
        <w:tc>
          <w:tcPr>
            <w:tcW w:w="1163" w:type="dxa"/>
            <w:tcBorders>
              <w:tl2br w:val="nil"/>
              <w:tr2bl w:val="nil"/>
            </w:tcBorders>
            <w:vAlign w:val="center"/>
          </w:tcPr>
          <w:p>
            <w:pPr>
              <w:adjustRightInd w:val="0"/>
              <w:snapToGrid w:val="0"/>
              <w:jc w:val="center"/>
              <w:rPr>
                <w:rFonts w:ascii="宋体" w:hAnsi="宋体" w:cs="宋体"/>
                <w:color w:val="auto"/>
                <w:szCs w:val="21"/>
                <w:highlight w:val="none"/>
              </w:rPr>
            </w:pPr>
            <w:r>
              <w:rPr>
                <w:rFonts w:hint="eastAsia" w:ascii="宋体" w:hAnsi="宋体" w:cs="宋体"/>
                <w:color w:val="auto"/>
                <w:szCs w:val="21"/>
                <w:highlight w:val="none"/>
              </w:rPr>
              <w:t>评标价的偏差率计算公式</w:t>
            </w:r>
          </w:p>
        </w:tc>
        <w:tc>
          <w:tcPr>
            <w:tcW w:w="6830" w:type="dxa"/>
            <w:tcBorders>
              <w:tl2br w:val="nil"/>
              <w:tr2bl w:val="nil"/>
            </w:tcBorders>
            <w:vAlign w:val="center"/>
          </w:tcPr>
          <w:p>
            <w:pPr>
              <w:snapToGrid w:val="0"/>
              <w:spacing w:line="312" w:lineRule="auto"/>
              <w:rPr>
                <w:rFonts w:ascii="宋体" w:hAnsi="宋体" w:cs="宋体"/>
                <w:color w:val="auto"/>
                <w:szCs w:val="21"/>
                <w:highlight w:val="none"/>
              </w:rPr>
            </w:pPr>
            <w:r>
              <w:rPr>
                <w:rFonts w:hint="eastAsia" w:ascii="宋体" w:hAnsi="宋体" w:cs="宋体"/>
                <w:color w:val="auto"/>
                <w:szCs w:val="21"/>
                <w:highlight w:val="none"/>
              </w:rPr>
              <w:t>偏差率=（评标价-评标基准价）/评标基准价*100%</w:t>
            </w:r>
          </w:p>
        </w:tc>
      </w:tr>
    </w:tbl>
    <w:p>
      <w:pPr>
        <w:spacing w:line="400" w:lineRule="atLeast"/>
        <w:rPr>
          <w:rFonts w:eastAsia="黑体"/>
          <w:color w:val="auto"/>
          <w:sz w:val="30"/>
          <w:szCs w:val="30"/>
          <w:highlight w:val="none"/>
        </w:rPr>
      </w:pPr>
      <w:r>
        <w:rPr>
          <w:rFonts w:eastAsia="黑体"/>
          <w:color w:val="auto"/>
          <w:sz w:val="30"/>
          <w:szCs w:val="30"/>
          <w:highlight w:val="none"/>
        </w:rPr>
        <w:br w:type="page"/>
      </w:r>
    </w:p>
    <w:tbl>
      <w:tblPr>
        <w:tblStyle w:val="6"/>
        <w:tblW w:w="907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53"/>
        <w:gridCol w:w="12"/>
        <w:gridCol w:w="709"/>
        <w:gridCol w:w="425"/>
        <w:gridCol w:w="709"/>
        <w:gridCol w:w="28"/>
        <w:gridCol w:w="993"/>
        <w:gridCol w:w="992"/>
        <w:gridCol w:w="425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5" w:hRule="atLeast"/>
          <w:tblHeader/>
          <w:jc w:val="center"/>
        </w:trPr>
        <w:tc>
          <w:tcPr>
            <w:tcW w:w="4821" w:type="dxa"/>
            <w:gridSpan w:val="8"/>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评分因素与权重分值</w:t>
            </w:r>
          </w:p>
        </w:tc>
        <w:tc>
          <w:tcPr>
            <w:tcW w:w="4250" w:type="dxa"/>
            <w:vMerge w:val="restart"/>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评分标准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4" w:hRule="atLeast"/>
          <w:tblHeader/>
          <w:jc w:val="center"/>
        </w:trPr>
        <w:tc>
          <w:tcPr>
            <w:tcW w:w="953" w:type="dxa"/>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条款号</w:t>
            </w:r>
          </w:p>
        </w:tc>
        <w:tc>
          <w:tcPr>
            <w:tcW w:w="1146" w:type="dxa"/>
            <w:gridSpan w:val="3"/>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评分因素</w:t>
            </w:r>
          </w:p>
        </w:tc>
        <w:tc>
          <w:tcPr>
            <w:tcW w:w="737" w:type="dxa"/>
            <w:gridSpan w:val="2"/>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评分因素</w:t>
            </w:r>
          </w:p>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权重分值</w:t>
            </w:r>
          </w:p>
        </w:tc>
        <w:tc>
          <w:tcPr>
            <w:tcW w:w="993" w:type="dxa"/>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各评分因素细分项</w:t>
            </w:r>
          </w:p>
        </w:tc>
        <w:tc>
          <w:tcPr>
            <w:tcW w:w="992" w:type="dxa"/>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分值</w:t>
            </w:r>
          </w:p>
        </w:tc>
        <w:tc>
          <w:tcPr>
            <w:tcW w:w="4250" w:type="dxa"/>
            <w:vMerge w:val="continue"/>
            <w:vAlign w:val="center"/>
          </w:tcPr>
          <w:p>
            <w:pPr>
              <w:spacing w:line="276" w:lineRule="auto"/>
              <w:jc w:val="center"/>
              <w:rPr>
                <w:rFonts w:ascii="宋体" w:hAnsi="宋体" w:cs="宋体"/>
                <w:bCs/>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4" w:hRule="atLeast"/>
          <w:jc w:val="center"/>
        </w:trPr>
        <w:tc>
          <w:tcPr>
            <w:tcW w:w="953" w:type="dxa"/>
            <w:vMerge w:val="restart"/>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2.2.4（1）</w:t>
            </w:r>
          </w:p>
        </w:tc>
        <w:tc>
          <w:tcPr>
            <w:tcW w:w="1146" w:type="dxa"/>
            <w:gridSpan w:val="3"/>
            <w:vMerge w:val="restart"/>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技术建议书</w:t>
            </w:r>
          </w:p>
        </w:tc>
        <w:tc>
          <w:tcPr>
            <w:tcW w:w="737" w:type="dxa"/>
            <w:gridSpan w:val="2"/>
            <w:vMerge w:val="restart"/>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u w:val="single"/>
              </w:rPr>
              <w:t>40</w:t>
            </w:r>
            <w:r>
              <w:rPr>
                <w:rFonts w:hint="eastAsia" w:ascii="宋体" w:hAnsi="宋体" w:cs="宋体"/>
                <w:bCs/>
                <w:color w:val="auto"/>
                <w:szCs w:val="21"/>
                <w:highlight w:val="none"/>
              </w:rPr>
              <w:t>分</w:t>
            </w:r>
          </w:p>
        </w:tc>
        <w:tc>
          <w:tcPr>
            <w:tcW w:w="993" w:type="dxa"/>
            <w:vAlign w:val="center"/>
          </w:tcPr>
          <w:p>
            <w:pPr>
              <w:ind w:right="113"/>
              <w:jc w:val="center"/>
              <w:rPr>
                <w:rFonts w:ascii="宋体" w:hAnsi="宋体" w:cs="宋体"/>
                <w:bCs/>
                <w:color w:val="auto"/>
                <w:szCs w:val="21"/>
                <w:highlight w:val="none"/>
              </w:rPr>
            </w:pPr>
            <w:r>
              <w:rPr>
                <w:rFonts w:hint="eastAsia"/>
                <w:color w:val="auto"/>
                <w:sz w:val="22"/>
                <w:szCs w:val="20"/>
                <w:highlight w:val="none"/>
              </w:rPr>
              <w:t>检测大纲和措施</w:t>
            </w:r>
          </w:p>
        </w:tc>
        <w:tc>
          <w:tcPr>
            <w:tcW w:w="992" w:type="dxa"/>
            <w:vAlign w:val="center"/>
          </w:tcPr>
          <w:p>
            <w:pPr>
              <w:jc w:val="center"/>
              <w:rPr>
                <w:rFonts w:ascii="宋体" w:hAnsi="宋体" w:cs="宋体"/>
                <w:bCs/>
                <w:color w:val="auto"/>
                <w:szCs w:val="21"/>
                <w:highlight w:val="none"/>
              </w:rPr>
            </w:pPr>
            <w:r>
              <w:rPr>
                <w:color w:val="auto"/>
                <w:sz w:val="22"/>
                <w:szCs w:val="21"/>
                <w:highlight w:val="none"/>
                <w:u w:val="single"/>
              </w:rPr>
              <w:t>20</w:t>
            </w:r>
            <w:r>
              <w:rPr>
                <w:color w:val="auto"/>
                <w:sz w:val="22"/>
                <w:szCs w:val="21"/>
                <w:highlight w:val="none"/>
              </w:rPr>
              <w:t>分</w:t>
            </w:r>
          </w:p>
        </w:tc>
        <w:tc>
          <w:tcPr>
            <w:tcW w:w="4250" w:type="dxa"/>
            <w:vAlign w:val="center"/>
          </w:tcPr>
          <w:p>
            <w:pPr>
              <w:jc w:val="left"/>
              <w:rPr>
                <w:rFonts w:ascii="宋体" w:hAnsi="宋体" w:cs="宋体"/>
                <w:bCs/>
                <w:color w:val="auto"/>
                <w:szCs w:val="21"/>
                <w:highlight w:val="none"/>
              </w:rPr>
            </w:pPr>
            <w:r>
              <w:rPr>
                <w:rFonts w:hint="eastAsia"/>
                <w:color w:val="auto"/>
                <w:sz w:val="22"/>
                <w:szCs w:val="20"/>
                <w:highlight w:val="none"/>
              </w:rPr>
              <w:t>检测大纲内容齐全合理，得18分；检测技术先进、方案有针对性，</w:t>
            </w:r>
            <w:r>
              <w:rPr>
                <w:color w:val="auto"/>
                <w:sz w:val="22"/>
                <w:szCs w:val="20"/>
                <w:highlight w:val="none"/>
              </w:rPr>
              <w:t>加0~2分</w:t>
            </w:r>
            <w:r>
              <w:rPr>
                <w:rFonts w:hint="eastAsia"/>
                <w:color w:val="auto"/>
                <w:sz w:val="22"/>
                <w:szCs w:val="20"/>
                <w:highlight w:val="none"/>
              </w:rPr>
              <w:t>；本项应载明各检测人员职责分工，各检测人员进、出场计划安排，且应与项目总工期相适应。</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4" w:hRule="atLeast"/>
          <w:jc w:val="center"/>
        </w:trPr>
        <w:tc>
          <w:tcPr>
            <w:tcW w:w="953" w:type="dxa"/>
            <w:vMerge w:val="continue"/>
            <w:vAlign w:val="center"/>
          </w:tcPr>
          <w:p>
            <w:pPr>
              <w:spacing w:line="276" w:lineRule="auto"/>
              <w:jc w:val="center"/>
              <w:rPr>
                <w:rFonts w:ascii="宋体" w:hAnsi="宋体" w:cs="宋体"/>
                <w:bCs/>
                <w:color w:val="auto"/>
                <w:szCs w:val="21"/>
                <w:highlight w:val="none"/>
              </w:rPr>
            </w:pPr>
          </w:p>
        </w:tc>
        <w:tc>
          <w:tcPr>
            <w:tcW w:w="1146" w:type="dxa"/>
            <w:gridSpan w:val="3"/>
            <w:vMerge w:val="continue"/>
            <w:vAlign w:val="center"/>
          </w:tcPr>
          <w:p>
            <w:pPr>
              <w:spacing w:line="276" w:lineRule="auto"/>
              <w:jc w:val="center"/>
              <w:rPr>
                <w:rFonts w:ascii="宋体" w:hAnsi="宋体" w:cs="宋体"/>
                <w:bCs/>
                <w:color w:val="auto"/>
                <w:szCs w:val="21"/>
                <w:highlight w:val="none"/>
              </w:rPr>
            </w:pPr>
          </w:p>
        </w:tc>
        <w:tc>
          <w:tcPr>
            <w:tcW w:w="737" w:type="dxa"/>
            <w:gridSpan w:val="2"/>
            <w:vMerge w:val="continue"/>
            <w:vAlign w:val="center"/>
          </w:tcPr>
          <w:p>
            <w:pPr>
              <w:spacing w:line="276" w:lineRule="auto"/>
              <w:jc w:val="center"/>
              <w:rPr>
                <w:rFonts w:ascii="宋体" w:hAnsi="宋体" w:cs="宋体"/>
                <w:bCs/>
                <w:color w:val="auto"/>
                <w:szCs w:val="21"/>
                <w:highlight w:val="none"/>
                <w:u w:val="single"/>
              </w:rPr>
            </w:pPr>
          </w:p>
        </w:tc>
        <w:tc>
          <w:tcPr>
            <w:tcW w:w="993" w:type="dxa"/>
            <w:vAlign w:val="center"/>
          </w:tcPr>
          <w:p>
            <w:pPr>
              <w:ind w:right="113"/>
              <w:jc w:val="center"/>
              <w:rPr>
                <w:color w:val="auto"/>
                <w:sz w:val="22"/>
                <w:szCs w:val="21"/>
                <w:highlight w:val="none"/>
              </w:rPr>
            </w:pPr>
            <w:r>
              <w:rPr>
                <w:rFonts w:hint="eastAsia"/>
                <w:color w:val="auto"/>
                <w:sz w:val="22"/>
                <w:szCs w:val="21"/>
                <w:highlight w:val="none"/>
              </w:rPr>
              <w:t>本工程重点与</w:t>
            </w:r>
          </w:p>
          <w:p>
            <w:pPr>
              <w:ind w:right="113"/>
              <w:jc w:val="center"/>
              <w:rPr>
                <w:color w:val="auto"/>
                <w:szCs w:val="21"/>
                <w:highlight w:val="none"/>
              </w:rPr>
            </w:pPr>
            <w:r>
              <w:rPr>
                <w:rFonts w:hint="eastAsia"/>
                <w:color w:val="auto"/>
                <w:sz w:val="22"/>
                <w:szCs w:val="21"/>
                <w:highlight w:val="none"/>
              </w:rPr>
              <w:t>难点分析</w:t>
            </w:r>
          </w:p>
        </w:tc>
        <w:tc>
          <w:tcPr>
            <w:tcW w:w="992" w:type="dxa"/>
            <w:vAlign w:val="center"/>
          </w:tcPr>
          <w:p>
            <w:pPr>
              <w:jc w:val="center"/>
              <w:rPr>
                <w:color w:val="auto"/>
                <w:szCs w:val="21"/>
                <w:highlight w:val="none"/>
              </w:rPr>
            </w:pPr>
            <w:r>
              <w:rPr>
                <w:color w:val="auto"/>
                <w:sz w:val="22"/>
                <w:szCs w:val="21"/>
                <w:highlight w:val="none"/>
                <w:u w:val="single"/>
              </w:rPr>
              <w:t>10</w:t>
            </w:r>
            <w:r>
              <w:rPr>
                <w:color w:val="auto"/>
                <w:sz w:val="22"/>
                <w:szCs w:val="21"/>
                <w:highlight w:val="none"/>
              </w:rPr>
              <w:t>分</w:t>
            </w:r>
          </w:p>
        </w:tc>
        <w:tc>
          <w:tcPr>
            <w:tcW w:w="4250" w:type="dxa"/>
            <w:vAlign w:val="center"/>
          </w:tcPr>
          <w:p>
            <w:pPr>
              <w:jc w:val="left"/>
              <w:rPr>
                <w:color w:val="auto"/>
                <w:szCs w:val="21"/>
                <w:highlight w:val="none"/>
              </w:rPr>
            </w:pPr>
            <w:r>
              <w:rPr>
                <w:rFonts w:hint="eastAsia"/>
                <w:color w:val="auto"/>
                <w:sz w:val="22"/>
                <w:szCs w:val="20"/>
                <w:highlight w:val="none"/>
              </w:rPr>
              <w:t>重点、难点分析合理，得</w:t>
            </w:r>
            <w:r>
              <w:rPr>
                <w:color w:val="auto"/>
                <w:sz w:val="22"/>
                <w:szCs w:val="20"/>
                <w:highlight w:val="none"/>
              </w:rPr>
              <w:t>6</w:t>
            </w:r>
            <w:r>
              <w:rPr>
                <w:rFonts w:hint="eastAsia"/>
                <w:color w:val="auto"/>
                <w:sz w:val="22"/>
                <w:szCs w:val="20"/>
                <w:highlight w:val="none"/>
              </w:rPr>
              <w:t>分；重点及难点分析与对策恰当、可行，</w:t>
            </w:r>
            <w:r>
              <w:rPr>
                <w:color w:val="auto"/>
                <w:sz w:val="22"/>
                <w:szCs w:val="20"/>
                <w:highlight w:val="none"/>
              </w:rPr>
              <w:t>加0~4分。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4" w:hRule="atLeast"/>
          <w:jc w:val="center"/>
        </w:trPr>
        <w:tc>
          <w:tcPr>
            <w:tcW w:w="953" w:type="dxa"/>
            <w:vMerge w:val="continue"/>
            <w:vAlign w:val="center"/>
          </w:tcPr>
          <w:p>
            <w:pPr>
              <w:spacing w:line="276" w:lineRule="auto"/>
              <w:jc w:val="center"/>
              <w:rPr>
                <w:rFonts w:ascii="宋体" w:hAnsi="宋体" w:cs="宋体"/>
                <w:bCs/>
                <w:color w:val="auto"/>
                <w:szCs w:val="21"/>
                <w:highlight w:val="none"/>
              </w:rPr>
            </w:pPr>
          </w:p>
        </w:tc>
        <w:tc>
          <w:tcPr>
            <w:tcW w:w="1146" w:type="dxa"/>
            <w:gridSpan w:val="3"/>
            <w:vMerge w:val="continue"/>
            <w:vAlign w:val="center"/>
          </w:tcPr>
          <w:p>
            <w:pPr>
              <w:spacing w:line="276" w:lineRule="auto"/>
              <w:jc w:val="center"/>
              <w:rPr>
                <w:rFonts w:ascii="宋体" w:hAnsi="宋体" w:cs="宋体"/>
                <w:bCs/>
                <w:color w:val="auto"/>
                <w:szCs w:val="21"/>
                <w:highlight w:val="none"/>
              </w:rPr>
            </w:pPr>
          </w:p>
        </w:tc>
        <w:tc>
          <w:tcPr>
            <w:tcW w:w="737" w:type="dxa"/>
            <w:gridSpan w:val="2"/>
            <w:vMerge w:val="continue"/>
            <w:vAlign w:val="center"/>
          </w:tcPr>
          <w:p>
            <w:pPr>
              <w:spacing w:line="276" w:lineRule="auto"/>
              <w:jc w:val="center"/>
              <w:rPr>
                <w:rFonts w:ascii="宋体" w:hAnsi="宋体" w:cs="宋体"/>
                <w:bCs/>
                <w:color w:val="auto"/>
                <w:szCs w:val="21"/>
                <w:highlight w:val="none"/>
                <w:u w:val="single"/>
              </w:rPr>
            </w:pPr>
          </w:p>
        </w:tc>
        <w:tc>
          <w:tcPr>
            <w:tcW w:w="993" w:type="dxa"/>
            <w:vAlign w:val="center"/>
          </w:tcPr>
          <w:p>
            <w:pPr>
              <w:ind w:right="113"/>
              <w:jc w:val="center"/>
              <w:rPr>
                <w:rFonts w:ascii="宋体" w:hAnsi="宋体" w:cs="宋体"/>
                <w:bCs/>
                <w:color w:val="auto"/>
                <w:szCs w:val="21"/>
                <w:highlight w:val="none"/>
              </w:rPr>
            </w:pPr>
            <w:r>
              <w:rPr>
                <w:rFonts w:hint="eastAsia"/>
                <w:color w:val="auto"/>
                <w:sz w:val="22"/>
                <w:szCs w:val="21"/>
                <w:highlight w:val="none"/>
              </w:rPr>
              <w:t>对本工程的建议</w:t>
            </w:r>
          </w:p>
        </w:tc>
        <w:tc>
          <w:tcPr>
            <w:tcW w:w="992" w:type="dxa"/>
            <w:vAlign w:val="center"/>
          </w:tcPr>
          <w:p>
            <w:pPr>
              <w:jc w:val="center"/>
              <w:rPr>
                <w:rFonts w:ascii="宋体" w:hAnsi="宋体" w:cs="宋体"/>
                <w:bCs/>
                <w:color w:val="auto"/>
                <w:szCs w:val="21"/>
                <w:highlight w:val="none"/>
              </w:rPr>
            </w:pPr>
            <w:r>
              <w:rPr>
                <w:color w:val="auto"/>
                <w:sz w:val="22"/>
                <w:szCs w:val="21"/>
                <w:highlight w:val="none"/>
                <w:u w:val="single"/>
              </w:rPr>
              <w:t>10</w:t>
            </w:r>
            <w:r>
              <w:rPr>
                <w:color w:val="auto"/>
                <w:sz w:val="22"/>
                <w:szCs w:val="21"/>
                <w:highlight w:val="none"/>
              </w:rPr>
              <w:t>分</w:t>
            </w:r>
          </w:p>
        </w:tc>
        <w:tc>
          <w:tcPr>
            <w:tcW w:w="4250" w:type="dxa"/>
            <w:vAlign w:val="center"/>
          </w:tcPr>
          <w:p>
            <w:pPr>
              <w:jc w:val="left"/>
              <w:rPr>
                <w:rFonts w:ascii="宋体" w:hAnsi="宋体" w:cs="宋体"/>
                <w:bCs/>
                <w:color w:val="auto"/>
                <w:szCs w:val="21"/>
                <w:highlight w:val="none"/>
              </w:rPr>
            </w:pPr>
            <w:r>
              <w:rPr>
                <w:rFonts w:hint="eastAsia"/>
                <w:color w:val="auto"/>
                <w:sz w:val="22"/>
                <w:szCs w:val="20"/>
                <w:highlight w:val="none"/>
              </w:rPr>
              <w:t>对本项目试验检测及工程管理等方面建议合理可行，得8分；对本项目理解较深，有针对性和有指导意义，</w:t>
            </w:r>
            <w:r>
              <w:rPr>
                <w:color w:val="auto"/>
                <w:sz w:val="22"/>
                <w:szCs w:val="20"/>
                <w:highlight w:val="none"/>
              </w:rPr>
              <w:t>加0~2分</w:t>
            </w:r>
            <w:r>
              <w:rPr>
                <w:rFonts w:hint="eastAsia"/>
                <w:color w:val="auto"/>
                <w:sz w:val="22"/>
                <w:szCs w:val="20"/>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4" w:hRule="atLeast"/>
          <w:jc w:val="center"/>
        </w:trPr>
        <w:tc>
          <w:tcPr>
            <w:tcW w:w="953" w:type="dxa"/>
            <w:vAlign w:val="center"/>
          </w:tcPr>
          <w:p>
            <w:pPr>
              <w:jc w:val="center"/>
              <w:rPr>
                <w:rFonts w:ascii="宋体" w:hAnsi="宋体" w:cs="宋体"/>
                <w:bCs/>
                <w:color w:val="auto"/>
                <w:szCs w:val="21"/>
                <w:highlight w:val="none"/>
              </w:rPr>
            </w:pPr>
            <w:r>
              <w:rPr>
                <w:color w:val="auto"/>
                <w:sz w:val="22"/>
                <w:szCs w:val="21"/>
                <w:highlight w:val="none"/>
              </w:rPr>
              <w:t>2.2.4</w:t>
            </w:r>
            <w:r>
              <w:rPr>
                <w:rFonts w:hint="eastAsia"/>
                <w:color w:val="auto"/>
                <w:sz w:val="22"/>
                <w:szCs w:val="21"/>
                <w:highlight w:val="none"/>
              </w:rPr>
              <w:t>(2)</w:t>
            </w:r>
          </w:p>
        </w:tc>
        <w:tc>
          <w:tcPr>
            <w:tcW w:w="1146" w:type="dxa"/>
            <w:gridSpan w:val="3"/>
            <w:vAlign w:val="center"/>
          </w:tcPr>
          <w:p>
            <w:pPr>
              <w:jc w:val="center"/>
              <w:rPr>
                <w:color w:val="auto"/>
                <w:sz w:val="22"/>
                <w:szCs w:val="21"/>
                <w:highlight w:val="none"/>
              </w:rPr>
            </w:pPr>
            <w:r>
              <w:rPr>
                <w:color w:val="auto"/>
                <w:sz w:val="22"/>
                <w:szCs w:val="21"/>
                <w:highlight w:val="none"/>
              </w:rPr>
              <w:t>主要</w:t>
            </w:r>
          </w:p>
          <w:p>
            <w:pPr>
              <w:jc w:val="center"/>
              <w:rPr>
                <w:rFonts w:ascii="宋体" w:hAnsi="宋体" w:cs="宋体"/>
                <w:bCs/>
                <w:color w:val="auto"/>
                <w:szCs w:val="21"/>
                <w:highlight w:val="none"/>
              </w:rPr>
            </w:pPr>
            <w:r>
              <w:rPr>
                <w:color w:val="auto"/>
                <w:sz w:val="22"/>
                <w:szCs w:val="21"/>
                <w:highlight w:val="none"/>
              </w:rPr>
              <w:t>人员</w:t>
            </w:r>
          </w:p>
        </w:tc>
        <w:tc>
          <w:tcPr>
            <w:tcW w:w="737" w:type="dxa"/>
            <w:gridSpan w:val="2"/>
            <w:vAlign w:val="center"/>
          </w:tcPr>
          <w:p>
            <w:pPr>
              <w:spacing w:line="276" w:lineRule="auto"/>
              <w:jc w:val="center"/>
              <w:rPr>
                <w:rFonts w:ascii="宋体" w:hAnsi="宋体" w:cs="宋体"/>
                <w:bCs/>
                <w:color w:val="auto"/>
                <w:szCs w:val="21"/>
                <w:highlight w:val="none"/>
                <w:u w:val="single"/>
              </w:rPr>
            </w:pPr>
            <w:r>
              <w:rPr>
                <w:rFonts w:hint="eastAsia" w:ascii="宋体" w:hAnsi="宋体" w:cs="宋体"/>
                <w:bCs/>
                <w:color w:val="auto"/>
                <w:szCs w:val="21"/>
                <w:highlight w:val="none"/>
                <w:u w:val="single"/>
              </w:rPr>
              <w:t>15</w:t>
            </w:r>
            <w:r>
              <w:rPr>
                <w:rFonts w:hint="eastAsia" w:ascii="宋体" w:hAnsi="宋体" w:cs="宋体"/>
                <w:bCs/>
                <w:color w:val="auto"/>
                <w:szCs w:val="21"/>
                <w:highlight w:val="none"/>
              </w:rPr>
              <w:t>分</w:t>
            </w:r>
          </w:p>
        </w:tc>
        <w:tc>
          <w:tcPr>
            <w:tcW w:w="993" w:type="dxa"/>
            <w:vAlign w:val="center"/>
          </w:tcPr>
          <w:p>
            <w:pPr>
              <w:ind w:right="113"/>
              <w:jc w:val="center"/>
              <w:rPr>
                <w:color w:val="auto"/>
                <w:sz w:val="22"/>
                <w:szCs w:val="21"/>
                <w:highlight w:val="none"/>
              </w:rPr>
            </w:pPr>
            <w:r>
              <w:rPr>
                <w:rFonts w:hint="eastAsia"/>
                <w:color w:val="auto"/>
                <w:sz w:val="22"/>
                <w:szCs w:val="21"/>
                <w:highlight w:val="none"/>
              </w:rPr>
              <w:t>检测负责人</w:t>
            </w:r>
            <w:r>
              <w:rPr>
                <w:color w:val="auto"/>
                <w:sz w:val="22"/>
                <w:szCs w:val="21"/>
                <w:highlight w:val="none"/>
              </w:rPr>
              <w:t>业绩</w:t>
            </w:r>
          </w:p>
        </w:tc>
        <w:tc>
          <w:tcPr>
            <w:tcW w:w="992" w:type="dxa"/>
            <w:vAlign w:val="center"/>
          </w:tcPr>
          <w:p>
            <w:pPr>
              <w:jc w:val="center"/>
              <w:rPr>
                <w:color w:val="auto"/>
                <w:sz w:val="22"/>
                <w:szCs w:val="21"/>
                <w:highlight w:val="none"/>
                <w:u w:val="single"/>
              </w:rPr>
            </w:pPr>
            <w:r>
              <w:rPr>
                <w:rFonts w:hint="eastAsia"/>
                <w:color w:val="auto"/>
                <w:sz w:val="22"/>
                <w:szCs w:val="21"/>
                <w:highlight w:val="none"/>
                <w:u w:val="single"/>
              </w:rPr>
              <w:t>1</w:t>
            </w:r>
            <w:r>
              <w:rPr>
                <w:color w:val="auto"/>
                <w:sz w:val="22"/>
                <w:szCs w:val="21"/>
                <w:highlight w:val="none"/>
                <w:u w:val="single"/>
              </w:rPr>
              <w:t>0</w:t>
            </w:r>
            <w:r>
              <w:rPr>
                <w:color w:val="auto"/>
                <w:sz w:val="22"/>
                <w:szCs w:val="21"/>
                <w:highlight w:val="none"/>
              </w:rPr>
              <w:t>分</w:t>
            </w:r>
          </w:p>
        </w:tc>
        <w:tc>
          <w:tcPr>
            <w:tcW w:w="4250" w:type="dxa"/>
            <w:vAlign w:val="center"/>
          </w:tcPr>
          <w:p>
            <w:pPr>
              <w:jc w:val="left"/>
              <w:rPr>
                <w:color w:val="auto"/>
                <w:sz w:val="22"/>
                <w:szCs w:val="20"/>
                <w:highlight w:val="none"/>
              </w:rPr>
            </w:pPr>
            <w:r>
              <w:rPr>
                <w:rFonts w:hint="eastAsia"/>
                <w:bCs/>
                <w:color w:val="auto"/>
                <w:sz w:val="22"/>
                <w:szCs w:val="20"/>
                <w:highlight w:val="none"/>
              </w:rPr>
              <w:t>满足招标文件人员配置最低要求，得9分，每增加1个高速公路交工</w:t>
            </w:r>
            <w:r>
              <w:rPr>
                <w:rFonts w:hint="eastAsia" w:asciiTheme="minorEastAsia" w:hAnsiTheme="minorEastAsia" w:eastAsiaTheme="minorEastAsia" w:cstheme="minorEastAsia"/>
                <w:color w:val="auto"/>
                <w:sz w:val="24"/>
                <w:highlight w:val="none"/>
              </w:rPr>
              <w:t>或竣工</w:t>
            </w:r>
            <w:r>
              <w:rPr>
                <w:rFonts w:hint="eastAsia"/>
                <w:bCs/>
                <w:color w:val="auto"/>
                <w:sz w:val="22"/>
                <w:szCs w:val="20"/>
                <w:highlight w:val="none"/>
              </w:rPr>
              <w:t>验收检测负责人业绩的加3分，加满6为止；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2" w:hRule="atLeast"/>
          <w:jc w:val="center"/>
        </w:trPr>
        <w:tc>
          <w:tcPr>
            <w:tcW w:w="965" w:type="dxa"/>
            <w:gridSpan w:val="2"/>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2.2.4（3）</w:t>
            </w:r>
          </w:p>
        </w:tc>
        <w:tc>
          <w:tcPr>
            <w:tcW w:w="709" w:type="dxa"/>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评标价</w:t>
            </w:r>
          </w:p>
        </w:tc>
        <w:tc>
          <w:tcPr>
            <w:tcW w:w="1134" w:type="dxa"/>
            <w:gridSpan w:val="2"/>
            <w:vAlign w:val="center"/>
          </w:tcPr>
          <w:p>
            <w:pPr>
              <w:spacing w:line="276" w:lineRule="auto"/>
              <w:jc w:val="center"/>
              <w:rPr>
                <w:rFonts w:ascii="宋体" w:hAnsi="宋体" w:cs="宋体"/>
                <w:bCs/>
                <w:color w:val="auto"/>
                <w:szCs w:val="21"/>
                <w:highlight w:val="none"/>
                <w:u w:val="single"/>
              </w:rPr>
            </w:pPr>
            <w:r>
              <w:rPr>
                <w:rFonts w:hint="eastAsia" w:ascii="宋体" w:hAnsi="宋体" w:cs="宋体"/>
                <w:bCs/>
                <w:color w:val="auto"/>
                <w:szCs w:val="21"/>
                <w:highlight w:val="none"/>
                <w:u w:val="single"/>
              </w:rPr>
              <w:t>20</w:t>
            </w:r>
            <w:r>
              <w:rPr>
                <w:rFonts w:hint="eastAsia" w:ascii="宋体" w:hAnsi="宋体" w:cs="宋体"/>
                <w:bCs/>
                <w:color w:val="auto"/>
                <w:szCs w:val="21"/>
                <w:highlight w:val="none"/>
              </w:rPr>
              <w:t>分</w:t>
            </w:r>
          </w:p>
        </w:tc>
        <w:tc>
          <w:tcPr>
            <w:tcW w:w="6263" w:type="dxa"/>
            <w:gridSpan w:val="4"/>
            <w:vAlign w:val="center"/>
          </w:tcPr>
          <w:p>
            <w:pPr>
              <w:spacing w:line="276" w:lineRule="auto"/>
              <w:ind w:firstLine="420" w:firstLineChars="200"/>
              <w:rPr>
                <w:rFonts w:ascii="宋体" w:hAnsi="宋体" w:cs="宋体"/>
                <w:bCs/>
                <w:color w:val="auto"/>
                <w:szCs w:val="21"/>
                <w:highlight w:val="none"/>
              </w:rPr>
            </w:pPr>
            <w:r>
              <w:rPr>
                <w:rFonts w:hint="eastAsia" w:ascii="宋体" w:hAnsi="宋体" w:cs="宋体"/>
                <w:bCs/>
                <w:color w:val="auto"/>
                <w:szCs w:val="21"/>
                <w:highlight w:val="none"/>
              </w:rPr>
              <w:t>当投标报价等于评标基准价时得满分20分，每高于评标基准价一个百分点扣0.5分，每低于评标基准价一个百分点扣0.3分，保留2位小数，扣完为止。公式表示如下：</w:t>
            </w:r>
          </w:p>
          <w:p>
            <w:pPr>
              <w:spacing w:line="276" w:lineRule="auto"/>
              <w:ind w:firstLine="420" w:firstLineChars="200"/>
              <w:rPr>
                <w:rFonts w:ascii="宋体" w:hAnsi="宋体" w:cs="宋体"/>
                <w:bCs/>
                <w:color w:val="auto"/>
                <w:szCs w:val="21"/>
                <w:highlight w:val="none"/>
              </w:rPr>
            </w:pPr>
            <w:r>
              <w:rPr>
                <w:rFonts w:hint="eastAsia" w:ascii="宋体" w:hAnsi="宋体" w:cs="宋体"/>
                <w:bCs/>
                <w:color w:val="auto"/>
                <w:szCs w:val="21"/>
                <w:highlight w:val="none"/>
              </w:rPr>
              <w:t>1、投标报价高于评标基准价的得分=20-（投标报价-评标基准价）/评标基准价*100*0.5</w:t>
            </w:r>
          </w:p>
          <w:p>
            <w:pPr>
              <w:spacing w:line="276"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2、投标报价低于评标基准价的得分=20-（评标基准价-投标报价）/评标基准价*100*0.3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8" w:hRule="atLeast"/>
          <w:jc w:val="center"/>
        </w:trPr>
        <w:tc>
          <w:tcPr>
            <w:tcW w:w="965" w:type="dxa"/>
            <w:gridSpan w:val="2"/>
            <w:vMerge w:val="restart"/>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2.2.4（4）</w:t>
            </w:r>
          </w:p>
        </w:tc>
        <w:tc>
          <w:tcPr>
            <w:tcW w:w="709" w:type="dxa"/>
            <w:vMerge w:val="restart"/>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其他因素</w:t>
            </w:r>
          </w:p>
        </w:tc>
        <w:tc>
          <w:tcPr>
            <w:tcW w:w="425" w:type="dxa"/>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rPr>
              <w:t>企业业绩</w:t>
            </w:r>
          </w:p>
        </w:tc>
        <w:tc>
          <w:tcPr>
            <w:tcW w:w="709" w:type="dxa"/>
            <w:vAlign w:val="center"/>
          </w:tcPr>
          <w:p>
            <w:pPr>
              <w:spacing w:line="276" w:lineRule="auto"/>
              <w:jc w:val="center"/>
              <w:rPr>
                <w:rFonts w:ascii="宋体" w:hAnsi="宋体" w:cs="宋体"/>
                <w:bCs/>
                <w:color w:val="auto"/>
                <w:szCs w:val="21"/>
                <w:highlight w:val="none"/>
              </w:rPr>
            </w:pPr>
            <w:r>
              <w:rPr>
                <w:rFonts w:hint="eastAsia" w:ascii="宋体" w:hAnsi="宋体" w:cs="宋体"/>
                <w:bCs/>
                <w:color w:val="auto"/>
                <w:szCs w:val="21"/>
                <w:highlight w:val="none"/>
                <w:u w:val="single"/>
              </w:rPr>
              <w:t>20</w:t>
            </w:r>
            <w:r>
              <w:rPr>
                <w:rFonts w:hint="eastAsia" w:ascii="宋体" w:hAnsi="宋体" w:cs="宋体"/>
                <w:bCs/>
                <w:color w:val="auto"/>
                <w:szCs w:val="21"/>
                <w:highlight w:val="none"/>
              </w:rPr>
              <w:t>分</w:t>
            </w:r>
          </w:p>
        </w:tc>
        <w:tc>
          <w:tcPr>
            <w:tcW w:w="6263" w:type="dxa"/>
            <w:gridSpan w:val="4"/>
            <w:vAlign w:val="center"/>
          </w:tcPr>
          <w:p>
            <w:pPr>
              <w:snapToGrid w:val="0"/>
              <w:rPr>
                <w:rFonts w:ascii="宋体" w:hAnsi="宋体" w:cs="宋体"/>
                <w:bCs/>
                <w:color w:val="auto"/>
                <w:szCs w:val="21"/>
                <w:highlight w:val="none"/>
              </w:rPr>
            </w:pPr>
            <w:r>
              <w:rPr>
                <w:rFonts w:hint="eastAsia" w:ascii="宋体" w:hAnsi="宋体" w:cs="宋体"/>
                <w:bCs/>
                <w:color w:val="auto"/>
                <w:szCs w:val="21"/>
                <w:highlight w:val="none"/>
              </w:rPr>
              <w:t>一、满足招标文件最低要求得12分。</w:t>
            </w:r>
          </w:p>
          <w:p>
            <w:pPr>
              <w:pStyle w:val="5"/>
              <w:snapToGrid w:val="0"/>
              <w:rPr>
                <w:rFonts w:ascii="宋体" w:hAnsi="宋体" w:cs="宋体"/>
                <w:bCs/>
                <w:color w:val="auto"/>
                <w:szCs w:val="21"/>
                <w:highlight w:val="none"/>
              </w:rPr>
            </w:pPr>
            <w:r>
              <w:rPr>
                <w:rFonts w:hint="eastAsia" w:ascii="宋体" w:hAnsi="宋体" w:cs="宋体"/>
                <w:bCs/>
                <w:color w:val="auto"/>
                <w:szCs w:val="21"/>
                <w:highlight w:val="none"/>
              </w:rPr>
              <w:t>二、2016年1月1日至投标截止时间，以交工时间为准，</w:t>
            </w:r>
            <w:r>
              <w:rPr>
                <w:rFonts w:hint="eastAsia"/>
                <w:bCs/>
                <w:color w:val="auto"/>
                <w:sz w:val="22"/>
                <w:szCs w:val="20"/>
                <w:highlight w:val="none"/>
              </w:rPr>
              <w:t>每增加1个高速公路交工</w:t>
            </w:r>
            <w:r>
              <w:rPr>
                <w:rFonts w:hint="eastAsia" w:asciiTheme="minorEastAsia" w:hAnsiTheme="minorEastAsia" w:eastAsiaTheme="minorEastAsia" w:cstheme="minorEastAsia"/>
                <w:color w:val="auto"/>
                <w:sz w:val="24"/>
                <w:highlight w:val="none"/>
              </w:rPr>
              <w:t>或竣工</w:t>
            </w:r>
            <w:r>
              <w:rPr>
                <w:rFonts w:hint="eastAsia"/>
                <w:bCs/>
                <w:color w:val="auto"/>
                <w:sz w:val="22"/>
                <w:szCs w:val="20"/>
                <w:highlight w:val="none"/>
              </w:rPr>
              <w:t>验收检测项目业绩</w:t>
            </w:r>
            <w:r>
              <w:rPr>
                <w:rFonts w:hint="eastAsia" w:ascii="宋体" w:hAnsi="宋体" w:cs="宋体"/>
                <w:bCs/>
                <w:color w:val="auto"/>
                <w:szCs w:val="21"/>
                <w:highlight w:val="none"/>
              </w:rPr>
              <w:t>加2分，最多加8分。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8" w:hRule="atLeast"/>
          <w:jc w:val="center"/>
        </w:trPr>
        <w:tc>
          <w:tcPr>
            <w:tcW w:w="965" w:type="dxa"/>
            <w:gridSpan w:val="2"/>
            <w:vMerge w:val="continue"/>
            <w:vAlign w:val="center"/>
          </w:tcPr>
          <w:p>
            <w:pPr>
              <w:spacing w:line="276" w:lineRule="auto"/>
              <w:jc w:val="center"/>
              <w:rPr>
                <w:rFonts w:ascii="宋体" w:hAnsi="宋体" w:cs="宋体"/>
                <w:bCs/>
                <w:color w:val="auto"/>
                <w:szCs w:val="21"/>
                <w:highlight w:val="none"/>
              </w:rPr>
            </w:pPr>
          </w:p>
        </w:tc>
        <w:tc>
          <w:tcPr>
            <w:tcW w:w="709" w:type="dxa"/>
            <w:vMerge w:val="continue"/>
            <w:vAlign w:val="center"/>
          </w:tcPr>
          <w:p>
            <w:pPr>
              <w:spacing w:line="276" w:lineRule="auto"/>
              <w:jc w:val="center"/>
              <w:rPr>
                <w:rFonts w:ascii="宋体" w:hAnsi="宋体" w:cs="宋体"/>
                <w:bCs/>
                <w:color w:val="auto"/>
                <w:szCs w:val="21"/>
                <w:highlight w:val="none"/>
              </w:rPr>
            </w:pPr>
          </w:p>
        </w:tc>
        <w:tc>
          <w:tcPr>
            <w:tcW w:w="425" w:type="dxa"/>
            <w:vAlign w:val="center"/>
          </w:tcPr>
          <w:p>
            <w:pPr>
              <w:spacing w:line="276" w:lineRule="auto"/>
              <w:jc w:val="center"/>
              <w:rPr>
                <w:rFonts w:ascii="宋体" w:hAnsi="宋体" w:cs="宋体"/>
                <w:bCs/>
                <w:color w:val="auto"/>
                <w:szCs w:val="21"/>
                <w:highlight w:val="none"/>
              </w:rPr>
            </w:pPr>
            <w:r>
              <w:rPr>
                <w:color w:val="auto"/>
                <w:sz w:val="22"/>
                <w:szCs w:val="21"/>
                <w:highlight w:val="none"/>
              </w:rPr>
              <w:t>履约信誉</w:t>
            </w:r>
          </w:p>
        </w:tc>
        <w:tc>
          <w:tcPr>
            <w:tcW w:w="709" w:type="dxa"/>
            <w:vAlign w:val="center"/>
          </w:tcPr>
          <w:p>
            <w:pPr>
              <w:spacing w:line="276" w:lineRule="auto"/>
              <w:jc w:val="center"/>
              <w:rPr>
                <w:rFonts w:ascii="宋体" w:hAnsi="宋体" w:cs="宋体"/>
                <w:bCs/>
                <w:color w:val="auto"/>
                <w:szCs w:val="21"/>
                <w:highlight w:val="none"/>
                <w:u w:val="single"/>
              </w:rPr>
            </w:pPr>
            <w:r>
              <w:rPr>
                <w:rFonts w:hint="eastAsia" w:ascii="宋体" w:hAnsi="宋体" w:cs="宋体"/>
                <w:bCs/>
                <w:color w:val="auto"/>
                <w:szCs w:val="21"/>
                <w:highlight w:val="none"/>
                <w:u w:val="single"/>
              </w:rPr>
              <w:t>5</w:t>
            </w:r>
            <w:r>
              <w:rPr>
                <w:rFonts w:hint="eastAsia" w:ascii="宋体" w:hAnsi="宋体" w:cs="宋体"/>
                <w:bCs/>
                <w:color w:val="auto"/>
                <w:szCs w:val="21"/>
                <w:highlight w:val="none"/>
              </w:rPr>
              <w:t>分</w:t>
            </w:r>
          </w:p>
        </w:tc>
        <w:tc>
          <w:tcPr>
            <w:tcW w:w="6263" w:type="dxa"/>
            <w:gridSpan w:val="4"/>
            <w:vAlign w:val="center"/>
          </w:tcPr>
          <w:p>
            <w:pPr>
              <w:ind w:left="117" w:right="113" w:hanging="116" w:hangingChars="53"/>
              <w:jc w:val="left"/>
              <w:rPr>
                <w:color w:val="auto"/>
                <w:sz w:val="22"/>
                <w:szCs w:val="20"/>
                <w:highlight w:val="none"/>
              </w:rPr>
            </w:pPr>
            <w:r>
              <w:rPr>
                <w:rFonts w:hint="eastAsia"/>
                <w:color w:val="auto"/>
                <w:sz w:val="22"/>
                <w:szCs w:val="20"/>
                <w:highlight w:val="none"/>
              </w:rPr>
              <w:t>按以下原则确定的试验检测机构信用评价等级为AA级的得5分；为A级的得3分；其他等级不得分。</w:t>
            </w:r>
          </w:p>
          <w:p>
            <w:pPr>
              <w:snapToGrid w:val="0"/>
              <w:jc w:val="left"/>
              <w:rPr>
                <w:color w:val="auto"/>
                <w:sz w:val="22"/>
                <w:szCs w:val="20"/>
                <w:highlight w:val="none"/>
              </w:rPr>
            </w:pPr>
            <w:r>
              <w:rPr>
                <w:rFonts w:hint="eastAsia"/>
                <w:color w:val="auto"/>
                <w:sz w:val="22"/>
                <w:szCs w:val="20"/>
                <w:highlight w:val="none"/>
              </w:rPr>
              <w:t>（1）有安徽省交通运输厅2020年度公路试验检测机构信用评价等级时，直接引用该等级；</w:t>
            </w:r>
          </w:p>
          <w:p>
            <w:pPr>
              <w:snapToGrid w:val="0"/>
              <w:jc w:val="left"/>
              <w:rPr>
                <w:color w:val="auto"/>
                <w:sz w:val="22"/>
                <w:szCs w:val="20"/>
                <w:highlight w:val="none"/>
              </w:rPr>
            </w:pPr>
            <w:r>
              <w:rPr>
                <w:rFonts w:hint="eastAsia"/>
                <w:color w:val="auto"/>
                <w:sz w:val="22"/>
                <w:szCs w:val="20"/>
                <w:highlight w:val="none"/>
              </w:rPr>
              <w:t>（2）没有安徽省交通运输厅2020年度公路试验检测机构信用评价等级时，引用安徽省交通运输厅2019年度公路试验检测机构信用评价等级。</w:t>
            </w:r>
          </w:p>
          <w:p>
            <w:pPr>
              <w:snapToGrid w:val="0"/>
              <w:jc w:val="left"/>
              <w:rPr>
                <w:color w:val="auto"/>
                <w:sz w:val="22"/>
                <w:szCs w:val="20"/>
                <w:highlight w:val="none"/>
              </w:rPr>
            </w:pPr>
            <w:r>
              <w:rPr>
                <w:rFonts w:hint="eastAsia"/>
                <w:color w:val="auto"/>
                <w:sz w:val="22"/>
                <w:szCs w:val="20"/>
                <w:highlight w:val="none"/>
              </w:rPr>
              <w:t>（3）没有安徽省交通运输厅2020年度和2019度公路试</w:t>
            </w:r>
          </w:p>
          <w:p>
            <w:pPr>
              <w:snapToGrid w:val="0"/>
              <w:jc w:val="left"/>
              <w:rPr>
                <w:color w:val="auto"/>
                <w:sz w:val="22"/>
                <w:szCs w:val="20"/>
                <w:highlight w:val="none"/>
              </w:rPr>
            </w:pPr>
            <w:r>
              <w:rPr>
                <w:rFonts w:hint="eastAsia"/>
                <w:color w:val="auto"/>
                <w:sz w:val="22"/>
                <w:szCs w:val="20"/>
                <w:highlight w:val="none"/>
              </w:rPr>
              <w:t>验检测机构信用评价等级时，引用交通运输部2020年度公</w:t>
            </w:r>
          </w:p>
          <w:p>
            <w:pPr>
              <w:snapToGrid w:val="0"/>
              <w:jc w:val="left"/>
              <w:rPr>
                <w:color w:val="auto"/>
                <w:sz w:val="22"/>
                <w:szCs w:val="20"/>
                <w:highlight w:val="none"/>
              </w:rPr>
            </w:pPr>
            <w:r>
              <w:rPr>
                <w:rFonts w:hint="eastAsia"/>
                <w:color w:val="auto"/>
                <w:sz w:val="22"/>
                <w:szCs w:val="20"/>
                <w:highlight w:val="none"/>
              </w:rPr>
              <w:t>路试验检测机构信用评价等级。</w:t>
            </w:r>
          </w:p>
          <w:p>
            <w:pPr>
              <w:snapToGrid w:val="0"/>
              <w:jc w:val="left"/>
              <w:rPr>
                <w:color w:val="auto"/>
                <w:sz w:val="22"/>
                <w:szCs w:val="20"/>
                <w:highlight w:val="none"/>
              </w:rPr>
            </w:pPr>
            <w:r>
              <w:rPr>
                <w:rFonts w:hint="eastAsia"/>
                <w:color w:val="auto"/>
                <w:sz w:val="22"/>
                <w:szCs w:val="20"/>
                <w:highlight w:val="none"/>
              </w:rPr>
              <w:t>（4）无上述信用评价等级的，若无不良信用记录，按A级对待；若有不良信用记录，视其严重程度按B级及以下对待。</w:t>
            </w:r>
          </w:p>
          <w:p>
            <w:pPr>
              <w:pStyle w:val="5"/>
              <w:snapToGrid w:val="0"/>
              <w:rPr>
                <w:rFonts w:ascii="宋体" w:hAnsi="宋体" w:cs="宋体"/>
                <w:bCs/>
                <w:color w:val="auto"/>
                <w:szCs w:val="21"/>
                <w:highlight w:val="none"/>
              </w:rPr>
            </w:pPr>
            <w:r>
              <w:rPr>
                <w:rFonts w:hint="eastAsia"/>
                <w:color w:val="auto"/>
                <w:sz w:val="22"/>
                <w:szCs w:val="20"/>
                <w:highlight w:val="none"/>
              </w:rPr>
              <w:t>（5）如在交通运输部或安徽省交通运输厅最新年度等级评价公布日期之后，被交通运输部或安徽省交通运输厅通报降级的投标人的信用等级按通报等级执行。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4" w:hRule="atLeast"/>
          <w:jc w:val="center"/>
        </w:trPr>
        <w:tc>
          <w:tcPr>
            <w:tcW w:w="9071" w:type="dxa"/>
            <w:gridSpan w:val="9"/>
            <w:vAlign w:val="center"/>
          </w:tcPr>
          <w:p>
            <w:pPr>
              <w:spacing w:line="276" w:lineRule="auto"/>
              <w:ind w:left="113" w:right="113" w:firstLine="210" w:firstLineChars="100"/>
              <w:rPr>
                <w:rFonts w:ascii="宋体" w:hAnsi="宋体" w:cs="宋体"/>
                <w:bCs/>
                <w:color w:val="auto"/>
                <w:szCs w:val="21"/>
                <w:highlight w:val="none"/>
              </w:rPr>
            </w:pPr>
            <w:r>
              <w:rPr>
                <w:rFonts w:hint="eastAsia" w:ascii="宋体" w:hAnsi="宋体" w:cs="宋体"/>
                <w:bCs/>
                <w:color w:val="auto"/>
                <w:szCs w:val="21"/>
                <w:highlight w:val="none"/>
              </w:rPr>
              <w:t>需要补充的其他内容：/</w:t>
            </w:r>
          </w:p>
        </w:tc>
      </w:tr>
    </w:tbl>
    <w:p>
      <w:pPr>
        <w:spacing w:line="400" w:lineRule="atLeast"/>
        <w:rPr>
          <w:rFonts w:eastAsia="黑体"/>
          <w:color w:val="auto"/>
          <w:sz w:val="30"/>
          <w:szCs w:val="30"/>
          <w:highlight w:val="none"/>
        </w:rPr>
      </w:pPr>
    </w:p>
    <w:p>
      <w:pPr>
        <w:spacing w:line="400" w:lineRule="atLeast"/>
        <w:rPr>
          <w:b/>
          <w:bCs/>
          <w:color w:val="auto"/>
          <w:highlight w:val="none"/>
        </w:rPr>
      </w:pPr>
    </w:p>
    <w:p>
      <w:pPr>
        <w:pStyle w:val="2"/>
        <w:rPr>
          <w:color w:val="auto"/>
          <w:highlight w:val="none"/>
        </w:rPr>
      </w:pPr>
    </w:p>
    <w:p>
      <w:pPr>
        <w:spacing w:line="400" w:lineRule="atLeast"/>
        <w:rPr>
          <w:rFonts w:eastAsia="黑体"/>
          <w:color w:val="auto"/>
          <w:sz w:val="24"/>
          <w:highlight w:val="none"/>
        </w:rPr>
      </w:pPr>
      <w:r>
        <w:rPr>
          <w:b/>
          <w:bCs/>
          <w:color w:val="auto"/>
          <w:highlight w:val="none"/>
        </w:rPr>
        <w:br w:type="page"/>
      </w:r>
      <w:bookmarkStart w:id="0" w:name="_Toc8399"/>
      <w:bookmarkStart w:id="1" w:name="_Toc19146"/>
      <w:bookmarkStart w:id="2" w:name="_Toc28448"/>
      <w:r>
        <w:rPr>
          <w:rFonts w:eastAsia="黑体"/>
          <w:color w:val="auto"/>
          <w:kern w:val="0"/>
          <w:sz w:val="28"/>
          <w:szCs w:val="28"/>
          <w:highlight w:val="none"/>
        </w:rPr>
        <w:t>1.评标方法</w:t>
      </w:r>
      <w:bookmarkEnd w:id="0"/>
      <w:bookmarkEnd w:id="1"/>
      <w:bookmarkEnd w:id="2"/>
    </w:p>
    <w:p>
      <w:pPr>
        <w:widowControl/>
        <w:spacing w:line="312" w:lineRule="auto"/>
        <w:ind w:firstLine="480" w:firstLineChars="200"/>
        <w:jc w:val="left"/>
        <w:rPr>
          <w:color w:val="auto"/>
          <w:sz w:val="24"/>
          <w:highlight w:val="none"/>
        </w:rPr>
      </w:pPr>
      <w:r>
        <w:rPr>
          <w:color w:val="auto"/>
          <w:sz w:val="24"/>
          <w:highlight w:val="none"/>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综合评分相等时，评标委员会应按照评标办法前附表规定的优先次序推荐中标候选人或确定中标人。</w:t>
      </w:r>
    </w:p>
    <w:p>
      <w:pPr>
        <w:widowControl/>
        <w:numPr>
          <w:ilvl w:val="0"/>
          <w:numId w:val="1"/>
        </w:numPr>
        <w:spacing w:line="312" w:lineRule="auto"/>
        <w:jc w:val="left"/>
        <w:outlineLvl w:val="1"/>
        <w:rPr>
          <w:rFonts w:eastAsia="黑体"/>
          <w:color w:val="auto"/>
          <w:kern w:val="0"/>
          <w:sz w:val="28"/>
          <w:szCs w:val="28"/>
          <w:highlight w:val="none"/>
        </w:rPr>
      </w:pPr>
      <w:bookmarkStart w:id="3" w:name="_Toc7016"/>
      <w:bookmarkStart w:id="4" w:name="_Toc1825"/>
      <w:bookmarkStart w:id="5" w:name="_Toc32106"/>
      <w:bookmarkStart w:id="6" w:name="_Toc13275"/>
      <w:r>
        <w:rPr>
          <w:rFonts w:eastAsia="黑体"/>
          <w:color w:val="auto"/>
          <w:kern w:val="0"/>
          <w:sz w:val="28"/>
          <w:szCs w:val="28"/>
          <w:highlight w:val="none"/>
        </w:rPr>
        <w:t>评审标准</w:t>
      </w:r>
      <w:bookmarkEnd w:id="3"/>
      <w:bookmarkEnd w:id="4"/>
      <w:bookmarkEnd w:id="5"/>
      <w:bookmarkEnd w:id="6"/>
    </w:p>
    <w:p>
      <w:pPr>
        <w:widowControl/>
        <w:spacing w:line="312" w:lineRule="auto"/>
        <w:jc w:val="left"/>
        <w:outlineLvl w:val="2"/>
        <w:rPr>
          <w:rFonts w:eastAsia="黑体"/>
          <w:color w:val="auto"/>
          <w:kern w:val="0"/>
          <w:sz w:val="24"/>
          <w:highlight w:val="none"/>
        </w:rPr>
      </w:pPr>
      <w:bookmarkStart w:id="7" w:name="_Toc15565"/>
      <w:bookmarkStart w:id="8" w:name="_Toc22607"/>
      <w:bookmarkStart w:id="9" w:name="_Toc13809"/>
      <w:bookmarkStart w:id="10" w:name="_Toc13869"/>
      <w:r>
        <w:rPr>
          <w:rFonts w:eastAsia="黑体"/>
          <w:color w:val="auto"/>
          <w:kern w:val="0"/>
          <w:sz w:val="24"/>
          <w:highlight w:val="none"/>
        </w:rPr>
        <w:t>2.1初步评审标准</w:t>
      </w:r>
      <w:bookmarkEnd w:id="7"/>
      <w:bookmarkEnd w:id="8"/>
      <w:bookmarkEnd w:id="9"/>
      <w:bookmarkEnd w:id="10"/>
    </w:p>
    <w:p>
      <w:pPr>
        <w:widowControl/>
        <w:spacing w:line="312" w:lineRule="auto"/>
        <w:ind w:firstLine="480" w:firstLineChars="200"/>
        <w:jc w:val="left"/>
        <w:rPr>
          <w:color w:val="auto"/>
          <w:sz w:val="24"/>
          <w:highlight w:val="none"/>
        </w:rPr>
      </w:pPr>
      <w:r>
        <w:rPr>
          <w:color w:val="auto"/>
          <w:sz w:val="24"/>
          <w:highlight w:val="none"/>
        </w:rPr>
        <w:t>2.1.1 形式评审标准：见评标办法前附表。</w:t>
      </w:r>
    </w:p>
    <w:p>
      <w:pPr>
        <w:widowControl/>
        <w:spacing w:line="312" w:lineRule="auto"/>
        <w:ind w:firstLine="480" w:firstLineChars="200"/>
        <w:jc w:val="left"/>
        <w:rPr>
          <w:color w:val="auto"/>
          <w:sz w:val="24"/>
          <w:highlight w:val="none"/>
        </w:rPr>
      </w:pPr>
      <w:r>
        <w:rPr>
          <w:color w:val="auto"/>
          <w:sz w:val="24"/>
          <w:highlight w:val="none"/>
        </w:rPr>
        <w:t>2.1.2 资格评审标准：见评标办法前附表（适用于未进行资格预审的）。</w:t>
      </w:r>
    </w:p>
    <w:p>
      <w:pPr>
        <w:widowControl/>
        <w:spacing w:line="312" w:lineRule="auto"/>
        <w:ind w:firstLine="480" w:firstLineChars="200"/>
        <w:jc w:val="left"/>
        <w:rPr>
          <w:color w:val="auto"/>
          <w:sz w:val="24"/>
          <w:highlight w:val="none"/>
        </w:rPr>
      </w:pPr>
      <w:r>
        <w:rPr>
          <w:color w:val="auto"/>
          <w:sz w:val="24"/>
          <w:highlight w:val="none"/>
        </w:rPr>
        <w:t>2.1.3 响应性评审标准：见评标办法前附表。</w:t>
      </w:r>
    </w:p>
    <w:p>
      <w:pPr>
        <w:widowControl/>
        <w:spacing w:line="312" w:lineRule="auto"/>
        <w:jc w:val="left"/>
        <w:outlineLvl w:val="2"/>
        <w:rPr>
          <w:rFonts w:eastAsia="黑体"/>
          <w:color w:val="auto"/>
          <w:kern w:val="0"/>
          <w:sz w:val="24"/>
          <w:highlight w:val="none"/>
        </w:rPr>
      </w:pPr>
      <w:bookmarkStart w:id="11" w:name="_Toc4176"/>
      <w:bookmarkStart w:id="12" w:name="_Toc2160"/>
      <w:bookmarkStart w:id="13" w:name="_Toc9611"/>
      <w:bookmarkStart w:id="14" w:name="_Toc31880"/>
      <w:r>
        <w:rPr>
          <w:rFonts w:eastAsia="黑体"/>
          <w:color w:val="auto"/>
          <w:kern w:val="0"/>
          <w:sz w:val="24"/>
          <w:highlight w:val="none"/>
        </w:rPr>
        <w:t>2.2分值构成与评分标准</w:t>
      </w:r>
      <w:bookmarkEnd w:id="11"/>
      <w:bookmarkEnd w:id="12"/>
      <w:bookmarkEnd w:id="13"/>
      <w:bookmarkEnd w:id="14"/>
    </w:p>
    <w:p>
      <w:pPr>
        <w:widowControl/>
        <w:spacing w:line="312" w:lineRule="auto"/>
        <w:ind w:firstLine="480" w:firstLineChars="200"/>
        <w:jc w:val="left"/>
        <w:rPr>
          <w:rFonts w:eastAsia="黑体"/>
          <w:color w:val="auto"/>
          <w:sz w:val="24"/>
          <w:highlight w:val="none"/>
        </w:rPr>
      </w:pPr>
      <w:r>
        <w:rPr>
          <w:rFonts w:eastAsia="黑体"/>
          <w:color w:val="auto"/>
          <w:sz w:val="24"/>
          <w:highlight w:val="none"/>
        </w:rPr>
        <w:t>2.2.1 分值构成</w:t>
      </w:r>
    </w:p>
    <w:p>
      <w:pPr>
        <w:widowControl/>
        <w:spacing w:line="312" w:lineRule="auto"/>
        <w:ind w:firstLine="480" w:firstLineChars="200"/>
        <w:jc w:val="left"/>
        <w:rPr>
          <w:color w:val="auto"/>
          <w:sz w:val="24"/>
          <w:highlight w:val="none"/>
        </w:rPr>
      </w:pPr>
      <w:r>
        <w:rPr>
          <w:color w:val="auto"/>
          <w:sz w:val="24"/>
          <w:highlight w:val="none"/>
        </w:rPr>
        <w:t>（1）技术建议书：见评标办法前附表；</w:t>
      </w:r>
    </w:p>
    <w:p>
      <w:pPr>
        <w:widowControl/>
        <w:spacing w:line="312" w:lineRule="auto"/>
        <w:ind w:firstLine="480" w:firstLineChars="200"/>
        <w:jc w:val="left"/>
        <w:rPr>
          <w:color w:val="auto"/>
          <w:sz w:val="24"/>
          <w:highlight w:val="none"/>
        </w:rPr>
      </w:pPr>
      <w:r>
        <w:rPr>
          <w:color w:val="auto"/>
          <w:sz w:val="24"/>
          <w:highlight w:val="none"/>
        </w:rPr>
        <w:t>（2）主要人员：见评标办法前附表；</w:t>
      </w:r>
    </w:p>
    <w:p>
      <w:pPr>
        <w:widowControl/>
        <w:spacing w:line="312" w:lineRule="auto"/>
        <w:ind w:firstLine="480" w:firstLineChars="200"/>
        <w:jc w:val="left"/>
        <w:rPr>
          <w:color w:val="auto"/>
          <w:sz w:val="24"/>
          <w:highlight w:val="none"/>
        </w:rPr>
      </w:pPr>
      <w:r>
        <w:rPr>
          <w:color w:val="auto"/>
          <w:sz w:val="24"/>
          <w:highlight w:val="none"/>
        </w:rPr>
        <w:t>（3）评标价：见评标办法前附表；</w:t>
      </w:r>
    </w:p>
    <w:p>
      <w:pPr>
        <w:widowControl/>
        <w:spacing w:line="312" w:lineRule="auto"/>
        <w:ind w:firstLine="480" w:firstLineChars="200"/>
        <w:jc w:val="left"/>
        <w:rPr>
          <w:color w:val="auto"/>
          <w:sz w:val="24"/>
          <w:highlight w:val="none"/>
        </w:rPr>
      </w:pPr>
      <w:r>
        <w:rPr>
          <w:color w:val="auto"/>
          <w:sz w:val="24"/>
          <w:highlight w:val="none"/>
        </w:rPr>
        <w:t>（4）其他评分因素：见评标办法前附表。</w:t>
      </w:r>
    </w:p>
    <w:p>
      <w:pPr>
        <w:widowControl/>
        <w:spacing w:line="312" w:lineRule="auto"/>
        <w:ind w:firstLine="480" w:firstLineChars="200"/>
        <w:jc w:val="left"/>
        <w:rPr>
          <w:rFonts w:eastAsia="黑体"/>
          <w:color w:val="auto"/>
          <w:sz w:val="24"/>
          <w:highlight w:val="none"/>
        </w:rPr>
      </w:pPr>
      <w:r>
        <w:rPr>
          <w:rFonts w:eastAsia="黑体"/>
          <w:color w:val="auto"/>
          <w:sz w:val="24"/>
          <w:highlight w:val="none"/>
        </w:rPr>
        <w:t>2.2. 2评标基准价计算</w:t>
      </w:r>
    </w:p>
    <w:p>
      <w:pPr>
        <w:widowControl/>
        <w:spacing w:line="312" w:lineRule="auto"/>
        <w:ind w:firstLine="480" w:firstLineChars="200"/>
        <w:jc w:val="left"/>
        <w:rPr>
          <w:color w:val="auto"/>
          <w:sz w:val="24"/>
          <w:highlight w:val="none"/>
        </w:rPr>
      </w:pPr>
      <w:r>
        <w:rPr>
          <w:color w:val="auto"/>
          <w:sz w:val="24"/>
          <w:highlight w:val="none"/>
        </w:rPr>
        <w:t>评标基准价计算方法：见评标办法前附表。</w:t>
      </w:r>
    </w:p>
    <w:p>
      <w:pPr>
        <w:widowControl/>
        <w:spacing w:line="312" w:lineRule="auto"/>
        <w:ind w:firstLine="480" w:firstLineChars="200"/>
        <w:jc w:val="left"/>
        <w:rPr>
          <w:rFonts w:eastAsia="黑体"/>
          <w:color w:val="auto"/>
          <w:sz w:val="24"/>
          <w:highlight w:val="none"/>
        </w:rPr>
      </w:pPr>
      <w:r>
        <w:rPr>
          <w:rFonts w:eastAsia="黑体"/>
          <w:color w:val="auto"/>
          <w:sz w:val="24"/>
          <w:highlight w:val="none"/>
        </w:rPr>
        <w:t>2.2.3 评标价的偏差率计算</w:t>
      </w:r>
    </w:p>
    <w:p>
      <w:pPr>
        <w:widowControl/>
        <w:spacing w:line="312" w:lineRule="auto"/>
        <w:ind w:firstLine="480" w:firstLineChars="200"/>
        <w:jc w:val="left"/>
        <w:rPr>
          <w:color w:val="auto"/>
          <w:sz w:val="24"/>
          <w:highlight w:val="none"/>
        </w:rPr>
      </w:pPr>
      <w:r>
        <w:rPr>
          <w:color w:val="auto"/>
          <w:sz w:val="24"/>
          <w:highlight w:val="none"/>
        </w:rPr>
        <w:t>评标价的偏差率计算公式：见评标办法前附表。</w:t>
      </w:r>
    </w:p>
    <w:p>
      <w:pPr>
        <w:widowControl/>
        <w:spacing w:line="312" w:lineRule="auto"/>
        <w:ind w:firstLine="480" w:firstLineChars="200"/>
        <w:jc w:val="left"/>
        <w:rPr>
          <w:rFonts w:eastAsia="黑体"/>
          <w:color w:val="auto"/>
          <w:sz w:val="24"/>
          <w:highlight w:val="none"/>
        </w:rPr>
      </w:pPr>
      <w:r>
        <w:rPr>
          <w:rFonts w:eastAsia="黑体"/>
          <w:color w:val="auto"/>
          <w:sz w:val="24"/>
          <w:highlight w:val="none"/>
        </w:rPr>
        <w:t>2.2.4 评分标准</w:t>
      </w:r>
    </w:p>
    <w:p>
      <w:pPr>
        <w:widowControl/>
        <w:spacing w:line="312" w:lineRule="auto"/>
        <w:ind w:firstLine="480" w:firstLineChars="200"/>
        <w:jc w:val="left"/>
        <w:rPr>
          <w:color w:val="auto"/>
          <w:sz w:val="24"/>
          <w:highlight w:val="none"/>
        </w:rPr>
      </w:pPr>
      <w:r>
        <w:rPr>
          <w:color w:val="auto"/>
          <w:sz w:val="24"/>
          <w:highlight w:val="none"/>
        </w:rPr>
        <w:t>（1）技术建议书评分标准：见评标办法前附表；</w:t>
      </w:r>
    </w:p>
    <w:p>
      <w:pPr>
        <w:widowControl/>
        <w:spacing w:line="312" w:lineRule="auto"/>
        <w:ind w:firstLine="480" w:firstLineChars="200"/>
        <w:jc w:val="left"/>
        <w:rPr>
          <w:color w:val="auto"/>
          <w:sz w:val="24"/>
          <w:highlight w:val="none"/>
        </w:rPr>
      </w:pPr>
      <w:r>
        <w:rPr>
          <w:color w:val="auto"/>
          <w:sz w:val="24"/>
          <w:highlight w:val="none"/>
        </w:rPr>
        <w:t>（2）主要人员评分标准：见评标办法前附表；</w:t>
      </w:r>
    </w:p>
    <w:p>
      <w:pPr>
        <w:widowControl/>
        <w:spacing w:line="312" w:lineRule="auto"/>
        <w:ind w:firstLine="480" w:firstLineChars="200"/>
        <w:jc w:val="left"/>
        <w:rPr>
          <w:color w:val="auto"/>
          <w:sz w:val="24"/>
          <w:highlight w:val="none"/>
        </w:rPr>
      </w:pPr>
      <w:r>
        <w:rPr>
          <w:color w:val="auto"/>
          <w:sz w:val="24"/>
          <w:highlight w:val="none"/>
        </w:rPr>
        <w:t>（3）评标价评分标准：见评标办法前附表；</w:t>
      </w:r>
    </w:p>
    <w:p>
      <w:pPr>
        <w:widowControl/>
        <w:spacing w:line="312" w:lineRule="auto"/>
        <w:ind w:firstLine="480" w:firstLineChars="200"/>
        <w:jc w:val="left"/>
        <w:rPr>
          <w:color w:val="auto"/>
          <w:sz w:val="24"/>
          <w:highlight w:val="none"/>
        </w:rPr>
      </w:pPr>
      <w:r>
        <w:rPr>
          <w:color w:val="auto"/>
          <w:sz w:val="24"/>
          <w:highlight w:val="none"/>
        </w:rPr>
        <w:t>（4）其他因素评分标准：见评标办法前附表。</w:t>
      </w:r>
    </w:p>
    <w:p>
      <w:pPr>
        <w:widowControl/>
        <w:spacing w:line="312" w:lineRule="auto"/>
        <w:jc w:val="left"/>
        <w:outlineLvl w:val="1"/>
        <w:rPr>
          <w:rFonts w:eastAsia="黑体"/>
          <w:color w:val="auto"/>
          <w:sz w:val="28"/>
          <w:szCs w:val="28"/>
          <w:highlight w:val="none"/>
        </w:rPr>
      </w:pPr>
      <w:bookmarkStart w:id="15" w:name="_Toc12432"/>
      <w:bookmarkStart w:id="16" w:name="_Toc11013"/>
      <w:bookmarkStart w:id="17" w:name="_Toc8992"/>
      <w:bookmarkStart w:id="18" w:name="_Toc20802"/>
      <w:r>
        <w:rPr>
          <w:rFonts w:eastAsia="黑体"/>
          <w:color w:val="auto"/>
          <w:sz w:val="28"/>
          <w:szCs w:val="28"/>
          <w:highlight w:val="none"/>
        </w:rPr>
        <w:t>3.评标程序</w:t>
      </w:r>
      <w:bookmarkEnd w:id="15"/>
      <w:bookmarkEnd w:id="16"/>
      <w:bookmarkEnd w:id="17"/>
      <w:bookmarkEnd w:id="18"/>
    </w:p>
    <w:p>
      <w:pPr>
        <w:widowControl/>
        <w:spacing w:line="312" w:lineRule="auto"/>
        <w:jc w:val="left"/>
        <w:outlineLvl w:val="2"/>
        <w:rPr>
          <w:rFonts w:eastAsia="黑体"/>
          <w:color w:val="auto"/>
          <w:kern w:val="0"/>
          <w:sz w:val="24"/>
          <w:highlight w:val="none"/>
        </w:rPr>
      </w:pPr>
      <w:bookmarkStart w:id="19" w:name="_Toc20378"/>
      <w:bookmarkStart w:id="20" w:name="_Toc20980"/>
      <w:bookmarkStart w:id="21" w:name="_Toc14941"/>
      <w:bookmarkStart w:id="22" w:name="_Toc22616"/>
      <w:r>
        <w:rPr>
          <w:rFonts w:eastAsia="黑体"/>
          <w:color w:val="auto"/>
          <w:kern w:val="0"/>
          <w:sz w:val="24"/>
          <w:highlight w:val="none"/>
        </w:rPr>
        <w:t>3.1第一个信封初步评审</w:t>
      </w:r>
      <w:bookmarkEnd w:id="19"/>
      <w:bookmarkEnd w:id="20"/>
      <w:bookmarkEnd w:id="21"/>
      <w:bookmarkEnd w:id="22"/>
    </w:p>
    <w:p>
      <w:pPr>
        <w:widowControl/>
        <w:spacing w:line="312" w:lineRule="auto"/>
        <w:ind w:firstLine="480" w:firstLineChars="200"/>
        <w:jc w:val="left"/>
        <w:rPr>
          <w:color w:val="auto"/>
          <w:sz w:val="24"/>
          <w:highlight w:val="none"/>
        </w:rPr>
      </w:pPr>
      <w:r>
        <w:rPr>
          <w:color w:val="auto"/>
          <w:sz w:val="24"/>
          <w:highlight w:val="none"/>
        </w:rPr>
        <w:t>3.1.1 评标委员会可以要求投标人提交第二章</w:t>
      </w:r>
      <w:r>
        <w:rPr>
          <w:rFonts w:hint="eastAsia"/>
          <w:color w:val="auto"/>
          <w:sz w:val="24"/>
          <w:highlight w:val="none"/>
        </w:rPr>
        <w:t>“</w:t>
      </w:r>
      <w:r>
        <w:rPr>
          <w:color w:val="auto"/>
          <w:sz w:val="24"/>
          <w:highlight w:val="none"/>
        </w:rPr>
        <w:t>投标人须知</w:t>
      </w:r>
      <w:r>
        <w:rPr>
          <w:rFonts w:hint="eastAsia"/>
          <w:color w:val="auto"/>
          <w:sz w:val="24"/>
          <w:highlight w:val="none"/>
        </w:rPr>
        <w:t>”</w:t>
      </w:r>
      <w:r>
        <w:rPr>
          <w:color w:val="auto"/>
          <w:sz w:val="24"/>
          <w:highlight w:val="none"/>
        </w:rPr>
        <w:t>第3.5.1项至第3.5.5项规定的有关证明和证件的原件，以便核验。评标委员会依据本章第2.1款规定的标准对投标文件第一个信封（商务及技术文件）进行初步评审。有一项不符合评审标准的，评标委员会应否决其投标。（适用于未进行资格预审的）</w:t>
      </w:r>
    </w:p>
    <w:p>
      <w:pPr>
        <w:widowControl/>
        <w:spacing w:line="312" w:lineRule="auto"/>
        <w:jc w:val="left"/>
        <w:outlineLvl w:val="2"/>
        <w:rPr>
          <w:rFonts w:eastAsia="黑体"/>
          <w:color w:val="auto"/>
          <w:kern w:val="0"/>
          <w:sz w:val="24"/>
          <w:highlight w:val="none"/>
        </w:rPr>
      </w:pPr>
      <w:bookmarkStart w:id="23" w:name="_Toc5878"/>
      <w:bookmarkStart w:id="24" w:name="_Toc446"/>
      <w:bookmarkStart w:id="25" w:name="_Toc5916"/>
      <w:bookmarkStart w:id="26" w:name="_Toc12255"/>
      <w:r>
        <w:rPr>
          <w:rFonts w:eastAsia="黑体"/>
          <w:color w:val="auto"/>
          <w:kern w:val="0"/>
          <w:sz w:val="24"/>
          <w:highlight w:val="none"/>
        </w:rPr>
        <w:t>3.2 第一个信封详细评审</w:t>
      </w:r>
      <w:bookmarkEnd w:id="23"/>
      <w:bookmarkEnd w:id="24"/>
      <w:bookmarkEnd w:id="25"/>
      <w:bookmarkEnd w:id="26"/>
    </w:p>
    <w:p>
      <w:pPr>
        <w:widowControl/>
        <w:spacing w:line="312" w:lineRule="auto"/>
        <w:ind w:firstLine="480" w:firstLineChars="200"/>
        <w:jc w:val="left"/>
        <w:rPr>
          <w:color w:val="auto"/>
          <w:sz w:val="24"/>
          <w:highlight w:val="none"/>
        </w:rPr>
      </w:pPr>
      <w:r>
        <w:rPr>
          <w:color w:val="auto"/>
          <w:sz w:val="24"/>
          <w:highlight w:val="none"/>
        </w:rPr>
        <w:t>3.2.1 评标委员会按本章第2.2款规定的量化因素和分值进行打分，并计算出各投标人的商务和技术得分。</w:t>
      </w:r>
    </w:p>
    <w:p>
      <w:pPr>
        <w:widowControl/>
        <w:spacing w:line="312" w:lineRule="auto"/>
        <w:ind w:firstLine="480" w:firstLineChars="200"/>
        <w:jc w:val="left"/>
        <w:rPr>
          <w:color w:val="auto"/>
          <w:sz w:val="24"/>
          <w:highlight w:val="none"/>
        </w:rPr>
      </w:pPr>
      <w:r>
        <w:rPr>
          <w:color w:val="auto"/>
          <w:sz w:val="24"/>
          <w:highlight w:val="none"/>
        </w:rPr>
        <w:t>（1）按本章第2.2.4项（1）目规定的评审因素和分值对技术建议书部分计算出得分A；</w:t>
      </w:r>
    </w:p>
    <w:p>
      <w:pPr>
        <w:widowControl/>
        <w:spacing w:line="312" w:lineRule="auto"/>
        <w:ind w:firstLine="480" w:firstLineChars="200"/>
        <w:jc w:val="left"/>
        <w:rPr>
          <w:color w:val="auto"/>
          <w:sz w:val="24"/>
          <w:highlight w:val="none"/>
        </w:rPr>
      </w:pPr>
      <w:r>
        <w:rPr>
          <w:color w:val="auto"/>
          <w:sz w:val="24"/>
          <w:highlight w:val="none"/>
        </w:rPr>
        <w:t>（2）按本章第2.2.4项（2）目规定的评审因素和分值对主要人员部分计算出得分B；</w:t>
      </w:r>
    </w:p>
    <w:p>
      <w:pPr>
        <w:widowControl/>
        <w:spacing w:line="312" w:lineRule="auto"/>
        <w:ind w:left="458" w:leftChars="218"/>
        <w:jc w:val="left"/>
        <w:rPr>
          <w:color w:val="auto"/>
          <w:sz w:val="24"/>
          <w:highlight w:val="none"/>
        </w:rPr>
      </w:pPr>
      <w:r>
        <w:rPr>
          <w:color w:val="auto"/>
          <w:sz w:val="24"/>
          <w:highlight w:val="none"/>
        </w:rPr>
        <w:t>（3）按本章第2.2.4项（4）目规定的评审因素和分值对其他部分计算出得分D。</w:t>
      </w:r>
    </w:p>
    <w:p>
      <w:pPr>
        <w:widowControl/>
        <w:spacing w:line="312" w:lineRule="auto"/>
        <w:ind w:firstLine="480" w:firstLineChars="200"/>
        <w:jc w:val="left"/>
        <w:rPr>
          <w:color w:val="auto"/>
          <w:sz w:val="24"/>
          <w:highlight w:val="none"/>
        </w:rPr>
      </w:pPr>
      <w:r>
        <w:rPr>
          <w:color w:val="auto"/>
          <w:sz w:val="24"/>
          <w:highlight w:val="none"/>
        </w:rPr>
        <w:t>3.2.2 投标人的商务和技术得分分值计算保留小数点后两位，小数点后第三位</w:t>
      </w:r>
      <w:r>
        <w:rPr>
          <w:rFonts w:hint="eastAsia"/>
          <w:color w:val="auto"/>
          <w:sz w:val="24"/>
          <w:highlight w:val="none"/>
        </w:rPr>
        <w:t>“</w:t>
      </w:r>
      <w:r>
        <w:rPr>
          <w:color w:val="auto"/>
          <w:sz w:val="24"/>
          <w:highlight w:val="none"/>
        </w:rPr>
        <w:t>四舍五入</w:t>
      </w:r>
      <w:r>
        <w:rPr>
          <w:rFonts w:hint="eastAsia"/>
          <w:color w:val="auto"/>
          <w:sz w:val="24"/>
          <w:highlight w:val="none"/>
        </w:rPr>
        <w:t>”</w:t>
      </w:r>
      <w:r>
        <w:rPr>
          <w:color w:val="auto"/>
          <w:sz w:val="24"/>
          <w:highlight w:val="none"/>
        </w:rPr>
        <w:t>。</w:t>
      </w:r>
    </w:p>
    <w:p>
      <w:pPr>
        <w:widowControl/>
        <w:spacing w:line="312" w:lineRule="auto"/>
        <w:ind w:firstLine="480" w:firstLineChars="200"/>
        <w:jc w:val="left"/>
        <w:rPr>
          <w:color w:val="auto"/>
          <w:sz w:val="24"/>
          <w:highlight w:val="none"/>
        </w:rPr>
      </w:pPr>
      <w:r>
        <w:rPr>
          <w:color w:val="auto"/>
          <w:sz w:val="24"/>
          <w:highlight w:val="none"/>
        </w:rPr>
        <w:t>3.2.3 投标人的商务和技术得分=A+B+D。</w:t>
      </w:r>
    </w:p>
    <w:p>
      <w:pPr>
        <w:widowControl/>
        <w:spacing w:line="312" w:lineRule="auto"/>
        <w:jc w:val="left"/>
        <w:outlineLvl w:val="2"/>
        <w:rPr>
          <w:rFonts w:eastAsia="黑体"/>
          <w:color w:val="auto"/>
          <w:kern w:val="0"/>
          <w:sz w:val="24"/>
          <w:highlight w:val="none"/>
        </w:rPr>
      </w:pPr>
      <w:bookmarkStart w:id="27" w:name="_Toc29803"/>
      <w:bookmarkStart w:id="28" w:name="_Toc9469"/>
      <w:bookmarkStart w:id="29" w:name="_Toc29582"/>
      <w:bookmarkStart w:id="30" w:name="_Toc32010"/>
      <w:r>
        <w:rPr>
          <w:rFonts w:eastAsia="黑体"/>
          <w:color w:val="auto"/>
          <w:kern w:val="0"/>
          <w:sz w:val="24"/>
          <w:highlight w:val="none"/>
        </w:rPr>
        <w:t>3.3 第二个信封开标</w:t>
      </w:r>
      <w:bookmarkEnd w:id="27"/>
      <w:bookmarkEnd w:id="28"/>
      <w:bookmarkEnd w:id="29"/>
      <w:bookmarkEnd w:id="30"/>
    </w:p>
    <w:p>
      <w:pPr>
        <w:widowControl/>
        <w:spacing w:line="312" w:lineRule="auto"/>
        <w:ind w:firstLine="480" w:firstLineChars="200"/>
        <w:jc w:val="left"/>
        <w:rPr>
          <w:color w:val="auto"/>
          <w:sz w:val="24"/>
          <w:highlight w:val="none"/>
        </w:rPr>
      </w:pPr>
      <w:r>
        <w:rPr>
          <w:color w:val="auto"/>
          <w:sz w:val="24"/>
          <w:highlight w:val="none"/>
        </w:rPr>
        <w:t>第一个信封（商务及技术文件）评审结束后，招标人将按照第二章</w:t>
      </w:r>
      <w:r>
        <w:rPr>
          <w:rFonts w:hint="eastAsia"/>
          <w:color w:val="auto"/>
          <w:sz w:val="24"/>
          <w:highlight w:val="none"/>
        </w:rPr>
        <w:t>“</w:t>
      </w:r>
      <w:r>
        <w:rPr>
          <w:color w:val="auto"/>
          <w:sz w:val="24"/>
          <w:highlight w:val="none"/>
        </w:rPr>
        <w:t>投标人须知</w:t>
      </w:r>
      <w:r>
        <w:rPr>
          <w:rFonts w:hint="eastAsia"/>
          <w:color w:val="auto"/>
          <w:sz w:val="24"/>
          <w:highlight w:val="none"/>
        </w:rPr>
        <w:t>”</w:t>
      </w:r>
      <w:r>
        <w:rPr>
          <w:color w:val="auto"/>
          <w:sz w:val="24"/>
          <w:highlight w:val="none"/>
        </w:rPr>
        <w:t>第5.1款规定的时间和地点对通过投标文件第一个信封（商务及技术文件）评审的投标文件第二个信封（报价文件）进行开标。</w:t>
      </w:r>
    </w:p>
    <w:p>
      <w:pPr>
        <w:widowControl/>
        <w:spacing w:line="312" w:lineRule="auto"/>
        <w:jc w:val="left"/>
        <w:outlineLvl w:val="2"/>
        <w:rPr>
          <w:rFonts w:eastAsia="黑体"/>
          <w:color w:val="auto"/>
          <w:kern w:val="0"/>
          <w:sz w:val="24"/>
          <w:highlight w:val="none"/>
        </w:rPr>
      </w:pPr>
      <w:bookmarkStart w:id="31" w:name="_Toc435"/>
      <w:bookmarkStart w:id="32" w:name="_Toc25888"/>
      <w:bookmarkStart w:id="33" w:name="_Toc4434"/>
      <w:bookmarkStart w:id="34" w:name="_Toc27827"/>
      <w:r>
        <w:rPr>
          <w:rFonts w:eastAsia="黑体"/>
          <w:color w:val="auto"/>
          <w:kern w:val="0"/>
          <w:sz w:val="24"/>
          <w:highlight w:val="none"/>
        </w:rPr>
        <w:t>3.4 第二个信封初步评审</w:t>
      </w:r>
      <w:bookmarkEnd w:id="31"/>
      <w:bookmarkEnd w:id="32"/>
      <w:bookmarkEnd w:id="33"/>
      <w:bookmarkEnd w:id="34"/>
    </w:p>
    <w:p>
      <w:pPr>
        <w:widowControl/>
        <w:spacing w:line="312" w:lineRule="auto"/>
        <w:ind w:firstLine="480" w:firstLineChars="200"/>
        <w:jc w:val="left"/>
        <w:rPr>
          <w:color w:val="auto"/>
          <w:sz w:val="24"/>
          <w:highlight w:val="none"/>
        </w:rPr>
      </w:pPr>
      <w:r>
        <w:rPr>
          <w:color w:val="auto"/>
          <w:sz w:val="24"/>
          <w:highlight w:val="none"/>
        </w:rPr>
        <w:t>3.4.1 评标委员会依据本章第2.1.1项、第2.1.3项规定的评审标准对投标文件第二个信封（报价文件）进行初步评审。有一项不符合评审标准的，评标委员会应否决其投标。</w:t>
      </w:r>
    </w:p>
    <w:p>
      <w:pPr>
        <w:widowControl/>
        <w:spacing w:line="312" w:lineRule="auto"/>
        <w:ind w:firstLine="480" w:firstLineChars="200"/>
        <w:jc w:val="left"/>
        <w:rPr>
          <w:color w:val="auto"/>
          <w:sz w:val="24"/>
          <w:highlight w:val="none"/>
        </w:rPr>
      </w:pPr>
      <w:r>
        <w:rPr>
          <w:color w:val="auto"/>
          <w:sz w:val="24"/>
          <w:highlight w:val="none"/>
        </w:rPr>
        <w:t>3.4.2 投标报价有算术错误的，评标委员会按以下原则对投标报价进行修正，修正的价格经投标人书面确认后具有约束力。投标人不接受修正价格的，评标委员会应否决其投标。</w:t>
      </w:r>
    </w:p>
    <w:p>
      <w:pPr>
        <w:widowControl/>
        <w:spacing w:line="312" w:lineRule="auto"/>
        <w:ind w:firstLine="480" w:firstLineChars="200"/>
        <w:jc w:val="left"/>
        <w:rPr>
          <w:color w:val="auto"/>
          <w:sz w:val="24"/>
          <w:highlight w:val="none"/>
        </w:rPr>
      </w:pPr>
      <w:r>
        <w:rPr>
          <w:color w:val="auto"/>
          <w:sz w:val="24"/>
          <w:highlight w:val="none"/>
        </w:rPr>
        <w:t>（1）投标文件中的大写金额与小写金额不一致的，以大写金额为准；</w:t>
      </w:r>
    </w:p>
    <w:p>
      <w:pPr>
        <w:widowControl/>
        <w:spacing w:line="312" w:lineRule="auto"/>
        <w:ind w:firstLine="480" w:firstLineChars="200"/>
        <w:jc w:val="left"/>
        <w:rPr>
          <w:color w:val="auto"/>
          <w:sz w:val="24"/>
          <w:highlight w:val="none"/>
        </w:rPr>
      </w:pPr>
      <w:r>
        <w:rPr>
          <w:color w:val="auto"/>
          <w:sz w:val="24"/>
          <w:highlight w:val="none"/>
        </w:rPr>
        <w:t>（2）总价金额与依据单价计算出的结果不致的，以单价金额为准修正总价，但单价金额小数点有明显错误的除外；</w:t>
      </w:r>
    </w:p>
    <w:p>
      <w:pPr>
        <w:widowControl/>
        <w:spacing w:line="312" w:lineRule="auto"/>
        <w:ind w:firstLine="480" w:firstLineChars="200"/>
        <w:jc w:val="left"/>
        <w:rPr>
          <w:color w:val="auto"/>
          <w:sz w:val="24"/>
          <w:highlight w:val="none"/>
        </w:rPr>
      </w:pPr>
      <w:r>
        <w:rPr>
          <w:color w:val="auto"/>
          <w:sz w:val="24"/>
          <w:highlight w:val="none"/>
        </w:rPr>
        <w:t>（3）当单价与数量相乘不等于合价时，以单价计算为准，如果单价有明显的小数点位置差错，应以标出的合价为准，同时对单价予以修正；</w:t>
      </w:r>
    </w:p>
    <w:p>
      <w:pPr>
        <w:widowControl/>
        <w:spacing w:line="312" w:lineRule="auto"/>
        <w:ind w:firstLine="480" w:firstLineChars="200"/>
        <w:jc w:val="left"/>
        <w:rPr>
          <w:color w:val="auto"/>
          <w:sz w:val="24"/>
          <w:highlight w:val="none"/>
        </w:rPr>
      </w:pPr>
      <w:r>
        <w:rPr>
          <w:color w:val="auto"/>
          <w:sz w:val="24"/>
          <w:highlight w:val="none"/>
        </w:rPr>
        <w:t>（4）当各子目的合价累计不等于总价时，应以各子目合价累计数为准，修正总价。</w:t>
      </w:r>
    </w:p>
    <w:p>
      <w:pPr>
        <w:widowControl/>
        <w:spacing w:line="312" w:lineRule="auto"/>
        <w:ind w:firstLine="480" w:firstLineChars="200"/>
        <w:jc w:val="left"/>
        <w:rPr>
          <w:color w:val="auto"/>
          <w:sz w:val="24"/>
          <w:highlight w:val="none"/>
        </w:rPr>
      </w:pPr>
      <w:r>
        <w:rPr>
          <w:color w:val="auto"/>
          <w:sz w:val="24"/>
          <w:highlight w:val="none"/>
        </w:rPr>
        <w:t>3.4.3 修正后的最终投标报价若超过最高投标限价（如有），评标委员会应否决其投标。</w:t>
      </w:r>
    </w:p>
    <w:p>
      <w:pPr>
        <w:widowControl/>
        <w:spacing w:line="312" w:lineRule="auto"/>
        <w:ind w:firstLine="480" w:firstLineChars="200"/>
        <w:jc w:val="left"/>
        <w:rPr>
          <w:color w:val="auto"/>
          <w:sz w:val="24"/>
          <w:highlight w:val="none"/>
        </w:rPr>
      </w:pPr>
      <w:r>
        <w:rPr>
          <w:color w:val="auto"/>
          <w:sz w:val="24"/>
          <w:highlight w:val="none"/>
        </w:rPr>
        <w:t>3.4.4 修正后的最终投标报价仅作为签订合同的一个依据，不参与评标价得分的计算。</w:t>
      </w:r>
    </w:p>
    <w:p>
      <w:pPr>
        <w:widowControl/>
        <w:spacing w:line="312" w:lineRule="auto"/>
        <w:jc w:val="left"/>
        <w:outlineLvl w:val="2"/>
        <w:rPr>
          <w:rFonts w:eastAsia="黑体"/>
          <w:color w:val="auto"/>
          <w:kern w:val="0"/>
          <w:sz w:val="24"/>
          <w:highlight w:val="none"/>
        </w:rPr>
      </w:pPr>
      <w:bookmarkStart w:id="35" w:name="_Toc22335"/>
      <w:bookmarkStart w:id="36" w:name="_Toc7100"/>
      <w:bookmarkStart w:id="37" w:name="_Toc29948"/>
      <w:bookmarkStart w:id="38" w:name="_Toc16500"/>
      <w:r>
        <w:rPr>
          <w:rFonts w:eastAsia="黑体"/>
          <w:color w:val="auto"/>
          <w:kern w:val="0"/>
          <w:sz w:val="24"/>
          <w:highlight w:val="none"/>
        </w:rPr>
        <w:t>3.5 第二个信封详细评审</w:t>
      </w:r>
      <w:bookmarkEnd w:id="35"/>
      <w:bookmarkEnd w:id="36"/>
      <w:bookmarkEnd w:id="37"/>
      <w:bookmarkEnd w:id="38"/>
    </w:p>
    <w:p>
      <w:pPr>
        <w:widowControl/>
        <w:spacing w:line="312" w:lineRule="auto"/>
        <w:ind w:firstLine="480" w:firstLineChars="200"/>
        <w:jc w:val="left"/>
        <w:rPr>
          <w:color w:val="auto"/>
          <w:sz w:val="24"/>
          <w:highlight w:val="none"/>
        </w:rPr>
      </w:pPr>
      <w:r>
        <w:rPr>
          <w:color w:val="auto"/>
          <w:sz w:val="24"/>
          <w:highlight w:val="none"/>
        </w:rPr>
        <w:t>3.5.1 评标委员会按本章第2.2.4项（3）目规定的评审因素和分值对评标价计算出得分C。评标价得分分值计算保留小数点后两位，小数点后第三位</w:t>
      </w:r>
      <w:r>
        <w:rPr>
          <w:rFonts w:hint="eastAsia"/>
          <w:color w:val="auto"/>
          <w:sz w:val="24"/>
          <w:highlight w:val="none"/>
        </w:rPr>
        <w:t>“</w:t>
      </w:r>
      <w:r>
        <w:rPr>
          <w:color w:val="auto"/>
          <w:sz w:val="24"/>
          <w:highlight w:val="none"/>
        </w:rPr>
        <w:t>四舍五入</w:t>
      </w:r>
      <w:r>
        <w:rPr>
          <w:rFonts w:hint="eastAsia"/>
          <w:color w:val="auto"/>
          <w:sz w:val="24"/>
          <w:highlight w:val="none"/>
        </w:rPr>
        <w:t>”</w:t>
      </w:r>
      <w:r>
        <w:rPr>
          <w:color w:val="auto"/>
          <w:sz w:val="24"/>
          <w:highlight w:val="none"/>
        </w:rPr>
        <w:t>。</w:t>
      </w:r>
    </w:p>
    <w:p>
      <w:pPr>
        <w:widowControl/>
        <w:spacing w:line="312" w:lineRule="auto"/>
        <w:ind w:firstLine="480" w:firstLineChars="200"/>
        <w:jc w:val="left"/>
        <w:rPr>
          <w:color w:val="auto"/>
          <w:sz w:val="24"/>
          <w:highlight w:val="none"/>
        </w:rPr>
      </w:pPr>
      <w:r>
        <w:rPr>
          <w:color w:val="auto"/>
          <w:sz w:val="24"/>
          <w:highlight w:val="none"/>
        </w:rPr>
        <w:t>3.5.2 投标人综合得分=投标人的商务和技术得分+C。</w:t>
      </w:r>
    </w:p>
    <w:p>
      <w:pPr>
        <w:widowControl/>
        <w:spacing w:line="312" w:lineRule="auto"/>
        <w:ind w:firstLine="480" w:firstLineChars="200"/>
        <w:jc w:val="left"/>
        <w:rPr>
          <w:color w:val="auto"/>
          <w:sz w:val="24"/>
          <w:highlight w:val="none"/>
        </w:rPr>
      </w:pPr>
      <w:r>
        <w:rPr>
          <w:color w:val="auto"/>
          <w:sz w:val="24"/>
          <w:highlight w:val="none"/>
        </w:rPr>
        <w:t>3.5.3 评标委员会发现投标人的报价明显低于其他投标报价，使得其投标报价可能低于其个别成本的，应要求该投标人作出书面说明并提供相应的证明材料。投标人不能合埋说明或不能提供相应证明材料的，评标委员会应认定该投标人以低于成本报价竞标，并否决其投标。</w:t>
      </w:r>
    </w:p>
    <w:p>
      <w:pPr>
        <w:widowControl/>
        <w:spacing w:line="312" w:lineRule="auto"/>
        <w:jc w:val="left"/>
        <w:outlineLvl w:val="2"/>
        <w:rPr>
          <w:rFonts w:eastAsia="黑体"/>
          <w:color w:val="auto"/>
          <w:kern w:val="0"/>
          <w:sz w:val="24"/>
          <w:highlight w:val="none"/>
        </w:rPr>
      </w:pPr>
      <w:bookmarkStart w:id="39" w:name="_Toc14909"/>
      <w:bookmarkStart w:id="40" w:name="_Toc3508"/>
      <w:bookmarkStart w:id="41" w:name="_Toc8834"/>
      <w:bookmarkStart w:id="42" w:name="_Toc21083"/>
      <w:r>
        <w:rPr>
          <w:rFonts w:eastAsia="黑体"/>
          <w:color w:val="auto"/>
          <w:kern w:val="0"/>
          <w:sz w:val="24"/>
          <w:highlight w:val="none"/>
        </w:rPr>
        <w:t>3.6 投标文件相关信息的核查</w:t>
      </w:r>
      <w:bookmarkEnd w:id="39"/>
      <w:bookmarkEnd w:id="40"/>
      <w:bookmarkEnd w:id="41"/>
      <w:bookmarkEnd w:id="42"/>
    </w:p>
    <w:p>
      <w:pPr>
        <w:widowControl/>
        <w:spacing w:line="312" w:lineRule="auto"/>
        <w:ind w:firstLine="482" w:firstLineChars="200"/>
        <w:jc w:val="left"/>
        <w:rPr>
          <w:b/>
          <w:bCs/>
          <w:color w:val="auto"/>
          <w:sz w:val="24"/>
          <w:highlight w:val="none"/>
        </w:rPr>
      </w:pPr>
      <w:r>
        <w:rPr>
          <w:b/>
          <w:bCs/>
          <w:color w:val="auto"/>
          <w:sz w:val="24"/>
          <w:highlight w:val="none"/>
        </w:rPr>
        <w:t xml:space="preserve">3.6.1 </w:t>
      </w:r>
      <w:r>
        <w:rPr>
          <w:rFonts w:hint="eastAsia"/>
          <w:b/>
          <w:bCs/>
          <w:color w:val="auto"/>
          <w:sz w:val="24"/>
          <w:highlight w:val="none"/>
        </w:rPr>
        <w:t>在评标过程中，评标委员会应对投标人的资质、主要人员资历、信用等级等信息进行核实。若投标文件载明的信息实际信息不符，使得投标人的资格条件不符合招标文件规定的，评标委员会应否决其投标。</w:t>
      </w:r>
    </w:p>
    <w:p>
      <w:pPr>
        <w:widowControl/>
        <w:spacing w:line="312" w:lineRule="auto"/>
        <w:ind w:firstLine="480" w:firstLineChars="200"/>
        <w:jc w:val="left"/>
        <w:rPr>
          <w:color w:val="auto"/>
          <w:sz w:val="24"/>
          <w:highlight w:val="none"/>
        </w:rPr>
      </w:pPr>
      <w:r>
        <w:rPr>
          <w:color w:val="auto"/>
          <w:sz w:val="24"/>
          <w:highlight w:val="none"/>
        </w:rPr>
        <w:t>3.6.2 评标委员会应对在评标过程中发现的投标人与投标人之间、投标人与招标人之间存在的串通投标的情形进行评审和认定。投标人存在串通投标、弄虚作假、行贿等违法行为的，评标委员会应否决其投标。</w:t>
      </w:r>
    </w:p>
    <w:p>
      <w:pPr>
        <w:widowControl/>
        <w:spacing w:line="312" w:lineRule="auto"/>
        <w:ind w:firstLine="480" w:firstLineChars="200"/>
        <w:jc w:val="left"/>
        <w:rPr>
          <w:color w:val="auto"/>
          <w:sz w:val="24"/>
          <w:highlight w:val="none"/>
        </w:rPr>
      </w:pPr>
      <w:r>
        <w:rPr>
          <w:color w:val="auto"/>
          <w:sz w:val="24"/>
          <w:highlight w:val="none"/>
        </w:rPr>
        <w:t>（1）有下列情形之一的，属于投标人相互串通投标：</w:t>
      </w:r>
    </w:p>
    <w:p>
      <w:pPr>
        <w:widowControl/>
        <w:spacing w:line="312" w:lineRule="auto"/>
        <w:ind w:firstLine="480" w:firstLineChars="200"/>
        <w:jc w:val="left"/>
        <w:rPr>
          <w:color w:val="auto"/>
          <w:sz w:val="24"/>
          <w:highlight w:val="none"/>
        </w:rPr>
      </w:pPr>
      <w:r>
        <w:rPr>
          <w:color w:val="auto"/>
          <w:sz w:val="24"/>
          <w:highlight w:val="none"/>
        </w:rPr>
        <w:t>a. 投标人之间协商投标报价等投标文件的实质性内容；</w:t>
      </w:r>
    </w:p>
    <w:p>
      <w:pPr>
        <w:widowControl/>
        <w:spacing w:line="312" w:lineRule="auto"/>
        <w:ind w:firstLine="480" w:firstLineChars="200"/>
        <w:jc w:val="left"/>
        <w:rPr>
          <w:color w:val="auto"/>
          <w:sz w:val="24"/>
          <w:highlight w:val="none"/>
        </w:rPr>
      </w:pPr>
      <w:r>
        <w:rPr>
          <w:color w:val="auto"/>
          <w:sz w:val="24"/>
          <w:highlight w:val="none"/>
        </w:rPr>
        <w:t>b. 投标人之间约定中标人；</w:t>
      </w:r>
    </w:p>
    <w:p>
      <w:pPr>
        <w:widowControl/>
        <w:spacing w:line="312" w:lineRule="auto"/>
        <w:ind w:firstLine="480" w:firstLineChars="200"/>
        <w:jc w:val="left"/>
        <w:rPr>
          <w:color w:val="auto"/>
          <w:sz w:val="24"/>
          <w:highlight w:val="none"/>
        </w:rPr>
      </w:pPr>
      <w:r>
        <w:rPr>
          <w:color w:val="auto"/>
          <w:sz w:val="24"/>
          <w:highlight w:val="none"/>
        </w:rPr>
        <w:t>c. 投标人之间约定部分投标人放弃投标或中标；</w:t>
      </w:r>
    </w:p>
    <w:p>
      <w:pPr>
        <w:widowControl/>
        <w:spacing w:line="312" w:lineRule="auto"/>
        <w:ind w:firstLine="480" w:firstLineChars="200"/>
        <w:jc w:val="left"/>
        <w:rPr>
          <w:color w:val="auto"/>
          <w:sz w:val="24"/>
          <w:highlight w:val="none"/>
        </w:rPr>
      </w:pPr>
      <w:r>
        <w:rPr>
          <w:color w:val="auto"/>
          <w:sz w:val="24"/>
          <w:highlight w:val="none"/>
        </w:rPr>
        <w:t>d. 属于同一集团、协会、商会等组织成员的投标人按照该组织要求协同投标；</w:t>
      </w:r>
    </w:p>
    <w:p>
      <w:pPr>
        <w:widowControl/>
        <w:spacing w:line="312" w:lineRule="auto"/>
        <w:ind w:firstLine="480" w:firstLineChars="200"/>
        <w:jc w:val="left"/>
        <w:rPr>
          <w:color w:val="auto"/>
          <w:sz w:val="24"/>
          <w:highlight w:val="none"/>
        </w:rPr>
      </w:pPr>
      <w:r>
        <w:rPr>
          <w:color w:val="auto"/>
          <w:sz w:val="24"/>
          <w:highlight w:val="none"/>
        </w:rPr>
        <w:t>e. 投标人之间为谋取中标或排斥特定投标人而采取的其他联合行动。</w:t>
      </w:r>
    </w:p>
    <w:p>
      <w:pPr>
        <w:widowControl/>
        <w:spacing w:line="312" w:lineRule="auto"/>
        <w:ind w:firstLine="480" w:firstLineChars="200"/>
        <w:jc w:val="left"/>
        <w:rPr>
          <w:color w:val="auto"/>
          <w:sz w:val="24"/>
          <w:highlight w:val="none"/>
        </w:rPr>
      </w:pPr>
      <w:r>
        <w:rPr>
          <w:color w:val="auto"/>
          <w:sz w:val="24"/>
          <w:highlight w:val="none"/>
        </w:rPr>
        <w:t>（2）有下列情形之一的，视为投标人相互串通投标：</w:t>
      </w:r>
    </w:p>
    <w:p>
      <w:pPr>
        <w:widowControl/>
        <w:spacing w:line="312" w:lineRule="auto"/>
        <w:ind w:firstLine="480" w:firstLineChars="200"/>
        <w:jc w:val="left"/>
        <w:rPr>
          <w:color w:val="auto"/>
          <w:sz w:val="24"/>
          <w:highlight w:val="none"/>
        </w:rPr>
      </w:pPr>
      <w:r>
        <w:rPr>
          <w:color w:val="auto"/>
          <w:sz w:val="24"/>
          <w:highlight w:val="none"/>
        </w:rPr>
        <w:t>a. 不同投标人的投标文件由同一单位或个人编制；</w:t>
      </w:r>
    </w:p>
    <w:p>
      <w:pPr>
        <w:widowControl/>
        <w:spacing w:line="312" w:lineRule="auto"/>
        <w:ind w:firstLine="480" w:firstLineChars="200"/>
        <w:jc w:val="left"/>
        <w:rPr>
          <w:color w:val="auto"/>
          <w:sz w:val="24"/>
          <w:highlight w:val="none"/>
        </w:rPr>
      </w:pPr>
      <w:r>
        <w:rPr>
          <w:color w:val="auto"/>
          <w:sz w:val="24"/>
          <w:highlight w:val="none"/>
        </w:rPr>
        <w:t>b. 不同投标人委托同一单位或个人办理投标事宜；</w:t>
      </w:r>
    </w:p>
    <w:p>
      <w:pPr>
        <w:widowControl/>
        <w:spacing w:line="312" w:lineRule="auto"/>
        <w:ind w:firstLine="480" w:firstLineChars="200"/>
        <w:jc w:val="left"/>
        <w:rPr>
          <w:color w:val="auto"/>
          <w:sz w:val="24"/>
          <w:highlight w:val="none"/>
        </w:rPr>
      </w:pPr>
      <w:r>
        <w:rPr>
          <w:color w:val="auto"/>
          <w:sz w:val="24"/>
          <w:highlight w:val="none"/>
        </w:rPr>
        <w:t>c. 不同投标人的投标文件载明的项目管理成员为同一人；</w:t>
      </w:r>
    </w:p>
    <w:p>
      <w:pPr>
        <w:widowControl/>
        <w:spacing w:line="312" w:lineRule="auto"/>
        <w:ind w:firstLine="480" w:firstLineChars="200"/>
        <w:jc w:val="left"/>
        <w:rPr>
          <w:color w:val="auto"/>
          <w:sz w:val="24"/>
          <w:highlight w:val="none"/>
        </w:rPr>
      </w:pPr>
      <w:r>
        <w:rPr>
          <w:color w:val="auto"/>
          <w:sz w:val="24"/>
          <w:highlight w:val="none"/>
        </w:rPr>
        <w:t>d. 不同投标人的投标文件异常一致或投标报价呈规律性差异；</w:t>
      </w:r>
    </w:p>
    <w:p>
      <w:pPr>
        <w:widowControl/>
        <w:spacing w:line="312" w:lineRule="auto"/>
        <w:ind w:firstLine="480" w:firstLineChars="200"/>
        <w:jc w:val="left"/>
        <w:rPr>
          <w:color w:val="auto"/>
          <w:sz w:val="24"/>
          <w:highlight w:val="none"/>
        </w:rPr>
      </w:pPr>
      <w:r>
        <w:rPr>
          <w:color w:val="auto"/>
          <w:sz w:val="24"/>
          <w:highlight w:val="none"/>
        </w:rPr>
        <w:t>e. 不同投标人的投标文件相互混装；</w:t>
      </w:r>
    </w:p>
    <w:p>
      <w:pPr>
        <w:widowControl/>
        <w:spacing w:line="312" w:lineRule="auto"/>
        <w:ind w:firstLine="480" w:firstLineChars="200"/>
        <w:jc w:val="left"/>
        <w:rPr>
          <w:color w:val="auto"/>
          <w:sz w:val="24"/>
          <w:highlight w:val="none"/>
        </w:rPr>
      </w:pPr>
      <w:r>
        <w:rPr>
          <w:color w:val="auto"/>
          <w:sz w:val="24"/>
          <w:highlight w:val="none"/>
        </w:rPr>
        <w:t>f. 不同投标人的投标保证金从同一单位或个人的账户转出。</w:t>
      </w:r>
    </w:p>
    <w:p>
      <w:pPr>
        <w:widowControl/>
        <w:spacing w:line="312" w:lineRule="auto"/>
        <w:ind w:firstLine="480" w:firstLineChars="200"/>
        <w:jc w:val="left"/>
        <w:rPr>
          <w:color w:val="auto"/>
          <w:sz w:val="24"/>
          <w:highlight w:val="none"/>
        </w:rPr>
      </w:pPr>
      <w:r>
        <w:rPr>
          <w:color w:val="auto"/>
          <w:sz w:val="24"/>
          <w:highlight w:val="none"/>
        </w:rPr>
        <w:t>（3）有下列情形之一的，属于招标人与投标人串通投标：</w:t>
      </w:r>
    </w:p>
    <w:p>
      <w:pPr>
        <w:widowControl/>
        <w:spacing w:line="312" w:lineRule="auto"/>
        <w:ind w:firstLine="480" w:firstLineChars="200"/>
        <w:jc w:val="left"/>
        <w:rPr>
          <w:color w:val="auto"/>
          <w:sz w:val="24"/>
          <w:highlight w:val="none"/>
        </w:rPr>
      </w:pPr>
      <w:r>
        <w:rPr>
          <w:color w:val="auto"/>
          <w:sz w:val="24"/>
          <w:highlight w:val="none"/>
        </w:rPr>
        <w:t>a. 招标人在开标前开启投标文件并将有关信息泄露给其他投标人；</w:t>
      </w:r>
    </w:p>
    <w:p>
      <w:pPr>
        <w:widowControl/>
        <w:spacing w:line="312" w:lineRule="auto"/>
        <w:ind w:firstLine="480" w:firstLineChars="200"/>
        <w:jc w:val="left"/>
        <w:rPr>
          <w:color w:val="auto"/>
          <w:sz w:val="24"/>
          <w:highlight w:val="none"/>
        </w:rPr>
      </w:pPr>
      <w:r>
        <w:rPr>
          <w:color w:val="auto"/>
          <w:sz w:val="24"/>
          <w:highlight w:val="none"/>
        </w:rPr>
        <w:t>b. 招标人直接或间接向投标人泄露标底、评标委员会成员等信息；</w:t>
      </w:r>
    </w:p>
    <w:p>
      <w:pPr>
        <w:widowControl/>
        <w:spacing w:line="312" w:lineRule="auto"/>
        <w:ind w:firstLine="480" w:firstLineChars="200"/>
        <w:jc w:val="left"/>
        <w:rPr>
          <w:color w:val="auto"/>
          <w:sz w:val="24"/>
          <w:highlight w:val="none"/>
        </w:rPr>
      </w:pPr>
      <w:r>
        <w:rPr>
          <w:color w:val="auto"/>
          <w:sz w:val="24"/>
          <w:highlight w:val="none"/>
        </w:rPr>
        <w:t>c. 招标人明示或暗示投标人压低或抬高投标报价；</w:t>
      </w:r>
    </w:p>
    <w:p>
      <w:pPr>
        <w:widowControl/>
        <w:spacing w:line="312" w:lineRule="auto"/>
        <w:ind w:firstLine="480" w:firstLineChars="200"/>
        <w:jc w:val="left"/>
        <w:rPr>
          <w:color w:val="auto"/>
          <w:sz w:val="24"/>
          <w:highlight w:val="none"/>
        </w:rPr>
      </w:pPr>
      <w:r>
        <w:rPr>
          <w:color w:val="auto"/>
          <w:sz w:val="24"/>
          <w:highlight w:val="none"/>
        </w:rPr>
        <w:t>d. 招标人授意投标人撤换、修改投标文件；</w:t>
      </w:r>
    </w:p>
    <w:p>
      <w:pPr>
        <w:widowControl/>
        <w:spacing w:line="312" w:lineRule="auto"/>
        <w:ind w:firstLine="480" w:firstLineChars="200"/>
        <w:jc w:val="left"/>
        <w:rPr>
          <w:color w:val="auto"/>
          <w:sz w:val="24"/>
          <w:highlight w:val="none"/>
        </w:rPr>
      </w:pPr>
      <w:r>
        <w:rPr>
          <w:color w:val="auto"/>
          <w:sz w:val="24"/>
          <w:highlight w:val="none"/>
        </w:rPr>
        <w:t>e. 招标人明示或暗示投标人为特定投标人中标提供方便；</w:t>
      </w:r>
    </w:p>
    <w:p>
      <w:pPr>
        <w:widowControl/>
        <w:spacing w:line="312" w:lineRule="auto"/>
        <w:ind w:firstLine="480" w:firstLineChars="200"/>
        <w:jc w:val="left"/>
        <w:rPr>
          <w:color w:val="auto"/>
          <w:sz w:val="24"/>
          <w:highlight w:val="none"/>
        </w:rPr>
      </w:pPr>
      <w:r>
        <w:rPr>
          <w:color w:val="auto"/>
          <w:sz w:val="24"/>
          <w:highlight w:val="none"/>
        </w:rPr>
        <w:t>f. 招标人与投标人为谋求特定投标人中标而采取的其他串通行为。</w:t>
      </w:r>
    </w:p>
    <w:p>
      <w:pPr>
        <w:widowControl/>
        <w:spacing w:line="312" w:lineRule="auto"/>
        <w:ind w:firstLine="480" w:firstLineChars="200"/>
        <w:jc w:val="left"/>
        <w:rPr>
          <w:color w:val="auto"/>
          <w:sz w:val="24"/>
          <w:highlight w:val="none"/>
        </w:rPr>
      </w:pPr>
      <w:r>
        <w:rPr>
          <w:color w:val="auto"/>
          <w:sz w:val="24"/>
          <w:highlight w:val="none"/>
        </w:rPr>
        <w:t>（4）投标人有下列情形之一的，属于弄虚作假的行为：</w:t>
      </w:r>
    </w:p>
    <w:p>
      <w:pPr>
        <w:widowControl/>
        <w:spacing w:line="312" w:lineRule="auto"/>
        <w:ind w:firstLine="480" w:firstLineChars="200"/>
        <w:jc w:val="left"/>
        <w:rPr>
          <w:color w:val="auto"/>
          <w:sz w:val="24"/>
          <w:highlight w:val="none"/>
        </w:rPr>
      </w:pPr>
      <w:r>
        <w:rPr>
          <w:color w:val="auto"/>
          <w:sz w:val="24"/>
          <w:highlight w:val="none"/>
        </w:rPr>
        <w:t>a. 使用通过受让或租借等方式获取的资格、资质证书投标；</w:t>
      </w:r>
    </w:p>
    <w:p>
      <w:pPr>
        <w:widowControl/>
        <w:spacing w:line="312" w:lineRule="auto"/>
        <w:ind w:firstLine="480" w:firstLineChars="200"/>
        <w:jc w:val="left"/>
        <w:rPr>
          <w:color w:val="auto"/>
          <w:sz w:val="24"/>
          <w:highlight w:val="none"/>
        </w:rPr>
      </w:pPr>
      <w:r>
        <w:rPr>
          <w:color w:val="auto"/>
          <w:sz w:val="24"/>
          <w:highlight w:val="none"/>
        </w:rPr>
        <w:t>b. 使用伪造、变造的许可证件；</w:t>
      </w:r>
    </w:p>
    <w:p>
      <w:pPr>
        <w:widowControl/>
        <w:spacing w:line="312" w:lineRule="auto"/>
        <w:ind w:firstLine="480" w:firstLineChars="200"/>
        <w:jc w:val="left"/>
        <w:rPr>
          <w:color w:val="auto"/>
          <w:sz w:val="24"/>
          <w:highlight w:val="none"/>
        </w:rPr>
      </w:pPr>
      <w:r>
        <w:rPr>
          <w:color w:val="auto"/>
          <w:sz w:val="24"/>
          <w:highlight w:val="none"/>
        </w:rPr>
        <w:t>c. 提供虚假的业绩；</w:t>
      </w:r>
    </w:p>
    <w:p>
      <w:pPr>
        <w:widowControl/>
        <w:spacing w:line="312" w:lineRule="auto"/>
        <w:ind w:firstLine="480" w:firstLineChars="200"/>
        <w:jc w:val="left"/>
        <w:rPr>
          <w:color w:val="auto"/>
          <w:sz w:val="24"/>
          <w:highlight w:val="none"/>
        </w:rPr>
      </w:pPr>
      <w:r>
        <w:rPr>
          <w:color w:val="auto"/>
          <w:sz w:val="24"/>
          <w:highlight w:val="none"/>
        </w:rPr>
        <w:t>d. 提供虚假的</w:t>
      </w:r>
      <w:r>
        <w:rPr>
          <w:rFonts w:hint="eastAsia"/>
          <w:color w:val="auto"/>
          <w:kern w:val="0"/>
          <w:sz w:val="24"/>
          <w:highlight w:val="none"/>
        </w:rPr>
        <w:t>检测负责人</w:t>
      </w:r>
      <w:r>
        <w:rPr>
          <w:color w:val="auto"/>
          <w:sz w:val="24"/>
          <w:highlight w:val="none"/>
        </w:rPr>
        <w:t>或</w:t>
      </w:r>
      <w:r>
        <w:rPr>
          <w:rFonts w:hint="eastAsia"/>
          <w:color w:val="auto"/>
          <w:sz w:val="24"/>
          <w:highlight w:val="none"/>
        </w:rPr>
        <w:t>其他</w:t>
      </w:r>
      <w:r>
        <w:rPr>
          <w:color w:val="auto"/>
          <w:sz w:val="24"/>
          <w:highlight w:val="none"/>
        </w:rPr>
        <w:t>人员简历、劳动关系证明；</w:t>
      </w:r>
    </w:p>
    <w:p>
      <w:pPr>
        <w:widowControl/>
        <w:spacing w:line="312" w:lineRule="auto"/>
        <w:ind w:firstLine="480" w:firstLineChars="200"/>
        <w:jc w:val="left"/>
        <w:rPr>
          <w:color w:val="auto"/>
          <w:sz w:val="24"/>
          <w:highlight w:val="none"/>
        </w:rPr>
      </w:pPr>
      <w:r>
        <w:rPr>
          <w:color w:val="auto"/>
          <w:sz w:val="24"/>
          <w:highlight w:val="none"/>
        </w:rPr>
        <w:t>e. 提供虚假的信用状况:f.其他弄虚作假的行为。</w:t>
      </w:r>
    </w:p>
    <w:p>
      <w:pPr>
        <w:widowControl/>
        <w:spacing w:line="312" w:lineRule="auto"/>
        <w:jc w:val="left"/>
        <w:outlineLvl w:val="2"/>
        <w:rPr>
          <w:rFonts w:eastAsia="黑体"/>
          <w:color w:val="auto"/>
          <w:kern w:val="0"/>
          <w:sz w:val="24"/>
          <w:highlight w:val="none"/>
        </w:rPr>
      </w:pPr>
      <w:bookmarkStart w:id="43" w:name="_Toc27096"/>
      <w:bookmarkStart w:id="44" w:name="_Toc4829"/>
      <w:bookmarkStart w:id="45" w:name="_Toc8766"/>
      <w:bookmarkStart w:id="46" w:name="_Toc12506"/>
      <w:r>
        <w:rPr>
          <w:rFonts w:eastAsia="黑体"/>
          <w:color w:val="auto"/>
          <w:kern w:val="0"/>
          <w:sz w:val="24"/>
          <w:highlight w:val="none"/>
        </w:rPr>
        <w:t>3.7 投标文件的澄清和说明</w:t>
      </w:r>
      <w:bookmarkEnd w:id="43"/>
      <w:bookmarkEnd w:id="44"/>
      <w:bookmarkEnd w:id="45"/>
      <w:bookmarkEnd w:id="46"/>
    </w:p>
    <w:p>
      <w:pPr>
        <w:widowControl/>
        <w:spacing w:line="312" w:lineRule="auto"/>
        <w:ind w:firstLine="480" w:firstLineChars="200"/>
        <w:jc w:val="left"/>
        <w:rPr>
          <w:color w:val="auto"/>
          <w:sz w:val="24"/>
          <w:highlight w:val="none"/>
        </w:rPr>
      </w:pPr>
      <w:r>
        <w:rPr>
          <w:color w:val="auto"/>
          <w:sz w:val="24"/>
          <w:highlight w:val="none"/>
        </w:rPr>
        <w:t>3.7.1 在评标过程中，评标委员会可以书面形式要求投标人对投标文件中含义个明确的内容、明显文字或计算错误进行书面澄清或说明。评标委员会不接受投标人主动提出的澄清、说明。投标人不按评标委员会要求澄清或说明的，评标委员会应否决其投标。</w:t>
      </w:r>
    </w:p>
    <w:p>
      <w:pPr>
        <w:widowControl/>
        <w:spacing w:line="312" w:lineRule="auto"/>
        <w:ind w:firstLine="480" w:firstLineChars="200"/>
        <w:jc w:val="left"/>
        <w:rPr>
          <w:color w:val="auto"/>
          <w:sz w:val="24"/>
          <w:highlight w:val="none"/>
        </w:rPr>
      </w:pPr>
      <w:r>
        <w:rPr>
          <w:color w:val="auto"/>
          <w:sz w:val="24"/>
          <w:highlight w:val="none"/>
        </w:rPr>
        <w:t>3.7.2 澄清和说明不得超出投标文件的范围或改变投标文件的实质性内容（算术性错误的修正除外）。投标人的书面澄清、说明属于投标文件的组成部分。</w:t>
      </w:r>
    </w:p>
    <w:p>
      <w:pPr>
        <w:widowControl/>
        <w:spacing w:line="312" w:lineRule="auto"/>
        <w:ind w:firstLine="480" w:firstLineChars="200"/>
        <w:jc w:val="left"/>
        <w:rPr>
          <w:color w:val="auto"/>
          <w:sz w:val="24"/>
          <w:highlight w:val="none"/>
        </w:rPr>
      </w:pPr>
      <w:r>
        <w:rPr>
          <w:color w:val="auto"/>
          <w:sz w:val="24"/>
          <w:highlight w:val="none"/>
        </w:rPr>
        <w:t>3.7.3 评标委员会不得暗示或诱导投标人作出澄清、说明，对投标人提交的澄清、说明有疑问的，可以要求投标人进一步澄清或说明，直至满足评标委员会的要求。</w:t>
      </w:r>
    </w:p>
    <w:p>
      <w:pPr>
        <w:widowControl/>
        <w:spacing w:line="312" w:lineRule="auto"/>
        <w:ind w:firstLine="480" w:firstLineChars="200"/>
        <w:jc w:val="left"/>
        <w:rPr>
          <w:color w:val="auto"/>
          <w:sz w:val="24"/>
          <w:highlight w:val="none"/>
        </w:rPr>
      </w:pPr>
      <w:r>
        <w:rPr>
          <w:color w:val="auto"/>
          <w:sz w:val="24"/>
          <w:highlight w:val="none"/>
        </w:rPr>
        <w:t>3.7.4 凡超出招标文件规定的或给委任人带来未曾要求的利益的变化、偏差或其他因素在评标时不予考虑。</w:t>
      </w:r>
    </w:p>
    <w:p>
      <w:pPr>
        <w:widowControl/>
        <w:spacing w:line="312" w:lineRule="auto"/>
        <w:jc w:val="left"/>
        <w:outlineLvl w:val="2"/>
        <w:rPr>
          <w:rFonts w:eastAsia="黑体"/>
          <w:color w:val="auto"/>
          <w:kern w:val="0"/>
          <w:sz w:val="24"/>
          <w:highlight w:val="none"/>
        </w:rPr>
      </w:pPr>
      <w:bookmarkStart w:id="47" w:name="_Toc25695"/>
      <w:bookmarkStart w:id="48" w:name="_Toc14284"/>
      <w:bookmarkStart w:id="49" w:name="_Toc28773"/>
      <w:bookmarkStart w:id="50" w:name="_Toc20811"/>
      <w:r>
        <w:rPr>
          <w:rFonts w:eastAsia="黑体"/>
          <w:color w:val="auto"/>
          <w:kern w:val="0"/>
          <w:sz w:val="24"/>
          <w:highlight w:val="none"/>
        </w:rPr>
        <w:t>3.8 不得否决投标的情形</w:t>
      </w:r>
      <w:bookmarkEnd w:id="47"/>
      <w:bookmarkEnd w:id="48"/>
      <w:bookmarkEnd w:id="49"/>
      <w:bookmarkEnd w:id="50"/>
    </w:p>
    <w:p>
      <w:pPr>
        <w:widowControl/>
        <w:spacing w:line="312" w:lineRule="auto"/>
        <w:ind w:firstLine="480" w:firstLineChars="200"/>
        <w:jc w:val="left"/>
        <w:rPr>
          <w:color w:val="auto"/>
          <w:sz w:val="24"/>
          <w:highlight w:val="none"/>
        </w:rPr>
      </w:pPr>
      <w:r>
        <w:rPr>
          <w:color w:val="auto"/>
          <w:sz w:val="24"/>
          <w:highlight w:val="none"/>
        </w:rPr>
        <w:t>投标文件存在第.二章</w:t>
      </w:r>
      <w:r>
        <w:rPr>
          <w:rFonts w:hint="eastAsia"/>
          <w:color w:val="auto"/>
          <w:sz w:val="24"/>
          <w:highlight w:val="none"/>
        </w:rPr>
        <w:t>“</w:t>
      </w:r>
      <w:r>
        <w:rPr>
          <w:color w:val="auto"/>
          <w:sz w:val="24"/>
          <w:highlight w:val="none"/>
        </w:rPr>
        <w:t>投标人须知</w:t>
      </w:r>
      <w:r>
        <w:rPr>
          <w:rFonts w:hint="eastAsia"/>
          <w:color w:val="auto"/>
          <w:sz w:val="24"/>
          <w:highlight w:val="none"/>
        </w:rPr>
        <w:t>”</w:t>
      </w:r>
      <w:r>
        <w:rPr>
          <w:color w:val="auto"/>
          <w:sz w:val="24"/>
          <w:highlight w:val="none"/>
        </w:rPr>
        <w:t>第1.12.3项所列情形的，均视为细微偏差，评标委员会不得否决投标人的投标，应按照第二章</w:t>
      </w:r>
      <w:r>
        <w:rPr>
          <w:rFonts w:hint="eastAsia"/>
          <w:color w:val="auto"/>
          <w:sz w:val="24"/>
          <w:highlight w:val="none"/>
        </w:rPr>
        <w:t>“</w:t>
      </w:r>
      <w:r>
        <w:rPr>
          <w:color w:val="auto"/>
          <w:sz w:val="24"/>
          <w:highlight w:val="none"/>
        </w:rPr>
        <w:t>投标人须知</w:t>
      </w:r>
      <w:r>
        <w:rPr>
          <w:rFonts w:hint="eastAsia"/>
          <w:color w:val="auto"/>
          <w:sz w:val="24"/>
          <w:highlight w:val="none"/>
        </w:rPr>
        <w:t>”</w:t>
      </w:r>
      <w:r>
        <w:rPr>
          <w:color w:val="auto"/>
          <w:sz w:val="24"/>
          <w:highlight w:val="none"/>
        </w:rPr>
        <w:t>第1.12.4项规定的原则处理。</w:t>
      </w:r>
    </w:p>
    <w:p>
      <w:pPr>
        <w:widowControl/>
        <w:spacing w:line="312" w:lineRule="auto"/>
        <w:ind w:left="480" w:hanging="480" w:hangingChars="200"/>
        <w:jc w:val="left"/>
        <w:outlineLvl w:val="2"/>
        <w:rPr>
          <w:rFonts w:eastAsia="黑体"/>
          <w:color w:val="auto"/>
          <w:kern w:val="0"/>
          <w:sz w:val="24"/>
          <w:highlight w:val="none"/>
        </w:rPr>
      </w:pPr>
      <w:bookmarkStart w:id="51" w:name="_Toc28625"/>
      <w:bookmarkStart w:id="52" w:name="_Toc12642"/>
      <w:bookmarkStart w:id="53" w:name="_Toc32039"/>
      <w:bookmarkStart w:id="54" w:name="_Toc6592"/>
      <w:r>
        <w:rPr>
          <w:rFonts w:eastAsia="黑体"/>
          <w:color w:val="auto"/>
          <w:kern w:val="0"/>
          <w:sz w:val="24"/>
          <w:highlight w:val="none"/>
        </w:rPr>
        <w:t>3.9 评标结果</w:t>
      </w:r>
      <w:bookmarkEnd w:id="51"/>
      <w:bookmarkEnd w:id="52"/>
      <w:bookmarkEnd w:id="53"/>
      <w:bookmarkEnd w:id="54"/>
    </w:p>
    <w:p>
      <w:pPr>
        <w:widowControl/>
        <w:spacing w:line="312" w:lineRule="auto"/>
        <w:ind w:firstLine="480" w:firstLineChars="200"/>
        <w:jc w:val="left"/>
        <w:rPr>
          <w:color w:val="auto"/>
          <w:sz w:val="24"/>
          <w:highlight w:val="none"/>
        </w:rPr>
      </w:pPr>
      <w:r>
        <w:rPr>
          <w:color w:val="auto"/>
          <w:sz w:val="24"/>
          <w:highlight w:val="none"/>
        </w:rPr>
        <w:t>3.9.1 除第二章</w:t>
      </w:r>
      <w:r>
        <w:rPr>
          <w:rFonts w:hint="eastAsia"/>
          <w:color w:val="auto"/>
          <w:sz w:val="24"/>
          <w:highlight w:val="none"/>
        </w:rPr>
        <w:t>“</w:t>
      </w:r>
      <w:r>
        <w:rPr>
          <w:color w:val="auto"/>
          <w:sz w:val="24"/>
          <w:highlight w:val="none"/>
        </w:rPr>
        <w:t>投标人须知</w:t>
      </w:r>
      <w:r>
        <w:rPr>
          <w:rFonts w:hint="eastAsia"/>
          <w:color w:val="auto"/>
          <w:sz w:val="24"/>
          <w:highlight w:val="none"/>
        </w:rPr>
        <w:t>”</w:t>
      </w:r>
      <w:r>
        <w:rPr>
          <w:color w:val="auto"/>
          <w:sz w:val="24"/>
          <w:highlight w:val="none"/>
        </w:rPr>
        <w:t>前附表授权直接确定中标人外，评标委员会按照得分由高到低的顺序推荐中标候选人，并标明排序。</w:t>
      </w:r>
    </w:p>
    <w:p>
      <w:pPr>
        <w:widowControl/>
        <w:spacing w:line="312" w:lineRule="auto"/>
        <w:ind w:firstLine="480" w:firstLineChars="200"/>
        <w:jc w:val="left"/>
        <w:rPr>
          <w:color w:val="auto"/>
          <w:sz w:val="24"/>
          <w:highlight w:val="none"/>
        </w:rPr>
      </w:pPr>
      <w:r>
        <w:rPr>
          <w:color w:val="auto"/>
          <w:sz w:val="24"/>
          <w:highlight w:val="none"/>
        </w:rPr>
        <w:t>3.9.2 评标委员会完成评标后，应向招标人提交书面评标报告。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3C6C08"/>
    <w:multiLevelType w:val="singleLevel"/>
    <w:tmpl w:val="283C6C08"/>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2B212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kern w:val="0"/>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qFormat/>
    <w:uiPriority w:val="0"/>
    <w:pPr>
      <w:spacing w:after="120"/>
      <w:ind w:left="420" w:leftChars="200"/>
    </w:pPr>
  </w:style>
  <w:style w:type="paragraph" w:styleId="5">
    <w:name w:val="Body Text"/>
    <w:basedOn w:val="1"/>
    <w:qFormat/>
    <w:uiPriority w:val="99"/>
    <w:pPr>
      <w:spacing w:after="12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2021-08-25T02:45:36Z</dcterms:created>
  <dc:creator>Administrator</dc:creator>
  <cp:lastModifiedBy>NTKO</cp:lastModifiedBy>
  <dcterms:modified xsi:type="dcterms:W3CDTF">2021-08-25T02:46:28Z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10826595A9DE455A9C0090769F4BCBF0</vt:lpwstr>
  </property>
</Properties>
</file>