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亳州高铁南站金融商务中心项目劳务分包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055</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年七</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eastAsia" w:ascii="Times New Roman" w:hAnsi="Times New Roman" w:eastAsia="黑体" w:cs="Times New Roman"/>
          <w:color w:val="auto"/>
          <w:kern w:val="0"/>
          <w:sz w:val="32"/>
          <w:szCs w:val="32"/>
          <w:highlight w:val="none"/>
          <w:lang w:val="en-US" w:eastAsia="zh-CN"/>
        </w:rPr>
        <w:t>第四章 定标办法（集体议事法）.........................................18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七</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亳州高铁南站金融商务中心项目劳务分包</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6996166"/>
      <w:bookmarkStart w:id="2" w:name="_Toc247085680"/>
      <w:bookmarkStart w:id="3" w:name="_Toc152042295"/>
      <w:bookmarkStart w:id="4" w:name="_Toc296602410"/>
      <w:bookmarkStart w:id="5" w:name="_Toc179632536"/>
      <w:bookmarkStart w:id="6" w:name="_Toc246996909"/>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179632537"/>
      <w:bookmarkStart w:id="10" w:name="_Toc296602411"/>
      <w:bookmarkStart w:id="11" w:name="_Toc152042296"/>
      <w:bookmarkStart w:id="12" w:name="_Toc144974488"/>
      <w:bookmarkStart w:id="13" w:name="_Toc247085681"/>
      <w:bookmarkStart w:id="14" w:name="_Toc246996167"/>
      <w:bookmarkStart w:id="15" w:name="_Toc152045520"/>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亳州高铁南站金融商务中心项目劳务分包</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055</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亳州通惠房地产开发有限公司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安徽通康建设工程有限公司</w:t>
      </w:r>
      <w:r>
        <w:rPr>
          <w:rFonts w:ascii="Times New Roman" w:hAnsi="Times New Roman" w:eastAsia="仿宋_GB2312" w:cs="Times New Roman"/>
          <w:sz w:val="28"/>
          <w:szCs w:val="28"/>
          <w:highlight w:val="none"/>
        </w:rPr>
        <w:t>。项目已具备招标条件，现对该项目进行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高铁南站金融商务中心项目位于酒城大道北侧、神农大道西侧，项目投资估算约2亿元，占地面积约18522.1平方米，总建筑面积约47333.16平方米，其中地上建筑面积约34131.58平方米，地下建筑面积约13201.58平方米，现场已具备施工条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按照审核确认的施工图纸及发包人要求，完成招标项目在达到竣工验收与整体移交状态之前所涉及的全部项目实体资产（块料面层、外墙保温、防水、涂料等除外）施工建造的劳务作业工作，具体工作内容详见招标文件第六章技术标准和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（三）质量要求：符合国家、地方、行业现行相关规范合格标准，符合招标文件第六章技术标准和要求，配合招标人创建安徽省安全生产标准化示范工地、安徽省质量标准化示范工地、黄山杯奖项。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w:t>
      </w:r>
      <w:r>
        <w:rPr>
          <w:rFonts w:hint="eastAsia" w:ascii="Times New Roman" w:hAnsi="Times New Roman" w:eastAsia="仿宋_GB2312" w:cs="Times New Roman"/>
          <w:sz w:val="28"/>
          <w:szCs w:val="28"/>
          <w:highlight w:val="none"/>
          <w:u w:val="single"/>
          <w:lang w:val="en-US" w:eastAsia="zh-CN"/>
        </w:rPr>
        <w:t>360</w:t>
      </w:r>
      <w:r>
        <w:rPr>
          <w:rFonts w:hint="eastAsia" w:ascii="Times New Roman" w:hAnsi="Times New Roman" w:eastAsia="仿宋_GB2312" w:cs="Times New Roman"/>
          <w:sz w:val="28"/>
          <w:szCs w:val="28"/>
          <w:highlight w:val="none"/>
          <w:lang w:val="en-US" w:eastAsia="zh-CN"/>
        </w:rPr>
        <w:t>日历天，具体开工日期以招标人通知为准。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（五）最高投标限价（不含税）：投标人以</w:t>
      </w:r>
      <w:r>
        <w:rPr>
          <w:rFonts w:hint="eastAsia" w:ascii="Times New Roman" w:hAnsi="Times New Roman" w:eastAsia="仿宋_GB2312" w:cs="Times New Roman"/>
          <w:sz w:val="28"/>
          <w:szCs w:val="28"/>
          <w:highlight w:val="none"/>
          <w:u w:val="single"/>
          <w:lang w:val="en-US" w:eastAsia="zh-CN"/>
        </w:rPr>
        <w:t>最终经政府主管部门审查合格的施工图建筑面积</w:t>
      </w:r>
      <w:r>
        <w:rPr>
          <w:rFonts w:hint="eastAsia" w:ascii="Times New Roman" w:hAnsi="Times New Roman" w:eastAsia="仿宋_GB2312" w:cs="Times New Roman"/>
          <w:sz w:val="28"/>
          <w:szCs w:val="28"/>
          <w:highlight w:val="none"/>
          <w:u w:val="none"/>
          <w:lang w:val="en-US" w:eastAsia="zh-CN"/>
        </w:rPr>
        <w:t>为基准，</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u w:val="none"/>
          <w:lang w:val="en-US" w:eastAsia="zh-CN"/>
        </w:rPr>
        <w:t>合同形式</w:t>
      </w:r>
      <w:r>
        <w:rPr>
          <w:rFonts w:hint="eastAsia" w:ascii="Times New Roman" w:hAnsi="Times New Roman" w:eastAsia="仿宋_GB2312" w:cs="Times New Roman"/>
          <w:sz w:val="28"/>
          <w:szCs w:val="28"/>
          <w:highlight w:val="none"/>
          <w:lang w:val="en-US" w:eastAsia="zh-CN"/>
        </w:rPr>
        <w:t>，每平方米最高投标限价为人民币（大写）</w:t>
      </w:r>
      <w:r>
        <w:rPr>
          <w:rFonts w:hint="eastAsia" w:ascii="Times New Roman" w:hAnsi="Times New Roman" w:eastAsia="仿宋_GB2312" w:cs="Times New Roman"/>
          <w:sz w:val="28"/>
          <w:szCs w:val="28"/>
          <w:highlight w:val="none"/>
          <w:u w:val="single"/>
          <w:lang w:val="en-US" w:eastAsia="zh-CN"/>
        </w:rPr>
        <w:t>肆佰玖拾伍元陆角壹分</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495.61元</w:t>
      </w:r>
      <w:r>
        <w:rPr>
          <w:rFonts w:hint="eastAsia" w:ascii="Times New Roman" w:hAnsi="Times New Roman" w:eastAsia="仿宋_GB2312" w:cs="Times New Roman"/>
          <w:sz w:val="28"/>
          <w:szCs w:val="28"/>
          <w:highlight w:val="none"/>
          <w:lang w:val="en-US" w:eastAsia="zh-CN"/>
        </w:rPr>
        <w:t>。投标报价超出限价或低于其成本价的按无效投标处理；投标报价应包括为完成本招标项目各阶段工作内容以及后期服务所需的全部费用。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本次招标要求投标人须符合《政府采购法》第二十二条规定，营业执照经营范围与本项目招标范围相适应，并在人员、设备、资金等方面具有相应的劳务作业能力；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（二）本次招标要求投标人须具备在有效期内的《安全生产许可证》，且其许可范围与本项目招标范围相适应；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（三）本次招标要求投标人须提供类似项目业绩至少1个，“类似项目业绩”是指投标人自2018年1月1日至今承担过的单项合同金额不低于1600万元的建筑工程劳务分包业绩。业绩时间以合同签订时间为准，</w:t>
      </w:r>
      <w:r>
        <w:rPr>
          <w:rFonts w:hint="eastAsia" w:ascii="Times New Roman" w:hAnsi="Times New Roman" w:eastAsia="仿宋_GB2312" w:cs="Times New Roman"/>
          <w:b w:val="0"/>
          <w:bCs w:val="0"/>
          <w:sz w:val="28"/>
          <w:szCs w:val="28"/>
          <w:highlight w:val="none"/>
          <w:lang w:val="en-US" w:eastAsia="zh-CN"/>
        </w:rPr>
        <w:t>投标人须提供业绩合同的复印件（或扫描件），并装订入投标文件中；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（四）投标人如在以往承接亳州交控集团或其子公司项目过程中存在不良合作记录，或被信用中国网站记入“失信被执行人”的，不得参加本次招标投标活动。</w:t>
      </w:r>
      <w:r>
        <w:rPr>
          <w:rFonts w:hint="eastAsia" w:ascii="Times New Roman" w:hAnsi="Times New Roman" w:eastAsia="仿宋_GB2312" w:cs="Times New Roman"/>
          <w:b w:val="0"/>
          <w:bCs w:val="0"/>
          <w:sz w:val="28"/>
          <w:szCs w:val="28"/>
          <w:highlight w:val="none"/>
          <w:lang w:val="en-US" w:eastAsia="zh-CN"/>
        </w:rPr>
        <w:t>投标人须提供信用中国网站查询结果截图，并装订入投标文件中；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w:t>
      </w:r>
      <w:r>
        <w:rPr>
          <w:rFonts w:hint="eastAsia" w:ascii="Times New Roman" w:hAnsi="Times New Roman" w:eastAsia="仿宋_GB2312" w:cs="Times New Roman"/>
          <w:sz w:val="28"/>
          <w:szCs w:val="28"/>
          <w:highlight w:val="none"/>
          <w:lang w:val="en-US" w:eastAsia="zh-CN"/>
        </w:rPr>
        <w:t>版</w:t>
      </w:r>
      <w:r>
        <w:rPr>
          <w:rFonts w:hint="default" w:ascii="Times New Roman" w:hAnsi="Times New Roman" w:eastAsia="仿宋_GB2312" w:cs="Times New Roman"/>
          <w:sz w:val="28"/>
          <w:szCs w:val="28"/>
          <w:highlight w:val="none"/>
          <w:lang w:val="en-US" w:eastAsia="zh-CN"/>
        </w:rPr>
        <w:t>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8</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址：亳州市经济开发区汽车南站售票大厅西侧2楼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人：潘工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：15656835655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7</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23</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踏勘联系人：潘工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联系方式：15656835655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贰拾叁万</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230000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none"/>
                <w:lang w:val="en-US" w:eastAsia="zh-CN"/>
              </w:rPr>
              <w:t>BZJK-2021-055号保证金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cs="Times New Roman"/>
                <w:szCs w:val="21"/>
                <w:highlight w:val="none"/>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招标人地址：亳州市经济开发区汽车南站售票大厅西侧2楼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亳州高铁南站金融商务中心项目劳务分包</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055号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增6.1.3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定标委员会的组建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定标委员会构成</w:t>
            </w:r>
            <w:r>
              <w:rPr>
                <w:rFonts w:hint="default" w:ascii="Times New Roman" w:hAnsi="Times New Roman" w:cs="Times New Roman"/>
                <w:szCs w:val="21"/>
                <w:highlight w:val="none"/>
              </w:rPr>
              <w:t>：</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其中招标人领导班子成员</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lang w:val="en-US" w:eastAsia="zh-CN"/>
              </w:rPr>
              <w:t>人，经营管理人员</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lang w:val="en-US" w:eastAsia="zh-CN"/>
              </w:rPr>
              <w:t>人，工程管理人员</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lang w:val="en-US" w:eastAsia="zh-CN"/>
              </w:rPr>
              <w:t>人，财务管理人员</w:t>
            </w:r>
            <w:r>
              <w:rPr>
                <w:rFonts w:hint="eastAsia" w:ascii="Times New Roman" w:hAnsi="Times New Roman" w:cs="Times New Roman"/>
                <w:i w:val="0"/>
                <w:iCs w:val="0"/>
                <w:szCs w:val="21"/>
                <w:highlight w:val="none"/>
                <w:u w:val="single"/>
                <w:lang w:val="en-US" w:eastAsia="zh-CN"/>
              </w:rPr>
              <w:t>1</w:t>
            </w:r>
            <w:r>
              <w:rPr>
                <w:rFonts w:hint="eastAsia" w:ascii="Times New Roman" w:hAnsi="Times New Roman" w:cs="Times New Roman"/>
                <w:szCs w:val="21"/>
                <w:highlight w:val="none"/>
                <w:lang w:val="en-US" w:eastAsia="zh-CN"/>
              </w:rPr>
              <w:t>人，项目管理人员</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lang w:val="en-US" w:eastAsia="zh-CN"/>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定标委员会成员确定方式：招标人直接委派。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w:t>
            </w:r>
            <w:r>
              <w:rPr>
                <w:rFonts w:hint="eastAsia" w:ascii="Times New Roman" w:hAnsi="Times New Roman" w:cs="Times New Roman"/>
                <w:b/>
                <w:bCs/>
                <w:szCs w:val="21"/>
                <w:highlight w:val="none"/>
                <w:lang w:val="en-US" w:eastAsia="zh-CN"/>
              </w:rPr>
              <w:t>评标委员会不排序推荐3家中标候选人（即定标候选人）。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b w:val="0"/>
                <w:bCs w:val="0"/>
                <w:i w:val="0"/>
                <w:iCs w:val="0"/>
                <w:szCs w:val="21"/>
                <w:highlight w:val="none"/>
                <w:lang w:val="en-US" w:eastAsia="zh-CN"/>
              </w:rPr>
              <w:t>中标价的5%</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七</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项目经理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五</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符合第六章“技术标准和要求”规定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r>
              <w:rPr>
                <w:rFonts w:hint="eastAsia" w:ascii="Times New Roman" w:hAnsi="Times New Roman" w:cs="Times New Roman"/>
                <w:kern w:val="0"/>
                <w:sz w:val="24"/>
                <w:szCs w:val="24"/>
                <w:highlight w:val="none"/>
                <w:u w:val="single"/>
                <w:lang w:val="en-US" w:eastAsia="zh-CN"/>
              </w:rPr>
              <w:t>15</w:t>
            </w:r>
            <w:r>
              <w:rPr>
                <w:rFonts w:hint="eastAsia"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r>
              <w:rPr>
                <w:rFonts w:hint="eastAsia" w:ascii="Times New Roman" w:hAnsi="Times New Roman" w:cs="Times New Roman"/>
                <w:kern w:val="0"/>
                <w:sz w:val="24"/>
                <w:szCs w:val="24"/>
                <w:highlight w:val="none"/>
                <w:u w:val="single"/>
                <w:lang w:val="en-US" w:eastAsia="zh-CN"/>
              </w:rPr>
              <w:t>10</w:t>
            </w:r>
            <w:r>
              <w:rPr>
                <w:rFonts w:hint="eastAsia"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项目管理机构：</w:t>
            </w:r>
            <w:r>
              <w:rPr>
                <w:rFonts w:hint="eastAsia" w:ascii="Times New Roman" w:hAnsi="Times New Roman" w:cs="Times New Roman"/>
                <w:kern w:val="0"/>
                <w:sz w:val="24"/>
                <w:szCs w:val="24"/>
                <w:highlight w:val="none"/>
                <w:u w:val="single"/>
                <w:lang w:val="en-US" w:eastAsia="zh-CN"/>
              </w:rPr>
              <w:t>15</w:t>
            </w:r>
            <w:r>
              <w:rPr>
                <w:rFonts w:hint="eastAsia"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r>
              <w:rPr>
                <w:rFonts w:hint="eastAsia" w:ascii="Times New Roman" w:hAnsi="Times New Roman" w:cs="Times New Roman"/>
                <w:kern w:val="0"/>
                <w:sz w:val="24"/>
                <w:szCs w:val="24"/>
                <w:highlight w:val="none"/>
                <w:u w:val="single"/>
                <w:lang w:val="en-US" w:eastAsia="zh-CN"/>
              </w:rPr>
              <w:t>60</w:t>
            </w:r>
            <w:r>
              <w:rPr>
                <w:rFonts w:hint="eastAsia" w:ascii="Times New Roman" w:hAnsi="Times New Roman" w:cs="Times New Roman"/>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bookmarkStart w:id="16" w:name="_Toc179632607"/>
            <w:bookmarkStart w:id="17" w:name="_Toc246996975"/>
            <w:bookmarkStart w:id="18" w:name="_Toc152045589"/>
            <w:bookmarkStart w:id="19" w:name="_Toc247085747"/>
            <w:bookmarkStart w:id="20" w:name="_Toc296602477"/>
            <w:bookmarkStart w:id="21" w:name="_Toc144974556"/>
            <w:bookmarkStart w:id="22" w:name="_Toc246996232"/>
            <w:bookmarkStart w:id="23" w:name="_Toc152042366"/>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评标基准价的计算方法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详见2.2.4（4）投标报价评分标准。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详见2.2.4（4）投标报价评分标准。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在符合招标公告投标人资格要求的基础上，投标人每额外提供1个类似项目业绩，得5分，本项满分15分，多分不计。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eastAsia="楷体_GB2312" w:cs="Times New Roman"/>
                <w:kern w:val="0"/>
                <w:sz w:val="24"/>
                <w:szCs w:val="24"/>
                <w:highlight w:val="none"/>
                <w:lang w:val="en-US" w:eastAsia="zh-CN"/>
              </w:rPr>
              <w:t>注：类似项目业绩是指投标人自2018年1月1日至今承担过的单项合同金额不低于1600万元的建筑工程劳务分包业绩。业绩时间以</w:t>
            </w:r>
            <w:r>
              <w:rPr>
                <w:rFonts w:hint="eastAsia" w:ascii="Times New Roman" w:hAnsi="Times New Roman" w:eastAsia="楷体_GB2312" w:cs="Times New Roman"/>
                <w:kern w:val="0"/>
                <w:sz w:val="24"/>
                <w:szCs w:val="24"/>
                <w:highlight w:val="none"/>
                <w:lang w:val="en-US" w:eastAsia="zh-CN"/>
              </w:rPr>
              <w:t>合同签订时间为准，</w:t>
            </w:r>
            <w:r>
              <w:rPr>
                <w:rFonts w:hint="default" w:ascii="Times New Roman" w:hAnsi="Times New Roman" w:eastAsia="楷体_GB2312" w:cs="Times New Roman"/>
                <w:kern w:val="0"/>
                <w:sz w:val="24"/>
                <w:szCs w:val="24"/>
                <w:highlight w:val="none"/>
                <w:lang w:val="en-US" w:eastAsia="zh-CN"/>
              </w:rPr>
              <w:t>投标人须提供业绩合同</w:t>
            </w:r>
            <w:r>
              <w:rPr>
                <w:rFonts w:hint="eastAsia" w:ascii="Times New Roman" w:hAnsi="Times New Roman" w:eastAsia="楷体_GB2312" w:cs="Times New Roman"/>
                <w:kern w:val="0"/>
                <w:sz w:val="24"/>
                <w:szCs w:val="24"/>
                <w:highlight w:val="none"/>
                <w:lang w:val="en-US" w:eastAsia="zh-CN"/>
              </w:rPr>
              <w:t>的复印件（或扫描件）</w:t>
            </w:r>
            <w:r>
              <w:rPr>
                <w:rFonts w:hint="default" w:ascii="Times New Roman" w:hAnsi="Times New Roman" w:eastAsia="楷体_GB2312" w:cs="Times New Roman"/>
                <w:kern w:val="0"/>
                <w:sz w:val="24"/>
                <w:szCs w:val="24"/>
                <w:highlight w:val="none"/>
                <w:lang w:val="en-US" w:eastAsia="zh-CN"/>
              </w:rPr>
              <w:t>，并装订入投标文件中。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投标人承包劳务作业的建设工程，获得省级及以上安全生产标准化示范工地或质量标准化示范工地的，每个项目得10分；获得市级安全生产标准化示范工地或质量标准化示范工地的，每个项目得5分。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注：投标人须提供相关奖项的证明材料以及获奖项目的劳务分包业绩合同复印件（或扫描件），并装订入投标文件中；同一项目以获得的最高奖项为准，不重复计分。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管理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机构</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项目管理机构</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投标人拟派项目管理机构成员，符合以下条件的，按项给分：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1.拟派项目负责人1人，具备建筑工程专业二级及以上注册建造师执业资格、中级及以上工程系列职务任职资格的，得3分；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2.拟派技术负责人1人，具备中级及以上工程系列职务任职资格的，得3分；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3.拟派施工员不少于2人，具备在有效期内的施工员职业培训合格证书，每人得1.5分，本项满分3分，多分不计；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4.拟派劳资员不少于1人，具备在有效期内的劳资员职业培训合格证书，得1.5分，本项满分1.5分，多分不计；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5.拟派资料员不少于1人，具备在有效期内的资料员职业培训合格证书，得1.5分，本项满分1.5分，多分不计；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6.拟派安全员不少于2人，具备在有效期内的安全生产考核合格证书的，每人得1.5分，本项满分3分，多分不计。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注：以上拟派项目管理机构成员，均须提供2020年6月以来投标人为其缴纳的任意连续3个月的社保缴费证明复印件（或扫描件），否则该项不得分。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一、</w:t>
            </w:r>
            <w:r>
              <w:rPr>
                <w:rFonts w:hint="default" w:ascii="Times New Roman" w:hAnsi="Times New Roman" w:eastAsia="黑体" w:cs="Times New Roman"/>
                <w:kern w:val="0"/>
                <w:sz w:val="24"/>
                <w:szCs w:val="24"/>
                <w:highlight w:val="none"/>
                <w:lang w:val="en-US" w:eastAsia="zh-CN"/>
              </w:rPr>
              <w:t>评标基准价A、评标基准价B的计算方法如下：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1.如通过初步评审的投标人家数大于10家，则在计算投标报价的算数平均数时，将通过初步评审的投标人投标报价从高到低排序，依次去掉20%高的投标报价和20%低的投标报价。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（1）取剩下的投标人投标报价的算数平均数作为评标基准价A；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（2）取剩下的投标人中投标报价低于评标基准价A的投标人投标报价的算数平均数作为评标基准价B。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2.如通过初步评审的投标人家数大于等于5家、小于等于10家，则在计算投标报价的算数平均数时，将通过初步评审的投标人投标报价从高到低排序，依次去掉10%高的投标报价和10%低的投标报价。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（1）取剩下的投标人投标报价的算数平均数作为评标基准价A；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（2）取剩下的投标人中投标报价低于评标基准价A的投标人投标报价的算数平均数作为评标基准价B。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3.如通过初步评审的投标人家数小于5家，则取所有通过初步评审的投标人投标报价的算数平均数作为评标基准价B。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eastAsia="楷体_GB2312"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注：计算去掉投标报价的投标人家数时，四舍五入取整数。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黑体" w:hAnsi="黑体" w:eastAsia="黑体" w:cs="黑体"/>
                <w:kern w:val="0"/>
                <w:sz w:val="24"/>
                <w:szCs w:val="24"/>
                <w:highlight w:val="none"/>
                <w:lang w:val="en-US" w:eastAsia="zh-CN"/>
              </w:rPr>
              <w:t>二、投标报价的偏差率及得分计算公式如下：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投标报价的偏差率=100%</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（投标人投标报价</w:t>
            </w:r>
            <w:r>
              <w:rPr>
                <w:rFonts w:hint="eastAsia" w:ascii="宋体" w:hAnsi="宋体" w:eastAsia="宋体" w:cs="宋体"/>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评标基准价B）/评标基准价B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投标报价的得分=60</w:t>
            </w:r>
            <w:r>
              <w:rPr>
                <w:rFonts w:hint="eastAsia" w:ascii="宋体" w:hAnsi="宋体" w:eastAsia="宋体" w:cs="宋体"/>
                <w:kern w:val="0"/>
                <w:sz w:val="24"/>
                <w:szCs w:val="24"/>
                <w:highlight w:val="none"/>
                <w:lang w:val="en-US" w:eastAsia="zh-CN"/>
              </w:rPr>
              <w:t>－|投标报价的偏差率|</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100</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E</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如投标人投标报价大于等于评标基准价B，则E取0.6；</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如投标人投标报价小于评标基准价B，则E取0.4。</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若评标委员会认定该投标人投标报价低于其成本价或不以中标为目的的投标报价的，可以否决其投标。</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说明：</w:t>
      </w:r>
      <w:r>
        <w:rPr>
          <w:rFonts w:hint="eastAsia" w:ascii="Times New Roman" w:hAnsi="Times New Roman" w:cs="Times New Roman"/>
          <w:kern w:val="0"/>
          <w:sz w:val="24"/>
          <w:szCs w:val="24"/>
          <w:highlight w:val="none"/>
          <w:lang w:val="en-US" w:eastAsia="zh-CN"/>
        </w:rPr>
        <w:t>投标人得分保留小数点后两位，第三位四舍五入。</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综合评估法。评标委员会对满足招标文件实质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（1）企业业绩：</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（2）企业荣誉：</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（3）项目管理机构：</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（4）投标报价：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评标基准价计算方法：</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（1）企业业绩评分标准：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（2）企业荣誉评分标准：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（3）项目管理机构评分标准：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（4）投标报价评分标准：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（1）按本章第2.2.4（1）目规定的评审因素和分值对企业业绩计算出得分A；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（2）按本章第2.2.4（2）目规定的评审因素和分值对企业荣誉计算出得分B；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（3）按本章第2.2.4（3）目规定的评审因素和分值对项目管理机构计算出得分C；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（4）按本章第2.2.4（4）目规定的评审因素和分值对投标报价计算出得分D。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评分分值计算保留小数点后两位，小数点后第三位“四舍五入”。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3.2.3 投标人得分=A+B+C+D。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w:t>
      </w:r>
      <w:r>
        <w:rPr>
          <w:rFonts w:hint="eastAsia" w:asciiTheme="majorEastAsia" w:hAnsiTheme="majorEastAsia" w:eastAsiaTheme="majorEastAsia" w:cstheme="majorEastAsia"/>
          <w:b/>
          <w:bCs/>
          <w:color w:val="auto"/>
          <w:sz w:val="32"/>
          <w:szCs w:val="32"/>
          <w:highlight w:val="none"/>
          <w:lang w:val="en-US" w:eastAsia="zh-CN"/>
        </w:rPr>
        <w:t>四</w:t>
      </w:r>
      <w:r>
        <w:rPr>
          <w:rFonts w:hint="default" w:asciiTheme="majorEastAsia" w:hAnsiTheme="majorEastAsia" w:eastAsiaTheme="majorEastAsia" w:cstheme="majorEastAsia"/>
          <w:b/>
          <w:bCs/>
          <w:color w:val="auto"/>
          <w:sz w:val="32"/>
          <w:szCs w:val="32"/>
          <w:highlight w:val="none"/>
          <w:lang w:val="en-US" w:eastAsia="zh-CN"/>
        </w:rPr>
        <w:t xml:space="preserve">章 </w:t>
      </w:r>
      <w:r>
        <w:rPr>
          <w:rFonts w:hint="eastAsia" w:asciiTheme="majorEastAsia" w:hAnsiTheme="majorEastAsia" w:eastAsiaTheme="majorEastAsia" w:cstheme="majorEastAsia"/>
          <w:b/>
          <w:bCs/>
          <w:color w:val="auto"/>
          <w:sz w:val="32"/>
          <w:szCs w:val="32"/>
          <w:highlight w:val="none"/>
          <w:lang w:val="en-US" w:eastAsia="zh-CN"/>
        </w:rPr>
        <w:t>定标办法（集体议事法）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定标办法前附表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eastAsia" w:ascii="Times New Roman" w:hAnsi="Times New Roman" w:cs="Times New Roman"/>
                <w:b/>
                <w:kern w:val="0"/>
                <w:sz w:val="24"/>
                <w:szCs w:val="24"/>
                <w:highlight w:val="none"/>
                <w:lang w:val="en-US" w:eastAsia="zh-CN"/>
              </w:rPr>
              <w:t>考察</w:t>
            </w:r>
            <w:r>
              <w:rPr>
                <w:rFonts w:hint="default" w:ascii="Times New Roman" w:hAnsi="Times New Roman" w:cs="Times New Roman" w:eastAsiaTheme="minorEastAsia"/>
                <w:b/>
                <w:kern w:val="0"/>
                <w:sz w:val="24"/>
                <w:szCs w:val="24"/>
                <w:highlight w:val="none"/>
              </w:rPr>
              <w:t>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eastAsia" w:ascii="Times New Roman" w:hAnsi="Times New Roman" w:cs="Times New Roman"/>
                <w:b/>
                <w:kern w:val="0"/>
                <w:sz w:val="24"/>
                <w:szCs w:val="24"/>
                <w:highlight w:val="none"/>
                <w:lang w:val="en-US" w:eastAsia="zh-CN"/>
              </w:rPr>
              <w:t>考察</w:t>
            </w:r>
            <w:r>
              <w:rPr>
                <w:rFonts w:hint="default" w:ascii="Times New Roman" w:hAnsi="Times New Roman" w:cs="Times New Roman" w:eastAsiaTheme="minorEastAsia"/>
                <w:b/>
                <w:kern w:val="0"/>
                <w:sz w:val="24"/>
                <w:szCs w:val="24"/>
                <w:highlight w:val="none"/>
              </w:rPr>
              <w:t>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综合考察</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企业资质</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符合招标文件要求，与投标文件一致，且真实有效。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类似项目业绩</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符合招标文件要求，与投标文件一致，且真实有效。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企业荣誉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符合招标文件要求，与投标文件一致，且真实有效。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项目管理机构</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符合招标文件要求，与投标文件一致，项目管理机构成员均是定标候选人正式员工。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企业成本</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投标报价符合企业成本预算，不涉及异常低价竞标或不以中标为目的的投标，履约风险较低。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信用评价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定标候选人无不良信用记录。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其他因素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符合招标文件要求，与投标文件一致。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面谈</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主要负责人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定标委员会通过陈述、答辩等方式对定标候选人拟派项目管理机构主要负责人的工作能力、管理水平和职业素养进行考核，并酌情给予评价。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履约评价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已完工项目</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定标委员会实地走访定标候选人已完工建设项目，重点调查项目业主对其履约评价。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在建项目</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定标委员会实地走访定标候选人在建工程建设项目，重点调查现场施工质量、施工管理情况、标准化作业程度、设施设备配备情况、用工配合情况等。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定标因素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定标标准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定标办法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集体议事法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定标委员会成员各自发表意见，最终由定标委员会组长确定中标人。所有定标委员会成员的意见应当书面记录，并由定标委员会成员签字确认。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议事规则：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（一）定标委员会内部推选组长；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（二）除组长外，定标委员会成员依次发言，陈述各定标候选人优点及存在缺陷，并现场书面记录，定标委员会成员对各自陈述意见签字确认；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（三）定标委员会组长做最终总结发言，确定中标人，并现场书面记录，定标委员会组长对其陈述意见及确定中标人结果签字确认；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除组长外，定标委员会成员对确定中标人结果表决同意或不同意，不同意的应当书面阐述其不同意见和理由并签字；定标委员会成员拒绝签字且不陈述其不同意见和理由的，视为同意组长意见及其推荐中标人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（五）除组长外，定标委员会成员对确定中标人结果表决同意的人数大于等于50%的，则确定中标人通过。否则，定标委员会组长应当重新确定中标人。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招标人可以在定标会上详细介绍项目情况、招标情况及考察、质询情况，定标委员会有疑问的，可以向招标人提出。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定标委员会根据招标文件规定的定标方法及定标规则，在评标委员会推荐的定标候选人中确定1名中标人并提交定标报告。</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b w:val="0"/>
          <w:bCs w:val="0"/>
          <w:color w:val="000000"/>
          <w:highlight w:val="none"/>
          <w:lang w:val="en-US" w:eastAsia="zh-CN"/>
        </w:rPr>
        <w:t>“定标办法前附表”中未</w:t>
      </w:r>
      <w:r>
        <w:rPr>
          <w:rFonts w:hint="eastAsia" w:ascii="Times New Roman" w:hAnsi="Times New Roman" w:cs="Times New Roman"/>
          <w:color w:val="000000"/>
          <w:highlight w:val="none"/>
          <w:lang w:val="en-US" w:eastAsia="zh-CN"/>
        </w:rPr>
        <w:t>尽事宜，参照《亳州市房屋建筑和市政基础设施工程“评定分离”办法（试行）》（征求意见稿）执行。</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招标人于每月初对中标人上一个月实际完成工程量（以实际完成的产值为准）进行审核，经招标人审定无误后，向中标人支付上一个月实际完成工程量对应工程价款的70%；中标人每月实际完成工程量以招标人审定结果为准，且不得滞后于合同约定的施工进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2.如遇春节放假，则在春节当月放假前，向中标人支付至所有已完成工程量对应工程价款的80%；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3.工程竣工验收合格后，招标人向中标人支付至所有已完成工程量对应工程价款的90%；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4.工程竣工验收备案完成后30个工作日内，招标人向中标人支付至所有已完成工程量对应工程价款的97%；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5.余款3%两年后无息付清。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对工程质量缺陷承担返修责任。如因劳务作业不规范等原因导致的工程质量缺陷，中标人应无偿进行返修，直至工程质量达到合格标准；中标人拒绝承担返修责任的，招标人有权自行进行返修，返修发生的费用从其履约保证金及工程价款中据实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因中标人劳务作业不规范等原因，给招标人造成经济损失的，中标人应当据实赔偿；中标人拒绝承担赔偿责任的，招标人有权从其履约保证金及工程价款中据实扣除。</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亳州高铁南站金融商务中心项目位于酒城大道北侧、神农大道西侧，项目投资估算约2亿元，占地面积约18522.1平方米，总建筑面积约47333.16平方米，其中地上建筑面积约34131.58平方米，地下建筑面积约13201.58平方米，现场已具备施工条件。</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按照审核确认的施工图纸及发包人要求，完成招标项目在达到竣工验收与整体移交状态之前所涉及的全部项目实体资产（块料面层、外墙保温、防水、涂料等除外）施工建造的劳务作业工作，具体工作内容如下：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全面负责本工程施工图纸所示的单体楼栋及对应的地下车库（普通地库和人防地库）承包范围内的分部分项施工内容</w:t>
      </w:r>
      <w:r>
        <w:rPr>
          <w:rFonts w:hint="eastAsia" w:ascii="Times New Roman" w:hAnsi="Times New Roman" w:cs="Times New Roman"/>
          <w:kern w:val="0"/>
          <w:sz w:val="24"/>
          <w:szCs w:val="24"/>
          <w:highlight w:val="none"/>
          <w:lang w:val="en-US" w:eastAsia="zh-CN"/>
        </w:rPr>
        <w:t>，包括但不限于</w:t>
      </w:r>
      <w:r>
        <w:rPr>
          <w:rFonts w:hint="default" w:ascii="Times New Roman" w:hAnsi="Times New Roman" w:cs="Times New Roman"/>
          <w:kern w:val="0"/>
          <w:sz w:val="24"/>
          <w:szCs w:val="24"/>
          <w:highlight w:val="none"/>
          <w:lang w:val="en-US" w:eastAsia="zh-CN"/>
        </w:rPr>
        <w:t>基坑清槽、砌筑排水沟、砼浇筑及养护、模板搭拆、钢筋</w:t>
      </w:r>
      <w:r>
        <w:rPr>
          <w:rFonts w:hint="eastAsia" w:ascii="Times New Roman" w:hAnsi="Times New Roman" w:cs="Times New Roman"/>
          <w:kern w:val="0"/>
          <w:sz w:val="24"/>
          <w:szCs w:val="24"/>
          <w:highlight w:val="none"/>
          <w:lang w:val="en-US" w:eastAsia="zh-CN"/>
        </w:rPr>
        <w:t>加工绑扎</w:t>
      </w:r>
      <w:r>
        <w:rPr>
          <w:rFonts w:hint="default" w:ascii="Times New Roman" w:hAnsi="Times New Roman" w:cs="Times New Roman"/>
          <w:kern w:val="0"/>
          <w:sz w:val="24"/>
          <w:szCs w:val="24"/>
          <w:highlight w:val="none"/>
          <w:lang w:val="en-US" w:eastAsia="zh-CN"/>
        </w:rPr>
        <w:t>、内外墙砌筑及抹灰、楼地面地坪及屋面</w:t>
      </w:r>
      <w:r>
        <w:rPr>
          <w:rFonts w:hint="eastAsia" w:ascii="Times New Roman" w:hAnsi="Times New Roman" w:cs="Times New Roman"/>
          <w:kern w:val="0"/>
          <w:sz w:val="24"/>
          <w:szCs w:val="24"/>
          <w:highlight w:val="none"/>
          <w:lang w:val="en-US" w:eastAsia="zh-CN"/>
        </w:rPr>
        <w:t>施工</w:t>
      </w:r>
      <w:r>
        <w:rPr>
          <w:rFonts w:hint="default" w:ascii="Times New Roman" w:hAnsi="Times New Roman" w:cs="Times New Roman"/>
          <w:kern w:val="0"/>
          <w:sz w:val="24"/>
          <w:szCs w:val="24"/>
          <w:highlight w:val="none"/>
          <w:lang w:val="en-US" w:eastAsia="zh-CN"/>
        </w:rPr>
        <w:t>等内容；包含但不限于完成此范围内所有施工图设计内容、图纸审查意见、图纸会审、设计变更、施工组织设计、专项施工方案、施工过程中发生的工程联系单、分项工程的优化及相关施工规范、技术规程所确定的涉及本工程承包范围内的所有分部分项工程</w:t>
      </w:r>
      <w:r>
        <w:rPr>
          <w:rFonts w:hint="eastAsia" w:ascii="Times New Roman" w:hAnsi="Times New Roman" w:cs="Times New Roman"/>
          <w:kern w:val="0"/>
          <w:sz w:val="24"/>
          <w:szCs w:val="24"/>
          <w:highlight w:val="none"/>
          <w:lang w:val="en-US" w:eastAsia="zh-CN"/>
        </w:rPr>
        <w:t>，但</w:t>
      </w:r>
      <w:r>
        <w:rPr>
          <w:rFonts w:hint="default" w:ascii="Times New Roman" w:hAnsi="Times New Roman" w:cs="Times New Roman"/>
          <w:kern w:val="0"/>
          <w:sz w:val="24"/>
          <w:szCs w:val="24"/>
          <w:highlight w:val="none"/>
          <w:lang w:val="en-US" w:eastAsia="zh-CN"/>
        </w:rPr>
        <w:t>块料面层、外墙保温、防水、涂料</w:t>
      </w:r>
      <w:r>
        <w:rPr>
          <w:rFonts w:hint="eastAsia" w:ascii="Times New Roman" w:hAnsi="Times New Roman" w:cs="Times New Roman"/>
          <w:kern w:val="0"/>
          <w:sz w:val="24"/>
          <w:szCs w:val="24"/>
          <w:highlight w:val="none"/>
          <w:lang w:val="en-US" w:eastAsia="zh-CN"/>
        </w:rPr>
        <w:t>等除外。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投标报价应包括但不限于</w:t>
      </w:r>
      <w:r>
        <w:rPr>
          <w:rFonts w:hint="default" w:ascii="Times New Roman" w:hAnsi="Times New Roman" w:cs="Times New Roman"/>
          <w:kern w:val="0"/>
          <w:sz w:val="24"/>
          <w:szCs w:val="24"/>
          <w:highlight w:val="none"/>
          <w:lang w:val="en-US" w:eastAsia="zh-CN"/>
        </w:rPr>
        <w:t>各工种内容及工种配合、文明施工用工、管理人员费用、省级</w:t>
      </w:r>
      <w:r>
        <w:rPr>
          <w:rFonts w:hint="eastAsia" w:ascii="Times New Roman" w:hAnsi="Times New Roman" w:cs="Times New Roman"/>
          <w:kern w:val="0"/>
          <w:sz w:val="24"/>
          <w:szCs w:val="24"/>
          <w:highlight w:val="none"/>
          <w:lang w:val="en-US" w:eastAsia="zh-CN"/>
        </w:rPr>
        <w:t>标准化工地创建达标</w:t>
      </w:r>
      <w:r>
        <w:rPr>
          <w:rFonts w:hint="default" w:ascii="Times New Roman" w:hAnsi="Times New Roman" w:cs="Times New Roman"/>
          <w:kern w:val="0"/>
          <w:sz w:val="24"/>
          <w:szCs w:val="24"/>
          <w:highlight w:val="none"/>
          <w:lang w:val="en-US" w:eastAsia="zh-CN"/>
        </w:rPr>
        <w:t>等费用。投标单位投标前请认真审阅施工图</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并现场勘察了解情况，投标时我方认为投标单位已充分了解工程概况。</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三、技术标准及要求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承包范围内包工、包模板制作安装、包小型机械、包辅助材料、包测量放线（主控线除外）、包小型工具和设备、包质量、包工期、包安全、包文明施工、包环境保护、包劳保用品、包赶工费和误工费、</w:t>
      </w:r>
      <w:r>
        <w:rPr>
          <w:rFonts w:hint="eastAsia" w:ascii="Times New Roman" w:hAnsi="Times New Roman" w:cs="Times New Roman"/>
          <w:kern w:val="0"/>
          <w:sz w:val="24"/>
          <w:szCs w:val="24"/>
          <w:highlight w:val="none"/>
          <w:lang w:val="en-US" w:eastAsia="zh-CN"/>
        </w:rPr>
        <w:t>包临时设施（临时道路等）施工、</w:t>
      </w:r>
      <w:r>
        <w:rPr>
          <w:rFonts w:hint="default" w:ascii="Times New Roman" w:hAnsi="Times New Roman" w:cs="Times New Roman"/>
          <w:kern w:val="0"/>
          <w:sz w:val="24"/>
          <w:szCs w:val="24"/>
          <w:highlight w:val="none"/>
          <w:lang w:val="en-US" w:eastAsia="zh-CN"/>
        </w:rPr>
        <w:t>包成品保护、包</w:t>
      </w:r>
      <w:r>
        <w:rPr>
          <w:rFonts w:hint="eastAsia" w:ascii="Times New Roman" w:hAnsi="Times New Roman" w:cs="Times New Roman"/>
          <w:kern w:val="0"/>
          <w:sz w:val="24"/>
          <w:szCs w:val="24"/>
          <w:highlight w:val="none"/>
          <w:lang w:val="en-US" w:eastAsia="zh-CN"/>
        </w:rPr>
        <w:t>劳务作业人员</w:t>
      </w:r>
      <w:r>
        <w:rPr>
          <w:rFonts w:hint="default" w:ascii="Times New Roman" w:hAnsi="Times New Roman" w:cs="Times New Roman"/>
          <w:kern w:val="0"/>
          <w:sz w:val="24"/>
          <w:szCs w:val="24"/>
          <w:highlight w:val="none"/>
          <w:lang w:val="en-US" w:eastAsia="zh-CN"/>
        </w:rPr>
        <w:t>社会保险、包</w:t>
      </w:r>
      <w:r>
        <w:rPr>
          <w:rFonts w:hint="eastAsia" w:ascii="Times New Roman" w:hAnsi="Times New Roman" w:cs="Times New Roman"/>
          <w:kern w:val="0"/>
          <w:sz w:val="24"/>
          <w:szCs w:val="24"/>
          <w:highlight w:val="none"/>
          <w:lang w:val="en-US" w:eastAsia="zh-CN"/>
        </w:rPr>
        <w:t>竣工验收</w:t>
      </w:r>
      <w:r>
        <w:rPr>
          <w:rFonts w:hint="default" w:ascii="Times New Roman" w:hAnsi="Times New Roman" w:cs="Times New Roman"/>
          <w:kern w:val="0"/>
          <w:sz w:val="24"/>
          <w:szCs w:val="24"/>
          <w:highlight w:val="none"/>
          <w:lang w:val="en-US" w:eastAsia="zh-CN"/>
        </w:rPr>
        <w:t>合格且一次性验收通过、包</w:t>
      </w:r>
      <w:r>
        <w:rPr>
          <w:rFonts w:hint="eastAsia" w:ascii="Times New Roman" w:hAnsi="Times New Roman" w:cs="Times New Roman"/>
          <w:kern w:val="0"/>
          <w:sz w:val="24"/>
          <w:szCs w:val="24"/>
          <w:highlight w:val="none"/>
          <w:lang w:val="en-US" w:eastAsia="zh-CN"/>
        </w:rPr>
        <w:t>竣工验收后现场保洁及垃圾清运</w:t>
      </w:r>
      <w:r>
        <w:rPr>
          <w:rFonts w:hint="default" w:ascii="Times New Roman" w:hAnsi="Times New Roman" w:cs="Times New Roman"/>
          <w:kern w:val="0"/>
          <w:sz w:val="24"/>
          <w:szCs w:val="24"/>
          <w:highlight w:val="none"/>
          <w:lang w:val="en-US" w:eastAsia="zh-CN"/>
        </w:rPr>
        <w:t>、包自负盈亏等，</w:t>
      </w:r>
      <w:r>
        <w:rPr>
          <w:rFonts w:hint="eastAsia" w:ascii="Times New Roman" w:hAnsi="Times New Roman" w:cs="Times New Roman"/>
          <w:kern w:val="0"/>
          <w:sz w:val="24"/>
          <w:szCs w:val="24"/>
          <w:highlight w:val="none"/>
          <w:lang w:val="en-US" w:eastAsia="zh-CN"/>
        </w:rPr>
        <w:t>且</w:t>
      </w:r>
      <w:r>
        <w:rPr>
          <w:rFonts w:hint="default" w:ascii="Times New Roman" w:hAnsi="Times New Roman" w:cs="Times New Roman"/>
          <w:kern w:val="0"/>
          <w:sz w:val="24"/>
          <w:szCs w:val="24"/>
          <w:highlight w:val="none"/>
          <w:lang w:val="en-US" w:eastAsia="zh-CN"/>
        </w:rPr>
        <w:t>不得转包。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钢筋工程：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承包范围内包工、包辅材（水泥垫块、塑料保护层垫圈、绑扎丝、成品钢筋马镫、电焊机、焊条、二级箱以下的电线电缆及控制箱、施工照明灯具等）</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包电渣压力焊、直螺纹连接（含套筒材料）、包相关的送检材料提供、包零星材料及周转工具、包小型机械（含机械进退场）、包质量、包工期、包安全文明施工。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包含墙柱纵向受力钢筋电渣压力焊</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机械连接及梁板钢筋机械连接接头制作安装、后浇带加筋、后浇带钢筋网片设置及施工缝处止水钢板安装、钢筋保护层垫块安装、运输、砼浇筑全过程中钢筋的成品保护以及保证钢筋质量的相应措施（如点焊、焊接马凳、撑脚、满足质量要求的前提下废料的利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包含二次结构钢筋的预留、制作与安装（包含但不限于构造柱、圈过梁、门窗洞口包框柱、与框架柱等砖墙拉结筋预埋或植筋及焊接拉结筋、窗台压顶、反沿、水沟、小型构件等）等符合地方规定要求；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包进场钢筋下货力资、钢筋加工点到现场的水平和垂直运输所发生的人工费用、钢筋保护层检测全部措施（包检测合格）、钢筋检测及接头检测下料制作用工（符合取样要求）等全部工作内容</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若墙体拉结筋预埋漏点，由</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承担植筋及检测费用，钢筋马凳采用成品钢马凳；包含楼地面地坪钢筋、屋面保护层钢筋制作安装（含成品网片）；包含电梯井等大型预留洞口均采用钢筋网片防护、塔吊基础、施工升降机基础、预埋铁件及锚筋（挑架槽钢、U型环预埋件只制作等）、临时设施、样板展示区钢筋工程的制作安装均含在</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施工范围内，不另计费用。</w:t>
      </w:r>
      <w:r>
        <w:rPr>
          <w:rFonts w:hint="eastAsia" w:ascii="Times New Roman" w:hAnsi="Times New Roman" w:cs="Times New Roman"/>
          <w:kern w:val="0"/>
          <w:sz w:val="24"/>
          <w:szCs w:val="24"/>
          <w:highlight w:val="none"/>
          <w:lang w:val="en-US" w:eastAsia="zh-CN"/>
        </w:rPr>
        <w:t>中标人应</w:t>
      </w:r>
      <w:r>
        <w:rPr>
          <w:rFonts w:hint="default" w:ascii="Times New Roman" w:hAnsi="Times New Roman" w:cs="Times New Roman"/>
          <w:kern w:val="0"/>
          <w:sz w:val="24"/>
          <w:szCs w:val="24"/>
          <w:highlight w:val="none"/>
          <w:lang w:val="en-US" w:eastAsia="zh-CN"/>
        </w:rPr>
        <w:t>无偿</w:t>
      </w:r>
      <w:r>
        <w:rPr>
          <w:rFonts w:hint="eastAsia" w:ascii="Times New Roman" w:hAnsi="Times New Roman" w:cs="Times New Roman"/>
          <w:kern w:val="0"/>
          <w:sz w:val="24"/>
          <w:szCs w:val="24"/>
          <w:highlight w:val="none"/>
          <w:lang w:val="en-US" w:eastAsia="zh-CN"/>
        </w:rPr>
        <w:t>向招标人</w:t>
      </w:r>
      <w:r>
        <w:rPr>
          <w:rFonts w:hint="default" w:ascii="Times New Roman" w:hAnsi="Times New Roman" w:cs="Times New Roman"/>
          <w:kern w:val="0"/>
          <w:sz w:val="24"/>
          <w:szCs w:val="24"/>
          <w:highlight w:val="none"/>
          <w:lang w:val="en-US" w:eastAsia="zh-CN"/>
        </w:rPr>
        <w:t>提供钢筋采购计划</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且</w:t>
      </w:r>
      <w:r>
        <w:rPr>
          <w:rFonts w:hint="eastAsia" w:ascii="Times New Roman" w:hAnsi="Times New Roman" w:cs="Times New Roman"/>
          <w:kern w:val="0"/>
          <w:sz w:val="24"/>
          <w:szCs w:val="24"/>
          <w:highlight w:val="none"/>
          <w:lang w:val="en-US" w:eastAsia="zh-CN"/>
        </w:rPr>
        <w:t>须</w:t>
      </w:r>
      <w:r>
        <w:rPr>
          <w:rFonts w:hint="default" w:ascii="Times New Roman" w:hAnsi="Times New Roman" w:cs="Times New Roman"/>
          <w:kern w:val="0"/>
          <w:sz w:val="24"/>
          <w:szCs w:val="24"/>
          <w:highlight w:val="none"/>
          <w:lang w:val="en-US" w:eastAsia="zh-CN"/>
        </w:rPr>
        <w:t>保证及时和准确性。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瓦工工程：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承包范围内包工、包小型机械（不含塔吊及施工升降机）、包质量、包工期、包安全、包文明施工</w:t>
      </w:r>
      <w:r>
        <w:rPr>
          <w:rFonts w:hint="eastAsia" w:ascii="Times New Roman" w:hAnsi="Times New Roman" w:cs="Times New Roman"/>
          <w:kern w:val="0"/>
          <w:sz w:val="24"/>
          <w:szCs w:val="24"/>
          <w:highlight w:val="none"/>
          <w:lang w:val="en-US" w:eastAsia="zh-CN"/>
        </w:rPr>
        <w:t>、包场内运输、</w:t>
      </w:r>
      <w:r>
        <w:rPr>
          <w:rFonts w:hint="default" w:ascii="Times New Roman" w:hAnsi="Times New Roman" w:cs="Times New Roman"/>
          <w:kern w:val="0"/>
          <w:sz w:val="24"/>
          <w:szCs w:val="24"/>
          <w:highlight w:val="none"/>
          <w:lang w:val="en-US" w:eastAsia="zh-CN"/>
        </w:rPr>
        <w:t>包配合各工种辅助用工（含交房验收工作等）。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基坑及基槽土方清理，集水坑、电梯井坑整理人工修坡及坑底土方清理。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砼浇筑与养护，砌体砌筑及砌体所需的预制件预制、内墙粉刷、外墙防水砂浆层施工（包括基层、面层及窗边收口，外墙保温板由专业班组施工）、楼地面、地下室防水工程的砼或砖砌保护层、砖胎膜砌筑抹灰、喷浆（粉刷喷浆）、屋面找平层、保温层、找坡层、保护层、面层等施工、外墙面PVC穿墙管堵孔、外架竹笆垃圾清理、阶段性验收楼层室内卫生清理（标化验收、主体结构验收、竣工验收及迎接检查突击性卫生清理）、院内施工道路清扫、基础内及现场施工排水及塔吊基础排水（含泵</w:t>
      </w:r>
      <w:r>
        <w:rPr>
          <w:rFonts w:hint="eastAsia" w:ascii="Times New Roman" w:hAnsi="Times New Roman" w:cs="Times New Roman"/>
          <w:kern w:val="0"/>
          <w:sz w:val="24"/>
          <w:szCs w:val="24"/>
          <w:highlight w:val="none"/>
          <w:lang w:val="en-US" w:eastAsia="zh-CN"/>
        </w:rPr>
        <w:t>送</w:t>
      </w:r>
      <w:r>
        <w:rPr>
          <w:rFonts w:hint="default" w:ascii="Times New Roman" w:hAnsi="Times New Roman" w:cs="Times New Roman"/>
          <w:kern w:val="0"/>
          <w:sz w:val="24"/>
          <w:szCs w:val="24"/>
          <w:highlight w:val="none"/>
          <w:lang w:val="en-US" w:eastAsia="zh-CN"/>
        </w:rPr>
        <w:t>）、室内外回填人工平整、临时设施及临时道路施工、塔吊及升降机电梯基础施工、脚手架基础硬化及水沟、散水及台阶和室外施工、砼及砂浆试块制作和同条件试块的摆放及处理、配合放线、外墙螺栓孔的封堵、地下室外墙保温板铺设防水外立面保护墙砌筑、样板展示区施工等</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建设单位</w:t>
      </w:r>
      <w:r>
        <w:rPr>
          <w:rFonts w:hint="default" w:ascii="Times New Roman" w:hAnsi="Times New Roman" w:cs="Times New Roman"/>
          <w:kern w:val="0"/>
          <w:sz w:val="24"/>
          <w:szCs w:val="24"/>
          <w:highlight w:val="none"/>
          <w:lang w:val="en-US" w:eastAsia="zh-CN"/>
        </w:rPr>
        <w:t>零星变更及创建标化工地所产生的费用不另计，</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自行承担。施工工序必须实行样板引路，且执行</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的质量、安全标准及现行的施工规范</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工完料清。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应配备除</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提供的塔吊、吊斗、固定电箱以外的所有砼、砌筑、抹灰、楼面工程用的施工机具</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如搅拌机、流动电箱、200W有防护钢网的白炽灯</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不允许</w:t>
      </w:r>
      <w:r>
        <w:rPr>
          <w:rFonts w:hint="eastAsia" w:ascii="Times New Roman" w:hAnsi="Times New Roman" w:cs="Times New Roman"/>
          <w:kern w:val="0"/>
          <w:sz w:val="24"/>
          <w:szCs w:val="24"/>
          <w:highlight w:val="none"/>
          <w:lang w:val="en-US" w:eastAsia="zh-CN"/>
        </w:rPr>
        <w:t>使用</w:t>
      </w:r>
      <w:r>
        <w:rPr>
          <w:rFonts w:hint="default" w:ascii="Times New Roman" w:hAnsi="Times New Roman" w:cs="Times New Roman"/>
          <w:kern w:val="0"/>
          <w:sz w:val="24"/>
          <w:szCs w:val="24"/>
          <w:highlight w:val="none"/>
          <w:lang w:val="en-US" w:eastAsia="zh-CN"/>
        </w:rPr>
        <w:t>碘钨灯</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、振动器、工具架、木挑板、打夯机、布料机、磨面压光机、铝合金刮尺、斗车、铁铲、锄头、砖线、水平尺、卷尺、安全帽、水管、雨衣、对讲机等小型工用具。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所提供的机械、机具必须符合一机一箱</w:t>
      </w:r>
      <w:r>
        <w:rPr>
          <w:rFonts w:hint="eastAsia" w:ascii="Times New Roman" w:hAnsi="Times New Roman" w:cs="Times New Roman"/>
          <w:kern w:val="0"/>
          <w:sz w:val="24"/>
          <w:szCs w:val="24"/>
          <w:highlight w:val="none"/>
          <w:lang w:val="en-US" w:eastAsia="zh-CN"/>
        </w:rPr>
        <w:t>原则</w:t>
      </w:r>
      <w:r>
        <w:rPr>
          <w:rFonts w:hint="default" w:ascii="Times New Roman" w:hAnsi="Times New Roman" w:cs="Times New Roman"/>
          <w:kern w:val="0"/>
          <w:sz w:val="24"/>
          <w:szCs w:val="24"/>
          <w:highlight w:val="none"/>
          <w:lang w:val="en-US" w:eastAsia="zh-CN"/>
        </w:rPr>
        <w:t>，开关箱必须具有CCC认证标志，箱内电器配置、安装等必须符合要求，机械、机具安全保险装置必须齐全有效，不准使用明令禁止、淘汰的机械。机械、机具、开关箱、电缆线等必须经项目部验收合格后方可安装，安装完毕经验收合格后方可使用。搅拌机除进料口、出料口和操作箱外，必须用木工板封闭，做到不扬尘。并对</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提供的设备做好清理、维修保养及保管等工作，遗失和破损的由</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按价赔偿。工具脚手架由</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自备和管理。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浇砼前应清理楼面杂物，浇水湿润模板，安装架空施工过桥。所有墙、柱模板下口必须座浆</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不允许将所有砂浆浇筑在同一块板面或同一根梁、柱内。底板、楼面、屋面砼浇筑时必须使用平板振动器。砼浇筑完毕后的所有砼残渣、漏浆清理，打扫干净。剩余的砼按</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要求放到指定地点，并做好善后工作。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负责墙柱模板安装后下脚小于20mm高缝隙的水泥砂浆封堵，后浇带混凝土凿毛处理及清理，并做好浇带二次砼的浇捣工作。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因振捣出现质量问题，需经</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、监理同意后方可修补，剪力墙下脚漏浆引起的蜂窝麻面修补，修补后的色泽与原混凝土颜色</w:t>
      </w:r>
      <w:r>
        <w:rPr>
          <w:rFonts w:hint="eastAsia" w:ascii="Times New Roman" w:hAnsi="Times New Roman" w:cs="Times New Roman"/>
          <w:kern w:val="0"/>
          <w:sz w:val="24"/>
          <w:szCs w:val="24"/>
          <w:highlight w:val="none"/>
          <w:lang w:val="en-US" w:eastAsia="zh-CN"/>
        </w:rPr>
        <w:t>须</w:t>
      </w:r>
      <w:r>
        <w:rPr>
          <w:rFonts w:hint="default" w:ascii="Times New Roman" w:hAnsi="Times New Roman" w:cs="Times New Roman"/>
          <w:kern w:val="0"/>
          <w:sz w:val="24"/>
          <w:szCs w:val="24"/>
          <w:highlight w:val="none"/>
          <w:lang w:val="en-US" w:eastAsia="zh-CN"/>
        </w:rPr>
        <w:t>保持一致。如因</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原因出现质量事故，发生的所有费用</w:t>
      </w:r>
      <w:r>
        <w:rPr>
          <w:rFonts w:hint="eastAsia" w:ascii="Times New Roman" w:hAnsi="Times New Roman" w:cs="Times New Roman"/>
          <w:kern w:val="0"/>
          <w:sz w:val="24"/>
          <w:szCs w:val="24"/>
          <w:highlight w:val="none"/>
          <w:lang w:val="en-US" w:eastAsia="zh-CN"/>
        </w:rPr>
        <w:t>和责任</w:t>
      </w:r>
      <w:r>
        <w:rPr>
          <w:rFonts w:hint="default" w:ascii="Times New Roman" w:hAnsi="Times New Roman" w:cs="Times New Roman"/>
          <w:kern w:val="0"/>
          <w:sz w:val="24"/>
          <w:szCs w:val="24"/>
          <w:highlight w:val="none"/>
          <w:lang w:val="en-US" w:eastAsia="zh-CN"/>
        </w:rPr>
        <w:t>均由</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承担。对砼漏振、欠振的，应凿除修补，严重的给予处罚。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对养护工作必须安排专人负责，因</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养护不认真，引起回弹或抽样检验不合格，所造成的一切经济损失由</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负责。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清理因浇捣混凝土而污染的脚手架和安全网，浇筑楼面后第二天</w:t>
      </w:r>
      <w:r>
        <w:rPr>
          <w:rFonts w:hint="eastAsia" w:ascii="Times New Roman" w:hAnsi="Times New Roman" w:cs="Times New Roman"/>
          <w:kern w:val="0"/>
          <w:sz w:val="24"/>
          <w:szCs w:val="24"/>
          <w:highlight w:val="none"/>
          <w:lang w:val="en-US" w:eastAsia="zh-CN"/>
        </w:rPr>
        <w:t>应对</w:t>
      </w:r>
      <w:r>
        <w:rPr>
          <w:rFonts w:hint="default" w:ascii="Times New Roman" w:hAnsi="Times New Roman" w:cs="Times New Roman"/>
          <w:kern w:val="0"/>
          <w:sz w:val="24"/>
          <w:szCs w:val="24"/>
          <w:highlight w:val="none"/>
          <w:lang w:val="en-US" w:eastAsia="zh-CN"/>
        </w:rPr>
        <w:t>墙、柱部位的凿毛及清理。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木工移交后的楼面、铲除漏浆，漏出原混凝土压光面层。做到施工</w:t>
      </w:r>
      <w:r>
        <w:rPr>
          <w:rFonts w:hint="eastAsia" w:ascii="Times New Roman" w:hAnsi="Times New Roman" w:cs="Times New Roman"/>
          <w:kern w:val="0"/>
          <w:sz w:val="24"/>
          <w:szCs w:val="24"/>
          <w:highlight w:val="none"/>
          <w:lang w:val="en-US" w:eastAsia="zh-CN"/>
        </w:rPr>
        <w:t>一层、</w:t>
      </w:r>
      <w:r>
        <w:rPr>
          <w:rFonts w:hint="default" w:ascii="Times New Roman" w:hAnsi="Times New Roman" w:cs="Times New Roman"/>
          <w:kern w:val="0"/>
          <w:sz w:val="24"/>
          <w:szCs w:val="24"/>
          <w:highlight w:val="none"/>
          <w:lang w:val="en-US" w:eastAsia="zh-CN"/>
        </w:rPr>
        <w:t>清理一层</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移交一层。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内外抹灰工程落地灰需及时清理回收</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二次使用，发现不及时回收造成浪费的，负责清理干净，并按实际材料价5倍</w:t>
      </w:r>
      <w:r>
        <w:rPr>
          <w:rFonts w:hint="eastAsia" w:ascii="Times New Roman" w:hAnsi="Times New Roman" w:cs="Times New Roman"/>
          <w:kern w:val="0"/>
          <w:sz w:val="24"/>
          <w:szCs w:val="24"/>
          <w:highlight w:val="none"/>
          <w:lang w:val="en-US" w:eastAsia="zh-CN"/>
        </w:rPr>
        <w:t>进行</w:t>
      </w:r>
      <w:r>
        <w:rPr>
          <w:rFonts w:hint="default" w:ascii="Times New Roman" w:hAnsi="Times New Roman" w:cs="Times New Roman"/>
          <w:kern w:val="0"/>
          <w:sz w:val="24"/>
          <w:szCs w:val="24"/>
          <w:highlight w:val="none"/>
          <w:lang w:val="en-US" w:eastAsia="zh-CN"/>
        </w:rPr>
        <w:t>罚款。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抹灰工程需保证房间净空间尺寸、门高度宽度等符合图纸设计要求，达到验收标准。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混凝土浇筑带线找平，用定制措施确保板厚，观感色泽一致。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墙体砌筑预支水电箱预留口盖板、后塞口三角形、门窗边木砖定性预制块由</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施工，不增加费用，外墙满铺刀灰，灰缝按清水墙标准施工，观感美观、实测数据必须满足企业质量标准化要求。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楼地面施工时必须对四周墙面做保护措施，不允许破坏污染墙面。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水泥瓦屋面施工包含在合同范围内，不另行计价（含找平、安装挂瓦条、固定金属挂瓦条）。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配合二次吊篮施工（含封模等）；及时完成和配合脚手架、塔吊、人货电梯拆除和辅助用工。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木工工程：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主体结构墙柱模板必须采用质量较好的厚度不小于15mm的黑胶板，使用与地下室的剪力墙模板不得用于主楼标准层，板墙加固必须采用六道拉杆，标准层背楞等支撑及加固系统采用全钢结构。确保模板刚度和稳定性，保证砼成型美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包括螺杆及止水螺杆等辅材购置费，含辅材进退场运输费。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基础及主体一次结构、二次结构、后浇带快易收口网安装、后浇带采用单独支撑体系及可能的二次拆装、后浇带、电梯井、各防护棚、安全通道、物料提升机接料台、临边洞口防护等所需的模板材料及制安、拆除清理，部分二次结构已在一次结构中优化同时施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配合各工种安放预埋件、预留套管、预留洞（包括预留洞口模板制安）并保证位置准确；悬挑外架工字钢、连墙件预留洞口开口必须采用预制木盒，并及时随楼层进行拆除清理；预埋吊环开口、配合</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预留放线洞口；悬挑式接料平台安装拆除及安全防护。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合同总价</w:t>
      </w:r>
      <w:r>
        <w:rPr>
          <w:rFonts w:hint="default" w:ascii="Times New Roman" w:hAnsi="Times New Roman" w:cs="Times New Roman"/>
          <w:kern w:val="0"/>
          <w:sz w:val="24"/>
          <w:szCs w:val="24"/>
          <w:highlight w:val="none"/>
          <w:lang w:val="en-US" w:eastAsia="zh-CN"/>
        </w:rPr>
        <w:t>已含塔吊基础、物料提升机基础所需模板制安、拆清及塔吊基础位于底板和穿顶板施工缝处同后浇带做法的处理；物料提升机基础座于顶板上所需的顶板二次回顶加固；电梯井隔层模板标准硬防护制作安装、外脚手架悬挑层水平及垂直模板封闭制作安装、物料提升机楼层平台水平及垂直模板封闭制作安装。临时配电房及变压器防护，各种洞口及防护棚安全防护用工和用料等。</w:t>
      </w:r>
      <w:r>
        <w:rPr>
          <w:rFonts w:hint="eastAsia" w:ascii="Times New Roman" w:hAnsi="Times New Roman" w:cs="Times New Roman"/>
          <w:kern w:val="0"/>
          <w:sz w:val="24"/>
          <w:szCs w:val="24"/>
          <w:highlight w:val="none"/>
          <w:lang w:val="en-US" w:eastAsia="zh-CN"/>
        </w:rPr>
        <w:t>以上施工内容</w:t>
      </w:r>
      <w:r>
        <w:rPr>
          <w:rFonts w:hint="default" w:ascii="Times New Roman" w:hAnsi="Times New Roman" w:cs="Times New Roman"/>
          <w:kern w:val="0"/>
          <w:sz w:val="24"/>
          <w:szCs w:val="24"/>
          <w:highlight w:val="none"/>
          <w:lang w:val="en-US" w:eastAsia="zh-CN"/>
        </w:rPr>
        <w:t>均包含在</w:t>
      </w:r>
      <w:r>
        <w:rPr>
          <w:rFonts w:hint="eastAsia" w:ascii="Times New Roman" w:hAnsi="Times New Roman" w:cs="Times New Roman"/>
          <w:kern w:val="0"/>
          <w:sz w:val="24"/>
          <w:szCs w:val="24"/>
          <w:highlight w:val="none"/>
          <w:lang w:val="en-US" w:eastAsia="zh-CN"/>
        </w:rPr>
        <w:t>合同总价</w:t>
      </w:r>
      <w:r>
        <w:rPr>
          <w:rFonts w:hint="default" w:ascii="Times New Roman" w:hAnsi="Times New Roman" w:cs="Times New Roman"/>
          <w:kern w:val="0"/>
          <w:sz w:val="24"/>
          <w:szCs w:val="24"/>
          <w:highlight w:val="none"/>
          <w:lang w:val="en-US" w:eastAsia="zh-CN"/>
        </w:rPr>
        <w:t>中，不另行计费。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样板展示区、安全体验区的由中标人施工，不另计费用。</w:t>
      </w:r>
      <w:r>
        <w:rPr>
          <w:rFonts w:hint="eastAsia" w:ascii="Times New Roman" w:hAnsi="Times New Roman" w:cs="Times New Roman"/>
          <w:kern w:val="0"/>
          <w:sz w:val="24"/>
          <w:szCs w:val="24"/>
          <w:highlight w:val="none"/>
          <w:lang w:val="en-US" w:eastAsia="zh-CN"/>
        </w:rPr>
        <w:t>建设单位</w:t>
      </w:r>
      <w:r>
        <w:rPr>
          <w:rFonts w:hint="default" w:ascii="Times New Roman" w:hAnsi="Times New Roman" w:cs="Times New Roman"/>
          <w:kern w:val="0"/>
          <w:sz w:val="24"/>
          <w:szCs w:val="24"/>
          <w:highlight w:val="none"/>
          <w:lang w:val="en-US" w:eastAsia="zh-CN"/>
        </w:rPr>
        <w:t>零星变更及创建省标化工地所产生的费用不另计，由</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临时设施模板工作所用用工及零星用工，以及各栋高层垃圾井道和泄料专用管道制安等。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凿除因涨模超规范的混凝土并做好表面处理工作，凿割模板工程施工用的插筋、吊环、死螺杆和地下室所需的止水螺杆，清除墙、柱、梁板砼表面旧模板皮及附着物；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应自备专业焊工，施工承包范围内的焊接、墙柱及吊模等的定位。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外墙上下层施工缝处需贴双面胶预埋定性螺杆，二次结构构造柱、圈梁施工时必须正方面贴双面胶，构造柱上口需设置簸箕口。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做到施工一层、结束一层、清理一层、移交一层，对施工结束后的楼面进行彻底清理，现场自身承包范围内材料按指定区域清运码放整齐，施工楼层做到工完场清。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主要材料（混凝土、钢材、砌块、砂浆）由招标人采购，中标人负责保管，超过清单及合理损耗量部分由中标人承担；其余材料、辅料及低值易耗品由中标人自行采购，其费用纳入报价。招标人提供的主材检测费用由招标人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5.招标人提供的材料由中标人负责提报用量和保管，超过清单及超过合理损耗量部分由中标人承担。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6.劳务作业机械设备范围：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招标人提供塔吊、人货电梯、物料提升机。其他小型机械设备均由中标人负责，其费用综合考虑纳入报价。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7.劳务作业安全文明施工范围：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提供施工场区大门、围挡、冲洗设备、实名制通道及设备、扬尘监测仪、变压器、一级配电柜、变压器至二级配电箱电缆及二级配电箱；本工程中标人施工的安全文明设备设施须符合安徽省建筑工程安全文明标化工地的要求，为满足安全文明施工要求进行的洒水、清扫、覆盖、冲洗、硬化等施工，所需的一切辅助工作以及其他专业分包单位所需的配合工作，均由中标人负责，其费用综合考虑纳入报价；中标人须全力协助招标人处理村民、政府、相关单位的关系，积极组织施工确保施工顺利进行；本工程的安全、质量资料的收集、编写、整理、归档等均由中标人负责，并统一汇总，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1.投标人应详细了解施工现场情况，综合考虑各种因素后进行投标报价，中标后签订固定总价合同；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2.亳州高铁南站金融商务中心项目施工图（送审版）详见附件，该图纸仅供参考，最终以经政府主管部门审查合格的施工图为准；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3.特种操作工人的证件办理以及劳务人员的安全帽、安全带等劳保用品均由中标人自行配备，且须符合招标人项目管理要求；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4.合同外发生的零星工程，中标人应积极配合施工，招标人按照大工300元每日每人、小工200元每日每人的标准，据实与中标人结算；</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b/>
          <w:bCs/>
          <w:i w:val="0"/>
          <w:iCs w:val="0"/>
          <w:color w:val="FF0000"/>
          <w:kern w:val="0"/>
          <w:sz w:val="24"/>
          <w:szCs w:val="24"/>
          <w:highlight w:val="none"/>
          <w:lang w:val="en-US" w:eastAsia="zh-CN"/>
        </w:rPr>
        <w:t>5.部分劳务作业已施工完成，其发生的施工费用约100万元，该部分费用包含在本次招标项目投标报价中，由中标单位承担。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bookmarkStart w:id="109" w:name="_GoBack"/>
      <w:bookmarkEnd w:id="10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kern w:val="0"/>
          <w:sz w:val="24"/>
          <w:szCs w:val="24"/>
          <w:highlight w:val="none"/>
          <w:lang w:val="en-US" w:eastAsia="zh-CN"/>
        </w:rPr>
        <w:t>附件：亳州高铁南站金融商务中心项目施工图（送审版）</w:t>
      </w: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七</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4" w:name="_Toc247514246"/>
      <w:bookmarkStart w:id="25" w:name="_Toc247527827"/>
      <w:bookmarkStart w:id="26" w:name="_Toc152045787"/>
      <w:bookmarkStart w:id="27" w:name="_Toc144974856"/>
      <w:bookmarkStart w:id="28" w:name="_Toc152042576"/>
      <w:bookmarkStart w:id="29" w:name="_Toc300835209"/>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四、劳务作业方案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440" w:lineRule="exact"/>
        <w:rPr>
          <w:rFonts w:hint="default" w:ascii="Times New Roman" w:hAnsi="Times New Roman" w:eastAsia="黑体" w:cs="Times New Roman"/>
          <w:sz w:val="20"/>
          <w:szCs w:val="20"/>
          <w:highlight w:val="none"/>
        </w:rPr>
      </w:pPr>
    </w:p>
    <w:p>
      <w:pPr>
        <w:pStyle w:val="4"/>
        <w:rPr>
          <w:rFonts w:hint="default" w:ascii="Times New Roman" w:hAnsi="Times New Roman" w:cs="Times New Roman"/>
          <w:highlight w:val="none"/>
        </w:rPr>
      </w:pPr>
      <w:bookmarkStart w:id="30" w:name="_Toc247514248"/>
      <w:bookmarkStart w:id="31" w:name="_Toc152042578"/>
      <w:bookmarkStart w:id="32" w:name="_Toc300835211"/>
      <w:bookmarkStart w:id="33" w:name="_Toc144974858"/>
      <w:bookmarkStart w:id="34" w:name="_Toc152045789"/>
      <w:bookmarkStart w:id="35" w:name="_Toc247527829"/>
      <w:r>
        <w:rPr>
          <w:rFonts w:hint="default" w:ascii="Times New Roman" w:hAnsi="Times New Roman" w:cs="Times New Roman"/>
          <w:highlight w:val="none"/>
        </w:rPr>
        <w:t>（一）投标函</w:t>
      </w:r>
      <w:bookmarkEnd w:id="30"/>
      <w:bookmarkEnd w:id="31"/>
      <w:bookmarkEnd w:id="32"/>
      <w:bookmarkEnd w:id="33"/>
      <w:bookmarkEnd w:id="34"/>
      <w:bookmarkEnd w:id="35"/>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ind w:firstLine="420" w:firstLineChars="200"/>
        <w:rPr>
          <w:rFonts w:hint="default"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（项目名称）招标文件的全部内容，愿意以</w:t>
      </w:r>
      <w:r>
        <w:rPr>
          <w:rFonts w:hint="default" w:ascii="Times New Roman" w:hAnsi="Times New Roman" w:cs="Times New Roman"/>
          <w:szCs w:val="21"/>
          <w:highlight w:val="none"/>
          <w:u w:val="single"/>
        </w:rPr>
        <w:t>最终经政府主管部门审查合格的施工图建筑面积</w:t>
      </w:r>
      <w:r>
        <w:rPr>
          <w:rFonts w:hint="default" w:ascii="Times New Roman" w:hAnsi="Times New Roman" w:cs="Times New Roman"/>
          <w:szCs w:val="21"/>
          <w:highlight w:val="none"/>
        </w:rPr>
        <w:t>为基准，</w:t>
      </w:r>
      <w:r>
        <w:rPr>
          <w:rFonts w:hint="eastAsia" w:ascii="Times New Roman" w:hAnsi="Times New Roman" w:cs="Times New Roman"/>
          <w:szCs w:val="21"/>
          <w:highlight w:val="none"/>
          <w:lang w:val="en-US" w:eastAsia="zh-CN"/>
        </w:rPr>
        <w:t>固定总价合同形式，每平方米人民币（大写）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w:t>
      </w:r>
      <w:r>
        <w:rPr>
          <w:rFonts w:hint="eastAsia" w:ascii="Times New Roman" w:hAnsi="Times New Roman" w:cs="Times New Roman"/>
          <w:szCs w:val="21"/>
          <w:highlight w:val="none"/>
          <w:u w:val="none"/>
          <w:vertAlign w:val="baseline"/>
          <w:lang w:val="en-US" w:eastAsia="zh-CN"/>
        </w:rPr>
        <w:t>的投标总报价（不含税），另外增值税税率为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lang w:val="en-US" w:eastAsia="zh-CN"/>
        </w:rPr>
        <w:t>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日历天，按合同约定实施和完成承包工程的劳务作业工作，修补工程中的任何缺陷，工程质量达到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 xml:space="preserve">      </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ind w:firstLine="3675" w:firstLineChars="1750"/>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Style w:val="4"/>
        <w:rPr>
          <w:rFonts w:hint="default" w:ascii="Times New Roman" w:hAnsi="Times New Roman" w:cs="Times New Roman"/>
          <w:highlight w:val="none"/>
        </w:rPr>
      </w:pPr>
      <w:bookmarkStart w:id="36" w:name="_Toc300835212"/>
      <w:bookmarkStart w:id="37" w:name="_Toc247514249"/>
      <w:bookmarkStart w:id="38" w:name="_Toc152045790"/>
      <w:bookmarkStart w:id="39" w:name="_Toc247527830"/>
      <w:bookmarkStart w:id="40" w:name="_Toc152042579"/>
      <w:bookmarkStart w:id="41" w:name="_Toc144974859"/>
    </w:p>
    <w:p>
      <w:pPr>
        <w:pStyle w:val="4"/>
        <w:rPr>
          <w:rFonts w:hint="default" w:ascii="Times New Roman" w:hAnsi="Times New Roman" w:cs="Times New Roman"/>
          <w:highlight w:val="none"/>
        </w:rPr>
      </w:pPr>
      <w:r>
        <w:rPr>
          <w:rFonts w:hint="default" w:ascii="Times New Roman" w:hAnsi="Times New Roman" w:cs="Times New Roman"/>
          <w:highlight w:val="none"/>
        </w:rPr>
        <w:t>（二）投标函附录</w:t>
      </w:r>
      <w:bookmarkEnd w:id="36"/>
      <w:bookmarkEnd w:id="37"/>
      <w:bookmarkEnd w:id="38"/>
      <w:bookmarkEnd w:id="39"/>
      <w:bookmarkEnd w:id="40"/>
      <w:bookmarkEnd w:id="4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u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返修责任</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中标人对工程质量缺陷承担返修责任。如因劳务作业不规范等原因导致的工程质量缺陷，中标人应无偿进行返修，直至工程质量达到合格标准；中标人拒绝承担返修责任的，招标人有权自行进行返修，返修发生的费用从其履约保证金及工程价款中据实扣除。</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赔偿责任</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因中标人劳务作业不规范等原因，给招标人造成经济损失的，中标人应当据实赔偿；中标人拒绝承担赔偿责任的，招标人有权从其履约保证金及工程价款中据实扣除。</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none"/>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劳务作业方案</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bookmarkStart w:id="42" w:name="_Toc300835223"/>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劳务作业方案</w:t>
      </w:r>
      <w:r>
        <w:rPr>
          <w:rFonts w:hint="default" w:ascii="Times New Roman" w:hAnsi="Times New Roman" w:cs="Times New Roman"/>
          <w:szCs w:val="21"/>
          <w:highlight w:val="none"/>
        </w:rPr>
        <w:t>的要求：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编制时应简明扼要地说明施工方法，工程质量、安全生产、文明施工、环境保护、冬雨季施工、技术组织等主要措施。用图表形式阐明本项目的拟投入主要施工设备、劳动力、项目管理机构等。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附表二</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劳动力计划表</w:t>
      </w:r>
      <w:r>
        <w:rPr>
          <w:rFonts w:hint="default" w:ascii="Times New Roman" w:hAnsi="Times New Roman" w:cs="Times New Roman"/>
          <w:szCs w:val="21"/>
          <w:highlight w:val="none"/>
        </w:rPr>
        <w:br w:type="page"/>
      </w:r>
    </w:p>
    <w:p>
      <w:pPr>
        <w:pStyle w:val="4"/>
        <w:rPr>
          <w:rFonts w:hint="default" w:ascii="Times New Roman" w:hAnsi="Times New Roman" w:cs="Times New Roman"/>
          <w:highlight w:val="none"/>
        </w:rPr>
      </w:pPr>
      <w:bookmarkStart w:id="43" w:name="_Toc246996365"/>
      <w:bookmarkStart w:id="44" w:name="_Toc246997108"/>
      <w:bookmarkStart w:id="45" w:name="_Toc247085883"/>
      <w:bookmarkStart w:id="46" w:name="_Toc152045797"/>
      <w:bookmarkStart w:id="47" w:name="_Toc296602610"/>
      <w:bookmarkStart w:id="48" w:name="_Toc179632817"/>
      <w:bookmarkStart w:id="49" w:name="_Toc144974865"/>
      <w:bookmarkStart w:id="50" w:name="_Toc152042586"/>
      <w:r>
        <w:rPr>
          <w:rFonts w:hint="default" w:ascii="Times New Roman" w:hAnsi="Times New Roman" w:cs="Times New Roman"/>
          <w:highlight w:val="none"/>
        </w:rPr>
        <w:t>附表一：拟投入本项目的主要施工设备表</w:t>
      </w:r>
      <w:bookmarkEnd w:id="43"/>
      <w:bookmarkEnd w:id="44"/>
      <w:bookmarkEnd w:id="45"/>
      <w:bookmarkEnd w:id="46"/>
      <w:bookmarkEnd w:id="47"/>
      <w:bookmarkEnd w:id="48"/>
      <w:bookmarkEnd w:id="49"/>
      <w:bookmarkEnd w:id="50"/>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序号</w:t>
            </w:r>
          </w:p>
        </w:tc>
        <w:tc>
          <w:tcPr>
            <w:tcW w:w="1086"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设备名称</w:t>
            </w:r>
          </w:p>
        </w:tc>
        <w:tc>
          <w:tcPr>
            <w:tcW w:w="76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型号</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规格</w:t>
            </w:r>
          </w:p>
        </w:tc>
        <w:tc>
          <w:tcPr>
            <w:tcW w:w="99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数量</w:t>
            </w:r>
          </w:p>
        </w:tc>
        <w:tc>
          <w:tcPr>
            <w:tcW w:w="67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国别</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产地</w:t>
            </w:r>
          </w:p>
        </w:tc>
        <w:tc>
          <w:tcPr>
            <w:tcW w:w="738"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制造</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年份</w:t>
            </w:r>
          </w:p>
        </w:tc>
        <w:tc>
          <w:tcPr>
            <w:tcW w:w="121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额定功率（kW）</w:t>
            </w:r>
          </w:p>
        </w:tc>
        <w:tc>
          <w:tcPr>
            <w:tcW w:w="87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能力</w:t>
            </w:r>
          </w:p>
        </w:tc>
        <w:tc>
          <w:tcPr>
            <w:tcW w:w="1055"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用于施工部位</w:t>
            </w:r>
          </w:p>
        </w:tc>
        <w:tc>
          <w:tcPr>
            <w:tcW w:w="69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p>
    <w:p>
      <w:pPr>
        <w:spacing w:line="440" w:lineRule="exact"/>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4"/>
        <w:rPr>
          <w:rFonts w:hint="default" w:ascii="Times New Roman" w:hAnsi="Times New Roman" w:cs="Times New Roman"/>
          <w:highlight w:val="none"/>
        </w:rPr>
      </w:pPr>
      <w:bookmarkStart w:id="51" w:name="_Toc152042588"/>
      <w:bookmarkStart w:id="52" w:name="_Toc179632819"/>
      <w:bookmarkStart w:id="53" w:name="_Toc152045799"/>
      <w:bookmarkStart w:id="54" w:name="_Toc296602611"/>
      <w:bookmarkStart w:id="55" w:name="_Toc247085884"/>
      <w:bookmarkStart w:id="56" w:name="_Toc246996366"/>
      <w:bookmarkStart w:id="57" w:name="_Toc246997109"/>
      <w:bookmarkStart w:id="58" w:name="_Toc144974867"/>
      <w:r>
        <w:rPr>
          <w:rFonts w:hint="default" w:ascii="Times New Roman" w:hAnsi="Times New Roman" w:cs="Times New Roman"/>
          <w:highlight w:val="none"/>
        </w:rPr>
        <w:t>附表二：劳动力计划表</w:t>
      </w:r>
      <w:bookmarkEnd w:id="51"/>
      <w:bookmarkEnd w:id="52"/>
      <w:bookmarkEnd w:id="53"/>
      <w:bookmarkEnd w:id="54"/>
      <w:bookmarkEnd w:id="55"/>
      <w:bookmarkEnd w:id="56"/>
      <w:bookmarkEnd w:id="57"/>
      <w:bookmarkEnd w:id="58"/>
    </w:p>
    <w:p>
      <w:pPr>
        <w:spacing w:line="440" w:lineRule="exact"/>
        <w:ind w:right="200"/>
        <w:jc w:val="right"/>
        <w:rPr>
          <w:rFonts w:hint="default" w:ascii="Times New Roman" w:hAnsi="Times New Roman" w:eastAsia="黑体" w:cs="Times New Roman"/>
          <w:szCs w:val="21"/>
          <w:highlight w:val="none"/>
        </w:rPr>
      </w:pPr>
      <w:r>
        <w:rPr>
          <w:rFonts w:hint="default" w:ascii="Times New Roman" w:hAnsi="Times New Roman" w:eastAsia="黑体" w:cs="Times New Roman"/>
          <w:szCs w:val="21"/>
          <w:highlight w:val="none"/>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工种</w:t>
            </w:r>
          </w:p>
        </w:tc>
        <w:tc>
          <w:tcPr>
            <w:tcW w:w="7693" w:type="dxa"/>
            <w:gridSpan w:val="7"/>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highlight w:val="none"/>
              </w:rPr>
            </w:pPr>
          </w:p>
        </w:tc>
        <w:tc>
          <w:tcPr>
            <w:tcW w:w="1304"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4"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highlight w:val="none"/>
              </w:rPr>
            </w:pPr>
          </w:p>
        </w:tc>
        <w:tc>
          <w:tcPr>
            <w:tcW w:w="1304"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5" w:type="dxa"/>
            <w:noWrap w:val="0"/>
            <w:vAlign w:val="center"/>
          </w:tcPr>
          <w:p>
            <w:pPr>
              <w:spacing w:line="440" w:lineRule="exact"/>
              <w:jc w:val="center"/>
              <w:rPr>
                <w:rFonts w:hint="default" w:ascii="Times New Roman" w:hAnsi="Times New Roman" w:cs="Times New Roman"/>
                <w:szCs w:val="21"/>
                <w:highlight w:val="none"/>
              </w:rPr>
            </w:pPr>
          </w:p>
        </w:tc>
        <w:tc>
          <w:tcPr>
            <w:tcW w:w="1064"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rPr>
                <w:rFonts w:hint="default" w:ascii="Times New Roman" w:hAnsi="Times New Roman" w:cs="Times New Roman"/>
                <w:szCs w:val="21"/>
                <w:highlight w:val="none"/>
              </w:rPr>
            </w:pPr>
          </w:p>
        </w:tc>
        <w:tc>
          <w:tcPr>
            <w:tcW w:w="1304"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5" w:type="dxa"/>
            <w:noWrap w:val="0"/>
            <w:vAlign w:val="top"/>
          </w:tcPr>
          <w:p>
            <w:pPr>
              <w:spacing w:line="440" w:lineRule="exact"/>
              <w:jc w:val="center"/>
              <w:rPr>
                <w:rFonts w:hint="default" w:ascii="Times New Roman" w:hAnsi="Times New Roman" w:cs="Times New Roman"/>
                <w:szCs w:val="21"/>
                <w:highlight w:val="none"/>
              </w:rPr>
            </w:pPr>
          </w:p>
        </w:tc>
        <w:tc>
          <w:tcPr>
            <w:tcW w:w="1064" w:type="dxa"/>
            <w:noWrap w:val="0"/>
            <w:vAlign w:val="top"/>
          </w:tcPr>
          <w:p>
            <w:pPr>
              <w:spacing w:line="440" w:lineRule="exact"/>
              <w:jc w:val="center"/>
              <w:rPr>
                <w:rFonts w:hint="default" w:ascii="Times New Roman" w:hAnsi="Times New Roman" w:cs="Times New Roman"/>
                <w:szCs w:val="21"/>
                <w:highlight w:val="none"/>
              </w:rPr>
            </w:pPr>
          </w:p>
        </w:tc>
      </w:tr>
    </w:tbl>
    <w:p>
      <w:pPr>
        <w:pStyle w:val="9"/>
        <w:rPr>
          <w:rFonts w:hint="default" w:ascii="Times New Roman" w:hAnsi="Times New Roman" w:cs="Times New Roman"/>
          <w:highlight w:val="none"/>
        </w:rPr>
      </w:pPr>
      <w:bookmarkStart w:id="59" w:name="_Toc144974868"/>
      <w:bookmarkStart w:id="60" w:name="_Toc246996367"/>
      <w:bookmarkStart w:id="61" w:name="_Toc179632820"/>
      <w:bookmarkStart w:id="62" w:name="_Toc246997110"/>
      <w:bookmarkStart w:id="63" w:name="_Toc152045800"/>
      <w:bookmarkStart w:id="64" w:name="_Toc152042589"/>
    </w:p>
    <w:p>
      <w:pPr>
        <w:pStyle w:val="9"/>
        <w:rPr>
          <w:rFonts w:hint="default" w:ascii="Times New Roman" w:hAnsi="Times New Roman" w:cs="Times New Roman"/>
          <w:highlight w:val="none"/>
        </w:rPr>
      </w:pPr>
      <w:r>
        <w:rPr>
          <w:rFonts w:hint="default" w:ascii="Times New Roman" w:hAnsi="Times New Roman" w:cs="Times New Roman"/>
          <w:highlight w:val="none"/>
        </w:rPr>
        <w:br w:type="page"/>
      </w:r>
    </w:p>
    <w:bookmarkEnd w:id="42"/>
    <w:bookmarkEnd w:id="59"/>
    <w:bookmarkEnd w:id="60"/>
    <w:bookmarkEnd w:id="61"/>
    <w:bookmarkEnd w:id="62"/>
    <w:bookmarkEnd w:id="63"/>
    <w:bookmarkEnd w:id="64"/>
    <w:p>
      <w:pPr>
        <w:pStyle w:val="3"/>
        <w:jc w:val="center"/>
        <w:rPr>
          <w:szCs w:val="21"/>
          <w:highlight w:val="none"/>
        </w:rPr>
      </w:pPr>
      <w:r>
        <w:rPr>
          <w:rFonts w:hint="eastAsia"/>
          <w:highlight w:val="none"/>
          <w:lang w:val="en-US" w:eastAsia="zh-CN"/>
        </w:rPr>
        <w:t>五</w:t>
      </w:r>
      <w:r>
        <w:rPr>
          <w:highlight w:val="none"/>
        </w:rPr>
        <w:t>、项目管理机构</w:t>
      </w:r>
    </w:p>
    <w:p>
      <w:pPr>
        <w:spacing w:line="440" w:lineRule="exact"/>
        <w:jc w:val="center"/>
        <w:rPr>
          <w:rFonts w:eastAsia="黑体"/>
          <w:sz w:val="23"/>
          <w:szCs w:val="23"/>
          <w:highlight w:val="none"/>
        </w:rPr>
      </w:pPr>
    </w:p>
    <w:p>
      <w:pPr>
        <w:pStyle w:val="4"/>
        <w:jc w:val="both"/>
        <w:rPr>
          <w:highlight w:val="none"/>
        </w:rPr>
      </w:pPr>
      <w:bookmarkStart w:id="65" w:name="_Toc247085888"/>
      <w:bookmarkStart w:id="66" w:name="_Toc246996370"/>
      <w:bookmarkStart w:id="67" w:name="_Toc246997113"/>
      <w:bookmarkStart w:id="68" w:name="_Toc296602615"/>
      <w:r>
        <w:rPr>
          <w:highlight w:val="none"/>
        </w:rPr>
        <w:t>（一）项目管理机构组成表</w:t>
      </w:r>
      <w:bookmarkEnd w:id="65"/>
      <w:bookmarkEnd w:id="66"/>
      <w:bookmarkEnd w:id="67"/>
      <w:bookmarkEnd w:id="68"/>
    </w:p>
    <w:p>
      <w:pPr>
        <w:spacing w:line="440" w:lineRule="exact"/>
        <w:jc w:val="center"/>
        <w:rPr>
          <w:rFonts w:eastAsia="黑体"/>
          <w:sz w:val="23"/>
          <w:szCs w:val="23"/>
          <w:highlight w:val="none"/>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both"/>
        <w:rPr>
          <w:highlight w:val="none"/>
        </w:rPr>
      </w:pPr>
      <w:bookmarkStart w:id="69" w:name="_Toc246996371"/>
      <w:bookmarkStart w:id="70" w:name="_Toc246997114"/>
      <w:bookmarkStart w:id="71" w:name="_Toc296602616"/>
      <w:bookmarkStart w:id="72" w:name="_Toc247085889"/>
      <w:r>
        <w:rPr>
          <w:highlight w:val="none"/>
        </w:rPr>
        <w:t>（二）</w:t>
      </w:r>
      <w:r>
        <w:rPr>
          <w:rFonts w:hint="eastAsia"/>
          <w:highlight w:val="none"/>
          <w:lang w:val="en-US" w:eastAsia="zh-CN"/>
        </w:rPr>
        <w:t>项目管理机构</w:t>
      </w:r>
      <w:r>
        <w:rPr>
          <w:highlight w:val="none"/>
        </w:rPr>
        <w:t>简历表</w:t>
      </w:r>
      <w:bookmarkEnd w:id="69"/>
      <w:bookmarkEnd w:id="70"/>
      <w:bookmarkEnd w:id="71"/>
      <w:bookmarkEnd w:id="72"/>
    </w:p>
    <w:p>
      <w:pPr>
        <w:spacing w:line="400" w:lineRule="exact"/>
        <w:ind w:firstLine="420" w:firstLineChars="200"/>
        <w:rPr>
          <w:rFonts w:hint="eastAsia"/>
          <w:highlight w:val="none"/>
          <w:lang w:eastAsia="zh-CN"/>
        </w:rPr>
      </w:pPr>
      <w:r>
        <w:rPr>
          <w:rFonts w:hint="eastAsia"/>
          <w:highlight w:val="none"/>
          <w:lang w:val="en-US" w:eastAsia="zh-CN"/>
        </w:rPr>
        <w:t>项目负责人简历应附</w:t>
      </w:r>
      <w:r>
        <w:rPr>
          <w:rFonts w:hint="eastAsia"/>
          <w:highlight w:val="none"/>
        </w:rPr>
        <w:t>注册建造师执业资格证书、身份证、职称证、学历证、</w:t>
      </w:r>
      <w:r>
        <w:rPr>
          <w:rFonts w:hint="default" w:ascii="Times New Roman" w:hAnsi="Times New Roman" w:cs="Times New Roman"/>
          <w:color w:val="FF0000"/>
          <w:highlight w:val="none"/>
          <w:u w:val="single"/>
        </w:rPr>
        <w:t>2020年6月以来任意连续3个月</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spacing w:line="400" w:lineRule="exact"/>
        <w:ind w:firstLine="420" w:firstLineChars="200"/>
        <w:rPr>
          <w:rFonts w:hint="eastAsia" w:eastAsiaTheme="minorEastAsia"/>
          <w:highlight w:val="none"/>
          <w:lang w:val="en-US" w:eastAsia="zh-CN"/>
        </w:rPr>
      </w:pPr>
      <w:r>
        <w:rPr>
          <w:rFonts w:hint="eastAsia"/>
          <w:highlight w:val="none"/>
          <w:lang w:val="en-US" w:eastAsia="zh-CN"/>
        </w:rPr>
        <w:t>技术</w:t>
      </w:r>
      <w:r>
        <w:rPr>
          <w:rFonts w:hint="eastAsia"/>
          <w:highlight w:val="none"/>
          <w:lang w:eastAsia="zh-CN"/>
        </w:rPr>
        <w:t>负责人</w:t>
      </w:r>
      <w:r>
        <w:rPr>
          <w:rFonts w:hint="eastAsia"/>
          <w:highlight w:val="none"/>
          <w:lang w:val="en-US" w:eastAsia="zh-CN"/>
        </w:rPr>
        <w:t>简历应附</w:t>
      </w:r>
      <w:r>
        <w:rPr>
          <w:rFonts w:hint="eastAsia"/>
          <w:highlight w:val="none"/>
          <w:lang w:eastAsia="zh-CN"/>
        </w:rPr>
        <w:t>身份证、职称证、学历证、</w:t>
      </w:r>
      <w:r>
        <w:rPr>
          <w:rFonts w:hint="eastAsia" w:ascii="Times New Roman" w:hAnsi="Times New Roman" w:cs="Times New Roman"/>
          <w:color w:val="FF0000"/>
          <w:highlight w:val="none"/>
          <w:u w:val="single"/>
          <w:lang w:eastAsia="zh-CN"/>
        </w:rPr>
        <w:t>2020年6月以来任意连续3个月</w:t>
      </w:r>
      <w:r>
        <w:rPr>
          <w:rFonts w:hint="eastAsia"/>
          <w:highlight w:val="none"/>
          <w:lang w:val="en-US" w:eastAsia="zh-CN"/>
        </w:rPr>
        <w:t>社保缴费证明</w:t>
      </w:r>
      <w:r>
        <w:rPr>
          <w:rFonts w:hint="eastAsia"/>
          <w:highlight w:val="none"/>
          <w:lang w:eastAsia="zh-CN"/>
        </w:rPr>
        <w:t>复印件；</w:t>
      </w:r>
      <w:r>
        <w:rPr>
          <w:rFonts w:hint="eastAsia"/>
          <w:highlight w:val="none"/>
          <w:lang w:val="en-US" w:eastAsia="zh-CN"/>
        </w:rPr>
        <w:t>施工员、劳资员、资料员简历应附职业培训合格证书、身份证、职称证、学历证、</w:t>
      </w:r>
      <w:r>
        <w:rPr>
          <w:rFonts w:hint="default" w:ascii="Times New Roman" w:hAnsi="Times New Roman" w:cs="Times New Roman"/>
          <w:color w:val="FF0000"/>
          <w:highlight w:val="none"/>
          <w:u w:val="single"/>
        </w:rPr>
        <w:t>2020年6月以来任意连续3个月</w:t>
      </w:r>
      <w:r>
        <w:rPr>
          <w:rFonts w:hint="eastAsia"/>
          <w:highlight w:val="none"/>
          <w:lang w:val="en-US" w:eastAsia="zh-CN"/>
        </w:rPr>
        <w:t>社保缴费证明</w:t>
      </w:r>
      <w:r>
        <w:rPr>
          <w:rFonts w:hint="eastAsia"/>
          <w:highlight w:val="none"/>
        </w:rPr>
        <w:t>复印件</w:t>
      </w:r>
      <w:r>
        <w:rPr>
          <w:rFonts w:hint="eastAsia"/>
          <w:highlight w:val="none"/>
          <w:lang w:eastAsia="zh-CN"/>
        </w:rPr>
        <w:t>；</w:t>
      </w:r>
      <w:r>
        <w:rPr>
          <w:rFonts w:hint="eastAsia"/>
          <w:highlight w:val="none"/>
          <w:lang w:val="en-US" w:eastAsia="zh-CN"/>
        </w:rPr>
        <w:t>安全员简历应附安全生产考核合格证书、身份证、职称证、学历证、</w:t>
      </w:r>
      <w:r>
        <w:rPr>
          <w:rFonts w:hint="default" w:ascii="Times New Roman" w:hAnsi="Times New Roman" w:cs="Times New Roman"/>
          <w:color w:val="FF0000"/>
          <w:highlight w:val="none"/>
          <w:u w:val="single"/>
        </w:rPr>
        <w:t>2020年6月以来任意连续3个月</w:t>
      </w:r>
      <w:r>
        <w:rPr>
          <w:rFonts w:hint="eastAsia"/>
          <w:highlight w:val="none"/>
          <w:lang w:val="en-US" w:eastAsia="zh-CN"/>
        </w:rPr>
        <w:t>社保缴费证明</w:t>
      </w:r>
      <w:r>
        <w:rPr>
          <w:rFonts w:hint="eastAsia"/>
          <w:highlight w:val="none"/>
        </w:rPr>
        <w:t>复印件</w:t>
      </w:r>
      <w:r>
        <w:rPr>
          <w:rFonts w:hint="eastAsia"/>
          <w:highlight w:val="none"/>
          <w:lang w:eastAsia="zh-CN"/>
        </w:rPr>
        <w:t>。</w:t>
      </w:r>
    </w:p>
    <w:p>
      <w:pPr>
        <w:topLinePunct/>
        <w:spacing w:line="440" w:lineRule="exact"/>
        <w:jc w:val="center"/>
        <w:rPr>
          <w:rFonts w:eastAsia="黑体"/>
          <w:sz w:val="23"/>
          <w:szCs w:val="23"/>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eastAsia"/>
          <w:highlight w:val="none"/>
        </w:rPr>
      </w:pPr>
      <w:bookmarkStart w:id="73" w:name="_Toc246997115"/>
      <w:bookmarkStart w:id="74" w:name="_Toc296602617"/>
      <w:bookmarkStart w:id="75" w:name="_Toc247085890"/>
      <w:bookmarkStart w:id="76" w:name="_Toc246996372"/>
      <w:bookmarkStart w:id="77" w:name="_Toc144974875"/>
      <w:bookmarkStart w:id="78" w:name="_Toc152045807"/>
      <w:bookmarkStart w:id="79" w:name="_Toc179632827"/>
      <w:bookmarkStart w:id="80" w:name="_Toc152042596"/>
      <w:r>
        <w:rPr>
          <w:rFonts w:hint="eastAsia"/>
          <w:highlight w:val="none"/>
          <w:lang w:val="en-US" w:eastAsia="zh-CN"/>
        </w:rPr>
        <w:t>六</w:t>
      </w:r>
      <w:r>
        <w:rPr>
          <w:highlight w:val="none"/>
        </w:rPr>
        <w:t>、资格审查资料</w:t>
      </w:r>
      <w:bookmarkEnd w:id="73"/>
      <w:bookmarkEnd w:id="74"/>
      <w:bookmarkEnd w:id="75"/>
      <w:bookmarkEnd w:id="76"/>
      <w:bookmarkEnd w:id="77"/>
      <w:bookmarkEnd w:id="78"/>
      <w:bookmarkEnd w:id="79"/>
      <w:bookmarkEnd w:id="80"/>
    </w:p>
    <w:p>
      <w:pPr>
        <w:pStyle w:val="4"/>
        <w:jc w:val="both"/>
        <w:rPr>
          <w:rFonts w:hint="eastAsia"/>
          <w:highlight w:val="none"/>
        </w:rPr>
      </w:pPr>
      <w:bookmarkStart w:id="81" w:name="_Toc179632828"/>
      <w:bookmarkStart w:id="82" w:name="_Toc246997116"/>
      <w:bookmarkStart w:id="83" w:name="_Toc247085891"/>
      <w:bookmarkStart w:id="84" w:name="_Toc246996373"/>
      <w:bookmarkStart w:id="85" w:name="_Toc296602618"/>
      <w:r>
        <w:rPr>
          <w:highlight w:val="none"/>
        </w:rPr>
        <w:t>（一）投标人基本情况表</w:t>
      </w:r>
      <w:bookmarkEnd w:id="81"/>
      <w:bookmarkEnd w:id="82"/>
      <w:bookmarkEnd w:id="83"/>
      <w:bookmarkEnd w:id="84"/>
      <w:bookmarkEnd w:id="85"/>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highlight w:val="none"/>
                <w:lang w:val="en-US" w:eastAsia="zh-CN"/>
              </w:rPr>
            </w:pPr>
            <w:r>
              <w:rPr>
                <w:szCs w:val="21"/>
                <w:highlight w:val="none"/>
              </w:rPr>
              <w:t>项目</w:t>
            </w:r>
            <w:r>
              <w:rPr>
                <w:rFonts w:hint="eastAsia"/>
                <w:szCs w:val="21"/>
                <w:highlight w:val="none"/>
                <w:lang w:val="en-US" w:eastAsia="zh-CN"/>
              </w:rPr>
              <w:t>经理</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应附投标人营业执照、资质证书副本和安全生产许可证等材料的复印件。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86" w:name="_Toc247527850"/>
      <w:bookmarkStart w:id="87" w:name="_Toc247514302"/>
      <w:bookmarkStart w:id="88" w:name="_Toc144974878"/>
      <w:bookmarkStart w:id="89" w:name="_Toc152042599"/>
      <w:bookmarkStart w:id="90" w:name="_Toc152045810"/>
      <w:bookmarkStart w:id="91" w:name="_Toc300835226"/>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86"/>
      <w:bookmarkEnd w:id="87"/>
      <w:bookmarkEnd w:id="88"/>
      <w:bookmarkEnd w:id="89"/>
      <w:bookmarkEnd w:id="90"/>
      <w:bookmarkEnd w:id="91"/>
    </w:p>
    <w:p>
      <w:pPr>
        <w:spacing w:line="440" w:lineRule="exact"/>
        <w:jc w:val="center"/>
        <w:rPr>
          <w:rFonts w:hint="default" w:ascii="Times New Roman" w:hAnsi="Times New Roman" w:eastAsia="黑体" w:cs="Times New Roman"/>
          <w:sz w:val="23"/>
          <w:szCs w:val="23"/>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92" w:name="_Toc152045811"/>
      <w:bookmarkStart w:id="93" w:name="_Toc144974879"/>
      <w:bookmarkStart w:id="94" w:name="_Toc247527851"/>
      <w:bookmarkStart w:id="95" w:name="_Toc152042600"/>
      <w:bookmarkStart w:id="96" w:name="_Toc247514303"/>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r>
        <w:rPr>
          <w:rFonts w:hint="default" w:ascii="Times New Roman" w:hAnsi="Times New Roman" w:cs="Times New Roman"/>
          <w:highlight w:val="none"/>
        </w:rPr>
        <w:br w:type="page"/>
      </w:r>
    </w:p>
    <w:p>
      <w:pPr>
        <w:pStyle w:val="4"/>
        <w:rPr>
          <w:rFonts w:hint="default" w:ascii="Times New Roman" w:hAnsi="Times New Roman" w:cs="Times New Roman"/>
          <w:highlight w:val="none"/>
        </w:rPr>
      </w:pPr>
      <w:bookmarkStart w:id="97"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92"/>
      <w:bookmarkEnd w:id="93"/>
      <w:bookmarkEnd w:id="94"/>
      <w:bookmarkEnd w:id="95"/>
      <w:bookmarkEnd w:id="96"/>
      <w:bookmarkEnd w:id="97"/>
    </w:p>
    <w:p>
      <w:pPr>
        <w:spacing w:line="440" w:lineRule="exact"/>
        <w:rPr>
          <w:rFonts w:hint="default" w:ascii="Times New Roman" w:hAnsi="Times New Roman" w:eastAsia="黑体" w:cs="Times New Roman"/>
          <w:sz w:val="20"/>
          <w:szCs w:val="20"/>
          <w:highlight w:val="none"/>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98" w:name="_Toc247514304"/>
      <w:bookmarkStart w:id="99" w:name="_Toc144974880"/>
      <w:bookmarkStart w:id="100" w:name="_Toc152042601"/>
      <w:bookmarkStart w:id="101" w:name="_Toc152045812"/>
      <w:bookmarkStart w:id="102" w:name="_Toc247527852"/>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98"/>
    <w:bookmarkEnd w:id="99"/>
    <w:bookmarkEnd w:id="100"/>
    <w:bookmarkEnd w:id="101"/>
    <w:bookmarkEnd w:id="102"/>
    <w:p>
      <w:pPr>
        <w:pStyle w:val="4"/>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default" w:ascii="Times New Roman" w:hAnsi="Times New Roman" w:eastAsiaTheme="minorEastAsia"/>
          <w:color w:val="000000"/>
          <w:highlight w:val="none"/>
          <w:lang w:val="en-US" w:eastAsia="zh-CN"/>
        </w:rPr>
      </w:pPr>
      <w:r>
        <w:rPr>
          <w:rFonts w:hint="eastAsia" w:ascii="Times New Roman" w:hAnsi="Times New Roman"/>
          <w:highlight w:val="none"/>
          <w:lang w:val="en-US" w:eastAsia="zh-CN"/>
        </w:rPr>
        <w:t>如有，按招标文件要求提供。</w:t>
      </w: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103" w:name="_Toc247530162"/>
      <w:bookmarkStart w:id="104" w:name="_Toc247527853"/>
      <w:bookmarkStart w:id="105" w:name="_Toc247514305"/>
      <w:bookmarkStart w:id="106" w:name="_Toc144974881"/>
      <w:bookmarkStart w:id="107" w:name="_Toc152045813"/>
      <w:bookmarkStart w:id="108" w:name="_Toc152042602"/>
    </w:p>
    <w:bookmarkEnd w:id="103"/>
    <w:bookmarkEnd w:id="104"/>
    <w:bookmarkEnd w:id="105"/>
    <w:bookmarkEnd w:id="106"/>
    <w:bookmarkEnd w:id="107"/>
    <w:bookmarkEnd w:id="108"/>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七</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4"/>
      <w:bookmarkEnd w:id="25"/>
      <w:bookmarkEnd w:id="26"/>
      <w:bookmarkEnd w:id="27"/>
      <w:bookmarkEnd w:id="28"/>
      <w:bookmarkEnd w:id="29"/>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40224D"/>
    <w:rsid w:val="004109F1"/>
    <w:rsid w:val="005B3F61"/>
    <w:rsid w:val="00733B0B"/>
    <w:rsid w:val="00746178"/>
    <w:rsid w:val="00764376"/>
    <w:rsid w:val="00796B76"/>
    <w:rsid w:val="00850CC0"/>
    <w:rsid w:val="008A465F"/>
    <w:rsid w:val="00A317C6"/>
    <w:rsid w:val="00A51DC2"/>
    <w:rsid w:val="00A5756C"/>
    <w:rsid w:val="00A90DE6"/>
    <w:rsid w:val="00B00F2F"/>
    <w:rsid w:val="00B07197"/>
    <w:rsid w:val="00B7173A"/>
    <w:rsid w:val="00C81162"/>
    <w:rsid w:val="00E233A4"/>
    <w:rsid w:val="00E277D8"/>
    <w:rsid w:val="00FA7E7A"/>
    <w:rsid w:val="00FC5EA1"/>
    <w:rsid w:val="00FF308E"/>
    <w:rsid w:val="011E6004"/>
    <w:rsid w:val="01265F82"/>
    <w:rsid w:val="013B5863"/>
    <w:rsid w:val="0145105E"/>
    <w:rsid w:val="01477ECF"/>
    <w:rsid w:val="015366DE"/>
    <w:rsid w:val="01603026"/>
    <w:rsid w:val="016C08CD"/>
    <w:rsid w:val="01776822"/>
    <w:rsid w:val="017D6531"/>
    <w:rsid w:val="01891D75"/>
    <w:rsid w:val="019846E3"/>
    <w:rsid w:val="019A0D37"/>
    <w:rsid w:val="01A96F88"/>
    <w:rsid w:val="01AC09B9"/>
    <w:rsid w:val="01B734D5"/>
    <w:rsid w:val="01BC6192"/>
    <w:rsid w:val="01CB0CDF"/>
    <w:rsid w:val="01CD2334"/>
    <w:rsid w:val="01E140D3"/>
    <w:rsid w:val="01E63667"/>
    <w:rsid w:val="01F16263"/>
    <w:rsid w:val="01FB5FA7"/>
    <w:rsid w:val="01FC6C8A"/>
    <w:rsid w:val="02016132"/>
    <w:rsid w:val="020A7E49"/>
    <w:rsid w:val="021323E7"/>
    <w:rsid w:val="021D348F"/>
    <w:rsid w:val="024B4CB7"/>
    <w:rsid w:val="02562B11"/>
    <w:rsid w:val="02694A3C"/>
    <w:rsid w:val="026E5FAB"/>
    <w:rsid w:val="028E0BA6"/>
    <w:rsid w:val="02921EEB"/>
    <w:rsid w:val="02983D41"/>
    <w:rsid w:val="029B73B6"/>
    <w:rsid w:val="02A31129"/>
    <w:rsid w:val="02A46690"/>
    <w:rsid w:val="02AC508C"/>
    <w:rsid w:val="02BE075F"/>
    <w:rsid w:val="02C62A0C"/>
    <w:rsid w:val="02D15F15"/>
    <w:rsid w:val="02E85A11"/>
    <w:rsid w:val="02F4317E"/>
    <w:rsid w:val="02F675AC"/>
    <w:rsid w:val="03067649"/>
    <w:rsid w:val="0324584F"/>
    <w:rsid w:val="032652C7"/>
    <w:rsid w:val="0327280A"/>
    <w:rsid w:val="033964DC"/>
    <w:rsid w:val="0344745D"/>
    <w:rsid w:val="035021B2"/>
    <w:rsid w:val="035103B6"/>
    <w:rsid w:val="035F6F33"/>
    <w:rsid w:val="03696450"/>
    <w:rsid w:val="038E65F9"/>
    <w:rsid w:val="03982877"/>
    <w:rsid w:val="03A06E70"/>
    <w:rsid w:val="03B16CFB"/>
    <w:rsid w:val="03BD28F2"/>
    <w:rsid w:val="03C10800"/>
    <w:rsid w:val="03C96DCC"/>
    <w:rsid w:val="03D00DCC"/>
    <w:rsid w:val="03D76A54"/>
    <w:rsid w:val="03F661CB"/>
    <w:rsid w:val="03FB71CD"/>
    <w:rsid w:val="04127BBC"/>
    <w:rsid w:val="0414641F"/>
    <w:rsid w:val="041515CF"/>
    <w:rsid w:val="04210376"/>
    <w:rsid w:val="04212D24"/>
    <w:rsid w:val="042C575E"/>
    <w:rsid w:val="043175D2"/>
    <w:rsid w:val="04382327"/>
    <w:rsid w:val="043A6EF6"/>
    <w:rsid w:val="043F4B9B"/>
    <w:rsid w:val="043F5557"/>
    <w:rsid w:val="044363A4"/>
    <w:rsid w:val="046528EE"/>
    <w:rsid w:val="04670355"/>
    <w:rsid w:val="047422EC"/>
    <w:rsid w:val="047473E0"/>
    <w:rsid w:val="04806F13"/>
    <w:rsid w:val="04885B47"/>
    <w:rsid w:val="04A05D69"/>
    <w:rsid w:val="04A33316"/>
    <w:rsid w:val="04A52387"/>
    <w:rsid w:val="04B54547"/>
    <w:rsid w:val="04CD15E8"/>
    <w:rsid w:val="04CD3C56"/>
    <w:rsid w:val="04CF4810"/>
    <w:rsid w:val="04D36D79"/>
    <w:rsid w:val="04D63FDF"/>
    <w:rsid w:val="04E65E91"/>
    <w:rsid w:val="04EB08D2"/>
    <w:rsid w:val="04EC7DA2"/>
    <w:rsid w:val="050252F6"/>
    <w:rsid w:val="051B12F6"/>
    <w:rsid w:val="052F42FA"/>
    <w:rsid w:val="054D04ED"/>
    <w:rsid w:val="055625ED"/>
    <w:rsid w:val="056553DC"/>
    <w:rsid w:val="0572490A"/>
    <w:rsid w:val="057E3D65"/>
    <w:rsid w:val="058253F2"/>
    <w:rsid w:val="05872EB9"/>
    <w:rsid w:val="05933026"/>
    <w:rsid w:val="059E7F25"/>
    <w:rsid w:val="05BA17C0"/>
    <w:rsid w:val="05C166EB"/>
    <w:rsid w:val="05CE4CD4"/>
    <w:rsid w:val="05D9116E"/>
    <w:rsid w:val="05FA76CD"/>
    <w:rsid w:val="060B41C8"/>
    <w:rsid w:val="060C7EF1"/>
    <w:rsid w:val="061C4B78"/>
    <w:rsid w:val="061F0438"/>
    <w:rsid w:val="06256505"/>
    <w:rsid w:val="06292F58"/>
    <w:rsid w:val="063F4D83"/>
    <w:rsid w:val="064A364D"/>
    <w:rsid w:val="064B59D4"/>
    <w:rsid w:val="06501BB5"/>
    <w:rsid w:val="06624967"/>
    <w:rsid w:val="06626753"/>
    <w:rsid w:val="066620F9"/>
    <w:rsid w:val="066F772B"/>
    <w:rsid w:val="06714440"/>
    <w:rsid w:val="067240CC"/>
    <w:rsid w:val="0675297E"/>
    <w:rsid w:val="0678324B"/>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6FB51CA"/>
    <w:rsid w:val="07110C82"/>
    <w:rsid w:val="07341382"/>
    <w:rsid w:val="07351836"/>
    <w:rsid w:val="07352A27"/>
    <w:rsid w:val="074267A8"/>
    <w:rsid w:val="07435C8A"/>
    <w:rsid w:val="074A7C93"/>
    <w:rsid w:val="07511E6E"/>
    <w:rsid w:val="07666E00"/>
    <w:rsid w:val="07723470"/>
    <w:rsid w:val="07803B85"/>
    <w:rsid w:val="078A5688"/>
    <w:rsid w:val="07962EAB"/>
    <w:rsid w:val="07972327"/>
    <w:rsid w:val="07A526A3"/>
    <w:rsid w:val="07A85930"/>
    <w:rsid w:val="07AF461B"/>
    <w:rsid w:val="07EE56D8"/>
    <w:rsid w:val="080C7666"/>
    <w:rsid w:val="08135436"/>
    <w:rsid w:val="08135F8A"/>
    <w:rsid w:val="081A64E8"/>
    <w:rsid w:val="081A78AB"/>
    <w:rsid w:val="081F57BB"/>
    <w:rsid w:val="083726B7"/>
    <w:rsid w:val="0838660F"/>
    <w:rsid w:val="0844736D"/>
    <w:rsid w:val="08554A0D"/>
    <w:rsid w:val="08563EE1"/>
    <w:rsid w:val="08633C94"/>
    <w:rsid w:val="086D3DA1"/>
    <w:rsid w:val="08774BE1"/>
    <w:rsid w:val="087C0267"/>
    <w:rsid w:val="088F5820"/>
    <w:rsid w:val="08903F11"/>
    <w:rsid w:val="08932D8F"/>
    <w:rsid w:val="08B42C1D"/>
    <w:rsid w:val="08BF001C"/>
    <w:rsid w:val="08DD0C51"/>
    <w:rsid w:val="08ED571D"/>
    <w:rsid w:val="08F30303"/>
    <w:rsid w:val="08F3349D"/>
    <w:rsid w:val="090347F9"/>
    <w:rsid w:val="09094C02"/>
    <w:rsid w:val="090B4E95"/>
    <w:rsid w:val="09176975"/>
    <w:rsid w:val="0922447E"/>
    <w:rsid w:val="09285EF9"/>
    <w:rsid w:val="092D0C4C"/>
    <w:rsid w:val="09402156"/>
    <w:rsid w:val="094319EC"/>
    <w:rsid w:val="09553317"/>
    <w:rsid w:val="095B2DC5"/>
    <w:rsid w:val="096213E6"/>
    <w:rsid w:val="09633229"/>
    <w:rsid w:val="09641BD1"/>
    <w:rsid w:val="096637B6"/>
    <w:rsid w:val="0967298A"/>
    <w:rsid w:val="09817F0F"/>
    <w:rsid w:val="099B4112"/>
    <w:rsid w:val="09A4167C"/>
    <w:rsid w:val="09A71C3D"/>
    <w:rsid w:val="09AF2C22"/>
    <w:rsid w:val="09B32D8C"/>
    <w:rsid w:val="09B9167B"/>
    <w:rsid w:val="09C37FE6"/>
    <w:rsid w:val="09C92B69"/>
    <w:rsid w:val="09CB20E0"/>
    <w:rsid w:val="09D236A1"/>
    <w:rsid w:val="09DB25D9"/>
    <w:rsid w:val="09DF226A"/>
    <w:rsid w:val="09EC69D2"/>
    <w:rsid w:val="09F24E69"/>
    <w:rsid w:val="09F55A47"/>
    <w:rsid w:val="09F80B72"/>
    <w:rsid w:val="09FD1DED"/>
    <w:rsid w:val="0A074254"/>
    <w:rsid w:val="0A0D1983"/>
    <w:rsid w:val="0A3B332D"/>
    <w:rsid w:val="0A3F6135"/>
    <w:rsid w:val="0A4A4D09"/>
    <w:rsid w:val="0A4D21A5"/>
    <w:rsid w:val="0A500304"/>
    <w:rsid w:val="0A5234C1"/>
    <w:rsid w:val="0A544005"/>
    <w:rsid w:val="0A605FF5"/>
    <w:rsid w:val="0A704DEE"/>
    <w:rsid w:val="0A8B5261"/>
    <w:rsid w:val="0A8E5075"/>
    <w:rsid w:val="0A9001DC"/>
    <w:rsid w:val="0A99152D"/>
    <w:rsid w:val="0AA16FCF"/>
    <w:rsid w:val="0AA913FB"/>
    <w:rsid w:val="0AAE6B76"/>
    <w:rsid w:val="0AB37F43"/>
    <w:rsid w:val="0AB930A2"/>
    <w:rsid w:val="0ADD0DF0"/>
    <w:rsid w:val="0AE12CD3"/>
    <w:rsid w:val="0AE617F3"/>
    <w:rsid w:val="0AEB40E8"/>
    <w:rsid w:val="0B0B2266"/>
    <w:rsid w:val="0B174D3E"/>
    <w:rsid w:val="0B2810DB"/>
    <w:rsid w:val="0B2E135C"/>
    <w:rsid w:val="0B416906"/>
    <w:rsid w:val="0B44058A"/>
    <w:rsid w:val="0B547C4D"/>
    <w:rsid w:val="0B5A04DF"/>
    <w:rsid w:val="0B5D1C2A"/>
    <w:rsid w:val="0B683A4F"/>
    <w:rsid w:val="0B685C3C"/>
    <w:rsid w:val="0B7202E7"/>
    <w:rsid w:val="0B725051"/>
    <w:rsid w:val="0B737E7C"/>
    <w:rsid w:val="0B77554A"/>
    <w:rsid w:val="0B8C63AF"/>
    <w:rsid w:val="0B991D46"/>
    <w:rsid w:val="0B9E2A8E"/>
    <w:rsid w:val="0B9F686D"/>
    <w:rsid w:val="0BB82A2B"/>
    <w:rsid w:val="0BC817F0"/>
    <w:rsid w:val="0C036BCC"/>
    <w:rsid w:val="0C0A1206"/>
    <w:rsid w:val="0C110CA2"/>
    <w:rsid w:val="0C175AC8"/>
    <w:rsid w:val="0C364F9E"/>
    <w:rsid w:val="0C4F2E9C"/>
    <w:rsid w:val="0C5A7BFB"/>
    <w:rsid w:val="0C773477"/>
    <w:rsid w:val="0C883397"/>
    <w:rsid w:val="0C905D65"/>
    <w:rsid w:val="0C9F113B"/>
    <w:rsid w:val="0CAF0053"/>
    <w:rsid w:val="0CD3448B"/>
    <w:rsid w:val="0CD42B77"/>
    <w:rsid w:val="0CF072F3"/>
    <w:rsid w:val="0CF21211"/>
    <w:rsid w:val="0D0C3D32"/>
    <w:rsid w:val="0D180DB9"/>
    <w:rsid w:val="0D2466BD"/>
    <w:rsid w:val="0D3575AB"/>
    <w:rsid w:val="0D3A1668"/>
    <w:rsid w:val="0D4120AF"/>
    <w:rsid w:val="0D447FB8"/>
    <w:rsid w:val="0D45621B"/>
    <w:rsid w:val="0D4965D9"/>
    <w:rsid w:val="0D4A67B7"/>
    <w:rsid w:val="0D5C2246"/>
    <w:rsid w:val="0D5C46C4"/>
    <w:rsid w:val="0D630580"/>
    <w:rsid w:val="0D66752B"/>
    <w:rsid w:val="0D6A3C45"/>
    <w:rsid w:val="0D6B611E"/>
    <w:rsid w:val="0D7D12A8"/>
    <w:rsid w:val="0D7E1788"/>
    <w:rsid w:val="0D7F3B4D"/>
    <w:rsid w:val="0D84383E"/>
    <w:rsid w:val="0D887338"/>
    <w:rsid w:val="0D9424D6"/>
    <w:rsid w:val="0DA13B17"/>
    <w:rsid w:val="0DA277FF"/>
    <w:rsid w:val="0DA312D2"/>
    <w:rsid w:val="0DB4668D"/>
    <w:rsid w:val="0DB8057F"/>
    <w:rsid w:val="0DC57869"/>
    <w:rsid w:val="0DD331D8"/>
    <w:rsid w:val="0DDB677F"/>
    <w:rsid w:val="0DE90B73"/>
    <w:rsid w:val="0DF80EF8"/>
    <w:rsid w:val="0E05197A"/>
    <w:rsid w:val="0E093A81"/>
    <w:rsid w:val="0E1201C4"/>
    <w:rsid w:val="0E3C08A3"/>
    <w:rsid w:val="0E493D37"/>
    <w:rsid w:val="0E525503"/>
    <w:rsid w:val="0E582E51"/>
    <w:rsid w:val="0E5C46C9"/>
    <w:rsid w:val="0E5E6C82"/>
    <w:rsid w:val="0E626142"/>
    <w:rsid w:val="0E6D2ED0"/>
    <w:rsid w:val="0E6D3EE4"/>
    <w:rsid w:val="0E73304D"/>
    <w:rsid w:val="0E752239"/>
    <w:rsid w:val="0E766E25"/>
    <w:rsid w:val="0E7C1FC3"/>
    <w:rsid w:val="0E8168AC"/>
    <w:rsid w:val="0E92031F"/>
    <w:rsid w:val="0E9601D9"/>
    <w:rsid w:val="0EB07759"/>
    <w:rsid w:val="0EBA7C6D"/>
    <w:rsid w:val="0EBD5C4C"/>
    <w:rsid w:val="0EC85504"/>
    <w:rsid w:val="0EDF4D5E"/>
    <w:rsid w:val="0EE52C71"/>
    <w:rsid w:val="0EF75A54"/>
    <w:rsid w:val="0EF860F0"/>
    <w:rsid w:val="0F00127D"/>
    <w:rsid w:val="0F024085"/>
    <w:rsid w:val="0F1438EF"/>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20BE"/>
    <w:rsid w:val="10025B65"/>
    <w:rsid w:val="10026A4B"/>
    <w:rsid w:val="101038A7"/>
    <w:rsid w:val="101E2D38"/>
    <w:rsid w:val="102A3008"/>
    <w:rsid w:val="10446D2F"/>
    <w:rsid w:val="104957CA"/>
    <w:rsid w:val="104A797E"/>
    <w:rsid w:val="104D6EF3"/>
    <w:rsid w:val="105A469D"/>
    <w:rsid w:val="1069417C"/>
    <w:rsid w:val="106C1E4B"/>
    <w:rsid w:val="10754F51"/>
    <w:rsid w:val="1079104A"/>
    <w:rsid w:val="108A23D3"/>
    <w:rsid w:val="108E687D"/>
    <w:rsid w:val="1095135B"/>
    <w:rsid w:val="10CF5152"/>
    <w:rsid w:val="10D35E97"/>
    <w:rsid w:val="10F47DFE"/>
    <w:rsid w:val="11080BA4"/>
    <w:rsid w:val="111120D9"/>
    <w:rsid w:val="11114551"/>
    <w:rsid w:val="112269D1"/>
    <w:rsid w:val="11356135"/>
    <w:rsid w:val="11537004"/>
    <w:rsid w:val="11542722"/>
    <w:rsid w:val="115D1849"/>
    <w:rsid w:val="11800917"/>
    <w:rsid w:val="118955AD"/>
    <w:rsid w:val="11970BCB"/>
    <w:rsid w:val="1197226B"/>
    <w:rsid w:val="119E5143"/>
    <w:rsid w:val="11A23351"/>
    <w:rsid w:val="11AA0839"/>
    <w:rsid w:val="11B17765"/>
    <w:rsid w:val="11BD5F4B"/>
    <w:rsid w:val="11C42470"/>
    <w:rsid w:val="11C71895"/>
    <w:rsid w:val="11CD444A"/>
    <w:rsid w:val="11E2334D"/>
    <w:rsid w:val="11E42782"/>
    <w:rsid w:val="11EA25BA"/>
    <w:rsid w:val="11EB376F"/>
    <w:rsid w:val="11FC3F3B"/>
    <w:rsid w:val="11FD41F5"/>
    <w:rsid w:val="11FE456B"/>
    <w:rsid w:val="120A72E0"/>
    <w:rsid w:val="123F1A00"/>
    <w:rsid w:val="124D3BAD"/>
    <w:rsid w:val="12535B93"/>
    <w:rsid w:val="125A52C4"/>
    <w:rsid w:val="12655D96"/>
    <w:rsid w:val="126E70A7"/>
    <w:rsid w:val="128E3C38"/>
    <w:rsid w:val="12981122"/>
    <w:rsid w:val="129E250A"/>
    <w:rsid w:val="12AC50F3"/>
    <w:rsid w:val="12BF2922"/>
    <w:rsid w:val="12C942C8"/>
    <w:rsid w:val="12DC5F5E"/>
    <w:rsid w:val="12DC7F8C"/>
    <w:rsid w:val="12E2251E"/>
    <w:rsid w:val="12E82A0B"/>
    <w:rsid w:val="13027FAE"/>
    <w:rsid w:val="131873D2"/>
    <w:rsid w:val="131C5459"/>
    <w:rsid w:val="132044AA"/>
    <w:rsid w:val="13212B64"/>
    <w:rsid w:val="13253C3A"/>
    <w:rsid w:val="13274F9C"/>
    <w:rsid w:val="133F353D"/>
    <w:rsid w:val="13417410"/>
    <w:rsid w:val="134A448A"/>
    <w:rsid w:val="134C5D75"/>
    <w:rsid w:val="134F4267"/>
    <w:rsid w:val="134F7EA7"/>
    <w:rsid w:val="135107A8"/>
    <w:rsid w:val="13593CA5"/>
    <w:rsid w:val="135A2C11"/>
    <w:rsid w:val="136066CF"/>
    <w:rsid w:val="13657E31"/>
    <w:rsid w:val="136C3340"/>
    <w:rsid w:val="1387094F"/>
    <w:rsid w:val="13876522"/>
    <w:rsid w:val="138D74CD"/>
    <w:rsid w:val="139C08EB"/>
    <w:rsid w:val="13A41DAE"/>
    <w:rsid w:val="13AF7657"/>
    <w:rsid w:val="13C25262"/>
    <w:rsid w:val="13D0213F"/>
    <w:rsid w:val="13D35238"/>
    <w:rsid w:val="13D81B1F"/>
    <w:rsid w:val="13ED6E9B"/>
    <w:rsid w:val="14061B66"/>
    <w:rsid w:val="142B5FE2"/>
    <w:rsid w:val="142C3159"/>
    <w:rsid w:val="14334C51"/>
    <w:rsid w:val="14542872"/>
    <w:rsid w:val="146D04E3"/>
    <w:rsid w:val="147E2423"/>
    <w:rsid w:val="148008F9"/>
    <w:rsid w:val="1481732F"/>
    <w:rsid w:val="1487273A"/>
    <w:rsid w:val="148C28CB"/>
    <w:rsid w:val="14944440"/>
    <w:rsid w:val="14A059A0"/>
    <w:rsid w:val="14B36100"/>
    <w:rsid w:val="14B87DF7"/>
    <w:rsid w:val="14B97B05"/>
    <w:rsid w:val="14CD31B9"/>
    <w:rsid w:val="14D32567"/>
    <w:rsid w:val="14D506CF"/>
    <w:rsid w:val="14DA6BBE"/>
    <w:rsid w:val="14E063ED"/>
    <w:rsid w:val="14E67563"/>
    <w:rsid w:val="14EE304A"/>
    <w:rsid w:val="15021B62"/>
    <w:rsid w:val="150A21BA"/>
    <w:rsid w:val="151779D1"/>
    <w:rsid w:val="151B2EFC"/>
    <w:rsid w:val="1522437E"/>
    <w:rsid w:val="15283931"/>
    <w:rsid w:val="153608A7"/>
    <w:rsid w:val="15382F40"/>
    <w:rsid w:val="154E73A3"/>
    <w:rsid w:val="154F1076"/>
    <w:rsid w:val="15631036"/>
    <w:rsid w:val="15670431"/>
    <w:rsid w:val="158374C1"/>
    <w:rsid w:val="15883F0F"/>
    <w:rsid w:val="15A62ECC"/>
    <w:rsid w:val="15AD70A3"/>
    <w:rsid w:val="15B14179"/>
    <w:rsid w:val="15BB515A"/>
    <w:rsid w:val="15C516BD"/>
    <w:rsid w:val="15E14ACE"/>
    <w:rsid w:val="15E30544"/>
    <w:rsid w:val="15EA1C06"/>
    <w:rsid w:val="161F52DA"/>
    <w:rsid w:val="16396D09"/>
    <w:rsid w:val="163972DF"/>
    <w:rsid w:val="166266B1"/>
    <w:rsid w:val="16636D0F"/>
    <w:rsid w:val="166A29CC"/>
    <w:rsid w:val="16822D4F"/>
    <w:rsid w:val="168E157D"/>
    <w:rsid w:val="16AE5D39"/>
    <w:rsid w:val="16C724D4"/>
    <w:rsid w:val="16D411E7"/>
    <w:rsid w:val="16E52F87"/>
    <w:rsid w:val="16EC631F"/>
    <w:rsid w:val="170756D4"/>
    <w:rsid w:val="170F4587"/>
    <w:rsid w:val="171B71C4"/>
    <w:rsid w:val="171C6910"/>
    <w:rsid w:val="17283FF8"/>
    <w:rsid w:val="17286409"/>
    <w:rsid w:val="172C7D14"/>
    <w:rsid w:val="17452741"/>
    <w:rsid w:val="17474767"/>
    <w:rsid w:val="176115DC"/>
    <w:rsid w:val="176D7525"/>
    <w:rsid w:val="17824660"/>
    <w:rsid w:val="178948A0"/>
    <w:rsid w:val="178C6AA1"/>
    <w:rsid w:val="178D4F75"/>
    <w:rsid w:val="178F2FF8"/>
    <w:rsid w:val="179121FE"/>
    <w:rsid w:val="17915931"/>
    <w:rsid w:val="17A95D2F"/>
    <w:rsid w:val="17AE37BE"/>
    <w:rsid w:val="17BB073A"/>
    <w:rsid w:val="17C24576"/>
    <w:rsid w:val="17C41ABF"/>
    <w:rsid w:val="18175D56"/>
    <w:rsid w:val="181C44F7"/>
    <w:rsid w:val="18201633"/>
    <w:rsid w:val="18276B10"/>
    <w:rsid w:val="18341AA2"/>
    <w:rsid w:val="18396FF2"/>
    <w:rsid w:val="183C0E63"/>
    <w:rsid w:val="1866537E"/>
    <w:rsid w:val="18761DDB"/>
    <w:rsid w:val="187964F0"/>
    <w:rsid w:val="189B5F22"/>
    <w:rsid w:val="18A70256"/>
    <w:rsid w:val="18A944F8"/>
    <w:rsid w:val="18B117A1"/>
    <w:rsid w:val="18B131FA"/>
    <w:rsid w:val="18B30663"/>
    <w:rsid w:val="18B73074"/>
    <w:rsid w:val="18CA061B"/>
    <w:rsid w:val="18DA76F1"/>
    <w:rsid w:val="18E54122"/>
    <w:rsid w:val="19034C2D"/>
    <w:rsid w:val="1916127C"/>
    <w:rsid w:val="1938763C"/>
    <w:rsid w:val="193D465D"/>
    <w:rsid w:val="193D4E12"/>
    <w:rsid w:val="195419D3"/>
    <w:rsid w:val="19605E78"/>
    <w:rsid w:val="196C4606"/>
    <w:rsid w:val="196C6238"/>
    <w:rsid w:val="19746D28"/>
    <w:rsid w:val="197C46C1"/>
    <w:rsid w:val="198A59D6"/>
    <w:rsid w:val="199264BA"/>
    <w:rsid w:val="19A23CC4"/>
    <w:rsid w:val="19A73D74"/>
    <w:rsid w:val="19AA5416"/>
    <w:rsid w:val="19B10C29"/>
    <w:rsid w:val="19B47ADC"/>
    <w:rsid w:val="19C46F05"/>
    <w:rsid w:val="19CE7FF6"/>
    <w:rsid w:val="19D03EAF"/>
    <w:rsid w:val="19D70C6D"/>
    <w:rsid w:val="19DC21A5"/>
    <w:rsid w:val="19E2271F"/>
    <w:rsid w:val="19ED4AB6"/>
    <w:rsid w:val="19F3086D"/>
    <w:rsid w:val="19FF6399"/>
    <w:rsid w:val="1A075570"/>
    <w:rsid w:val="1A0873EE"/>
    <w:rsid w:val="1A1C623A"/>
    <w:rsid w:val="1A222A0A"/>
    <w:rsid w:val="1A270D5F"/>
    <w:rsid w:val="1A2820C6"/>
    <w:rsid w:val="1A341AC0"/>
    <w:rsid w:val="1A4D4CED"/>
    <w:rsid w:val="1A744BB1"/>
    <w:rsid w:val="1A761035"/>
    <w:rsid w:val="1A797469"/>
    <w:rsid w:val="1A8850B8"/>
    <w:rsid w:val="1AAB4E9C"/>
    <w:rsid w:val="1AB1694B"/>
    <w:rsid w:val="1ADB0B95"/>
    <w:rsid w:val="1AEC10F0"/>
    <w:rsid w:val="1AEC3C17"/>
    <w:rsid w:val="1AF80851"/>
    <w:rsid w:val="1AF92C34"/>
    <w:rsid w:val="1AF96E08"/>
    <w:rsid w:val="1B0361BC"/>
    <w:rsid w:val="1B12369C"/>
    <w:rsid w:val="1B1A7EDA"/>
    <w:rsid w:val="1B25270D"/>
    <w:rsid w:val="1B262D26"/>
    <w:rsid w:val="1B2670F4"/>
    <w:rsid w:val="1B2D1E19"/>
    <w:rsid w:val="1B2D7FD6"/>
    <w:rsid w:val="1B374A35"/>
    <w:rsid w:val="1B3A5220"/>
    <w:rsid w:val="1B3B258E"/>
    <w:rsid w:val="1B432501"/>
    <w:rsid w:val="1B652C95"/>
    <w:rsid w:val="1B70155F"/>
    <w:rsid w:val="1B723039"/>
    <w:rsid w:val="1B7700FA"/>
    <w:rsid w:val="1B894EBC"/>
    <w:rsid w:val="1B8C1172"/>
    <w:rsid w:val="1B9269B7"/>
    <w:rsid w:val="1BB12BB2"/>
    <w:rsid w:val="1BC20782"/>
    <w:rsid w:val="1BC72A1F"/>
    <w:rsid w:val="1BCE49E9"/>
    <w:rsid w:val="1BD12722"/>
    <w:rsid w:val="1BD15865"/>
    <w:rsid w:val="1BDF24E0"/>
    <w:rsid w:val="1BE276B7"/>
    <w:rsid w:val="1BE90199"/>
    <w:rsid w:val="1BEC6EE5"/>
    <w:rsid w:val="1BF460D8"/>
    <w:rsid w:val="1BF86B64"/>
    <w:rsid w:val="1BFE7E24"/>
    <w:rsid w:val="1C100B6A"/>
    <w:rsid w:val="1C2075D6"/>
    <w:rsid w:val="1C29375F"/>
    <w:rsid w:val="1C2A3D6D"/>
    <w:rsid w:val="1C2B6CB4"/>
    <w:rsid w:val="1C3774BA"/>
    <w:rsid w:val="1C4C1274"/>
    <w:rsid w:val="1C572ED0"/>
    <w:rsid w:val="1C5D4617"/>
    <w:rsid w:val="1C5D5F8B"/>
    <w:rsid w:val="1C637E71"/>
    <w:rsid w:val="1C6E241C"/>
    <w:rsid w:val="1C781F1C"/>
    <w:rsid w:val="1C78659A"/>
    <w:rsid w:val="1C7A099F"/>
    <w:rsid w:val="1C855634"/>
    <w:rsid w:val="1C9C2788"/>
    <w:rsid w:val="1CA83FE4"/>
    <w:rsid w:val="1CB07DF9"/>
    <w:rsid w:val="1CC3681B"/>
    <w:rsid w:val="1CC7761E"/>
    <w:rsid w:val="1CD143D0"/>
    <w:rsid w:val="1CE36749"/>
    <w:rsid w:val="1CF251D3"/>
    <w:rsid w:val="1CFF3217"/>
    <w:rsid w:val="1CFF77E0"/>
    <w:rsid w:val="1D0C3E62"/>
    <w:rsid w:val="1D1D0D81"/>
    <w:rsid w:val="1D271412"/>
    <w:rsid w:val="1D4875DC"/>
    <w:rsid w:val="1D576A44"/>
    <w:rsid w:val="1D5835F0"/>
    <w:rsid w:val="1D5D4990"/>
    <w:rsid w:val="1D6539B3"/>
    <w:rsid w:val="1D8306ED"/>
    <w:rsid w:val="1D8C5045"/>
    <w:rsid w:val="1D9244F8"/>
    <w:rsid w:val="1D931CEA"/>
    <w:rsid w:val="1D9C5084"/>
    <w:rsid w:val="1DA0794B"/>
    <w:rsid w:val="1DB64AE5"/>
    <w:rsid w:val="1DB82722"/>
    <w:rsid w:val="1DC177D9"/>
    <w:rsid w:val="1DD1343B"/>
    <w:rsid w:val="1DD222FF"/>
    <w:rsid w:val="1DD94BEF"/>
    <w:rsid w:val="1DDE608F"/>
    <w:rsid w:val="1E004B06"/>
    <w:rsid w:val="1E021573"/>
    <w:rsid w:val="1E1A236E"/>
    <w:rsid w:val="1E225BB3"/>
    <w:rsid w:val="1E2A6113"/>
    <w:rsid w:val="1E2D212B"/>
    <w:rsid w:val="1E2E1737"/>
    <w:rsid w:val="1E2E6E13"/>
    <w:rsid w:val="1E32182A"/>
    <w:rsid w:val="1E4E2A9D"/>
    <w:rsid w:val="1E5A61EE"/>
    <w:rsid w:val="1E713E2F"/>
    <w:rsid w:val="1E882116"/>
    <w:rsid w:val="1E8C285D"/>
    <w:rsid w:val="1E927A94"/>
    <w:rsid w:val="1EA573D8"/>
    <w:rsid w:val="1EA74806"/>
    <w:rsid w:val="1EB0513B"/>
    <w:rsid w:val="1EB4327E"/>
    <w:rsid w:val="1EB72F76"/>
    <w:rsid w:val="1EBC7943"/>
    <w:rsid w:val="1ED45036"/>
    <w:rsid w:val="1EDC61DD"/>
    <w:rsid w:val="1EE0138A"/>
    <w:rsid w:val="1EE36B2C"/>
    <w:rsid w:val="1EEA786F"/>
    <w:rsid w:val="1EF15394"/>
    <w:rsid w:val="1EF342CB"/>
    <w:rsid w:val="1EF62481"/>
    <w:rsid w:val="1F020A44"/>
    <w:rsid w:val="1F041BC7"/>
    <w:rsid w:val="1F127B09"/>
    <w:rsid w:val="1F2354C8"/>
    <w:rsid w:val="1F2774EF"/>
    <w:rsid w:val="1F36160E"/>
    <w:rsid w:val="1F377253"/>
    <w:rsid w:val="1F3920FB"/>
    <w:rsid w:val="1F4544BF"/>
    <w:rsid w:val="1F560579"/>
    <w:rsid w:val="1F5D00BF"/>
    <w:rsid w:val="1F640255"/>
    <w:rsid w:val="1F671677"/>
    <w:rsid w:val="1F722047"/>
    <w:rsid w:val="1F904945"/>
    <w:rsid w:val="1F9E44D6"/>
    <w:rsid w:val="1FA32D78"/>
    <w:rsid w:val="1FAA6A2E"/>
    <w:rsid w:val="1FC11059"/>
    <w:rsid w:val="1FD608B1"/>
    <w:rsid w:val="1FE570E2"/>
    <w:rsid w:val="1FE7673E"/>
    <w:rsid w:val="200218B6"/>
    <w:rsid w:val="200E38F2"/>
    <w:rsid w:val="201E585F"/>
    <w:rsid w:val="20207229"/>
    <w:rsid w:val="204044A0"/>
    <w:rsid w:val="20410B17"/>
    <w:rsid w:val="204240CB"/>
    <w:rsid w:val="204810F4"/>
    <w:rsid w:val="2049266D"/>
    <w:rsid w:val="20534B67"/>
    <w:rsid w:val="2054187A"/>
    <w:rsid w:val="20557DC5"/>
    <w:rsid w:val="205A5C16"/>
    <w:rsid w:val="205B7D6A"/>
    <w:rsid w:val="207C33EE"/>
    <w:rsid w:val="2081342E"/>
    <w:rsid w:val="209740BF"/>
    <w:rsid w:val="2099242E"/>
    <w:rsid w:val="209C1FFB"/>
    <w:rsid w:val="20AA1E5D"/>
    <w:rsid w:val="20AE5E99"/>
    <w:rsid w:val="20B0411F"/>
    <w:rsid w:val="20B25974"/>
    <w:rsid w:val="20BE31CF"/>
    <w:rsid w:val="20D658C9"/>
    <w:rsid w:val="20D95B5B"/>
    <w:rsid w:val="20DC2416"/>
    <w:rsid w:val="20E43C38"/>
    <w:rsid w:val="20EA6CF6"/>
    <w:rsid w:val="20F22231"/>
    <w:rsid w:val="20FF6C87"/>
    <w:rsid w:val="21015C26"/>
    <w:rsid w:val="21073D9E"/>
    <w:rsid w:val="210D46F4"/>
    <w:rsid w:val="210D5036"/>
    <w:rsid w:val="21121083"/>
    <w:rsid w:val="211518DD"/>
    <w:rsid w:val="21196429"/>
    <w:rsid w:val="212B2F31"/>
    <w:rsid w:val="212B5CF5"/>
    <w:rsid w:val="21307761"/>
    <w:rsid w:val="21327DB2"/>
    <w:rsid w:val="213741EC"/>
    <w:rsid w:val="213A0D63"/>
    <w:rsid w:val="213D6756"/>
    <w:rsid w:val="213D7BD8"/>
    <w:rsid w:val="214C4EC5"/>
    <w:rsid w:val="21502326"/>
    <w:rsid w:val="2153567F"/>
    <w:rsid w:val="217422B6"/>
    <w:rsid w:val="218830DB"/>
    <w:rsid w:val="2188758A"/>
    <w:rsid w:val="21927CFA"/>
    <w:rsid w:val="21A61686"/>
    <w:rsid w:val="21AD6A9F"/>
    <w:rsid w:val="21AE0FC0"/>
    <w:rsid w:val="21BC2CB4"/>
    <w:rsid w:val="21C13A32"/>
    <w:rsid w:val="21D660F7"/>
    <w:rsid w:val="21DC2ED7"/>
    <w:rsid w:val="21EE31A8"/>
    <w:rsid w:val="21F3174D"/>
    <w:rsid w:val="220940EA"/>
    <w:rsid w:val="220A4BCF"/>
    <w:rsid w:val="221E15AC"/>
    <w:rsid w:val="221F62A8"/>
    <w:rsid w:val="22225038"/>
    <w:rsid w:val="22270787"/>
    <w:rsid w:val="223659AD"/>
    <w:rsid w:val="224D73DD"/>
    <w:rsid w:val="224E5BF6"/>
    <w:rsid w:val="22592601"/>
    <w:rsid w:val="225F6B03"/>
    <w:rsid w:val="226C044F"/>
    <w:rsid w:val="226D7B83"/>
    <w:rsid w:val="227D333D"/>
    <w:rsid w:val="22805079"/>
    <w:rsid w:val="22830B8E"/>
    <w:rsid w:val="22881D30"/>
    <w:rsid w:val="2290672C"/>
    <w:rsid w:val="2293123C"/>
    <w:rsid w:val="22A36B70"/>
    <w:rsid w:val="22A570EC"/>
    <w:rsid w:val="22A80FFA"/>
    <w:rsid w:val="22B70712"/>
    <w:rsid w:val="22C10E81"/>
    <w:rsid w:val="22CD0269"/>
    <w:rsid w:val="22D43243"/>
    <w:rsid w:val="22D704E6"/>
    <w:rsid w:val="22E40131"/>
    <w:rsid w:val="22ED5BB2"/>
    <w:rsid w:val="23146AE4"/>
    <w:rsid w:val="2315239E"/>
    <w:rsid w:val="232E56FD"/>
    <w:rsid w:val="233F5F96"/>
    <w:rsid w:val="235B2F11"/>
    <w:rsid w:val="235F4D23"/>
    <w:rsid w:val="236854D2"/>
    <w:rsid w:val="236D4028"/>
    <w:rsid w:val="237A75E1"/>
    <w:rsid w:val="238A4DFC"/>
    <w:rsid w:val="238D57DD"/>
    <w:rsid w:val="23AC114D"/>
    <w:rsid w:val="23B04AEE"/>
    <w:rsid w:val="23B449C4"/>
    <w:rsid w:val="23CA7A4D"/>
    <w:rsid w:val="23DD21F3"/>
    <w:rsid w:val="23DF7B34"/>
    <w:rsid w:val="240C05DA"/>
    <w:rsid w:val="240E2AAB"/>
    <w:rsid w:val="241E1CD4"/>
    <w:rsid w:val="24226CC5"/>
    <w:rsid w:val="24312A4A"/>
    <w:rsid w:val="244A5E9A"/>
    <w:rsid w:val="244C4BB8"/>
    <w:rsid w:val="24691193"/>
    <w:rsid w:val="246C3A46"/>
    <w:rsid w:val="247152E7"/>
    <w:rsid w:val="24881DAE"/>
    <w:rsid w:val="248B0FB9"/>
    <w:rsid w:val="24BC7675"/>
    <w:rsid w:val="24C57933"/>
    <w:rsid w:val="24E04616"/>
    <w:rsid w:val="24FC0DBA"/>
    <w:rsid w:val="24FF7718"/>
    <w:rsid w:val="251211C3"/>
    <w:rsid w:val="251A7612"/>
    <w:rsid w:val="25237A22"/>
    <w:rsid w:val="25285AE1"/>
    <w:rsid w:val="252E0774"/>
    <w:rsid w:val="2534790D"/>
    <w:rsid w:val="253C110E"/>
    <w:rsid w:val="25481BCE"/>
    <w:rsid w:val="254E3439"/>
    <w:rsid w:val="255453E5"/>
    <w:rsid w:val="25590A78"/>
    <w:rsid w:val="255D36DD"/>
    <w:rsid w:val="25812F8D"/>
    <w:rsid w:val="25814DB7"/>
    <w:rsid w:val="25824959"/>
    <w:rsid w:val="258F5201"/>
    <w:rsid w:val="25987A23"/>
    <w:rsid w:val="259D3936"/>
    <w:rsid w:val="259E2C83"/>
    <w:rsid w:val="25AB2808"/>
    <w:rsid w:val="25B460CA"/>
    <w:rsid w:val="25BC46FF"/>
    <w:rsid w:val="25C00CC8"/>
    <w:rsid w:val="25C517A2"/>
    <w:rsid w:val="25EC1F0F"/>
    <w:rsid w:val="25F5789E"/>
    <w:rsid w:val="25FD6A72"/>
    <w:rsid w:val="2608561B"/>
    <w:rsid w:val="26196938"/>
    <w:rsid w:val="26211725"/>
    <w:rsid w:val="26261861"/>
    <w:rsid w:val="26382AAC"/>
    <w:rsid w:val="26405FF8"/>
    <w:rsid w:val="26410311"/>
    <w:rsid w:val="26506FAD"/>
    <w:rsid w:val="26617429"/>
    <w:rsid w:val="26645CEF"/>
    <w:rsid w:val="26656277"/>
    <w:rsid w:val="26663117"/>
    <w:rsid w:val="26691540"/>
    <w:rsid w:val="2673017F"/>
    <w:rsid w:val="267771CA"/>
    <w:rsid w:val="26807144"/>
    <w:rsid w:val="268A362E"/>
    <w:rsid w:val="26924356"/>
    <w:rsid w:val="269560EE"/>
    <w:rsid w:val="26AF686C"/>
    <w:rsid w:val="26B65F86"/>
    <w:rsid w:val="26CA60FC"/>
    <w:rsid w:val="26D16018"/>
    <w:rsid w:val="26D840CC"/>
    <w:rsid w:val="26DB3228"/>
    <w:rsid w:val="26DF6074"/>
    <w:rsid w:val="26E05716"/>
    <w:rsid w:val="26FE679C"/>
    <w:rsid w:val="271E59B6"/>
    <w:rsid w:val="272C11C0"/>
    <w:rsid w:val="27301EDB"/>
    <w:rsid w:val="27453115"/>
    <w:rsid w:val="27547EE4"/>
    <w:rsid w:val="276C029F"/>
    <w:rsid w:val="27867E0A"/>
    <w:rsid w:val="27912807"/>
    <w:rsid w:val="2792515D"/>
    <w:rsid w:val="27982DD4"/>
    <w:rsid w:val="27A1656E"/>
    <w:rsid w:val="27B2212B"/>
    <w:rsid w:val="27BC655B"/>
    <w:rsid w:val="27CC67E7"/>
    <w:rsid w:val="27DD09CE"/>
    <w:rsid w:val="27E20FE5"/>
    <w:rsid w:val="27EC553C"/>
    <w:rsid w:val="27F85AFF"/>
    <w:rsid w:val="2804675C"/>
    <w:rsid w:val="280C4BFC"/>
    <w:rsid w:val="2813394B"/>
    <w:rsid w:val="281C1F63"/>
    <w:rsid w:val="281C54D8"/>
    <w:rsid w:val="283610D5"/>
    <w:rsid w:val="285F5293"/>
    <w:rsid w:val="28622D71"/>
    <w:rsid w:val="286E69FD"/>
    <w:rsid w:val="2874076E"/>
    <w:rsid w:val="288B6FC7"/>
    <w:rsid w:val="289524E1"/>
    <w:rsid w:val="28C56178"/>
    <w:rsid w:val="28D42521"/>
    <w:rsid w:val="28D51A0C"/>
    <w:rsid w:val="28DF0877"/>
    <w:rsid w:val="28E349BC"/>
    <w:rsid w:val="28FA546B"/>
    <w:rsid w:val="28FE025E"/>
    <w:rsid w:val="29240606"/>
    <w:rsid w:val="29245F1A"/>
    <w:rsid w:val="29366359"/>
    <w:rsid w:val="29456427"/>
    <w:rsid w:val="294647CA"/>
    <w:rsid w:val="29586D7A"/>
    <w:rsid w:val="29772B51"/>
    <w:rsid w:val="29791894"/>
    <w:rsid w:val="2981202B"/>
    <w:rsid w:val="29831234"/>
    <w:rsid w:val="2984235F"/>
    <w:rsid w:val="29844E30"/>
    <w:rsid w:val="299400E6"/>
    <w:rsid w:val="29967FD2"/>
    <w:rsid w:val="29972080"/>
    <w:rsid w:val="29A055D0"/>
    <w:rsid w:val="29A52D8F"/>
    <w:rsid w:val="29B76175"/>
    <w:rsid w:val="29B9118A"/>
    <w:rsid w:val="29BE0BBB"/>
    <w:rsid w:val="29C56C3A"/>
    <w:rsid w:val="29C5793C"/>
    <w:rsid w:val="29D21D69"/>
    <w:rsid w:val="29D85278"/>
    <w:rsid w:val="29E1380C"/>
    <w:rsid w:val="29E16B08"/>
    <w:rsid w:val="29E85046"/>
    <w:rsid w:val="2A017BFD"/>
    <w:rsid w:val="2A0A71F8"/>
    <w:rsid w:val="2A3E153F"/>
    <w:rsid w:val="2A4913A2"/>
    <w:rsid w:val="2A555F6F"/>
    <w:rsid w:val="2A5C29F3"/>
    <w:rsid w:val="2A5C5810"/>
    <w:rsid w:val="2A651A82"/>
    <w:rsid w:val="2A6D62E0"/>
    <w:rsid w:val="2A6D7B04"/>
    <w:rsid w:val="2A904A07"/>
    <w:rsid w:val="2A9154D8"/>
    <w:rsid w:val="2AA04C57"/>
    <w:rsid w:val="2AA3416B"/>
    <w:rsid w:val="2AD750C3"/>
    <w:rsid w:val="2AE77D08"/>
    <w:rsid w:val="2AEA3011"/>
    <w:rsid w:val="2AEB73AD"/>
    <w:rsid w:val="2AF315E7"/>
    <w:rsid w:val="2B0014BF"/>
    <w:rsid w:val="2B1C0596"/>
    <w:rsid w:val="2B200903"/>
    <w:rsid w:val="2B252D72"/>
    <w:rsid w:val="2B3E0375"/>
    <w:rsid w:val="2B3F6875"/>
    <w:rsid w:val="2B492499"/>
    <w:rsid w:val="2B652A8D"/>
    <w:rsid w:val="2B6A2F63"/>
    <w:rsid w:val="2B6C55DB"/>
    <w:rsid w:val="2B7F70AE"/>
    <w:rsid w:val="2B8471AE"/>
    <w:rsid w:val="2B8479B4"/>
    <w:rsid w:val="2B885372"/>
    <w:rsid w:val="2B8A2FFD"/>
    <w:rsid w:val="2B8D5640"/>
    <w:rsid w:val="2B8E3DDE"/>
    <w:rsid w:val="2BA46A0B"/>
    <w:rsid w:val="2BB41F16"/>
    <w:rsid w:val="2BBA2DA3"/>
    <w:rsid w:val="2BD90E44"/>
    <w:rsid w:val="2BDE1B83"/>
    <w:rsid w:val="2BF4029C"/>
    <w:rsid w:val="2C043051"/>
    <w:rsid w:val="2C1C0269"/>
    <w:rsid w:val="2C1C6937"/>
    <w:rsid w:val="2C202757"/>
    <w:rsid w:val="2C270D43"/>
    <w:rsid w:val="2C545FAE"/>
    <w:rsid w:val="2C562B1A"/>
    <w:rsid w:val="2C6436A6"/>
    <w:rsid w:val="2C7A2A8F"/>
    <w:rsid w:val="2C845A1C"/>
    <w:rsid w:val="2C8D731E"/>
    <w:rsid w:val="2C9023A5"/>
    <w:rsid w:val="2C937549"/>
    <w:rsid w:val="2C9D6A04"/>
    <w:rsid w:val="2CB62598"/>
    <w:rsid w:val="2CBC136A"/>
    <w:rsid w:val="2CC57724"/>
    <w:rsid w:val="2CCD3F07"/>
    <w:rsid w:val="2CFE607B"/>
    <w:rsid w:val="2D095409"/>
    <w:rsid w:val="2D096D16"/>
    <w:rsid w:val="2D0B44BF"/>
    <w:rsid w:val="2D185752"/>
    <w:rsid w:val="2D204FAE"/>
    <w:rsid w:val="2D213A27"/>
    <w:rsid w:val="2D3A3199"/>
    <w:rsid w:val="2D3B27F8"/>
    <w:rsid w:val="2D443FDB"/>
    <w:rsid w:val="2D4B38E7"/>
    <w:rsid w:val="2D5470D9"/>
    <w:rsid w:val="2D551303"/>
    <w:rsid w:val="2D6844C6"/>
    <w:rsid w:val="2D716772"/>
    <w:rsid w:val="2D7457DA"/>
    <w:rsid w:val="2D772574"/>
    <w:rsid w:val="2D7E63CF"/>
    <w:rsid w:val="2D893900"/>
    <w:rsid w:val="2D8D31B7"/>
    <w:rsid w:val="2D8D5835"/>
    <w:rsid w:val="2DA54623"/>
    <w:rsid w:val="2DAB1C25"/>
    <w:rsid w:val="2DB37BC8"/>
    <w:rsid w:val="2DCC12FC"/>
    <w:rsid w:val="2DCD34B4"/>
    <w:rsid w:val="2DD66E3A"/>
    <w:rsid w:val="2DE54D24"/>
    <w:rsid w:val="2DF17D73"/>
    <w:rsid w:val="2DFE06A6"/>
    <w:rsid w:val="2E1C3BFA"/>
    <w:rsid w:val="2E2A5853"/>
    <w:rsid w:val="2E322064"/>
    <w:rsid w:val="2E512854"/>
    <w:rsid w:val="2E614DCE"/>
    <w:rsid w:val="2E64371E"/>
    <w:rsid w:val="2E652B8E"/>
    <w:rsid w:val="2E66167A"/>
    <w:rsid w:val="2E687A2E"/>
    <w:rsid w:val="2E6C7EF1"/>
    <w:rsid w:val="2E6D69DB"/>
    <w:rsid w:val="2E6F6584"/>
    <w:rsid w:val="2E7823B0"/>
    <w:rsid w:val="2E933BCE"/>
    <w:rsid w:val="2E9C6490"/>
    <w:rsid w:val="2EA40069"/>
    <w:rsid w:val="2EAA3B87"/>
    <w:rsid w:val="2EB40380"/>
    <w:rsid w:val="2EB66E96"/>
    <w:rsid w:val="2EBC00D6"/>
    <w:rsid w:val="2EBC23A0"/>
    <w:rsid w:val="2EE50CB0"/>
    <w:rsid w:val="2EF532F9"/>
    <w:rsid w:val="2EF545DC"/>
    <w:rsid w:val="2EFA0191"/>
    <w:rsid w:val="2EFC22DC"/>
    <w:rsid w:val="2F336E4F"/>
    <w:rsid w:val="2F3D3E78"/>
    <w:rsid w:val="2F436846"/>
    <w:rsid w:val="2F4556CE"/>
    <w:rsid w:val="2F5B184C"/>
    <w:rsid w:val="2F6F3C93"/>
    <w:rsid w:val="2F716E21"/>
    <w:rsid w:val="2F754A27"/>
    <w:rsid w:val="2F7A423F"/>
    <w:rsid w:val="2F830892"/>
    <w:rsid w:val="2F8349FB"/>
    <w:rsid w:val="2F937E7F"/>
    <w:rsid w:val="2FA32A00"/>
    <w:rsid w:val="2FB1448A"/>
    <w:rsid w:val="2FC802AE"/>
    <w:rsid w:val="2FD03CC2"/>
    <w:rsid w:val="2FD11635"/>
    <w:rsid w:val="2FDC4B15"/>
    <w:rsid w:val="2FDF786F"/>
    <w:rsid w:val="2FEF2B24"/>
    <w:rsid w:val="2FFA6D56"/>
    <w:rsid w:val="30027B6C"/>
    <w:rsid w:val="30030176"/>
    <w:rsid w:val="300476ED"/>
    <w:rsid w:val="30135BCE"/>
    <w:rsid w:val="301C41BF"/>
    <w:rsid w:val="302A75E0"/>
    <w:rsid w:val="303048F7"/>
    <w:rsid w:val="30323D63"/>
    <w:rsid w:val="303474C0"/>
    <w:rsid w:val="30350DA4"/>
    <w:rsid w:val="303C233C"/>
    <w:rsid w:val="30411EAD"/>
    <w:rsid w:val="30536BCF"/>
    <w:rsid w:val="305C41A9"/>
    <w:rsid w:val="30820205"/>
    <w:rsid w:val="308626A0"/>
    <w:rsid w:val="308665CC"/>
    <w:rsid w:val="308E41B5"/>
    <w:rsid w:val="30952C59"/>
    <w:rsid w:val="30975EA4"/>
    <w:rsid w:val="309B4AFB"/>
    <w:rsid w:val="30B34C1F"/>
    <w:rsid w:val="30B56D3C"/>
    <w:rsid w:val="30DB3B0A"/>
    <w:rsid w:val="30EE0209"/>
    <w:rsid w:val="30EE6102"/>
    <w:rsid w:val="30FF4D69"/>
    <w:rsid w:val="31031D74"/>
    <w:rsid w:val="3113559B"/>
    <w:rsid w:val="311978DB"/>
    <w:rsid w:val="311C5E6A"/>
    <w:rsid w:val="312421F6"/>
    <w:rsid w:val="3127420C"/>
    <w:rsid w:val="312742A8"/>
    <w:rsid w:val="31277147"/>
    <w:rsid w:val="31477BEB"/>
    <w:rsid w:val="3151595D"/>
    <w:rsid w:val="315523B1"/>
    <w:rsid w:val="315F79F9"/>
    <w:rsid w:val="31653820"/>
    <w:rsid w:val="316F4055"/>
    <w:rsid w:val="31807ACD"/>
    <w:rsid w:val="318173F5"/>
    <w:rsid w:val="318318AF"/>
    <w:rsid w:val="318D5D3B"/>
    <w:rsid w:val="318E2BCE"/>
    <w:rsid w:val="3192189F"/>
    <w:rsid w:val="31926E32"/>
    <w:rsid w:val="3198056E"/>
    <w:rsid w:val="31C83EB4"/>
    <w:rsid w:val="31C97505"/>
    <w:rsid w:val="31CB6EDF"/>
    <w:rsid w:val="31CD31BF"/>
    <w:rsid w:val="31D26BE1"/>
    <w:rsid w:val="31DD064B"/>
    <w:rsid w:val="31E10F55"/>
    <w:rsid w:val="31EA5D85"/>
    <w:rsid w:val="31EF3571"/>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6821A5"/>
    <w:rsid w:val="32685C8B"/>
    <w:rsid w:val="328916BE"/>
    <w:rsid w:val="329478D0"/>
    <w:rsid w:val="32974C7A"/>
    <w:rsid w:val="32B865E1"/>
    <w:rsid w:val="32BB4ABE"/>
    <w:rsid w:val="32BD53ED"/>
    <w:rsid w:val="32C8549C"/>
    <w:rsid w:val="32CA16D9"/>
    <w:rsid w:val="32CB253C"/>
    <w:rsid w:val="32D33E51"/>
    <w:rsid w:val="32D34F70"/>
    <w:rsid w:val="32DB36D4"/>
    <w:rsid w:val="32E83928"/>
    <w:rsid w:val="32F45590"/>
    <w:rsid w:val="32FA3A3F"/>
    <w:rsid w:val="331337B2"/>
    <w:rsid w:val="331E4E33"/>
    <w:rsid w:val="33227B1F"/>
    <w:rsid w:val="333C5EC4"/>
    <w:rsid w:val="337120CB"/>
    <w:rsid w:val="33773188"/>
    <w:rsid w:val="337E77C9"/>
    <w:rsid w:val="338B4D67"/>
    <w:rsid w:val="338F53C2"/>
    <w:rsid w:val="33925662"/>
    <w:rsid w:val="339B7AA1"/>
    <w:rsid w:val="339C5609"/>
    <w:rsid w:val="33A51FC1"/>
    <w:rsid w:val="33B72334"/>
    <w:rsid w:val="33B7637D"/>
    <w:rsid w:val="33BD5FB4"/>
    <w:rsid w:val="33C20566"/>
    <w:rsid w:val="33C45055"/>
    <w:rsid w:val="33D4661F"/>
    <w:rsid w:val="33DB2AA4"/>
    <w:rsid w:val="33EB402E"/>
    <w:rsid w:val="33ED39C2"/>
    <w:rsid w:val="33F16CCB"/>
    <w:rsid w:val="33F2572E"/>
    <w:rsid w:val="340A31F3"/>
    <w:rsid w:val="340F56DE"/>
    <w:rsid w:val="3425597D"/>
    <w:rsid w:val="342802EC"/>
    <w:rsid w:val="342A5DF5"/>
    <w:rsid w:val="34450045"/>
    <w:rsid w:val="344851FD"/>
    <w:rsid w:val="34553518"/>
    <w:rsid w:val="345909FE"/>
    <w:rsid w:val="34645BE6"/>
    <w:rsid w:val="34767BE8"/>
    <w:rsid w:val="34900F0B"/>
    <w:rsid w:val="3495331A"/>
    <w:rsid w:val="349B5E0E"/>
    <w:rsid w:val="34A176C9"/>
    <w:rsid w:val="34A2185B"/>
    <w:rsid w:val="34A432B6"/>
    <w:rsid w:val="34AA020B"/>
    <w:rsid w:val="34B057BD"/>
    <w:rsid w:val="34BC17DA"/>
    <w:rsid w:val="34BD7A8F"/>
    <w:rsid w:val="34C47973"/>
    <w:rsid w:val="34C860D0"/>
    <w:rsid w:val="34C93886"/>
    <w:rsid w:val="34D015E3"/>
    <w:rsid w:val="34DD7A9E"/>
    <w:rsid w:val="34E81276"/>
    <w:rsid w:val="34EB3E0C"/>
    <w:rsid w:val="34EC3ED5"/>
    <w:rsid w:val="34ED3DC3"/>
    <w:rsid w:val="34F85DA8"/>
    <w:rsid w:val="350607AC"/>
    <w:rsid w:val="3509398E"/>
    <w:rsid w:val="350C0D43"/>
    <w:rsid w:val="35265A22"/>
    <w:rsid w:val="353178AD"/>
    <w:rsid w:val="353A14F3"/>
    <w:rsid w:val="35447EDF"/>
    <w:rsid w:val="35463030"/>
    <w:rsid w:val="3547266B"/>
    <w:rsid w:val="354B62D7"/>
    <w:rsid w:val="35507AD6"/>
    <w:rsid w:val="3554479E"/>
    <w:rsid w:val="355620A6"/>
    <w:rsid w:val="35562720"/>
    <w:rsid w:val="35715B74"/>
    <w:rsid w:val="357A69BB"/>
    <w:rsid w:val="357D63E5"/>
    <w:rsid w:val="357F00D0"/>
    <w:rsid w:val="35894506"/>
    <w:rsid w:val="358B7232"/>
    <w:rsid w:val="358F6C77"/>
    <w:rsid w:val="35A377DB"/>
    <w:rsid w:val="35B65FF7"/>
    <w:rsid w:val="35C44A8D"/>
    <w:rsid w:val="35DE0817"/>
    <w:rsid w:val="35E6573F"/>
    <w:rsid w:val="35E7387F"/>
    <w:rsid w:val="35E81F7A"/>
    <w:rsid w:val="35F52BF3"/>
    <w:rsid w:val="35F87AA4"/>
    <w:rsid w:val="36041802"/>
    <w:rsid w:val="360530D8"/>
    <w:rsid w:val="3605698A"/>
    <w:rsid w:val="36162F1C"/>
    <w:rsid w:val="362A7526"/>
    <w:rsid w:val="363277D2"/>
    <w:rsid w:val="36361B1F"/>
    <w:rsid w:val="3654712C"/>
    <w:rsid w:val="366244D5"/>
    <w:rsid w:val="366C3DA9"/>
    <w:rsid w:val="367C249E"/>
    <w:rsid w:val="368301C7"/>
    <w:rsid w:val="368F357B"/>
    <w:rsid w:val="36A82C1D"/>
    <w:rsid w:val="36B34449"/>
    <w:rsid w:val="36B91ADD"/>
    <w:rsid w:val="36C342D9"/>
    <w:rsid w:val="36C3654A"/>
    <w:rsid w:val="36D34298"/>
    <w:rsid w:val="36E54DB4"/>
    <w:rsid w:val="36E611B4"/>
    <w:rsid w:val="36EE39A2"/>
    <w:rsid w:val="36F40A0E"/>
    <w:rsid w:val="370E481D"/>
    <w:rsid w:val="370F2115"/>
    <w:rsid w:val="370F2E93"/>
    <w:rsid w:val="370F32ED"/>
    <w:rsid w:val="37110AEF"/>
    <w:rsid w:val="37223E78"/>
    <w:rsid w:val="3729732C"/>
    <w:rsid w:val="374E35E0"/>
    <w:rsid w:val="37560CC6"/>
    <w:rsid w:val="376A670D"/>
    <w:rsid w:val="376E331C"/>
    <w:rsid w:val="378D0CEB"/>
    <w:rsid w:val="379A026D"/>
    <w:rsid w:val="37A2207E"/>
    <w:rsid w:val="37A2434F"/>
    <w:rsid w:val="37A96F98"/>
    <w:rsid w:val="37BE493A"/>
    <w:rsid w:val="37E0252B"/>
    <w:rsid w:val="37E1231B"/>
    <w:rsid w:val="37ED32C0"/>
    <w:rsid w:val="37ED6D6E"/>
    <w:rsid w:val="380C3B20"/>
    <w:rsid w:val="3811299F"/>
    <w:rsid w:val="3813029C"/>
    <w:rsid w:val="383A29EE"/>
    <w:rsid w:val="38422CE2"/>
    <w:rsid w:val="38464281"/>
    <w:rsid w:val="38511BBA"/>
    <w:rsid w:val="385438E8"/>
    <w:rsid w:val="386E21B0"/>
    <w:rsid w:val="38972A17"/>
    <w:rsid w:val="38AE496C"/>
    <w:rsid w:val="38B54D45"/>
    <w:rsid w:val="38B7072B"/>
    <w:rsid w:val="38C414A2"/>
    <w:rsid w:val="38C864EB"/>
    <w:rsid w:val="38D242CD"/>
    <w:rsid w:val="38DC6FB6"/>
    <w:rsid w:val="38F26457"/>
    <w:rsid w:val="39021924"/>
    <w:rsid w:val="391762C0"/>
    <w:rsid w:val="39324B9F"/>
    <w:rsid w:val="393958EC"/>
    <w:rsid w:val="393E0C7A"/>
    <w:rsid w:val="39470BCD"/>
    <w:rsid w:val="39821F75"/>
    <w:rsid w:val="3986013E"/>
    <w:rsid w:val="398B5520"/>
    <w:rsid w:val="398C3DB7"/>
    <w:rsid w:val="398E756A"/>
    <w:rsid w:val="399033F2"/>
    <w:rsid w:val="39A27A80"/>
    <w:rsid w:val="39A54F6F"/>
    <w:rsid w:val="39AB6275"/>
    <w:rsid w:val="39B63539"/>
    <w:rsid w:val="39C52E4C"/>
    <w:rsid w:val="39E17621"/>
    <w:rsid w:val="39F227B1"/>
    <w:rsid w:val="3A151290"/>
    <w:rsid w:val="3A201663"/>
    <w:rsid w:val="3A20200C"/>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FF2C64"/>
    <w:rsid w:val="3B1E4609"/>
    <w:rsid w:val="3B2125FB"/>
    <w:rsid w:val="3B2B107F"/>
    <w:rsid w:val="3B2F69DB"/>
    <w:rsid w:val="3B5E1380"/>
    <w:rsid w:val="3B79226F"/>
    <w:rsid w:val="3B8B34BF"/>
    <w:rsid w:val="3B904834"/>
    <w:rsid w:val="3B932344"/>
    <w:rsid w:val="3B963B4D"/>
    <w:rsid w:val="3B9B2E63"/>
    <w:rsid w:val="3B9D20F5"/>
    <w:rsid w:val="3BB33F88"/>
    <w:rsid w:val="3BD81B44"/>
    <w:rsid w:val="3BD91520"/>
    <w:rsid w:val="3BD93153"/>
    <w:rsid w:val="3BDA6996"/>
    <w:rsid w:val="3BF15E34"/>
    <w:rsid w:val="3BFD6DFF"/>
    <w:rsid w:val="3C0A3047"/>
    <w:rsid w:val="3C234543"/>
    <w:rsid w:val="3C2E50FB"/>
    <w:rsid w:val="3C37637A"/>
    <w:rsid w:val="3C4A12AD"/>
    <w:rsid w:val="3C5125FC"/>
    <w:rsid w:val="3C5D4C2E"/>
    <w:rsid w:val="3C690ECB"/>
    <w:rsid w:val="3C7A7072"/>
    <w:rsid w:val="3C860AC6"/>
    <w:rsid w:val="3C8B02A4"/>
    <w:rsid w:val="3C953A7D"/>
    <w:rsid w:val="3C960BC8"/>
    <w:rsid w:val="3C9848A1"/>
    <w:rsid w:val="3C9B05BB"/>
    <w:rsid w:val="3CA509B7"/>
    <w:rsid w:val="3CA509D1"/>
    <w:rsid w:val="3CB43F0C"/>
    <w:rsid w:val="3CD537E6"/>
    <w:rsid w:val="3CD93879"/>
    <w:rsid w:val="3CE728EF"/>
    <w:rsid w:val="3CE93C13"/>
    <w:rsid w:val="3CF176C2"/>
    <w:rsid w:val="3D2571D3"/>
    <w:rsid w:val="3D29787E"/>
    <w:rsid w:val="3D3074C1"/>
    <w:rsid w:val="3D317B2F"/>
    <w:rsid w:val="3D447D03"/>
    <w:rsid w:val="3D4B33D2"/>
    <w:rsid w:val="3D5D0A53"/>
    <w:rsid w:val="3D6A16ED"/>
    <w:rsid w:val="3D7A2818"/>
    <w:rsid w:val="3D7D2F47"/>
    <w:rsid w:val="3D8106EA"/>
    <w:rsid w:val="3D824D66"/>
    <w:rsid w:val="3D834DF8"/>
    <w:rsid w:val="3DA352B1"/>
    <w:rsid w:val="3DBA258D"/>
    <w:rsid w:val="3DBA61E7"/>
    <w:rsid w:val="3DBD544C"/>
    <w:rsid w:val="3DBE59FA"/>
    <w:rsid w:val="3DBF6E87"/>
    <w:rsid w:val="3DC804B6"/>
    <w:rsid w:val="3DCB062B"/>
    <w:rsid w:val="3DCC59CC"/>
    <w:rsid w:val="3DD55956"/>
    <w:rsid w:val="3DD61616"/>
    <w:rsid w:val="3DE046DB"/>
    <w:rsid w:val="3DE23C90"/>
    <w:rsid w:val="3DF7051E"/>
    <w:rsid w:val="3DFC4E1B"/>
    <w:rsid w:val="3E100FFC"/>
    <w:rsid w:val="3E127062"/>
    <w:rsid w:val="3E1D4BD2"/>
    <w:rsid w:val="3E201534"/>
    <w:rsid w:val="3E216B4D"/>
    <w:rsid w:val="3E4E3A85"/>
    <w:rsid w:val="3E58620C"/>
    <w:rsid w:val="3E5E7A6F"/>
    <w:rsid w:val="3E651EE9"/>
    <w:rsid w:val="3E70638E"/>
    <w:rsid w:val="3E784A78"/>
    <w:rsid w:val="3E8554F5"/>
    <w:rsid w:val="3E992917"/>
    <w:rsid w:val="3EA51CD6"/>
    <w:rsid w:val="3EAE3E2C"/>
    <w:rsid w:val="3EB65E71"/>
    <w:rsid w:val="3EC33032"/>
    <w:rsid w:val="3EC61DB3"/>
    <w:rsid w:val="3ECA2B53"/>
    <w:rsid w:val="3ED97772"/>
    <w:rsid w:val="3EF62661"/>
    <w:rsid w:val="3F31220A"/>
    <w:rsid w:val="3F335BF6"/>
    <w:rsid w:val="3F3668C7"/>
    <w:rsid w:val="3F3C595E"/>
    <w:rsid w:val="3F42509A"/>
    <w:rsid w:val="3F5565A1"/>
    <w:rsid w:val="3F59346C"/>
    <w:rsid w:val="3F5E3FC7"/>
    <w:rsid w:val="3F6152C7"/>
    <w:rsid w:val="3F657308"/>
    <w:rsid w:val="3F7856B5"/>
    <w:rsid w:val="3F7970EE"/>
    <w:rsid w:val="3F8003ED"/>
    <w:rsid w:val="3FA94649"/>
    <w:rsid w:val="3FB55F3F"/>
    <w:rsid w:val="3FBC79BD"/>
    <w:rsid w:val="3FC519F7"/>
    <w:rsid w:val="3FD0326B"/>
    <w:rsid w:val="3FD34D1A"/>
    <w:rsid w:val="3FED63B1"/>
    <w:rsid w:val="3FEF1AEF"/>
    <w:rsid w:val="3FF01019"/>
    <w:rsid w:val="40031733"/>
    <w:rsid w:val="40076D3D"/>
    <w:rsid w:val="400A2138"/>
    <w:rsid w:val="401F65F0"/>
    <w:rsid w:val="40342736"/>
    <w:rsid w:val="404470DB"/>
    <w:rsid w:val="404C2292"/>
    <w:rsid w:val="405435BD"/>
    <w:rsid w:val="405D572D"/>
    <w:rsid w:val="407E7B1F"/>
    <w:rsid w:val="40846D63"/>
    <w:rsid w:val="408D1EA0"/>
    <w:rsid w:val="408E2DBF"/>
    <w:rsid w:val="40982E53"/>
    <w:rsid w:val="409D2A1A"/>
    <w:rsid w:val="40A354EF"/>
    <w:rsid w:val="40A752D1"/>
    <w:rsid w:val="40B21FB5"/>
    <w:rsid w:val="40B95E2E"/>
    <w:rsid w:val="40C17F9E"/>
    <w:rsid w:val="40C43B66"/>
    <w:rsid w:val="40D01AC5"/>
    <w:rsid w:val="40E247F7"/>
    <w:rsid w:val="40E66AF1"/>
    <w:rsid w:val="40EE5966"/>
    <w:rsid w:val="40FA444D"/>
    <w:rsid w:val="40FE6AE6"/>
    <w:rsid w:val="41097827"/>
    <w:rsid w:val="410F1967"/>
    <w:rsid w:val="41181A1B"/>
    <w:rsid w:val="41335FC7"/>
    <w:rsid w:val="414240CA"/>
    <w:rsid w:val="414B44BA"/>
    <w:rsid w:val="414C5CE7"/>
    <w:rsid w:val="415978C8"/>
    <w:rsid w:val="415C1B4D"/>
    <w:rsid w:val="41684243"/>
    <w:rsid w:val="417843F2"/>
    <w:rsid w:val="418A1799"/>
    <w:rsid w:val="419862B4"/>
    <w:rsid w:val="41A61C3F"/>
    <w:rsid w:val="41B17185"/>
    <w:rsid w:val="41F05895"/>
    <w:rsid w:val="420155A5"/>
    <w:rsid w:val="420B3B41"/>
    <w:rsid w:val="420C70DA"/>
    <w:rsid w:val="42160B59"/>
    <w:rsid w:val="421E48EB"/>
    <w:rsid w:val="4226611D"/>
    <w:rsid w:val="42370B89"/>
    <w:rsid w:val="4252208C"/>
    <w:rsid w:val="425402BB"/>
    <w:rsid w:val="42564ADA"/>
    <w:rsid w:val="425C471A"/>
    <w:rsid w:val="42651FF6"/>
    <w:rsid w:val="427456AF"/>
    <w:rsid w:val="42747A95"/>
    <w:rsid w:val="427E52C8"/>
    <w:rsid w:val="42841878"/>
    <w:rsid w:val="4299542A"/>
    <w:rsid w:val="429A1379"/>
    <w:rsid w:val="429E1B22"/>
    <w:rsid w:val="42A3428D"/>
    <w:rsid w:val="42A53954"/>
    <w:rsid w:val="42DC2E15"/>
    <w:rsid w:val="42EB2C90"/>
    <w:rsid w:val="42FA6BD0"/>
    <w:rsid w:val="42FB4E01"/>
    <w:rsid w:val="4301447C"/>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903A1"/>
    <w:rsid w:val="439D6340"/>
    <w:rsid w:val="43C76BF5"/>
    <w:rsid w:val="43D5445C"/>
    <w:rsid w:val="43D566F2"/>
    <w:rsid w:val="43F94FC9"/>
    <w:rsid w:val="43FD7280"/>
    <w:rsid w:val="440915E3"/>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797398"/>
    <w:rsid w:val="448F2EF2"/>
    <w:rsid w:val="44A72CB4"/>
    <w:rsid w:val="44D243AA"/>
    <w:rsid w:val="44D82DAD"/>
    <w:rsid w:val="44DC0CFE"/>
    <w:rsid w:val="44DC4FCA"/>
    <w:rsid w:val="44E15547"/>
    <w:rsid w:val="44EA12B2"/>
    <w:rsid w:val="44EE00E1"/>
    <w:rsid w:val="44FD1C6D"/>
    <w:rsid w:val="45051DF1"/>
    <w:rsid w:val="451231AD"/>
    <w:rsid w:val="451B5631"/>
    <w:rsid w:val="452403A4"/>
    <w:rsid w:val="453E4B66"/>
    <w:rsid w:val="453F207E"/>
    <w:rsid w:val="454276A8"/>
    <w:rsid w:val="45465AD9"/>
    <w:rsid w:val="45517B8C"/>
    <w:rsid w:val="45570BD9"/>
    <w:rsid w:val="45725EED"/>
    <w:rsid w:val="4577723A"/>
    <w:rsid w:val="457A6C83"/>
    <w:rsid w:val="45951B1A"/>
    <w:rsid w:val="45A31600"/>
    <w:rsid w:val="45E526C2"/>
    <w:rsid w:val="45EF4AA8"/>
    <w:rsid w:val="45EF5694"/>
    <w:rsid w:val="45F32D75"/>
    <w:rsid w:val="45F86B49"/>
    <w:rsid w:val="45FE4441"/>
    <w:rsid w:val="460934CE"/>
    <w:rsid w:val="460E6F64"/>
    <w:rsid w:val="461A7582"/>
    <w:rsid w:val="461F685B"/>
    <w:rsid w:val="46325B00"/>
    <w:rsid w:val="463A35BA"/>
    <w:rsid w:val="464478D6"/>
    <w:rsid w:val="464F2965"/>
    <w:rsid w:val="46537026"/>
    <w:rsid w:val="46594972"/>
    <w:rsid w:val="46666A6B"/>
    <w:rsid w:val="46742394"/>
    <w:rsid w:val="46763AFA"/>
    <w:rsid w:val="46824319"/>
    <w:rsid w:val="469129BF"/>
    <w:rsid w:val="469438D3"/>
    <w:rsid w:val="46974EA3"/>
    <w:rsid w:val="46A86AC5"/>
    <w:rsid w:val="46AF0ACC"/>
    <w:rsid w:val="46CD2EA3"/>
    <w:rsid w:val="46E33C2A"/>
    <w:rsid w:val="46EB5C2E"/>
    <w:rsid w:val="46F808FB"/>
    <w:rsid w:val="46FD4E10"/>
    <w:rsid w:val="47191F43"/>
    <w:rsid w:val="471B210D"/>
    <w:rsid w:val="47202ED1"/>
    <w:rsid w:val="47330BB1"/>
    <w:rsid w:val="473339DD"/>
    <w:rsid w:val="473D0510"/>
    <w:rsid w:val="474340E1"/>
    <w:rsid w:val="4754737E"/>
    <w:rsid w:val="47622DD8"/>
    <w:rsid w:val="476E1BD6"/>
    <w:rsid w:val="476E5DEA"/>
    <w:rsid w:val="4776246C"/>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3F715F"/>
    <w:rsid w:val="4845350C"/>
    <w:rsid w:val="48561B07"/>
    <w:rsid w:val="485803F1"/>
    <w:rsid w:val="485E2E16"/>
    <w:rsid w:val="4865215C"/>
    <w:rsid w:val="486942C4"/>
    <w:rsid w:val="487B552A"/>
    <w:rsid w:val="48842F37"/>
    <w:rsid w:val="488D0CB5"/>
    <w:rsid w:val="489545B8"/>
    <w:rsid w:val="48996690"/>
    <w:rsid w:val="48A6278A"/>
    <w:rsid w:val="48AB0368"/>
    <w:rsid w:val="48B05292"/>
    <w:rsid w:val="48B33700"/>
    <w:rsid w:val="48B971DC"/>
    <w:rsid w:val="48C54A9C"/>
    <w:rsid w:val="48CE2BF3"/>
    <w:rsid w:val="48D4605A"/>
    <w:rsid w:val="48EF6487"/>
    <w:rsid w:val="48F556EA"/>
    <w:rsid w:val="49000F08"/>
    <w:rsid w:val="490010B1"/>
    <w:rsid w:val="491946D3"/>
    <w:rsid w:val="4924047E"/>
    <w:rsid w:val="4924100D"/>
    <w:rsid w:val="49276380"/>
    <w:rsid w:val="49332242"/>
    <w:rsid w:val="49412DB9"/>
    <w:rsid w:val="4948117F"/>
    <w:rsid w:val="494B0B0D"/>
    <w:rsid w:val="497E20AD"/>
    <w:rsid w:val="49820EB7"/>
    <w:rsid w:val="498C0E72"/>
    <w:rsid w:val="498E4B73"/>
    <w:rsid w:val="49920053"/>
    <w:rsid w:val="499416E9"/>
    <w:rsid w:val="499B7FDA"/>
    <w:rsid w:val="49A503F7"/>
    <w:rsid w:val="49A637DE"/>
    <w:rsid w:val="49A63EAD"/>
    <w:rsid w:val="49B4166E"/>
    <w:rsid w:val="49BA2C9E"/>
    <w:rsid w:val="49C42ED0"/>
    <w:rsid w:val="49C51673"/>
    <w:rsid w:val="49C72439"/>
    <w:rsid w:val="49D51633"/>
    <w:rsid w:val="49D86805"/>
    <w:rsid w:val="49EB3E49"/>
    <w:rsid w:val="49F72310"/>
    <w:rsid w:val="49FD2EE4"/>
    <w:rsid w:val="4A0B4FDE"/>
    <w:rsid w:val="4A0E4738"/>
    <w:rsid w:val="4A343D11"/>
    <w:rsid w:val="4A44591C"/>
    <w:rsid w:val="4A497D35"/>
    <w:rsid w:val="4A4B51BD"/>
    <w:rsid w:val="4A68646C"/>
    <w:rsid w:val="4A725603"/>
    <w:rsid w:val="4A8A37D8"/>
    <w:rsid w:val="4A8A64F2"/>
    <w:rsid w:val="4A8B4AB2"/>
    <w:rsid w:val="4ABE300E"/>
    <w:rsid w:val="4AD1058E"/>
    <w:rsid w:val="4AD24DB9"/>
    <w:rsid w:val="4AD9595B"/>
    <w:rsid w:val="4AE97387"/>
    <w:rsid w:val="4AF6154C"/>
    <w:rsid w:val="4AF93EAE"/>
    <w:rsid w:val="4AFB4DF4"/>
    <w:rsid w:val="4B09580F"/>
    <w:rsid w:val="4B25129D"/>
    <w:rsid w:val="4B311212"/>
    <w:rsid w:val="4B373C21"/>
    <w:rsid w:val="4B3E6720"/>
    <w:rsid w:val="4B43535A"/>
    <w:rsid w:val="4B4657C3"/>
    <w:rsid w:val="4B476348"/>
    <w:rsid w:val="4B4E5C51"/>
    <w:rsid w:val="4B557D83"/>
    <w:rsid w:val="4B58574A"/>
    <w:rsid w:val="4B625BF7"/>
    <w:rsid w:val="4B753465"/>
    <w:rsid w:val="4B770921"/>
    <w:rsid w:val="4B7E5905"/>
    <w:rsid w:val="4B7F01A8"/>
    <w:rsid w:val="4B916EFB"/>
    <w:rsid w:val="4BB21AF4"/>
    <w:rsid w:val="4BB54107"/>
    <w:rsid w:val="4BB67EEE"/>
    <w:rsid w:val="4BC471E7"/>
    <w:rsid w:val="4BD13DC6"/>
    <w:rsid w:val="4BD17814"/>
    <w:rsid w:val="4BDC5109"/>
    <w:rsid w:val="4BE3525A"/>
    <w:rsid w:val="4BE84FA7"/>
    <w:rsid w:val="4BEB6BB7"/>
    <w:rsid w:val="4BF47157"/>
    <w:rsid w:val="4BF70C92"/>
    <w:rsid w:val="4BFD0513"/>
    <w:rsid w:val="4C005E77"/>
    <w:rsid w:val="4C12167A"/>
    <w:rsid w:val="4C1A02C6"/>
    <w:rsid w:val="4C2B76C1"/>
    <w:rsid w:val="4C3B40FC"/>
    <w:rsid w:val="4C5419A1"/>
    <w:rsid w:val="4C5429A3"/>
    <w:rsid w:val="4C5B4A15"/>
    <w:rsid w:val="4C6359CC"/>
    <w:rsid w:val="4C645A11"/>
    <w:rsid w:val="4C72089C"/>
    <w:rsid w:val="4C87254B"/>
    <w:rsid w:val="4C8B3377"/>
    <w:rsid w:val="4CA3114C"/>
    <w:rsid w:val="4CC23630"/>
    <w:rsid w:val="4CC37EEC"/>
    <w:rsid w:val="4CDE4416"/>
    <w:rsid w:val="4CE85842"/>
    <w:rsid w:val="4D082D34"/>
    <w:rsid w:val="4D0A20A2"/>
    <w:rsid w:val="4D18687A"/>
    <w:rsid w:val="4D1C2C8C"/>
    <w:rsid w:val="4D1E77BE"/>
    <w:rsid w:val="4D245FC5"/>
    <w:rsid w:val="4D284B29"/>
    <w:rsid w:val="4D2B3B2C"/>
    <w:rsid w:val="4D306D29"/>
    <w:rsid w:val="4D701CF6"/>
    <w:rsid w:val="4D8051B1"/>
    <w:rsid w:val="4D9D7215"/>
    <w:rsid w:val="4DA943B0"/>
    <w:rsid w:val="4DB75561"/>
    <w:rsid w:val="4DC515BB"/>
    <w:rsid w:val="4DCB5984"/>
    <w:rsid w:val="4DD12D30"/>
    <w:rsid w:val="4DD64458"/>
    <w:rsid w:val="4DDD243C"/>
    <w:rsid w:val="4DEC5891"/>
    <w:rsid w:val="4DF21B22"/>
    <w:rsid w:val="4E135BFA"/>
    <w:rsid w:val="4E1B2DDB"/>
    <w:rsid w:val="4E1F235E"/>
    <w:rsid w:val="4E213391"/>
    <w:rsid w:val="4E250E8C"/>
    <w:rsid w:val="4E3240E0"/>
    <w:rsid w:val="4E355E12"/>
    <w:rsid w:val="4E386CE7"/>
    <w:rsid w:val="4E41097A"/>
    <w:rsid w:val="4E5D7C3A"/>
    <w:rsid w:val="4E7928F9"/>
    <w:rsid w:val="4E7C0B27"/>
    <w:rsid w:val="4E8C1A75"/>
    <w:rsid w:val="4E8D762E"/>
    <w:rsid w:val="4E951F2F"/>
    <w:rsid w:val="4E9B1112"/>
    <w:rsid w:val="4E9B7163"/>
    <w:rsid w:val="4E9D2FDD"/>
    <w:rsid w:val="4EA06365"/>
    <w:rsid w:val="4EB626CF"/>
    <w:rsid w:val="4EBD0FEC"/>
    <w:rsid w:val="4EBD3915"/>
    <w:rsid w:val="4ECA75BC"/>
    <w:rsid w:val="4ECD54B1"/>
    <w:rsid w:val="4ED4046B"/>
    <w:rsid w:val="4EDF4B15"/>
    <w:rsid w:val="4EEA782A"/>
    <w:rsid w:val="4EF43B16"/>
    <w:rsid w:val="4F135FF8"/>
    <w:rsid w:val="4F1646F3"/>
    <w:rsid w:val="4F1929E5"/>
    <w:rsid w:val="4F1E3B69"/>
    <w:rsid w:val="4F290416"/>
    <w:rsid w:val="4F2B6C13"/>
    <w:rsid w:val="4F3153D3"/>
    <w:rsid w:val="4F371217"/>
    <w:rsid w:val="4F5F3ED1"/>
    <w:rsid w:val="4F6E4CB2"/>
    <w:rsid w:val="4F804E7C"/>
    <w:rsid w:val="4F85516A"/>
    <w:rsid w:val="4F8B67AD"/>
    <w:rsid w:val="4F944D8F"/>
    <w:rsid w:val="4FB04D2F"/>
    <w:rsid w:val="4FCA5221"/>
    <w:rsid w:val="4FE03DE3"/>
    <w:rsid w:val="4FEA7FBD"/>
    <w:rsid w:val="4FED0FB9"/>
    <w:rsid w:val="4FFC5D0B"/>
    <w:rsid w:val="500F6B2A"/>
    <w:rsid w:val="501D7CCE"/>
    <w:rsid w:val="50245208"/>
    <w:rsid w:val="50315512"/>
    <w:rsid w:val="504430D6"/>
    <w:rsid w:val="50474896"/>
    <w:rsid w:val="505F087B"/>
    <w:rsid w:val="505F23BC"/>
    <w:rsid w:val="505F4513"/>
    <w:rsid w:val="50697ABC"/>
    <w:rsid w:val="507410D2"/>
    <w:rsid w:val="507B6B83"/>
    <w:rsid w:val="509B702F"/>
    <w:rsid w:val="50A4392E"/>
    <w:rsid w:val="50A97681"/>
    <w:rsid w:val="50AE3B94"/>
    <w:rsid w:val="50AF7418"/>
    <w:rsid w:val="50B02AF0"/>
    <w:rsid w:val="50B0422B"/>
    <w:rsid w:val="50C600F2"/>
    <w:rsid w:val="50C93813"/>
    <w:rsid w:val="50D0203A"/>
    <w:rsid w:val="50D03252"/>
    <w:rsid w:val="50E93575"/>
    <w:rsid w:val="50F04D4E"/>
    <w:rsid w:val="50F41527"/>
    <w:rsid w:val="50F57385"/>
    <w:rsid w:val="50F6016F"/>
    <w:rsid w:val="50FB1FB9"/>
    <w:rsid w:val="51132FF4"/>
    <w:rsid w:val="51151213"/>
    <w:rsid w:val="51297F73"/>
    <w:rsid w:val="513225F9"/>
    <w:rsid w:val="513F3144"/>
    <w:rsid w:val="513F5114"/>
    <w:rsid w:val="51440384"/>
    <w:rsid w:val="5146769D"/>
    <w:rsid w:val="51567BE2"/>
    <w:rsid w:val="515E6A1B"/>
    <w:rsid w:val="5169073B"/>
    <w:rsid w:val="516B705C"/>
    <w:rsid w:val="516C41DE"/>
    <w:rsid w:val="5177537A"/>
    <w:rsid w:val="51866F03"/>
    <w:rsid w:val="518806E3"/>
    <w:rsid w:val="519024DB"/>
    <w:rsid w:val="51A047F6"/>
    <w:rsid w:val="51A1217B"/>
    <w:rsid w:val="51A47CAD"/>
    <w:rsid w:val="51B6464D"/>
    <w:rsid w:val="51BC2004"/>
    <w:rsid w:val="51C462A1"/>
    <w:rsid w:val="51CB0C5C"/>
    <w:rsid w:val="51CB74F6"/>
    <w:rsid w:val="51D03F6F"/>
    <w:rsid w:val="51D13948"/>
    <w:rsid w:val="51DD6BB1"/>
    <w:rsid w:val="51EB5979"/>
    <w:rsid w:val="52013B19"/>
    <w:rsid w:val="520B66FC"/>
    <w:rsid w:val="52160A43"/>
    <w:rsid w:val="521A0101"/>
    <w:rsid w:val="52241967"/>
    <w:rsid w:val="522B06FD"/>
    <w:rsid w:val="522D1CB6"/>
    <w:rsid w:val="52382896"/>
    <w:rsid w:val="52444C58"/>
    <w:rsid w:val="5263075C"/>
    <w:rsid w:val="52660A26"/>
    <w:rsid w:val="52712F73"/>
    <w:rsid w:val="52717995"/>
    <w:rsid w:val="528315FB"/>
    <w:rsid w:val="52990759"/>
    <w:rsid w:val="52A01177"/>
    <w:rsid w:val="52AD4FA6"/>
    <w:rsid w:val="52B4771B"/>
    <w:rsid w:val="52B87033"/>
    <w:rsid w:val="52BE5917"/>
    <w:rsid w:val="52CF23AC"/>
    <w:rsid w:val="52D22288"/>
    <w:rsid w:val="52D63FD3"/>
    <w:rsid w:val="52DC0353"/>
    <w:rsid w:val="52ED3633"/>
    <w:rsid w:val="53172097"/>
    <w:rsid w:val="531B72EC"/>
    <w:rsid w:val="531E35FC"/>
    <w:rsid w:val="531E3DBA"/>
    <w:rsid w:val="532A13FA"/>
    <w:rsid w:val="532B1547"/>
    <w:rsid w:val="532C2C22"/>
    <w:rsid w:val="533E6E17"/>
    <w:rsid w:val="5343182D"/>
    <w:rsid w:val="53552E21"/>
    <w:rsid w:val="536C4A63"/>
    <w:rsid w:val="538344BA"/>
    <w:rsid w:val="538E26E1"/>
    <w:rsid w:val="539B26A9"/>
    <w:rsid w:val="539C4C50"/>
    <w:rsid w:val="53A201DA"/>
    <w:rsid w:val="53A86633"/>
    <w:rsid w:val="53AF4DD6"/>
    <w:rsid w:val="53B02EAE"/>
    <w:rsid w:val="53B22D34"/>
    <w:rsid w:val="53B6236C"/>
    <w:rsid w:val="53B704F6"/>
    <w:rsid w:val="53B83AE5"/>
    <w:rsid w:val="53BD6F30"/>
    <w:rsid w:val="53DE553F"/>
    <w:rsid w:val="53E005CE"/>
    <w:rsid w:val="53E6317F"/>
    <w:rsid w:val="53EF4EAD"/>
    <w:rsid w:val="53FC5A1A"/>
    <w:rsid w:val="540540F5"/>
    <w:rsid w:val="54267517"/>
    <w:rsid w:val="542913B3"/>
    <w:rsid w:val="54321E93"/>
    <w:rsid w:val="54355530"/>
    <w:rsid w:val="543E1D33"/>
    <w:rsid w:val="543F18BA"/>
    <w:rsid w:val="54747751"/>
    <w:rsid w:val="54883400"/>
    <w:rsid w:val="54930B49"/>
    <w:rsid w:val="54932F58"/>
    <w:rsid w:val="549B63DD"/>
    <w:rsid w:val="54A81CB5"/>
    <w:rsid w:val="54BD0985"/>
    <w:rsid w:val="54C41B11"/>
    <w:rsid w:val="54C90FB4"/>
    <w:rsid w:val="54CC32C5"/>
    <w:rsid w:val="54F859EA"/>
    <w:rsid w:val="54FF1FBE"/>
    <w:rsid w:val="550E49C6"/>
    <w:rsid w:val="551B0C30"/>
    <w:rsid w:val="5525118D"/>
    <w:rsid w:val="552E6032"/>
    <w:rsid w:val="553A72F4"/>
    <w:rsid w:val="55421379"/>
    <w:rsid w:val="554F3ABD"/>
    <w:rsid w:val="555C1243"/>
    <w:rsid w:val="55632353"/>
    <w:rsid w:val="55794AC3"/>
    <w:rsid w:val="558C52DC"/>
    <w:rsid w:val="55A47D96"/>
    <w:rsid w:val="55B04FC7"/>
    <w:rsid w:val="55C94049"/>
    <w:rsid w:val="55DA287E"/>
    <w:rsid w:val="55DD1819"/>
    <w:rsid w:val="55E93723"/>
    <w:rsid w:val="55EE6DAD"/>
    <w:rsid w:val="56073162"/>
    <w:rsid w:val="5609127C"/>
    <w:rsid w:val="560F5CEA"/>
    <w:rsid w:val="561A1AAB"/>
    <w:rsid w:val="56243B92"/>
    <w:rsid w:val="563926FD"/>
    <w:rsid w:val="563D619D"/>
    <w:rsid w:val="56413F2B"/>
    <w:rsid w:val="56537C47"/>
    <w:rsid w:val="566F71B4"/>
    <w:rsid w:val="568043DC"/>
    <w:rsid w:val="56932948"/>
    <w:rsid w:val="56A010C0"/>
    <w:rsid w:val="56A060CF"/>
    <w:rsid w:val="56AA3F63"/>
    <w:rsid w:val="56AF65AD"/>
    <w:rsid w:val="56B16590"/>
    <w:rsid w:val="56B96B8E"/>
    <w:rsid w:val="56C747B5"/>
    <w:rsid w:val="56CC4101"/>
    <w:rsid w:val="56D42684"/>
    <w:rsid w:val="56D53135"/>
    <w:rsid w:val="56D83E33"/>
    <w:rsid w:val="56DD2471"/>
    <w:rsid w:val="56F363CB"/>
    <w:rsid w:val="56FD66BE"/>
    <w:rsid w:val="570613AC"/>
    <w:rsid w:val="57181EE6"/>
    <w:rsid w:val="57210A6D"/>
    <w:rsid w:val="573400E8"/>
    <w:rsid w:val="5744214A"/>
    <w:rsid w:val="574B480A"/>
    <w:rsid w:val="57501AFE"/>
    <w:rsid w:val="575161F0"/>
    <w:rsid w:val="57543081"/>
    <w:rsid w:val="575E3738"/>
    <w:rsid w:val="577B68EA"/>
    <w:rsid w:val="5789649C"/>
    <w:rsid w:val="57A373F0"/>
    <w:rsid w:val="57B12989"/>
    <w:rsid w:val="57C31CF0"/>
    <w:rsid w:val="57C83C57"/>
    <w:rsid w:val="57CF7F96"/>
    <w:rsid w:val="57D661B8"/>
    <w:rsid w:val="57DA0909"/>
    <w:rsid w:val="57E225F6"/>
    <w:rsid w:val="57E633B4"/>
    <w:rsid w:val="57EC2A0C"/>
    <w:rsid w:val="57F05231"/>
    <w:rsid w:val="57F46D4B"/>
    <w:rsid w:val="57F637B3"/>
    <w:rsid w:val="57FB2FB4"/>
    <w:rsid w:val="57FC3730"/>
    <w:rsid w:val="581B487A"/>
    <w:rsid w:val="581C6534"/>
    <w:rsid w:val="582014EC"/>
    <w:rsid w:val="582028C2"/>
    <w:rsid w:val="582908A2"/>
    <w:rsid w:val="583D07DD"/>
    <w:rsid w:val="584B6239"/>
    <w:rsid w:val="585011BC"/>
    <w:rsid w:val="585F1862"/>
    <w:rsid w:val="58620D26"/>
    <w:rsid w:val="58622549"/>
    <w:rsid w:val="58706FB1"/>
    <w:rsid w:val="58714F14"/>
    <w:rsid w:val="587C5983"/>
    <w:rsid w:val="588C1255"/>
    <w:rsid w:val="589B5B2C"/>
    <w:rsid w:val="58AE77D0"/>
    <w:rsid w:val="58C13117"/>
    <w:rsid w:val="58E8415E"/>
    <w:rsid w:val="58FF1A45"/>
    <w:rsid w:val="59073E9A"/>
    <w:rsid w:val="59092BF1"/>
    <w:rsid w:val="591108A6"/>
    <w:rsid w:val="591C580B"/>
    <w:rsid w:val="5926497A"/>
    <w:rsid w:val="59307D3E"/>
    <w:rsid w:val="59505B76"/>
    <w:rsid w:val="59566E8A"/>
    <w:rsid w:val="595D3E12"/>
    <w:rsid w:val="595F46EF"/>
    <w:rsid w:val="596847A2"/>
    <w:rsid w:val="596B5ED3"/>
    <w:rsid w:val="59760261"/>
    <w:rsid w:val="598446C5"/>
    <w:rsid w:val="59961EFB"/>
    <w:rsid w:val="59A11353"/>
    <w:rsid w:val="59B73771"/>
    <w:rsid w:val="59CF0329"/>
    <w:rsid w:val="5A0336C4"/>
    <w:rsid w:val="5A141139"/>
    <w:rsid w:val="5A1D0D82"/>
    <w:rsid w:val="5A20315B"/>
    <w:rsid w:val="5A36472F"/>
    <w:rsid w:val="5A3B004E"/>
    <w:rsid w:val="5A5827FE"/>
    <w:rsid w:val="5A634E30"/>
    <w:rsid w:val="5A643E4F"/>
    <w:rsid w:val="5A65715C"/>
    <w:rsid w:val="5A70211C"/>
    <w:rsid w:val="5A75696F"/>
    <w:rsid w:val="5A767021"/>
    <w:rsid w:val="5A970C62"/>
    <w:rsid w:val="5A9B6F49"/>
    <w:rsid w:val="5AA122E0"/>
    <w:rsid w:val="5AA452E6"/>
    <w:rsid w:val="5AAB2A29"/>
    <w:rsid w:val="5AAB3211"/>
    <w:rsid w:val="5AAC7307"/>
    <w:rsid w:val="5AB86388"/>
    <w:rsid w:val="5AD07CB2"/>
    <w:rsid w:val="5ADB2A9F"/>
    <w:rsid w:val="5AE244D3"/>
    <w:rsid w:val="5AE37CAA"/>
    <w:rsid w:val="5AEC5C4F"/>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7E6E9A"/>
    <w:rsid w:val="5B9670A8"/>
    <w:rsid w:val="5B9B626D"/>
    <w:rsid w:val="5BC12DC1"/>
    <w:rsid w:val="5BC85B67"/>
    <w:rsid w:val="5BCF3C34"/>
    <w:rsid w:val="5BD32897"/>
    <w:rsid w:val="5BD51E38"/>
    <w:rsid w:val="5BF50A44"/>
    <w:rsid w:val="5C034868"/>
    <w:rsid w:val="5C295CCC"/>
    <w:rsid w:val="5C2B2A98"/>
    <w:rsid w:val="5C2B6712"/>
    <w:rsid w:val="5C345941"/>
    <w:rsid w:val="5C381A3A"/>
    <w:rsid w:val="5C3D77B1"/>
    <w:rsid w:val="5C405E62"/>
    <w:rsid w:val="5C4B3EC6"/>
    <w:rsid w:val="5C521C43"/>
    <w:rsid w:val="5C5C135C"/>
    <w:rsid w:val="5C787FE3"/>
    <w:rsid w:val="5C872DAA"/>
    <w:rsid w:val="5C8809AC"/>
    <w:rsid w:val="5C894745"/>
    <w:rsid w:val="5C974816"/>
    <w:rsid w:val="5CA97228"/>
    <w:rsid w:val="5CBA57BD"/>
    <w:rsid w:val="5CC5471C"/>
    <w:rsid w:val="5CCE52E4"/>
    <w:rsid w:val="5CDC5386"/>
    <w:rsid w:val="5CE127AC"/>
    <w:rsid w:val="5CEE7B85"/>
    <w:rsid w:val="5CF73D69"/>
    <w:rsid w:val="5D1876CE"/>
    <w:rsid w:val="5D187C36"/>
    <w:rsid w:val="5D1975F4"/>
    <w:rsid w:val="5D202057"/>
    <w:rsid w:val="5D2E5062"/>
    <w:rsid w:val="5D2F3202"/>
    <w:rsid w:val="5D453058"/>
    <w:rsid w:val="5D4700C2"/>
    <w:rsid w:val="5D4B13B2"/>
    <w:rsid w:val="5D5C53BB"/>
    <w:rsid w:val="5D661860"/>
    <w:rsid w:val="5D6C4615"/>
    <w:rsid w:val="5D6F6550"/>
    <w:rsid w:val="5D7603B3"/>
    <w:rsid w:val="5D7C5A81"/>
    <w:rsid w:val="5D8D48E8"/>
    <w:rsid w:val="5D951781"/>
    <w:rsid w:val="5DA176A2"/>
    <w:rsid w:val="5DA73C46"/>
    <w:rsid w:val="5DB80337"/>
    <w:rsid w:val="5DD31E8F"/>
    <w:rsid w:val="5DDD1615"/>
    <w:rsid w:val="5DDF2196"/>
    <w:rsid w:val="5DE32A0A"/>
    <w:rsid w:val="5DE853F9"/>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5B91"/>
    <w:rsid w:val="5E8E438D"/>
    <w:rsid w:val="5E937CCC"/>
    <w:rsid w:val="5EAD4264"/>
    <w:rsid w:val="5ECD4059"/>
    <w:rsid w:val="5EDF337C"/>
    <w:rsid w:val="5EE03971"/>
    <w:rsid w:val="5EF83794"/>
    <w:rsid w:val="5EFB30F0"/>
    <w:rsid w:val="5F0173CC"/>
    <w:rsid w:val="5F073560"/>
    <w:rsid w:val="5F175633"/>
    <w:rsid w:val="5F1A1A93"/>
    <w:rsid w:val="5F212DE2"/>
    <w:rsid w:val="5F287F7E"/>
    <w:rsid w:val="5F3B4720"/>
    <w:rsid w:val="5F475677"/>
    <w:rsid w:val="5F484198"/>
    <w:rsid w:val="5F567498"/>
    <w:rsid w:val="5F6E5C5A"/>
    <w:rsid w:val="5F836AA9"/>
    <w:rsid w:val="5F8420E2"/>
    <w:rsid w:val="5F865198"/>
    <w:rsid w:val="5F887220"/>
    <w:rsid w:val="5F9022AB"/>
    <w:rsid w:val="5F9E3276"/>
    <w:rsid w:val="5FB537C3"/>
    <w:rsid w:val="5FB81E56"/>
    <w:rsid w:val="5FBC1FE2"/>
    <w:rsid w:val="5FCC4D82"/>
    <w:rsid w:val="5FD85FDC"/>
    <w:rsid w:val="5FE725FA"/>
    <w:rsid w:val="5FE732E2"/>
    <w:rsid w:val="5FEB78D3"/>
    <w:rsid w:val="5FEC00EE"/>
    <w:rsid w:val="5FF70F57"/>
    <w:rsid w:val="600458FB"/>
    <w:rsid w:val="600878DD"/>
    <w:rsid w:val="600951D4"/>
    <w:rsid w:val="600A4B4D"/>
    <w:rsid w:val="601015A4"/>
    <w:rsid w:val="6010358A"/>
    <w:rsid w:val="601A25EF"/>
    <w:rsid w:val="60250EC1"/>
    <w:rsid w:val="60290C1F"/>
    <w:rsid w:val="603E1F21"/>
    <w:rsid w:val="603E7832"/>
    <w:rsid w:val="6044067F"/>
    <w:rsid w:val="60546D44"/>
    <w:rsid w:val="60564383"/>
    <w:rsid w:val="605C6D51"/>
    <w:rsid w:val="607427E7"/>
    <w:rsid w:val="60793AF7"/>
    <w:rsid w:val="6099592B"/>
    <w:rsid w:val="60A13AB9"/>
    <w:rsid w:val="60A7744C"/>
    <w:rsid w:val="60C13CA2"/>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251167"/>
    <w:rsid w:val="612F1395"/>
    <w:rsid w:val="612F661C"/>
    <w:rsid w:val="61432D9E"/>
    <w:rsid w:val="61656F66"/>
    <w:rsid w:val="61683AEB"/>
    <w:rsid w:val="61737A70"/>
    <w:rsid w:val="617D144B"/>
    <w:rsid w:val="61855138"/>
    <w:rsid w:val="618A70BC"/>
    <w:rsid w:val="618B76C7"/>
    <w:rsid w:val="61963F6D"/>
    <w:rsid w:val="61BD1F9D"/>
    <w:rsid w:val="61D27428"/>
    <w:rsid w:val="61D45501"/>
    <w:rsid w:val="61E072C3"/>
    <w:rsid w:val="61EA093B"/>
    <w:rsid w:val="61F010A8"/>
    <w:rsid w:val="61F511E0"/>
    <w:rsid w:val="61FD6D62"/>
    <w:rsid w:val="62024DB4"/>
    <w:rsid w:val="62090E4E"/>
    <w:rsid w:val="62117D72"/>
    <w:rsid w:val="62142622"/>
    <w:rsid w:val="62210A89"/>
    <w:rsid w:val="62285DB7"/>
    <w:rsid w:val="62297B7B"/>
    <w:rsid w:val="623613F4"/>
    <w:rsid w:val="62367ED8"/>
    <w:rsid w:val="624257A9"/>
    <w:rsid w:val="62425C97"/>
    <w:rsid w:val="62621800"/>
    <w:rsid w:val="626857C6"/>
    <w:rsid w:val="62923991"/>
    <w:rsid w:val="62BB078B"/>
    <w:rsid w:val="62C8685E"/>
    <w:rsid w:val="62F20D03"/>
    <w:rsid w:val="62F26EC0"/>
    <w:rsid w:val="62F75B83"/>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156F8"/>
    <w:rsid w:val="63A445C5"/>
    <w:rsid w:val="63AB78F4"/>
    <w:rsid w:val="63B51224"/>
    <w:rsid w:val="63C642C7"/>
    <w:rsid w:val="63C85688"/>
    <w:rsid w:val="63CA4ED6"/>
    <w:rsid w:val="63CD5666"/>
    <w:rsid w:val="63D01EF3"/>
    <w:rsid w:val="63D2038C"/>
    <w:rsid w:val="63E631E1"/>
    <w:rsid w:val="63E72800"/>
    <w:rsid w:val="63F66CE6"/>
    <w:rsid w:val="64052873"/>
    <w:rsid w:val="640E7E19"/>
    <w:rsid w:val="64477F3F"/>
    <w:rsid w:val="64745DFC"/>
    <w:rsid w:val="647527CB"/>
    <w:rsid w:val="64815114"/>
    <w:rsid w:val="648A0F84"/>
    <w:rsid w:val="648E4974"/>
    <w:rsid w:val="648F4377"/>
    <w:rsid w:val="649E65A7"/>
    <w:rsid w:val="64A9027D"/>
    <w:rsid w:val="64AE4937"/>
    <w:rsid w:val="64AE71E8"/>
    <w:rsid w:val="64B70C4D"/>
    <w:rsid w:val="64C530D0"/>
    <w:rsid w:val="64C92A8D"/>
    <w:rsid w:val="64D14920"/>
    <w:rsid w:val="64DC22D2"/>
    <w:rsid w:val="64EA382F"/>
    <w:rsid w:val="64ED3306"/>
    <w:rsid w:val="6511603A"/>
    <w:rsid w:val="652763A9"/>
    <w:rsid w:val="653B0F51"/>
    <w:rsid w:val="65431C28"/>
    <w:rsid w:val="65434194"/>
    <w:rsid w:val="65477730"/>
    <w:rsid w:val="654912E0"/>
    <w:rsid w:val="655007CD"/>
    <w:rsid w:val="65630125"/>
    <w:rsid w:val="656A4332"/>
    <w:rsid w:val="65715D8E"/>
    <w:rsid w:val="65733372"/>
    <w:rsid w:val="65744876"/>
    <w:rsid w:val="657845AE"/>
    <w:rsid w:val="65831182"/>
    <w:rsid w:val="658C4C45"/>
    <w:rsid w:val="658F60B1"/>
    <w:rsid w:val="65991D3E"/>
    <w:rsid w:val="659E280B"/>
    <w:rsid w:val="659E4478"/>
    <w:rsid w:val="65A44341"/>
    <w:rsid w:val="65A95292"/>
    <w:rsid w:val="65B74A52"/>
    <w:rsid w:val="65B87761"/>
    <w:rsid w:val="65BD55BD"/>
    <w:rsid w:val="65C53449"/>
    <w:rsid w:val="65D0212E"/>
    <w:rsid w:val="65DA55D1"/>
    <w:rsid w:val="65DE269B"/>
    <w:rsid w:val="65E72587"/>
    <w:rsid w:val="65F27286"/>
    <w:rsid w:val="6602655A"/>
    <w:rsid w:val="66037BA1"/>
    <w:rsid w:val="66054E88"/>
    <w:rsid w:val="660C75A0"/>
    <w:rsid w:val="660D45C7"/>
    <w:rsid w:val="661E771B"/>
    <w:rsid w:val="66280ABB"/>
    <w:rsid w:val="663B7082"/>
    <w:rsid w:val="66550114"/>
    <w:rsid w:val="665C299B"/>
    <w:rsid w:val="666717B3"/>
    <w:rsid w:val="6668032B"/>
    <w:rsid w:val="667137FF"/>
    <w:rsid w:val="667C4290"/>
    <w:rsid w:val="668569A3"/>
    <w:rsid w:val="669C13AC"/>
    <w:rsid w:val="66B1624D"/>
    <w:rsid w:val="66B173CB"/>
    <w:rsid w:val="66BB16FE"/>
    <w:rsid w:val="66C95898"/>
    <w:rsid w:val="66DC2CB9"/>
    <w:rsid w:val="66E345F9"/>
    <w:rsid w:val="66EB023B"/>
    <w:rsid w:val="66F8201A"/>
    <w:rsid w:val="66FF1E1B"/>
    <w:rsid w:val="671C5A04"/>
    <w:rsid w:val="67246142"/>
    <w:rsid w:val="6734528A"/>
    <w:rsid w:val="673F01D2"/>
    <w:rsid w:val="67474DF0"/>
    <w:rsid w:val="674F04F1"/>
    <w:rsid w:val="676777C3"/>
    <w:rsid w:val="676A4CD5"/>
    <w:rsid w:val="677D4B8A"/>
    <w:rsid w:val="67802ACE"/>
    <w:rsid w:val="67804B33"/>
    <w:rsid w:val="678C4018"/>
    <w:rsid w:val="67A57057"/>
    <w:rsid w:val="67AD05BD"/>
    <w:rsid w:val="67B408BE"/>
    <w:rsid w:val="67B6183D"/>
    <w:rsid w:val="67C132E8"/>
    <w:rsid w:val="67C40A09"/>
    <w:rsid w:val="67C83807"/>
    <w:rsid w:val="67CE63C7"/>
    <w:rsid w:val="67D020A7"/>
    <w:rsid w:val="67D600B8"/>
    <w:rsid w:val="67E4087E"/>
    <w:rsid w:val="6812422E"/>
    <w:rsid w:val="6821192D"/>
    <w:rsid w:val="682A50A4"/>
    <w:rsid w:val="68306498"/>
    <w:rsid w:val="68337E89"/>
    <w:rsid w:val="68337EE8"/>
    <w:rsid w:val="683A6C76"/>
    <w:rsid w:val="6842321A"/>
    <w:rsid w:val="684675EC"/>
    <w:rsid w:val="68537052"/>
    <w:rsid w:val="68556FC7"/>
    <w:rsid w:val="685C5B46"/>
    <w:rsid w:val="685F0C86"/>
    <w:rsid w:val="685F3397"/>
    <w:rsid w:val="686B3945"/>
    <w:rsid w:val="688C0656"/>
    <w:rsid w:val="68981E7C"/>
    <w:rsid w:val="689B166D"/>
    <w:rsid w:val="68A477EF"/>
    <w:rsid w:val="68AE1735"/>
    <w:rsid w:val="68AE77BF"/>
    <w:rsid w:val="68B037E5"/>
    <w:rsid w:val="68B72950"/>
    <w:rsid w:val="68B93736"/>
    <w:rsid w:val="68C83AF6"/>
    <w:rsid w:val="68D10AC8"/>
    <w:rsid w:val="68D60630"/>
    <w:rsid w:val="68ED7332"/>
    <w:rsid w:val="68F8555D"/>
    <w:rsid w:val="69184B1D"/>
    <w:rsid w:val="691D712E"/>
    <w:rsid w:val="69214FE0"/>
    <w:rsid w:val="69657D32"/>
    <w:rsid w:val="696E7FE7"/>
    <w:rsid w:val="69742977"/>
    <w:rsid w:val="697A4168"/>
    <w:rsid w:val="697E1E2B"/>
    <w:rsid w:val="697E7396"/>
    <w:rsid w:val="6983176F"/>
    <w:rsid w:val="69975871"/>
    <w:rsid w:val="69A009FE"/>
    <w:rsid w:val="69A729C5"/>
    <w:rsid w:val="69AE2B6D"/>
    <w:rsid w:val="69B91A5F"/>
    <w:rsid w:val="69B9357E"/>
    <w:rsid w:val="69BF206E"/>
    <w:rsid w:val="69C14CA8"/>
    <w:rsid w:val="69C308D8"/>
    <w:rsid w:val="69CA255F"/>
    <w:rsid w:val="69CA755B"/>
    <w:rsid w:val="69CD3B8D"/>
    <w:rsid w:val="69D10E05"/>
    <w:rsid w:val="69E35E49"/>
    <w:rsid w:val="69E45CA2"/>
    <w:rsid w:val="69E46DF1"/>
    <w:rsid w:val="69E8174D"/>
    <w:rsid w:val="69EA3CED"/>
    <w:rsid w:val="69EB7655"/>
    <w:rsid w:val="69F66247"/>
    <w:rsid w:val="69F86AAF"/>
    <w:rsid w:val="6A09023E"/>
    <w:rsid w:val="6A1F6154"/>
    <w:rsid w:val="6A2746CC"/>
    <w:rsid w:val="6A332D95"/>
    <w:rsid w:val="6A426E79"/>
    <w:rsid w:val="6A441769"/>
    <w:rsid w:val="6A444A47"/>
    <w:rsid w:val="6A4F7CF0"/>
    <w:rsid w:val="6A5517EC"/>
    <w:rsid w:val="6A694BA1"/>
    <w:rsid w:val="6A734205"/>
    <w:rsid w:val="6AA02A00"/>
    <w:rsid w:val="6AA07753"/>
    <w:rsid w:val="6AB51195"/>
    <w:rsid w:val="6ABC3292"/>
    <w:rsid w:val="6AC04F0B"/>
    <w:rsid w:val="6AC53567"/>
    <w:rsid w:val="6AD34458"/>
    <w:rsid w:val="6AD51E2B"/>
    <w:rsid w:val="6ADC4801"/>
    <w:rsid w:val="6ADF25FC"/>
    <w:rsid w:val="6AF9720B"/>
    <w:rsid w:val="6AFA1E66"/>
    <w:rsid w:val="6AFE12C2"/>
    <w:rsid w:val="6AFF22DC"/>
    <w:rsid w:val="6B020CD0"/>
    <w:rsid w:val="6B0547F9"/>
    <w:rsid w:val="6B0B4870"/>
    <w:rsid w:val="6B1148AC"/>
    <w:rsid w:val="6B163A8A"/>
    <w:rsid w:val="6B3E0351"/>
    <w:rsid w:val="6B42449D"/>
    <w:rsid w:val="6B4A5562"/>
    <w:rsid w:val="6B565807"/>
    <w:rsid w:val="6B6548BE"/>
    <w:rsid w:val="6B6947A4"/>
    <w:rsid w:val="6B7A369F"/>
    <w:rsid w:val="6B942656"/>
    <w:rsid w:val="6BA911BA"/>
    <w:rsid w:val="6BAC2823"/>
    <w:rsid w:val="6BB17CCF"/>
    <w:rsid w:val="6BBB682B"/>
    <w:rsid w:val="6BBD5024"/>
    <w:rsid w:val="6BD25DF8"/>
    <w:rsid w:val="6BEB455F"/>
    <w:rsid w:val="6BEB45CC"/>
    <w:rsid w:val="6BF37DF1"/>
    <w:rsid w:val="6BFA3189"/>
    <w:rsid w:val="6C0B4C1B"/>
    <w:rsid w:val="6C153A0D"/>
    <w:rsid w:val="6C3468D1"/>
    <w:rsid w:val="6C3C5607"/>
    <w:rsid w:val="6C546532"/>
    <w:rsid w:val="6C562F8A"/>
    <w:rsid w:val="6C630CE9"/>
    <w:rsid w:val="6C7C2873"/>
    <w:rsid w:val="6C89781E"/>
    <w:rsid w:val="6C8A28F0"/>
    <w:rsid w:val="6C914CAA"/>
    <w:rsid w:val="6C9A6912"/>
    <w:rsid w:val="6CC17B62"/>
    <w:rsid w:val="6CCA6933"/>
    <w:rsid w:val="6CEC0F34"/>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F3914"/>
    <w:rsid w:val="6D6A2DB3"/>
    <w:rsid w:val="6D6A69AA"/>
    <w:rsid w:val="6D79127B"/>
    <w:rsid w:val="6D7A53AB"/>
    <w:rsid w:val="6D832281"/>
    <w:rsid w:val="6D993D94"/>
    <w:rsid w:val="6DA63640"/>
    <w:rsid w:val="6DA910BB"/>
    <w:rsid w:val="6DB3093B"/>
    <w:rsid w:val="6DB6586E"/>
    <w:rsid w:val="6DC237AE"/>
    <w:rsid w:val="6DC57185"/>
    <w:rsid w:val="6DE27BDD"/>
    <w:rsid w:val="6DEA260D"/>
    <w:rsid w:val="6DF91502"/>
    <w:rsid w:val="6DFA2CF4"/>
    <w:rsid w:val="6E01482E"/>
    <w:rsid w:val="6E0D1941"/>
    <w:rsid w:val="6E150179"/>
    <w:rsid w:val="6E18292B"/>
    <w:rsid w:val="6E2013CD"/>
    <w:rsid w:val="6E3E50B4"/>
    <w:rsid w:val="6E402C35"/>
    <w:rsid w:val="6E403BCF"/>
    <w:rsid w:val="6E424CF7"/>
    <w:rsid w:val="6E96703D"/>
    <w:rsid w:val="6E984122"/>
    <w:rsid w:val="6EA822EF"/>
    <w:rsid w:val="6EB35675"/>
    <w:rsid w:val="6EC4761A"/>
    <w:rsid w:val="6ED26905"/>
    <w:rsid w:val="6EE20566"/>
    <w:rsid w:val="6EEB6DD8"/>
    <w:rsid w:val="6EF513F6"/>
    <w:rsid w:val="6EF55455"/>
    <w:rsid w:val="6F166BCE"/>
    <w:rsid w:val="6F1D0027"/>
    <w:rsid w:val="6F1F0771"/>
    <w:rsid w:val="6F3669E2"/>
    <w:rsid w:val="6F3A0437"/>
    <w:rsid w:val="6F452492"/>
    <w:rsid w:val="6F4B64FF"/>
    <w:rsid w:val="6F4E1ABB"/>
    <w:rsid w:val="6F65489B"/>
    <w:rsid w:val="6F6F66FF"/>
    <w:rsid w:val="6F7227E7"/>
    <w:rsid w:val="6F86274A"/>
    <w:rsid w:val="6F886A39"/>
    <w:rsid w:val="6F8A6B50"/>
    <w:rsid w:val="6F9964D8"/>
    <w:rsid w:val="6F9E35B3"/>
    <w:rsid w:val="6F9E4E98"/>
    <w:rsid w:val="6FA22880"/>
    <w:rsid w:val="6FAA65B3"/>
    <w:rsid w:val="6FB1313E"/>
    <w:rsid w:val="6FB536E7"/>
    <w:rsid w:val="6FC169C6"/>
    <w:rsid w:val="6FC24AD0"/>
    <w:rsid w:val="6FCC27CD"/>
    <w:rsid w:val="6FFA44A3"/>
    <w:rsid w:val="6FFB2712"/>
    <w:rsid w:val="700148B1"/>
    <w:rsid w:val="700708F2"/>
    <w:rsid w:val="70082314"/>
    <w:rsid w:val="701637CE"/>
    <w:rsid w:val="70192A9F"/>
    <w:rsid w:val="70262445"/>
    <w:rsid w:val="70367BA5"/>
    <w:rsid w:val="704865AC"/>
    <w:rsid w:val="70500AA3"/>
    <w:rsid w:val="70575662"/>
    <w:rsid w:val="705A0E32"/>
    <w:rsid w:val="7068342F"/>
    <w:rsid w:val="706B1A4B"/>
    <w:rsid w:val="706B2EF5"/>
    <w:rsid w:val="70796EB7"/>
    <w:rsid w:val="70891E2B"/>
    <w:rsid w:val="709304FC"/>
    <w:rsid w:val="709A1764"/>
    <w:rsid w:val="70B21D55"/>
    <w:rsid w:val="70BA4068"/>
    <w:rsid w:val="70D77F1A"/>
    <w:rsid w:val="70D80040"/>
    <w:rsid w:val="70E96559"/>
    <w:rsid w:val="70F06D61"/>
    <w:rsid w:val="70F36F46"/>
    <w:rsid w:val="70FC142B"/>
    <w:rsid w:val="71231B23"/>
    <w:rsid w:val="713166E7"/>
    <w:rsid w:val="71343C14"/>
    <w:rsid w:val="713B214A"/>
    <w:rsid w:val="714633CE"/>
    <w:rsid w:val="716241B1"/>
    <w:rsid w:val="71672496"/>
    <w:rsid w:val="716862BB"/>
    <w:rsid w:val="716E1428"/>
    <w:rsid w:val="7178159F"/>
    <w:rsid w:val="717E3426"/>
    <w:rsid w:val="718621EE"/>
    <w:rsid w:val="71894FD2"/>
    <w:rsid w:val="719B2361"/>
    <w:rsid w:val="71A3311F"/>
    <w:rsid w:val="71A93483"/>
    <w:rsid w:val="71AA4E1C"/>
    <w:rsid w:val="71B57A94"/>
    <w:rsid w:val="71F8619A"/>
    <w:rsid w:val="72005730"/>
    <w:rsid w:val="72280301"/>
    <w:rsid w:val="72304806"/>
    <w:rsid w:val="7231753D"/>
    <w:rsid w:val="72386C6E"/>
    <w:rsid w:val="723A3057"/>
    <w:rsid w:val="72400885"/>
    <w:rsid w:val="724551B5"/>
    <w:rsid w:val="724B6026"/>
    <w:rsid w:val="725273EA"/>
    <w:rsid w:val="725B1897"/>
    <w:rsid w:val="725F5B3C"/>
    <w:rsid w:val="72603689"/>
    <w:rsid w:val="726C47BC"/>
    <w:rsid w:val="728E4038"/>
    <w:rsid w:val="7290256F"/>
    <w:rsid w:val="72CD2240"/>
    <w:rsid w:val="72DC19E2"/>
    <w:rsid w:val="72DC648D"/>
    <w:rsid w:val="72E420AF"/>
    <w:rsid w:val="72E530D5"/>
    <w:rsid w:val="72EC4E12"/>
    <w:rsid w:val="72EF2AE7"/>
    <w:rsid w:val="73317AB2"/>
    <w:rsid w:val="73373DED"/>
    <w:rsid w:val="73391B68"/>
    <w:rsid w:val="733B2119"/>
    <w:rsid w:val="733F7A24"/>
    <w:rsid w:val="73423B21"/>
    <w:rsid w:val="735C44F0"/>
    <w:rsid w:val="736A01CD"/>
    <w:rsid w:val="736B4D35"/>
    <w:rsid w:val="737010AC"/>
    <w:rsid w:val="73741988"/>
    <w:rsid w:val="73742A01"/>
    <w:rsid w:val="7375590C"/>
    <w:rsid w:val="73814929"/>
    <w:rsid w:val="7391289C"/>
    <w:rsid w:val="7393399F"/>
    <w:rsid w:val="73984022"/>
    <w:rsid w:val="739F28B2"/>
    <w:rsid w:val="73A84BF1"/>
    <w:rsid w:val="73C11347"/>
    <w:rsid w:val="73DA0259"/>
    <w:rsid w:val="73E2421D"/>
    <w:rsid w:val="73F639DC"/>
    <w:rsid w:val="74000D97"/>
    <w:rsid w:val="740A179D"/>
    <w:rsid w:val="742D3750"/>
    <w:rsid w:val="74310474"/>
    <w:rsid w:val="744637E6"/>
    <w:rsid w:val="74694C3B"/>
    <w:rsid w:val="746A6AAD"/>
    <w:rsid w:val="746D246B"/>
    <w:rsid w:val="747A4FBC"/>
    <w:rsid w:val="747C002A"/>
    <w:rsid w:val="74886917"/>
    <w:rsid w:val="748B466B"/>
    <w:rsid w:val="74981110"/>
    <w:rsid w:val="74CC4EFB"/>
    <w:rsid w:val="74D07926"/>
    <w:rsid w:val="74D469D0"/>
    <w:rsid w:val="74D94903"/>
    <w:rsid w:val="74DC7834"/>
    <w:rsid w:val="74E271F1"/>
    <w:rsid w:val="74EE4239"/>
    <w:rsid w:val="74F914E4"/>
    <w:rsid w:val="74F94292"/>
    <w:rsid w:val="75197F39"/>
    <w:rsid w:val="75326EC3"/>
    <w:rsid w:val="754D60F6"/>
    <w:rsid w:val="7551327B"/>
    <w:rsid w:val="755D51F1"/>
    <w:rsid w:val="755F3E02"/>
    <w:rsid w:val="755F782E"/>
    <w:rsid w:val="7573343A"/>
    <w:rsid w:val="757A5DAF"/>
    <w:rsid w:val="757F1016"/>
    <w:rsid w:val="75851B24"/>
    <w:rsid w:val="758C2EBE"/>
    <w:rsid w:val="75A16A9F"/>
    <w:rsid w:val="75BC6CCF"/>
    <w:rsid w:val="75D61B06"/>
    <w:rsid w:val="75D636FA"/>
    <w:rsid w:val="75E27D49"/>
    <w:rsid w:val="75EA771F"/>
    <w:rsid w:val="75F17559"/>
    <w:rsid w:val="75FE7567"/>
    <w:rsid w:val="76114AC9"/>
    <w:rsid w:val="761867BE"/>
    <w:rsid w:val="76365AD0"/>
    <w:rsid w:val="763E44C0"/>
    <w:rsid w:val="76433653"/>
    <w:rsid w:val="7648216B"/>
    <w:rsid w:val="765660D9"/>
    <w:rsid w:val="7656688E"/>
    <w:rsid w:val="765D57EA"/>
    <w:rsid w:val="76641803"/>
    <w:rsid w:val="7688585F"/>
    <w:rsid w:val="76933A35"/>
    <w:rsid w:val="76AE1756"/>
    <w:rsid w:val="76BE3027"/>
    <w:rsid w:val="76CA616D"/>
    <w:rsid w:val="76DF0E9A"/>
    <w:rsid w:val="76ED7180"/>
    <w:rsid w:val="76EE3E63"/>
    <w:rsid w:val="76F54CF0"/>
    <w:rsid w:val="76FD1BF4"/>
    <w:rsid w:val="76FD5906"/>
    <w:rsid w:val="77072866"/>
    <w:rsid w:val="770B684E"/>
    <w:rsid w:val="77144F2F"/>
    <w:rsid w:val="771D50F3"/>
    <w:rsid w:val="771F1990"/>
    <w:rsid w:val="77204CB1"/>
    <w:rsid w:val="77432F5D"/>
    <w:rsid w:val="775C70FA"/>
    <w:rsid w:val="77676DD8"/>
    <w:rsid w:val="776D12D7"/>
    <w:rsid w:val="77753DE9"/>
    <w:rsid w:val="777C1603"/>
    <w:rsid w:val="77964B32"/>
    <w:rsid w:val="77986676"/>
    <w:rsid w:val="77A14CDE"/>
    <w:rsid w:val="77AA2F7D"/>
    <w:rsid w:val="77B83883"/>
    <w:rsid w:val="77C62EB8"/>
    <w:rsid w:val="77C96BD3"/>
    <w:rsid w:val="77D335ED"/>
    <w:rsid w:val="77D60033"/>
    <w:rsid w:val="77D800C3"/>
    <w:rsid w:val="77E50D75"/>
    <w:rsid w:val="77F547E0"/>
    <w:rsid w:val="77F8286E"/>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985C87"/>
    <w:rsid w:val="78A43903"/>
    <w:rsid w:val="78C148AC"/>
    <w:rsid w:val="78CA1FEE"/>
    <w:rsid w:val="78CB3FEB"/>
    <w:rsid w:val="793B5CE2"/>
    <w:rsid w:val="795C411F"/>
    <w:rsid w:val="796057A7"/>
    <w:rsid w:val="7966323A"/>
    <w:rsid w:val="796834B3"/>
    <w:rsid w:val="796D1A04"/>
    <w:rsid w:val="797B3C8A"/>
    <w:rsid w:val="797F45FC"/>
    <w:rsid w:val="798304E0"/>
    <w:rsid w:val="79830C32"/>
    <w:rsid w:val="79970647"/>
    <w:rsid w:val="79982A61"/>
    <w:rsid w:val="79A11C25"/>
    <w:rsid w:val="79B6564B"/>
    <w:rsid w:val="79B847D4"/>
    <w:rsid w:val="79CE7F1F"/>
    <w:rsid w:val="79D9682C"/>
    <w:rsid w:val="79DB75C0"/>
    <w:rsid w:val="79E37881"/>
    <w:rsid w:val="79E4486C"/>
    <w:rsid w:val="79EA2E0E"/>
    <w:rsid w:val="79ED08FA"/>
    <w:rsid w:val="79F501D1"/>
    <w:rsid w:val="79FC00C4"/>
    <w:rsid w:val="79FC2BF8"/>
    <w:rsid w:val="7A0610D0"/>
    <w:rsid w:val="7A067AFA"/>
    <w:rsid w:val="7A094726"/>
    <w:rsid w:val="7A0C585A"/>
    <w:rsid w:val="7A2578FD"/>
    <w:rsid w:val="7A2C7450"/>
    <w:rsid w:val="7A326B5A"/>
    <w:rsid w:val="7A535A35"/>
    <w:rsid w:val="7A553725"/>
    <w:rsid w:val="7A604F43"/>
    <w:rsid w:val="7A616D0A"/>
    <w:rsid w:val="7A783A23"/>
    <w:rsid w:val="7A7F2C76"/>
    <w:rsid w:val="7A8F5500"/>
    <w:rsid w:val="7A9B01A4"/>
    <w:rsid w:val="7AAC462A"/>
    <w:rsid w:val="7AC10900"/>
    <w:rsid w:val="7AD14E20"/>
    <w:rsid w:val="7AD51C8F"/>
    <w:rsid w:val="7AD85F47"/>
    <w:rsid w:val="7AF84FA0"/>
    <w:rsid w:val="7AF909C6"/>
    <w:rsid w:val="7B0F551F"/>
    <w:rsid w:val="7B1D5728"/>
    <w:rsid w:val="7B1F3681"/>
    <w:rsid w:val="7B6F1BD0"/>
    <w:rsid w:val="7B732126"/>
    <w:rsid w:val="7B755C15"/>
    <w:rsid w:val="7B7A32D9"/>
    <w:rsid w:val="7B7B20CE"/>
    <w:rsid w:val="7B8E1216"/>
    <w:rsid w:val="7B9A1345"/>
    <w:rsid w:val="7B9F4805"/>
    <w:rsid w:val="7BA226FD"/>
    <w:rsid w:val="7BB20B69"/>
    <w:rsid w:val="7BB819E3"/>
    <w:rsid w:val="7BC22AB6"/>
    <w:rsid w:val="7BC51755"/>
    <w:rsid w:val="7BC67AB6"/>
    <w:rsid w:val="7BCA6C86"/>
    <w:rsid w:val="7BF4232A"/>
    <w:rsid w:val="7BFA4E58"/>
    <w:rsid w:val="7C044DA1"/>
    <w:rsid w:val="7C0B3159"/>
    <w:rsid w:val="7C132D64"/>
    <w:rsid w:val="7C3F76F0"/>
    <w:rsid w:val="7C6834AC"/>
    <w:rsid w:val="7C7D6023"/>
    <w:rsid w:val="7C805ECF"/>
    <w:rsid w:val="7CA33449"/>
    <w:rsid w:val="7CA45FF7"/>
    <w:rsid w:val="7CC61907"/>
    <w:rsid w:val="7CDE2E20"/>
    <w:rsid w:val="7CE0350C"/>
    <w:rsid w:val="7D0A0BA4"/>
    <w:rsid w:val="7D107AF3"/>
    <w:rsid w:val="7D28386F"/>
    <w:rsid w:val="7D382F40"/>
    <w:rsid w:val="7D4253C7"/>
    <w:rsid w:val="7D4C5341"/>
    <w:rsid w:val="7D4E5EE6"/>
    <w:rsid w:val="7D6F3EC9"/>
    <w:rsid w:val="7D800310"/>
    <w:rsid w:val="7D8901AD"/>
    <w:rsid w:val="7D8E577D"/>
    <w:rsid w:val="7D8F2C22"/>
    <w:rsid w:val="7D8F4612"/>
    <w:rsid w:val="7D90536C"/>
    <w:rsid w:val="7D9A426A"/>
    <w:rsid w:val="7D9A7FCD"/>
    <w:rsid w:val="7DB2733F"/>
    <w:rsid w:val="7DD17FD1"/>
    <w:rsid w:val="7DE70AC3"/>
    <w:rsid w:val="7DE72DC8"/>
    <w:rsid w:val="7DF245FC"/>
    <w:rsid w:val="7E006F08"/>
    <w:rsid w:val="7E177A0D"/>
    <w:rsid w:val="7E3101B4"/>
    <w:rsid w:val="7E3172CD"/>
    <w:rsid w:val="7E333E03"/>
    <w:rsid w:val="7E391FE6"/>
    <w:rsid w:val="7E43544C"/>
    <w:rsid w:val="7E4D1B3B"/>
    <w:rsid w:val="7E4D6F6B"/>
    <w:rsid w:val="7E590F99"/>
    <w:rsid w:val="7E607DE7"/>
    <w:rsid w:val="7E750D96"/>
    <w:rsid w:val="7E7A6F17"/>
    <w:rsid w:val="7E7D152D"/>
    <w:rsid w:val="7E841A66"/>
    <w:rsid w:val="7E862006"/>
    <w:rsid w:val="7E876C73"/>
    <w:rsid w:val="7E916762"/>
    <w:rsid w:val="7E9E6093"/>
    <w:rsid w:val="7EA916FD"/>
    <w:rsid w:val="7EB43756"/>
    <w:rsid w:val="7EBF6723"/>
    <w:rsid w:val="7ED011E0"/>
    <w:rsid w:val="7EE53C64"/>
    <w:rsid w:val="7EE92D33"/>
    <w:rsid w:val="7EEA29E2"/>
    <w:rsid w:val="7EEF3AF9"/>
    <w:rsid w:val="7F541580"/>
    <w:rsid w:val="7F542E94"/>
    <w:rsid w:val="7F590594"/>
    <w:rsid w:val="7F667225"/>
    <w:rsid w:val="7F844A6E"/>
    <w:rsid w:val="7F887A65"/>
    <w:rsid w:val="7F9E05E2"/>
    <w:rsid w:val="7FA27C81"/>
    <w:rsid w:val="7FAA1C29"/>
    <w:rsid w:val="7FAC4830"/>
    <w:rsid w:val="7FB659E5"/>
    <w:rsid w:val="7FB7407D"/>
    <w:rsid w:val="7FD9639F"/>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16315</Words>
  <Characters>17671</Characters>
  <Lines>0</Lines>
  <Paragraphs>0</Paragraphs>
  <TotalTime>7</TotalTime>
  <ScaleCrop>false</ScaleCrop>
  <LinksUpToDate>false</LinksUpToDate>
  <CharactersWithSpaces>18821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2021-07-20T13:08:00Z</cp:lastPrinted>
  <dcterms:modified xsi:type="dcterms:W3CDTF">2021-07-23T11:03:22Z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383E715DF5C8458393E4A773507A30AF</vt:lpwstr>
  </property>
</Properties>
</file>