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numPr>
          <w:ilvl w:val="0"/>
          <w:numId w:val="0"/>
        </w:numPr>
        <w:kinsoku/>
        <w:wordWrap/>
        <w:overflowPunct/>
        <w:topLinePunct w:val="0"/>
        <w:autoSpaceDE/>
        <w:autoSpaceDN/>
        <w:bidi w:val="0"/>
        <w:adjustRightInd/>
        <w:snapToGrid/>
        <w:spacing w:before="340" w:after="330" w:line="240" w:lineRule="auto"/>
        <w:jc w:val="center"/>
        <w:textAlignment w:val="baseline"/>
        <w:rPr>
          <w:rFonts w:hint="eastAsia"/>
          <w:lang w:val="en-US" w:eastAsia="zh-CN"/>
        </w:rPr>
      </w:pPr>
      <w:r>
        <w:rPr>
          <w:rFonts w:hint="eastAsia"/>
          <w:lang w:val="en-US" w:eastAsia="zh-CN"/>
        </w:rPr>
        <w:t>产品清单</w:t>
      </w:r>
    </w:p>
    <w:p>
      <w:pPr>
        <w:pStyle w:val="2"/>
        <w:keepNext/>
        <w:keepLines/>
        <w:pageBreakBefore w:val="0"/>
        <w:widowControl w:val="0"/>
        <w:numPr>
          <w:ilvl w:val="0"/>
          <w:numId w:val="1"/>
        </w:numPr>
        <w:kinsoku/>
        <w:wordWrap/>
        <w:overflowPunct/>
        <w:topLinePunct w:val="0"/>
        <w:autoSpaceDE/>
        <w:autoSpaceDN/>
        <w:bidi w:val="0"/>
        <w:adjustRightInd/>
        <w:snapToGrid/>
        <w:spacing w:before="340" w:after="330" w:line="240" w:lineRule="auto"/>
        <w:jc w:val="both"/>
        <w:textAlignment w:val="baseline"/>
        <w:rPr>
          <w:rFonts w:hint="default" w:ascii="宋体" w:hAnsi="宋体" w:eastAsia="宋体" w:cs="Times New Roman"/>
          <w:b/>
          <w:sz w:val="24"/>
          <w:szCs w:val="24"/>
          <w:lang w:val="en-US" w:eastAsia="zh-CN"/>
        </w:rPr>
      </w:pPr>
      <w:r>
        <w:rPr>
          <w:rFonts w:hint="eastAsia" w:ascii="宋体" w:hAnsi="宋体" w:eastAsia="宋体" w:cs="Times New Roman"/>
          <w:b/>
          <w:sz w:val="24"/>
          <w:szCs w:val="24"/>
          <w:lang w:val="en-US" w:eastAsia="zh-CN"/>
        </w:rPr>
        <w:t>采购项目：</w:t>
      </w:r>
    </w:p>
    <w:p>
      <w:pPr>
        <w:pStyle w:val="2"/>
        <w:keepNext/>
        <w:keepLines/>
        <w:pageBreakBefore w:val="0"/>
        <w:widowControl w:val="0"/>
        <w:numPr>
          <w:ilvl w:val="0"/>
          <w:numId w:val="0"/>
        </w:numPr>
        <w:kinsoku/>
        <w:wordWrap/>
        <w:overflowPunct/>
        <w:topLinePunct w:val="0"/>
        <w:autoSpaceDE/>
        <w:autoSpaceDN/>
        <w:bidi w:val="0"/>
        <w:adjustRightInd/>
        <w:snapToGrid/>
        <w:spacing w:before="340" w:after="330" w:line="240" w:lineRule="auto"/>
        <w:jc w:val="both"/>
        <w:textAlignment w:val="baseline"/>
        <w:rPr>
          <w:rFonts w:hint="default"/>
          <w:b w:val="0"/>
          <w:bCs w:val="0"/>
          <w:sz w:val="24"/>
          <w:szCs w:val="24"/>
          <w:lang w:val="en-US" w:eastAsia="zh-CN"/>
        </w:rPr>
      </w:pPr>
      <w:r>
        <w:rPr>
          <w:rFonts w:hint="eastAsia"/>
          <w:b w:val="0"/>
          <w:bCs w:val="0"/>
          <w:sz w:val="24"/>
          <w:szCs w:val="24"/>
          <w:lang w:val="en-US" w:eastAsia="zh-CN"/>
        </w:rPr>
        <w:t>亳州高铁南站金融商务中心项目空调采购（二次</w:t>
      </w:r>
      <w:bookmarkStart w:id="0" w:name="_GoBack"/>
      <w:bookmarkEnd w:id="0"/>
      <w:r>
        <w:rPr>
          <w:rFonts w:hint="eastAsia"/>
          <w:b w:val="0"/>
          <w:bCs w:val="0"/>
          <w:sz w:val="24"/>
          <w:szCs w:val="24"/>
          <w:lang w:val="en-US" w:eastAsia="zh-CN"/>
        </w:rPr>
        <w:t>）</w:t>
      </w:r>
    </w:p>
    <w:p>
      <w:pPr>
        <w:pStyle w:val="2"/>
        <w:keepNext/>
        <w:keepLines/>
        <w:pageBreakBefore w:val="0"/>
        <w:widowControl w:val="0"/>
        <w:numPr>
          <w:ilvl w:val="0"/>
          <w:numId w:val="1"/>
        </w:numPr>
        <w:kinsoku/>
        <w:wordWrap/>
        <w:overflowPunct/>
        <w:topLinePunct w:val="0"/>
        <w:autoSpaceDE/>
        <w:autoSpaceDN/>
        <w:bidi w:val="0"/>
        <w:adjustRightInd/>
        <w:snapToGrid/>
        <w:spacing w:before="340" w:after="330" w:line="240" w:lineRule="auto"/>
        <w:jc w:val="both"/>
        <w:textAlignment w:val="baseline"/>
        <w:rPr>
          <w:rFonts w:hint="default"/>
          <w:lang w:val="en-US" w:eastAsia="zh-CN"/>
        </w:rPr>
      </w:pPr>
      <w:r>
        <w:rPr>
          <w:rFonts w:hint="eastAsia" w:ascii="宋体" w:hAnsi="宋体" w:eastAsia="宋体" w:cs="Times New Roman"/>
          <w:b/>
          <w:sz w:val="24"/>
          <w:szCs w:val="24"/>
        </w:rPr>
        <w:t>采购内容及技术要求</w:t>
      </w:r>
      <w:r>
        <w:rPr>
          <w:rFonts w:hint="eastAsia" w:ascii="宋体" w:hAnsi="宋体" w:eastAsia="宋体" w:cs="Times New Roman"/>
          <w:b/>
          <w:sz w:val="24"/>
          <w:szCs w:val="24"/>
          <w:lang w:eastAsia="zh-CN"/>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125"/>
        <w:gridCol w:w="3067"/>
        <w:gridCol w:w="944"/>
        <w:gridCol w:w="1189"/>
        <w:gridCol w:w="1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trPr>
        <w:tc>
          <w:tcPr>
            <w:tcW w:w="670" w:type="dxa"/>
            <w:vAlign w:val="center"/>
          </w:tcPr>
          <w:p>
            <w:pPr>
              <w:pStyle w:val="2"/>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序号</w:t>
            </w:r>
          </w:p>
          <w:p>
            <w:pPr>
              <w:jc w:val="center"/>
              <w:rPr>
                <w:rFonts w:hint="eastAsia" w:ascii="仿宋_GB2312" w:hAnsi="仿宋_GB2312" w:eastAsia="仿宋_GB2312" w:cs="仿宋_GB2312"/>
                <w:sz w:val="21"/>
                <w:szCs w:val="21"/>
                <w:lang w:val="en-US" w:eastAsia="zh-CN"/>
              </w:rPr>
            </w:pPr>
          </w:p>
        </w:tc>
        <w:tc>
          <w:tcPr>
            <w:tcW w:w="1125"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货物名称</w:t>
            </w:r>
          </w:p>
        </w:tc>
        <w:tc>
          <w:tcPr>
            <w:tcW w:w="3067"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规格型号</w:t>
            </w:r>
          </w:p>
        </w:tc>
        <w:tc>
          <w:tcPr>
            <w:tcW w:w="944"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单位</w:t>
            </w:r>
          </w:p>
        </w:tc>
        <w:tc>
          <w:tcPr>
            <w:tcW w:w="1189"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数量（暂定定）定）</w:t>
            </w:r>
          </w:p>
        </w:tc>
        <w:tc>
          <w:tcPr>
            <w:tcW w:w="1861"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5" w:hRule="exact"/>
        </w:trPr>
        <w:tc>
          <w:tcPr>
            <w:tcW w:w="670"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125"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立式空调</w:t>
            </w:r>
          </w:p>
        </w:tc>
        <w:tc>
          <w:tcPr>
            <w:tcW w:w="3067"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变频/定频：变频</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能效等级：≥3级</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冷暖类型：冷暖</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匹数：3匹</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额定制冷量（W）：≥7200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额定制热量（W）：≥9000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额定制冷功率（W）：≤2500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额定制热功率（W）：≤3500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内机噪音dB（A）：≤47</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外机噪音dB（A）：≤58</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循环风量（m³/h）：≥1200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p>
          <w:p>
            <w:pPr>
              <w:pStyle w:val="2"/>
              <w:rPr>
                <w:rFonts w:hint="eastAsia"/>
                <w:lang w:val="en-US" w:eastAsia="zh-CN"/>
              </w:rPr>
            </w:pPr>
          </w:p>
          <w:p>
            <w:pPr>
              <w:pStyle w:val="2"/>
              <w:rPr>
                <w:rFonts w:hint="eastAsia"/>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sz w:val="21"/>
                <w:szCs w:val="21"/>
                <w:vertAlign w:val="baseline"/>
                <w:lang w:val="en-US" w:eastAsia="zh-CN"/>
              </w:rPr>
            </w:pPr>
          </w:p>
        </w:tc>
        <w:tc>
          <w:tcPr>
            <w:tcW w:w="944"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台</w:t>
            </w:r>
          </w:p>
        </w:tc>
        <w:tc>
          <w:tcPr>
            <w:tcW w:w="1189"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w:t>
            </w:r>
          </w:p>
        </w:tc>
        <w:tc>
          <w:tcPr>
            <w:tcW w:w="1861"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5436元/台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0" w:hRule="exact"/>
        </w:trPr>
        <w:tc>
          <w:tcPr>
            <w:tcW w:w="670" w:type="dxa"/>
            <w:vAlign w:val="center"/>
          </w:tcPr>
          <w:p>
            <w:pPr>
              <w:pStyle w:val="2"/>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c>
          <w:tcPr>
            <w:tcW w:w="1125"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4" w:leftChars="0" w:right="-99" w:rightChars="-47" w:hanging="164"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b/>
                <w:bCs/>
                <w:kern w:val="44"/>
                <w:sz w:val="21"/>
                <w:szCs w:val="21"/>
                <w:vertAlign w:val="baseline"/>
                <w:lang w:val="en-US" w:eastAsia="zh-CN" w:bidi="ar-SA"/>
              </w:rPr>
              <w:t>挂壁空调</w:t>
            </w:r>
          </w:p>
        </w:tc>
        <w:tc>
          <w:tcPr>
            <w:tcW w:w="3067"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right="-99" w:rightChars="-47"/>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变频/定频：变频</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能效等级：≥3级</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冷暖类型：冷暖</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匹数：1.5匹</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额定制冷量（W）：≥3500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额定制热量（W）：≥4400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额定制冷功率（W）：≤1000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额定制热功率（W）：≤1400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内机噪音dB（A）：≤40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外机噪音dB（A）：≤52</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循环风量（m³/h）：≥700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4" w:leftChars="0" w:right="-99" w:rightChars="-47" w:hanging="164" w:hangingChars="78"/>
              <w:jc w:val="left"/>
              <w:rPr>
                <w:rFonts w:hint="eastAsia" w:ascii="仿宋_GB2312" w:hAnsi="仿宋_GB2312" w:eastAsia="仿宋_GB2312" w:cs="仿宋_GB2312"/>
                <w:b/>
                <w:bCs/>
                <w:i w:val="0"/>
                <w:iCs w:val="0"/>
                <w:caps w:val="0"/>
                <w:color w:val="666666"/>
                <w:spacing w:val="0"/>
                <w:sz w:val="21"/>
                <w:szCs w:val="21"/>
                <w:shd w:val="clear" w:fill="FFFFFF"/>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left"/>
              <w:rPr>
                <w:rFonts w:hint="eastAsia" w:ascii="仿宋_GB2312" w:hAnsi="仿宋_GB2312" w:eastAsia="仿宋_GB2312" w:cs="仿宋_GB2312"/>
                <w:i w:val="0"/>
                <w:iCs w:val="0"/>
                <w:caps w:val="0"/>
                <w:color w:val="666666"/>
                <w:spacing w:val="0"/>
                <w:sz w:val="21"/>
                <w:szCs w:val="21"/>
                <w:shd w:val="clear" w:fill="FFFFFF"/>
                <w:lang w:val="en-US" w:eastAsia="zh-CN"/>
              </w:rPr>
            </w:pPr>
          </w:p>
        </w:tc>
        <w:tc>
          <w:tcPr>
            <w:tcW w:w="944"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台</w:t>
            </w:r>
          </w:p>
        </w:tc>
        <w:tc>
          <w:tcPr>
            <w:tcW w:w="1189"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23</w:t>
            </w:r>
          </w:p>
        </w:tc>
        <w:tc>
          <w:tcPr>
            <w:tcW w:w="1861"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2530元/台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exact"/>
        </w:trPr>
        <w:tc>
          <w:tcPr>
            <w:tcW w:w="670"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p>
        </w:tc>
        <w:tc>
          <w:tcPr>
            <w:tcW w:w="1125"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210" w:leftChars="100" w:right="-99" w:rightChars="-47" w:firstLine="46" w:firstLineChars="22"/>
              <w:jc w:val="left"/>
              <w:rPr>
                <w:rFonts w:hint="default" w:ascii="仿宋_GB2312" w:hAnsi="仿宋_GB2312" w:eastAsia="仿宋_GB2312" w:cs="仿宋_GB2312"/>
                <w:b/>
                <w:bCs/>
                <w:kern w:val="44"/>
                <w:sz w:val="21"/>
                <w:szCs w:val="21"/>
                <w:vertAlign w:val="baseline"/>
                <w:lang w:val="en-US" w:eastAsia="zh-CN" w:bidi="ar-SA"/>
              </w:rPr>
            </w:pPr>
            <w:r>
              <w:rPr>
                <w:rFonts w:hint="eastAsia" w:ascii="仿宋_GB2312" w:hAnsi="仿宋_GB2312" w:eastAsia="仿宋_GB2312" w:cs="仿宋_GB2312"/>
                <w:b/>
                <w:bCs/>
                <w:kern w:val="44"/>
                <w:sz w:val="21"/>
                <w:szCs w:val="21"/>
                <w:vertAlign w:val="baseline"/>
                <w:lang w:val="en-US" w:eastAsia="zh-CN" w:bidi="ar-SA"/>
              </w:rPr>
              <w:t>铜管</w:t>
            </w:r>
          </w:p>
        </w:tc>
        <w:tc>
          <w:tcPr>
            <w:tcW w:w="3067"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center"/>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符合本项目使用要求</w:t>
            </w:r>
          </w:p>
        </w:tc>
        <w:tc>
          <w:tcPr>
            <w:tcW w:w="944"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w:t>
            </w:r>
          </w:p>
        </w:tc>
        <w:tc>
          <w:tcPr>
            <w:tcW w:w="1189"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861"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1984元/项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exact"/>
        </w:trPr>
        <w:tc>
          <w:tcPr>
            <w:tcW w:w="670"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c>
          <w:tcPr>
            <w:tcW w:w="1125"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4" w:leftChars="0" w:right="-99" w:rightChars="-47" w:hanging="164" w:hangingChars="78"/>
              <w:jc w:val="left"/>
              <w:rPr>
                <w:rFonts w:hint="default" w:ascii="仿宋_GB2312" w:hAnsi="仿宋_GB2312" w:eastAsia="仿宋_GB2312" w:cs="仿宋_GB2312"/>
                <w:b/>
                <w:bCs/>
                <w:kern w:val="44"/>
                <w:sz w:val="21"/>
                <w:szCs w:val="21"/>
                <w:vertAlign w:val="baseline"/>
                <w:lang w:val="en-US" w:eastAsia="zh-CN" w:bidi="ar-SA"/>
              </w:rPr>
            </w:pPr>
            <w:r>
              <w:rPr>
                <w:rFonts w:hint="eastAsia" w:ascii="仿宋_GB2312" w:hAnsi="仿宋_GB2312" w:eastAsia="仿宋_GB2312" w:cs="仿宋_GB2312"/>
                <w:b/>
                <w:bCs/>
                <w:kern w:val="44"/>
                <w:sz w:val="21"/>
                <w:szCs w:val="21"/>
                <w:vertAlign w:val="baseline"/>
                <w:lang w:val="en-US" w:eastAsia="zh-CN" w:bidi="ar-SA"/>
              </w:rPr>
              <w:t>空调专业空开</w:t>
            </w:r>
          </w:p>
        </w:tc>
        <w:tc>
          <w:tcPr>
            <w:tcW w:w="3067" w:type="dxa"/>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75" w:afterAutospacing="0"/>
              <w:ind w:left="163" w:leftChars="0" w:right="-99" w:rightChars="-47" w:hanging="163" w:hangingChars="78"/>
              <w:jc w:val="center"/>
              <w:rPr>
                <w:rFonts w:hint="default" w:ascii="仿宋_GB2312" w:hAnsi="仿宋_GB2312" w:eastAsia="仿宋_GB2312" w:cs="仿宋_GB2312"/>
                <w:i w:val="0"/>
                <w:iCs w:val="0"/>
                <w:caps w:val="0"/>
                <w:color w:val="666666"/>
                <w:spacing w:val="0"/>
                <w:sz w:val="21"/>
                <w:szCs w:val="21"/>
                <w:shd w:val="clear" w:fill="FFFFFF"/>
                <w:lang w:val="en-US" w:eastAsia="zh-CN"/>
              </w:rPr>
            </w:pPr>
            <w:r>
              <w:rPr>
                <w:rFonts w:hint="eastAsia" w:ascii="仿宋_GB2312" w:hAnsi="仿宋_GB2312" w:eastAsia="仿宋_GB2312" w:cs="仿宋_GB2312"/>
                <w:i w:val="0"/>
                <w:iCs w:val="0"/>
                <w:caps w:val="0"/>
                <w:color w:val="666666"/>
                <w:spacing w:val="0"/>
                <w:sz w:val="21"/>
                <w:szCs w:val="21"/>
                <w:shd w:val="clear" w:fill="FFFFFF"/>
                <w:lang w:val="en-US" w:eastAsia="zh-CN"/>
              </w:rPr>
              <w:t>符合本项目使用要求</w:t>
            </w:r>
          </w:p>
        </w:tc>
        <w:tc>
          <w:tcPr>
            <w:tcW w:w="944"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w:t>
            </w:r>
          </w:p>
        </w:tc>
        <w:tc>
          <w:tcPr>
            <w:tcW w:w="1189"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861" w:type="dxa"/>
            <w:vAlign w:val="center"/>
          </w:tcPr>
          <w:p>
            <w:pPr>
              <w:pStyle w:val="2"/>
              <w:jc w:val="center"/>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680元/项</w:t>
            </w:r>
          </w:p>
        </w:tc>
      </w:tr>
    </w:tbl>
    <w:p>
      <w:pPr>
        <w:rPr>
          <w:rFonts w:hint="eastAsia" w:ascii="仿宋" w:hAnsi="仿宋" w:eastAsia="仿宋" w:cs="仿宋"/>
          <w:color w:val="000000"/>
          <w:sz w:val="32"/>
          <w:szCs w:val="32"/>
          <w:highlight w:val="none"/>
        </w:rPr>
      </w:pP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Theme="minorEastAsia"/>
          <w:bCs/>
          <w:sz w:val="24"/>
          <w:szCs w:val="18"/>
          <w:lang w:val="en-US" w:eastAsia="zh-CN"/>
        </w:rPr>
      </w:pPr>
      <w:r>
        <w:rPr>
          <w:rFonts w:hint="eastAsia" w:ascii="宋体" w:hAnsi="宋体"/>
          <w:bCs/>
          <w:sz w:val="24"/>
          <w:szCs w:val="18"/>
          <w:lang w:val="en-US" w:eastAsia="zh-CN"/>
        </w:rPr>
        <w:t>报价要求：</w:t>
      </w:r>
    </w:p>
    <w:p>
      <w:pPr>
        <w:keepNext w:val="0"/>
        <w:keepLines w:val="0"/>
        <w:pageBreakBefore w:val="0"/>
        <w:widowControl w:val="0"/>
        <w:numPr>
          <w:ilvl w:val="0"/>
          <w:numId w:val="2"/>
        </w:numPr>
        <w:kinsoku/>
        <w:wordWrap/>
        <w:overflowPunct/>
        <w:topLinePunct w:val="0"/>
        <w:bidi w:val="0"/>
        <w:snapToGrid/>
        <w:spacing w:line="360" w:lineRule="auto"/>
        <w:ind w:firstLine="480" w:firstLineChars="200"/>
        <w:textAlignment w:val="auto"/>
        <w:rPr>
          <w:rFonts w:hint="eastAsia" w:ascii="宋体" w:hAnsi="宋体"/>
          <w:bCs/>
          <w:sz w:val="24"/>
          <w:szCs w:val="18"/>
        </w:rPr>
      </w:pPr>
      <w:r>
        <w:rPr>
          <w:rFonts w:hint="eastAsia" w:ascii="宋体" w:hAnsi="宋体"/>
          <w:bCs/>
          <w:sz w:val="24"/>
          <w:szCs w:val="18"/>
        </w:rPr>
        <w:t>本项目</w:t>
      </w:r>
      <w:r>
        <w:rPr>
          <w:rFonts w:hint="eastAsia" w:ascii="宋体" w:hAnsi="宋体"/>
          <w:bCs/>
          <w:sz w:val="24"/>
          <w:szCs w:val="18"/>
          <w:lang w:val="en-US" w:eastAsia="zh-CN"/>
        </w:rPr>
        <w:t>采用固定单价报价</w:t>
      </w:r>
      <w:r>
        <w:rPr>
          <w:rFonts w:hint="eastAsia" w:ascii="宋体" w:hAnsi="宋体"/>
          <w:bCs/>
          <w:sz w:val="24"/>
          <w:szCs w:val="18"/>
        </w:rPr>
        <w:t>，报价含</w:t>
      </w:r>
      <w:r>
        <w:rPr>
          <w:rFonts w:hint="eastAsia" w:ascii="宋体" w:hAnsi="宋体" w:eastAsia="宋体" w:cs="Times New Roman"/>
          <w:sz w:val="24"/>
          <w:szCs w:val="24"/>
        </w:rPr>
        <w:t>采购、运输、人工、安装、调试、售后服务等所有费用</w:t>
      </w:r>
      <w:r>
        <w:rPr>
          <w:rFonts w:hint="eastAsia" w:ascii="宋体" w:hAnsi="宋体"/>
          <w:bCs/>
          <w:sz w:val="24"/>
          <w:szCs w:val="18"/>
        </w:rPr>
        <w:t>，采购人后期不再追加任何费用。</w:t>
      </w:r>
    </w:p>
    <w:p>
      <w:pPr>
        <w:keepNext w:val="0"/>
        <w:keepLines w:val="0"/>
        <w:pageBreakBefore w:val="0"/>
        <w:widowControl w:val="0"/>
        <w:numPr>
          <w:ilvl w:val="0"/>
          <w:numId w:val="2"/>
        </w:numPr>
        <w:kinsoku/>
        <w:wordWrap/>
        <w:overflowPunct/>
        <w:topLinePunct w:val="0"/>
        <w:bidi w:val="0"/>
        <w:snapToGrid/>
        <w:spacing w:line="360" w:lineRule="auto"/>
        <w:ind w:left="0" w:leftChars="0" w:firstLine="480" w:firstLineChars="200"/>
        <w:textAlignment w:val="auto"/>
        <w:rPr>
          <w:rFonts w:hint="eastAsia" w:ascii="宋体" w:hAnsi="宋体"/>
          <w:bCs/>
          <w:sz w:val="24"/>
          <w:szCs w:val="18"/>
          <w:lang w:val="zh-CN" w:eastAsia="zh-CN"/>
        </w:rPr>
      </w:pPr>
      <w:r>
        <w:rPr>
          <w:rFonts w:hint="eastAsia" w:ascii="宋体" w:hAnsi="宋体"/>
          <w:bCs/>
          <w:sz w:val="24"/>
          <w:szCs w:val="18"/>
        </w:rPr>
        <w:t>对于采购</w:t>
      </w:r>
      <w:r>
        <w:rPr>
          <w:rFonts w:hint="eastAsia" w:ascii="宋体" w:hAnsi="宋体"/>
          <w:bCs/>
          <w:sz w:val="24"/>
          <w:szCs w:val="18"/>
          <w:lang w:val="en-US" w:eastAsia="zh-CN"/>
        </w:rPr>
        <w:t>内容</w:t>
      </w:r>
      <w:r>
        <w:rPr>
          <w:rFonts w:hint="eastAsia" w:ascii="宋体" w:hAnsi="宋体"/>
          <w:bCs/>
          <w:sz w:val="24"/>
          <w:szCs w:val="18"/>
        </w:rPr>
        <w:t>中要求提供（具有）的证书、检测报告及其他有关证明文件，投标时</w:t>
      </w:r>
      <w:r>
        <w:rPr>
          <w:rFonts w:hint="eastAsia" w:ascii="宋体" w:hAnsi="宋体"/>
          <w:bCs/>
          <w:sz w:val="24"/>
          <w:szCs w:val="18"/>
          <w:lang w:val="en-US" w:eastAsia="zh-CN"/>
        </w:rPr>
        <w:t>不作要求。</w:t>
      </w:r>
      <w:r>
        <w:rPr>
          <w:rFonts w:hint="eastAsia" w:ascii="宋体" w:hAnsi="宋体"/>
          <w:bCs/>
          <w:sz w:val="24"/>
          <w:szCs w:val="18"/>
        </w:rPr>
        <w:t>供货时交采购人核验，如发现弄虚作假或不能提供齐全的，取消其中标资格，不予退还履约保证金，并按有关规定进行处理。</w:t>
      </w:r>
    </w:p>
    <w:p>
      <w:pPr>
        <w:keepNext w:val="0"/>
        <w:keepLines w:val="0"/>
        <w:pageBreakBefore w:val="0"/>
        <w:widowControl w:val="0"/>
        <w:numPr>
          <w:ilvl w:val="0"/>
          <w:numId w:val="2"/>
        </w:numPr>
        <w:kinsoku/>
        <w:wordWrap/>
        <w:overflowPunct/>
        <w:topLinePunct w:val="0"/>
        <w:bidi w:val="0"/>
        <w:snapToGrid/>
        <w:spacing w:line="360" w:lineRule="auto"/>
        <w:ind w:left="0" w:leftChars="0" w:firstLine="480" w:firstLineChars="200"/>
        <w:textAlignment w:val="auto"/>
        <w:rPr>
          <w:rFonts w:hint="eastAsia" w:ascii="宋体" w:hAnsi="宋体"/>
          <w:bCs/>
          <w:sz w:val="24"/>
          <w:szCs w:val="18"/>
        </w:rPr>
      </w:pPr>
      <w:r>
        <w:rPr>
          <w:rFonts w:hint="eastAsia" w:ascii="宋体" w:hAnsi="宋体"/>
          <w:bCs/>
          <w:sz w:val="24"/>
          <w:szCs w:val="18"/>
          <w:lang w:val="en-US" w:eastAsia="zh-CN"/>
        </w:rPr>
        <w:t>推荐品牌：格力、美的、海尔。推荐品牌</w:t>
      </w:r>
      <w:r>
        <w:rPr>
          <w:rFonts w:hint="eastAsia" w:ascii="宋体" w:hAnsi="宋体"/>
          <w:bCs/>
          <w:sz w:val="24"/>
          <w:szCs w:val="18"/>
        </w:rPr>
        <w:t>为参考品牌，不作为指定品牌，投标人可以自行选择其它品牌报价，但各投标单位必须在投标文件中提供相关证明材料证明所报产品品质、档次、性能、技术参数相当于或优于参考品牌。</w:t>
      </w:r>
    </w:p>
    <w:p>
      <w:pPr>
        <w:pStyle w:val="2"/>
        <w:jc w:val="both"/>
        <w:rPr>
          <w:rFonts w:hint="eastAsia"/>
          <w:lang w:val="zh-CN" w:eastAsia="zh-CN"/>
        </w:rPr>
      </w:pPr>
    </w:p>
    <w:p>
      <w:pPr>
        <w:pStyle w:val="2"/>
        <w:rPr>
          <w:rFonts w:hint="eastAsia"/>
          <w:lang w:val="zh-CN" w:eastAsia="zh-CN"/>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08884"/>
    <w:multiLevelType w:val="singleLevel"/>
    <w:tmpl w:val="82808884"/>
    <w:lvl w:ilvl="0" w:tentative="0">
      <w:start w:val="1"/>
      <w:numFmt w:val="decimal"/>
      <w:lvlText w:val="%1."/>
      <w:lvlJc w:val="left"/>
      <w:pPr>
        <w:tabs>
          <w:tab w:val="left" w:pos="312"/>
        </w:tabs>
      </w:pPr>
    </w:lvl>
  </w:abstractNum>
  <w:abstractNum w:abstractNumId="1">
    <w:nsid w:val="CF312A08"/>
    <w:multiLevelType w:val="singleLevel"/>
    <w:tmpl w:val="CF312A0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217D8"/>
    <w:rsid w:val="0002178F"/>
    <w:rsid w:val="00073721"/>
    <w:rsid w:val="0015775C"/>
    <w:rsid w:val="002537C0"/>
    <w:rsid w:val="004932E1"/>
    <w:rsid w:val="004A50DE"/>
    <w:rsid w:val="0051275C"/>
    <w:rsid w:val="0059322C"/>
    <w:rsid w:val="005D0A9E"/>
    <w:rsid w:val="007B2C44"/>
    <w:rsid w:val="008E17AA"/>
    <w:rsid w:val="00A65BB4"/>
    <w:rsid w:val="00B217D8"/>
    <w:rsid w:val="00CE3456"/>
    <w:rsid w:val="00D91943"/>
    <w:rsid w:val="00F11BED"/>
    <w:rsid w:val="01337376"/>
    <w:rsid w:val="01547FB3"/>
    <w:rsid w:val="01D30F6A"/>
    <w:rsid w:val="029532C8"/>
    <w:rsid w:val="02FF087C"/>
    <w:rsid w:val="0408112B"/>
    <w:rsid w:val="041E7F1C"/>
    <w:rsid w:val="04AE245C"/>
    <w:rsid w:val="04BD66B7"/>
    <w:rsid w:val="05000B33"/>
    <w:rsid w:val="05952AE4"/>
    <w:rsid w:val="064F4C3B"/>
    <w:rsid w:val="067B0005"/>
    <w:rsid w:val="06C37AAB"/>
    <w:rsid w:val="06C676A9"/>
    <w:rsid w:val="06CA2767"/>
    <w:rsid w:val="07167C21"/>
    <w:rsid w:val="08A75E89"/>
    <w:rsid w:val="08B816F8"/>
    <w:rsid w:val="08D11DAD"/>
    <w:rsid w:val="09762A19"/>
    <w:rsid w:val="0A0368CC"/>
    <w:rsid w:val="0B216796"/>
    <w:rsid w:val="0BC907FE"/>
    <w:rsid w:val="0C1E3198"/>
    <w:rsid w:val="0C831991"/>
    <w:rsid w:val="0D4A4732"/>
    <w:rsid w:val="0D4B3DDF"/>
    <w:rsid w:val="0D6A13C1"/>
    <w:rsid w:val="0EFD64F3"/>
    <w:rsid w:val="0F6F3682"/>
    <w:rsid w:val="100A32B0"/>
    <w:rsid w:val="103130CE"/>
    <w:rsid w:val="10A110E9"/>
    <w:rsid w:val="10FE2A75"/>
    <w:rsid w:val="111970E6"/>
    <w:rsid w:val="111E7A8D"/>
    <w:rsid w:val="11492A3B"/>
    <w:rsid w:val="116D34EB"/>
    <w:rsid w:val="117B2EB7"/>
    <w:rsid w:val="117E2676"/>
    <w:rsid w:val="124C3307"/>
    <w:rsid w:val="12EC42A1"/>
    <w:rsid w:val="12FB700C"/>
    <w:rsid w:val="13156213"/>
    <w:rsid w:val="133109F7"/>
    <w:rsid w:val="13525526"/>
    <w:rsid w:val="13DE3BE9"/>
    <w:rsid w:val="15443943"/>
    <w:rsid w:val="15757940"/>
    <w:rsid w:val="15B6373A"/>
    <w:rsid w:val="15E32F93"/>
    <w:rsid w:val="167A7C6F"/>
    <w:rsid w:val="16C2445B"/>
    <w:rsid w:val="16D914F5"/>
    <w:rsid w:val="19720D6F"/>
    <w:rsid w:val="1A3438B4"/>
    <w:rsid w:val="1A53276E"/>
    <w:rsid w:val="1A5B1614"/>
    <w:rsid w:val="1A744335"/>
    <w:rsid w:val="1BE87761"/>
    <w:rsid w:val="1BF2345E"/>
    <w:rsid w:val="1C2B01E9"/>
    <w:rsid w:val="1C4333AE"/>
    <w:rsid w:val="1C6832BE"/>
    <w:rsid w:val="1D153AE6"/>
    <w:rsid w:val="1D482DD2"/>
    <w:rsid w:val="1D4A4F74"/>
    <w:rsid w:val="1FCC71B3"/>
    <w:rsid w:val="204B4E99"/>
    <w:rsid w:val="20EB30AF"/>
    <w:rsid w:val="2131226F"/>
    <w:rsid w:val="2140769C"/>
    <w:rsid w:val="218E7E53"/>
    <w:rsid w:val="21BD1087"/>
    <w:rsid w:val="22151E95"/>
    <w:rsid w:val="22800AE7"/>
    <w:rsid w:val="23CA087A"/>
    <w:rsid w:val="23F15CF8"/>
    <w:rsid w:val="23FB7C15"/>
    <w:rsid w:val="243E17D4"/>
    <w:rsid w:val="246F3B0D"/>
    <w:rsid w:val="255F6B42"/>
    <w:rsid w:val="25692CE4"/>
    <w:rsid w:val="25BD5CA0"/>
    <w:rsid w:val="2610037F"/>
    <w:rsid w:val="268462EF"/>
    <w:rsid w:val="27296002"/>
    <w:rsid w:val="279816D5"/>
    <w:rsid w:val="27A8375F"/>
    <w:rsid w:val="28062FC1"/>
    <w:rsid w:val="28767F33"/>
    <w:rsid w:val="28C8340E"/>
    <w:rsid w:val="291C0989"/>
    <w:rsid w:val="292B312A"/>
    <w:rsid w:val="2A1B3111"/>
    <w:rsid w:val="2A280488"/>
    <w:rsid w:val="2A347D9B"/>
    <w:rsid w:val="2A5C6BCE"/>
    <w:rsid w:val="2A8541A3"/>
    <w:rsid w:val="2A86425F"/>
    <w:rsid w:val="2B0D326B"/>
    <w:rsid w:val="2BDF5013"/>
    <w:rsid w:val="2BEA5EE1"/>
    <w:rsid w:val="2BF51F9C"/>
    <w:rsid w:val="2C0B5177"/>
    <w:rsid w:val="2C0B7C75"/>
    <w:rsid w:val="2D2F3B0F"/>
    <w:rsid w:val="2D62025B"/>
    <w:rsid w:val="2D8B6AD9"/>
    <w:rsid w:val="2E2F0A47"/>
    <w:rsid w:val="2EBF1944"/>
    <w:rsid w:val="2EE4662E"/>
    <w:rsid w:val="2EF712B3"/>
    <w:rsid w:val="2F0C275E"/>
    <w:rsid w:val="2F3E232B"/>
    <w:rsid w:val="2FF311A5"/>
    <w:rsid w:val="307127C7"/>
    <w:rsid w:val="31853E97"/>
    <w:rsid w:val="32D101AB"/>
    <w:rsid w:val="33A340CC"/>
    <w:rsid w:val="3432493C"/>
    <w:rsid w:val="35575485"/>
    <w:rsid w:val="365D6171"/>
    <w:rsid w:val="36D443B5"/>
    <w:rsid w:val="37F14F1D"/>
    <w:rsid w:val="37F511B7"/>
    <w:rsid w:val="386869CA"/>
    <w:rsid w:val="3AA333DF"/>
    <w:rsid w:val="3B0F0D94"/>
    <w:rsid w:val="3B14208C"/>
    <w:rsid w:val="3B7276E7"/>
    <w:rsid w:val="3C7474AE"/>
    <w:rsid w:val="3CDA3986"/>
    <w:rsid w:val="3E0C7CF9"/>
    <w:rsid w:val="3F063EAD"/>
    <w:rsid w:val="3F0C3472"/>
    <w:rsid w:val="3FE068F0"/>
    <w:rsid w:val="400B398A"/>
    <w:rsid w:val="403A62CC"/>
    <w:rsid w:val="40734594"/>
    <w:rsid w:val="40D2789C"/>
    <w:rsid w:val="411A692B"/>
    <w:rsid w:val="41385797"/>
    <w:rsid w:val="41AE1852"/>
    <w:rsid w:val="41DE35F2"/>
    <w:rsid w:val="427A45B2"/>
    <w:rsid w:val="43F33C8A"/>
    <w:rsid w:val="44FF0421"/>
    <w:rsid w:val="460A73C9"/>
    <w:rsid w:val="467D4E43"/>
    <w:rsid w:val="469F7685"/>
    <w:rsid w:val="46BC5EB4"/>
    <w:rsid w:val="475A4BC1"/>
    <w:rsid w:val="480650FD"/>
    <w:rsid w:val="48555345"/>
    <w:rsid w:val="48B8111F"/>
    <w:rsid w:val="48DA69C9"/>
    <w:rsid w:val="49A5020E"/>
    <w:rsid w:val="4A3D741D"/>
    <w:rsid w:val="4AB24347"/>
    <w:rsid w:val="4AD77B21"/>
    <w:rsid w:val="4D2541EF"/>
    <w:rsid w:val="4D5A7A44"/>
    <w:rsid w:val="4D74698D"/>
    <w:rsid w:val="4DAF5979"/>
    <w:rsid w:val="4DC6466C"/>
    <w:rsid w:val="4EA04F61"/>
    <w:rsid w:val="4EC0023D"/>
    <w:rsid w:val="4EF43FC7"/>
    <w:rsid w:val="4F3045EF"/>
    <w:rsid w:val="4F7E5123"/>
    <w:rsid w:val="5043299E"/>
    <w:rsid w:val="5044173D"/>
    <w:rsid w:val="51215261"/>
    <w:rsid w:val="513B1C1E"/>
    <w:rsid w:val="514C33EE"/>
    <w:rsid w:val="5158213C"/>
    <w:rsid w:val="518A51EE"/>
    <w:rsid w:val="51BD2DBA"/>
    <w:rsid w:val="530E51F2"/>
    <w:rsid w:val="53CC6D0D"/>
    <w:rsid w:val="5483365B"/>
    <w:rsid w:val="55092741"/>
    <w:rsid w:val="55695102"/>
    <w:rsid w:val="55851D21"/>
    <w:rsid w:val="5616386A"/>
    <w:rsid w:val="56521514"/>
    <w:rsid w:val="573D0D1E"/>
    <w:rsid w:val="58377FDA"/>
    <w:rsid w:val="59987DAA"/>
    <w:rsid w:val="59D163EB"/>
    <w:rsid w:val="59EA62D9"/>
    <w:rsid w:val="59F66C97"/>
    <w:rsid w:val="5A3B51B8"/>
    <w:rsid w:val="5A893AA6"/>
    <w:rsid w:val="5AD938B8"/>
    <w:rsid w:val="5BC9593D"/>
    <w:rsid w:val="5C287DAD"/>
    <w:rsid w:val="5C682D84"/>
    <w:rsid w:val="5CE45D1A"/>
    <w:rsid w:val="5D164568"/>
    <w:rsid w:val="5D2E1FD7"/>
    <w:rsid w:val="5D79152F"/>
    <w:rsid w:val="5E647845"/>
    <w:rsid w:val="5F375940"/>
    <w:rsid w:val="5F4A6E1C"/>
    <w:rsid w:val="5F88708B"/>
    <w:rsid w:val="608C291C"/>
    <w:rsid w:val="60BF792E"/>
    <w:rsid w:val="61157FA2"/>
    <w:rsid w:val="63180EBA"/>
    <w:rsid w:val="6345787C"/>
    <w:rsid w:val="63627872"/>
    <w:rsid w:val="63801A9F"/>
    <w:rsid w:val="63817882"/>
    <w:rsid w:val="64056631"/>
    <w:rsid w:val="647C7FEC"/>
    <w:rsid w:val="64DC5C96"/>
    <w:rsid w:val="650819B0"/>
    <w:rsid w:val="65905268"/>
    <w:rsid w:val="659E7CA3"/>
    <w:rsid w:val="66B94FEC"/>
    <w:rsid w:val="67534B7C"/>
    <w:rsid w:val="67EF1C79"/>
    <w:rsid w:val="68152CBA"/>
    <w:rsid w:val="685564BC"/>
    <w:rsid w:val="69324654"/>
    <w:rsid w:val="699F3C1E"/>
    <w:rsid w:val="69E61A04"/>
    <w:rsid w:val="69F0017D"/>
    <w:rsid w:val="6A882C2A"/>
    <w:rsid w:val="6AA20B42"/>
    <w:rsid w:val="6B947450"/>
    <w:rsid w:val="6CD00150"/>
    <w:rsid w:val="6D065DC8"/>
    <w:rsid w:val="6D693643"/>
    <w:rsid w:val="6D800532"/>
    <w:rsid w:val="6E1448BA"/>
    <w:rsid w:val="6E1F7D0C"/>
    <w:rsid w:val="6E691A84"/>
    <w:rsid w:val="6EB97F3D"/>
    <w:rsid w:val="6FDF4FBE"/>
    <w:rsid w:val="7016405C"/>
    <w:rsid w:val="704F3E96"/>
    <w:rsid w:val="70EC10A0"/>
    <w:rsid w:val="71D061E1"/>
    <w:rsid w:val="723D48A4"/>
    <w:rsid w:val="727E0A39"/>
    <w:rsid w:val="72FD26BC"/>
    <w:rsid w:val="730640B0"/>
    <w:rsid w:val="73550BF6"/>
    <w:rsid w:val="73794A4E"/>
    <w:rsid w:val="73F92424"/>
    <w:rsid w:val="73FA4325"/>
    <w:rsid w:val="75752ABF"/>
    <w:rsid w:val="75902B4D"/>
    <w:rsid w:val="760F4C67"/>
    <w:rsid w:val="766C0721"/>
    <w:rsid w:val="76EC5505"/>
    <w:rsid w:val="77046061"/>
    <w:rsid w:val="77176EEC"/>
    <w:rsid w:val="782A0841"/>
    <w:rsid w:val="78EC099F"/>
    <w:rsid w:val="796557AF"/>
    <w:rsid w:val="796E1873"/>
    <w:rsid w:val="7B50298E"/>
    <w:rsid w:val="7BC81A57"/>
    <w:rsid w:val="7CA840AA"/>
    <w:rsid w:val="7D436089"/>
    <w:rsid w:val="7D954370"/>
    <w:rsid w:val="7E39762E"/>
    <w:rsid w:val="7E826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line="560" w:lineRule="exact"/>
      <w:jc w:val="center"/>
      <w:outlineLvl w:val="0"/>
    </w:pPr>
    <w:rPr>
      <w:rFonts w:eastAsia="方正小标宋简体" w:asciiTheme="minorAscii" w:hAnsiTheme="minorAscii"/>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styleId="4">
    <w:name w:val="Body Text"/>
    <w:basedOn w:val="1"/>
    <w:qFormat/>
    <w:uiPriority w:val="99"/>
    <w:pPr>
      <w:spacing w:after="120"/>
    </w:pPr>
    <w:rPr>
      <w:rFonts w:ascii="Times New Roman" w:hAnsi="Times New Roman"/>
      <w:kern w:val="0"/>
      <w:sz w:val="20"/>
      <w:szCs w:val="20"/>
    </w:rPr>
  </w:style>
  <w:style w:type="paragraph" w:styleId="5">
    <w:name w:val="Body Text Indent"/>
    <w:basedOn w:val="1"/>
    <w:next w:val="6"/>
    <w:qFormat/>
    <w:uiPriority w:val="0"/>
    <w:pPr>
      <w:spacing w:line="360" w:lineRule="auto"/>
      <w:ind w:firstLine="600" w:firstLineChars="200"/>
    </w:pPr>
    <w:rPr>
      <w:rFonts w:ascii="仿宋_GB2312" w:eastAsia="仿宋_GB2312"/>
      <w:bCs/>
      <w:sz w:val="30"/>
      <w:szCs w:val="20"/>
    </w:rPr>
  </w:style>
  <w:style w:type="paragraph" w:styleId="6">
    <w:name w:val="envelope return"/>
    <w:basedOn w:val="1"/>
    <w:qFormat/>
    <w:uiPriority w:val="0"/>
    <w:pPr>
      <w:snapToGrid w:val="0"/>
    </w:pPr>
    <w:rPr>
      <w:rFonts w:ascii="Arial" w:hAnsi="Arial"/>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Body Text First Indent 2"/>
    <w:basedOn w:val="5"/>
    <w:next w:val="1"/>
    <w:qFormat/>
    <w:uiPriority w:val="0"/>
    <w:pPr>
      <w:ind w:firstLine="420"/>
    </w:p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153</Words>
  <Characters>878</Characters>
  <Lines>7</Lines>
  <Paragraphs>2</Paragraphs>
  <TotalTime>79</TotalTime>
  <ScaleCrop>false</ScaleCrop>
  <LinksUpToDate>false</LinksUpToDate>
  <CharactersWithSpaces>1029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2020-10-12T01:26:00Z</dcterms:created>
  <dc:creator>Administrator</dc:creator>
  <cp:lastModifiedBy>TiMe</cp:lastModifiedBy>
  <cp:lastPrinted>2021-07-13T04:43:00Z</cp:lastPrinted>
  <dcterms:modified xsi:type="dcterms:W3CDTF">2021-07-20T09:40:37Z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2B4A7DAD6D0B45FB826597A35C31E952</vt:lpwstr>
  </property>
</Properties>
</file>