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jc w:val="center"/>
        <w:rPr>
          <w:rFonts w:ascii="Times New Roman" w:hAnsi="Times New Roman" w:eastAsia="黑体" w:cs="Times New Roman"/>
          <w:kern w:val="0"/>
          <w:sz w:val="32"/>
          <w:szCs w:val="32"/>
          <w:highlight w:val="none"/>
        </w:rPr>
      </w:pPr>
      <w:bookmarkStart w:id="139" w:name="_GoBack"/>
    </w:p>
    <w:p>
      <w:pPr>
        <w:wordWrap w:val="0"/>
        <w:spacing w:line="520" w:lineRule="exact"/>
        <w:jc w:val="center"/>
        <w:rPr>
          <w:rFonts w:ascii="Times New Roman" w:hAnsi="Times New Roman" w:eastAsia="黑体" w:cs="Times New Roman"/>
          <w:kern w:val="0"/>
          <w:sz w:val="32"/>
          <w:szCs w:val="32"/>
          <w:highlight w:val="none"/>
        </w:rPr>
      </w:pPr>
    </w:p>
    <w:p>
      <w:pPr>
        <w:wordWrap w:val="0"/>
        <w:jc w:val="center"/>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亳州交控集团2021年银行间市场</w:t>
      </w:r>
    </w:p>
    <w:p>
      <w:pPr>
        <w:wordWrap w:val="0"/>
        <w:jc w:val="center"/>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债务融资工具（中期票据）主承销商</w:t>
      </w:r>
    </w:p>
    <w:p>
      <w:pPr>
        <w:wordWrap w:val="0"/>
        <w:jc w:val="center"/>
        <w:rPr>
          <w:rFonts w:ascii="Times New Roman" w:hAnsi="Times New Roman" w:eastAsia="黑体" w:cs="Times New Roman"/>
          <w:kern w:val="0"/>
          <w:sz w:val="32"/>
          <w:szCs w:val="32"/>
          <w:highlight w:val="none"/>
        </w:rPr>
      </w:pPr>
    </w:p>
    <w:p>
      <w:pPr>
        <w:wordWrap w:val="0"/>
        <w:jc w:val="center"/>
        <w:rPr>
          <w:rFonts w:ascii="Times New Roman" w:hAnsi="Times New Roman" w:eastAsia="黑体" w:cs="Times New Roman"/>
          <w:kern w:val="0"/>
          <w:sz w:val="32"/>
          <w:szCs w:val="32"/>
          <w:highlight w:val="none"/>
        </w:rPr>
      </w:pP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招</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标</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文</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件</w:t>
      </w:r>
    </w:p>
    <w:p>
      <w:pPr>
        <w:wordWrap w:val="0"/>
        <w:jc w:val="center"/>
        <w:rPr>
          <w:rFonts w:ascii="Times New Roman" w:hAnsi="Times New Roman" w:eastAsia="楷体" w:cs="Times New Roman"/>
          <w:kern w:val="0"/>
          <w:sz w:val="28"/>
          <w:szCs w:val="28"/>
          <w:highlight w:val="none"/>
        </w:rPr>
      </w:pPr>
    </w:p>
    <w:p>
      <w:pPr>
        <w:wordWrap w:val="0"/>
        <w:jc w:val="center"/>
        <w:rPr>
          <w:rFonts w:ascii="Times New Roman" w:hAnsi="Times New Roman" w:eastAsia="楷体" w:cs="Times New Roman"/>
          <w:kern w:val="0"/>
          <w:sz w:val="28"/>
          <w:szCs w:val="28"/>
          <w:highlight w:val="none"/>
        </w:rPr>
      </w:pPr>
      <w:r>
        <w:rPr>
          <w:rFonts w:ascii="Times New Roman" w:hAnsi="Times New Roman" w:eastAsia="楷体" w:cs="Times New Roman"/>
          <w:kern w:val="0"/>
          <w:sz w:val="28"/>
          <w:szCs w:val="28"/>
          <w:highlight w:val="none"/>
        </w:rPr>
        <w:t>项目编号：BZJK-20</w:t>
      </w:r>
      <w:r>
        <w:rPr>
          <w:rFonts w:hint="eastAsia" w:ascii="Times New Roman" w:hAnsi="Times New Roman" w:eastAsia="楷体" w:cs="Times New Roman"/>
          <w:kern w:val="0"/>
          <w:sz w:val="28"/>
          <w:szCs w:val="28"/>
          <w:highlight w:val="none"/>
        </w:rPr>
        <w:t>21</w:t>
      </w:r>
      <w:r>
        <w:rPr>
          <w:rFonts w:ascii="Times New Roman" w:hAnsi="Times New Roman" w:eastAsia="楷体" w:cs="Times New Roman"/>
          <w:kern w:val="0"/>
          <w:sz w:val="28"/>
          <w:szCs w:val="28"/>
          <w:highlight w:val="none"/>
        </w:rPr>
        <w:t>-</w:t>
      </w:r>
      <w:r>
        <w:rPr>
          <w:rFonts w:hint="eastAsia" w:ascii="Times New Roman" w:hAnsi="Times New Roman" w:eastAsia="楷体" w:cs="Times New Roman"/>
          <w:kern w:val="0"/>
          <w:sz w:val="28"/>
          <w:szCs w:val="28"/>
          <w:highlight w:val="none"/>
        </w:rPr>
        <w:t>0</w:t>
      </w:r>
      <w:r>
        <w:rPr>
          <w:rFonts w:hint="eastAsia" w:ascii="Times New Roman" w:hAnsi="Times New Roman" w:eastAsia="楷体" w:cs="Times New Roman"/>
          <w:kern w:val="0"/>
          <w:sz w:val="28"/>
          <w:szCs w:val="28"/>
          <w:highlight w:val="none"/>
          <w:lang w:val="en-US" w:eastAsia="zh-CN"/>
        </w:rPr>
        <w:t>47</w:t>
      </w:r>
      <w:r>
        <w:rPr>
          <w:rFonts w:ascii="Times New Roman" w:hAnsi="Times New Roman" w:eastAsia="楷体" w:cs="Times New Roman"/>
          <w:kern w:val="0"/>
          <w:sz w:val="28"/>
          <w:szCs w:val="28"/>
          <w:highlight w:val="none"/>
        </w:rPr>
        <w:t>号</w:t>
      </w:r>
    </w:p>
    <w:p>
      <w:pPr>
        <w:wordWrap w:val="0"/>
        <w:rPr>
          <w:rFonts w:ascii="Times New Roman" w:hAnsi="Times New Roman" w:eastAsia="楷体" w:cs="Times New Roman"/>
          <w:kern w:val="0"/>
          <w:sz w:val="28"/>
          <w:szCs w:val="28"/>
          <w:highlight w:val="none"/>
        </w:rPr>
      </w:pPr>
    </w:p>
    <w:p>
      <w:pPr>
        <w:wordWrap w:val="0"/>
        <w:rPr>
          <w:rFonts w:ascii="Times New Roman" w:hAnsi="Times New Roman" w:eastAsia="楷体" w:cs="Times New Roman"/>
          <w:kern w:val="0"/>
          <w:sz w:val="32"/>
          <w:szCs w:val="32"/>
          <w:highlight w:val="none"/>
        </w:rPr>
      </w:pPr>
    </w:p>
    <w:p>
      <w:pPr>
        <w:wordWrap w:val="0"/>
        <w:ind w:left="1260" w:leftChars="600"/>
        <w:jc w:val="left"/>
        <w:rPr>
          <w:rFonts w:ascii="Times New Roman" w:hAnsi="Times New Roman" w:eastAsia="楷体" w:cs="Times New Roman"/>
          <w:kern w:val="0"/>
          <w:sz w:val="32"/>
          <w:szCs w:val="32"/>
          <w:highlight w:val="none"/>
        </w:rPr>
      </w:pPr>
      <w:r>
        <w:rPr>
          <w:rFonts w:ascii="Times New Roman" w:hAnsi="Times New Roman" w:eastAsia="楷体" w:cs="Times New Roman"/>
          <w:kern w:val="0"/>
          <w:sz w:val="32"/>
          <w:szCs w:val="32"/>
          <w:highlight w:val="none"/>
        </w:rPr>
        <w:t>招标单位：</w:t>
      </w:r>
      <w:r>
        <w:rPr>
          <w:rFonts w:hint="eastAsia" w:ascii="Times New Roman" w:hAnsi="Times New Roman" w:eastAsia="楷体" w:cs="Times New Roman"/>
          <w:kern w:val="0"/>
          <w:sz w:val="32"/>
          <w:szCs w:val="32"/>
          <w:highlight w:val="none"/>
        </w:rPr>
        <w:t>亳州交通投资控股集团有限公司</w:t>
      </w:r>
    </w:p>
    <w:p>
      <w:pPr>
        <w:wordWrap w:val="0"/>
        <w:ind w:left="1260" w:leftChars="600"/>
        <w:jc w:val="left"/>
        <w:rPr>
          <w:rFonts w:ascii="Times New Roman" w:hAnsi="Times New Roman" w:eastAsia="楷体" w:cs="Times New Roman"/>
          <w:kern w:val="0"/>
          <w:sz w:val="32"/>
          <w:szCs w:val="32"/>
          <w:highlight w:val="none"/>
        </w:rPr>
      </w:pPr>
      <w:r>
        <w:rPr>
          <w:rFonts w:ascii="Times New Roman" w:hAnsi="Times New Roman" w:eastAsia="楷体" w:cs="Times New Roman"/>
          <w:kern w:val="0"/>
          <w:sz w:val="32"/>
          <w:szCs w:val="32"/>
          <w:highlight w:val="none"/>
        </w:rPr>
        <w:t>编制日期：</w:t>
      </w:r>
      <w:r>
        <w:rPr>
          <w:rFonts w:hint="eastAsia" w:ascii="Times New Roman" w:hAnsi="Times New Roman" w:eastAsia="楷体" w:cs="Times New Roman"/>
          <w:kern w:val="0"/>
          <w:sz w:val="32"/>
          <w:szCs w:val="32"/>
          <w:highlight w:val="none"/>
        </w:rPr>
        <w:t>二〇二一年七月</w:t>
      </w:r>
    </w:p>
    <w:p>
      <w:pPr>
        <w:wordWrap w:val="0"/>
        <w:ind w:firstLine="1280" w:firstLineChars="400"/>
        <w:jc w:val="left"/>
        <w:rPr>
          <w:rFonts w:ascii="Times New Roman" w:hAnsi="Times New Roman" w:eastAsia="楷体" w:cs="Times New Roman"/>
          <w:kern w:val="0"/>
          <w:sz w:val="32"/>
          <w:szCs w:val="32"/>
          <w:highlight w:val="none"/>
        </w:rPr>
      </w:pPr>
      <w:r>
        <w:rPr>
          <w:rFonts w:ascii="Times New Roman" w:hAnsi="Times New Roman" w:eastAsia="楷体" w:cs="Times New Roman"/>
          <w:kern w:val="0"/>
          <w:sz w:val="32"/>
          <w:szCs w:val="32"/>
          <w:highlight w:val="none"/>
        </w:rPr>
        <w:br w:type="page"/>
      </w:r>
    </w:p>
    <w:p>
      <w:pPr>
        <w:wordWrap w:val="0"/>
        <w:jc w:val="center"/>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目录</w:t>
      </w:r>
    </w:p>
    <w:p>
      <w:pPr>
        <w:wordWrap w:val="0"/>
        <w:jc w:val="center"/>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第一章 招标公告.......................................................................1</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第二章 投标人须知...................................................................</w:t>
      </w:r>
      <w:r>
        <w:rPr>
          <w:rFonts w:hint="eastAsia" w:ascii="Times New Roman" w:hAnsi="Times New Roman" w:eastAsia="黑体" w:cs="Times New Roman"/>
          <w:kern w:val="0"/>
          <w:sz w:val="32"/>
          <w:szCs w:val="32"/>
          <w:highlight w:val="none"/>
        </w:rPr>
        <w:t>4</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第三章 评标办法</w:t>
      </w:r>
      <w:r>
        <w:rPr>
          <w:rFonts w:hint="eastAsia" w:ascii="Times New Roman" w:hAnsi="Times New Roman" w:eastAsia="黑体" w:cs="Times New Roman"/>
          <w:kern w:val="0"/>
          <w:sz w:val="32"/>
          <w:szCs w:val="32"/>
          <w:highlight w:val="none"/>
        </w:rPr>
        <w:t>（综合评估法）</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12</w:t>
      </w:r>
    </w:p>
    <w:p>
      <w:pPr>
        <w:wordWrap w:val="0"/>
        <w:rPr>
          <w:rFonts w:hint="default" w:ascii="Times New Roman" w:hAnsi="Times New Roman" w:eastAsia="黑体" w:cs="Times New Roman"/>
          <w:kern w:val="0"/>
          <w:sz w:val="32"/>
          <w:szCs w:val="32"/>
          <w:highlight w:val="none"/>
          <w:lang w:val="en-US" w:eastAsia="zh-CN"/>
        </w:rPr>
      </w:pPr>
      <w:r>
        <w:rPr>
          <w:rFonts w:ascii="Times New Roman" w:hAnsi="Times New Roman" w:eastAsia="黑体" w:cs="Times New Roman"/>
          <w:kern w:val="0"/>
          <w:sz w:val="32"/>
          <w:szCs w:val="32"/>
          <w:highlight w:val="none"/>
        </w:rPr>
        <w:t>第四章 合同条款及格式......................................</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lang w:val="en-US" w:eastAsia="zh-CN"/>
        </w:rPr>
        <w:t>20</w:t>
      </w:r>
    </w:p>
    <w:p>
      <w:pPr>
        <w:wordWrap w:val="0"/>
        <w:rPr>
          <w:rFonts w:hint="eastAsia" w:ascii="Times New Roman" w:hAnsi="Times New Roman" w:eastAsia="黑体" w:cs="Times New Roman"/>
          <w:kern w:val="0"/>
          <w:sz w:val="32"/>
          <w:szCs w:val="32"/>
          <w:highlight w:val="none"/>
          <w:lang w:eastAsia="zh-CN"/>
        </w:rPr>
      </w:pPr>
      <w:r>
        <w:rPr>
          <w:rFonts w:ascii="Times New Roman" w:hAnsi="Times New Roman" w:eastAsia="黑体" w:cs="Times New Roman"/>
          <w:kern w:val="0"/>
          <w:sz w:val="32"/>
          <w:szCs w:val="32"/>
          <w:highlight w:val="none"/>
        </w:rPr>
        <w:t>第</w:t>
      </w:r>
      <w:r>
        <w:rPr>
          <w:rFonts w:hint="eastAsia" w:ascii="Times New Roman" w:hAnsi="Times New Roman" w:eastAsia="黑体" w:cs="Times New Roman"/>
          <w:kern w:val="0"/>
          <w:sz w:val="32"/>
          <w:szCs w:val="32"/>
          <w:highlight w:val="none"/>
        </w:rPr>
        <w:t>五</w:t>
      </w:r>
      <w:r>
        <w:rPr>
          <w:rFonts w:ascii="Times New Roman" w:hAnsi="Times New Roman" w:eastAsia="黑体" w:cs="Times New Roman"/>
          <w:kern w:val="0"/>
          <w:sz w:val="32"/>
          <w:szCs w:val="32"/>
          <w:highlight w:val="none"/>
        </w:rPr>
        <w:t xml:space="preserve">章 </w:t>
      </w:r>
      <w:r>
        <w:rPr>
          <w:rFonts w:hint="eastAsia" w:ascii="Times New Roman" w:hAnsi="Times New Roman" w:eastAsia="黑体" w:cs="Times New Roman"/>
          <w:kern w:val="0"/>
          <w:sz w:val="32"/>
          <w:szCs w:val="32"/>
          <w:highlight w:val="none"/>
        </w:rPr>
        <w:t>投标文件格式</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2</w:t>
      </w:r>
      <w:r>
        <w:rPr>
          <w:rFonts w:hint="eastAsia" w:ascii="Times New Roman" w:hAnsi="Times New Roman" w:eastAsia="黑体" w:cs="Times New Roman"/>
          <w:kern w:val="0"/>
          <w:sz w:val="32"/>
          <w:szCs w:val="32"/>
          <w:highlight w:val="none"/>
          <w:lang w:val="en-US" w:eastAsia="zh-CN"/>
        </w:rPr>
        <w:t>1</w:t>
      </w:r>
    </w:p>
    <w:p>
      <w:pPr>
        <w:wordWrap w:val="0"/>
        <w:rPr>
          <w:rFonts w:ascii="Times New Roman" w:hAnsi="Times New Roman" w:eastAsia="黑体" w:cs="Times New Roman"/>
          <w:kern w:val="0"/>
          <w:sz w:val="32"/>
          <w:szCs w:val="32"/>
          <w:highlight w:val="none"/>
        </w:rPr>
      </w:pPr>
    </w:p>
    <w:p>
      <w:pPr>
        <w:wordWrap w:val="0"/>
        <w:spacing w:line="400" w:lineRule="exact"/>
        <w:jc w:val="center"/>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520" w:lineRule="exact"/>
        <w:ind w:firstLine="1280" w:firstLineChars="400"/>
        <w:jc w:val="left"/>
        <w:rPr>
          <w:rFonts w:ascii="Times New Roman" w:hAnsi="Times New Roman" w:eastAsia="仿宋_GB2312" w:cs="Times New Roman"/>
          <w:kern w:val="0"/>
          <w:sz w:val="32"/>
          <w:szCs w:val="32"/>
          <w:highlight w:val="none"/>
        </w:rPr>
      </w:pPr>
    </w:p>
    <w:p>
      <w:pPr>
        <w:wordWrap w:val="0"/>
        <w:spacing w:line="520" w:lineRule="exact"/>
        <w:jc w:val="center"/>
        <w:rPr>
          <w:rFonts w:ascii="Times New Roman" w:hAnsi="Times New Roman" w:eastAsia="仿宋_GB2312" w:cs="Times New Roman"/>
          <w:kern w:val="0"/>
          <w:sz w:val="32"/>
          <w:szCs w:val="32"/>
          <w:highlight w:val="none"/>
        </w:rPr>
        <w:sectPr>
          <w:footerReference r:id="rId3" w:type="default"/>
          <w:pgSz w:w="11906" w:h="16838"/>
          <w:pgMar w:top="1440" w:right="1800" w:bottom="1440" w:left="1800" w:header="851" w:footer="992" w:gutter="0"/>
          <w:pgNumType w:fmt="numberInDash" w:start="1"/>
          <w:cols w:space="0" w:num="1"/>
          <w:docGrid w:type="lines" w:linePitch="312" w:charSpace="0"/>
        </w:sectPr>
      </w:pPr>
    </w:p>
    <w:p>
      <w:pPr>
        <w:wordWrap w:val="0"/>
        <w:spacing w:line="480" w:lineRule="exact"/>
        <w:jc w:val="cente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第一章 招标公告</w:t>
      </w:r>
    </w:p>
    <w:p>
      <w:pPr>
        <w:wordWrap w:val="0"/>
        <w:spacing w:line="480" w:lineRule="exact"/>
        <w:ind w:firstLine="560" w:firstLineChars="200"/>
        <w:rPr>
          <w:rFonts w:ascii="Times New Roman" w:hAnsi="Times New Roman" w:eastAsia="仿宋_GB2312" w:cs="Times New Roman"/>
          <w:sz w:val="28"/>
          <w:szCs w:val="28"/>
          <w:highlight w:val="none"/>
        </w:rPr>
      </w:pPr>
    </w:p>
    <w:p>
      <w:pPr>
        <w:wordWrap w:val="0"/>
        <w:spacing w:line="480" w:lineRule="exact"/>
        <w:jc w:val="center"/>
        <w:rPr>
          <w:rFonts w:hint="eastAsia" w:ascii="Times New Roman" w:hAnsi="Times New Roman" w:eastAsia="黑体" w:cs="Times New Roman"/>
          <w:sz w:val="28"/>
          <w:szCs w:val="28"/>
          <w:highlight w:val="none"/>
          <w:u w:val="single"/>
        </w:rPr>
      </w:pPr>
      <w:r>
        <w:rPr>
          <w:rFonts w:hint="eastAsia" w:ascii="Times New Roman" w:hAnsi="Times New Roman" w:eastAsia="黑体" w:cs="Times New Roman"/>
          <w:sz w:val="28"/>
          <w:szCs w:val="28"/>
          <w:highlight w:val="none"/>
          <w:u w:val="single"/>
        </w:rPr>
        <w:t>亳州交控集团2021年银行间市场</w:t>
      </w:r>
    </w:p>
    <w:p>
      <w:pPr>
        <w:wordWrap w:val="0"/>
        <w:spacing w:line="480" w:lineRule="exact"/>
        <w:jc w:val="center"/>
        <w:rPr>
          <w:rFonts w:ascii="黑体" w:hAnsi="黑体" w:eastAsia="黑体" w:cs="黑体"/>
          <w:sz w:val="28"/>
          <w:szCs w:val="28"/>
          <w:highlight w:val="none"/>
        </w:rPr>
      </w:pPr>
      <w:r>
        <w:rPr>
          <w:rFonts w:hint="eastAsia" w:ascii="Times New Roman" w:hAnsi="Times New Roman" w:eastAsia="黑体" w:cs="Times New Roman"/>
          <w:sz w:val="28"/>
          <w:szCs w:val="28"/>
          <w:highlight w:val="none"/>
          <w:u w:val="single"/>
        </w:rPr>
        <w:t>债务融资工具（中期票据）主承销商</w:t>
      </w:r>
      <w:r>
        <w:rPr>
          <w:rFonts w:hint="eastAsia" w:ascii="Times New Roman" w:hAnsi="Times New Roman" w:eastAsia="黑体" w:cs="Times New Roman"/>
          <w:sz w:val="28"/>
          <w:szCs w:val="28"/>
          <w:highlight w:val="none"/>
        </w:rPr>
        <w:t>招标公告</w:t>
      </w:r>
    </w:p>
    <w:p>
      <w:pPr>
        <w:wordWrap w:val="0"/>
        <w:spacing w:line="480" w:lineRule="exact"/>
        <w:ind w:firstLine="560" w:firstLineChars="200"/>
        <w:rPr>
          <w:rFonts w:ascii="Times New Roman" w:hAnsi="Times New Roman" w:eastAsia="仿宋_GB2312" w:cs="Times New Roman"/>
          <w:sz w:val="28"/>
          <w:szCs w:val="28"/>
          <w:highlight w:val="none"/>
        </w:rPr>
      </w:pPr>
      <w:bookmarkStart w:id="0" w:name="_Toc296602410"/>
      <w:bookmarkStart w:id="1" w:name="_Toc144974487"/>
      <w:bookmarkStart w:id="2" w:name="_Toc152042295"/>
      <w:bookmarkStart w:id="3" w:name="_Toc246996166"/>
      <w:bookmarkStart w:id="4" w:name="_Toc247085680"/>
      <w:bookmarkStart w:id="5" w:name="_Toc179632536"/>
      <w:bookmarkStart w:id="6" w:name="_Toc152045519"/>
      <w:bookmarkStart w:id="7" w:name="_Toc246996909"/>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黑体" w:hAnsi="黑体" w:eastAsia="黑体" w:cs="黑体"/>
          <w:sz w:val="28"/>
          <w:szCs w:val="28"/>
          <w:highlight w:val="none"/>
        </w:rPr>
        <w:t>一、招标条件</w:t>
      </w:r>
      <w:bookmarkEnd w:id="0"/>
      <w:bookmarkEnd w:id="1"/>
      <w:bookmarkEnd w:id="2"/>
      <w:bookmarkEnd w:id="3"/>
      <w:bookmarkEnd w:id="4"/>
      <w:bookmarkEnd w:id="5"/>
      <w:bookmarkEnd w:id="6"/>
      <w:bookmarkEnd w:id="7"/>
      <w:r>
        <w:rPr>
          <w:rFonts w:ascii="Times New Roman" w:hAnsi="Times New Roman" w:eastAsia="仿宋_GB2312" w:cs="Times New Roman"/>
          <w:sz w:val="28"/>
          <w:szCs w:val="28"/>
          <w:highlight w:val="none"/>
        </w:rPr>
        <w:tab/>
      </w:r>
    </w:p>
    <w:p>
      <w:pPr>
        <w:wordWrap w:val="0"/>
        <w:spacing w:line="480" w:lineRule="exact"/>
        <w:ind w:firstLine="560" w:firstLineChars="200"/>
        <w:rPr>
          <w:rFonts w:ascii="Times New Roman" w:hAnsi="Times New Roman" w:eastAsia="仿宋_GB2312" w:cs="Times New Roman"/>
          <w:sz w:val="28"/>
          <w:szCs w:val="28"/>
          <w:highlight w:val="none"/>
        </w:rPr>
      </w:pPr>
      <w:bookmarkStart w:id="8" w:name="_Toc246996910"/>
      <w:bookmarkStart w:id="9" w:name="_Toc246996167"/>
      <w:bookmarkStart w:id="10" w:name="_Toc152042296"/>
      <w:bookmarkStart w:id="11" w:name="_Toc179632537"/>
      <w:bookmarkStart w:id="12" w:name="_Toc296602411"/>
      <w:bookmarkStart w:id="13" w:name="_Toc144974488"/>
      <w:bookmarkStart w:id="14" w:name="_Toc247085681"/>
      <w:bookmarkStart w:id="15" w:name="_Toc152045520"/>
      <w:r>
        <w:rPr>
          <w:rFonts w:ascii="Times New Roman" w:hAnsi="Times New Roman" w:eastAsia="仿宋_GB2312" w:cs="Times New Roman"/>
          <w:sz w:val="28"/>
          <w:szCs w:val="28"/>
          <w:highlight w:val="none"/>
        </w:rPr>
        <w:t>本招标项目为</w:t>
      </w:r>
      <w:r>
        <w:rPr>
          <w:rFonts w:hint="eastAsia" w:ascii="Times New Roman" w:hAnsi="Times New Roman" w:eastAsia="仿宋_GB2312" w:cs="Times New Roman"/>
          <w:sz w:val="28"/>
          <w:szCs w:val="28"/>
          <w:highlight w:val="none"/>
          <w:u w:val="single"/>
        </w:rPr>
        <w:t>亳州交控集团2021年银行间市场债务融资工具（中期票据）主承销商</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21</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rPr>
        <w:t>0</w:t>
      </w:r>
      <w:r>
        <w:rPr>
          <w:rFonts w:hint="eastAsia" w:ascii="Times New Roman" w:hAnsi="Times New Roman" w:eastAsia="仿宋_GB2312" w:cs="Times New Roman"/>
          <w:sz w:val="28"/>
          <w:szCs w:val="28"/>
          <w:highlight w:val="none"/>
          <w:u w:val="single"/>
          <w:lang w:val="en-US" w:eastAsia="zh-CN"/>
        </w:rPr>
        <w:t>47</w:t>
      </w:r>
      <w:r>
        <w:rPr>
          <w:rFonts w:ascii="Times New Roman" w:hAnsi="Times New Roman" w:eastAsia="仿宋_GB2312" w:cs="Times New Roman"/>
          <w:sz w:val="28"/>
          <w:szCs w:val="28"/>
          <w:highlight w:val="none"/>
          <w:u w:val="single"/>
        </w:rPr>
        <w:t>号）</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rPr>
        <w:t>亳州交通投资控股集团有限公司</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，出资比例为</w:t>
      </w:r>
      <w:r>
        <w:rPr>
          <w:rFonts w:hint="eastAsia" w:ascii="Times New Roman" w:hAnsi="Times New Roman" w:eastAsia="仿宋_GB2312" w:cs="Times New Roman"/>
          <w:sz w:val="28"/>
          <w:szCs w:val="28"/>
          <w:highlight w:val="none"/>
          <w:u w:val="single"/>
        </w:rPr>
        <w:t>100%</w:t>
      </w:r>
      <w:r>
        <w:rPr>
          <w:rFonts w:hint="eastAsia" w:ascii="Times New Roman" w:hAnsi="Times New Roman" w:eastAsia="仿宋_GB2312" w:cs="Times New Roman"/>
          <w:sz w:val="28"/>
          <w:szCs w:val="28"/>
          <w:highlight w:val="none"/>
        </w:rPr>
        <w:t>，</w:t>
      </w:r>
      <w:r>
        <w:rPr>
          <w:rFonts w:ascii="Times New Roman" w:hAnsi="Times New Roman" w:eastAsia="仿宋_GB2312" w:cs="Times New Roman"/>
          <w:sz w:val="28"/>
          <w:szCs w:val="28"/>
          <w:highlight w:val="none"/>
        </w:rPr>
        <w:t>招标人为</w:t>
      </w:r>
      <w:r>
        <w:rPr>
          <w:rFonts w:hint="eastAsia" w:ascii="Times New Roman" w:hAnsi="Times New Roman" w:eastAsia="仿宋_GB2312" w:cs="Times New Roman"/>
          <w:sz w:val="28"/>
          <w:szCs w:val="28"/>
          <w:highlight w:val="none"/>
          <w:u w:val="single"/>
        </w:rPr>
        <w:t>亳州交通投资控股集团有限公司</w:t>
      </w:r>
      <w:r>
        <w:rPr>
          <w:rFonts w:ascii="Times New Roman" w:hAnsi="Times New Roman" w:eastAsia="仿宋_GB2312" w:cs="Times New Roman"/>
          <w:sz w:val="28"/>
          <w:szCs w:val="28"/>
          <w:highlight w:val="none"/>
        </w:rPr>
        <w:t>。项目已具备招标条件，现对该项目进行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wordWrap w:val="0"/>
        <w:spacing w:line="480" w:lineRule="exact"/>
        <w:ind w:firstLine="560" w:firstLineChars="200"/>
        <w:rPr>
          <w:rFonts w:ascii="黑体" w:hAnsi="黑体" w:eastAsia="黑体" w:cs="黑体"/>
          <w:sz w:val="28"/>
          <w:szCs w:val="28"/>
          <w:highlight w:val="none"/>
        </w:rPr>
      </w:pPr>
      <w:r>
        <w:rPr>
          <w:rFonts w:ascii="黑体" w:hAnsi="黑体" w:eastAsia="黑体" w:cs="黑体"/>
          <w:sz w:val="28"/>
          <w:szCs w:val="28"/>
          <w:highlight w:val="none"/>
        </w:rPr>
        <w:t>二、项目概况与招标范围</w:t>
      </w:r>
      <w:bookmarkEnd w:id="8"/>
      <w:bookmarkEnd w:id="9"/>
      <w:bookmarkEnd w:id="10"/>
      <w:bookmarkEnd w:id="11"/>
      <w:bookmarkEnd w:id="12"/>
      <w:bookmarkEnd w:id="13"/>
      <w:bookmarkEnd w:id="14"/>
      <w:bookmarkEnd w:id="15"/>
    </w:p>
    <w:p>
      <w:pPr>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（一）项目概况：</w:t>
      </w:r>
      <w:r>
        <w:rPr>
          <w:rFonts w:hint="eastAsia" w:ascii="Times New Roman" w:hAnsi="Times New Roman" w:eastAsia="仿宋_GB2312" w:cs="Times New Roman"/>
          <w:sz w:val="28"/>
          <w:szCs w:val="28"/>
          <w:highlight w:val="none"/>
          <w:lang w:val="en-US" w:eastAsia="zh-CN"/>
        </w:rPr>
        <w:t>亳州交通投资控股集团有限公司</w:t>
      </w:r>
      <w:r>
        <w:rPr>
          <w:rFonts w:hint="eastAsia" w:ascii="Times New Roman" w:hAnsi="Times New Roman" w:eastAsia="仿宋_GB2312" w:cs="Times New Roman"/>
          <w:sz w:val="28"/>
          <w:szCs w:val="28"/>
          <w:highlight w:val="none"/>
        </w:rPr>
        <w:t>为2017年8月经亳州市政府批准成立的市属独资大型国有企业，经营范围涵盖交通基础设施（高速公路）建设、建筑施工、建材供应、商业运营、汽车服务、公共交通、环保科技、港口建设等业务板块。</w:t>
      </w:r>
    </w:p>
    <w:p>
      <w:pPr>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（二）招标范围：招标人拟注册发行总额不超过10亿元的中期票据（MTN），发行期限不超过5年，最终以实际注册金额及期限为准，募集资金主要用途为补充</w:t>
      </w:r>
      <w:r>
        <w:rPr>
          <w:rFonts w:hint="eastAsia" w:ascii="Times New Roman" w:hAnsi="Times New Roman" w:eastAsia="仿宋_GB2312" w:cs="Times New Roman"/>
          <w:sz w:val="28"/>
          <w:szCs w:val="28"/>
          <w:highlight w:val="none"/>
        </w:rPr>
        <w:t>项目资本金</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承销方式为余额包销。</w:t>
      </w:r>
    </w:p>
    <w:p>
      <w:pPr>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主承销商须组织中介机构设计发行方案、制作申报材料、推进债务融资工具的注册、组织承销团承销，并配合发行人完成银行间市场债务融资工具的发行及后续管理等工作。</w:t>
      </w: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（三）服务期限：自投标人收到中标通知书之日起，至本期债务融资工具（中期票据）全部兑付完毕之日止。</w:t>
      </w: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（四）质量标准：符合国家、地方、行业现行相关规范合格标准。</w:t>
      </w:r>
    </w:p>
    <w:p>
      <w:pPr>
        <w:wordWrap w:val="0"/>
        <w:spacing w:line="480" w:lineRule="exact"/>
        <w:ind w:firstLine="560" w:firstLineChars="200"/>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rPr>
        <w:t>（五）最高投标限价：投标人以</w:t>
      </w:r>
      <w:r>
        <w:rPr>
          <w:rFonts w:hint="eastAsia" w:ascii="Times New Roman" w:hAnsi="Times New Roman" w:eastAsia="仿宋_GB2312" w:cs="Times New Roman"/>
          <w:sz w:val="28"/>
          <w:szCs w:val="28"/>
          <w:highlight w:val="none"/>
          <w:u w:val="single"/>
        </w:rPr>
        <w:t>本期债务融资工具最终</w:t>
      </w:r>
      <w:r>
        <w:rPr>
          <w:rFonts w:hint="eastAsia" w:ascii="Times New Roman" w:hAnsi="Times New Roman" w:eastAsia="仿宋_GB2312" w:cs="Times New Roman"/>
          <w:sz w:val="28"/>
          <w:szCs w:val="28"/>
          <w:highlight w:val="none"/>
          <w:u w:val="single"/>
          <w:lang w:val="en-US" w:eastAsia="zh-CN"/>
        </w:rPr>
        <w:t>实际发行</w:t>
      </w:r>
      <w:r>
        <w:rPr>
          <w:rFonts w:hint="eastAsia" w:ascii="Times New Roman" w:hAnsi="Times New Roman" w:eastAsia="仿宋_GB2312" w:cs="Times New Roman"/>
          <w:sz w:val="28"/>
          <w:szCs w:val="28"/>
          <w:highlight w:val="none"/>
          <w:u w:val="single"/>
        </w:rPr>
        <w:t>金额</w:t>
      </w:r>
      <w:r>
        <w:rPr>
          <w:rFonts w:hint="eastAsia" w:ascii="Times New Roman" w:hAnsi="Times New Roman" w:eastAsia="仿宋_GB2312" w:cs="Times New Roman"/>
          <w:sz w:val="28"/>
          <w:szCs w:val="28"/>
          <w:highlight w:val="none"/>
        </w:rPr>
        <w:t>为基准，按</w:t>
      </w:r>
      <w:r>
        <w:rPr>
          <w:rFonts w:hint="eastAsia" w:ascii="Times New Roman" w:hAnsi="Times New Roman" w:eastAsia="仿宋_GB2312" w:cs="Times New Roman"/>
          <w:sz w:val="28"/>
          <w:szCs w:val="28"/>
          <w:highlight w:val="none"/>
          <w:u w:val="single"/>
        </w:rPr>
        <w:t>固定费率（含税）</w:t>
      </w:r>
      <w:r>
        <w:rPr>
          <w:rFonts w:hint="eastAsia" w:ascii="Times New Roman" w:hAnsi="Times New Roman" w:eastAsia="仿宋_GB2312" w:cs="Times New Roman"/>
          <w:sz w:val="28"/>
          <w:szCs w:val="28"/>
          <w:highlight w:val="none"/>
        </w:rPr>
        <w:t>报价，最高投标限价为</w:t>
      </w:r>
      <w:r>
        <w:rPr>
          <w:rFonts w:ascii="Times New Roman" w:hAnsi="Times New Roman" w:eastAsia="仿宋_GB2312" w:cs="Times New Roman"/>
          <w:sz w:val="28"/>
          <w:szCs w:val="28"/>
          <w:highlight w:val="none"/>
          <w:u w:val="single"/>
        </w:rPr>
        <w:t>基准</w:t>
      </w:r>
      <w:r>
        <w:rPr>
          <w:rFonts w:hint="eastAsia" w:ascii="Times New Roman" w:hAnsi="Times New Roman" w:eastAsia="仿宋_GB2312" w:cs="Times New Roman"/>
          <w:sz w:val="28"/>
          <w:szCs w:val="28"/>
          <w:highlight w:val="none"/>
          <w:u w:val="single"/>
        </w:rPr>
        <w:t>价</w:t>
      </w:r>
      <w:r>
        <w:rPr>
          <w:rFonts w:ascii="Times New Roman" w:hAnsi="Times New Roman" w:eastAsia="仿宋_GB2312" w:cs="Times New Roman"/>
          <w:sz w:val="28"/>
          <w:szCs w:val="28"/>
          <w:highlight w:val="none"/>
          <w:u w:val="single"/>
        </w:rPr>
        <w:t>的</w:t>
      </w:r>
      <w:r>
        <w:rPr>
          <w:rFonts w:hint="eastAsia" w:ascii="Times New Roman" w:hAnsi="Times New Roman" w:eastAsia="仿宋_GB2312" w:cs="Times New Roman"/>
          <w:sz w:val="28"/>
          <w:szCs w:val="28"/>
          <w:highlight w:val="none"/>
          <w:u w:val="single"/>
          <w:lang w:val="en-US" w:eastAsia="zh-CN"/>
        </w:rPr>
        <w:t>1</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rPr>
        <w:t>每年</w:t>
      </w:r>
      <w:r>
        <w:rPr>
          <w:rFonts w:hint="eastAsia" w:ascii="Times New Roman" w:hAnsi="Times New Roman" w:eastAsia="仿宋_GB2312" w:cs="Times New Roman"/>
          <w:sz w:val="28"/>
          <w:szCs w:val="28"/>
          <w:highlight w:val="none"/>
        </w:rPr>
        <w:t>。投标报价超出限价或低于其成本价的按无效投标处理；</w:t>
      </w:r>
      <w:r>
        <w:rPr>
          <w:rFonts w:hint="eastAsia" w:ascii="Times New Roman" w:hAnsi="Times New Roman" w:eastAsia="仿宋_GB2312" w:cs="Times New Roman"/>
          <w:sz w:val="28"/>
          <w:szCs w:val="28"/>
          <w:highlight w:val="none"/>
          <w:lang w:val="en-US" w:eastAsia="zh-CN"/>
        </w:rPr>
        <w:t>除律师事务所、会计师事务所、评级机构等中介机构的服务费用外，</w:t>
      </w:r>
      <w:r>
        <w:rPr>
          <w:rFonts w:hint="eastAsia" w:ascii="Times New Roman" w:hAnsi="Times New Roman" w:eastAsia="仿宋_GB2312" w:cs="Times New Roman"/>
          <w:sz w:val="28"/>
          <w:szCs w:val="28"/>
          <w:highlight w:val="none"/>
        </w:rPr>
        <w:t>投标报价应包括为完成本招标项目各阶段工作内容以及后期服务所需的全部费用及税金</w:t>
      </w:r>
      <w:r>
        <w:rPr>
          <w:rFonts w:hint="eastAsia" w:ascii="Times New Roman" w:hAnsi="Times New Roman" w:eastAsia="仿宋_GB2312" w:cs="Times New Roman"/>
          <w:sz w:val="28"/>
          <w:szCs w:val="28"/>
          <w:highlight w:val="none"/>
          <w:lang w:eastAsia="zh-CN"/>
        </w:rPr>
        <w:t>。</w:t>
      </w:r>
    </w:p>
    <w:p>
      <w:pPr>
        <w:wordWrap w:val="0"/>
        <w:spacing w:line="480" w:lineRule="exact"/>
        <w:ind w:firstLine="560" w:firstLineChars="200"/>
        <w:rPr>
          <w:rFonts w:ascii="黑体" w:hAnsi="黑体" w:eastAsia="黑体" w:cs="黑体"/>
          <w:sz w:val="28"/>
          <w:szCs w:val="28"/>
          <w:highlight w:val="none"/>
        </w:rPr>
      </w:pPr>
      <w:r>
        <w:rPr>
          <w:rFonts w:hint="eastAsia" w:ascii="黑体" w:hAnsi="黑体" w:eastAsia="黑体" w:cs="黑体"/>
          <w:sz w:val="28"/>
          <w:szCs w:val="28"/>
          <w:highlight w:val="none"/>
        </w:rPr>
        <w:t>三、投标人资格要求</w:t>
      </w:r>
    </w:p>
    <w:p>
      <w:pPr>
        <w:wordWrap w:val="0"/>
        <w:spacing w:line="48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（一）</w:t>
      </w:r>
      <w:r>
        <w:rPr>
          <w:rFonts w:hint="eastAsia" w:ascii="Times New Roman" w:hAnsi="Times New Roman" w:eastAsia="仿宋_GB2312" w:cs="Times New Roman"/>
          <w:sz w:val="28"/>
          <w:szCs w:val="28"/>
          <w:highlight w:val="none"/>
        </w:rPr>
        <w:t>本次招标要求投标人须是中国境内合法经营的银行并具备银行间市场交易商协会A类主承销商资质。投标人可授权委托其省级及以上分支机构进行投标，履行中标后合同签订、履约等相关事宜；</w:t>
      </w: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（二）本次招标</w:t>
      </w:r>
      <w:r>
        <w:rPr>
          <w:rFonts w:hint="eastAsia" w:ascii="Times New Roman" w:hAnsi="Times New Roman" w:eastAsia="仿宋_GB2312" w:cs="Times New Roman"/>
          <w:sz w:val="28"/>
          <w:szCs w:val="28"/>
          <w:highlight w:val="none"/>
          <w:u w:val="single"/>
        </w:rPr>
        <w:t>接受</w:t>
      </w:r>
      <w:r>
        <w:rPr>
          <w:rFonts w:hint="eastAsia" w:ascii="Times New Roman" w:hAnsi="Times New Roman" w:eastAsia="仿宋_GB2312" w:cs="Times New Roman"/>
          <w:sz w:val="28"/>
          <w:szCs w:val="28"/>
          <w:highlight w:val="none"/>
        </w:rPr>
        <w:t>联合体投标。联合体投标的，应满足下列要求：联合体应由至多2家单位组成，且银行作为联合体牵头人。联合体成员可以是券商，也可以是银行。</w:t>
      </w:r>
    </w:p>
    <w:p>
      <w:pPr>
        <w:wordWrap w:val="0"/>
        <w:spacing w:line="480" w:lineRule="exact"/>
        <w:ind w:firstLine="560" w:firstLineChars="200"/>
        <w:rPr>
          <w:rFonts w:ascii="黑体" w:hAnsi="黑体" w:eastAsia="黑体" w:cs="黑体"/>
          <w:sz w:val="28"/>
          <w:szCs w:val="28"/>
          <w:highlight w:val="none"/>
        </w:rPr>
      </w:pPr>
      <w:r>
        <w:rPr>
          <w:rFonts w:hint="eastAsia" w:ascii="黑体" w:hAnsi="黑体" w:eastAsia="黑体" w:cs="黑体"/>
          <w:sz w:val="28"/>
          <w:szCs w:val="28"/>
          <w:highlight w:val="none"/>
        </w:rPr>
        <w:t>四、招标文件的获取</w:t>
      </w:r>
    </w:p>
    <w:p>
      <w:pPr>
        <w:wordWrap w:val="0"/>
        <w:spacing w:line="48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rPr>
        <w:t>或安徽省招标投标信息网（www.ahtba.org.cn）</w:t>
      </w:r>
      <w:r>
        <w:rPr>
          <w:rFonts w:ascii="Times New Roman" w:hAnsi="Times New Roman" w:eastAsia="仿宋_GB2312" w:cs="Times New Roman"/>
          <w:sz w:val="28"/>
          <w:szCs w:val="28"/>
          <w:highlight w:val="none"/>
        </w:rPr>
        <w:t>自行下载电子招标文件及其他附件。</w:t>
      </w:r>
    </w:p>
    <w:p>
      <w:pPr>
        <w:wordWrap w:val="0"/>
        <w:spacing w:line="480" w:lineRule="exact"/>
        <w:ind w:firstLine="560" w:firstLineChars="200"/>
        <w:rPr>
          <w:rFonts w:ascii="黑体" w:hAnsi="黑体" w:eastAsia="黑体" w:cs="黑体"/>
          <w:sz w:val="28"/>
          <w:szCs w:val="28"/>
          <w:highlight w:val="none"/>
        </w:rPr>
      </w:pPr>
      <w:r>
        <w:rPr>
          <w:rFonts w:hint="eastAsia" w:ascii="黑体" w:hAnsi="黑体" w:eastAsia="黑体" w:cs="黑体"/>
          <w:sz w:val="28"/>
          <w:szCs w:val="28"/>
          <w:highlight w:val="none"/>
        </w:rPr>
        <w:t>五、投标文件的递交</w:t>
      </w:r>
    </w:p>
    <w:p>
      <w:pPr>
        <w:spacing w:line="48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（一）</w:t>
      </w:r>
      <w:r>
        <w:rPr>
          <w:rFonts w:hint="eastAsia" w:ascii="Times New Roman" w:hAnsi="Times New Roman" w:eastAsia="仿宋_GB2312" w:cs="Times New Roman"/>
          <w:sz w:val="28"/>
          <w:szCs w:val="28"/>
          <w:highlight w:val="none"/>
        </w:rPr>
        <w:t>投标</w:t>
      </w:r>
      <w:r>
        <w:rPr>
          <w:rFonts w:ascii="Times New Roman" w:hAnsi="Times New Roman" w:eastAsia="仿宋_GB2312" w:cs="Times New Roman"/>
          <w:sz w:val="28"/>
          <w:szCs w:val="28"/>
          <w:highlight w:val="none"/>
        </w:rPr>
        <w:t>文件递交的截止时间（投标截止时间，下同）为</w:t>
      </w:r>
      <w:r>
        <w:rPr>
          <w:rFonts w:hint="eastAsia" w:ascii="Times New Roman" w:hAnsi="Times New Roman" w:eastAsia="仿宋_GB2312" w:cs="Times New Roman"/>
          <w:sz w:val="28"/>
          <w:szCs w:val="28"/>
          <w:highlight w:val="none"/>
          <w:u w:val="single"/>
        </w:rPr>
        <w:t>2021</w:t>
      </w:r>
      <w:r>
        <w:rPr>
          <w:rFonts w:hint="eastAsia" w:ascii="Times New Roman" w:hAnsi="Times New Roman" w:eastAsia="仿宋_GB2312" w:cs="Times New Roman"/>
          <w:sz w:val="28"/>
          <w:szCs w:val="28"/>
          <w:highlight w:val="none"/>
        </w:rPr>
        <w:t>年</w:t>
      </w:r>
      <w:r>
        <w:rPr>
          <w:rFonts w:hint="eastAsia" w:ascii="Times New Roman" w:hAnsi="Times New Roman" w:eastAsia="仿宋_GB2312" w:cs="Times New Roman"/>
          <w:sz w:val="28"/>
          <w:szCs w:val="28"/>
          <w:highlight w:val="none"/>
          <w:u w:val="single"/>
        </w:rPr>
        <w:t>7</w:t>
      </w:r>
      <w:r>
        <w:rPr>
          <w:rFonts w:hint="eastAsia" w:ascii="Times New Roman" w:hAnsi="Times New Roman" w:eastAsia="仿宋_GB2312" w:cs="Times New Roman"/>
          <w:sz w:val="28"/>
          <w:szCs w:val="28"/>
          <w:highlight w:val="none"/>
        </w:rPr>
        <w:t>月</w:t>
      </w:r>
      <w:r>
        <w:rPr>
          <w:rFonts w:hint="eastAsia" w:ascii="Times New Roman" w:hAnsi="Times New Roman" w:eastAsia="仿宋_GB2312" w:cs="Times New Roman"/>
          <w:sz w:val="28"/>
          <w:szCs w:val="28"/>
          <w:highlight w:val="none"/>
          <w:u w:val="single"/>
        </w:rPr>
        <w:t>2</w:t>
      </w:r>
      <w:r>
        <w:rPr>
          <w:rFonts w:hint="eastAsia" w:ascii="Times New Roman" w:hAnsi="Times New Roman" w:eastAsia="仿宋_GB2312" w:cs="Times New Roman"/>
          <w:sz w:val="28"/>
          <w:szCs w:val="28"/>
          <w:highlight w:val="none"/>
          <w:u w:val="single"/>
          <w:lang w:val="en-US" w:eastAsia="zh-CN"/>
        </w:rPr>
        <w:t>3</w:t>
      </w:r>
      <w:r>
        <w:rPr>
          <w:rFonts w:hint="eastAsia" w:ascii="Times New Roman" w:hAnsi="Times New Roman" w:eastAsia="仿宋_GB2312" w:cs="Times New Roman"/>
          <w:sz w:val="28"/>
          <w:szCs w:val="28"/>
          <w:highlight w:val="none"/>
        </w:rPr>
        <w:t>日</w:t>
      </w:r>
      <w:r>
        <w:rPr>
          <w:rFonts w:hint="eastAsia" w:ascii="Times New Roman" w:hAnsi="Times New Roman" w:eastAsia="仿宋_GB2312" w:cs="Times New Roman"/>
          <w:sz w:val="28"/>
          <w:szCs w:val="28"/>
          <w:highlight w:val="none"/>
          <w:u w:val="single"/>
        </w:rPr>
        <w:t>9</w:t>
      </w:r>
      <w:r>
        <w:rPr>
          <w:rFonts w:ascii="Times New Roman" w:hAnsi="Times New Roman" w:eastAsia="仿宋_GB2312" w:cs="Times New Roman"/>
          <w:sz w:val="28"/>
          <w:szCs w:val="28"/>
          <w:highlight w:val="none"/>
        </w:rPr>
        <w:t>时</w:t>
      </w:r>
      <w:r>
        <w:rPr>
          <w:rFonts w:ascii="Times New Roman" w:hAnsi="Times New Roman" w:eastAsia="仿宋_GB2312" w:cs="Times New Roman"/>
          <w:sz w:val="28"/>
          <w:szCs w:val="28"/>
          <w:highlight w:val="none"/>
          <w:u w:val="single"/>
        </w:rPr>
        <w:t>00</w:t>
      </w:r>
      <w:r>
        <w:rPr>
          <w:rFonts w:ascii="Times New Roman" w:hAnsi="Times New Roman" w:eastAsia="仿宋_GB2312" w:cs="Times New Roman"/>
          <w:sz w:val="28"/>
          <w:szCs w:val="28"/>
          <w:highlight w:val="none"/>
        </w:rPr>
        <w:t>分</w:t>
      </w:r>
      <w:r>
        <w:rPr>
          <w:rFonts w:ascii="Times New Roman" w:hAnsi="Times New Roman" w:eastAsia="仿宋_GB2312" w:cs="Times New Roman"/>
          <w:sz w:val="28"/>
          <w:szCs w:val="28"/>
          <w:highlight w:val="none"/>
        </w:rPr>
        <w:t>，地点为</w:t>
      </w:r>
      <w:r>
        <w:rPr>
          <w:rFonts w:hint="eastAsia" w:ascii="Times New Roman" w:hAnsi="Times New Roman" w:eastAsia="仿宋_GB2312" w:cs="Times New Roman"/>
          <w:sz w:val="28"/>
          <w:szCs w:val="28"/>
          <w:highlight w:val="none"/>
          <w:u w:val="single"/>
        </w:rPr>
        <w:t>亳州交通投资控股集团有限公司8楼会议室（药都大道与希夷大道交叉口东北角8楼）</w:t>
      </w:r>
      <w:r>
        <w:rPr>
          <w:rFonts w:ascii="Times New Roman" w:hAnsi="Times New Roman" w:eastAsia="仿宋_GB2312" w:cs="Times New Roman"/>
          <w:sz w:val="28"/>
          <w:szCs w:val="28"/>
          <w:highlight w:val="none"/>
        </w:rPr>
        <w:t>。</w:t>
      </w:r>
    </w:p>
    <w:p>
      <w:pPr>
        <w:wordWrap w:val="0"/>
        <w:spacing w:line="48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（二）逾期送达的、未送达指定地点的</w:t>
      </w:r>
      <w:r>
        <w:rPr>
          <w:rFonts w:hint="eastAsia" w:ascii="Times New Roman" w:hAnsi="Times New Roman" w:eastAsia="仿宋_GB2312" w:cs="Times New Roman"/>
          <w:sz w:val="28"/>
          <w:szCs w:val="28"/>
          <w:highlight w:val="none"/>
        </w:rPr>
        <w:t>或者不按照招标文件要</w:t>
      </w:r>
      <w:r>
        <w:rPr>
          <w:rFonts w:hint="eastAsia" w:ascii="Times New Roman" w:hAnsi="Times New Roman" w:eastAsia="仿宋_GB2312" w:cs="Times New Roman"/>
          <w:sz w:val="28"/>
          <w:szCs w:val="28"/>
          <w:highlight w:val="none"/>
        </w:rPr>
        <w:t>求密封的投标文件，招标人将予以拒收。</w:t>
      </w:r>
    </w:p>
    <w:p>
      <w:pPr>
        <w:wordWrap w:val="0"/>
        <w:spacing w:line="480" w:lineRule="exact"/>
        <w:ind w:firstLine="560" w:firstLineChars="200"/>
        <w:rPr>
          <w:rFonts w:ascii="黑体" w:hAnsi="黑体" w:eastAsia="黑体" w:cs="黑体"/>
          <w:sz w:val="28"/>
          <w:szCs w:val="28"/>
          <w:highlight w:val="none"/>
        </w:rPr>
      </w:pPr>
      <w:r>
        <w:rPr>
          <w:rFonts w:hint="eastAsia" w:ascii="黑体" w:hAnsi="黑体" w:eastAsia="黑体" w:cs="黑体"/>
          <w:sz w:val="28"/>
          <w:szCs w:val="28"/>
          <w:highlight w:val="none"/>
        </w:rPr>
        <w:t>六、发布公告的媒介</w:t>
      </w:r>
    </w:p>
    <w:p>
      <w:pPr>
        <w:wordWrap w:val="0"/>
        <w:spacing w:line="48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本次招标公告同时在</w:t>
      </w:r>
      <w:r>
        <w:rPr>
          <w:rFonts w:hint="eastAsia" w:ascii="Times New Roman" w:hAnsi="Times New Roman" w:eastAsia="仿宋_GB2312" w:cs="Times New Roman"/>
          <w:sz w:val="28"/>
          <w:szCs w:val="28"/>
          <w:highlight w:val="none"/>
          <w:u w:val="single"/>
        </w:rPr>
        <w:t>亳州交通投资控股集团有限公司官网（www.bzjkjt.com）、安徽省招标投标信息网（www.ahtba.org.cn）</w:t>
      </w:r>
      <w:r>
        <w:rPr>
          <w:rFonts w:ascii="Times New Roman" w:hAnsi="Times New Roman" w:eastAsia="仿宋_GB2312" w:cs="Times New Roman"/>
          <w:sz w:val="28"/>
          <w:szCs w:val="28"/>
          <w:highlight w:val="none"/>
        </w:rPr>
        <w:t>上发布。</w:t>
      </w:r>
    </w:p>
    <w:p>
      <w:pPr>
        <w:wordWrap w:val="0"/>
        <w:spacing w:line="480" w:lineRule="exact"/>
        <w:ind w:firstLine="560" w:firstLineChars="200"/>
        <w:rPr>
          <w:rFonts w:ascii="黑体" w:hAnsi="黑体" w:eastAsia="黑体" w:cs="黑体"/>
          <w:sz w:val="28"/>
          <w:szCs w:val="28"/>
          <w:highlight w:val="none"/>
        </w:rPr>
      </w:pPr>
      <w:r>
        <w:rPr>
          <w:rFonts w:hint="eastAsia" w:ascii="黑体" w:hAnsi="黑体" w:eastAsia="黑体" w:cs="黑体"/>
          <w:sz w:val="28"/>
          <w:szCs w:val="28"/>
          <w:highlight w:val="none"/>
        </w:rPr>
        <w:t>七、联系方式</w:t>
      </w:r>
    </w:p>
    <w:p>
      <w:pPr>
        <w:wordWrap w:val="0"/>
        <w:spacing w:line="48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招</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标</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人：</w:t>
      </w:r>
      <w:r>
        <w:rPr>
          <w:rFonts w:hint="eastAsia" w:ascii="Times New Roman" w:hAnsi="Times New Roman" w:eastAsia="仿宋_GB2312" w:cs="Times New Roman"/>
          <w:sz w:val="28"/>
          <w:szCs w:val="28"/>
          <w:highlight w:val="none"/>
        </w:rPr>
        <w:t>亳州交通投资控股集团有限公司</w:t>
      </w:r>
    </w:p>
    <w:p>
      <w:pPr>
        <w:wordWrap w:val="0"/>
        <w:spacing w:line="48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地</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址：</w:t>
      </w:r>
      <w:r>
        <w:rPr>
          <w:rFonts w:hint="eastAsia" w:ascii="Times New Roman" w:hAnsi="Times New Roman" w:eastAsia="仿宋_GB2312" w:cs="Times New Roman"/>
          <w:sz w:val="28"/>
          <w:szCs w:val="28"/>
          <w:highlight w:val="none"/>
        </w:rPr>
        <w:t>亳州市谯城区药都大道1289号</w:t>
      </w:r>
    </w:p>
    <w:p>
      <w:pPr>
        <w:wordWrap w:val="0"/>
        <w:spacing w:line="48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联</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系</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人：</w:t>
      </w:r>
      <w:r>
        <w:rPr>
          <w:rFonts w:hint="eastAsia" w:ascii="Times New Roman" w:hAnsi="Times New Roman" w:eastAsia="仿宋_GB2312" w:cs="Times New Roman"/>
          <w:sz w:val="28"/>
          <w:szCs w:val="28"/>
          <w:highlight w:val="none"/>
        </w:rPr>
        <w:t>邓经理、常经理</w:t>
      </w: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电    话</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0558-5196776</w:t>
      </w:r>
    </w:p>
    <w:p>
      <w:pPr>
        <w:wordWrap w:val="0"/>
        <w:spacing w:line="480" w:lineRule="exact"/>
        <w:ind w:firstLine="560" w:firstLineChars="200"/>
        <w:rPr>
          <w:rFonts w:ascii="Times New Roman" w:hAnsi="Times New Roman" w:eastAsia="仿宋_GB2312" w:cs="Times New Roman"/>
          <w:sz w:val="28"/>
          <w:szCs w:val="28"/>
          <w:highlight w:val="none"/>
        </w:rPr>
      </w:pP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招标平台：亳州交控集团招投标中心</w:t>
      </w: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地    址：亳州市谯城区药都大道1289号</w:t>
      </w: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联 系 人：田工、张工</w:t>
      </w: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电    话：0558-5190035</w:t>
      </w:r>
    </w:p>
    <w:p>
      <w:pPr>
        <w:spacing w:line="480" w:lineRule="exact"/>
        <w:rPr>
          <w:rFonts w:ascii="Times New Roman" w:hAnsi="Times New Roman" w:eastAsia="仿宋_GB2312" w:cs="Times New Roman"/>
          <w:sz w:val="28"/>
          <w:szCs w:val="28"/>
          <w:highlight w:val="none"/>
        </w:rPr>
      </w:pPr>
    </w:p>
    <w:p>
      <w:pPr>
        <w:spacing w:line="480" w:lineRule="exact"/>
        <w:rPr>
          <w:rFonts w:ascii="Times New Roman" w:hAnsi="Times New Roman" w:eastAsia="仿宋_GB2312" w:cs="Times New Roman"/>
          <w:sz w:val="28"/>
          <w:szCs w:val="28"/>
          <w:highlight w:val="none"/>
        </w:rPr>
      </w:pPr>
    </w:p>
    <w:p>
      <w:pPr>
        <w:spacing w:line="480" w:lineRule="exact"/>
        <w:jc w:val="right"/>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亳州交通投资控股集团有限公司</w:t>
      </w:r>
    </w:p>
    <w:p>
      <w:pPr>
        <w:spacing w:line="480" w:lineRule="exact"/>
        <w:ind w:firstLine="5320" w:firstLineChars="1900"/>
        <w:rPr>
          <w:rFonts w:ascii="Times New Roman" w:hAnsi="Times New Roman" w:eastAsia="仿宋_GB2312" w:cs="Times New Roman"/>
          <w:kern w:val="0"/>
          <w:sz w:val="32"/>
          <w:szCs w:val="32"/>
          <w:highlight w:val="none"/>
        </w:rPr>
      </w:pPr>
      <w:r>
        <w:rPr>
          <w:rFonts w:ascii="Times New Roman" w:hAnsi="Times New Roman" w:eastAsia="仿宋_GB2312" w:cs="Times New Roman"/>
          <w:sz w:val="28"/>
          <w:szCs w:val="28"/>
          <w:highlight w:val="none"/>
        </w:rPr>
        <w:t>2021年</w:t>
      </w:r>
      <w:r>
        <w:rPr>
          <w:rFonts w:hint="eastAsia" w:ascii="Times New Roman" w:hAnsi="Times New Roman" w:eastAsia="仿宋_GB2312" w:cs="Times New Roman"/>
          <w:sz w:val="28"/>
          <w:szCs w:val="28"/>
          <w:highlight w:val="none"/>
        </w:rPr>
        <w:t>7</w:t>
      </w:r>
      <w:r>
        <w:rPr>
          <w:rFonts w:ascii="Times New Roman" w:hAnsi="Times New Roman" w:eastAsia="仿宋_GB2312" w:cs="Times New Roman"/>
          <w:sz w:val="28"/>
          <w:szCs w:val="28"/>
          <w:highlight w:val="none"/>
        </w:rPr>
        <w:t>月</w:t>
      </w:r>
      <w:r>
        <w:rPr>
          <w:rFonts w:hint="eastAsia" w:ascii="Times New Roman" w:hAnsi="Times New Roman" w:eastAsia="仿宋_GB2312" w:cs="Times New Roman"/>
          <w:sz w:val="28"/>
          <w:szCs w:val="28"/>
          <w:highlight w:val="none"/>
          <w:lang w:val="en-US" w:eastAsia="zh-CN"/>
        </w:rPr>
        <w:t>8</w:t>
      </w:r>
      <w:r>
        <w:rPr>
          <w:rFonts w:ascii="Times New Roman" w:hAnsi="Times New Roman" w:eastAsia="仿宋_GB2312" w:cs="Times New Roman"/>
          <w:sz w:val="28"/>
          <w:szCs w:val="28"/>
          <w:highlight w:val="none"/>
        </w:rPr>
        <w:t>日</w:t>
      </w:r>
      <w:r>
        <w:rPr>
          <w:rFonts w:ascii="Times New Roman" w:hAnsi="Times New Roman" w:eastAsia="仿宋_GB2312" w:cs="Times New Roman"/>
          <w:kern w:val="0"/>
          <w:sz w:val="32"/>
          <w:szCs w:val="32"/>
          <w:highlight w:val="none"/>
        </w:rPr>
        <w:br w:type="page"/>
      </w:r>
    </w:p>
    <w:p>
      <w:pPr>
        <w:spacing w:line="480" w:lineRule="exact"/>
        <w:jc w:val="center"/>
        <w:rPr>
          <w:rFonts w:asciiTheme="majorEastAsia" w:hAnsiTheme="majorEastAsia" w:eastAsiaTheme="majorEastAsia" w:cstheme="majorEastAsia"/>
          <w:b/>
          <w:bCs/>
          <w:sz w:val="32"/>
          <w:szCs w:val="32"/>
          <w:highlight w:val="none"/>
        </w:rPr>
      </w:pPr>
      <w:r>
        <w:rPr>
          <w:rFonts w:asciiTheme="majorEastAsia" w:hAnsiTheme="majorEastAsia" w:eastAsiaTheme="majorEastAsia" w:cstheme="majorEastAsia"/>
          <w:b/>
          <w:bCs/>
          <w:sz w:val="32"/>
          <w:szCs w:val="32"/>
          <w:highlight w:val="none"/>
        </w:rPr>
        <w:t>第二章 投标人须知</w:t>
      </w:r>
    </w:p>
    <w:p>
      <w:pPr>
        <w:spacing w:line="480" w:lineRule="exact"/>
        <w:rPr>
          <w:rFonts w:asciiTheme="majorEastAsia" w:hAnsiTheme="majorEastAsia" w:eastAsiaTheme="majorEastAsia" w:cstheme="majorEastAsia"/>
          <w:b/>
          <w:bCs/>
          <w:sz w:val="28"/>
          <w:szCs w:val="28"/>
          <w:highlight w:val="none"/>
        </w:rPr>
      </w:pPr>
    </w:p>
    <w:p>
      <w:pPr>
        <w:spacing w:line="480" w:lineRule="exact"/>
        <w:rPr>
          <w:rFonts w:asciiTheme="majorEastAsia" w:hAnsiTheme="majorEastAsia" w:eastAsiaTheme="majorEastAsia" w:cstheme="majorEastAsia"/>
          <w:b/>
          <w:bCs/>
          <w:sz w:val="28"/>
          <w:szCs w:val="28"/>
          <w:highlight w:val="none"/>
        </w:rPr>
      </w:pPr>
      <w:r>
        <w:rPr>
          <w:rFonts w:hint="eastAsia" w:asciiTheme="majorEastAsia" w:hAnsiTheme="majorEastAsia" w:eastAsiaTheme="majorEastAsia" w:cstheme="majorEastAsia"/>
          <w:b/>
          <w:bCs/>
          <w:sz w:val="28"/>
          <w:szCs w:val="28"/>
          <w:highlight w:val="none"/>
        </w:rPr>
        <w:t>投标人须知前附表</w:t>
      </w:r>
    </w:p>
    <w:p>
      <w:pPr>
        <w:spacing w:line="480" w:lineRule="exact"/>
        <w:rPr>
          <w:rFonts w:asciiTheme="majorEastAsia" w:hAnsiTheme="majorEastAsia" w:eastAsiaTheme="majorEastAsia" w:cstheme="majorEastAsia"/>
          <w:b/>
          <w:bCs/>
          <w:sz w:val="28"/>
          <w:szCs w:val="28"/>
          <w:highlight w:val="none"/>
        </w:rPr>
      </w:pPr>
    </w:p>
    <w:tbl>
      <w:tblPr>
        <w:tblStyle w:val="17"/>
        <w:tblW w:w="8522" w:type="dxa"/>
        <w:tblInd w:w="0" w:type="dxa"/>
        <w:tblLayout w:type="fixed"/>
        <w:tblCellMar>
          <w:top w:w="0" w:type="dxa"/>
          <w:left w:w="108" w:type="dxa"/>
          <w:bottom w:w="0" w:type="dxa"/>
          <w:right w:w="108" w:type="dxa"/>
        </w:tblCellMar>
      </w:tblPr>
      <w:tblGrid>
        <w:gridCol w:w="1008"/>
        <w:gridCol w:w="3780"/>
        <w:gridCol w:w="3734"/>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szCs w:val="21"/>
                <w:highlight w:val="none"/>
              </w:rPr>
            </w:pPr>
            <w:r>
              <w:rPr>
                <w:rFonts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szCs w:val="21"/>
                <w:highlight w:val="none"/>
              </w:rPr>
            </w:pPr>
            <w:r>
              <w:rPr>
                <w:rFonts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szCs w:val="21"/>
                <w:highlight w:val="none"/>
              </w:rPr>
            </w:pPr>
            <w:r>
              <w:rPr>
                <w:rFonts w:ascii="Times New Roman" w:hAnsi="Times New Roman" w:cs="Times New Roman"/>
                <w:b/>
                <w:szCs w:val="21"/>
                <w:highlight w:val="none"/>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szCs w:val="21"/>
                <w:highlight w:val="none"/>
              </w:rPr>
            </w:pPr>
            <w:r>
              <w:rPr>
                <w:rFonts w:hint="eastAsia"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招标</w:t>
            </w:r>
            <w:r>
              <w:rPr>
                <w:rFonts w:hint="eastAsia" w:ascii="Times New Roman" w:hAnsi="Times New Roman" w:cs="Times New Roman"/>
                <w:szCs w:val="21"/>
                <w:highlight w:val="none"/>
              </w:rPr>
              <w:t>平台</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招标</w:t>
            </w:r>
            <w:r>
              <w:rPr>
                <w:rFonts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项目建设地点</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szCs w:val="21"/>
                <w:highlight w:val="none"/>
              </w:rPr>
            </w:pPr>
            <w:r>
              <w:rPr>
                <w:rFonts w:hint="eastAsia" w:ascii="Times New Roman" w:hAnsi="Times New Roman" w:cs="Times New Roman"/>
                <w:szCs w:val="21"/>
                <w:highlight w:val="none"/>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1.1.6</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项目投资规模</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szCs w:val="21"/>
                <w:highlight w:val="none"/>
              </w:rPr>
            </w:pPr>
            <w:r>
              <w:rPr>
                <w:rFonts w:hint="eastAsia" w:ascii="Times New Roman" w:hAnsi="Times New Roman" w:cs="Times New Roman"/>
                <w:szCs w:val="21"/>
                <w:highlight w:val="none"/>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1.1.7</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项目投资估算</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szCs w:val="21"/>
                <w:highlight w:val="none"/>
              </w:rPr>
            </w:pPr>
            <w:r>
              <w:rPr>
                <w:rFonts w:hint="eastAsia" w:ascii="Times New Roman" w:hAnsi="Times New Roman" w:cs="Times New Roman"/>
                <w:szCs w:val="21"/>
                <w:highlight w:val="none"/>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增1.1.8</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项目概况</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资金来源</w:t>
            </w:r>
            <w:r>
              <w:rPr>
                <w:rFonts w:hint="eastAsia" w:ascii="Times New Roman" w:hAnsi="Times New Roman" w:cs="Times New Roman"/>
                <w:szCs w:val="21"/>
                <w:highlight w:val="none"/>
              </w:rPr>
              <w:t>及比例</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1.2.</w:t>
            </w:r>
            <w:r>
              <w:rPr>
                <w:rFonts w:hint="eastAsia" w:ascii="Times New Roman" w:hAnsi="Times New Roman" w:cs="Times New Roman"/>
                <w:szCs w:val="21"/>
                <w:highlight w:val="none"/>
              </w:rPr>
              <w:t>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szCs w:val="21"/>
                <w:highlight w:val="none"/>
              </w:rPr>
            </w:pPr>
            <w:r>
              <w:rPr>
                <w:rFonts w:hint="eastAsia" w:ascii="Times New Roman" w:hAnsi="Times New Roman" w:cs="Times New Roman"/>
                <w:szCs w:val="21"/>
                <w:highlight w:val="none"/>
              </w:rPr>
              <w:t>已落实</w:t>
            </w:r>
          </w:p>
        </w:tc>
      </w:tr>
      <w:tr>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质量标准</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增1.3.4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服务期限</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投标人资质条件、能力</w:t>
            </w:r>
            <w:r>
              <w:rPr>
                <w:rFonts w:hint="eastAsia" w:ascii="Times New Roman" w:hAnsi="Times New Roman" w:cs="Times New Roman"/>
                <w:szCs w:val="21"/>
                <w:highlight w:val="none"/>
              </w:rPr>
              <w:t>、信誉</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是否接受联合体投标</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szCs w:val="21"/>
                <w:highlight w:val="none"/>
              </w:rPr>
            </w:pPr>
            <w:r>
              <w:rPr>
                <w:rFonts w:ascii="Times New Roman" w:hAnsi="Times New Roman" w:eastAsia="仿宋_GB2312" w:cs="Times New Roman"/>
                <w:sz w:val="24"/>
                <w:highlight w:val="none"/>
              </w:rPr>
              <w:sym w:font="Wingdings" w:char="00FE"/>
            </w:r>
            <w:r>
              <w:rPr>
                <w:rFonts w:hint="eastAsia" w:ascii="Times New Roman" w:hAnsi="Times New Roman" w:cs="Times New Roman"/>
                <w:szCs w:val="21"/>
                <w:highlight w:val="none"/>
              </w:rPr>
              <w:t>接受，应满足下列要求：</w:t>
            </w: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1.4.3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投标人不得存在的其他情形</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b/>
                <w:bCs/>
                <w:szCs w:val="21"/>
                <w:highlight w:val="none"/>
              </w:rPr>
            </w:pPr>
            <w:r>
              <w:rPr>
                <w:rFonts w:hint="eastAsia" w:ascii="Times New Roman" w:hAnsi="Times New Roman" w:cs="Times New Roman"/>
                <w:b/>
                <w:bCs/>
                <w:szCs w:val="21"/>
                <w:highlight w:val="none"/>
              </w:rPr>
              <w:t>增加：</w:t>
            </w:r>
          </w:p>
          <w:p>
            <w:pPr>
              <w:wordWrap w:val="0"/>
              <w:spacing w:line="44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（17）在以往承接招标人项目过程中存在不良合作记录的。</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踏勘现场</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sz w:val="24"/>
                <w:highlight w:val="none"/>
              </w:rPr>
            </w:pPr>
            <w:r>
              <w:rPr>
                <w:rFonts w:ascii="Times New Roman" w:hAnsi="Times New Roman" w:eastAsia="仿宋_GB2312" w:cs="Times New Roman"/>
                <w:sz w:val="24"/>
                <w:highlight w:val="none"/>
              </w:rPr>
              <w:sym w:font="Wingdings" w:char="00FE"/>
            </w:r>
            <w:r>
              <w:rPr>
                <w:rFonts w:ascii="Times New Roman" w:hAnsi="Times New Roman" w:cs="Times New Roman"/>
                <w:szCs w:val="21"/>
                <w:highlight w:val="none"/>
              </w:rPr>
              <w:t>不</w:t>
            </w:r>
            <w:r>
              <w:rPr>
                <w:rFonts w:hint="eastAsia" w:ascii="Times New Roman" w:hAnsi="Times New Roman" w:cs="Times New Roman"/>
                <w:szCs w:val="21"/>
                <w:highlight w:val="none"/>
              </w:rPr>
              <w:t>组织，自行踏勘现场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投标预备会</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sym w:font="Wingdings" w:char="00FE"/>
            </w:r>
            <w:r>
              <w:rPr>
                <w:rFonts w:ascii="Times New Roman" w:hAnsi="Times New Roman" w:cs="Times New Roman"/>
                <w:szCs w:val="21"/>
                <w:highlight w:val="none"/>
              </w:rPr>
              <w:t>不召开</w:t>
            </w:r>
          </w:p>
        </w:tc>
      </w:tr>
      <w:tr>
        <w:tblPrEx>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1.10.2</w:t>
            </w:r>
          </w:p>
        </w:tc>
        <w:tc>
          <w:tcPr>
            <w:tcW w:w="3780" w:type="dxa"/>
            <w:vMerge w:val="restart"/>
            <w:tcBorders>
              <w:top w:val="single" w:color="auto" w:sz="4" w:space="0"/>
              <w:left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szCs w:val="21"/>
                <w:highlight w:val="none"/>
              </w:rPr>
            </w:pPr>
            <w:r>
              <w:rPr>
                <w:rFonts w:hint="eastAsia" w:ascii="Times New Roman" w:hAnsi="Times New Roman" w:cs="Times New Roman"/>
                <w:szCs w:val="21"/>
                <w:highlight w:val="none"/>
              </w:rPr>
              <w:t>时间：不适用</w:t>
            </w:r>
          </w:p>
        </w:tc>
      </w:tr>
      <w:tr>
        <w:tblPrEx>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szCs w:val="21"/>
                <w:highlight w:val="none"/>
              </w:rPr>
            </w:pPr>
            <w:r>
              <w:rPr>
                <w:rFonts w:hint="eastAsia" w:ascii="Times New Roman" w:hAnsi="Times New Roman" w:cs="Times New Roman"/>
                <w:szCs w:val="21"/>
                <w:highlight w:val="none"/>
              </w:rPr>
              <w:t>形式：不适用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1.10.3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招标文件澄清发出的形式</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szCs w:val="21"/>
                <w:highlight w:val="none"/>
              </w:rPr>
            </w:pPr>
            <w:r>
              <w:rPr>
                <w:rFonts w:hint="eastAsia" w:ascii="Times New Roman" w:hAnsi="Times New Roman" w:cs="Times New Roman"/>
                <w:szCs w:val="21"/>
                <w:highlight w:val="none"/>
              </w:rPr>
              <w:t>不适用</w:t>
            </w:r>
          </w:p>
        </w:tc>
      </w:tr>
      <w:tr>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分包</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szCs w:val="21"/>
                <w:highlight w:val="none"/>
              </w:rPr>
            </w:pPr>
            <w:r>
              <w:rPr>
                <w:rFonts w:ascii="Times New Roman" w:hAnsi="Times New Roman" w:eastAsia="仿宋_GB2312" w:cs="Times New Roman"/>
                <w:sz w:val="24"/>
                <w:highlight w:val="none"/>
              </w:rPr>
              <w:sym w:font="Wingdings" w:char="00FE"/>
            </w:r>
            <w:r>
              <w:rPr>
                <w:rFonts w:ascii="Times New Roman" w:hAnsi="Times New Roman" w:cs="Times New Roman"/>
                <w:szCs w:val="21"/>
                <w:highlight w:val="none"/>
              </w:rPr>
              <w:t>不</w:t>
            </w:r>
            <w:r>
              <w:rPr>
                <w:rFonts w:hint="eastAsia" w:ascii="Times New Roman" w:hAnsi="Times New Roman" w:cs="Times New Roman"/>
                <w:szCs w:val="21"/>
                <w:highlight w:val="none"/>
              </w:rPr>
              <w:t>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实质性要求和条件</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详见第四章合同条款及格式、第五章发包人要求。</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偏差</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执行《评标委员会和评标方法暂行规定》（国家计委等七部令第12号）第二十四条、第二十五条、第二十六条有关投标偏差（细微偏差、重大偏差）的规定。</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招标人发出的澄清、修改及补充文件等。</w:t>
            </w:r>
          </w:p>
        </w:tc>
      </w:tr>
      <w:tr>
        <w:tblPrEx>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2.2.1</w:t>
            </w:r>
          </w:p>
        </w:tc>
        <w:tc>
          <w:tcPr>
            <w:tcW w:w="3780" w:type="dxa"/>
            <w:vMerge w:val="restart"/>
            <w:tcBorders>
              <w:top w:val="single" w:color="auto" w:sz="4" w:space="0"/>
              <w:left w:val="single" w:color="auto" w:sz="4" w:space="0"/>
              <w:right w:val="single" w:color="auto" w:sz="4" w:space="0"/>
            </w:tcBorders>
            <w:vAlign w:val="center"/>
          </w:tcPr>
          <w:p>
            <w:pPr>
              <w:wordWrap w:val="0"/>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szCs w:val="21"/>
                <w:highlight w:val="none"/>
              </w:rPr>
            </w:pPr>
            <w:r>
              <w:rPr>
                <w:rFonts w:hint="eastAsia" w:ascii="Times New Roman" w:hAnsi="Times New Roman" w:cs="Times New Roman"/>
                <w:szCs w:val="21"/>
                <w:highlight w:val="none"/>
              </w:rPr>
              <w:t>时间：距投标截止时间止</w:t>
            </w:r>
            <w:r>
              <w:rPr>
                <w:rFonts w:hint="eastAsia" w:ascii="Times New Roman" w:hAnsi="Times New Roman" w:cs="Times New Roman"/>
                <w:szCs w:val="21"/>
                <w:highlight w:val="none"/>
                <w:u w:val="single"/>
              </w:rPr>
              <w:t>5日</w:t>
            </w:r>
            <w:r>
              <w:rPr>
                <w:rFonts w:hint="eastAsia" w:ascii="Times New Roman" w:hAnsi="Times New Roman" w:cs="Times New Roman"/>
                <w:szCs w:val="21"/>
                <w:highlight w:val="none"/>
              </w:rPr>
              <w:t>前，投标人应仔细阅读和检查招标文件的全部内容。如发现缺页或附件不全，应及时向招标人提出，以便补齐。</w:t>
            </w:r>
          </w:p>
        </w:tc>
      </w:tr>
      <w:tr>
        <w:tblPrEx>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p>
        </w:tc>
        <w:tc>
          <w:tcPr>
            <w:tcW w:w="3780" w:type="dxa"/>
            <w:vMerge w:val="continue"/>
            <w:tcBorders>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形式：投标人如对招标文件有任何疑问，应及时与招标人联系，递交纸质材料，要求招标人对招标文件予以澄清。否则，投标人无权再因招标文件等与投标有关的资料而提出质疑、投诉。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招标文件澄清发出的形式</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ascii="Times New Roman" w:hAnsi="Times New Roman" w:cs="Times New Roman"/>
                <w:color w:val="auto"/>
                <w:szCs w:val="21"/>
                <w:highlight w:val="none"/>
                <w:u w:val="single"/>
              </w:rPr>
            </w:pPr>
            <w:r>
              <w:rPr>
                <w:rFonts w:ascii="Times New Roman" w:hAnsi="Times New Roman" w:cs="Times New Roman"/>
                <w:color w:val="auto"/>
                <w:szCs w:val="21"/>
                <w:highlight w:val="none"/>
              </w:rPr>
              <w:t>投标截止时间前，招标文件的澄清将在</w:t>
            </w:r>
            <w:r>
              <w:rPr>
                <w:rFonts w:ascii="Times New Roman" w:hAnsi="Times New Roman" w:cs="Times New Roman"/>
                <w:i/>
                <w:iCs/>
                <w:color w:val="auto"/>
                <w:szCs w:val="21"/>
                <w:highlight w:val="none"/>
                <w:u w:val="single"/>
              </w:rPr>
              <w:t>亳州交通投资控股集团有限公司官网（www.bzjkjt.com）</w:t>
            </w:r>
            <w:r>
              <w:rPr>
                <w:rFonts w:hint="eastAsia" w:ascii="Times New Roman" w:hAnsi="Times New Roman" w:cs="Times New Roman"/>
                <w:i/>
                <w:iCs/>
                <w:color w:val="auto"/>
                <w:szCs w:val="21"/>
                <w:highlight w:val="none"/>
                <w:u w:val="single"/>
              </w:rPr>
              <w:t>及</w:t>
            </w:r>
            <w:r>
              <w:rPr>
                <w:rFonts w:ascii="Times New Roman" w:hAnsi="Times New Roman" w:cs="Times New Roman"/>
                <w:i/>
                <w:iCs/>
                <w:color w:val="auto"/>
                <w:szCs w:val="21"/>
                <w:highlight w:val="none"/>
                <w:u w:val="single"/>
              </w:rPr>
              <w:t>安徽省招标投标信息网（www.ahtba.org.cn）</w:t>
            </w:r>
            <w:r>
              <w:rPr>
                <w:rFonts w:ascii="Times New Roman" w:hAnsi="Times New Roman" w:cs="Times New Roman"/>
                <w:color w:val="auto"/>
                <w:szCs w:val="21"/>
                <w:highlight w:val="none"/>
              </w:rPr>
              <w:t>上进行发布。</w:t>
            </w:r>
          </w:p>
        </w:tc>
      </w:tr>
      <w:tr>
        <w:tblPrEx>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2.2.3</w:t>
            </w:r>
          </w:p>
        </w:tc>
        <w:tc>
          <w:tcPr>
            <w:tcW w:w="3780" w:type="dxa"/>
            <w:vMerge w:val="restart"/>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时间：</w:t>
            </w:r>
            <w:r>
              <w:rPr>
                <w:rFonts w:ascii="Times New Roman" w:hAnsi="Times New Roman" w:cs="Times New Roman"/>
                <w:color w:val="auto"/>
                <w:szCs w:val="21"/>
                <w:highlight w:val="none"/>
              </w:rPr>
              <w:t>招标文件的澄清在</w:t>
            </w:r>
            <w:r>
              <w:rPr>
                <w:rFonts w:ascii="Times New Roman" w:hAnsi="Times New Roman" w:cs="Times New Roman"/>
                <w:i/>
                <w:iCs/>
                <w:color w:val="auto"/>
                <w:szCs w:val="21"/>
                <w:highlight w:val="none"/>
                <w:u w:val="single"/>
              </w:rPr>
              <w:t>亳州交通投资控股集团有限公司官网（www.bzjkjt.com）</w:t>
            </w:r>
            <w:r>
              <w:rPr>
                <w:rFonts w:hint="eastAsia" w:ascii="Times New Roman" w:hAnsi="Times New Roman" w:cs="Times New Roman"/>
                <w:i/>
                <w:iCs/>
                <w:color w:val="auto"/>
                <w:szCs w:val="21"/>
                <w:highlight w:val="none"/>
                <w:u w:val="single"/>
              </w:rPr>
              <w:t>及</w:t>
            </w:r>
            <w:r>
              <w:rPr>
                <w:rFonts w:ascii="Times New Roman" w:hAnsi="Times New Roman" w:cs="Times New Roman"/>
                <w:i/>
                <w:iCs/>
                <w:color w:val="auto"/>
                <w:szCs w:val="21"/>
                <w:highlight w:val="none"/>
                <w:u w:val="single"/>
              </w:rPr>
              <w:t>安徽省招标投标信息网（www.ahtba.org.cn）</w:t>
            </w:r>
            <w:r>
              <w:rPr>
                <w:rFonts w:ascii="Times New Roman" w:hAnsi="Times New Roman" w:cs="Times New Roman"/>
                <w:color w:val="auto"/>
                <w:szCs w:val="21"/>
                <w:highlight w:val="none"/>
              </w:rPr>
              <w:t>上的发布时间，视为投标人确认收到招标文件澄清的时间。</w:t>
            </w:r>
          </w:p>
        </w:tc>
      </w:tr>
      <w:tr>
        <w:tblPrEx>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p>
        </w:tc>
        <w:tc>
          <w:tcPr>
            <w:tcW w:w="3780" w:type="dxa"/>
            <w:vMerge w:val="continue"/>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形式：</w:t>
            </w:r>
            <w:r>
              <w:rPr>
                <w:rFonts w:ascii="Times New Roman" w:hAnsi="Times New Roman" w:cs="Times New Roman"/>
                <w:color w:val="auto"/>
                <w:szCs w:val="21"/>
                <w:highlight w:val="none"/>
              </w:rPr>
              <w:t>所有参加本次项目招标的投标人须在网上自行查询，无需以纸质形式回复。如遇系统故障等原因不能进入</w:t>
            </w:r>
            <w:r>
              <w:rPr>
                <w:rFonts w:ascii="Times New Roman" w:hAnsi="Times New Roman" w:cs="Times New Roman"/>
                <w:i/>
                <w:iCs/>
                <w:color w:val="auto"/>
                <w:szCs w:val="21"/>
                <w:highlight w:val="none"/>
                <w:u w:val="single"/>
              </w:rPr>
              <w:t>亳州交通投资控股集团有限公司官网（www.bzjkjt.com）</w:t>
            </w:r>
            <w:r>
              <w:rPr>
                <w:rFonts w:hint="eastAsia" w:ascii="Times New Roman" w:hAnsi="Times New Roman" w:cs="Times New Roman"/>
                <w:i/>
                <w:iCs/>
                <w:color w:val="auto"/>
                <w:szCs w:val="21"/>
                <w:highlight w:val="none"/>
                <w:u w:val="single"/>
              </w:rPr>
              <w:t>及</w:t>
            </w:r>
            <w:r>
              <w:rPr>
                <w:rFonts w:ascii="Times New Roman" w:hAnsi="Times New Roman" w:cs="Times New Roman"/>
                <w:i/>
                <w:iCs/>
                <w:color w:val="auto"/>
                <w:szCs w:val="21"/>
                <w:highlight w:val="none"/>
                <w:u w:val="single"/>
              </w:rPr>
              <w:t>安徽省招标投标信息网（www.ahtba.org.cn）</w:t>
            </w:r>
            <w:r>
              <w:rPr>
                <w:rFonts w:ascii="Times New Roman" w:hAnsi="Times New Roman" w:cs="Times New Roman"/>
                <w:color w:val="auto"/>
                <w:szCs w:val="21"/>
                <w:highlight w:val="none"/>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招标文件修改发出的形式</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ascii="Times New Roman" w:hAnsi="Times New Roman" w:cs="Times New Roman"/>
                <w:color w:val="auto"/>
                <w:szCs w:val="21"/>
                <w:highlight w:val="none"/>
                <w:u w:val="single"/>
              </w:rPr>
            </w:pPr>
            <w:r>
              <w:rPr>
                <w:rFonts w:ascii="Times New Roman" w:hAnsi="Times New Roman" w:cs="Times New Roman"/>
                <w:color w:val="auto"/>
                <w:szCs w:val="21"/>
                <w:highlight w:val="none"/>
              </w:rPr>
              <w:t>投标截止时间前，招标文件的</w:t>
            </w:r>
            <w:r>
              <w:rPr>
                <w:rFonts w:hint="eastAsia" w:ascii="Times New Roman" w:hAnsi="Times New Roman" w:cs="Times New Roman"/>
                <w:color w:val="auto"/>
                <w:szCs w:val="21"/>
                <w:highlight w:val="none"/>
              </w:rPr>
              <w:t>修改</w:t>
            </w:r>
            <w:r>
              <w:rPr>
                <w:rFonts w:ascii="Times New Roman" w:hAnsi="Times New Roman" w:cs="Times New Roman"/>
                <w:color w:val="auto"/>
                <w:szCs w:val="21"/>
                <w:highlight w:val="none"/>
              </w:rPr>
              <w:t>将在</w:t>
            </w:r>
            <w:r>
              <w:rPr>
                <w:rFonts w:ascii="Times New Roman" w:hAnsi="Times New Roman" w:cs="Times New Roman"/>
                <w:i/>
                <w:iCs/>
                <w:color w:val="auto"/>
                <w:szCs w:val="21"/>
                <w:highlight w:val="none"/>
                <w:u w:val="single"/>
              </w:rPr>
              <w:t>亳州交通投资控股集团有限公司官网（www.bzjkjt.com）</w:t>
            </w:r>
            <w:r>
              <w:rPr>
                <w:rFonts w:hint="eastAsia" w:ascii="Times New Roman" w:hAnsi="Times New Roman" w:cs="Times New Roman"/>
                <w:i/>
                <w:iCs/>
                <w:color w:val="auto"/>
                <w:szCs w:val="21"/>
                <w:highlight w:val="none"/>
                <w:u w:val="single"/>
              </w:rPr>
              <w:t>及</w:t>
            </w:r>
            <w:r>
              <w:rPr>
                <w:rFonts w:ascii="Times New Roman" w:hAnsi="Times New Roman" w:cs="Times New Roman"/>
                <w:i/>
                <w:iCs/>
                <w:color w:val="auto"/>
                <w:szCs w:val="21"/>
                <w:highlight w:val="none"/>
                <w:u w:val="single"/>
              </w:rPr>
              <w:t>安徽省招标投标信息网（www.ahtba.org.cn）</w:t>
            </w:r>
            <w:r>
              <w:rPr>
                <w:rFonts w:ascii="Times New Roman" w:hAnsi="Times New Roman" w:cs="Times New Roman"/>
                <w:color w:val="auto"/>
                <w:szCs w:val="21"/>
                <w:highlight w:val="none"/>
              </w:rPr>
              <w:t>上进行发布。</w:t>
            </w:r>
          </w:p>
        </w:tc>
      </w:tr>
      <w:tr>
        <w:tblPrEx>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2.3.2</w:t>
            </w:r>
          </w:p>
        </w:tc>
        <w:tc>
          <w:tcPr>
            <w:tcW w:w="3780" w:type="dxa"/>
            <w:vMerge w:val="restart"/>
            <w:tcBorders>
              <w:top w:val="single" w:color="auto" w:sz="4" w:space="0"/>
              <w:left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rPr>
              <w:t>时间：</w:t>
            </w:r>
            <w:r>
              <w:rPr>
                <w:rFonts w:ascii="Times New Roman" w:hAnsi="Times New Roman" w:cs="Times New Roman"/>
                <w:color w:val="auto"/>
                <w:szCs w:val="21"/>
                <w:highlight w:val="none"/>
              </w:rPr>
              <w:t>招标文件的</w:t>
            </w:r>
            <w:r>
              <w:rPr>
                <w:rFonts w:hint="eastAsia" w:ascii="Times New Roman" w:hAnsi="Times New Roman" w:cs="Times New Roman"/>
                <w:color w:val="auto"/>
                <w:szCs w:val="21"/>
                <w:highlight w:val="none"/>
              </w:rPr>
              <w:t>修改</w:t>
            </w:r>
            <w:r>
              <w:rPr>
                <w:rFonts w:ascii="Times New Roman" w:hAnsi="Times New Roman" w:cs="Times New Roman"/>
                <w:color w:val="auto"/>
                <w:szCs w:val="21"/>
                <w:highlight w:val="none"/>
              </w:rPr>
              <w:t>在</w:t>
            </w:r>
            <w:r>
              <w:rPr>
                <w:rFonts w:ascii="Times New Roman" w:hAnsi="Times New Roman" w:cs="Times New Roman"/>
                <w:i/>
                <w:iCs/>
                <w:color w:val="auto"/>
                <w:szCs w:val="21"/>
                <w:highlight w:val="none"/>
                <w:u w:val="single"/>
              </w:rPr>
              <w:t>亳州交通投资控股集团有限公司官网（www.bzjkjt.com）</w:t>
            </w:r>
            <w:r>
              <w:rPr>
                <w:rFonts w:hint="eastAsia" w:ascii="Times New Roman" w:hAnsi="Times New Roman" w:cs="Times New Roman"/>
                <w:i/>
                <w:iCs/>
                <w:color w:val="auto"/>
                <w:szCs w:val="21"/>
                <w:highlight w:val="none"/>
                <w:u w:val="single"/>
              </w:rPr>
              <w:t>及</w:t>
            </w:r>
            <w:r>
              <w:rPr>
                <w:rFonts w:ascii="Times New Roman" w:hAnsi="Times New Roman" w:cs="Times New Roman"/>
                <w:i/>
                <w:iCs/>
                <w:color w:val="auto"/>
                <w:szCs w:val="21"/>
                <w:highlight w:val="none"/>
                <w:u w:val="single"/>
              </w:rPr>
              <w:t>安徽省招标投标信息网（www.ahtba.org.cn）</w:t>
            </w:r>
            <w:r>
              <w:rPr>
                <w:rFonts w:ascii="Times New Roman" w:hAnsi="Times New Roman" w:cs="Times New Roman"/>
                <w:color w:val="auto"/>
                <w:szCs w:val="21"/>
                <w:highlight w:val="none"/>
              </w:rPr>
              <w:t>上的发布时间，视为投标人确认收到招标文件</w:t>
            </w:r>
            <w:r>
              <w:rPr>
                <w:rFonts w:hint="eastAsia" w:ascii="Times New Roman" w:hAnsi="Times New Roman" w:cs="Times New Roman"/>
                <w:color w:val="auto"/>
                <w:szCs w:val="21"/>
                <w:highlight w:val="none"/>
              </w:rPr>
              <w:t>修改</w:t>
            </w:r>
            <w:r>
              <w:rPr>
                <w:rFonts w:ascii="Times New Roman" w:hAnsi="Times New Roman" w:cs="Times New Roman"/>
                <w:color w:val="auto"/>
                <w:szCs w:val="21"/>
                <w:highlight w:val="none"/>
              </w:rPr>
              <w:t>的时间。</w:t>
            </w:r>
          </w:p>
        </w:tc>
      </w:tr>
      <w:tr>
        <w:tblPrEx>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p>
        </w:tc>
        <w:tc>
          <w:tcPr>
            <w:tcW w:w="3780" w:type="dxa"/>
            <w:vMerge w:val="continue"/>
            <w:tcBorders>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rPr>
              <w:t>形式：</w:t>
            </w:r>
            <w:r>
              <w:rPr>
                <w:rFonts w:ascii="Times New Roman" w:hAnsi="Times New Roman" w:cs="Times New Roman"/>
                <w:color w:val="auto"/>
                <w:szCs w:val="21"/>
                <w:highlight w:val="none"/>
              </w:rPr>
              <w:t>所有参加本次项目招标的投标人须在网上自行查询，无需以纸质形式回复。如遇系统故障等原因不能进入</w:t>
            </w:r>
            <w:r>
              <w:rPr>
                <w:rFonts w:ascii="Times New Roman" w:hAnsi="Times New Roman" w:cs="Times New Roman"/>
                <w:i/>
                <w:iCs/>
                <w:color w:val="auto"/>
                <w:szCs w:val="21"/>
                <w:highlight w:val="none"/>
                <w:u w:val="single"/>
              </w:rPr>
              <w:t>亳州交通投资控股集团有限公司官网（www.bzjkjt.com）</w:t>
            </w:r>
            <w:r>
              <w:rPr>
                <w:rFonts w:hint="eastAsia" w:ascii="Times New Roman" w:hAnsi="Times New Roman" w:cs="Times New Roman"/>
                <w:i/>
                <w:iCs/>
                <w:color w:val="auto"/>
                <w:szCs w:val="21"/>
                <w:highlight w:val="none"/>
                <w:u w:val="single"/>
              </w:rPr>
              <w:t>及</w:t>
            </w:r>
            <w:r>
              <w:rPr>
                <w:rFonts w:ascii="Times New Roman" w:hAnsi="Times New Roman" w:cs="Times New Roman"/>
                <w:i/>
                <w:iCs/>
                <w:color w:val="auto"/>
                <w:szCs w:val="21"/>
                <w:highlight w:val="none"/>
                <w:u w:val="single"/>
              </w:rPr>
              <w:t>安徽省招标投标信息网（www.ahtba.org.cn）</w:t>
            </w:r>
            <w:r>
              <w:rPr>
                <w:rFonts w:ascii="Times New Roman" w:hAnsi="Times New Roman" w:cs="Times New Roman"/>
                <w:color w:val="auto"/>
                <w:szCs w:val="21"/>
                <w:highlight w:val="none"/>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构成投标文件的其他资料</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ascii="Times New Roman" w:hAnsi="Times New Roman" w:cs="Times New Roman"/>
                <w:color w:val="auto"/>
                <w:szCs w:val="21"/>
                <w:highlight w:val="none"/>
                <w:u w:val="single"/>
              </w:rPr>
            </w:pPr>
            <w:r>
              <w:rPr>
                <w:rFonts w:ascii="Times New Roman" w:hAnsi="Times New Roman" w:cs="Times New Roman"/>
                <w:color w:val="auto"/>
                <w:szCs w:val="21"/>
                <w:highlight w:val="none"/>
              </w:rPr>
              <w:t>投标人的书面澄清、说明和补正（但</w:t>
            </w:r>
            <w:r>
              <w:rPr>
                <w:rFonts w:hint="eastAsia" w:ascii="Times New Roman" w:hAnsi="Times New Roman" w:cs="Times New Roman"/>
                <w:color w:val="auto"/>
                <w:szCs w:val="21"/>
                <w:highlight w:val="none"/>
              </w:rPr>
              <w:t>不得超出投标文件的范围且不得改变投标文件的实质性内容）。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增值税税金的计算方法</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最高投标限价</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eastAsia="仿宋_GB2312" w:cs="Times New Roman"/>
                <w:color w:val="auto"/>
                <w:szCs w:val="21"/>
                <w:highlight w:val="none"/>
                <w:u w:val="single"/>
              </w:rPr>
            </w:pPr>
            <w:r>
              <w:rPr>
                <w:rFonts w:ascii="Times New Roman" w:hAnsi="Times New Roman" w:eastAsia="仿宋_GB2312" w:cs="Times New Roman"/>
                <w:color w:val="auto"/>
                <w:sz w:val="24"/>
                <w:highlight w:val="none"/>
              </w:rPr>
              <w:sym w:font="Wingdings" w:char="00FE"/>
            </w:r>
            <w:r>
              <w:rPr>
                <w:rFonts w:hint="eastAsia" w:asciiTheme="minorEastAsia" w:hAnsiTheme="minorEastAsia" w:cstheme="minorEastAsia"/>
                <w:color w:val="auto"/>
                <w:szCs w:val="21"/>
                <w:highlight w:val="none"/>
              </w:rPr>
              <w:t>有，最高投标限价：</w:t>
            </w:r>
            <w:r>
              <w:rPr>
                <w:rFonts w:ascii="Times New Roman" w:hAnsi="Times New Roman" w:cs="Times New Roman"/>
                <w:color w:val="auto"/>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3.2.5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投标报价的其他要求</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u w:val="single"/>
              </w:rPr>
            </w:pPr>
            <w:r>
              <w:rPr>
                <w:rFonts w:ascii="Times New Roman" w:hAnsi="Times New Roman" w:cs="Times New Roman"/>
                <w:color w:val="auto"/>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投标有效期</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u w:val="single"/>
              </w:rPr>
            </w:pPr>
            <w:r>
              <w:rPr>
                <w:rFonts w:ascii="Times New Roman" w:hAnsi="Times New Roman" w:cs="Times New Roman"/>
                <w:color w:val="auto"/>
                <w:szCs w:val="21"/>
                <w:highlight w:val="none"/>
              </w:rPr>
              <w:t>投标截止之日起</w:t>
            </w:r>
            <w:r>
              <w:rPr>
                <w:rFonts w:hint="eastAsia" w:ascii="Times New Roman" w:hAnsi="Times New Roman" w:cs="Times New Roman"/>
                <w:color w:val="auto"/>
                <w:szCs w:val="21"/>
                <w:highlight w:val="none"/>
                <w:u w:val="single"/>
              </w:rPr>
              <w:t>90</w:t>
            </w:r>
            <w:r>
              <w:rPr>
                <w:rFonts w:ascii="Times New Roman" w:hAnsi="Times New Roman" w:cs="Times New Roman"/>
                <w:color w:val="auto"/>
                <w:szCs w:val="21"/>
                <w:highlight w:val="none"/>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投标保证金</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是否要求投标人递交投标保证金：</w:t>
            </w:r>
          </w:p>
          <w:p>
            <w:pPr>
              <w:wordWrap w:val="0"/>
              <w:spacing w:line="440" w:lineRule="exact"/>
              <w:rPr>
                <w:rFonts w:ascii="Times New Roman" w:hAnsi="Times New Roman" w:cs="Times New Roman"/>
                <w:color w:val="auto"/>
                <w:szCs w:val="21"/>
                <w:highlight w:val="none"/>
              </w:rPr>
            </w:pPr>
            <w:r>
              <w:rPr>
                <w:rFonts w:ascii="Times New Roman" w:hAnsi="Times New Roman" w:eastAsia="仿宋_GB2312" w:cs="Times New Roman"/>
                <w:color w:val="auto"/>
                <w:sz w:val="24"/>
                <w:highlight w:val="none"/>
              </w:rPr>
              <w:sym w:font="Wingdings" w:char="00FE"/>
            </w:r>
            <w:r>
              <w:rPr>
                <w:rFonts w:ascii="Times New Roman" w:hAnsi="Times New Roman" w:cs="Times New Roman"/>
                <w:color w:val="auto"/>
                <w:szCs w:val="21"/>
                <w:highlight w:val="none"/>
              </w:rPr>
              <w:t>要求</w:t>
            </w:r>
          </w:p>
          <w:p>
            <w:pPr>
              <w:wordWrap w:val="0"/>
              <w:spacing w:line="4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投标保证金的形式：银行汇款或转账</w:t>
            </w:r>
          </w:p>
          <w:p>
            <w:pPr>
              <w:wordWrap w:val="0"/>
              <w:spacing w:line="4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投标保证金的金额：人民币（大写）</w:t>
            </w:r>
            <w:r>
              <w:rPr>
                <w:rFonts w:hint="eastAsia" w:ascii="Times New Roman" w:hAnsi="Times New Roman" w:cs="Times New Roman"/>
                <w:b/>
                <w:bCs/>
                <w:color w:val="auto"/>
                <w:szCs w:val="21"/>
                <w:highlight w:val="none"/>
                <w:u w:val="single"/>
              </w:rPr>
              <w:t>贰拾万元整</w:t>
            </w:r>
            <w:r>
              <w:rPr>
                <w:rFonts w:ascii="Times New Roman" w:hAnsi="Times New Roman" w:cs="Times New Roman"/>
                <w:color w:val="auto"/>
                <w:szCs w:val="21"/>
                <w:highlight w:val="none"/>
              </w:rPr>
              <w:t>，（小写）</w:t>
            </w:r>
            <w:r>
              <w:rPr>
                <w:rFonts w:hint="eastAsia" w:ascii="Times New Roman" w:hAnsi="Times New Roman" w:cs="Times New Roman"/>
                <w:b/>
                <w:bCs/>
                <w:color w:val="auto"/>
                <w:szCs w:val="21"/>
                <w:highlight w:val="none"/>
                <w:u w:val="single"/>
              </w:rPr>
              <w:t>200000元</w:t>
            </w:r>
            <w:r>
              <w:rPr>
                <w:rFonts w:ascii="Times New Roman" w:hAnsi="Times New Roman" w:cs="Times New Roman"/>
                <w:color w:val="auto"/>
                <w:szCs w:val="21"/>
                <w:highlight w:val="none"/>
              </w:rPr>
              <w:t>。</w:t>
            </w:r>
          </w:p>
          <w:p>
            <w:pPr>
              <w:wordWrap w:val="0"/>
              <w:spacing w:line="440" w:lineRule="exact"/>
              <w:rPr>
                <w:rFonts w:ascii="Times New Roman" w:hAnsi="Times New Roman" w:cs="Times New Roman"/>
                <w:b/>
                <w:bCs/>
                <w:color w:val="auto"/>
                <w:szCs w:val="21"/>
                <w:highlight w:val="none"/>
              </w:rPr>
            </w:pPr>
          </w:p>
          <w:p>
            <w:pPr>
              <w:wordWrap w:val="0"/>
              <w:spacing w:line="440" w:lineRule="exact"/>
              <w:rPr>
                <w:rFonts w:ascii="Times New Roman" w:hAnsi="Times New Roman" w:cs="Times New Roman"/>
                <w:b/>
                <w:bCs/>
                <w:color w:val="auto"/>
                <w:szCs w:val="21"/>
                <w:highlight w:val="none"/>
              </w:rPr>
            </w:pPr>
            <w:r>
              <w:rPr>
                <w:rFonts w:ascii="Times New Roman" w:hAnsi="Times New Roman" w:cs="Times New Roman"/>
                <w:b/>
                <w:bCs/>
                <w:color w:val="auto"/>
                <w:szCs w:val="21"/>
                <w:highlight w:val="none"/>
              </w:rPr>
              <w:t>收取投标保证金的账号信息：</w:t>
            </w:r>
          </w:p>
          <w:p>
            <w:pPr>
              <w:wordWrap w:val="0"/>
              <w:spacing w:line="4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开户名称：亳州交通投资控股集团有限公司</w:t>
            </w:r>
          </w:p>
          <w:p>
            <w:pPr>
              <w:wordWrap w:val="0"/>
              <w:spacing w:line="4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开户银行：中国农业银行亳州分行营业部</w:t>
            </w:r>
          </w:p>
          <w:p>
            <w:pPr>
              <w:wordWrap w:val="0"/>
              <w:spacing w:line="4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银行账号：12670801040009482</w:t>
            </w:r>
          </w:p>
          <w:p>
            <w:pPr>
              <w:wordWrap w:val="0"/>
              <w:spacing w:line="440" w:lineRule="exact"/>
              <w:rPr>
                <w:rFonts w:ascii="Times New Roman" w:hAnsi="Times New Roman" w:cs="Times New Roman"/>
                <w:color w:val="auto"/>
                <w:szCs w:val="21"/>
                <w:highlight w:val="none"/>
              </w:rPr>
            </w:pPr>
          </w:p>
          <w:p>
            <w:pPr>
              <w:wordWrap w:val="0"/>
              <w:spacing w:line="440" w:lineRule="exact"/>
              <w:rPr>
                <w:rFonts w:ascii="Times New Roman" w:hAnsi="Times New Roman" w:cs="Times New Roman"/>
                <w:b/>
                <w:bCs/>
                <w:color w:val="auto"/>
                <w:szCs w:val="21"/>
                <w:highlight w:val="none"/>
              </w:rPr>
            </w:pPr>
            <w:r>
              <w:rPr>
                <w:rFonts w:ascii="Times New Roman" w:hAnsi="Times New Roman" w:cs="Times New Roman"/>
                <w:b/>
                <w:bCs/>
                <w:color w:val="auto"/>
                <w:szCs w:val="21"/>
                <w:highlight w:val="none"/>
              </w:rPr>
              <w:t>其他要求：</w:t>
            </w:r>
          </w:p>
          <w:p>
            <w:pPr>
              <w:wordWrap w:val="0"/>
              <w:spacing w:line="4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color w:val="auto"/>
                <w:szCs w:val="21"/>
                <w:highlight w:val="none"/>
              </w:rPr>
              <w:t>“</w:t>
            </w:r>
            <w:r>
              <w:rPr>
                <w:rFonts w:hint="eastAsia" w:ascii="Times New Roman" w:hAnsi="Times New Roman" w:cs="Times New Roman"/>
                <w:b/>
                <w:bCs/>
                <w:color w:val="FF0000"/>
                <w:szCs w:val="21"/>
                <w:highlight w:val="none"/>
                <w:u w:val="single"/>
              </w:rPr>
              <w:t>BZJK-2021-0</w:t>
            </w:r>
            <w:r>
              <w:rPr>
                <w:rFonts w:hint="eastAsia" w:ascii="Times New Roman" w:hAnsi="Times New Roman" w:cs="Times New Roman"/>
                <w:b/>
                <w:bCs/>
                <w:color w:val="FF0000"/>
                <w:szCs w:val="21"/>
                <w:highlight w:val="none"/>
                <w:u w:val="single"/>
                <w:lang w:val="en-US" w:eastAsia="zh-CN"/>
              </w:rPr>
              <w:t>47</w:t>
            </w:r>
            <w:r>
              <w:rPr>
                <w:rFonts w:hint="eastAsia" w:ascii="Times New Roman" w:hAnsi="Times New Roman" w:cs="Times New Roman"/>
                <w:b/>
                <w:bCs/>
                <w:color w:val="FF0000"/>
                <w:szCs w:val="21"/>
                <w:highlight w:val="none"/>
                <w:u w:val="single"/>
              </w:rPr>
              <w:t>号保证金</w:t>
            </w:r>
            <w:r>
              <w:rPr>
                <w:rFonts w:hint="eastAsia" w:ascii="Times New Roman" w:hAnsi="Times New Roman" w:cs="Times New Roman"/>
                <w:color w:val="auto"/>
                <w:szCs w:val="21"/>
                <w:highlight w:val="none"/>
              </w:rPr>
              <w:t>”</w:t>
            </w:r>
            <w:r>
              <w:rPr>
                <w:rFonts w:ascii="Times New Roman" w:hAnsi="Times New Roman" w:cs="Times New Roman"/>
                <w:color w:val="auto"/>
                <w:szCs w:val="21"/>
                <w:highlight w:val="none"/>
              </w:rPr>
              <w:t>，否则</w:t>
            </w:r>
            <w:r>
              <w:rPr>
                <w:rFonts w:hint="eastAsia" w:ascii="Times New Roman" w:hAnsi="Times New Roman" w:cs="Times New Roman"/>
                <w:color w:val="auto"/>
                <w:szCs w:val="21"/>
                <w:highlight w:val="none"/>
              </w:rPr>
              <w:t>，</w:t>
            </w:r>
            <w:r>
              <w:rPr>
                <w:rFonts w:ascii="Times New Roman" w:hAnsi="Times New Roman" w:cs="Times New Roman"/>
                <w:color w:val="auto"/>
                <w:szCs w:val="21"/>
                <w:highlight w:val="none"/>
              </w:rPr>
              <w:t>责任自负。</w:t>
            </w:r>
          </w:p>
          <w:p>
            <w:pPr>
              <w:wordWrap w:val="0"/>
              <w:spacing w:line="4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投标保证金以到账时间为准，未按时汇入或非投标人基本账户汇出或收款银行账号错误无法判定保证金对应关系的，保证金无效；现金存入或以其他方式存入（转入）的视为无效。</w:t>
            </w:r>
          </w:p>
          <w:p>
            <w:pPr>
              <w:wordWrap w:val="0"/>
              <w:spacing w:line="440" w:lineRule="exact"/>
              <w:ind w:firstLine="420" w:firstLineChars="200"/>
              <w:rPr>
                <w:rFonts w:ascii="Times New Roman" w:hAnsi="Times New Roman" w:cs="Times New Roman"/>
                <w:color w:val="auto"/>
                <w:szCs w:val="21"/>
                <w:highlight w:val="none"/>
              </w:rPr>
            </w:pPr>
          </w:p>
          <w:p>
            <w:pPr>
              <w:wordWrap w:val="0"/>
              <w:spacing w:line="440" w:lineRule="exact"/>
              <w:rPr>
                <w:rFonts w:ascii="Times New Roman" w:hAnsi="Times New Roman" w:cs="Times New Roman"/>
                <w:b/>
                <w:bCs/>
                <w:color w:val="auto"/>
                <w:szCs w:val="21"/>
                <w:highlight w:val="none"/>
              </w:rPr>
            </w:pPr>
            <w:r>
              <w:rPr>
                <w:rFonts w:ascii="Times New Roman" w:hAnsi="Times New Roman" w:cs="Times New Roman"/>
                <w:b/>
                <w:bCs/>
                <w:color w:val="auto"/>
                <w:szCs w:val="21"/>
                <w:highlight w:val="none"/>
              </w:rPr>
              <w:t>投标保证金</w:t>
            </w:r>
            <w:r>
              <w:rPr>
                <w:rFonts w:hint="eastAsia" w:ascii="Times New Roman" w:hAnsi="Times New Roman" w:cs="Times New Roman"/>
                <w:b/>
                <w:bCs/>
                <w:color w:val="auto"/>
                <w:szCs w:val="21"/>
                <w:highlight w:val="none"/>
              </w:rPr>
              <w:t>的</w:t>
            </w:r>
            <w:r>
              <w:rPr>
                <w:rFonts w:ascii="Times New Roman" w:hAnsi="Times New Roman" w:cs="Times New Roman"/>
                <w:b/>
                <w:bCs/>
                <w:color w:val="auto"/>
                <w:szCs w:val="21"/>
                <w:highlight w:val="none"/>
              </w:rPr>
              <w:t>退还（本金无息）：</w:t>
            </w:r>
          </w:p>
          <w:p>
            <w:pPr>
              <w:wordWrap w:val="0"/>
              <w:spacing w:line="4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（1）招标不成功（或开标现场拒收投标文件）的，</w:t>
            </w:r>
            <w:r>
              <w:rPr>
                <w:rFonts w:hint="eastAsia" w:ascii="Times New Roman" w:hAnsi="Times New Roman" w:cs="Times New Roman"/>
                <w:color w:val="auto"/>
                <w:szCs w:val="21"/>
                <w:highlight w:val="none"/>
              </w:rPr>
              <w:t>5个工作</w:t>
            </w:r>
            <w:r>
              <w:rPr>
                <w:rFonts w:ascii="Times New Roman" w:hAnsi="Times New Roman" w:cs="Times New Roman"/>
                <w:color w:val="auto"/>
                <w:szCs w:val="21"/>
                <w:highlight w:val="none"/>
              </w:rPr>
              <w:t>日内直接退还至该投标人汇出帐户。</w:t>
            </w:r>
          </w:p>
          <w:p>
            <w:pPr>
              <w:wordWrap w:val="0"/>
              <w:spacing w:line="4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（2）中标侯选人公示期满且确定中标人后，未中标人的投标保证金</w:t>
            </w:r>
            <w:r>
              <w:rPr>
                <w:rFonts w:hint="eastAsia" w:ascii="Times New Roman" w:hAnsi="Times New Roman" w:cs="Times New Roman"/>
                <w:color w:val="auto"/>
                <w:szCs w:val="21"/>
                <w:highlight w:val="none"/>
              </w:rPr>
              <w:t>在5个工作</w:t>
            </w:r>
            <w:r>
              <w:rPr>
                <w:rFonts w:ascii="Times New Roman" w:hAnsi="Times New Roman" w:cs="Times New Roman"/>
                <w:color w:val="auto"/>
                <w:szCs w:val="21"/>
                <w:highlight w:val="none"/>
              </w:rPr>
              <w:t>日内直接退还至该投标人汇出帐户。</w:t>
            </w:r>
          </w:p>
          <w:p>
            <w:pPr>
              <w:wordWrap w:val="0"/>
              <w:spacing w:line="440" w:lineRule="exact"/>
              <w:ind w:firstLine="420" w:firstLineChars="200"/>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（3）如有异议或投诉的项目，按相关规定处理。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rPr>
              <w:t>增加：</w:t>
            </w:r>
          </w:p>
          <w:p>
            <w:pPr>
              <w:wordWrap w:val="0"/>
              <w:spacing w:line="440" w:lineRule="exact"/>
              <w:ind w:firstLine="420" w:firstLineChars="200"/>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（4）</w:t>
            </w:r>
            <w:r>
              <w:rPr>
                <w:rFonts w:ascii="Times New Roman" w:hAnsi="Times New Roman" w:cs="Times New Roman"/>
                <w:color w:val="auto"/>
                <w:szCs w:val="21"/>
                <w:highlight w:val="none"/>
              </w:rPr>
              <w:t>投标人采用不正当手段（串通投标、弄虚作假、行贿等）骗取中标的；</w:t>
            </w:r>
          </w:p>
          <w:p>
            <w:pPr>
              <w:wordWrap w:val="0"/>
              <w:spacing w:line="440" w:lineRule="exact"/>
              <w:ind w:firstLine="420" w:firstLineChars="200"/>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（5）</w:t>
            </w:r>
            <w:r>
              <w:rPr>
                <w:rFonts w:ascii="Times New Roman" w:hAnsi="Times New Roman" w:cs="Times New Roman"/>
                <w:color w:val="auto"/>
                <w:szCs w:val="21"/>
                <w:highlight w:val="none"/>
              </w:rPr>
              <w:t>投标人经评标委员会认定为异常低价竞标或不以中标为目的的投标的；</w:t>
            </w:r>
          </w:p>
          <w:p>
            <w:pPr>
              <w:wordWrap w:val="0"/>
              <w:spacing w:line="440" w:lineRule="exact"/>
              <w:ind w:firstLine="420" w:firstLineChars="200"/>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rPr>
              <w:t>（6）</w:t>
            </w:r>
            <w:r>
              <w:rPr>
                <w:rFonts w:ascii="Times New Roman" w:hAnsi="Times New Roman" w:cs="Times New Roman"/>
                <w:color w:val="auto"/>
                <w:szCs w:val="21"/>
                <w:highlight w:val="none"/>
              </w:rPr>
              <w:t>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资格审查资料的特殊要求</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i/>
                <w:iCs/>
                <w:color w:val="auto"/>
                <w:szCs w:val="21"/>
                <w:highlight w:val="none"/>
                <w:u w:val="single"/>
              </w:rPr>
            </w:pPr>
            <w:r>
              <w:rPr>
                <w:rFonts w:ascii="Times New Roman" w:hAnsi="Times New Roman" w:eastAsia="仿宋_GB2312" w:cs="Times New Roman"/>
                <w:color w:val="auto"/>
                <w:sz w:val="24"/>
                <w:highlight w:val="none"/>
              </w:rPr>
              <w:sym w:font="Wingdings" w:char="00FE"/>
            </w:r>
            <w:r>
              <w:rPr>
                <w:rFonts w:hint="eastAsia" w:asciiTheme="minorEastAsia" w:hAnsiTheme="minorEastAsia" w:cstheme="minorEastAsia"/>
                <w:color w:val="auto"/>
                <w:szCs w:val="21"/>
                <w:highlight w:val="none"/>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3.5.2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近年财务状况的年份要求</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3.5.3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u w:val="single"/>
              </w:rPr>
              <w:t>2020</w:t>
            </w:r>
            <w:r>
              <w:rPr>
                <w:rFonts w:hint="eastAsia" w:ascii="Times New Roman" w:hAnsi="Times New Roman" w:cs="Times New Roman"/>
                <w:color w:val="auto"/>
                <w:szCs w:val="21"/>
                <w:highlight w:val="none"/>
              </w:rPr>
              <w:t>年</w:t>
            </w:r>
            <w:r>
              <w:rPr>
                <w:rFonts w:hint="eastAsia" w:ascii="Times New Roman" w:hAnsi="Times New Roman" w:cs="Times New Roman"/>
                <w:color w:val="auto"/>
                <w:szCs w:val="21"/>
                <w:highlight w:val="none"/>
                <w:u w:val="single"/>
              </w:rPr>
              <w:t>6</w:t>
            </w:r>
            <w:r>
              <w:rPr>
                <w:rFonts w:hint="eastAsia" w:ascii="Times New Roman" w:hAnsi="Times New Roman" w:cs="Times New Roman"/>
                <w:color w:val="auto"/>
                <w:szCs w:val="21"/>
                <w:highlight w:val="none"/>
              </w:rPr>
              <w:t>月</w:t>
            </w:r>
            <w:r>
              <w:rPr>
                <w:rFonts w:hint="eastAsia" w:ascii="Times New Roman" w:hAnsi="Times New Roman" w:cs="Times New Roman"/>
                <w:color w:val="auto"/>
                <w:szCs w:val="21"/>
                <w:highlight w:val="none"/>
                <w:u w:val="single"/>
              </w:rPr>
              <w:t>30</w:t>
            </w:r>
            <w:r>
              <w:rPr>
                <w:rFonts w:hint="eastAsia" w:ascii="Times New Roman" w:hAnsi="Times New Roman" w:cs="Times New Roman"/>
                <w:color w:val="auto"/>
                <w:szCs w:val="21"/>
                <w:highlight w:val="none"/>
              </w:rPr>
              <w:t>日至</w:t>
            </w:r>
            <w:r>
              <w:rPr>
                <w:rFonts w:hint="eastAsia" w:ascii="Times New Roman" w:hAnsi="Times New Roman" w:cs="Times New Roman"/>
                <w:color w:val="auto"/>
                <w:szCs w:val="21"/>
                <w:highlight w:val="none"/>
                <w:u w:val="single"/>
              </w:rPr>
              <w:t>2021</w:t>
            </w:r>
            <w:r>
              <w:rPr>
                <w:rFonts w:hint="eastAsia" w:ascii="Times New Roman" w:hAnsi="Times New Roman" w:cs="Times New Roman"/>
                <w:color w:val="auto"/>
                <w:szCs w:val="21"/>
                <w:highlight w:val="none"/>
              </w:rPr>
              <w:t>年</w:t>
            </w:r>
            <w:r>
              <w:rPr>
                <w:rFonts w:hint="eastAsia" w:ascii="Times New Roman" w:hAnsi="Times New Roman" w:cs="Times New Roman"/>
                <w:color w:val="auto"/>
                <w:szCs w:val="21"/>
                <w:highlight w:val="none"/>
                <w:u w:val="single"/>
              </w:rPr>
              <w:t>6</w:t>
            </w:r>
            <w:r>
              <w:rPr>
                <w:rFonts w:hint="eastAsia" w:ascii="Times New Roman" w:hAnsi="Times New Roman" w:cs="Times New Roman"/>
                <w:color w:val="auto"/>
                <w:szCs w:val="21"/>
                <w:highlight w:val="none"/>
              </w:rPr>
              <w:t>月</w:t>
            </w:r>
            <w:r>
              <w:rPr>
                <w:rFonts w:hint="eastAsia" w:ascii="Times New Roman" w:hAnsi="Times New Roman" w:cs="Times New Roman"/>
                <w:color w:val="auto"/>
                <w:szCs w:val="21"/>
                <w:highlight w:val="none"/>
                <w:u w:val="single"/>
              </w:rPr>
              <w:t>30</w:t>
            </w:r>
            <w:r>
              <w:rPr>
                <w:rFonts w:hint="eastAsia" w:ascii="Times New Roman" w:hAnsi="Times New Roman" w:cs="Times New Roman"/>
                <w:color w:val="auto"/>
                <w:szCs w:val="21"/>
                <w:highlight w:val="none"/>
              </w:rPr>
              <w:t>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3.5.5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是否允许递交备选投标方案</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u w:val="single"/>
              </w:rPr>
            </w:pPr>
            <w:r>
              <w:rPr>
                <w:rFonts w:ascii="Times New Roman" w:hAnsi="Times New Roman" w:eastAsia="仿宋_GB2312" w:cs="Times New Roman"/>
                <w:color w:val="auto"/>
                <w:sz w:val="24"/>
                <w:highlight w:val="none"/>
              </w:rPr>
              <w:sym w:font="Wingdings" w:char="00FE"/>
            </w:r>
            <w:r>
              <w:rPr>
                <w:rFonts w:hint="eastAsia" w:asciiTheme="minorEastAsia" w:hAnsiTheme="minorEastAsia" w:cstheme="minorEastAsia"/>
                <w:color w:val="auto"/>
                <w:szCs w:val="21"/>
                <w:highlight w:val="none"/>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3.7.3A（1）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投标文件签字或盖章要求</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（1）盖章：除另有规定外，投标文件封面、封套封口处及文件中规定盖章处均须加盖投标人公章（鲜章），不得使用其它如带有</w:t>
            </w:r>
            <w:r>
              <w:rPr>
                <w:rFonts w:hint="eastAsia" w:ascii="Times New Roman" w:hAnsi="Times New Roman" w:cs="Times New Roman"/>
                <w:color w:val="auto"/>
                <w:szCs w:val="21"/>
                <w:highlight w:val="none"/>
              </w:rPr>
              <w:t>“</w:t>
            </w:r>
            <w:r>
              <w:rPr>
                <w:rFonts w:ascii="Times New Roman" w:hAnsi="Times New Roman" w:cs="Times New Roman"/>
                <w:color w:val="auto"/>
                <w:szCs w:val="21"/>
                <w:highlight w:val="none"/>
              </w:rPr>
              <w:t>专用章</w:t>
            </w:r>
            <w:r>
              <w:rPr>
                <w:rFonts w:hint="eastAsia" w:ascii="Times New Roman" w:hAnsi="Times New Roman" w:cs="Times New Roman"/>
                <w:color w:val="auto"/>
                <w:szCs w:val="21"/>
                <w:highlight w:val="none"/>
              </w:rPr>
              <w:t>”</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w:t>
            </w:r>
            <w:r>
              <w:rPr>
                <w:rFonts w:ascii="Times New Roman" w:hAnsi="Times New Roman" w:cs="Times New Roman"/>
                <w:color w:val="auto"/>
                <w:szCs w:val="21"/>
                <w:highlight w:val="none"/>
              </w:rPr>
              <w:t>合同章</w:t>
            </w:r>
            <w:r>
              <w:rPr>
                <w:rFonts w:hint="eastAsia" w:ascii="Times New Roman" w:hAnsi="Times New Roman" w:cs="Times New Roman"/>
                <w:color w:val="auto"/>
                <w:szCs w:val="21"/>
                <w:highlight w:val="none"/>
              </w:rPr>
              <w:t>”</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w:t>
            </w:r>
            <w:r>
              <w:rPr>
                <w:rFonts w:ascii="Times New Roman" w:hAnsi="Times New Roman" w:cs="Times New Roman"/>
                <w:color w:val="auto"/>
                <w:szCs w:val="21"/>
                <w:highlight w:val="none"/>
              </w:rPr>
              <w:t>财务章</w:t>
            </w:r>
            <w:r>
              <w:rPr>
                <w:rFonts w:hint="eastAsia" w:ascii="Times New Roman" w:hAnsi="Times New Roman" w:cs="Times New Roman"/>
                <w:color w:val="auto"/>
                <w:szCs w:val="21"/>
                <w:highlight w:val="none"/>
              </w:rPr>
              <w:t>”</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w:t>
            </w:r>
            <w:r>
              <w:rPr>
                <w:rFonts w:ascii="Times New Roman" w:hAnsi="Times New Roman" w:cs="Times New Roman"/>
                <w:color w:val="auto"/>
                <w:szCs w:val="21"/>
                <w:highlight w:val="none"/>
              </w:rPr>
              <w:t>业务章</w:t>
            </w:r>
            <w:r>
              <w:rPr>
                <w:rFonts w:hint="eastAsia" w:ascii="Times New Roman" w:hAnsi="Times New Roman" w:cs="Times New Roman"/>
                <w:color w:val="auto"/>
                <w:szCs w:val="21"/>
                <w:highlight w:val="none"/>
              </w:rPr>
              <w:t>”</w:t>
            </w:r>
            <w:r>
              <w:rPr>
                <w:rFonts w:ascii="Times New Roman" w:hAnsi="Times New Roman" w:cs="Times New Roman"/>
                <w:color w:val="auto"/>
                <w:szCs w:val="21"/>
                <w:highlight w:val="none"/>
              </w:rPr>
              <w:t>、下属单位或分支机构印章代替，否则其投标无效</w:t>
            </w:r>
            <w:r>
              <w:rPr>
                <w:rFonts w:hint="eastAsia" w:ascii="Times New Roman" w:hAnsi="Times New Roman" w:cs="Times New Roman"/>
                <w:color w:val="auto"/>
                <w:szCs w:val="21"/>
                <w:highlight w:val="none"/>
              </w:rPr>
              <w:t>；</w:t>
            </w:r>
          </w:p>
          <w:p>
            <w:pPr>
              <w:wordWrap w:val="0"/>
              <w:spacing w:line="4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（2）签字：除另有规定外，均应为手写签字，否则其投标无效。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投标文件份数及其他要求</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投标文件份数：正本1份、副本4份</w:t>
            </w:r>
          </w:p>
          <w:p>
            <w:pPr>
              <w:wordWrap w:val="0"/>
              <w:spacing w:line="440" w:lineRule="exact"/>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是否要求提交电子版文件：不要求</w:t>
            </w:r>
          </w:p>
          <w:p>
            <w:pPr>
              <w:wordWrap w:val="0"/>
              <w:spacing w:line="440" w:lineRule="exact"/>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是否要求述标：</w:t>
            </w:r>
          </w:p>
          <w:p>
            <w:pPr>
              <w:wordWrap w:val="0"/>
              <w:spacing w:line="440" w:lineRule="exact"/>
              <w:ind w:firstLine="422" w:firstLineChars="200"/>
              <w:rPr>
                <w:rFonts w:hint="default"/>
                <w:b/>
                <w:bCs/>
                <w:highlight w:val="none"/>
                <w:lang w:val="en-US" w:eastAsia="zh-CN"/>
              </w:rPr>
            </w:pPr>
            <w:r>
              <w:rPr>
                <w:rFonts w:hint="eastAsia" w:ascii="Times New Roman" w:hAnsi="Times New Roman" w:cs="Times New Roman"/>
                <w:b/>
                <w:bCs/>
                <w:color w:val="auto"/>
                <w:szCs w:val="21"/>
                <w:highlight w:val="none"/>
                <w:lang w:val="en-US" w:eastAsia="zh-CN"/>
              </w:rPr>
              <w:t>投标人自制述标演示文件，通过初步评审的投标人按签到正顺序依次述标，并就评标委员会提出的问题进行现场答辩，述标人员由投标人代表指派，但不得超过2人，述标、演示及答辩的时间应控制在20分钟以内。</w:t>
            </w:r>
          </w:p>
          <w:p>
            <w:pPr>
              <w:wordWrap w:val="0"/>
              <w:spacing w:line="4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其他要求：</w:t>
            </w:r>
          </w:p>
          <w:p>
            <w:pPr>
              <w:wordWrap w:val="0"/>
              <w:spacing w:line="4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（1）所有正本与副本封装在密封袋中，且在投标文件封面标明“正本”或“副本”的字样；</w:t>
            </w:r>
          </w:p>
          <w:p>
            <w:pPr>
              <w:wordWrap w:val="0"/>
              <w:spacing w:line="4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（2）投标文件应按要求密封，密封袋封口加盖投标单位印章；</w:t>
            </w:r>
          </w:p>
          <w:p>
            <w:pPr>
              <w:wordWrap w:val="0"/>
              <w:spacing w:line="4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3.7.3A（3）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投标文件是否需分册装订</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color w:val="auto"/>
                <w:szCs w:val="21"/>
                <w:highlight w:val="none"/>
              </w:rPr>
            </w:pPr>
            <w:r>
              <w:rPr>
                <w:rFonts w:ascii="Times New Roman" w:hAnsi="Times New Roman" w:eastAsia="仿宋_GB2312" w:cs="Times New Roman"/>
                <w:color w:val="auto"/>
                <w:sz w:val="24"/>
                <w:highlight w:val="none"/>
              </w:rPr>
              <w:sym w:font="Wingdings" w:char="00FE"/>
            </w:r>
            <w:r>
              <w:rPr>
                <w:rFonts w:hint="eastAsia" w:asciiTheme="minorEastAsia" w:hAnsiTheme="minorEastAsia" w:cstheme="minorEastAsia"/>
                <w:color w:val="auto"/>
                <w:szCs w:val="21"/>
                <w:highlight w:val="none"/>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投标文件所附证书证件要求</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投标文件签字或盖章要求</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4.1.1（B）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投标文件加密要求</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封套上应载明的信息</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招标人名称：亳州交通投资控股集团有限公司</w:t>
            </w:r>
          </w:p>
          <w:p>
            <w:pPr>
              <w:wordWrap w:val="0"/>
              <w:spacing w:line="440" w:lineRule="exact"/>
              <w:ind w:firstLine="420" w:firstLineChars="200"/>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招标人地址：亳州市谯城区药都大道1289号</w:t>
            </w:r>
          </w:p>
          <w:p>
            <w:pPr>
              <w:wordWrap w:val="0"/>
              <w:spacing w:line="440" w:lineRule="exact"/>
              <w:ind w:firstLine="420" w:firstLineChars="200"/>
              <w:rPr>
                <w:rFonts w:ascii="Times New Roman" w:hAnsi="Times New Roman" w:cs="Times New Roman"/>
                <w:color w:val="auto"/>
                <w:szCs w:val="21"/>
                <w:highlight w:val="none"/>
              </w:rPr>
            </w:pPr>
            <w:r>
              <w:rPr>
                <w:rFonts w:hint="eastAsia" w:ascii="Times New Roman" w:hAnsi="Times New Roman" w:cs="Times New Roman"/>
                <w:color w:val="auto"/>
                <w:szCs w:val="21"/>
                <w:highlight w:val="none"/>
                <w:u w:val="single"/>
              </w:rPr>
              <w:t>亳州交控集团2021年银行间市场债务融资工具（中期票据）主承销商</w:t>
            </w:r>
            <w:r>
              <w:rPr>
                <w:rFonts w:hint="eastAsia" w:ascii="Times New Roman" w:hAnsi="Times New Roman" w:cs="Times New Roman"/>
                <w:color w:val="auto"/>
                <w:szCs w:val="21"/>
                <w:highlight w:val="none"/>
              </w:rPr>
              <w:t>投标文件</w:t>
            </w:r>
          </w:p>
          <w:p>
            <w:pPr>
              <w:wordWrap w:val="0"/>
              <w:spacing w:line="440" w:lineRule="exact"/>
              <w:ind w:firstLine="420" w:firstLineChars="200"/>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招标项目编号：BZJK-2021-0</w:t>
            </w:r>
            <w:r>
              <w:rPr>
                <w:rFonts w:hint="eastAsia" w:ascii="Times New Roman" w:hAnsi="Times New Roman" w:cs="Times New Roman"/>
                <w:color w:val="auto"/>
                <w:szCs w:val="21"/>
                <w:highlight w:val="none"/>
                <w:lang w:val="en-US" w:eastAsia="zh-CN"/>
              </w:rPr>
              <w:t>47</w:t>
            </w:r>
            <w:r>
              <w:rPr>
                <w:rFonts w:hint="eastAsia" w:ascii="Times New Roman" w:hAnsi="Times New Roman" w:cs="Times New Roman"/>
                <w:color w:val="auto"/>
                <w:szCs w:val="21"/>
                <w:highlight w:val="none"/>
              </w:rPr>
              <w:t>号</w:t>
            </w:r>
          </w:p>
          <w:p>
            <w:pPr>
              <w:wordWrap w:val="0"/>
              <w:spacing w:line="440" w:lineRule="exact"/>
              <w:ind w:firstLine="420" w:firstLineChars="200"/>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rPr>
              <w:t>在</w:t>
            </w:r>
            <w:r>
              <w:rPr>
                <w:rFonts w:hint="eastAsia" w:ascii="Times New Roman" w:hAnsi="Times New Roman" w:cs="Times New Roman"/>
                <w:color w:val="auto"/>
                <w:szCs w:val="21"/>
                <w:highlight w:val="none"/>
                <w:u w:val="single"/>
              </w:rPr>
              <w:t>2021</w:t>
            </w:r>
            <w:r>
              <w:rPr>
                <w:rFonts w:hint="eastAsia" w:ascii="Times New Roman" w:hAnsi="Times New Roman" w:cs="Times New Roman"/>
                <w:color w:val="auto"/>
                <w:szCs w:val="21"/>
                <w:highlight w:val="none"/>
              </w:rPr>
              <w:t>年</w:t>
            </w:r>
            <w:r>
              <w:rPr>
                <w:rFonts w:hint="eastAsia" w:ascii="Times New Roman" w:hAnsi="Times New Roman" w:cs="Times New Roman"/>
                <w:color w:val="auto"/>
                <w:szCs w:val="21"/>
                <w:highlight w:val="none"/>
                <w:u w:val="single"/>
              </w:rPr>
              <w:t>7</w:t>
            </w:r>
            <w:r>
              <w:rPr>
                <w:rFonts w:hint="eastAsia" w:ascii="Times New Roman" w:hAnsi="Times New Roman" w:cs="Times New Roman"/>
                <w:color w:val="auto"/>
                <w:szCs w:val="21"/>
                <w:highlight w:val="none"/>
              </w:rPr>
              <w:t>月</w:t>
            </w:r>
            <w:r>
              <w:rPr>
                <w:rFonts w:hint="eastAsia" w:ascii="Times New Roman" w:hAnsi="Times New Roman" w:cs="Times New Roman"/>
                <w:color w:val="auto"/>
                <w:szCs w:val="21"/>
                <w:highlight w:val="none"/>
                <w:u w:val="single"/>
              </w:rPr>
              <w:t>2</w:t>
            </w:r>
            <w:r>
              <w:rPr>
                <w:rFonts w:hint="eastAsia" w:ascii="Times New Roman" w:hAnsi="Times New Roman" w:cs="Times New Roman"/>
                <w:color w:val="auto"/>
                <w:szCs w:val="21"/>
                <w:highlight w:val="none"/>
                <w:u w:val="single"/>
                <w:lang w:val="en-US" w:eastAsia="zh-CN"/>
              </w:rPr>
              <w:t>3</w:t>
            </w:r>
            <w:r>
              <w:rPr>
                <w:rFonts w:hint="eastAsia" w:ascii="Times New Roman" w:hAnsi="Times New Roman" w:cs="Times New Roman"/>
                <w:color w:val="auto"/>
                <w:szCs w:val="21"/>
                <w:highlight w:val="none"/>
              </w:rPr>
              <w:t>日</w:t>
            </w:r>
            <w:r>
              <w:rPr>
                <w:rFonts w:hint="eastAsia" w:ascii="Times New Roman" w:hAnsi="Times New Roman" w:cs="Times New Roman"/>
                <w:color w:val="auto"/>
                <w:szCs w:val="21"/>
                <w:highlight w:val="none"/>
                <w:u w:val="single"/>
              </w:rPr>
              <w:t>9</w:t>
            </w:r>
            <w:r>
              <w:rPr>
                <w:rFonts w:hint="eastAsia" w:ascii="Times New Roman" w:hAnsi="Times New Roman" w:cs="Times New Roman"/>
                <w:color w:val="auto"/>
                <w:szCs w:val="21"/>
                <w:highlight w:val="none"/>
              </w:rPr>
              <w:t>时</w:t>
            </w:r>
            <w:r>
              <w:rPr>
                <w:rFonts w:hint="eastAsia" w:ascii="Times New Roman" w:hAnsi="Times New Roman" w:cs="Times New Roman"/>
                <w:color w:val="auto"/>
                <w:szCs w:val="21"/>
                <w:highlight w:val="none"/>
                <w:u w:val="single"/>
              </w:rPr>
              <w:t>00</w:t>
            </w:r>
            <w:r>
              <w:rPr>
                <w:rFonts w:hint="eastAsia" w:ascii="Times New Roman" w:hAnsi="Times New Roman" w:cs="Times New Roman"/>
                <w:color w:val="auto"/>
                <w:szCs w:val="21"/>
                <w:highlight w:val="none"/>
              </w:rPr>
              <w:t>分</w:t>
            </w:r>
            <w:r>
              <w:rPr>
                <w:rFonts w:hint="eastAsia" w:ascii="Times New Roman" w:hAnsi="Times New Roman" w:cs="Times New Roman"/>
                <w:color w:val="auto"/>
                <w:szCs w:val="21"/>
                <w:highlight w:val="none"/>
              </w:rPr>
              <w:t>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投标截止时间</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2021</w:t>
            </w:r>
            <w:r>
              <w:rPr>
                <w:rFonts w:hint="eastAsia" w:ascii="Times New Roman" w:hAnsi="Times New Roman" w:cs="Times New Roman"/>
                <w:color w:val="auto"/>
                <w:szCs w:val="21"/>
                <w:highlight w:val="none"/>
              </w:rPr>
              <w:t>年</w:t>
            </w:r>
            <w:r>
              <w:rPr>
                <w:rFonts w:hint="eastAsia" w:ascii="Times New Roman" w:hAnsi="Times New Roman" w:cs="Times New Roman"/>
                <w:color w:val="auto"/>
                <w:szCs w:val="21"/>
                <w:highlight w:val="none"/>
                <w:u w:val="single"/>
              </w:rPr>
              <w:t>7</w:t>
            </w:r>
            <w:r>
              <w:rPr>
                <w:rFonts w:hint="eastAsia" w:ascii="Times New Roman" w:hAnsi="Times New Roman" w:cs="Times New Roman"/>
                <w:color w:val="auto"/>
                <w:szCs w:val="21"/>
                <w:highlight w:val="none"/>
              </w:rPr>
              <w:t>月</w:t>
            </w:r>
            <w:r>
              <w:rPr>
                <w:rFonts w:hint="eastAsia" w:ascii="Times New Roman" w:hAnsi="Times New Roman" w:cs="Times New Roman"/>
                <w:color w:val="auto"/>
                <w:szCs w:val="21"/>
                <w:highlight w:val="none"/>
                <w:u w:val="single"/>
              </w:rPr>
              <w:t>2</w:t>
            </w:r>
            <w:r>
              <w:rPr>
                <w:rFonts w:hint="eastAsia" w:ascii="Times New Roman" w:hAnsi="Times New Roman" w:cs="Times New Roman"/>
                <w:color w:val="auto"/>
                <w:szCs w:val="21"/>
                <w:highlight w:val="none"/>
                <w:u w:val="single"/>
                <w:lang w:val="en-US" w:eastAsia="zh-CN"/>
              </w:rPr>
              <w:t>3</w:t>
            </w:r>
            <w:r>
              <w:rPr>
                <w:rFonts w:hint="eastAsia" w:ascii="Times New Roman" w:hAnsi="Times New Roman" w:cs="Times New Roman"/>
                <w:color w:val="auto"/>
                <w:szCs w:val="21"/>
                <w:highlight w:val="none"/>
              </w:rPr>
              <w:t>日</w:t>
            </w:r>
            <w:r>
              <w:rPr>
                <w:rFonts w:hint="eastAsia" w:ascii="Times New Roman" w:hAnsi="Times New Roman" w:cs="Times New Roman"/>
                <w:color w:val="auto"/>
                <w:szCs w:val="21"/>
                <w:highlight w:val="none"/>
                <w:u w:val="single"/>
              </w:rPr>
              <w:t>9</w:t>
            </w:r>
            <w:r>
              <w:rPr>
                <w:rFonts w:hint="eastAsia" w:ascii="Times New Roman" w:hAnsi="Times New Roman" w:cs="Times New Roman"/>
                <w:color w:val="auto"/>
                <w:szCs w:val="21"/>
                <w:highlight w:val="none"/>
              </w:rPr>
              <w:t>时</w:t>
            </w:r>
            <w:r>
              <w:rPr>
                <w:rFonts w:hint="eastAsia" w:ascii="Times New Roman" w:hAnsi="Times New Roman" w:cs="Times New Roman"/>
                <w:color w:val="auto"/>
                <w:szCs w:val="21"/>
                <w:highlight w:val="none"/>
                <w:u w:val="single"/>
              </w:rPr>
              <w:t>00</w:t>
            </w:r>
            <w:r>
              <w:rPr>
                <w:rFonts w:hint="eastAsia" w:ascii="Times New Roman" w:hAnsi="Times New Roman" w:cs="Times New Roman"/>
                <w:color w:val="auto"/>
                <w:szCs w:val="21"/>
                <w:highlight w:val="none"/>
              </w:rPr>
              <w:t>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4.2.2（A）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递交投标文件地点</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投标文件是否退还</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u w:val="single"/>
              </w:rPr>
            </w:pPr>
            <w:r>
              <w:rPr>
                <w:rFonts w:ascii="Times New Roman" w:hAnsi="Times New Roman" w:eastAsia="仿宋_GB2312" w:cs="Times New Roman"/>
                <w:color w:val="auto"/>
                <w:sz w:val="24"/>
                <w:highlight w:val="none"/>
              </w:rPr>
              <w:sym w:font="Wingdings" w:char="00FE"/>
            </w:r>
            <w:r>
              <w:rPr>
                <w:rFonts w:hint="eastAsia" w:ascii="Times New Roman" w:hAnsi="Times New Roman" w:cs="Times New Roman"/>
                <w:color w:val="auto"/>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5.1（A）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开标时间和地点</w:t>
            </w:r>
          </w:p>
        </w:tc>
        <w:tc>
          <w:tcPr>
            <w:tcW w:w="373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开标时间：同投标截止时间</w:t>
            </w:r>
          </w:p>
          <w:p>
            <w:pPr>
              <w:spacing w:line="4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开标地点：同递交投标文件地点</w:t>
            </w:r>
          </w:p>
          <w:p>
            <w:pPr>
              <w:spacing w:line="440" w:lineRule="exact"/>
              <w:ind w:firstLine="422" w:firstLineChars="200"/>
              <w:rPr>
                <w:rFonts w:ascii="Times New Roman" w:hAnsi="Times New Roman" w:cs="Times New Roman"/>
                <w:b/>
                <w:bCs/>
                <w:color w:val="auto"/>
                <w:szCs w:val="21"/>
                <w:highlight w:val="none"/>
              </w:rPr>
            </w:pPr>
            <w:r>
              <w:rPr>
                <w:rFonts w:ascii="Times New Roman" w:hAnsi="Times New Roman" w:cs="Times New Roman"/>
                <w:b/>
                <w:bCs/>
                <w:color w:val="auto"/>
                <w:szCs w:val="21"/>
                <w:highlight w:val="none"/>
              </w:rPr>
              <w:t>注：投标人代表应持有效身份证件参加开标会议，有效身份证件是指中华人民共和国第二代居民身份证，其他证明无效</w:t>
            </w:r>
            <w:r>
              <w:rPr>
                <w:rFonts w:hint="eastAsia" w:ascii="Times New Roman" w:hAnsi="Times New Roman" w:cs="Times New Roman"/>
                <w:b/>
                <w:bCs/>
                <w:color w:val="auto"/>
                <w:szCs w:val="21"/>
                <w:highlight w:val="none"/>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5.2（4）（A）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开标程序</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u w:val="single"/>
              </w:rPr>
            </w:pPr>
            <w:r>
              <w:rPr>
                <w:rFonts w:ascii="Times New Roman" w:hAnsi="Times New Roman" w:cs="Times New Roman"/>
                <w:color w:val="auto"/>
                <w:szCs w:val="21"/>
                <w:highlight w:val="none"/>
              </w:rPr>
              <w:t>密封情况检查：</w:t>
            </w:r>
            <w:r>
              <w:rPr>
                <w:rFonts w:hint="eastAsia" w:ascii="Times New Roman" w:hAnsi="Times New Roman" w:cs="Times New Roman"/>
                <w:color w:val="auto"/>
                <w:szCs w:val="21"/>
                <w:highlight w:val="none"/>
              </w:rPr>
              <w:t>由投标人代表、招标平台工作人员共同检查确认。</w:t>
            </w:r>
          </w:p>
          <w:p>
            <w:pPr>
              <w:wordWrap w:val="0"/>
              <w:spacing w:line="440" w:lineRule="exact"/>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rPr>
              <w:t>开标顺序：</w:t>
            </w:r>
            <w:r>
              <w:rPr>
                <w:rFonts w:ascii="Times New Roman" w:hAnsi="Times New Roman" w:cs="Times New Roman"/>
                <w:color w:val="auto"/>
                <w:szCs w:val="21"/>
                <w:highlight w:val="none"/>
              </w:rPr>
              <w:t>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评标委员会的组建</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评标委员会构成：</w:t>
            </w:r>
            <w:r>
              <w:rPr>
                <w:rFonts w:hint="eastAsia" w:ascii="Times New Roman" w:hAnsi="Times New Roman" w:cs="Times New Roman"/>
                <w:color w:val="auto"/>
                <w:szCs w:val="21"/>
                <w:highlight w:val="none"/>
                <w:u w:val="single"/>
              </w:rPr>
              <w:t>5</w:t>
            </w:r>
            <w:r>
              <w:rPr>
                <w:rFonts w:ascii="Times New Roman" w:hAnsi="Times New Roman" w:cs="Times New Roman"/>
                <w:color w:val="auto"/>
                <w:szCs w:val="21"/>
                <w:highlight w:val="none"/>
              </w:rPr>
              <w:t>人</w:t>
            </w:r>
          </w:p>
          <w:p>
            <w:pPr>
              <w:wordWrap w:val="0"/>
              <w:spacing w:line="4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其中招标人代表</w:t>
            </w:r>
            <w:r>
              <w:rPr>
                <w:rFonts w:hint="eastAsia" w:ascii="Times New Roman" w:hAnsi="Times New Roman" w:cs="Times New Roman"/>
                <w:color w:val="auto"/>
                <w:szCs w:val="21"/>
                <w:highlight w:val="none"/>
                <w:u w:val="single"/>
              </w:rPr>
              <w:t>1</w:t>
            </w:r>
            <w:r>
              <w:rPr>
                <w:rFonts w:ascii="Times New Roman" w:hAnsi="Times New Roman" w:cs="Times New Roman"/>
                <w:color w:val="auto"/>
                <w:szCs w:val="21"/>
                <w:highlight w:val="none"/>
              </w:rPr>
              <w:t>人，专家</w:t>
            </w:r>
            <w:r>
              <w:rPr>
                <w:rFonts w:hint="eastAsia" w:ascii="Times New Roman" w:hAnsi="Times New Roman" w:cs="Times New Roman"/>
                <w:color w:val="auto"/>
                <w:szCs w:val="21"/>
                <w:highlight w:val="none"/>
                <w:u w:val="single"/>
              </w:rPr>
              <w:t>4</w:t>
            </w:r>
            <w:r>
              <w:rPr>
                <w:rFonts w:ascii="Times New Roman" w:hAnsi="Times New Roman" w:cs="Times New Roman"/>
                <w:color w:val="auto"/>
                <w:szCs w:val="21"/>
                <w:highlight w:val="none"/>
              </w:rPr>
              <w:t>人；</w:t>
            </w:r>
          </w:p>
          <w:p>
            <w:pPr>
              <w:wordWrap w:val="0"/>
              <w:spacing w:line="440" w:lineRule="exact"/>
              <w:rPr>
                <w:rFonts w:ascii="Times New Roman" w:hAnsi="Times New Roman" w:cs="Times New Roman"/>
                <w:color w:val="auto"/>
                <w:szCs w:val="21"/>
                <w:highlight w:val="none"/>
                <w:u w:val="single"/>
              </w:rPr>
            </w:pPr>
            <w:r>
              <w:rPr>
                <w:rFonts w:ascii="Times New Roman" w:hAnsi="Times New Roman" w:cs="Times New Roman"/>
                <w:color w:val="auto"/>
                <w:szCs w:val="21"/>
                <w:highlight w:val="none"/>
              </w:rPr>
              <w:t>评标专家确定方式：</w:t>
            </w:r>
            <w:r>
              <w:rPr>
                <w:rFonts w:hint="eastAsia" w:ascii="Times New Roman" w:hAnsi="Times New Roman" w:cs="Times New Roman"/>
                <w:color w:val="auto"/>
                <w:szCs w:val="21"/>
                <w:highlight w:val="none"/>
              </w:rPr>
              <w:t>按有关规定抽取</w:t>
            </w:r>
            <w:r>
              <w:rPr>
                <w:rFonts w:ascii="Times New Roman" w:hAnsi="Times New Roman" w:cs="Times New Roman"/>
                <w:color w:val="auto"/>
                <w:szCs w:val="21"/>
                <w:highlight w:val="none"/>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中标候选人公示媒介及期限</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公示媒介：</w:t>
            </w:r>
            <w:r>
              <w:rPr>
                <w:rFonts w:ascii="Times New Roman" w:hAnsi="Times New Roman" w:cs="Times New Roman"/>
                <w:i/>
                <w:iCs/>
                <w:color w:val="auto"/>
                <w:szCs w:val="21"/>
                <w:highlight w:val="none"/>
                <w:u w:val="single"/>
              </w:rPr>
              <w:t>亳州交通投资控股集团有限公司官网（www.bzjkjt.com）</w:t>
            </w:r>
            <w:r>
              <w:rPr>
                <w:rFonts w:hint="eastAsia" w:ascii="Times New Roman" w:hAnsi="Times New Roman" w:cs="Times New Roman"/>
                <w:i/>
                <w:iCs/>
                <w:color w:val="auto"/>
                <w:szCs w:val="21"/>
                <w:highlight w:val="none"/>
                <w:u w:val="single"/>
              </w:rPr>
              <w:t>及</w:t>
            </w:r>
            <w:r>
              <w:rPr>
                <w:rFonts w:ascii="Times New Roman" w:hAnsi="Times New Roman" w:cs="Times New Roman"/>
                <w:i/>
                <w:iCs/>
                <w:color w:val="auto"/>
                <w:szCs w:val="21"/>
                <w:highlight w:val="none"/>
                <w:u w:val="single"/>
              </w:rPr>
              <w:t>安徽省招标投标信息网（www.ahtba.org.cn）</w:t>
            </w:r>
          </w:p>
          <w:p>
            <w:pPr>
              <w:wordWrap w:val="0"/>
              <w:spacing w:line="440" w:lineRule="exact"/>
              <w:rPr>
                <w:rFonts w:ascii="Times New Roman" w:hAnsi="Times New Roman" w:cs="Times New Roman"/>
                <w:color w:val="auto"/>
                <w:szCs w:val="21"/>
                <w:highlight w:val="none"/>
                <w:u w:val="single"/>
              </w:rPr>
            </w:pPr>
            <w:r>
              <w:rPr>
                <w:rFonts w:ascii="Times New Roman" w:hAnsi="Times New Roman" w:cs="Times New Roman"/>
                <w:color w:val="auto"/>
                <w:szCs w:val="21"/>
                <w:highlight w:val="none"/>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7.4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rPr>
            </w:pPr>
            <w:r>
              <w:rPr>
                <w:rFonts w:ascii="Times New Roman" w:hAnsi="Times New Roman" w:eastAsia="仿宋_GB2312" w:cs="Times New Roman"/>
                <w:color w:val="auto"/>
                <w:sz w:val="24"/>
                <w:highlight w:val="none"/>
              </w:rPr>
              <w:sym w:font="Wingdings" w:char="00FE"/>
            </w:r>
            <w:r>
              <w:rPr>
                <w:rFonts w:hint="eastAsia" w:ascii="Times New Roman" w:hAnsi="Times New Roman" w:cs="Times New Roman"/>
                <w:color w:val="auto"/>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7.6</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技术成果经济补偿</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b/>
                <w:bCs/>
                <w:color w:val="auto"/>
                <w:szCs w:val="21"/>
                <w:highlight w:val="none"/>
              </w:rPr>
            </w:pPr>
            <w:r>
              <w:rPr>
                <w:rFonts w:hint="eastAsia" w:ascii="Times New Roman" w:hAnsi="Times New Roman" w:cs="Times New Roman"/>
                <w:color w:val="auto"/>
                <w:szCs w:val="21"/>
                <w:highlight w:val="none"/>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履约保证金</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是否要求中标人提交履约保证金：</w:t>
            </w:r>
          </w:p>
          <w:p>
            <w:pPr>
              <w:wordWrap w:val="0"/>
              <w:spacing w:line="440" w:lineRule="exact"/>
              <w:rPr>
                <w:rFonts w:ascii="Times New Roman" w:hAnsi="Times New Roman" w:cs="Times New Roman"/>
                <w:color w:val="auto"/>
                <w:szCs w:val="21"/>
                <w:highlight w:val="none"/>
              </w:rPr>
            </w:pPr>
            <w:r>
              <w:rPr>
                <w:rFonts w:ascii="Times New Roman" w:hAnsi="Times New Roman" w:eastAsia="仿宋_GB2312" w:cs="Times New Roman"/>
                <w:color w:val="auto"/>
                <w:sz w:val="24"/>
                <w:highlight w:val="none"/>
              </w:rPr>
              <w:sym w:font="Wingdings" w:char="00FE"/>
            </w:r>
            <w:r>
              <w:rPr>
                <w:rFonts w:hint="eastAsia" w:ascii="Times New Roman" w:hAnsi="Times New Roman" w:cs="Times New Roman"/>
                <w:color w:val="auto"/>
                <w:szCs w:val="21"/>
                <w:highlight w:val="none"/>
              </w:rPr>
              <w:t>要求</w:t>
            </w:r>
          </w:p>
          <w:p>
            <w:pPr>
              <w:wordWrap w:val="0"/>
              <w:spacing w:line="440" w:lineRule="exact"/>
              <w:rPr>
                <w:rFonts w:ascii="Times New Roman" w:hAnsi="Times New Roman" w:cs="Times New Roman"/>
                <w:color w:val="auto"/>
                <w:szCs w:val="21"/>
                <w:highlight w:val="none"/>
              </w:rPr>
            </w:pPr>
            <w:r>
              <w:rPr>
                <w:rFonts w:ascii="Times New Roman" w:hAnsi="Times New Roman" w:cs="Times New Roman"/>
                <w:b/>
                <w:bCs/>
                <w:color w:val="auto"/>
                <w:szCs w:val="21"/>
                <w:highlight w:val="none"/>
              </w:rPr>
              <w:t>履约</w:t>
            </w:r>
            <w:r>
              <w:rPr>
                <w:rFonts w:hint="eastAsia" w:ascii="Times New Roman" w:hAnsi="Times New Roman" w:cs="Times New Roman"/>
                <w:b/>
                <w:bCs/>
                <w:color w:val="auto"/>
                <w:szCs w:val="21"/>
                <w:highlight w:val="none"/>
              </w:rPr>
              <w:t>保证金</w:t>
            </w:r>
            <w:r>
              <w:rPr>
                <w:rFonts w:ascii="Times New Roman" w:hAnsi="Times New Roman" w:cs="Times New Roman"/>
                <w:b/>
                <w:bCs/>
                <w:color w:val="auto"/>
                <w:szCs w:val="21"/>
                <w:highlight w:val="none"/>
              </w:rPr>
              <w:t>的形式：</w:t>
            </w:r>
            <w:r>
              <w:rPr>
                <w:rFonts w:ascii="Times New Roman" w:hAnsi="Times New Roman" w:cs="Times New Roman"/>
                <w:color w:val="auto"/>
                <w:szCs w:val="21"/>
                <w:highlight w:val="none"/>
              </w:rPr>
              <w:t>中标后，投标保证金自动转为履约保证金，履约保证金不足部分由中标人在收到中标通知书1</w:t>
            </w:r>
            <w:r>
              <w:rPr>
                <w:rFonts w:hint="eastAsia" w:ascii="Times New Roman" w:hAnsi="Times New Roman" w:cs="Times New Roman"/>
                <w:color w:val="auto"/>
                <w:szCs w:val="21"/>
                <w:highlight w:val="none"/>
              </w:rPr>
              <w:t>0</w:t>
            </w:r>
            <w:r>
              <w:rPr>
                <w:rFonts w:ascii="Times New Roman" w:hAnsi="Times New Roman" w:cs="Times New Roman"/>
                <w:color w:val="auto"/>
                <w:szCs w:val="21"/>
                <w:highlight w:val="none"/>
              </w:rPr>
              <w:t>日内从其基本账户开户行银行汇款。</w:t>
            </w:r>
          </w:p>
          <w:p>
            <w:pPr>
              <w:wordWrap w:val="0"/>
              <w:spacing w:line="440" w:lineRule="exact"/>
              <w:rPr>
                <w:rFonts w:ascii="Times New Roman" w:hAnsi="Times New Roman" w:cs="Times New Roman"/>
                <w:color w:val="auto"/>
                <w:szCs w:val="21"/>
                <w:highlight w:val="none"/>
              </w:rPr>
            </w:pPr>
            <w:r>
              <w:rPr>
                <w:rFonts w:ascii="Times New Roman" w:hAnsi="Times New Roman" w:cs="Times New Roman"/>
                <w:b/>
                <w:bCs/>
                <w:color w:val="auto"/>
                <w:szCs w:val="21"/>
                <w:highlight w:val="none"/>
              </w:rPr>
              <w:t>履约</w:t>
            </w:r>
            <w:r>
              <w:rPr>
                <w:rFonts w:hint="eastAsia" w:ascii="Times New Roman" w:hAnsi="Times New Roman" w:cs="Times New Roman"/>
                <w:b/>
                <w:bCs/>
                <w:color w:val="auto"/>
                <w:szCs w:val="21"/>
                <w:highlight w:val="none"/>
              </w:rPr>
              <w:t>保证金</w:t>
            </w:r>
            <w:r>
              <w:rPr>
                <w:rFonts w:ascii="Times New Roman" w:hAnsi="Times New Roman" w:cs="Times New Roman"/>
                <w:b/>
                <w:bCs/>
                <w:color w:val="auto"/>
                <w:szCs w:val="21"/>
                <w:highlight w:val="none"/>
              </w:rPr>
              <w:t>的金额：</w:t>
            </w:r>
            <w:r>
              <w:rPr>
                <w:rFonts w:hint="eastAsia" w:ascii="Times New Roman" w:hAnsi="Times New Roman" w:cs="Times New Roman"/>
                <w:color w:val="auto"/>
                <w:szCs w:val="21"/>
                <w:highlight w:val="none"/>
              </w:rPr>
              <w:t>同投标保证金</w:t>
            </w:r>
          </w:p>
          <w:p>
            <w:pPr>
              <w:wordWrap w:val="0"/>
              <w:spacing w:line="440" w:lineRule="exact"/>
              <w:rPr>
                <w:rFonts w:ascii="Times New Roman" w:hAnsi="Times New Roman" w:cs="Times New Roman"/>
                <w:color w:val="auto"/>
                <w:szCs w:val="21"/>
                <w:highlight w:val="none"/>
              </w:rPr>
            </w:pPr>
            <w:r>
              <w:rPr>
                <w:rFonts w:ascii="Times New Roman" w:hAnsi="Times New Roman" w:cs="Times New Roman"/>
                <w:b/>
                <w:bCs/>
                <w:color w:val="auto"/>
                <w:szCs w:val="21"/>
                <w:highlight w:val="none"/>
              </w:rPr>
              <w:t>履约保证金的退还：</w:t>
            </w:r>
            <w:r>
              <w:rPr>
                <w:rFonts w:ascii="Times New Roman" w:hAnsi="Times New Roman" w:cs="Times New Roman"/>
                <w:color w:val="auto"/>
                <w:szCs w:val="21"/>
                <w:highlight w:val="none"/>
              </w:rPr>
              <w:t>无违约行为发生或违约行为已处理的情况下，</w:t>
            </w:r>
            <w:r>
              <w:rPr>
                <w:rFonts w:hint="eastAsia" w:ascii="Times New Roman" w:hAnsi="Times New Roman" w:cs="Times New Roman"/>
                <w:color w:val="auto"/>
                <w:szCs w:val="21"/>
                <w:highlight w:val="none"/>
              </w:rPr>
              <w:t>本期债务融资工具（中期票据）全部兑付完毕</w:t>
            </w:r>
            <w:r>
              <w:rPr>
                <w:rFonts w:hint="eastAsia" w:ascii="Times New Roman" w:hAnsi="Times New Roman" w:cs="Times New Roman"/>
                <w:color w:val="auto"/>
                <w:szCs w:val="21"/>
                <w:highlight w:val="none"/>
                <w:lang w:val="en-US" w:eastAsia="zh-CN"/>
              </w:rPr>
              <w:t>后</w:t>
            </w:r>
            <w:r>
              <w:rPr>
                <w:rFonts w:hint="eastAsia" w:ascii="Times New Roman" w:hAnsi="Times New Roman" w:cs="Times New Roman"/>
                <w:color w:val="auto"/>
                <w:szCs w:val="21"/>
                <w:highlight w:val="none"/>
              </w:rPr>
              <w:t>退</w:t>
            </w:r>
            <w:r>
              <w:rPr>
                <w:rFonts w:ascii="Times New Roman" w:hAnsi="Times New Roman" w:cs="Times New Roman"/>
                <w:color w:val="auto"/>
                <w:szCs w:val="21"/>
                <w:highlight w:val="none"/>
              </w:rPr>
              <w:t>还</w:t>
            </w:r>
            <w:r>
              <w:rPr>
                <w:rFonts w:hint="eastAsia" w:ascii="Times New Roman" w:hAnsi="Times New Roman" w:cs="Times New Roman"/>
                <w:color w:val="auto"/>
                <w:szCs w:val="21"/>
                <w:highlight w:val="none"/>
              </w:rPr>
              <w:t>全部</w:t>
            </w:r>
            <w:r>
              <w:rPr>
                <w:rFonts w:ascii="Times New Roman" w:hAnsi="Times New Roman" w:cs="Times New Roman"/>
                <w:color w:val="auto"/>
                <w:szCs w:val="21"/>
                <w:highlight w:val="none"/>
              </w:rPr>
              <w:t>履约保证金（无息本金）。</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是否采用电子招标投标</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auto"/>
                <w:szCs w:val="21"/>
                <w:highlight w:val="none"/>
              </w:rPr>
            </w:pPr>
            <w:r>
              <w:rPr>
                <w:rFonts w:ascii="Times New Roman" w:hAnsi="Times New Roman" w:eastAsia="仿宋_GB2312" w:cs="Times New Roman"/>
                <w:color w:val="auto"/>
                <w:sz w:val="24"/>
                <w:highlight w:val="none"/>
              </w:rPr>
              <w:sym w:font="Wingdings" w:char="00FE"/>
            </w:r>
            <w:r>
              <w:rPr>
                <w:rFonts w:ascii="Times New Roman" w:hAnsi="Times New Roman" w:cs="Times New Roman"/>
                <w:color w:val="auto"/>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10</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b/>
                <w:bCs/>
                <w:color w:val="auto"/>
                <w:szCs w:val="21"/>
                <w:highlight w:val="none"/>
              </w:rPr>
              <w:t>需要补充的其他内容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解释权</w:t>
            </w:r>
          </w:p>
        </w:tc>
        <w:tc>
          <w:tcPr>
            <w:tcW w:w="373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构成本招标文件的各个组成文件应互为解释，互为说明；如有不明确或不一致，构成合同文件组成</w:t>
            </w:r>
            <w:r>
              <w:rPr>
                <w:rFonts w:hint="eastAsia" w:ascii="Times New Roman" w:hAnsi="Times New Roman" w:cs="Times New Roman"/>
                <w:color w:val="auto"/>
                <w:szCs w:val="21"/>
                <w:highlight w:val="none"/>
              </w:rPr>
              <w:t>部分</w:t>
            </w:r>
            <w:r>
              <w:rPr>
                <w:rFonts w:ascii="Times New Roman" w:hAnsi="Times New Roman" w:cs="Times New Roman"/>
                <w:color w:val="auto"/>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color w:val="auto"/>
                <w:szCs w:val="21"/>
                <w:highlight w:val="none"/>
              </w:rPr>
              <w:t>内容</w:t>
            </w:r>
            <w:r>
              <w:rPr>
                <w:rFonts w:ascii="Times New Roman" w:hAnsi="Times New Roman" w:cs="Times New Roman"/>
                <w:color w:val="auto"/>
                <w:szCs w:val="21"/>
                <w:highlight w:val="none"/>
              </w:rPr>
              <w:t>有不一致的，以形成时间在后者为准。</w:t>
            </w:r>
          </w:p>
          <w:p>
            <w:pPr>
              <w:wordWrap w:val="0"/>
              <w:spacing w:line="4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按本款前述规定仍不能形成结论的，由招标人负责解释。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w:t>
            </w:r>
          </w:p>
        </w:tc>
      </w:tr>
    </w:tbl>
    <w:p>
      <w:pPr>
        <w:wordWrap w:val="0"/>
        <w:spacing w:line="440" w:lineRule="exact"/>
        <w:ind w:firstLine="422" w:firstLineChars="200"/>
        <w:rPr>
          <w:rFonts w:ascii="Times New Roman" w:hAnsi="Times New Roman" w:cs="Times New Roman"/>
          <w:color w:val="auto"/>
          <w:highlight w:val="none"/>
        </w:rPr>
      </w:pPr>
      <w:r>
        <w:rPr>
          <w:rFonts w:hint="eastAsia" w:ascii="Times New Roman" w:hAnsi="Times New Roman" w:cs="Times New Roman"/>
          <w:b/>
          <w:bCs/>
          <w:color w:val="auto"/>
          <w:highlight w:val="none"/>
        </w:rPr>
        <w:t>说明：</w:t>
      </w:r>
      <w:r>
        <w:rPr>
          <w:rFonts w:hint="eastAsia" w:ascii="Times New Roman" w:hAnsi="Times New Roman" w:cs="Times New Roman"/>
          <w:color w:val="auto"/>
          <w:highlight w:val="none"/>
        </w:rPr>
        <w:t>投标人须知正文部分直接引用国家发改委等九部委于2017年9月4日联合印发的</w:t>
      </w:r>
      <w:r>
        <w:rPr>
          <w:rFonts w:hint="eastAsia" w:ascii="Times New Roman" w:hAnsi="Times New Roman" w:cs="Times New Roman"/>
          <w:color w:val="auto"/>
          <w:highlight w:val="none"/>
          <w:u w:val="single"/>
        </w:rPr>
        <w:t>《中华人民共和国标准设计招标文件》（2017年版）</w:t>
      </w:r>
      <w:r>
        <w:rPr>
          <w:rFonts w:hint="eastAsia" w:ascii="Times New Roman" w:hAnsi="Times New Roman" w:cs="Times New Roman"/>
          <w:color w:val="auto"/>
          <w:highlight w:val="none"/>
        </w:rPr>
        <w:t>。</w:t>
      </w:r>
    </w:p>
    <w:p>
      <w:pPr>
        <w:rPr>
          <w:rFonts w:asciiTheme="majorEastAsia" w:hAnsiTheme="majorEastAsia" w:eastAsiaTheme="majorEastAsia" w:cstheme="majorEastAsia"/>
          <w:b/>
          <w:bCs/>
          <w:color w:val="auto"/>
          <w:sz w:val="32"/>
          <w:szCs w:val="32"/>
          <w:highlight w:val="none"/>
        </w:rPr>
      </w:pPr>
      <w:r>
        <w:rPr>
          <w:rFonts w:asciiTheme="majorEastAsia" w:hAnsiTheme="majorEastAsia" w:eastAsiaTheme="majorEastAsia" w:cstheme="majorEastAsia"/>
          <w:b/>
          <w:bCs/>
          <w:color w:val="auto"/>
          <w:sz w:val="32"/>
          <w:szCs w:val="32"/>
          <w:highlight w:val="none"/>
        </w:rPr>
        <w:br w:type="page"/>
      </w:r>
    </w:p>
    <w:p>
      <w:pPr>
        <w:spacing w:line="480" w:lineRule="exact"/>
        <w:jc w:val="center"/>
        <w:rPr>
          <w:rFonts w:asciiTheme="majorEastAsia" w:hAnsiTheme="majorEastAsia" w:eastAsiaTheme="majorEastAsia" w:cstheme="majorEastAsia"/>
          <w:b/>
          <w:bCs/>
          <w:color w:val="auto"/>
          <w:sz w:val="32"/>
          <w:szCs w:val="32"/>
          <w:highlight w:val="none"/>
        </w:rPr>
      </w:pPr>
      <w:r>
        <w:rPr>
          <w:rFonts w:asciiTheme="majorEastAsia" w:hAnsiTheme="majorEastAsia" w:eastAsiaTheme="majorEastAsia" w:cstheme="majorEastAsia"/>
          <w:b/>
          <w:bCs/>
          <w:color w:val="auto"/>
          <w:sz w:val="32"/>
          <w:szCs w:val="32"/>
          <w:highlight w:val="none"/>
        </w:rPr>
        <w:t>第三章 评标办法</w:t>
      </w:r>
      <w:r>
        <w:rPr>
          <w:rFonts w:hint="eastAsia" w:asciiTheme="majorEastAsia" w:hAnsiTheme="majorEastAsia" w:eastAsiaTheme="majorEastAsia" w:cstheme="majorEastAsia"/>
          <w:b/>
          <w:bCs/>
          <w:color w:val="auto"/>
          <w:sz w:val="32"/>
          <w:szCs w:val="32"/>
          <w:highlight w:val="none"/>
        </w:rPr>
        <w:t>（综合评估法）</w:t>
      </w:r>
    </w:p>
    <w:p>
      <w:pPr>
        <w:spacing w:line="480" w:lineRule="exact"/>
        <w:jc w:val="center"/>
        <w:rPr>
          <w:rFonts w:asciiTheme="majorEastAsia" w:hAnsiTheme="majorEastAsia" w:eastAsiaTheme="majorEastAsia" w:cstheme="majorEastAsia"/>
          <w:b/>
          <w:bCs/>
          <w:color w:val="auto"/>
          <w:sz w:val="28"/>
          <w:szCs w:val="28"/>
          <w:highlight w:val="none"/>
        </w:rPr>
      </w:pPr>
    </w:p>
    <w:p>
      <w:pPr>
        <w:spacing w:line="480" w:lineRule="exact"/>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评标办法前附表</w:t>
      </w:r>
    </w:p>
    <w:p>
      <w:pPr>
        <w:spacing w:line="480" w:lineRule="exact"/>
        <w:rPr>
          <w:rFonts w:asciiTheme="majorEastAsia" w:hAnsiTheme="majorEastAsia" w:eastAsiaTheme="majorEastAsia" w:cstheme="majorEastAsia"/>
          <w:b/>
          <w:bCs/>
          <w:color w:val="auto"/>
          <w:sz w:val="28"/>
          <w:szCs w:val="28"/>
          <w:highlight w:val="none"/>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b/>
                <w:color w:val="auto"/>
                <w:kern w:val="0"/>
                <w:sz w:val="24"/>
                <w:highlight w:val="none"/>
              </w:rPr>
            </w:pPr>
            <w:r>
              <w:rPr>
                <w:rFonts w:ascii="Times New Roman" w:hAnsi="Times New Roman" w:cs="Times New Roman"/>
                <w:b/>
                <w:color w:val="auto"/>
                <w:kern w:val="0"/>
                <w:sz w:val="24"/>
                <w:highlight w:val="none"/>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b/>
                <w:color w:val="auto"/>
                <w:kern w:val="0"/>
                <w:sz w:val="24"/>
                <w:highlight w:val="none"/>
              </w:rPr>
            </w:pPr>
            <w:r>
              <w:rPr>
                <w:rFonts w:ascii="Times New Roman" w:hAnsi="Times New Roman" w:cs="Times New Roman"/>
                <w:b/>
                <w:color w:val="auto"/>
                <w:kern w:val="0"/>
                <w:sz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b/>
                <w:color w:val="auto"/>
                <w:kern w:val="0"/>
                <w:sz w:val="24"/>
                <w:highlight w:val="none"/>
              </w:rPr>
            </w:pPr>
            <w:r>
              <w:rPr>
                <w:rFonts w:ascii="Times New Roman" w:hAnsi="Times New Roman" w:cs="Times New Roman"/>
                <w:b/>
                <w:color w:val="auto"/>
                <w:kern w:val="0"/>
                <w:sz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1</w:t>
            </w:r>
          </w:p>
        </w:tc>
        <w:tc>
          <w:tcPr>
            <w:tcW w:w="850"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评标办法</w:t>
            </w: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中标候选人排序方法</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综合评分相等时，以投标报价低的优先；投标报价也相等的，以业绩得分高的优先；如果业绩得分也相等，由招标人或其授权的评标委员会自行确定（一般宜采用投票制，少数服从多数）。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2.1.1</w:t>
            </w:r>
          </w:p>
        </w:tc>
        <w:tc>
          <w:tcPr>
            <w:tcW w:w="850"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投标函及投标函附录</w:t>
            </w:r>
            <w:r>
              <w:rPr>
                <w:rFonts w:ascii="Times New Roman" w:hAnsi="Times New Roman" w:cs="Times New Roman"/>
                <w:color w:val="auto"/>
                <w:kern w:val="0"/>
                <w:sz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有法定代表人</w:t>
            </w:r>
            <w:r>
              <w:rPr>
                <w:rFonts w:hint="eastAsia" w:ascii="Times New Roman" w:hAnsi="Times New Roman" w:cs="Times New Roman"/>
                <w:color w:val="auto"/>
                <w:kern w:val="0"/>
                <w:sz w:val="24"/>
                <w:highlight w:val="none"/>
              </w:rPr>
              <w:t>或其委托代理人签字或加盖单位章。由法定代表人签字的，应附法定代表人身份证明，由代理人签字的，应附授权委托书，身份证明或授权委托书应符合第</w:t>
            </w:r>
            <w:r>
              <w:rPr>
                <w:rFonts w:hint="eastAsia" w:ascii="Times New Roman" w:hAnsi="Times New Roman" w:cs="Times New Roman"/>
                <w:color w:val="auto"/>
                <w:kern w:val="0"/>
                <w:sz w:val="24"/>
                <w:highlight w:val="none"/>
                <w:lang w:val="en-US" w:eastAsia="zh-CN"/>
              </w:rPr>
              <w:t>五</w:t>
            </w:r>
            <w:r>
              <w:rPr>
                <w:rFonts w:hint="eastAsia" w:ascii="Times New Roman" w:hAnsi="Times New Roman" w:cs="Times New Roman"/>
                <w:color w:val="auto"/>
                <w:kern w:val="0"/>
                <w:sz w:val="24"/>
                <w:highlight w:val="none"/>
              </w:rPr>
              <w:t>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符合第</w:t>
            </w:r>
            <w:r>
              <w:rPr>
                <w:rFonts w:hint="eastAsia" w:ascii="Times New Roman" w:hAnsi="Times New Roman" w:cs="Times New Roman"/>
                <w:color w:val="auto"/>
                <w:kern w:val="0"/>
                <w:sz w:val="24"/>
                <w:highlight w:val="none"/>
                <w:lang w:val="en-US" w:eastAsia="zh-CN"/>
              </w:rPr>
              <w:t>五</w:t>
            </w:r>
            <w:r>
              <w:rPr>
                <w:rFonts w:ascii="Times New Roman" w:hAnsi="Times New Roman" w:cs="Times New Roman"/>
                <w:color w:val="auto"/>
                <w:kern w:val="0"/>
                <w:sz w:val="24"/>
                <w:highlight w:val="none"/>
              </w:rPr>
              <w:t>章</w:t>
            </w:r>
            <w:r>
              <w:rPr>
                <w:rFonts w:hint="eastAsia" w:ascii="Times New Roman" w:hAnsi="Times New Roman" w:cs="Times New Roman"/>
                <w:color w:val="auto"/>
                <w:kern w:val="0"/>
                <w:sz w:val="24"/>
                <w:highlight w:val="none"/>
              </w:rPr>
              <w:t>“</w:t>
            </w:r>
            <w:r>
              <w:rPr>
                <w:rFonts w:ascii="Times New Roman" w:hAnsi="Times New Roman" w:cs="Times New Roman"/>
                <w:color w:val="auto"/>
                <w:kern w:val="0"/>
                <w:sz w:val="24"/>
                <w:highlight w:val="none"/>
              </w:rPr>
              <w:t>投标文件格式</w:t>
            </w:r>
            <w:r>
              <w:rPr>
                <w:rFonts w:hint="eastAsia" w:ascii="Times New Roman" w:hAnsi="Times New Roman" w:cs="Times New Roman"/>
                <w:color w:val="auto"/>
                <w:kern w:val="0"/>
                <w:sz w:val="24"/>
                <w:highlight w:val="none"/>
              </w:rPr>
              <w:t>”</w:t>
            </w:r>
            <w:r>
              <w:rPr>
                <w:rFonts w:ascii="Times New Roman" w:hAnsi="Times New Roman" w:cs="Times New Roman"/>
                <w:color w:val="auto"/>
                <w:kern w:val="0"/>
                <w:sz w:val="24"/>
                <w:highlight w:val="none"/>
              </w:rPr>
              <w:t>的</w:t>
            </w:r>
            <w:r>
              <w:rPr>
                <w:rFonts w:hint="eastAsia" w:ascii="Times New Roman" w:hAnsi="Times New Roman" w:cs="Times New Roman"/>
                <w:color w:val="auto"/>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850" w:type="dxa"/>
            <w:vMerge w:val="continue"/>
            <w:tcBorders>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联合体投标人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（如有）</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850" w:type="dxa"/>
            <w:vMerge w:val="continue"/>
            <w:tcBorders>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备选投标方案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（如有）</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2.1.2</w:t>
            </w:r>
          </w:p>
        </w:tc>
        <w:tc>
          <w:tcPr>
            <w:tcW w:w="850"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营业执照</w:t>
            </w:r>
            <w:r>
              <w:rPr>
                <w:rFonts w:hint="eastAsia" w:ascii="Times New Roman" w:hAnsi="Times New Roman" w:cs="Times New Roman"/>
                <w:color w:val="auto"/>
                <w:kern w:val="0"/>
                <w:sz w:val="24"/>
                <w:highlight w:val="none"/>
              </w:rPr>
              <w:t>和组织机构代码证</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符合第二章“投标人组织”第3.5.1项规定，</w:t>
            </w:r>
            <w:r>
              <w:rPr>
                <w:rFonts w:ascii="Times New Roman" w:hAnsi="Times New Roman" w:cs="Times New Roman"/>
                <w:color w:val="auto"/>
                <w:kern w:val="0"/>
                <w:sz w:val="24"/>
                <w:highlight w:val="none"/>
              </w:rPr>
              <w:t>具备有效的营业执照</w:t>
            </w:r>
            <w:r>
              <w:rPr>
                <w:rFonts w:hint="eastAsia" w:ascii="Times New Roman" w:hAnsi="Times New Roman" w:cs="Times New Roman"/>
                <w:color w:val="auto"/>
                <w:kern w:val="0"/>
                <w:sz w:val="24"/>
                <w:highlight w:val="none"/>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资质要求</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财务要求</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业绩要求</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信誉要求</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项目负责人</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其他主要人员</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联合体投标人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（如有）</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不存在禁止投标的情形</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2.1.3</w:t>
            </w:r>
          </w:p>
        </w:tc>
        <w:tc>
          <w:tcPr>
            <w:tcW w:w="850"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投标报价</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符合第二章</w:t>
            </w:r>
            <w:r>
              <w:rPr>
                <w:rFonts w:hint="eastAsia" w:ascii="Times New Roman" w:hAnsi="Times New Roman" w:cs="Times New Roman"/>
                <w:color w:val="auto"/>
                <w:kern w:val="0"/>
                <w:sz w:val="24"/>
                <w:highlight w:val="none"/>
              </w:rPr>
              <w:t>“</w:t>
            </w:r>
            <w:r>
              <w:rPr>
                <w:rFonts w:ascii="Times New Roman" w:hAnsi="Times New Roman" w:cs="Times New Roman"/>
                <w:color w:val="auto"/>
                <w:kern w:val="0"/>
                <w:sz w:val="24"/>
                <w:highlight w:val="none"/>
              </w:rPr>
              <w:t>投标人须知</w:t>
            </w:r>
            <w:r>
              <w:rPr>
                <w:rFonts w:hint="eastAsia" w:ascii="Times New Roman" w:hAnsi="Times New Roman" w:cs="Times New Roman"/>
                <w:color w:val="auto"/>
                <w:kern w:val="0"/>
                <w:sz w:val="24"/>
                <w:highlight w:val="none"/>
              </w:rPr>
              <w:t>”第3.2款</w:t>
            </w:r>
            <w:r>
              <w:rPr>
                <w:rFonts w:ascii="Times New Roman" w:hAnsi="Times New Roman" w:cs="Times New Roman"/>
                <w:color w:val="auto"/>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投标内容</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符合第二章</w:t>
            </w:r>
            <w:r>
              <w:rPr>
                <w:rFonts w:hint="eastAsia" w:ascii="Times New Roman" w:hAnsi="Times New Roman" w:cs="Times New Roman"/>
                <w:color w:val="auto"/>
                <w:kern w:val="0"/>
                <w:sz w:val="24"/>
                <w:highlight w:val="none"/>
              </w:rPr>
              <w:t>“</w:t>
            </w:r>
            <w:r>
              <w:rPr>
                <w:rFonts w:ascii="Times New Roman" w:hAnsi="Times New Roman" w:cs="Times New Roman"/>
                <w:color w:val="auto"/>
                <w:kern w:val="0"/>
                <w:sz w:val="24"/>
                <w:highlight w:val="none"/>
              </w:rPr>
              <w:t>投标人须知</w:t>
            </w:r>
            <w:r>
              <w:rPr>
                <w:rFonts w:hint="eastAsia" w:ascii="Times New Roman" w:hAnsi="Times New Roman" w:cs="Times New Roman"/>
                <w:color w:val="auto"/>
                <w:kern w:val="0"/>
                <w:sz w:val="24"/>
                <w:highlight w:val="none"/>
              </w:rPr>
              <w:t>”第1.3.1项</w:t>
            </w:r>
            <w:r>
              <w:rPr>
                <w:rFonts w:ascii="Times New Roman" w:hAnsi="Times New Roman" w:cs="Times New Roman"/>
                <w:color w:val="auto"/>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服务期限</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符合第二章</w:t>
            </w:r>
            <w:r>
              <w:rPr>
                <w:rFonts w:hint="eastAsia" w:ascii="Times New Roman" w:hAnsi="Times New Roman" w:cs="Times New Roman"/>
                <w:color w:val="auto"/>
                <w:kern w:val="0"/>
                <w:sz w:val="24"/>
                <w:highlight w:val="none"/>
              </w:rPr>
              <w:t>“</w:t>
            </w:r>
            <w:r>
              <w:rPr>
                <w:rFonts w:ascii="Times New Roman" w:hAnsi="Times New Roman" w:cs="Times New Roman"/>
                <w:color w:val="auto"/>
                <w:kern w:val="0"/>
                <w:sz w:val="24"/>
                <w:highlight w:val="none"/>
              </w:rPr>
              <w:t>投标人须知</w:t>
            </w:r>
            <w:r>
              <w:rPr>
                <w:rFonts w:hint="eastAsia" w:ascii="Times New Roman" w:hAnsi="Times New Roman" w:cs="Times New Roman"/>
                <w:color w:val="auto"/>
                <w:kern w:val="0"/>
                <w:sz w:val="24"/>
                <w:highlight w:val="none"/>
              </w:rPr>
              <w:t>”第1.3.4项</w:t>
            </w:r>
            <w:r>
              <w:rPr>
                <w:rFonts w:ascii="Times New Roman" w:hAnsi="Times New Roman" w:cs="Times New Roman"/>
                <w:color w:val="auto"/>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质量标准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符合第二章</w:t>
            </w:r>
            <w:r>
              <w:rPr>
                <w:rFonts w:hint="eastAsia" w:ascii="Times New Roman" w:hAnsi="Times New Roman" w:cs="Times New Roman"/>
                <w:color w:val="auto"/>
                <w:kern w:val="0"/>
                <w:sz w:val="24"/>
                <w:highlight w:val="none"/>
              </w:rPr>
              <w:t>“</w:t>
            </w:r>
            <w:r>
              <w:rPr>
                <w:rFonts w:ascii="Times New Roman" w:hAnsi="Times New Roman" w:cs="Times New Roman"/>
                <w:color w:val="auto"/>
                <w:kern w:val="0"/>
                <w:sz w:val="24"/>
                <w:highlight w:val="none"/>
              </w:rPr>
              <w:t>投标人须知</w:t>
            </w:r>
            <w:r>
              <w:rPr>
                <w:rFonts w:hint="eastAsia" w:ascii="Times New Roman" w:hAnsi="Times New Roman" w:cs="Times New Roman"/>
                <w:color w:val="auto"/>
                <w:kern w:val="0"/>
                <w:sz w:val="24"/>
                <w:highlight w:val="none"/>
              </w:rPr>
              <w:t>”第1.3.3项</w:t>
            </w:r>
            <w:r>
              <w:rPr>
                <w:rFonts w:ascii="Times New Roman" w:hAnsi="Times New Roman" w:cs="Times New Roman"/>
                <w:color w:val="auto"/>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投标有效期</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符合第二章</w:t>
            </w:r>
            <w:r>
              <w:rPr>
                <w:rFonts w:hint="eastAsia" w:ascii="Times New Roman" w:hAnsi="Times New Roman" w:cs="Times New Roman"/>
                <w:color w:val="auto"/>
                <w:kern w:val="0"/>
                <w:sz w:val="24"/>
                <w:highlight w:val="none"/>
              </w:rPr>
              <w:t>“</w:t>
            </w:r>
            <w:r>
              <w:rPr>
                <w:rFonts w:ascii="Times New Roman" w:hAnsi="Times New Roman" w:cs="Times New Roman"/>
                <w:color w:val="auto"/>
                <w:kern w:val="0"/>
                <w:sz w:val="24"/>
                <w:highlight w:val="none"/>
              </w:rPr>
              <w:t>投标人须知</w:t>
            </w:r>
            <w:r>
              <w:rPr>
                <w:rFonts w:hint="eastAsia" w:ascii="Times New Roman" w:hAnsi="Times New Roman" w:cs="Times New Roman"/>
                <w:color w:val="auto"/>
                <w:kern w:val="0"/>
                <w:sz w:val="24"/>
                <w:highlight w:val="none"/>
              </w:rPr>
              <w:t>”第3.3.1项</w:t>
            </w:r>
            <w:r>
              <w:rPr>
                <w:rFonts w:ascii="Times New Roman" w:hAnsi="Times New Roman" w:cs="Times New Roman"/>
                <w:color w:val="auto"/>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投标保证金</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符合第二章</w:t>
            </w:r>
            <w:r>
              <w:rPr>
                <w:rFonts w:hint="eastAsia" w:ascii="Times New Roman" w:hAnsi="Times New Roman" w:cs="Times New Roman"/>
                <w:color w:val="auto"/>
                <w:kern w:val="0"/>
                <w:sz w:val="24"/>
                <w:highlight w:val="none"/>
              </w:rPr>
              <w:t>“</w:t>
            </w:r>
            <w:r>
              <w:rPr>
                <w:rFonts w:ascii="Times New Roman" w:hAnsi="Times New Roman" w:cs="Times New Roman"/>
                <w:color w:val="auto"/>
                <w:kern w:val="0"/>
                <w:sz w:val="24"/>
                <w:highlight w:val="none"/>
              </w:rPr>
              <w:t>投标人须知</w:t>
            </w:r>
            <w:r>
              <w:rPr>
                <w:rFonts w:hint="eastAsia" w:ascii="Times New Roman" w:hAnsi="Times New Roman" w:cs="Times New Roman"/>
                <w:color w:val="auto"/>
                <w:kern w:val="0"/>
                <w:sz w:val="24"/>
                <w:highlight w:val="none"/>
              </w:rPr>
              <w:t>”第3.4.1项</w:t>
            </w:r>
            <w:r>
              <w:rPr>
                <w:rFonts w:ascii="Times New Roman" w:hAnsi="Times New Roman" w:cs="Times New Roman"/>
                <w:color w:val="auto"/>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850"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权力义务</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符合第二章“投标人须知”第1.12.1项规定和第四章“合同条款及格式”中的实质性要求和条件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850" w:type="dxa"/>
            <w:vMerge w:val="continue"/>
            <w:tcBorders>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服务方案</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符合招标文件的实质性要求和条件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b/>
                <w:bCs/>
                <w:color w:val="auto"/>
                <w:kern w:val="0"/>
                <w:sz w:val="24"/>
                <w:highlight w:val="none"/>
              </w:rPr>
            </w:pPr>
            <w:bookmarkStart w:id="16" w:name="_Toc179632607"/>
            <w:bookmarkStart w:id="17" w:name="_Toc152042366"/>
            <w:bookmarkStart w:id="18" w:name="_Toc296602477"/>
            <w:bookmarkStart w:id="19" w:name="_Toc246996975"/>
            <w:bookmarkStart w:id="20" w:name="_Toc152045589"/>
            <w:bookmarkStart w:id="21" w:name="_Toc246996232"/>
            <w:bookmarkStart w:id="22" w:name="_Toc144974556"/>
            <w:bookmarkStart w:id="23" w:name="_Toc247085747"/>
            <w:r>
              <w:rPr>
                <w:rFonts w:ascii="Times New Roman" w:hAnsi="Times New Roman" w:cs="Times New Roman"/>
                <w:b/>
                <w:bCs/>
                <w:color w:val="auto"/>
                <w:kern w:val="0"/>
                <w:sz w:val="24"/>
                <w:highlight w:val="none"/>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b/>
                <w:bCs/>
                <w:color w:val="auto"/>
                <w:kern w:val="0"/>
                <w:sz w:val="24"/>
                <w:highlight w:val="none"/>
              </w:rPr>
            </w:pPr>
            <w:r>
              <w:rPr>
                <w:rFonts w:ascii="Times New Roman" w:hAnsi="Times New Roman" w:cs="Times New Roman"/>
                <w:b/>
                <w:bCs/>
                <w:color w:val="auto"/>
                <w:kern w:val="0"/>
                <w:sz w:val="24"/>
                <w:highlight w:val="none"/>
              </w:rPr>
              <w:t>条款内容</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b/>
                <w:bCs/>
                <w:color w:val="auto"/>
                <w:kern w:val="0"/>
                <w:sz w:val="24"/>
                <w:highlight w:val="none"/>
              </w:rPr>
            </w:pPr>
            <w:r>
              <w:rPr>
                <w:rFonts w:ascii="Times New Roman" w:hAnsi="Times New Roman" w:cs="Times New Roman"/>
                <w:b/>
                <w:bCs/>
                <w:color w:val="auto"/>
                <w:kern w:val="0"/>
                <w:sz w:val="24"/>
                <w:highlight w:val="none"/>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2.2.1</w:t>
            </w: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（总分100分）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综合实力部分：</w:t>
            </w:r>
            <w:r>
              <w:rPr>
                <w:rFonts w:hint="eastAsia" w:ascii="Times New Roman" w:hAnsi="Times New Roman" w:cs="Times New Roman"/>
                <w:color w:val="auto"/>
                <w:kern w:val="0"/>
                <w:sz w:val="24"/>
                <w:highlight w:val="none"/>
                <w:u w:val="single"/>
              </w:rPr>
              <w:t>50</w:t>
            </w:r>
            <w:r>
              <w:rPr>
                <w:rFonts w:hint="eastAsia" w:ascii="Times New Roman" w:hAnsi="Times New Roman" w:cs="Times New Roman"/>
                <w:color w:val="auto"/>
                <w:kern w:val="0"/>
                <w:sz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项目重视程度部分：</w:t>
            </w:r>
            <w:r>
              <w:rPr>
                <w:rFonts w:hint="eastAsia" w:ascii="Times New Roman" w:hAnsi="Times New Roman" w:cs="Times New Roman"/>
                <w:color w:val="auto"/>
                <w:kern w:val="0"/>
                <w:sz w:val="24"/>
                <w:highlight w:val="none"/>
                <w:u w:val="single"/>
              </w:rPr>
              <w:t>10</w:t>
            </w:r>
            <w:r>
              <w:rPr>
                <w:rFonts w:hint="eastAsia" w:ascii="Times New Roman" w:hAnsi="Times New Roman" w:cs="Times New Roman"/>
                <w:color w:val="auto"/>
                <w:kern w:val="0"/>
                <w:sz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业绩部分：</w:t>
            </w:r>
            <w:r>
              <w:rPr>
                <w:rFonts w:hint="eastAsia" w:ascii="Times New Roman" w:hAnsi="Times New Roman" w:cs="Times New Roman"/>
                <w:color w:val="auto"/>
                <w:kern w:val="0"/>
                <w:sz w:val="24"/>
                <w:highlight w:val="none"/>
                <w:u w:val="single"/>
              </w:rPr>
              <w:t>20</w:t>
            </w:r>
            <w:r>
              <w:rPr>
                <w:rFonts w:hint="eastAsia" w:ascii="Times New Roman" w:hAnsi="Times New Roman" w:cs="Times New Roman"/>
                <w:color w:val="auto"/>
                <w:kern w:val="0"/>
                <w:sz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投标报价：</w:t>
            </w:r>
            <w:r>
              <w:rPr>
                <w:rFonts w:hint="eastAsia" w:ascii="Times New Roman" w:hAnsi="Times New Roman" w:cs="Times New Roman"/>
                <w:color w:val="auto"/>
                <w:kern w:val="0"/>
                <w:sz w:val="24"/>
                <w:highlight w:val="none"/>
                <w:u w:val="single"/>
              </w:rPr>
              <w:t>20</w:t>
            </w:r>
            <w:r>
              <w:rPr>
                <w:rFonts w:hint="eastAsia" w:ascii="Times New Roman" w:hAnsi="Times New Roman" w:cs="Times New Roman"/>
                <w:color w:val="auto"/>
                <w:kern w:val="0"/>
                <w:sz w:val="24"/>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2.2.2</w:t>
            </w: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评标基准价计算方法</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lang w:val="en-US" w:eastAsia="zh-CN"/>
              </w:rPr>
              <w:t>以所有通过初步评审的投标人的投标报价（去掉一个最低价和一个最高价）算数平均数作为评标基准价。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2.2.3</w:t>
            </w: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投标报价的偏差率计算公式</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详见2.2.4（4）投标报价评分标准。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b/>
                <w:bCs/>
                <w:color w:val="auto"/>
                <w:kern w:val="0"/>
                <w:sz w:val="24"/>
                <w:highlight w:val="none"/>
              </w:rPr>
            </w:pPr>
            <w:r>
              <w:rPr>
                <w:rFonts w:ascii="Times New Roman" w:hAnsi="Times New Roman" w:cs="Times New Roman"/>
                <w:b/>
                <w:bCs/>
                <w:color w:val="auto"/>
                <w:kern w:val="0"/>
                <w:sz w:val="24"/>
                <w:highlight w:val="none"/>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b/>
                <w:bCs/>
                <w:color w:val="auto"/>
                <w:kern w:val="0"/>
                <w:sz w:val="24"/>
                <w:highlight w:val="none"/>
              </w:rPr>
            </w:pPr>
            <w:r>
              <w:rPr>
                <w:rFonts w:ascii="Times New Roman" w:hAnsi="Times New Roman" w:cs="Times New Roman"/>
                <w:b/>
                <w:bCs/>
                <w:color w:val="auto"/>
                <w:kern w:val="0"/>
                <w:sz w:val="24"/>
                <w:highlight w:val="none"/>
              </w:rPr>
              <w:t>评分因素</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ascii="Times New Roman" w:hAnsi="Times New Roman" w:cs="Times New Roman"/>
                <w:b/>
                <w:bCs/>
                <w:color w:val="auto"/>
                <w:kern w:val="0"/>
                <w:sz w:val="24"/>
                <w:highlight w:val="none"/>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（1）</w:t>
            </w:r>
          </w:p>
        </w:tc>
        <w:tc>
          <w:tcPr>
            <w:tcW w:w="850"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综合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实力</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w:t>
            </w:r>
            <w:r>
              <w:rPr>
                <w:rFonts w:hint="eastAsia" w:ascii="Times New Roman" w:hAnsi="Times New Roman" w:cs="Times New Roman"/>
                <w:color w:val="auto"/>
                <w:kern w:val="0"/>
                <w:sz w:val="24"/>
                <w:highlight w:val="none"/>
              </w:rPr>
              <w:t>50</w:t>
            </w:r>
            <w:r>
              <w:rPr>
                <w:rFonts w:ascii="Times New Roman" w:hAnsi="Times New Roman" w:cs="Times New Roman"/>
                <w:color w:val="auto"/>
                <w:kern w:val="0"/>
                <w:sz w:val="24"/>
                <w:highlight w:val="none"/>
              </w:rPr>
              <w:t>分）</w:t>
            </w: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综合金融服务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w:t>
            </w:r>
            <w:r>
              <w:rPr>
                <w:rFonts w:hint="eastAsia" w:ascii="Times New Roman" w:hAnsi="Times New Roman" w:cs="Times New Roman"/>
                <w:color w:val="auto"/>
                <w:kern w:val="0"/>
                <w:sz w:val="24"/>
                <w:highlight w:val="none"/>
              </w:rPr>
              <w:t>20</w:t>
            </w:r>
            <w:r>
              <w:rPr>
                <w:rFonts w:ascii="Times New Roman" w:hAnsi="Times New Roman" w:cs="Times New Roman"/>
                <w:color w:val="auto"/>
                <w:kern w:val="0"/>
                <w:sz w:val="24"/>
                <w:highlight w:val="none"/>
              </w:rPr>
              <w:t>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综合金融服务，根据招标人转型发展情况及最新政策导向，对其业务进行全面梳理，提供综合金融服务。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1.投标人简介及竞争优势</w:t>
            </w:r>
            <w:r>
              <w:rPr>
                <w:rFonts w:hint="eastAsia" w:ascii="Times New Roman" w:hAnsi="Times New Roman" w:cs="Times New Roman"/>
                <w:color w:val="auto"/>
                <w:kern w:val="0"/>
                <w:sz w:val="24"/>
                <w:highlight w:val="none"/>
              </w:rPr>
              <w:t>（5分）；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2.银行间市场交易商协会对平台公司最新监管政策分析解读</w:t>
            </w:r>
            <w:r>
              <w:rPr>
                <w:rFonts w:hint="eastAsia" w:ascii="Times New Roman" w:hAnsi="Times New Roman" w:cs="Times New Roman"/>
                <w:color w:val="auto"/>
                <w:kern w:val="0"/>
                <w:sz w:val="24"/>
                <w:highlight w:val="none"/>
              </w:rPr>
              <w:t>（5分）；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3.交控集团各业务板块分析及后续发展方向</w:t>
            </w:r>
            <w:r>
              <w:rPr>
                <w:rFonts w:hint="eastAsia" w:ascii="Times New Roman" w:hAnsi="Times New Roman" w:cs="Times New Roman"/>
                <w:color w:val="auto"/>
                <w:kern w:val="0"/>
                <w:sz w:val="24"/>
                <w:highlight w:val="none"/>
              </w:rPr>
              <w:t>（5分）；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4.交控集团融资困境及未来融资建议</w:t>
            </w:r>
            <w:r>
              <w:rPr>
                <w:rFonts w:hint="eastAsia" w:ascii="Times New Roman" w:hAnsi="Times New Roman" w:cs="Times New Roman"/>
                <w:color w:val="auto"/>
                <w:kern w:val="0"/>
                <w:sz w:val="24"/>
                <w:highlight w:val="none"/>
              </w:rPr>
              <w:t>（5分）。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评标委员会酌情给分。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850" w:type="dxa"/>
            <w:vMerge w:val="continue"/>
            <w:tcBorders>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发行方案设计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（30分）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重点考察发行方案设计，包括：</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1</w:t>
            </w:r>
            <w:r>
              <w:rPr>
                <w:rFonts w:hint="eastAsia" w:ascii="Times New Roman" w:hAnsi="Times New Roman" w:cs="Times New Roman"/>
                <w:color w:val="auto"/>
                <w:kern w:val="0"/>
                <w:sz w:val="24"/>
                <w:highlight w:val="none"/>
              </w:rPr>
              <w:t>.</w:t>
            </w:r>
            <w:r>
              <w:rPr>
                <w:rFonts w:ascii="Times New Roman" w:hAnsi="Times New Roman" w:cs="Times New Roman"/>
                <w:color w:val="auto"/>
                <w:kern w:val="0"/>
                <w:sz w:val="24"/>
                <w:highlight w:val="none"/>
              </w:rPr>
              <w:t>申报节点、注册发行金额、期限结构、发行方式、承销方式和中介机构的组织等（10分）</w:t>
            </w:r>
            <w:r>
              <w:rPr>
                <w:rFonts w:hint="eastAsia" w:ascii="Times New Roman" w:hAnsi="Times New Roman" w:cs="Times New Roman"/>
                <w:color w:val="auto"/>
                <w:kern w:val="0"/>
                <w:sz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2.</w:t>
            </w:r>
            <w:r>
              <w:rPr>
                <w:rFonts w:ascii="Times New Roman" w:hAnsi="Times New Roman" w:cs="Times New Roman"/>
                <w:color w:val="auto"/>
                <w:kern w:val="0"/>
                <w:sz w:val="24"/>
                <w:highlight w:val="none"/>
              </w:rPr>
              <w:t>重点关注注册申报效率和发行时间进度安排，该部分请以表格形式列示（包括时间节点、工作内容和责任主体三项，时间采用T+N格式）（10分）</w:t>
            </w:r>
            <w:r>
              <w:rPr>
                <w:rFonts w:hint="eastAsia" w:ascii="Times New Roman" w:hAnsi="Times New Roman" w:cs="Times New Roman"/>
                <w:color w:val="auto"/>
                <w:kern w:val="0"/>
                <w:sz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3</w:t>
            </w:r>
            <w:r>
              <w:rPr>
                <w:rFonts w:hint="eastAsia" w:ascii="Times New Roman" w:hAnsi="Times New Roman" w:cs="Times New Roman"/>
                <w:color w:val="auto"/>
                <w:kern w:val="0"/>
                <w:sz w:val="24"/>
                <w:highlight w:val="none"/>
              </w:rPr>
              <w:t>.</w:t>
            </w:r>
            <w:r>
              <w:rPr>
                <w:rFonts w:ascii="Times New Roman" w:hAnsi="Times New Roman" w:cs="Times New Roman"/>
                <w:color w:val="auto"/>
                <w:kern w:val="0"/>
                <w:sz w:val="24"/>
                <w:highlight w:val="none"/>
              </w:rPr>
              <w:t>债券取得批复后，自身债券购买比例介绍；发行销售设计及沟通能力；发行利率区间预判等（10</w:t>
            </w:r>
            <w:r>
              <w:rPr>
                <w:rFonts w:hint="eastAsia" w:ascii="Times New Roman" w:hAnsi="Times New Roman" w:cs="Times New Roman"/>
                <w:color w:val="auto"/>
                <w:kern w:val="0"/>
                <w:sz w:val="24"/>
                <w:highlight w:val="none"/>
              </w:rPr>
              <w:t>分</w:t>
            </w:r>
            <w:r>
              <w:rPr>
                <w:rFonts w:ascii="Times New Roman" w:hAnsi="Times New Roman" w:cs="Times New Roman"/>
                <w:color w:val="auto"/>
                <w:kern w:val="0"/>
                <w:sz w:val="24"/>
                <w:highlight w:val="none"/>
              </w:rPr>
              <w:t>）</w:t>
            </w:r>
            <w:r>
              <w:rPr>
                <w:rFonts w:hint="eastAsia" w:ascii="Times New Roman" w:hAnsi="Times New Roman" w:cs="Times New Roman"/>
                <w:color w:val="auto"/>
                <w:kern w:val="0"/>
                <w:sz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评标委员会酌情给分。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kern w:val="0"/>
                <w:sz w:val="24"/>
                <w:highlight w:val="none"/>
              </w:rPr>
            </w:pPr>
            <w:r>
              <w:rPr>
                <w:rFonts w:hint="eastAsia" w:ascii="Times New Roman" w:hAnsi="Times New Roman" w:cs="Times New Roman"/>
                <w:kern w:val="0"/>
                <w:sz w:val="24"/>
                <w:highlight w:val="none"/>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kern w:val="0"/>
                <w:sz w:val="24"/>
                <w:highlight w:val="none"/>
              </w:rPr>
            </w:pPr>
            <w:r>
              <w:rPr>
                <w:rFonts w:hint="eastAsia" w:ascii="Times New Roman" w:hAnsi="Times New Roman" w:cs="Times New Roman"/>
                <w:kern w:val="0"/>
                <w:sz w:val="24"/>
                <w:highlight w:val="none"/>
              </w:rPr>
              <w:t>（2）</w:t>
            </w:r>
          </w:p>
        </w:tc>
        <w:tc>
          <w:tcPr>
            <w:tcW w:w="850"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kern w:val="0"/>
                <w:sz w:val="24"/>
                <w:highlight w:val="none"/>
              </w:rPr>
            </w:pPr>
            <w:r>
              <w:rPr>
                <w:rFonts w:hint="eastAsia" w:ascii="Times New Roman" w:hAnsi="Times New Roman" w:cs="Times New Roman"/>
                <w:kern w:val="0"/>
                <w:sz w:val="24"/>
                <w:highlight w:val="none"/>
              </w:rPr>
              <w:t>项目</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kern w:val="0"/>
                <w:sz w:val="24"/>
                <w:highlight w:val="none"/>
              </w:rPr>
            </w:pPr>
            <w:r>
              <w:rPr>
                <w:rFonts w:hint="eastAsia" w:ascii="Times New Roman" w:hAnsi="Times New Roman" w:cs="Times New Roman"/>
                <w:kern w:val="0"/>
                <w:sz w:val="24"/>
                <w:highlight w:val="none"/>
              </w:rPr>
              <w:t>重视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kern w:val="0"/>
                <w:sz w:val="24"/>
                <w:highlight w:val="none"/>
              </w:rPr>
            </w:pPr>
            <w:r>
              <w:rPr>
                <w:rFonts w:hint="eastAsia" w:ascii="Times New Roman" w:hAnsi="Times New Roman" w:cs="Times New Roman"/>
                <w:kern w:val="0"/>
                <w:sz w:val="24"/>
                <w:highlight w:val="none"/>
              </w:rPr>
              <w:t>程度</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kern w:val="0"/>
                <w:sz w:val="24"/>
                <w:highlight w:val="none"/>
              </w:rPr>
            </w:pPr>
            <w:r>
              <w:rPr>
                <w:rFonts w:ascii="Times New Roman" w:hAnsi="Times New Roman" w:cs="Times New Roman"/>
                <w:kern w:val="0"/>
                <w:sz w:val="24"/>
                <w:highlight w:val="none"/>
              </w:rPr>
              <w:t>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10</w:t>
            </w:r>
            <w:r>
              <w:rPr>
                <w:rFonts w:ascii="Times New Roman" w:hAnsi="Times New Roman" w:cs="Times New Roman"/>
                <w:kern w:val="0"/>
                <w:sz w:val="24"/>
                <w:highlight w:val="none"/>
              </w:rPr>
              <w:t>分）</w:t>
            </w: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kern w:val="0"/>
                <w:sz w:val="24"/>
                <w:highlight w:val="none"/>
              </w:rPr>
            </w:pPr>
            <w:r>
              <w:rPr>
                <w:rFonts w:hint="eastAsia" w:ascii="Times New Roman" w:hAnsi="Times New Roman" w:cs="Times New Roman"/>
                <w:kern w:val="0"/>
                <w:sz w:val="24"/>
                <w:highlight w:val="none"/>
              </w:rPr>
              <w:t>项目重视程度</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10</w:t>
            </w:r>
            <w:r>
              <w:rPr>
                <w:rFonts w:ascii="Times New Roman" w:hAnsi="Times New Roman" w:cs="Times New Roman"/>
                <w:kern w:val="0"/>
                <w:sz w:val="24"/>
                <w:highlight w:val="none"/>
              </w:rPr>
              <w:t>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Times New Roman" w:hAnsi="Times New Roman" w:cs="Times New Roman"/>
                <w:color w:val="auto"/>
                <w:kern w:val="0"/>
                <w:sz w:val="24"/>
                <w:highlight w:val="none"/>
              </w:rPr>
            </w:pPr>
            <w:r>
              <w:rPr>
                <w:rFonts w:ascii="Times New Roman" w:hAnsi="Times New Roman" w:cs="Times New Roman"/>
                <w:color w:val="auto"/>
                <w:kern w:val="0"/>
                <w:sz w:val="24"/>
                <w:highlight w:val="none"/>
              </w:rPr>
              <w:t>主要包括项目重视程度、项目团队人员配备情况（姓名、职务、学历、项目经历等）、项目负责人、现场进驻人员、进驻时间、人员借调情况（该部分请详细列举人员信息及借调时间）、销售团队介绍等。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highlight w:val="none"/>
                <w:lang w:val="en-US" w:eastAsia="zh-CN"/>
              </w:rPr>
            </w:pPr>
            <w:r>
              <w:rPr>
                <w:rFonts w:hint="eastAsia" w:ascii="Times New Roman" w:hAnsi="Times New Roman" w:cs="Times New Roman"/>
                <w:color w:val="auto"/>
                <w:kern w:val="0"/>
                <w:sz w:val="24"/>
                <w:highlight w:val="none"/>
                <w:lang w:val="en-US" w:eastAsia="zh-CN"/>
              </w:rPr>
              <w:t>评标委员会酌情给分。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kern w:val="0"/>
                <w:sz w:val="24"/>
                <w:highlight w:val="none"/>
              </w:rPr>
            </w:pPr>
            <w:r>
              <w:rPr>
                <w:rFonts w:hint="eastAsia" w:ascii="Times New Roman" w:hAnsi="Times New Roman" w:cs="Times New Roman"/>
                <w:kern w:val="0"/>
                <w:sz w:val="24"/>
                <w:highlight w:val="none"/>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kern w:val="0"/>
                <w:sz w:val="24"/>
                <w:highlight w:val="none"/>
              </w:rPr>
            </w:pPr>
            <w:r>
              <w:rPr>
                <w:rFonts w:hint="eastAsia" w:ascii="Times New Roman" w:hAnsi="Times New Roman" w:cs="Times New Roman"/>
                <w:kern w:val="0"/>
                <w:sz w:val="24"/>
                <w:highlight w:val="none"/>
              </w:rPr>
              <w:t>（3）</w:t>
            </w:r>
          </w:p>
        </w:tc>
        <w:tc>
          <w:tcPr>
            <w:tcW w:w="850"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kern w:val="0"/>
                <w:sz w:val="24"/>
                <w:highlight w:val="none"/>
              </w:rPr>
            </w:pPr>
            <w:r>
              <w:rPr>
                <w:rFonts w:hint="eastAsia" w:ascii="Times New Roman" w:hAnsi="Times New Roman" w:cs="Times New Roman"/>
                <w:kern w:val="0"/>
                <w:sz w:val="24"/>
                <w:highlight w:val="none"/>
              </w:rPr>
              <w:t>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kern w:val="0"/>
                <w:sz w:val="24"/>
                <w:highlight w:val="none"/>
              </w:rPr>
            </w:pPr>
            <w:r>
              <w:rPr>
                <w:rFonts w:ascii="Times New Roman" w:hAnsi="Times New Roman" w:cs="Times New Roman"/>
                <w:kern w:val="0"/>
                <w:sz w:val="24"/>
                <w:highlight w:val="none"/>
              </w:rPr>
              <w:t>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20</w:t>
            </w:r>
            <w:r>
              <w:rPr>
                <w:rFonts w:ascii="Times New Roman" w:hAnsi="Times New Roman" w:cs="Times New Roman"/>
                <w:kern w:val="0"/>
                <w:sz w:val="24"/>
                <w:highlight w:val="none"/>
              </w:rPr>
              <w:t>分）</w:t>
            </w: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kern w:val="0"/>
                <w:sz w:val="24"/>
                <w:highlight w:val="none"/>
              </w:rPr>
            </w:pPr>
            <w:r>
              <w:rPr>
                <w:rFonts w:hint="eastAsia" w:ascii="Times New Roman" w:hAnsi="Times New Roman" w:cs="Times New Roman"/>
                <w:kern w:val="0"/>
                <w:sz w:val="24"/>
                <w:highlight w:val="none"/>
              </w:rPr>
              <w:t>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20</w:t>
            </w:r>
            <w:r>
              <w:rPr>
                <w:rFonts w:ascii="Times New Roman" w:hAnsi="Times New Roman" w:cs="Times New Roman"/>
                <w:kern w:val="0"/>
                <w:sz w:val="24"/>
                <w:highlight w:val="none"/>
              </w:rPr>
              <w:t>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承销业绩统计时间段为2020年6月30日至2021年6月30日。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highlight w:val="none"/>
                <w:lang w:val="en-US" w:eastAsia="zh-CN"/>
              </w:rPr>
            </w:pPr>
            <w:r>
              <w:rPr>
                <w:rFonts w:hint="eastAsia" w:ascii="Times New Roman" w:hAnsi="Times New Roman" w:cs="Times New Roman"/>
                <w:color w:val="auto"/>
                <w:kern w:val="0"/>
                <w:sz w:val="24"/>
                <w:highlight w:val="none"/>
              </w:rPr>
              <w:t>1.投标人</w:t>
            </w:r>
            <w:r>
              <w:rPr>
                <w:rFonts w:hint="eastAsia" w:ascii="Times New Roman" w:hAnsi="Times New Roman" w:cs="Times New Roman"/>
                <w:color w:val="auto"/>
                <w:kern w:val="0"/>
                <w:sz w:val="24"/>
                <w:highlight w:val="none"/>
                <w:lang w:val="en-US" w:eastAsia="zh-CN"/>
              </w:rPr>
              <w:t>自</w:t>
            </w:r>
            <w:r>
              <w:rPr>
                <w:rFonts w:hint="eastAsia" w:ascii="Times New Roman" w:hAnsi="Times New Roman" w:cs="Times New Roman"/>
                <w:color w:val="auto"/>
                <w:kern w:val="0"/>
                <w:sz w:val="24"/>
                <w:highlight w:val="none"/>
              </w:rPr>
              <w:t>2020年6月30日</w:t>
            </w:r>
            <w:r>
              <w:rPr>
                <w:rFonts w:hint="eastAsia" w:ascii="Times New Roman" w:hAnsi="Times New Roman" w:cs="Times New Roman"/>
                <w:color w:val="auto"/>
                <w:kern w:val="0"/>
                <w:sz w:val="24"/>
                <w:highlight w:val="none"/>
                <w:lang w:val="en-US" w:eastAsia="zh-CN"/>
              </w:rPr>
              <w:t>至</w:t>
            </w:r>
            <w:r>
              <w:rPr>
                <w:rFonts w:hint="eastAsia" w:ascii="Times New Roman" w:hAnsi="Times New Roman" w:cs="Times New Roman"/>
                <w:color w:val="auto"/>
                <w:kern w:val="0"/>
                <w:sz w:val="24"/>
                <w:highlight w:val="none"/>
              </w:rPr>
              <w:t>2021年6月30日</w:t>
            </w:r>
            <w:r>
              <w:rPr>
                <w:rFonts w:hint="eastAsia" w:ascii="Times New Roman" w:hAnsi="Times New Roman" w:cs="Times New Roman"/>
                <w:color w:val="auto"/>
                <w:kern w:val="0"/>
                <w:sz w:val="24"/>
                <w:highlight w:val="none"/>
                <w:lang w:eastAsia="zh-CN"/>
              </w:rPr>
              <w:t>，</w:t>
            </w:r>
            <w:r>
              <w:rPr>
                <w:rFonts w:hint="eastAsia" w:ascii="Times New Roman" w:hAnsi="Times New Roman" w:cs="Times New Roman"/>
                <w:color w:val="auto"/>
                <w:kern w:val="0"/>
                <w:sz w:val="24"/>
                <w:highlight w:val="none"/>
                <w:lang w:val="en-US" w:eastAsia="zh-CN"/>
              </w:rPr>
              <w:t>总行层面成功承销全国范围内主体评级AA及以上公司银行间市场债务融资工具（中期票据）的总金额（亿元），保留到小数点后两位。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highlight w:val="none"/>
                <w:lang w:val="en-US" w:eastAsia="zh-CN"/>
              </w:rPr>
            </w:pPr>
            <w:r>
              <w:rPr>
                <w:rFonts w:hint="eastAsia" w:ascii="Times New Roman" w:hAnsi="Times New Roman" w:cs="Times New Roman"/>
                <w:color w:val="auto"/>
                <w:kern w:val="0"/>
                <w:sz w:val="24"/>
                <w:highlight w:val="none"/>
                <w:lang w:val="en-US" w:eastAsia="zh-CN"/>
              </w:rPr>
              <w:t>得分计算公示如下：</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highlight w:val="none"/>
                <w:lang w:val="en-US" w:eastAsia="zh-CN"/>
              </w:rPr>
            </w:pPr>
            <w:r>
              <w:rPr>
                <w:rFonts w:hint="eastAsia" w:ascii="Times New Roman" w:hAnsi="Times New Roman" w:cs="Times New Roman"/>
                <w:color w:val="auto"/>
                <w:kern w:val="0"/>
                <w:sz w:val="24"/>
                <w:highlight w:val="none"/>
              </w:rPr>
              <w:t>得分=（</w:t>
            </w:r>
            <w:r>
              <w:rPr>
                <w:rFonts w:hint="eastAsia" w:ascii="Times New Roman" w:hAnsi="Times New Roman" w:cs="Times New Roman"/>
                <w:color w:val="auto"/>
                <w:kern w:val="0"/>
                <w:sz w:val="24"/>
                <w:highlight w:val="none"/>
                <w:lang w:val="en-US" w:eastAsia="zh-CN"/>
              </w:rPr>
              <w:t>投标人</w:t>
            </w:r>
            <w:r>
              <w:rPr>
                <w:rFonts w:hint="eastAsia" w:ascii="Times New Roman" w:hAnsi="Times New Roman" w:cs="Times New Roman"/>
                <w:color w:val="auto"/>
                <w:kern w:val="0"/>
                <w:sz w:val="24"/>
                <w:highlight w:val="none"/>
              </w:rPr>
              <w:t>主承销金额－最低主承销金额）/（最高主承销金额－最低主承销金额）×</w:t>
            </w:r>
            <w:r>
              <w:rPr>
                <w:rFonts w:hint="eastAsia" w:ascii="Times New Roman" w:hAnsi="Times New Roman" w:cs="Times New Roman"/>
                <w:color w:val="auto"/>
                <w:kern w:val="0"/>
                <w:sz w:val="24"/>
                <w:highlight w:val="none"/>
                <w:lang w:val="en-US" w:eastAsia="zh-CN"/>
              </w:rPr>
              <w:t>10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注：银行与券商组成联合体的，</w:t>
            </w:r>
            <w:r>
              <w:rPr>
                <w:rFonts w:hint="default" w:ascii="Times New Roman" w:hAnsi="Times New Roman" w:cs="Times New Roman"/>
                <w:color w:val="auto"/>
                <w:kern w:val="0"/>
                <w:sz w:val="24"/>
                <w:highlight w:val="none"/>
                <w:lang w:val="en-US" w:eastAsia="zh-CN"/>
              </w:rPr>
              <w:t>以银行的业绩为准</w:t>
            </w:r>
            <w:r>
              <w:rPr>
                <w:rFonts w:hint="default" w:ascii="Times New Roman" w:hAnsi="Times New Roman" w:cs="Times New Roman"/>
                <w:color w:val="auto"/>
                <w:kern w:val="0"/>
                <w:sz w:val="24"/>
                <w:highlight w:val="none"/>
              </w:rPr>
              <w:t>；银行与银行组成联合体的，</w:t>
            </w:r>
            <w:r>
              <w:rPr>
                <w:rFonts w:hint="default" w:ascii="Times New Roman" w:hAnsi="Times New Roman" w:cs="Times New Roman"/>
                <w:color w:val="auto"/>
                <w:kern w:val="0"/>
                <w:sz w:val="24"/>
                <w:highlight w:val="none"/>
                <w:lang w:val="en-US" w:eastAsia="zh-CN"/>
              </w:rPr>
              <w:t>则</w:t>
            </w:r>
            <w:r>
              <w:rPr>
                <w:rFonts w:hint="default" w:ascii="Times New Roman" w:hAnsi="Times New Roman" w:cs="Times New Roman"/>
                <w:color w:val="auto"/>
                <w:kern w:val="0"/>
                <w:sz w:val="24"/>
                <w:highlight w:val="none"/>
              </w:rPr>
              <w:t>取两家银行业绩</w:t>
            </w:r>
            <w:r>
              <w:rPr>
                <w:rFonts w:hint="default" w:ascii="Times New Roman" w:hAnsi="Times New Roman" w:cs="Times New Roman"/>
                <w:color w:val="auto"/>
                <w:kern w:val="0"/>
                <w:sz w:val="24"/>
                <w:highlight w:val="none"/>
                <w:lang w:val="en-US" w:eastAsia="zh-CN"/>
              </w:rPr>
              <w:t>的算数</w:t>
            </w:r>
            <w:r>
              <w:rPr>
                <w:rFonts w:hint="default" w:ascii="Times New Roman" w:hAnsi="Times New Roman" w:cs="Times New Roman"/>
                <w:color w:val="auto"/>
                <w:kern w:val="0"/>
                <w:sz w:val="24"/>
                <w:highlight w:val="none"/>
              </w:rPr>
              <w:t>平均数。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2.投标人</w:t>
            </w:r>
            <w:r>
              <w:rPr>
                <w:rFonts w:hint="eastAsia" w:ascii="Times New Roman" w:hAnsi="Times New Roman" w:cs="Times New Roman"/>
                <w:color w:val="auto"/>
                <w:kern w:val="0"/>
                <w:sz w:val="24"/>
                <w:highlight w:val="none"/>
                <w:lang w:val="en-US" w:eastAsia="zh-CN"/>
              </w:rPr>
              <w:t>自</w:t>
            </w:r>
            <w:r>
              <w:rPr>
                <w:rFonts w:hint="eastAsia" w:ascii="Times New Roman" w:hAnsi="Times New Roman" w:cs="Times New Roman"/>
                <w:color w:val="auto"/>
                <w:kern w:val="0"/>
                <w:sz w:val="24"/>
                <w:highlight w:val="none"/>
              </w:rPr>
              <w:t>2020年6月30日至2021年6月30日</w:t>
            </w:r>
            <w:r>
              <w:rPr>
                <w:rFonts w:hint="eastAsia" w:ascii="Times New Roman" w:hAnsi="Times New Roman" w:cs="Times New Roman"/>
                <w:color w:val="auto"/>
                <w:kern w:val="0"/>
                <w:sz w:val="24"/>
                <w:highlight w:val="none"/>
                <w:lang w:val="en-US" w:eastAsia="zh-CN"/>
              </w:rPr>
              <w:t>，</w:t>
            </w:r>
            <w:r>
              <w:rPr>
                <w:rFonts w:hint="eastAsia" w:ascii="Times New Roman" w:hAnsi="Times New Roman" w:cs="Times New Roman"/>
                <w:color w:val="auto"/>
                <w:kern w:val="0"/>
                <w:sz w:val="24"/>
                <w:highlight w:val="none"/>
              </w:rPr>
              <w:t>总行层面成功承销全国范围</w:t>
            </w:r>
            <w:r>
              <w:rPr>
                <w:rFonts w:hint="eastAsia" w:ascii="Times New Roman" w:hAnsi="Times New Roman" w:cs="Times New Roman"/>
                <w:color w:val="auto"/>
                <w:kern w:val="0"/>
                <w:sz w:val="24"/>
                <w:highlight w:val="none"/>
                <w:lang w:val="en-US" w:eastAsia="zh-CN"/>
              </w:rPr>
              <w:t>内</w:t>
            </w:r>
            <w:r>
              <w:rPr>
                <w:rFonts w:hint="eastAsia" w:ascii="Times New Roman" w:hAnsi="Times New Roman" w:cs="Times New Roman"/>
                <w:color w:val="auto"/>
                <w:kern w:val="0"/>
                <w:sz w:val="24"/>
                <w:highlight w:val="none"/>
              </w:rPr>
              <w:t>主体评级AA及以上公司权益出资型票据数量。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lang w:val="en-US" w:eastAsia="zh-CN"/>
              </w:rPr>
              <w:t>根据数量由高到低排名，</w:t>
            </w:r>
            <w:r>
              <w:rPr>
                <w:rFonts w:hint="eastAsia" w:ascii="Times New Roman" w:hAnsi="Times New Roman" w:cs="Times New Roman"/>
                <w:color w:val="auto"/>
                <w:kern w:val="0"/>
                <w:sz w:val="24"/>
                <w:highlight w:val="none"/>
              </w:rPr>
              <w:t>第一名</w:t>
            </w:r>
            <w:r>
              <w:rPr>
                <w:rFonts w:hint="eastAsia" w:ascii="Times New Roman" w:hAnsi="Times New Roman" w:cs="Times New Roman"/>
                <w:color w:val="auto"/>
                <w:kern w:val="0"/>
                <w:sz w:val="24"/>
                <w:highlight w:val="none"/>
                <w:lang w:val="en-US" w:eastAsia="zh-CN"/>
              </w:rPr>
              <w:t>得</w:t>
            </w:r>
            <w:r>
              <w:rPr>
                <w:rFonts w:hint="eastAsia" w:ascii="Times New Roman" w:hAnsi="Times New Roman" w:cs="Times New Roman"/>
                <w:color w:val="auto"/>
                <w:kern w:val="0"/>
                <w:sz w:val="24"/>
                <w:highlight w:val="none"/>
              </w:rPr>
              <w:t>5分，第二名</w:t>
            </w:r>
            <w:r>
              <w:rPr>
                <w:rFonts w:hint="eastAsia" w:ascii="Times New Roman" w:hAnsi="Times New Roman" w:cs="Times New Roman"/>
                <w:color w:val="auto"/>
                <w:kern w:val="0"/>
                <w:sz w:val="24"/>
                <w:highlight w:val="none"/>
                <w:lang w:val="en-US" w:eastAsia="zh-CN"/>
              </w:rPr>
              <w:t>得</w:t>
            </w:r>
            <w:r>
              <w:rPr>
                <w:rFonts w:hint="eastAsia" w:ascii="Times New Roman" w:hAnsi="Times New Roman" w:cs="Times New Roman"/>
                <w:color w:val="auto"/>
                <w:kern w:val="0"/>
                <w:sz w:val="24"/>
                <w:highlight w:val="none"/>
              </w:rPr>
              <w:t>4分，第三名</w:t>
            </w:r>
            <w:r>
              <w:rPr>
                <w:rFonts w:hint="eastAsia" w:ascii="Times New Roman" w:hAnsi="Times New Roman" w:cs="Times New Roman"/>
                <w:color w:val="auto"/>
                <w:kern w:val="0"/>
                <w:sz w:val="24"/>
                <w:highlight w:val="none"/>
                <w:lang w:val="en-US" w:eastAsia="zh-CN"/>
              </w:rPr>
              <w:t>得</w:t>
            </w:r>
            <w:r>
              <w:rPr>
                <w:rFonts w:hint="eastAsia" w:ascii="Times New Roman" w:hAnsi="Times New Roman" w:cs="Times New Roman"/>
                <w:color w:val="auto"/>
                <w:kern w:val="0"/>
                <w:sz w:val="24"/>
                <w:highlight w:val="none"/>
              </w:rPr>
              <w:t>3分，第四名</w:t>
            </w:r>
            <w:r>
              <w:rPr>
                <w:rFonts w:hint="eastAsia" w:ascii="Times New Roman" w:hAnsi="Times New Roman" w:cs="Times New Roman"/>
                <w:color w:val="auto"/>
                <w:kern w:val="0"/>
                <w:sz w:val="24"/>
                <w:highlight w:val="none"/>
                <w:lang w:val="en-US" w:eastAsia="zh-CN"/>
              </w:rPr>
              <w:t>得</w:t>
            </w:r>
            <w:r>
              <w:rPr>
                <w:rFonts w:hint="eastAsia" w:ascii="Times New Roman" w:hAnsi="Times New Roman" w:cs="Times New Roman"/>
                <w:color w:val="auto"/>
                <w:kern w:val="0"/>
                <w:sz w:val="24"/>
                <w:highlight w:val="none"/>
              </w:rPr>
              <w:t>2分，第五名</w:t>
            </w:r>
            <w:r>
              <w:rPr>
                <w:rFonts w:hint="eastAsia" w:ascii="Times New Roman" w:hAnsi="Times New Roman" w:cs="Times New Roman"/>
                <w:color w:val="auto"/>
                <w:kern w:val="0"/>
                <w:sz w:val="24"/>
                <w:highlight w:val="none"/>
                <w:lang w:val="en-US" w:eastAsia="zh-CN"/>
              </w:rPr>
              <w:t>得</w:t>
            </w:r>
            <w:r>
              <w:rPr>
                <w:rFonts w:hint="eastAsia" w:ascii="Times New Roman" w:hAnsi="Times New Roman" w:cs="Times New Roman"/>
                <w:color w:val="auto"/>
                <w:kern w:val="0"/>
                <w:sz w:val="24"/>
                <w:highlight w:val="none"/>
              </w:rPr>
              <w:t>1分，</w:t>
            </w:r>
            <w:r>
              <w:rPr>
                <w:rFonts w:hint="eastAsia" w:ascii="Times New Roman" w:hAnsi="Times New Roman" w:cs="Times New Roman"/>
                <w:color w:val="auto"/>
                <w:kern w:val="0"/>
                <w:sz w:val="24"/>
                <w:highlight w:val="none"/>
                <w:lang w:val="en-US" w:eastAsia="zh-CN"/>
              </w:rPr>
              <w:t>其余不得分</w:t>
            </w:r>
            <w:r>
              <w:rPr>
                <w:rFonts w:hint="eastAsia" w:ascii="Times New Roman" w:hAnsi="Times New Roman" w:cs="Times New Roman"/>
                <w:color w:val="auto"/>
                <w:kern w:val="0"/>
                <w:sz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highlight w:val="none"/>
                <w:lang w:val="en-US" w:eastAsia="zh-CN"/>
              </w:rPr>
            </w:pPr>
            <w:r>
              <w:rPr>
                <w:rFonts w:hint="eastAsia" w:ascii="Times New Roman" w:hAnsi="Times New Roman" w:cs="Times New Roman"/>
                <w:color w:val="auto"/>
                <w:kern w:val="0"/>
                <w:sz w:val="24"/>
                <w:highlight w:val="none"/>
              </w:rPr>
              <w:t>3.</w:t>
            </w:r>
            <w:r>
              <w:rPr>
                <w:rFonts w:hint="eastAsia" w:ascii="Times New Roman" w:hAnsi="Times New Roman" w:cs="Times New Roman"/>
                <w:color w:val="auto"/>
                <w:kern w:val="0"/>
                <w:sz w:val="24"/>
                <w:highlight w:val="none"/>
                <w:lang w:val="en-US" w:eastAsia="zh-CN"/>
              </w:rPr>
              <w:t>投标人作为主承销商，自2020年6月30日至2021年6月30日，在安徽省内推迟或取消发行的银行间市场债务融资工具（短融、超短融、中期票据）的数量。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highlight w:val="none"/>
                <w:lang w:val="en-US" w:eastAsia="zh-CN"/>
              </w:rPr>
            </w:pPr>
            <w:r>
              <w:rPr>
                <w:rFonts w:hint="eastAsia" w:ascii="Times New Roman" w:hAnsi="Times New Roman" w:cs="Times New Roman"/>
                <w:color w:val="auto"/>
                <w:kern w:val="0"/>
                <w:sz w:val="24"/>
                <w:highlight w:val="none"/>
                <w:lang w:val="en-US" w:eastAsia="zh-CN"/>
              </w:rPr>
              <w:t>投标人每取消或推迟过1只扣1分，本项满分5分，最多扣至0分。</w:t>
            </w:r>
            <w:r>
              <w:rPr>
                <w:rFonts w:hint="eastAsia" w:ascii="Times New Roman" w:hAnsi="Times New Roman" w:cs="Times New Roman"/>
                <w:color w:val="auto"/>
                <w:kern w:val="0"/>
                <w:sz w:val="24"/>
                <w:highlight w:val="none"/>
                <w:lang w:val="en-US" w:eastAsia="zh-CN"/>
              </w:rPr>
              <w:t>联合体投标的，以联合体牵头人的业绩为准。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kern w:val="0"/>
                <w:sz w:val="24"/>
                <w:highlight w:val="none"/>
              </w:rPr>
            </w:pPr>
            <w:r>
              <w:rPr>
                <w:rFonts w:hint="eastAsia" w:ascii="Times New Roman" w:hAnsi="Times New Roman" w:cs="Times New Roman"/>
                <w:kern w:val="0"/>
                <w:sz w:val="24"/>
                <w:highlight w:val="none"/>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kern w:val="0"/>
                <w:sz w:val="24"/>
                <w:highlight w:val="none"/>
              </w:rPr>
            </w:pPr>
            <w:r>
              <w:rPr>
                <w:rFonts w:hint="eastAsia" w:ascii="Times New Roman" w:hAnsi="Times New Roman" w:cs="Times New Roman"/>
                <w:kern w:val="0"/>
                <w:sz w:val="24"/>
                <w:highlight w:val="none"/>
              </w:rPr>
              <w:t>（4）</w:t>
            </w:r>
          </w:p>
        </w:tc>
        <w:tc>
          <w:tcPr>
            <w:tcW w:w="850"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kern w:val="0"/>
                <w:sz w:val="24"/>
                <w:highlight w:val="none"/>
              </w:rPr>
            </w:pPr>
            <w:r>
              <w:rPr>
                <w:rFonts w:hint="eastAsia" w:ascii="Times New Roman" w:hAnsi="Times New Roman" w:cs="Times New Roman"/>
                <w:kern w:val="0"/>
                <w:sz w:val="24"/>
                <w:highlight w:val="none"/>
              </w:rPr>
              <w:t>承销费率报价（20分）</w:t>
            </w:r>
          </w:p>
        </w:tc>
        <w:tc>
          <w:tcPr>
            <w:tcW w:w="19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Times New Roman" w:hAnsi="Times New Roman" w:cs="Times New Roman"/>
                <w:kern w:val="0"/>
                <w:sz w:val="24"/>
                <w:highlight w:val="none"/>
              </w:rPr>
            </w:pPr>
            <w:r>
              <w:rPr>
                <w:rFonts w:hint="eastAsia" w:ascii="Times New Roman" w:hAnsi="Times New Roman" w:cs="Times New Roman"/>
                <w:kern w:val="0"/>
                <w:sz w:val="24"/>
                <w:highlight w:val="none"/>
              </w:rPr>
              <w:t>（20分）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highlight w:val="none"/>
              </w:rPr>
            </w:pPr>
            <w:r>
              <w:rPr>
                <w:rFonts w:hint="eastAsia" w:ascii="Times New Roman" w:hAnsi="Times New Roman" w:cs="Times New Roman"/>
                <w:color w:val="auto"/>
                <w:kern w:val="0"/>
                <w:sz w:val="24"/>
                <w:highlight w:val="none"/>
              </w:rPr>
              <w:t>以所有通过初步评审的投标人的投标报价（去掉一个最低价和一个最高价）算数平均数作为评标基准价。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highlight w:val="none"/>
                <w:lang w:val="en-US" w:eastAsia="zh-CN"/>
              </w:rPr>
            </w:pPr>
            <w:r>
              <w:rPr>
                <w:rFonts w:hint="eastAsia" w:ascii="Times New Roman" w:hAnsi="Times New Roman" w:cs="Times New Roman"/>
                <w:color w:val="auto"/>
                <w:kern w:val="0"/>
                <w:sz w:val="24"/>
                <w:highlight w:val="none"/>
                <w:lang w:val="en-US" w:eastAsia="zh-CN"/>
              </w:rPr>
              <w:t>得分计算公示如下：</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highlight w:val="none"/>
                <w:lang w:val="en-US" w:eastAsia="zh-CN"/>
              </w:rPr>
            </w:pPr>
            <w:r>
              <w:rPr>
                <w:rFonts w:hint="default" w:ascii="Times New Roman" w:hAnsi="Times New Roman" w:cs="Times New Roman"/>
                <w:color w:val="auto"/>
                <w:kern w:val="0"/>
                <w:sz w:val="24"/>
                <w:highlight w:val="none"/>
                <w:lang w:val="en-US" w:eastAsia="zh-CN"/>
              </w:rPr>
              <w:t>得分=20</w:t>
            </w:r>
            <w:r>
              <w:rPr>
                <w:rFonts w:hint="default" w:ascii="Times New Roman" w:hAnsi="Times New Roman" w:eastAsia="宋体" w:cs="Times New Roman"/>
                <w:color w:val="auto"/>
                <w:kern w:val="0"/>
                <w:sz w:val="24"/>
                <w:highlight w:val="none"/>
                <w:lang w:val="en-US" w:eastAsia="zh-CN"/>
              </w:rPr>
              <w:t>－|（投标报价-评标基准价）×10000×</w:t>
            </w:r>
            <w:r>
              <w:rPr>
                <w:rFonts w:hint="default" w:ascii="Times New Roman" w:hAnsi="Times New Roman" w:cs="Times New Roman"/>
                <w:color w:val="auto"/>
                <w:kern w:val="0"/>
                <w:sz w:val="24"/>
                <w:highlight w:val="none"/>
                <w:lang w:val="en-US" w:eastAsia="zh-CN"/>
              </w:rPr>
              <w:t>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highlight w:val="none"/>
                <w:lang w:val="en-US" w:eastAsia="zh-CN"/>
              </w:rPr>
            </w:pPr>
            <w:r>
              <w:rPr>
                <w:rFonts w:hint="eastAsia" w:ascii="Times New Roman" w:hAnsi="Times New Roman" w:cs="Times New Roman"/>
                <w:color w:val="auto"/>
                <w:kern w:val="0"/>
                <w:sz w:val="24"/>
                <w:highlight w:val="none"/>
                <w:lang w:val="en-US" w:eastAsia="zh-CN"/>
              </w:rPr>
              <w:t>投标人投标报价与评标基准价相比。投标报价比评标基准价高，则a取3；投标报价比评标基准价低（或相同），则a取1。</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highlight w:val="none"/>
                <w:lang w:val="en-US" w:eastAsia="zh-CN"/>
              </w:rPr>
            </w:pPr>
            <w:r>
              <w:rPr>
                <w:rFonts w:hint="eastAsia" w:ascii="Times New Roman" w:hAnsi="Times New Roman" w:cs="Times New Roman"/>
                <w:color w:val="auto"/>
                <w:kern w:val="0"/>
                <w:sz w:val="24"/>
                <w:highlight w:val="none"/>
                <w:lang w:val="en-US" w:eastAsia="zh-CN"/>
              </w:rPr>
              <w:t>本项满分20分，最低得0分。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若评标委员会认定该投标人投标报价低于其成本价或不以中标为目的的投标报价的，可以否决其投标。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ascii="Times New Roman" w:hAnsi="Times New Roman" w:cs="Times New Roman"/>
                <w:color w:val="auto"/>
                <w:kern w:val="0"/>
                <w:sz w:val="24"/>
                <w:highlight w:val="none"/>
              </w:rPr>
            </w:pPr>
            <w:r>
              <w:rPr>
                <w:rFonts w:hint="eastAsia" w:ascii="Times New Roman" w:hAnsi="Times New Roman" w:eastAsia="楷体_GB2312" w:cs="Times New Roman"/>
                <w:kern w:val="0"/>
                <w:sz w:val="24"/>
                <w:szCs w:val="24"/>
                <w:highlight w:val="none"/>
                <w:lang w:val="en-US" w:eastAsia="zh-CN"/>
              </w:rPr>
              <w:t>注：保留得分小数点后两位，第三位四舍五入。</w:t>
            </w:r>
          </w:p>
        </w:tc>
      </w:tr>
    </w:tbl>
    <w:p>
      <w:pPr>
        <w:spacing w:line="440" w:lineRule="exact"/>
        <w:rPr>
          <w:rFonts w:ascii="Times New Roman" w:hAnsi="Times New Roman" w:cs="Times New Roman"/>
          <w:highlight w:val="none"/>
        </w:rPr>
      </w:pPr>
      <w:r>
        <w:rPr>
          <w:rFonts w:ascii="Times New Roman" w:hAnsi="Times New Roman" w:cs="Times New Roman"/>
          <w:b/>
          <w:bCs/>
          <w:highlight w:val="none"/>
        </w:rPr>
        <w:t>说明：</w:t>
      </w:r>
      <w:r>
        <w:rPr>
          <w:rFonts w:ascii="Times New Roman" w:hAnsi="Times New Roman" w:cs="Times New Roman"/>
          <w:highlight w:val="none"/>
        </w:rPr>
        <w:t>评分区间一律按左闭右开计算</w:t>
      </w:r>
      <w:r>
        <w:rPr>
          <w:rFonts w:hint="eastAsia" w:ascii="Times New Roman" w:hAnsi="Times New Roman" w:cs="Times New Roman"/>
          <w:highlight w:val="none"/>
        </w:rPr>
        <w:t>，评分保留2位小数。</w:t>
      </w:r>
    </w:p>
    <w:p>
      <w:pPr>
        <w:rPr>
          <w:rFonts w:ascii="Times New Roman" w:hAnsi="Times New Roman" w:cs="Times New Roman"/>
          <w:szCs w:val="21"/>
          <w:highlight w:val="none"/>
        </w:rPr>
      </w:pPr>
      <w:r>
        <w:rPr>
          <w:rFonts w:ascii="Times New Roman" w:hAnsi="Times New Roman" w:cs="Times New Roman"/>
          <w:szCs w:val="21"/>
          <w:highlight w:val="none"/>
        </w:rPr>
        <w:br w:type="page"/>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1. 评标方法</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本次评标采用综合评估法。评标委员会</w:t>
      </w:r>
      <w:r>
        <w:rPr>
          <w:rFonts w:hint="eastAsia" w:ascii="Times New Roman" w:hAnsi="Times New Roman" w:cs="Times New Roman"/>
          <w:kern w:val="0"/>
          <w:sz w:val="24"/>
          <w:highlight w:val="none"/>
        </w:rPr>
        <w:t>对满足招标文件实质性要求的投标文件，按照本章第2.2款规定的评分标准进行打分，并按得分由高到低顺序推荐中标候选人，或根据招标人授权直接确定中标人，但投标报价低于其成本的除外。</w:t>
      </w:r>
    </w:p>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综合评分相等时，以投标报价低的优先；投标报价也相等的，以业绩得分高的优先；如果业绩得分也相等，由招标人或其授权的评标委员会自行确定（一般宜采用投票制，少数服从多数）。</w:t>
      </w:r>
    </w:p>
    <w:p>
      <w:pPr>
        <w:wordWrap w:val="0"/>
        <w:spacing w:line="440" w:lineRule="exact"/>
        <w:rPr>
          <w:rFonts w:ascii="Times New Roman" w:hAnsi="Times New Roman" w:cs="Times New Roman"/>
          <w:b/>
          <w:bCs/>
          <w:kern w:val="0"/>
          <w:sz w:val="28"/>
          <w:szCs w:val="28"/>
          <w:highlight w:val="none"/>
        </w:rPr>
      </w:pPr>
      <w:bookmarkStart w:id="24" w:name="_Toc179632608"/>
      <w:bookmarkStart w:id="25" w:name="_Toc247085748"/>
      <w:bookmarkStart w:id="26" w:name="_Toc246996233"/>
      <w:bookmarkStart w:id="27" w:name="_Toc246996976"/>
      <w:bookmarkStart w:id="28" w:name="_Toc152045590"/>
      <w:bookmarkStart w:id="29" w:name="_Toc152042367"/>
      <w:bookmarkStart w:id="30" w:name="_Toc296602478"/>
      <w:bookmarkStart w:id="31" w:name="_Toc144974557"/>
      <w:r>
        <w:rPr>
          <w:rFonts w:ascii="Times New Roman" w:hAnsi="Times New Roman" w:cs="Times New Roman"/>
          <w:b/>
          <w:bCs/>
          <w:kern w:val="0"/>
          <w:sz w:val="28"/>
          <w:szCs w:val="28"/>
          <w:highlight w:val="none"/>
        </w:rPr>
        <w:t>2. 评审标准</w:t>
      </w:r>
      <w:bookmarkEnd w:id="24"/>
      <w:bookmarkEnd w:id="25"/>
      <w:bookmarkEnd w:id="26"/>
      <w:bookmarkEnd w:id="27"/>
      <w:bookmarkEnd w:id="28"/>
      <w:bookmarkEnd w:id="29"/>
      <w:bookmarkEnd w:id="30"/>
      <w:bookmarkEnd w:id="31"/>
    </w:p>
    <w:p>
      <w:pPr>
        <w:wordWrap w:val="0"/>
        <w:spacing w:line="440" w:lineRule="exact"/>
        <w:rPr>
          <w:rFonts w:ascii="Times New Roman" w:hAnsi="Times New Roman" w:cs="Times New Roman"/>
          <w:b/>
          <w:bCs/>
          <w:kern w:val="0"/>
          <w:sz w:val="28"/>
          <w:szCs w:val="28"/>
          <w:highlight w:val="none"/>
        </w:rPr>
      </w:pPr>
      <w:bookmarkStart w:id="32" w:name="_Toc179632609"/>
      <w:bookmarkStart w:id="33" w:name="_Toc296602479"/>
      <w:bookmarkStart w:id="34" w:name="_Toc144974558"/>
      <w:bookmarkStart w:id="35" w:name="_Toc247085749"/>
      <w:bookmarkStart w:id="36" w:name="_Toc246996977"/>
      <w:bookmarkStart w:id="37" w:name="_Toc246996234"/>
      <w:bookmarkStart w:id="38" w:name="_Toc152042368"/>
      <w:bookmarkStart w:id="39" w:name="_Toc152045591"/>
      <w:r>
        <w:rPr>
          <w:rFonts w:ascii="Times New Roman" w:hAnsi="Times New Roman" w:cs="Times New Roman"/>
          <w:b/>
          <w:bCs/>
          <w:kern w:val="0"/>
          <w:sz w:val="28"/>
          <w:szCs w:val="28"/>
          <w:highlight w:val="none"/>
        </w:rPr>
        <w:t>2.1 初步评审标准</w:t>
      </w:r>
      <w:bookmarkEnd w:id="32"/>
      <w:bookmarkEnd w:id="33"/>
      <w:bookmarkEnd w:id="34"/>
      <w:bookmarkEnd w:id="35"/>
      <w:bookmarkEnd w:id="36"/>
      <w:bookmarkEnd w:id="37"/>
      <w:bookmarkEnd w:id="38"/>
      <w:bookmarkEnd w:id="39"/>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2.1.1 形式评审标准：见评标办法前附表。</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2.1.2 资格评审标准：见评标办法前附表。</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2.1.3 响应性评审标准：见评标办法前附表。</w:t>
      </w:r>
    </w:p>
    <w:p>
      <w:pPr>
        <w:wordWrap w:val="0"/>
        <w:spacing w:line="440" w:lineRule="exact"/>
        <w:rPr>
          <w:rFonts w:ascii="Times New Roman" w:hAnsi="Times New Roman" w:cs="Times New Roman"/>
          <w:b/>
          <w:bCs/>
          <w:kern w:val="0"/>
          <w:sz w:val="28"/>
          <w:szCs w:val="28"/>
          <w:highlight w:val="none"/>
        </w:rPr>
      </w:pPr>
      <w:bookmarkStart w:id="40" w:name="_Toc296602481"/>
      <w:bookmarkStart w:id="41" w:name="_Toc247085751"/>
      <w:bookmarkStart w:id="42" w:name="_Toc246996236"/>
      <w:bookmarkStart w:id="43" w:name="_Toc144974560"/>
      <w:bookmarkStart w:id="44" w:name="_Toc246996979"/>
      <w:bookmarkStart w:id="45" w:name="_Toc152045593"/>
      <w:bookmarkStart w:id="46" w:name="_Toc152042370"/>
      <w:bookmarkStart w:id="47" w:name="_Toc179632611"/>
      <w:r>
        <w:rPr>
          <w:rFonts w:ascii="Times New Roman" w:hAnsi="Times New Roman" w:cs="Times New Roman"/>
          <w:b/>
          <w:bCs/>
          <w:kern w:val="0"/>
          <w:sz w:val="28"/>
          <w:szCs w:val="28"/>
          <w:highlight w:val="none"/>
        </w:rPr>
        <w:t>2.2 分值构成与评分标准</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2.2.1 分值构成</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w:t>
      </w:r>
      <w:r>
        <w:rPr>
          <w:rFonts w:hint="eastAsia" w:ascii="Times New Roman" w:hAnsi="Times New Roman" w:cs="Times New Roman"/>
          <w:kern w:val="0"/>
          <w:sz w:val="24"/>
          <w:highlight w:val="none"/>
        </w:rPr>
        <w:t>综合实力部分</w:t>
      </w:r>
      <w:r>
        <w:rPr>
          <w:rFonts w:ascii="Times New Roman" w:hAnsi="Times New Roman" w:cs="Times New Roman"/>
          <w:kern w:val="0"/>
          <w:sz w:val="24"/>
          <w:highlight w:val="none"/>
        </w:rPr>
        <w:t>：见评标办法前附表；</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w:t>
      </w:r>
      <w:r>
        <w:rPr>
          <w:rFonts w:hint="eastAsia" w:ascii="Times New Roman" w:hAnsi="Times New Roman" w:cs="Times New Roman"/>
          <w:kern w:val="0"/>
          <w:sz w:val="24"/>
          <w:highlight w:val="none"/>
        </w:rPr>
        <w:t>项目重视程度部分</w:t>
      </w:r>
      <w:r>
        <w:rPr>
          <w:rFonts w:ascii="Times New Roman" w:hAnsi="Times New Roman" w:cs="Times New Roman"/>
          <w:kern w:val="0"/>
          <w:sz w:val="24"/>
          <w:highlight w:val="none"/>
        </w:rPr>
        <w:t>：见评标办法前附表；</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3</w:t>
      </w: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业绩部分</w:t>
      </w:r>
      <w:r>
        <w:rPr>
          <w:rFonts w:ascii="Times New Roman" w:hAnsi="Times New Roman" w:cs="Times New Roman"/>
          <w:kern w:val="0"/>
          <w:sz w:val="24"/>
          <w:highlight w:val="none"/>
        </w:rPr>
        <w:t>：见评标办法前附表；</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4</w:t>
      </w: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投标报价</w:t>
      </w:r>
      <w:r>
        <w:rPr>
          <w:rFonts w:ascii="Times New Roman" w:hAnsi="Times New Roman" w:cs="Times New Roman"/>
          <w:kern w:val="0"/>
          <w:sz w:val="24"/>
          <w:highlight w:val="none"/>
        </w:rPr>
        <w:t>：见评标办法前附表</w:t>
      </w:r>
      <w:r>
        <w:rPr>
          <w:rFonts w:hint="eastAsia" w:ascii="Times New Roman" w:hAnsi="Times New Roman" w:cs="Times New Roman"/>
          <w:kern w:val="0"/>
          <w:sz w:val="24"/>
          <w:highlight w:val="none"/>
        </w:rPr>
        <w:t>。</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2.2.2 评标基准价计算</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评标基准价计算方法：见评标办法前附表。</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2.2.3 投标报价的偏差率计算</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投标报价的偏差率计算公式：见评标办法前附表。</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2.2.4 评分标准</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w:t>
      </w:r>
      <w:r>
        <w:rPr>
          <w:rFonts w:hint="eastAsia" w:ascii="Times New Roman" w:hAnsi="Times New Roman" w:cs="Times New Roman"/>
          <w:kern w:val="0"/>
          <w:sz w:val="24"/>
          <w:highlight w:val="none"/>
        </w:rPr>
        <w:t>综合实力部分评分标准</w:t>
      </w:r>
      <w:r>
        <w:rPr>
          <w:rFonts w:ascii="Times New Roman" w:hAnsi="Times New Roman" w:cs="Times New Roman"/>
          <w:kern w:val="0"/>
          <w:sz w:val="24"/>
          <w:highlight w:val="none"/>
        </w:rPr>
        <w:t>：见评标办法前附表；</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w:t>
      </w:r>
      <w:r>
        <w:rPr>
          <w:rFonts w:hint="eastAsia" w:ascii="Times New Roman" w:hAnsi="Times New Roman" w:cs="Times New Roman"/>
          <w:kern w:val="0"/>
          <w:sz w:val="24"/>
          <w:highlight w:val="none"/>
        </w:rPr>
        <w:t>项目重视程度部分评分标准</w:t>
      </w:r>
      <w:r>
        <w:rPr>
          <w:rFonts w:ascii="Times New Roman" w:hAnsi="Times New Roman" w:cs="Times New Roman"/>
          <w:kern w:val="0"/>
          <w:sz w:val="24"/>
          <w:highlight w:val="none"/>
        </w:rPr>
        <w:t>：见评标办法前附表；</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3</w:t>
      </w: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业绩部分评分标准</w:t>
      </w:r>
      <w:r>
        <w:rPr>
          <w:rFonts w:ascii="Times New Roman" w:hAnsi="Times New Roman" w:cs="Times New Roman"/>
          <w:kern w:val="0"/>
          <w:sz w:val="24"/>
          <w:highlight w:val="none"/>
        </w:rPr>
        <w:t>：见评标办法前附表；</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4</w:t>
      </w: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投标报价评分标准</w:t>
      </w:r>
      <w:r>
        <w:rPr>
          <w:rFonts w:ascii="Times New Roman" w:hAnsi="Times New Roman" w:cs="Times New Roman"/>
          <w:kern w:val="0"/>
          <w:sz w:val="24"/>
          <w:highlight w:val="none"/>
        </w:rPr>
        <w:t>：见评标办法前附表</w:t>
      </w:r>
      <w:r>
        <w:rPr>
          <w:rFonts w:hint="eastAsia" w:ascii="Times New Roman" w:hAnsi="Times New Roman" w:cs="Times New Roman"/>
          <w:kern w:val="0"/>
          <w:sz w:val="24"/>
          <w:highlight w:val="none"/>
        </w:rPr>
        <w:t>。</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3. 评标程序</w:t>
      </w:r>
      <w:bookmarkEnd w:id="40"/>
      <w:bookmarkEnd w:id="41"/>
      <w:bookmarkEnd w:id="42"/>
      <w:bookmarkEnd w:id="43"/>
      <w:bookmarkEnd w:id="44"/>
      <w:bookmarkEnd w:id="45"/>
      <w:bookmarkEnd w:id="46"/>
      <w:bookmarkEnd w:id="47"/>
    </w:p>
    <w:p>
      <w:pPr>
        <w:wordWrap w:val="0"/>
        <w:spacing w:line="440" w:lineRule="exact"/>
        <w:rPr>
          <w:rFonts w:ascii="Times New Roman" w:hAnsi="Times New Roman" w:cs="Times New Roman"/>
          <w:b/>
          <w:bCs/>
          <w:kern w:val="0"/>
          <w:sz w:val="28"/>
          <w:szCs w:val="28"/>
          <w:highlight w:val="none"/>
        </w:rPr>
      </w:pPr>
      <w:bookmarkStart w:id="48" w:name="_Toc152042371"/>
      <w:bookmarkStart w:id="49" w:name="_Toc247085752"/>
      <w:bookmarkStart w:id="50" w:name="_Toc296602482"/>
      <w:bookmarkStart w:id="51" w:name="_Toc179632612"/>
      <w:bookmarkStart w:id="52" w:name="_Toc246996980"/>
      <w:bookmarkStart w:id="53" w:name="_Toc246996237"/>
      <w:bookmarkStart w:id="54" w:name="_Toc152045594"/>
      <w:bookmarkStart w:id="55" w:name="_Toc144974561"/>
      <w:r>
        <w:rPr>
          <w:rFonts w:ascii="Times New Roman" w:hAnsi="Times New Roman" w:cs="Times New Roman"/>
          <w:b/>
          <w:bCs/>
          <w:kern w:val="0"/>
          <w:sz w:val="28"/>
          <w:szCs w:val="28"/>
          <w:highlight w:val="none"/>
        </w:rPr>
        <w:t>3.1 初步评审</w:t>
      </w:r>
      <w:bookmarkEnd w:id="48"/>
      <w:bookmarkEnd w:id="49"/>
      <w:bookmarkEnd w:id="50"/>
      <w:bookmarkEnd w:id="51"/>
      <w:bookmarkEnd w:id="52"/>
      <w:bookmarkEnd w:id="53"/>
      <w:bookmarkEnd w:id="54"/>
      <w:bookmarkEnd w:id="55"/>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3.1.1评标委员会可以要求投标人提交第二章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”规定的有关证明和证件的原件，</w:t>
      </w:r>
      <w:r>
        <w:rPr>
          <w:rFonts w:ascii="Times New Roman" w:hAnsi="Times New Roman" w:cs="Times New Roman"/>
          <w:kern w:val="0"/>
          <w:sz w:val="24"/>
          <w:highlight w:val="none"/>
        </w:rPr>
        <w:t>以便核验。评标委员会依据本章</w:t>
      </w:r>
      <w:r>
        <w:rPr>
          <w:rFonts w:hint="eastAsia" w:ascii="Times New Roman" w:hAnsi="Times New Roman" w:cs="Times New Roman"/>
          <w:kern w:val="0"/>
          <w:sz w:val="24"/>
          <w:highlight w:val="none"/>
        </w:rPr>
        <w:t>第2.1款</w:t>
      </w:r>
      <w:r>
        <w:rPr>
          <w:rFonts w:ascii="Times New Roman" w:hAnsi="Times New Roman" w:cs="Times New Roman"/>
          <w:kern w:val="0"/>
          <w:sz w:val="24"/>
          <w:highlight w:val="none"/>
        </w:rPr>
        <w:t>规定的标准对投标文件进行初步评审。有一项不符合评审标准的，评标委员会应当否决其投标。</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3.1.2 投标人有以下情形之一的，评标委员会应当否决其投标：</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w:t>
      </w:r>
      <w:r>
        <w:rPr>
          <w:rFonts w:hint="eastAsia" w:ascii="Times New Roman" w:hAnsi="Times New Roman" w:cs="Times New Roman"/>
          <w:kern w:val="0"/>
          <w:sz w:val="24"/>
          <w:highlight w:val="none"/>
        </w:rPr>
        <w:t>投标文件没有对招标文件的实质性要求和条件作出响应，或者对招标文件的偏差超出招标文件规定的偏差范围或最高项数；</w:t>
      </w:r>
    </w:p>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（2）有串通投标、弄虚作假、行贿等违法行为。</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3.1.3投标报价有算术错误的</w:t>
      </w:r>
      <w:r>
        <w:rPr>
          <w:rFonts w:hint="eastAsia" w:ascii="Times New Roman" w:hAnsi="Times New Roman" w:cs="Times New Roman"/>
          <w:kern w:val="0"/>
          <w:sz w:val="24"/>
          <w:highlight w:val="none"/>
        </w:rPr>
        <w:t>及其他错误的，评标委员会按以下原则要求投标人对投标报价进行修正，并要求投标人书面澄清确认。投标人拒不澄清确认的，评标委员会应当否决其投标：</w:t>
      </w:r>
    </w:p>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（1）投标文件中的大写金额与小写金额不一致的，以大写金额为准；</w:t>
      </w:r>
    </w:p>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（2）总价金额与单价金额不一致的，以单价金额为准，但单价金额小数点有明显错误的除外。</w:t>
      </w:r>
    </w:p>
    <w:p>
      <w:pPr>
        <w:wordWrap w:val="0"/>
        <w:spacing w:line="440" w:lineRule="exact"/>
        <w:rPr>
          <w:rFonts w:ascii="Times New Roman" w:hAnsi="Times New Roman" w:cs="Times New Roman"/>
          <w:b/>
          <w:bCs/>
          <w:kern w:val="0"/>
          <w:sz w:val="28"/>
          <w:szCs w:val="28"/>
          <w:highlight w:val="none"/>
        </w:rPr>
      </w:pPr>
      <w:bookmarkStart w:id="56" w:name="_Toc246996981"/>
      <w:bookmarkStart w:id="57" w:name="_Toc296602483"/>
      <w:bookmarkStart w:id="58" w:name="_Toc179632613"/>
      <w:bookmarkStart w:id="59" w:name="_Toc152045595"/>
      <w:bookmarkStart w:id="60" w:name="_Toc144974562"/>
      <w:bookmarkStart w:id="61" w:name="_Toc246996238"/>
      <w:bookmarkStart w:id="62" w:name="_Toc247085753"/>
      <w:bookmarkStart w:id="63" w:name="_Toc152042372"/>
      <w:r>
        <w:rPr>
          <w:rFonts w:ascii="Times New Roman" w:hAnsi="Times New Roman" w:cs="Times New Roman"/>
          <w:b/>
          <w:bCs/>
          <w:kern w:val="0"/>
          <w:sz w:val="28"/>
          <w:szCs w:val="28"/>
          <w:highlight w:val="none"/>
        </w:rPr>
        <w:t>3.2 详细评审</w:t>
      </w:r>
      <w:bookmarkEnd w:id="56"/>
      <w:bookmarkEnd w:id="57"/>
      <w:bookmarkEnd w:id="58"/>
      <w:bookmarkEnd w:id="59"/>
      <w:bookmarkEnd w:id="60"/>
      <w:bookmarkEnd w:id="61"/>
      <w:bookmarkEnd w:id="62"/>
      <w:bookmarkEnd w:id="63"/>
    </w:p>
    <w:p>
      <w:pPr>
        <w:wordWrap w:val="0"/>
        <w:spacing w:line="440" w:lineRule="exact"/>
        <w:ind w:firstLine="480" w:firstLineChars="200"/>
        <w:rPr>
          <w:rFonts w:ascii="Times New Roman" w:hAnsi="Times New Roman" w:cs="Times New Roman"/>
          <w:kern w:val="0"/>
          <w:sz w:val="24"/>
          <w:highlight w:val="none"/>
        </w:rPr>
      </w:pPr>
      <w:bookmarkStart w:id="64" w:name="_Toc246996982"/>
      <w:bookmarkStart w:id="65" w:name="_Toc152045596"/>
      <w:bookmarkStart w:id="66" w:name="_Toc296602484"/>
      <w:bookmarkStart w:id="67" w:name="_Toc179632614"/>
      <w:bookmarkStart w:id="68" w:name="_Toc247085754"/>
      <w:bookmarkStart w:id="69" w:name="_Toc246996239"/>
      <w:bookmarkStart w:id="70" w:name="_Toc152042373"/>
      <w:bookmarkStart w:id="71" w:name="_Toc144974563"/>
      <w:r>
        <w:rPr>
          <w:rFonts w:ascii="Times New Roman" w:hAnsi="Times New Roman" w:cs="Times New Roman"/>
          <w:kern w:val="0"/>
          <w:sz w:val="24"/>
          <w:highlight w:val="none"/>
        </w:rPr>
        <w:t>3.2.1 评标委员会按本章</w:t>
      </w:r>
      <w:r>
        <w:rPr>
          <w:rFonts w:hint="eastAsia" w:ascii="Times New Roman" w:hAnsi="Times New Roman" w:cs="Times New Roman"/>
          <w:kern w:val="0"/>
          <w:sz w:val="24"/>
          <w:highlight w:val="none"/>
        </w:rPr>
        <w:t>第2.2款规定的</w:t>
      </w:r>
      <w:r>
        <w:rPr>
          <w:rFonts w:ascii="Times New Roman" w:hAnsi="Times New Roman" w:cs="Times New Roman"/>
          <w:kern w:val="0"/>
          <w:sz w:val="24"/>
          <w:highlight w:val="none"/>
        </w:rPr>
        <w:t>量化因素和分值进行打分，并计算出综合评估得分。</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（1）按本章</w:t>
      </w:r>
      <w:r>
        <w:rPr>
          <w:rFonts w:hint="eastAsia" w:ascii="Times New Roman" w:hAnsi="Times New Roman" w:cs="Times New Roman"/>
          <w:kern w:val="0"/>
          <w:sz w:val="24"/>
          <w:highlight w:val="none"/>
        </w:rPr>
        <w:t>第2.2.4（1）目规定的评审因素和分值对综合实力部分计算出得分A；</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2</w:t>
      </w:r>
      <w:r>
        <w:rPr>
          <w:rFonts w:ascii="Times New Roman" w:hAnsi="Times New Roman" w:cs="Times New Roman"/>
          <w:kern w:val="0"/>
          <w:sz w:val="24"/>
          <w:highlight w:val="none"/>
        </w:rPr>
        <w:t>）按本章</w:t>
      </w:r>
      <w:r>
        <w:rPr>
          <w:rFonts w:hint="eastAsia" w:ascii="Times New Roman" w:hAnsi="Times New Roman" w:cs="Times New Roman"/>
          <w:kern w:val="0"/>
          <w:sz w:val="24"/>
          <w:highlight w:val="none"/>
        </w:rPr>
        <w:t>第2.2.4（2）目规定的评审因素和分值对项目重视程度部分计算出得分B；</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3</w:t>
      </w:r>
      <w:r>
        <w:rPr>
          <w:rFonts w:ascii="Times New Roman" w:hAnsi="Times New Roman" w:cs="Times New Roman"/>
          <w:kern w:val="0"/>
          <w:sz w:val="24"/>
          <w:highlight w:val="none"/>
        </w:rPr>
        <w:t>）按本章</w:t>
      </w:r>
      <w:r>
        <w:rPr>
          <w:rFonts w:hint="eastAsia" w:ascii="Times New Roman" w:hAnsi="Times New Roman" w:cs="Times New Roman"/>
          <w:kern w:val="0"/>
          <w:sz w:val="24"/>
          <w:highlight w:val="none"/>
        </w:rPr>
        <w:t>第2.2.4（3）目规定的评审因素和分值对业绩部分计算出得分C；</w:t>
      </w:r>
    </w:p>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（4）</w:t>
      </w:r>
      <w:r>
        <w:rPr>
          <w:rFonts w:ascii="Times New Roman" w:hAnsi="Times New Roman" w:cs="Times New Roman"/>
          <w:kern w:val="0"/>
          <w:sz w:val="24"/>
          <w:highlight w:val="none"/>
        </w:rPr>
        <w:t>按本章</w:t>
      </w:r>
      <w:r>
        <w:rPr>
          <w:rFonts w:hint="eastAsia" w:ascii="Times New Roman" w:hAnsi="Times New Roman" w:cs="Times New Roman"/>
          <w:kern w:val="0"/>
          <w:sz w:val="24"/>
          <w:highlight w:val="none"/>
        </w:rPr>
        <w:t>第2.2.4（4）目规定的评审因素和分值对投标报价部分计算出得分D。</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3.2.2 评分分值计算保留小数点后两位，小数点后第三位</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四舍五入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3.2.3 投标人得分=A+B+</w:t>
      </w:r>
      <w:r>
        <w:rPr>
          <w:rFonts w:hint="eastAsia" w:ascii="Times New Roman" w:hAnsi="Times New Roman" w:cs="Times New Roman"/>
          <w:kern w:val="0"/>
          <w:sz w:val="24"/>
          <w:highlight w:val="none"/>
        </w:rPr>
        <w:t>C</w:t>
      </w: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D</w:t>
      </w:r>
      <w:r>
        <w:rPr>
          <w:rFonts w:ascii="Times New Roman" w:hAnsi="Times New Roman" w:cs="Times New Roman"/>
          <w:kern w:val="0"/>
          <w:sz w:val="24"/>
          <w:highlight w:val="none"/>
        </w:rPr>
        <w:t>。</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3.2.4 评标委员会发现投标人的报价明显低于其他投标报价，</w:t>
      </w:r>
      <w:r>
        <w:rPr>
          <w:rFonts w:hint="eastAsia" w:ascii="Times New Roman" w:hAnsi="Times New Roman" w:cs="Times New Roman"/>
          <w:kern w:val="0"/>
          <w:sz w:val="24"/>
          <w:highlight w:val="none"/>
        </w:rPr>
        <w:t>使得其投标报价可能低于其个别成本的，应当要求该投标人作出书面说明并提供相应的证明材料。投标人不能合理说明或者不能提供相应证明材料的，评标委员会应当</w:t>
      </w:r>
      <w:r>
        <w:rPr>
          <w:rFonts w:ascii="Times New Roman" w:hAnsi="Times New Roman" w:cs="Times New Roman"/>
          <w:kern w:val="0"/>
          <w:sz w:val="24"/>
          <w:highlight w:val="none"/>
        </w:rPr>
        <w:t>认定该投标人以低于成本报价竞标，</w:t>
      </w:r>
      <w:r>
        <w:rPr>
          <w:rFonts w:hint="eastAsia" w:ascii="Times New Roman" w:hAnsi="Times New Roman" w:cs="Times New Roman"/>
          <w:kern w:val="0"/>
          <w:sz w:val="24"/>
          <w:highlight w:val="none"/>
        </w:rPr>
        <w:t>并</w:t>
      </w:r>
      <w:r>
        <w:rPr>
          <w:rFonts w:ascii="Times New Roman" w:hAnsi="Times New Roman" w:cs="Times New Roman"/>
          <w:kern w:val="0"/>
          <w:sz w:val="24"/>
          <w:highlight w:val="none"/>
        </w:rPr>
        <w:t>否决其投标。</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3.3 投标文件的澄清</w:t>
      </w:r>
      <w:bookmarkEnd w:id="64"/>
      <w:bookmarkEnd w:id="65"/>
      <w:bookmarkEnd w:id="66"/>
      <w:bookmarkEnd w:id="67"/>
      <w:bookmarkEnd w:id="68"/>
      <w:bookmarkEnd w:id="69"/>
      <w:bookmarkEnd w:id="70"/>
      <w:bookmarkEnd w:id="71"/>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3.3.1 在评标过程中，评标委员会可以书面形式要求投标人对</w:t>
      </w:r>
      <w:r>
        <w:rPr>
          <w:rFonts w:hint="eastAsia" w:ascii="Times New Roman" w:hAnsi="Times New Roman" w:cs="Times New Roman"/>
          <w:kern w:val="0"/>
          <w:sz w:val="24"/>
          <w:highlight w:val="none"/>
        </w:rPr>
        <w:t>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3.3.2 澄清、说明</w:t>
      </w:r>
      <w:r>
        <w:rPr>
          <w:rFonts w:hint="eastAsia" w:ascii="Times New Roman" w:hAnsi="Times New Roman" w:cs="Times New Roman"/>
          <w:kern w:val="0"/>
          <w:sz w:val="24"/>
          <w:highlight w:val="none"/>
        </w:rPr>
        <w:t>和</w:t>
      </w:r>
      <w:r>
        <w:rPr>
          <w:rFonts w:ascii="Times New Roman" w:hAnsi="Times New Roman" w:cs="Times New Roman"/>
          <w:kern w:val="0"/>
          <w:sz w:val="24"/>
          <w:highlight w:val="none"/>
        </w:rPr>
        <w:t>补正不得</w:t>
      </w:r>
      <w:r>
        <w:rPr>
          <w:rFonts w:hint="eastAsia" w:ascii="Times New Roman" w:hAnsi="Times New Roman" w:cs="Times New Roman"/>
          <w:kern w:val="0"/>
          <w:sz w:val="24"/>
          <w:highlight w:val="none"/>
        </w:rPr>
        <w:t>超出投标文件的范围且不得改变投标文件的实质性内容，并构成投标文件的组成部分。</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3.3.3 评标委员会对投标人提交的澄清、说明或补正有疑问的，可以要求投标人进一步澄清、说明或补正，直至满足评标委员会的要求。</w:t>
      </w:r>
    </w:p>
    <w:p>
      <w:pPr>
        <w:wordWrap w:val="0"/>
        <w:spacing w:line="440" w:lineRule="exact"/>
        <w:rPr>
          <w:rFonts w:ascii="Times New Roman" w:hAnsi="Times New Roman" w:cs="Times New Roman"/>
          <w:b/>
          <w:bCs/>
          <w:kern w:val="0"/>
          <w:sz w:val="28"/>
          <w:szCs w:val="28"/>
          <w:highlight w:val="none"/>
        </w:rPr>
      </w:pPr>
      <w:bookmarkStart w:id="72" w:name="_Toc152042374"/>
      <w:bookmarkStart w:id="73" w:name="_Toc152045597"/>
      <w:bookmarkStart w:id="74" w:name="_Toc247085755"/>
      <w:bookmarkStart w:id="75" w:name="_Toc179632615"/>
      <w:bookmarkStart w:id="76" w:name="_Toc246996983"/>
      <w:bookmarkStart w:id="77" w:name="_Toc246996240"/>
      <w:bookmarkStart w:id="78" w:name="_Toc296602485"/>
      <w:bookmarkStart w:id="79" w:name="_Toc144974564"/>
      <w:r>
        <w:rPr>
          <w:rFonts w:ascii="Times New Roman" w:hAnsi="Times New Roman" w:cs="Times New Roman"/>
          <w:b/>
          <w:bCs/>
          <w:kern w:val="0"/>
          <w:sz w:val="28"/>
          <w:szCs w:val="28"/>
          <w:highlight w:val="none"/>
        </w:rPr>
        <w:t>3.4 评标结果</w:t>
      </w:r>
      <w:bookmarkEnd w:id="72"/>
      <w:bookmarkEnd w:id="73"/>
      <w:bookmarkEnd w:id="74"/>
      <w:bookmarkEnd w:id="75"/>
      <w:bookmarkEnd w:id="76"/>
      <w:bookmarkEnd w:id="77"/>
      <w:bookmarkEnd w:id="78"/>
      <w:bookmarkEnd w:id="79"/>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3.4.1 除第二章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前附表授权直接确定中标人外，评标委员会按照得分由高到低的顺序推荐中标候选人</w:t>
      </w:r>
      <w:r>
        <w:rPr>
          <w:rFonts w:hint="eastAsia" w:ascii="Times New Roman" w:hAnsi="Times New Roman" w:cs="Times New Roman"/>
          <w:kern w:val="0"/>
          <w:sz w:val="24"/>
          <w:highlight w:val="none"/>
        </w:rPr>
        <w:t>，并标明排序。</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3.4.2 评标委员会完成评标后，应当向招标人提交书面评标报告</w:t>
      </w:r>
      <w:r>
        <w:rPr>
          <w:rFonts w:hint="eastAsia" w:ascii="Times New Roman" w:hAnsi="Times New Roman" w:cs="Times New Roman"/>
          <w:kern w:val="0"/>
          <w:sz w:val="24"/>
          <w:highlight w:val="none"/>
        </w:rPr>
        <w:t>和中标候选人名单。</w:t>
      </w:r>
    </w:p>
    <w:p>
      <w:pPr>
        <w:rPr>
          <w:rFonts w:ascii="宋体" w:hAnsi="宋体" w:eastAsia="宋体" w:cs="宋体"/>
          <w:sz w:val="24"/>
          <w:highlight w:val="none"/>
        </w:rPr>
      </w:pPr>
      <w:r>
        <w:rPr>
          <w:rFonts w:hint="eastAsia" w:ascii="宋体" w:hAnsi="宋体" w:eastAsia="宋体" w:cs="宋体"/>
          <w:sz w:val="24"/>
          <w:highlight w:val="none"/>
        </w:rPr>
        <w:br w:type="page"/>
      </w:r>
    </w:p>
    <w:p>
      <w:pPr>
        <w:spacing w:line="480" w:lineRule="exact"/>
        <w:jc w:val="cente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 xml:space="preserve">第四章 </w:t>
      </w:r>
      <w:r>
        <w:rPr>
          <w:rFonts w:asciiTheme="majorEastAsia" w:hAnsiTheme="majorEastAsia" w:eastAsiaTheme="majorEastAsia" w:cstheme="majorEastAsia"/>
          <w:b/>
          <w:bCs/>
          <w:sz w:val="32"/>
          <w:szCs w:val="32"/>
          <w:highlight w:val="none"/>
        </w:rPr>
        <w:t>合同条款及格式</w:t>
      </w: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rPr>
          <w:rFonts w:asciiTheme="majorEastAsia" w:hAnsiTheme="majorEastAsia" w:eastAsiaTheme="majorEastAsia" w:cstheme="majorEastAsia"/>
          <w:b/>
          <w:bCs/>
          <w:sz w:val="28"/>
          <w:szCs w:val="28"/>
          <w:highlight w:val="none"/>
        </w:rPr>
      </w:pPr>
      <w:r>
        <w:rPr>
          <w:rFonts w:hint="eastAsia" w:asciiTheme="majorEastAsia" w:hAnsiTheme="majorEastAsia" w:eastAsiaTheme="majorEastAsia" w:cstheme="majorEastAsia"/>
          <w:b/>
          <w:bCs/>
          <w:sz w:val="28"/>
          <w:szCs w:val="28"/>
          <w:highlight w:val="none"/>
        </w:rPr>
        <w:t>合同条款前附表</w:t>
      </w:r>
    </w:p>
    <w:p>
      <w:pPr>
        <w:spacing w:line="480" w:lineRule="exact"/>
        <w:rPr>
          <w:rFonts w:asciiTheme="majorEastAsia" w:hAnsiTheme="majorEastAsia" w:eastAsiaTheme="majorEastAsia" w:cstheme="majorEastAsia"/>
          <w:b/>
          <w:bCs/>
          <w:sz w:val="28"/>
          <w:szCs w:val="28"/>
          <w:highlight w:val="none"/>
        </w:rPr>
      </w:pP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序号</w:t>
            </w:r>
          </w:p>
        </w:tc>
        <w:tc>
          <w:tcPr>
            <w:tcW w:w="1417" w:type="dxa"/>
            <w:vAlign w:val="center"/>
          </w:tcPr>
          <w:p>
            <w:pPr>
              <w:wordWrap w:val="0"/>
              <w:spacing w:line="44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条款名称</w:t>
            </w:r>
          </w:p>
        </w:tc>
        <w:tc>
          <w:tcPr>
            <w:tcW w:w="6253" w:type="dxa"/>
            <w:vAlign w:val="center"/>
          </w:tcPr>
          <w:p>
            <w:pPr>
              <w:wordWrap w:val="0"/>
              <w:spacing w:line="44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1</w:t>
            </w:r>
          </w:p>
        </w:tc>
        <w:tc>
          <w:tcPr>
            <w:tcW w:w="1417" w:type="dxa"/>
            <w:vAlign w:val="center"/>
          </w:tcPr>
          <w:p>
            <w:pPr>
              <w:wordWrap w:val="0"/>
              <w:spacing w:line="44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付款人</w:t>
            </w:r>
          </w:p>
        </w:tc>
        <w:tc>
          <w:tcPr>
            <w:tcW w:w="6253" w:type="dxa"/>
            <w:vAlign w:val="center"/>
          </w:tcPr>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亳州交通投资控股集团有限公司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2</w:t>
            </w:r>
          </w:p>
        </w:tc>
        <w:tc>
          <w:tcPr>
            <w:tcW w:w="1417" w:type="dxa"/>
            <w:vAlign w:val="center"/>
          </w:tcPr>
          <w:p>
            <w:pPr>
              <w:wordWrap w:val="0"/>
              <w:spacing w:line="44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付款方式</w:t>
            </w:r>
          </w:p>
        </w:tc>
        <w:tc>
          <w:tcPr>
            <w:tcW w:w="6253" w:type="dxa"/>
            <w:vAlign w:val="center"/>
          </w:tcPr>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由主承销商从募集款项中扣收。</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注：</w:t>
            </w:r>
            <w:r>
              <w:rPr>
                <w:rFonts w:hint="eastAsia" w:ascii="Times New Roman" w:hAnsi="Times New Roman" w:cs="Times New Roman"/>
                <w:kern w:val="0"/>
                <w:sz w:val="24"/>
                <w:highlight w:val="none"/>
                <w:lang w:val="en-US" w:eastAsia="zh-CN"/>
              </w:rPr>
              <w:t>主承销商应在扣收后10个工作日内，按照</w:t>
            </w:r>
            <w:r>
              <w:rPr>
                <w:rFonts w:ascii="Times New Roman" w:hAnsi="Times New Roman" w:cs="Times New Roman"/>
                <w:kern w:val="0"/>
                <w:sz w:val="24"/>
                <w:highlight w:val="none"/>
              </w:rPr>
              <w:t>国家税收有关规定</w:t>
            </w:r>
            <w:r>
              <w:rPr>
                <w:rFonts w:hint="eastAsia" w:ascii="Times New Roman" w:hAnsi="Times New Roman" w:cs="Times New Roman"/>
                <w:kern w:val="0"/>
                <w:sz w:val="24"/>
                <w:highlight w:val="none"/>
                <w:lang w:val="en-US" w:eastAsia="zh-CN"/>
              </w:rPr>
              <w:t>向招标人</w:t>
            </w:r>
            <w:r>
              <w:rPr>
                <w:rFonts w:ascii="Times New Roman" w:hAnsi="Times New Roman" w:cs="Times New Roman"/>
                <w:kern w:val="0"/>
                <w:sz w:val="24"/>
                <w:highlight w:val="none"/>
              </w:rPr>
              <w:t>开具等额增值税专用发票</w:t>
            </w:r>
            <w:r>
              <w:rPr>
                <w:rFonts w:hint="eastAsia" w:ascii="Times New Roman" w:hAnsi="Times New Roman" w:cs="Times New Roman"/>
                <w:kern w:val="0"/>
                <w:sz w:val="24"/>
                <w:highlight w:val="none"/>
              </w:rPr>
              <w:t>。</w:t>
            </w:r>
          </w:p>
        </w:tc>
      </w:tr>
    </w:tbl>
    <w:p>
      <w:pPr>
        <w:wordWrap w:val="0"/>
        <w:spacing w:line="440" w:lineRule="exact"/>
        <w:ind w:firstLine="482" w:firstLineChars="200"/>
        <w:rPr>
          <w:rFonts w:ascii="Times New Roman" w:hAnsi="Times New Roman" w:cs="Times New Roman"/>
          <w:kern w:val="0"/>
          <w:sz w:val="24"/>
          <w:highlight w:val="none"/>
        </w:rPr>
      </w:pPr>
      <w:r>
        <w:rPr>
          <w:rFonts w:hint="eastAsia" w:ascii="Times New Roman" w:hAnsi="Times New Roman" w:cs="Times New Roman"/>
          <w:b/>
          <w:bCs/>
          <w:kern w:val="0"/>
          <w:sz w:val="24"/>
          <w:highlight w:val="none"/>
        </w:rPr>
        <w:t>说明：</w:t>
      </w:r>
      <w:r>
        <w:rPr>
          <w:rFonts w:hint="eastAsia" w:ascii="Times New Roman" w:hAnsi="Times New Roman" w:cs="Times New Roman"/>
          <w:kern w:val="0"/>
          <w:sz w:val="24"/>
          <w:highlight w:val="none"/>
        </w:rPr>
        <w:t>具体合同内容及格式</w:t>
      </w:r>
      <w:r>
        <w:rPr>
          <w:rFonts w:ascii="Times New Roman" w:hAnsi="Times New Roman" w:cs="Times New Roman"/>
          <w:kern w:val="0"/>
          <w:sz w:val="24"/>
          <w:highlight w:val="none"/>
        </w:rPr>
        <w:t>由</w:t>
      </w:r>
      <w:r>
        <w:rPr>
          <w:rFonts w:hint="eastAsia" w:ascii="Times New Roman" w:hAnsi="Times New Roman" w:cs="Times New Roman"/>
          <w:kern w:val="0"/>
          <w:sz w:val="24"/>
          <w:highlight w:val="none"/>
        </w:rPr>
        <w:t>招标</w:t>
      </w:r>
      <w:r>
        <w:rPr>
          <w:rFonts w:ascii="Times New Roman" w:hAnsi="Times New Roman" w:cs="Times New Roman"/>
          <w:kern w:val="0"/>
          <w:sz w:val="24"/>
          <w:highlight w:val="none"/>
        </w:rPr>
        <w:t>人与</w:t>
      </w:r>
      <w:r>
        <w:rPr>
          <w:rFonts w:hint="eastAsia" w:ascii="Times New Roman" w:hAnsi="Times New Roman" w:cs="Times New Roman"/>
          <w:kern w:val="0"/>
          <w:sz w:val="24"/>
          <w:highlight w:val="none"/>
        </w:rPr>
        <w:t>中标单</w:t>
      </w:r>
      <w:r>
        <w:rPr>
          <w:rFonts w:ascii="Times New Roman" w:hAnsi="Times New Roman" w:cs="Times New Roman"/>
          <w:kern w:val="0"/>
          <w:sz w:val="24"/>
          <w:highlight w:val="none"/>
        </w:rPr>
        <w:t>位在不违背</w:t>
      </w:r>
      <w:r>
        <w:rPr>
          <w:rFonts w:hint="eastAsia" w:ascii="Times New Roman" w:hAnsi="Times New Roman" w:cs="Times New Roman"/>
          <w:kern w:val="0"/>
          <w:sz w:val="24"/>
          <w:highlight w:val="none"/>
        </w:rPr>
        <w:t>招标文件</w:t>
      </w:r>
      <w:r>
        <w:rPr>
          <w:rFonts w:ascii="Times New Roman" w:hAnsi="Times New Roman" w:cs="Times New Roman"/>
          <w:kern w:val="0"/>
          <w:sz w:val="24"/>
          <w:highlight w:val="none"/>
        </w:rPr>
        <w:t>内容和</w:t>
      </w:r>
      <w:r>
        <w:rPr>
          <w:rFonts w:hint="eastAsia" w:ascii="Times New Roman" w:hAnsi="Times New Roman" w:cs="Times New Roman"/>
          <w:kern w:val="0"/>
          <w:sz w:val="24"/>
          <w:highlight w:val="none"/>
        </w:rPr>
        <w:t>投标</w:t>
      </w:r>
      <w:r>
        <w:rPr>
          <w:rFonts w:ascii="Times New Roman" w:hAnsi="Times New Roman" w:cs="Times New Roman"/>
          <w:kern w:val="0"/>
          <w:sz w:val="24"/>
          <w:highlight w:val="none"/>
        </w:rPr>
        <w:t>文件承诺的条件下友好协商签订</w:t>
      </w:r>
      <w:r>
        <w:rPr>
          <w:rFonts w:hint="eastAsia" w:ascii="Times New Roman" w:hAnsi="Times New Roman" w:cs="Times New Roman"/>
          <w:kern w:val="0"/>
          <w:sz w:val="24"/>
          <w:highlight w:val="none"/>
        </w:rPr>
        <w:t>。</w:t>
      </w:r>
    </w:p>
    <w:p>
      <w:pPr>
        <w:spacing w:line="520" w:lineRule="exact"/>
        <w:ind w:firstLine="643" w:firstLineChars="200"/>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br w:type="page"/>
      </w:r>
    </w:p>
    <w:bookmarkEnd w:id="16"/>
    <w:bookmarkEnd w:id="17"/>
    <w:bookmarkEnd w:id="18"/>
    <w:bookmarkEnd w:id="19"/>
    <w:bookmarkEnd w:id="20"/>
    <w:bookmarkEnd w:id="21"/>
    <w:bookmarkEnd w:id="22"/>
    <w:bookmarkEnd w:id="23"/>
    <w:p>
      <w:pPr>
        <w:spacing w:line="480" w:lineRule="exact"/>
        <w:jc w:val="center"/>
        <w:rPr>
          <w:rFonts w:ascii="Times New Roman" w:hAnsi="Times New Roman" w:cs="Times New Roman" w:eastAsiaTheme="majorEastAsia"/>
          <w:b/>
          <w:bCs/>
          <w:sz w:val="32"/>
          <w:szCs w:val="32"/>
          <w:highlight w:val="none"/>
        </w:rPr>
      </w:pPr>
      <w:r>
        <w:rPr>
          <w:rFonts w:ascii="Times New Roman" w:hAnsi="Times New Roman" w:cs="Times New Roman" w:eastAsiaTheme="majorEastAsia"/>
          <w:b/>
          <w:bCs/>
          <w:sz w:val="32"/>
          <w:szCs w:val="32"/>
          <w:highlight w:val="none"/>
        </w:rPr>
        <w:t>第</w:t>
      </w:r>
      <w:r>
        <w:rPr>
          <w:rFonts w:hint="eastAsia" w:ascii="Times New Roman" w:hAnsi="Times New Roman" w:cs="Times New Roman" w:eastAsiaTheme="majorEastAsia"/>
          <w:b/>
          <w:bCs/>
          <w:sz w:val="32"/>
          <w:szCs w:val="32"/>
          <w:highlight w:val="none"/>
        </w:rPr>
        <w:t>五</w:t>
      </w:r>
      <w:r>
        <w:rPr>
          <w:rFonts w:ascii="Times New Roman" w:hAnsi="Times New Roman" w:cs="Times New Roman" w:eastAsiaTheme="majorEastAsia"/>
          <w:b/>
          <w:bCs/>
          <w:sz w:val="32"/>
          <w:szCs w:val="32"/>
          <w:highlight w:val="none"/>
        </w:rPr>
        <w:t>章 投标文件格式</w:t>
      </w:r>
    </w:p>
    <w:p>
      <w:pPr>
        <w:wordWrap w:val="0"/>
        <w:spacing w:line="520" w:lineRule="exact"/>
        <w:jc w:val="center"/>
        <w:rPr>
          <w:rFonts w:ascii="Times New Roman" w:hAnsi="Times New Roman" w:eastAsia="黑体" w:cs="Times New Roman"/>
          <w:kern w:val="0"/>
          <w:sz w:val="32"/>
          <w:szCs w:val="32"/>
          <w:highlight w:val="none"/>
        </w:rPr>
      </w:pPr>
    </w:p>
    <w:p>
      <w:pPr>
        <w:wordWrap w:val="0"/>
        <w:spacing w:line="520" w:lineRule="exact"/>
        <w:jc w:val="center"/>
        <w:rPr>
          <w:rFonts w:ascii="Times New Roman" w:hAnsi="Times New Roman" w:eastAsia="黑体" w:cs="Times New Roman"/>
          <w:kern w:val="0"/>
          <w:sz w:val="32"/>
          <w:szCs w:val="32"/>
          <w:highlight w:val="none"/>
        </w:rPr>
      </w:pPr>
    </w:p>
    <w:p>
      <w:pPr>
        <w:wordWrap w:val="0"/>
        <w:jc w:val="center"/>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u w:val="single"/>
        </w:rPr>
        <w:t xml:space="preserve">              </w:t>
      </w:r>
      <w:r>
        <w:rPr>
          <w:rFonts w:hint="eastAsia" w:ascii="Times New Roman" w:hAnsi="Times New Roman" w:eastAsia="黑体" w:cs="Times New Roman"/>
          <w:kern w:val="0"/>
          <w:sz w:val="32"/>
          <w:szCs w:val="32"/>
          <w:highlight w:val="none"/>
        </w:rPr>
        <w:t>（项目名称）</w:t>
      </w:r>
    </w:p>
    <w:p>
      <w:pPr>
        <w:wordWrap w:val="0"/>
        <w:jc w:val="center"/>
        <w:rPr>
          <w:rFonts w:ascii="Times New Roman" w:hAnsi="Times New Roman" w:eastAsia="黑体" w:cs="Times New Roman"/>
          <w:kern w:val="0"/>
          <w:sz w:val="32"/>
          <w:szCs w:val="32"/>
          <w:highlight w:val="none"/>
        </w:rPr>
      </w:pPr>
    </w:p>
    <w:p>
      <w:pPr>
        <w:wordWrap w:val="0"/>
        <w:jc w:val="center"/>
        <w:rPr>
          <w:rFonts w:ascii="Times New Roman" w:hAnsi="Times New Roman" w:eastAsia="黑体" w:cs="Times New Roman"/>
          <w:kern w:val="0"/>
          <w:sz w:val="32"/>
          <w:szCs w:val="32"/>
          <w:highlight w:val="none"/>
        </w:rPr>
      </w:pP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投</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标</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文</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件</w:t>
      </w:r>
    </w:p>
    <w:p>
      <w:pPr>
        <w:wordWrap w:val="0"/>
        <w:jc w:val="center"/>
        <w:rPr>
          <w:rFonts w:ascii="Times New Roman" w:hAnsi="Times New Roman" w:eastAsia="楷体" w:cs="Times New Roman"/>
          <w:kern w:val="0"/>
          <w:sz w:val="28"/>
          <w:szCs w:val="28"/>
          <w:highlight w:val="none"/>
        </w:rPr>
      </w:pPr>
    </w:p>
    <w:p>
      <w:pPr>
        <w:wordWrap w:val="0"/>
        <w:jc w:val="center"/>
        <w:rPr>
          <w:rFonts w:ascii="Times New Roman" w:hAnsi="Times New Roman" w:eastAsia="楷体" w:cs="Times New Roman"/>
          <w:kern w:val="0"/>
          <w:sz w:val="28"/>
          <w:szCs w:val="28"/>
          <w:highlight w:val="none"/>
        </w:rPr>
      </w:pPr>
      <w:r>
        <w:rPr>
          <w:rFonts w:ascii="Times New Roman" w:hAnsi="Times New Roman" w:eastAsia="楷体" w:cs="Times New Roman"/>
          <w:kern w:val="0"/>
          <w:sz w:val="28"/>
          <w:szCs w:val="28"/>
          <w:highlight w:val="none"/>
        </w:rPr>
        <w:t>项目编号：BZJK-20</w:t>
      </w:r>
      <w:r>
        <w:rPr>
          <w:rFonts w:hint="eastAsia" w:ascii="Times New Roman" w:hAnsi="Times New Roman" w:eastAsia="楷体" w:cs="Times New Roman"/>
          <w:kern w:val="0"/>
          <w:sz w:val="28"/>
          <w:szCs w:val="28"/>
          <w:highlight w:val="none"/>
        </w:rPr>
        <w:t>21</w:t>
      </w:r>
      <w:r>
        <w:rPr>
          <w:rFonts w:ascii="Times New Roman" w:hAnsi="Times New Roman" w:eastAsia="楷体" w:cs="Times New Roman"/>
          <w:kern w:val="0"/>
          <w:sz w:val="28"/>
          <w:szCs w:val="28"/>
          <w:highlight w:val="none"/>
        </w:rPr>
        <w:t>-</w:t>
      </w:r>
      <w:r>
        <w:rPr>
          <w:rFonts w:hint="eastAsia" w:ascii="Times New Roman" w:hAnsi="Times New Roman" w:eastAsia="楷体" w:cs="Times New Roman"/>
          <w:kern w:val="0"/>
          <w:sz w:val="28"/>
          <w:szCs w:val="28"/>
          <w:highlight w:val="none"/>
          <w:u w:val="single"/>
        </w:rPr>
        <w:t xml:space="preserve">   </w:t>
      </w:r>
      <w:r>
        <w:rPr>
          <w:rFonts w:ascii="Times New Roman" w:hAnsi="Times New Roman" w:eastAsia="楷体" w:cs="Times New Roman"/>
          <w:kern w:val="0"/>
          <w:sz w:val="28"/>
          <w:szCs w:val="28"/>
          <w:highlight w:val="none"/>
        </w:rPr>
        <w:t>号</w:t>
      </w:r>
    </w:p>
    <w:p>
      <w:pPr>
        <w:wordWrap w:val="0"/>
        <w:rPr>
          <w:rFonts w:ascii="Times New Roman" w:hAnsi="Times New Roman" w:eastAsia="楷体" w:cs="Times New Roman"/>
          <w:kern w:val="0"/>
          <w:sz w:val="32"/>
          <w:szCs w:val="32"/>
          <w:highlight w:val="none"/>
        </w:rPr>
      </w:pPr>
    </w:p>
    <w:p>
      <w:pPr>
        <w:wordWrap w:val="0"/>
        <w:ind w:left="1260" w:leftChars="600"/>
        <w:jc w:val="left"/>
        <w:rPr>
          <w:rFonts w:ascii="Times New Roman" w:hAnsi="Times New Roman" w:eastAsia="楷体" w:cs="Times New Roman"/>
          <w:kern w:val="0"/>
          <w:sz w:val="32"/>
          <w:szCs w:val="32"/>
          <w:highlight w:val="none"/>
        </w:rPr>
      </w:pPr>
      <w:r>
        <w:rPr>
          <w:rFonts w:ascii="Times New Roman" w:hAnsi="Times New Roman" w:eastAsia="楷体" w:cs="Times New Roman"/>
          <w:kern w:val="0"/>
          <w:sz w:val="32"/>
          <w:szCs w:val="32"/>
          <w:highlight w:val="none"/>
        </w:rPr>
        <w:t>投标单位：</w:t>
      </w:r>
      <w:r>
        <w:rPr>
          <w:rFonts w:ascii="Times New Roman" w:hAnsi="Times New Roman" w:eastAsia="楷体" w:cs="Times New Roman"/>
          <w:kern w:val="0"/>
          <w:sz w:val="32"/>
          <w:szCs w:val="32"/>
          <w:highlight w:val="none"/>
          <w:u w:val="single"/>
        </w:rPr>
        <w:t xml:space="preserve">                    </w:t>
      </w:r>
      <w:r>
        <w:rPr>
          <w:rFonts w:ascii="Times New Roman" w:hAnsi="Times New Roman" w:eastAsia="楷体" w:cs="Times New Roman"/>
          <w:kern w:val="0"/>
          <w:sz w:val="32"/>
          <w:szCs w:val="32"/>
          <w:highlight w:val="none"/>
        </w:rPr>
        <w:t>（盖章）</w:t>
      </w:r>
    </w:p>
    <w:p>
      <w:pPr>
        <w:wordWrap w:val="0"/>
        <w:ind w:left="1260" w:leftChars="600"/>
        <w:jc w:val="left"/>
        <w:rPr>
          <w:rFonts w:ascii="Times New Roman" w:hAnsi="Times New Roman" w:eastAsia="楷体" w:cs="Times New Roman"/>
          <w:kern w:val="0"/>
          <w:sz w:val="32"/>
          <w:szCs w:val="32"/>
          <w:highlight w:val="none"/>
        </w:rPr>
      </w:pPr>
      <w:r>
        <w:rPr>
          <w:rFonts w:ascii="Times New Roman" w:hAnsi="Times New Roman" w:eastAsia="楷体" w:cs="Times New Roman"/>
          <w:kern w:val="0"/>
          <w:sz w:val="32"/>
          <w:szCs w:val="32"/>
          <w:highlight w:val="none"/>
        </w:rPr>
        <w:t>法定代表人或其委托代理人：</w:t>
      </w:r>
      <w:r>
        <w:rPr>
          <w:rFonts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u w:val="single"/>
        </w:rPr>
        <w:t xml:space="preserve"> </w:t>
      </w:r>
      <w:r>
        <w:rPr>
          <w:rFonts w:ascii="Times New Roman" w:hAnsi="Times New Roman" w:eastAsia="楷体" w:cs="Times New Roman"/>
          <w:kern w:val="0"/>
          <w:sz w:val="32"/>
          <w:szCs w:val="32"/>
          <w:highlight w:val="none"/>
        </w:rPr>
        <w:t>（签字）</w:t>
      </w:r>
    </w:p>
    <w:p>
      <w:pPr>
        <w:ind w:firstLine="1920" w:firstLineChars="600"/>
        <w:jc w:val="left"/>
        <w:rPr>
          <w:rFonts w:ascii="Times New Roman" w:hAnsi="Times New Roman" w:eastAsia="楷体" w:cs="Times New Roman"/>
          <w:kern w:val="0"/>
          <w:sz w:val="32"/>
          <w:szCs w:val="32"/>
          <w:highlight w:val="none"/>
        </w:rPr>
      </w:pPr>
      <w:r>
        <w:rPr>
          <w:rFonts w:ascii="Times New Roman" w:hAnsi="Times New Roman" w:eastAsia="楷体" w:cs="Times New Roman"/>
          <w:kern w:val="0"/>
          <w:sz w:val="32"/>
          <w:szCs w:val="32"/>
          <w:highlight w:val="none"/>
          <w:u w:val="single"/>
        </w:rPr>
        <w:t xml:space="preserve">       </w:t>
      </w:r>
      <w:r>
        <w:rPr>
          <w:rFonts w:ascii="Times New Roman" w:hAnsi="Times New Roman" w:eastAsia="楷体" w:cs="Times New Roman"/>
          <w:kern w:val="0"/>
          <w:sz w:val="32"/>
          <w:szCs w:val="32"/>
          <w:highlight w:val="none"/>
        </w:rPr>
        <w:t>年</w:t>
      </w:r>
      <w:r>
        <w:rPr>
          <w:rFonts w:ascii="Times New Roman" w:hAnsi="Times New Roman" w:eastAsia="楷体" w:cs="Times New Roman"/>
          <w:kern w:val="0"/>
          <w:sz w:val="32"/>
          <w:szCs w:val="32"/>
          <w:highlight w:val="none"/>
          <w:u w:val="single"/>
        </w:rPr>
        <w:t xml:space="preserve">       </w:t>
      </w:r>
      <w:r>
        <w:rPr>
          <w:rFonts w:ascii="Times New Roman" w:hAnsi="Times New Roman" w:eastAsia="楷体" w:cs="Times New Roman"/>
          <w:kern w:val="0"/>
          <w:sz w:val="32"/>
          <w:szCs w:val="32"/>
          <w:highlight w:val="none"/>
        </w:rPr>
        <w:t>月</w:t>
      </w:r>
      <w:r>
        <w:rPr>
          <w:rFonts w:ascii="Times New Roman" w:hAnsi="Times New Roman" w:eastAsia="楷体" w:cs="Times New Roman"/>
          <w:kern w:val="0"/>
          <w:sz w:val="32"/>
          <w:szCs w:val="32"/>
          <w:highlight w:val="none"/>
          <w:u w:val="single"/>
        </w:rPr>
        <w:t xml:space="preserve">       </w:t>
      </w:r>
      <w:r>
        <w:rPr>
          <w:rFonts w:ascii="Times New Roman" w:hAnsi="Times New Roman" w:eastAsia="楷体" w:cs="Times New Roman"/>
          <w:kern w:val="0"/>
          <w:sz w:val="32"/>
          <w:szCs w:val="32"/>
          <w:highlight w:val="none"/>
        </w:rPr>
        <w:t>日</w:t>
      </w:r>
    </w:p>
    <w:p>
      <w:pPr>
        <w:pStyle w:val="6"/>
        <w:jc w:val="center"/>
        <w:rPr>
          <w:rFonts w:ascii="Times New Roman" w:hAnsi="Times New Roman" w:cs="Times New Roman"/>
          <w:highlight w:val="none"/>
        </w:rPr>
      </w:pPr>
      <w:bookmarkStart w:id="80" w:name="_Toc300835209"/>
      <w:bookmarkStart w:id="81" w:name="_Toc152042576"/>
      <w:bookmarkStart w:id="82" w:name="_Toc247514246"/>
      <w:bookmarkStart w:id="83" w:name="_Toc152045787"/>
      <w:bookmarkStart w:id="84" w:name="_Toc144974856"/>
      <w:bookmarkStart w:id="85" w:name="_Toc247527827"/>
      <w:r>
        <w:rPr>
          <w:rFonts w:ascii="Times New Roman" w:hAnsi="Times New Roman" w:cs="Times New Roman"/>
          <w:highlight w:val="none"/>
        </w:rPr>
        <w:t>目    录</w:t>
      </w:r>
      <w:bookmarkEnd w:id="80"/>
      <w:bookmarkEnd w:id="81"/>
      <w:bookmarkEnd w:id="82"/>
      <w:bookmarkEnd w:id="83"/>
      <w:bookmarkEnd w:id="84"/>
      <w:bookmarkEnd w:id="85"/>
    </w:p>
    <w:p>
      <w:pPr>
        <w:spacing w:line="540" w:lineRule="exact"/>
        <w:rPr>
          <w:rFonts w:ascii="Times New Roman" w:hAnsi="Times New Roman" w:cs="Times New Roman"/>
          <w:highlight w:val="none"/>
        </w:rPr>
      </w:pPr>
    </w:p>
    <w:p>
      <w:pPr>
        <w:spacing w:line="540" w:lineRule="exact"/>
        <w:rPr>
          <w:rFonts w:ascii="Times New Roman" w:hAnsi="Times New Roman" w:cs="Times New Roman"/>
          <w:highlight w:val="none"/>
        </w:rPr>
      </w:pPr>
      <w:r>
        <w:rPr>
          <w:rFonts w:ascii="Times New Roman" w:hAnsi="Times New Roman" w:cs="Times New Roman"/>
          <w:highlight w:val="none"/>
        </w:rPr>
        <w:t>一、投标函</w:t>
      </w:r>
      <w:r>
        <w:rPr>
          <w:rFonts w:hint="eastAsia" w:ascii="Times New Roman" w:hAnsi="Times New Roman" w:cs="Times New Roman"/>
          <w:highlight w:val="none"/>
        </w:rPr>
        <w:t>及投标函附录</w:t>
      </w:r>
    </w:p>
    <w:p>
      <w:pPr>
        <w:spacing w:line="540" w:lineRule="exact"/>
        <w:rPr>
          <w:rFonts w:ascii="Times New Roman" w:hAnsi="Times New Roman" w:cs="Times New Roman"/>
          <w:highlight w:val="none"/>
        </w:rPr>
      </w:pPr>
      <w:r>
        <w:rPr>
          <w:rFonts w:ascii="Times New Roman" w:hAnsi="Times New Roman" w:cs="Times New Roman"/>
          <w:highlight w:val="none"/>
        </w:rPr>
        <w:t>二、法定代表人</w:t>
      </w:r>
      <w:r>
        <w:rPr>
          <w:rFonts w:hint="eastAsia" w:ascii="Times New Roman" w:hAnsi="Times New Roman" w:cs="Times New Roman"/>
          <w:highlight w:val="none"/>
        </w:rPr>
        <w:t>身份证明（适用于无委托代理人的情况）</w:t>
      </w:r>
    </w:p>
    <w:p>
      <w:pPr>
        <w:spacing w:line="540" w:lineRule="exact"/>
        <w:rPr>
          <w:rFonts w:ascii="Times New Roman" w:hAnsi="Times New Roman" w:cs="Times New Roman"/>
          <w:highlight w:val="none"/>
        </w:rPr>
      </w:pPr>
      <w:r>
        <w:rPr>
          <w:rFonts w:hint="eastAsia" w:ascii="Times New Roman" w:hAnsi="Times New Roman" w:cs="Times New Roman"/>
          <w:highlight w:val="none"/>
        </w:rPr>
        <w:t>二、</w:t>
      </w:r>
      <w:r>
        <w:rPr>
          <w:rFonts w:ascii="Times New Roman" w:hAnsi="Times New Roman" w:cs="Times New Roman"/>
          <w:highlight w:val="none"/>
        </w:rPr>
        <w:t>授权委托书</w:t>
      </w:r>
      <w:r>
        <w:rPr>
          <w:rFonts w:hint="eastAsia" w:ascii="Times New Roman" w:hAnsi="Times New Roman" w:cs="Times New Roman"/>
          <w:highlight w:val="none"/>
        </w:rPr>
        <w:t>（适用于有委托代理人的情况）</w:t>
      </w:r>
    </w:p>
    <w:p>
      <w:pPr>
        <w:spacing w:line="540" w:lineRule="exact"/>
        <w:rPr>
          <w:highlight w:val="none"/>
        </w:rPr>
      </w:pPr>
      <w:r>
        <w:rPr>
          <w:rFonts w:hint="eastAsia" w:ascii="Times New Roman" w:hAnsi="Times New Roman" w:cs="Times New Roman"/>
          <w:highlight w:val="none"/>
        </w:rPr>
        <w:t>三、联合体协议书（如有）</w:t>
      </w:r>
    </w:p>
    <w:p>
      <w:pPr>
        <w:spacing w:line="540" w:lineRule="exact"/>
        <w:rPr>
          <w:rFonts w:ascii="Times New Roman" w:hAnsi="Times New Roman" w:cs="Times New Roman"/>
          <w:highlight w:val="none"/>
        </w:rPr>
      </w:pPr>
      <w:r>
        <w:rPr>
          <w:rFonts w:hint="eastAsia" w:ascii="Times New Roman" w:hAnsi="Times New Roman" w:cs="Times New Roman"/>
          <w:highlight w:val="none"/>
        </w:rPr>
        <w:t>四</w:t>
      </w:r>
      <w:r>
        <w:rPr>
          <w:rFonts w:ascii="Times New Roman" w:hAnsi="Times New Roman" w:cs="Times New Roman"/>
          <w:highlight w:val="none"/>
        </w:rPr>
        <w:t xml:space="preserve">、投标保证金 </w:t>
      </w:r>
    </w:p>
    <w:p>
      <w:pPr>
        <w:spacing w:line="540" w:lineRule="exact"/>
        <w:rPr>
          <w:rFonts w:ascii="Times New Roman" w:hAnsi="Times New Roman" w:cs="Times New Roman"/>
          <w:highlight w:val="none"/>
        </w:rPr>
      </w:pPr>
      <w:r>
        <w:rPr>
          <w:rFonts w:hint="eastAsia" w:ascii="Times New Roman" w:hAnsi="Times New Roman" w:cs="Times New Roman"/>
          <w:highlight w:val="none"/>
        </w:rPr>
        <w:t>五、服务费用清单</w:t>
      </w:r>
    </w:p>
    <w:p>
      <w:pPr>
        <w:spacing w:line="540" w:lineRule="exact"/>
        <w:rPr>
          <w:rFonts w:ascii="Times New Roman" w:hAnsi="Times New Roman" w:cs="Times New Roman"/>
          <w:highlight w:val="none"/>
        </w:rPr>
      </w:pPr>
      <w:r>
        <w:rPr>
          <w:rFonts w:hint="eastAsia" w:ascii="Times New Roman" w:hAnsi="Times New Roman" w:cs="Times New Roman"/>
          <w:highlight w:val="none"/>
        </w:rPr>
        <w:t>六、资格审查资料</w:t>
      </w:r>
    </w:p>
    <w:p>
      <w:pPr>
        <w:spacing w:line="540" w:lineRule="exact"/>
        <w:rPr>
          <w:rFonts w:ascii="Times New Roman" w:hAnsi="Times New Roman" w:cs="Times New Roman"/>
          <w:highlight w:val="none"/>
        </w:rPr>
      </w:pPr>
      <w:r>
        <w:rPr>
          <w:rFonts w:hint="eastAsia" w:ascii="Times New Roman" w:hAnsi="Times New Roman" w:cs="Times New Roman"/>
          <w:highlight w:val="none"/>
        </w:rPr>
        <w:t>七、服务方案</w:t>
      </w:r>
    </w:p>
    <w:p>
      <w:pPr>
        <w:spacing w:line="540" w:lineRule="exact"/>
        <w:rPr>
          <w:rFonts w:ascii="Times New Roman" w:hAnsi="Times New Roman" w:cs="Times New Roman"/>
          <w:highlight w:val="none"/>
        </w:rPr>
      </w:pPr>
      <w:r>
        <w:rPr>
          <w:rFonts w:hint="eastAsia" w:ascii="Times New Roman" w:hAnsi="Times New Roman" w:cs="Times New Roman"/>
          <w:highlight w:val="none"/>
        </w:rPr>
        <w:t>八</w:t>
      </w:r>
      <w:r>
        <w:rPr>
          <w:rFonts w:ascii="Times New Roman" w:hAnsi="Times New Roman" w:cs="Times New Roman"/>
          <w:highlight w:val="none"/>
        </w:rPr>
        <w:t>、</w:t>
      </w:r>
      <w:r>
        <w:rPr>
          <w:rFonts w:hint="eastAsia" w:ascii="Times New Roman" w:hAnsi="Times New Roman" w:cs="Times New Roman"/>
          <w:highlight w:val="none"/>
        </w:rPr>
        <w:t>其他资料</w:t>
      </w:r>
    </w:p>
    <w:p>
      <w:pPr>
        <w:spacing w:line="540" w:lineRule="exact"/>
        <w:rPr>
          <w:rFonts w:ascii="Times New Roman" w:hAnsi="Times New Roman" w:cs="Times New Roman"/>
          <w:highlight w:val="none"/>
        </w:rPr>
      </w:pPr>
    </w:p>
    <w:p>
      <w:pPr>
        <w:spacing w:line="540" w:lineRule="exact"/>
        <w:rPr>
          <w:rFonts w:ascii="Times New Roman" w:hAnsi="Times New Roman" w:cs="Times New Roman"/>
          <w:highlight w:val="none"/>
        </w:rPr>
      </w:pPr>
      <w:r>
        <w:rPr>
          <w:rFonts w:ascii="Times New Roman" w:hAnsi="Times New Roman" w:cs="Times New Roman"/>
          <w:highlight w:val="none"/>
        </w:rPr>
        <w:t xml:space="preserve"> </w:t>
      </w:r>
    </w:p>
    <w:p>
      <w:pPr>
        <w:spacing w:line="540" w:lineRule="exact"/>
        <w:rPr>
          <w:rFonts w:ascii="Times New Roman" w:hAnsi="Times New Roman" w:eastAsia="黑体" w:cs="Times New Roman"/>
          <w:sz w:val="20"/>
          <w:szCs w:val="20"/>
          <w:highlight w:val="none"/>
        </w:rPr>
      </w:pPr>
      <w:r>
        <w:rPr>
          <w:rFonts w:ascii="Times New Roman" w:hAnsi="Times New Roman" w:cs="Times New Roman"/>
          <w:highlight w:val="none"/>
        </w:rPr>
        <w:br w:type="page"/>
      </w:r>
    </w:p>
    <w:p>
      <w:pPr>
        <w:pStyle w:val="6"/>
        <w:jc w:val="center"/>
        <w:rPr>
          <w:highlight w:val="none"/>
        </w:rPr>
      </w:pPr>
      <w:bookmarkStart w:id="86" w:name="_Toc247514247"/>
      <w:bookmarkStart w:id="87" w:name="_Toc152042577"/>
      <w:bookmarkStart w:id="88" w:name="_Toc144974857"/>
      <w:bookmarkStart w:id="89" w:name="_Toc300835210"/>
      <w:bookmarkStart w:id="90" w:name="_Toc152045788"/>
      <w:bookmarkStart w:id="91" w:name="_Toc247527828"/>
      <w:r>
        <w:rPr>
          <w:rFonts w:ascii="Times New Roman" w:hAnsi="Times New Roman" w:cs="Times New Roman"/>
          <w:highlight w:val="none"/>
        </w:rPr>
        <w:t>一、投标函</w:t>
      </w:r>
      <w:bookmarkEnd w:id="86"/>
      <w:bookmarkEnd w:id="87"/>
      <w:bookmarkEnd w:id="88"/>
      <w:bookmarkEnd w:id="89"/>
      <w:bookmarkEnd w:id="90"/>
      <w:bookmarkEnd w:id="91"/>
      <w:r>
        <w:rPr>
          <w:rFonts w:hint="eastAsia" w:ascii="Times New Roman" w:hAnsi="Times New Roman" w:cs="Times New Roman"/>
          <w:highlight w:val="none"/>
        </w:rPr>
        <w:t>及投标函附录</w:t>
      </w:r>
    </w:p>
    <w:p>
      <w:pPr>
        <w:spacing w:line="440" w:lineRule="exact"/>
        <w:rPr>
          <w:rFonts w:ascii="Times New Roman" w:hAnsi="Times New Roman" w:cs="Times New Roman"/>
          <w:sz w:val="20"/>
          <w:szCs w:val="20"/>
          <w:highlight w:val="none"/>
        </w:rPr>
      </w:pPr>
      <w:r>
        <w:rPr>
          <w:rFonts w:hint="eastAsia" w:ascii="黑体" w:hAnsi="黑体" w:eastAsia="黑体" w:cs="黑体"/>
          <w:sz w:val="28"/>
          <w:szCs w:val="28"/>
          <w:highlight w:val="none"/>
        </w:rPr>
        <w:t>（一）投标函</w:t>
      </w:r>
    </w:p>
    <w:p>
      <w:pPr>
        <w:spacing w:line="400" w:lineRule="exact"/>
        <w:rPr>
          <w:rFonts w:ascii="Times New Roman" w:hAnsi="Times New Roman" w:cs="Times New Roman"/>
          <w:szCs w:val="21"/>
          <w:highlight w:val="none"/>
        </w:rPr>
      </w:pPr>
      <w:r>
        <w:rPr>
          <w:rFonts w:ascii="Times New Roman" w:hAnsi="Times New Roman" w:cs="Times New Roman"/>
          <w:szCs w:val="21"/>
          <w:highlight w:val="none"/>
          <w:u w:val="single"/>
        </w:rPr>
        <w:t xml:space="preserve">                        </w:t>
      </w:r>
      <w:r>
        <w:rPr>
          <w:rFonts w:ascii="Times New Roman" w:hAnsi="Times New Roman" w:cs="Times New Roman"/>
          <w:szCs w:val="21"/>
          <w:highlight w:val="none"/>
        </w:rPr>
        <w:t>（招标人名称）：</w:t>
      </w:r>
    </w:p>
    <w:p>
      <w:pPr>
        <w:spacing w:line="40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1</w:t>
      </w:r>
      <w:r>
        <w:rPr>
          <w:rFonts w:hint="eastAsia" w:ascii="Times New Roman" w:hAnsi="Times New Roman" w:cs="Times New Roman"/>
          <w:szCs w:val="21"/>
          <w:highlight w:val="none"/>
        </w:rPr>
        <w:t>.</w:t>
      </w:r>
      <w:r>
        <w:rPr>
          <w:rFonts w:ascii="Times New Roman" w:hAnsi="Times New Roman" w:cs="Times New Roman"/>
          <w:szCs w:val="21"/>
          <w:highlight w:val="none"/>
        </w:rPr>
        <w:t>我方已仔细研究了</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（项目名称）</w:t>
      </w:r>
      <w:r>
        <w:rPr>
          <w:rFonts w:hint="eastAsia" w:ascii="Times New Roman" w:hAnsi="Times New Roman" w:cs="Times New Roman"/>
          <w:szCs w:val="21"/>
          <w:highlight w:val="none"/>
        </w:rPr>
        <w:t>招标项目招标文件的全部内容，愿意以</w:t>
      </w:r>
      <w:r>
        <w:rPr>
          <w:rFonts w:hint="eastAsia" w:ascii="Times New Roman" w:hAnsi="Times New Roman" w:cs="Times New Roman"/>
          <w:szCs w:val="21"/>
          <w:highlight w:val="none"/>
          <w:u w:val="single"/>
        </w:rPr>
        <w:t>本期债务融资工具最终</w:t>
      </w:r>
      <w:r>
        <w:rPr>
          <w:rFonts w:hint="eastAsia" w:ascii="Times New Roman" w:hAnsi="Times New Roman" w:cs="Times New Roman"/>
          <w:szCs w:val="21"/>
          <w:highlight w:val="none"/>
          <w:u w:val="single"/>
          <w:lang w:val="en-US" w:eastAsia="zh-CN"/>
        </w:rPr>
        <w:t>实际发行</w:t>
      </w:r>
      <w:r>
        <w:rPr>
          <w:rFonts w:hint="eastAsia" w:ascii="Times New Roman" w:hAnsi="Times New Roman" w:cs="Times New Roman"/>
          <w:szCs w:val="21"/>
          <w:highlight w:val="none"/>
          <w:u w:val="single"/>
        </w:rPr>
        <w:t>金额</w:t>
      </w:r>
      <w:r>
        <w:rPr>
          <w:rFonts w:hint="eastAsia" w:ascii="Times New Roman" w:hAnsi="Times New Roman" w:cs="Times New Roman"/>
          <w:szCs w:val="21"/>
          <w:highlight w:val="none"/>
        </w:rPr>
        <w:t>为基准，以基准价的</w:t>
      </w:r>
      <w:r>
        <w:rPr>
          <w:rFonts w:ascii="Times New Roman" w:hAnsi="Times New Roman" w:cs="Times New Roman"/>
          <w:szCs w:val="21"/>
          <w:highlight w:val="none"/>
          <w:u w:val="single"/>
        </w:rPr>
        <w:t xml:space="preserve">               </w:t>
      </w:r>
      <w:r>
        <w:rPr>
          <w:rFonts w:hint="eastAsia" w:ascii="Times New Roman" w:hAnsi="Times New Roman" w:cs="Times New Roman"/>
          <w:szCs w:val="21"/>
          <w:highlight w:val="none"/>
        </w:rPr>
        <w:t>（费率）的投标总报价（其中，增值税税率为</w:t>
      </w:r>
      <w:r>
        <w:rPr>
          <w:rFonts w:ascii="Times New Roman" w:hAnsi="Times New Roman" w:cs="Times New Roman"/>
          <w:szCs w:val="21"/>
          <w:highlight w:val="none"/>
          <w:u w:val="single"/>
        </w:rPr>
        <w:t xml:space="preserve">               </w:t>
      </w:r>
      <w:r>
        <w:rPr>
          <w:rFonts w:hint="eastAsia" w:ascii="Times New Roman" w:hAnsi="Times New Roman" w:cs="Times New Roman"/>
          <w:szCs w:val="21"/>
          <w:highlight w:val="none"/>
        </w:rPr>
        <w:t>），服务期限：</w:t>
      </w:r>
      <w:r>
        <w:rPr>
          <w:rFonts w:hint="eastAsia" w:ascii="Times New Roman" w:hAnsi="Times New Roman" w:cs="Times New Roman"/>
          <w:szCs w:val="21"/>
          <w:highlight w:val="none"/>
          <w:u w:val="single"/>
        </w:rPr>
        <w:t>自投标人收到中标通知书之日起，至本期债务融资工具（中期票据）全部兑付完毕之日止</w:t>
      </w:r>
      <w:r>
        <w:rPr>
          <w:rFonts w:hint="eastAsia" w:ascii="Times New Roman" w:hAnsi="Times New Roman" w:cs="Times New Roman"/>
          <w:szCs w:val="21"/>
          <w:highlight w:val="none"/>
        </w:rPr>
        <w:t>，质量标准：</w:t>
      </w:r>
      <w:r>
        <w:rPr>
          <w:rFonts w:hint="eastAsia" w:ascii="Times New Roman" w:hAnsi="Times New Roman" w:cs="Times New Roman"/>
          <w:szCs w:val="21"/>
          <w:highlight w:val="none"/>
          <w:u w:val="single"/>
        </w:rPr>
        <w:t>符合国家、地方、行业现行相关规范合格标准</w:t>
      </w:r>
      <w:r>
        <w:rPr>
          <w:rFonts w:hint="eastAsia" w:ascii="Times New Roman" w:hAnsi="Times New Roman" w:cs="Times New Roman"/>
          <w:szCs w:val="21"/>
          <w:highlight w:val="none"/>
        </w:rPr>
        <w:t>，按合同约定完成工作。</w:t>
      </w:r>
    </w:p>
    <w:p>
      <w:pPr>
        <w:spacing w:line="40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2.我方的投标文件包括下列内容：</w:t>
      </w:r>
    </w:p>
    <w:p>
      <w:pPr>
        <w:spacing w:line="40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（1）投标函及投标函附录；（2）法定代表人身份证明或授权委托书；（3）联合体协议书（如有）；（4）投标保证金；（5）服务费用清单；（6）资格审查资料；（7）服务方案；（8）其他资料；.......</w:t>
      </w:r>
    </w:p>
    <w:p>
      <w:pPr>
        <w:spacing w:line="40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投标文件的上述组成部分如存在内容不一致的，以投标函为准。</w:t>
      </w:r>
    </w:p>
    <w:p>
      <w:pPr>
        <w:spacing w:line="40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3.我方承诺在招标文件规定的投标有效期内不撤销投标文件。</w:t>
      </w:r>
    </w:p>
    <w:p>
      <w:pPr>
        <w:spacing w:line="40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4.如我方中标，我方承诺：</w:t>
      </w:r>
    </w:p>
    <w:p>
      <w:pPr>
        <w:spacing w:line="400" w:lineRule="exact"/>
        <w:ind w:firstLine="718" w:firstLineChars="342"/>
        <w:rPr>
          <w:rFonts w:ascii="Times New Roman" w:hAnsi="Times New Roman" w:cs="Times New Roman"/>
          <w:szCs w:val="21"/>
          <w:highlight w:val="none"/>
        </w:rPr>
      </w:pPr>
      <w:r>
        <w:rPr>
          <w:rFonts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rPr>
        <w:t>；</w:t>
      </w:r>
    </w:p>
    <w:p>
      <w:pPr>
        <w:spacing w:line="400" w:lineRule="exact"/>
        <w:ind w:firstLine="718" w:firstLineChars="342"/>
        <w:rPr>
          <w:rFonts w:ascii="Times New Roman" w:hAnsi="Times New Roman" w:cs="Times New Roman"/>
          <w:szCs w:val="21"/>
          <w:highlight w:val="none"/>
        </w:rPr>
      </w:pPr>
      <w:r>
        <w:rPr>
          <w:rFonts w:ascii="Times New Roman" w:hAnsi="Times New Roman" w:cs="Times New Roman"/>
          <w:szCs w:val="21"/>
          <w:highlight w:val="none"/>
        </w:rPr>
        <w:t>（2）</w:t>
      </w:r>
      <w:r>
        <w:rPr>
          <w:rFonts w:hint="eastAsia" w:ascii="Times New Roman" w:hAnsi="Times New Roman" w:cs="Times New Roman"/>
          <w:szCs w:val="21"/>
          <w:highlight w:val="none"/>
        </w:rPr>
        <w:t>在签订合同时不向你方提出附加条件；</w:t>
      </w:r>
    </w:p>
    <w:p>
      <w:pPr>
        <w:spacing w:line="400" w:lineRule="exact"/>
        <w:ind w:firstLine="718" w:firstLineChars="342"/>
        <w:rPr>
          <w:rFonts w:ascii="Times New Roman" w:hAnsi="Times New Roman" w:cs="Times New Roman"/>
          <w:szCs w:val="21"/>
          <w:highlight w:val="none"/>
        </w:rPr>
      </w:pPr>
      <w:r>
        <w:rPr>
          <w:rFonts w:hint="eastAsia" w:ascii="Times New Roman" w:hAnsi="Times New Roman" w:cs="Times New Roman"/>
          <w:szCs w:val="21"/>
          <w:highlight w:val="none"/>
        </w:rPr>
        <w:t>（3）按照招标文件要求提交履约保证金；</w:t>
      </w:r>
    </w:p>
    <w:p>
      <w:pPr>
        <w:spacing w:line="400" w:lineRule="exact"/>
        <w:ind w:firstLine="718" w:firstLineChars="342"/>
        <w:rPr>
          <w:rFonts w:ascii="Times New Roman" w:hAnsi="Times New Roman" w:cs="Times New Roman"/>
          <w:szCs w:val="21"/>
          <w:highlight w:val="none"/>
        </w:rPr>
      </w:pPr>
      <w:r>
        <w:rPr>
          <w:rFonts w:hint="eastAsia" w:ascii="Times New Roman" w:hAnsi="Times New Roman" w:cs="Times New Roman"/>
          <w:szCs w:val="21"/>
          <w:highlight w:val="none"/>
        </w:rPr>
        <w:t>（4）在合同约定的期限内完成合同规定的全部义务；</w:t>
      </w:r>
    </w:p>
    <w:p>
      <w:pPr>
        <w:spacing w:line="400" w:lineRule="exact"/>
        <w:ind w:firstLine="718" w:firstLineChars="342"/>
        <w:rPr>
          <w:rFonts w:ascii="Times New Roman" w:hAnsi="Times New Roman" w:cs="Times New Roman"/>
          <w:szCs w:val="21"/>
          <w:highlight w:val="none"/>
        </w:rPr>
      </w:pPr>
      <w:r>
        <w:rPr>
          <w:rFonts w:hint="eastAsia" w:ascii="Times New Roman" w:hAnsi="Times New Roman" w:cs="Times New Roman"/>
          <w:szCs w:val="21"/>
          <w:highlight w:val="none"/>
        </w:rPr>
        <w:t>（5）在本期债券取得批复后，我单位将积极寻找投资者，并充分发挥自身债券投资优势，我单位自购本期债券比例不低于</w:t>
      </w:r>
      <w:r>
        <w:rPr>
          <w:rFonts w:ascii="Times New Roman" w:hAnsi="Times New Roman" w:cs="Times New Roman"/>
          <w:szCs w:val="21"/>
          <w:highlight w:val="none"/>
          <w:u w:val="single"/>
        </w:rPr>
        <w:t xml:space="preserve">        </w:t>
      </w:r>
      <w:r>
        <w:rPr>
          <w:rFonts w:hint="eastAsia"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rPr>
        <w:t>否则自愿放弃履约保证金。</w:t>
      </w:r>
    </w:p>
    <w:p>
      <w:pPr>
        <w:spacing w:line="40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5.</w:t>
      </w:r>
      <w:r>
        <w:rPr>
          <w:rFonts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rPr>
        <w:t>“</w:t>
      </w:r>
      <w:r>
        <w:rPr>
          <w:rFonts w:ascii="Times New Roman" w:hAnsi="Times New Roman" w:cs="Times New Roman"/>
          <w:highlight w:val="none"/>
        </w:rPr>
        <w:t>投标人须知</w:t>
      </w:r>
      <w:r>
        <w:rPr>
          <w:rFonts w:hint="eastAsia" w:ascii="Times New Roman" w:hAnsi="Times New Roman" w:cs="Times New Roman"/>
          <w:highlight w:val="none"/>
        </w:rPr>
        <w:t>”</w:t>
      </w:r>
      <w:r>
        <w:rPr>
          <w:rFonts w:ascii="Times New Roman" w:hAnsi="Times New Roman" w:cs="Times New Roman"/>
          <w:highlight w:val="none"/>
        </w:rPr>
        <w:t>第1.4.</w:t>
      </w:r>
      <w:r>
        <w:rPr>
          <w:rFonts w:hint="eastAsia" w:ascii="Times New Roman" w:hAnsi="Times New Roman" w:cs="Times New Roman"/>
          <w:highlight w:val="none"/>
        </w:rPr>
        <w:t>3</w:t>
      </w:r>
      <w:r>
        <w:rPr>
          <w:rFonts w:ascii="Times New Roman" w:hAnsi="Times New Roman" w:cs="Times New Roman"/>
          <w:highlight w:val="none"/>
        </w:rPr>
        <w:t>项规定的任何一种情形。</w:t>
      </w:r>
    </w:p>
    <w:p>
      <w:pPr>
        <w:spacing w:line="40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6.</w:t>
      </w:r>
      <w:r>
        <w:rPr>
          <w:rFonts w:hint="eastAsia" w:ascii="Times New Roman" w:hAnsi="Times New Roman" w:cs="Times New Roman"/>
          <w:szCs w:val="21"/>
          <w:highlight w:val="none"/>
          <w:u w:val="single"/>
        </w:rPr>
        <w:t xml:space="preserve">                                    </w:t>
      </w:r>
      <w:r>
        <w:rPr>
          <w:rFonts w:ascii="Times New Roman" w:hAnsi="Times New Roman" w:cs="Times New Roman"/>
          <w:szCs w:val="21"/>
          <w:highlight w:val="none"/>
        </w:rPr>
        <w:t>（其他补充说明）。</w:t>
      </w:r>
    </w:p>
    <w:p>
      <w:pPr>
        <w:spacing w:line="400" w:lineRule="exact"/>
        <w:ind w:firstLine="2310" w:firstLineChars="1100"/>
        <w:rPr>
          <w:rFonts w:ascii="Times New Roman" w:hAnsi="Times New Roman" w:cs="Times New Roman"/>
          <w:szCs w:val="21"/>
          <w:highlight w:val="none"/>
        </w:rPr>
      </w:pPr>
    </w:p>
    <w:p>
      <w:pPr>
        <w:spacing w:line="400" w:lineRule="exact"/>
        <w:ind w:firstLine="2310" w:firstLineChars="1100"/>
        <w:rPr>
          <w:rFonts w:ascii="Times New Roman" w:hAnsi="Times New Roman" w:cs="Times New Roman"/>
          <w:szCs w:val="21"/>
          <w:highlight w:val="none"/>
        </w:rPr>
      </w:pPr>
      <w:r>
        <w:rPr>
          <w:rFonts w:ascii="Times New Roman" w:hAnsi="Times New Roman" w:cs="Times New Roman"/>
          <w:szCs w:val="21"/>
          <w:highlight w:val="none"/>
        </w:rPr>
        <w:t>投 标 人：</w:t>
      </w:r>
      <w:r>
        <w:rPr>
          <w:rFonts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rPr>
        <w:t xml:space="preserve">              </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（盖单位章）</w:t>
      </w:r>
    </w:p>
    <w:p>
      <w:pPr>
        <w:spacing w:line="400" w:lineRule="exact"/>
        <w:ind w:firstLine="2310" w:firstLineChars="1100"/>
        <w:rPr>
          <w:rFonts w:ascii="Times New Roman" w:hAnsi="Times New Roman" w:cs="Times New Roman"/>
          <w:szCs w:val="21"/>
          <w:highlight w:val="none"/>
        </w:rPr>
      </w:pPr>
      <w:r>
        <w:rPr>
          <w:rFonts w:ascii="Times New Roman" w:hAnsi="Times New Roman" w:cs="Times New Roman"/>
          <w:szCs w:val="21"/>
          <w:highlight w:val="none"/>
        </w:rPr>
        <w:t>法定代表人或其委托代理人：</w:t>
      </w:r>
      <w:r>
        <w:rPr>
          <w:rFonts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rPr>
        <w:t xml:space="preserve">             </w:t>
      </w:r>
      <w:r>
        <w:rPr>
          <w:rFonts w:ascii="Times New Roman" w:hAnsi="Times New Roman" w:cs="Times New Roman"/>
          <w:szCs w:val="21"/>
          <w:highlight w:val="none"/>
        </w:rPr>
        <w:t>（签字）</w:t>
      </w:r>
    </w:p>
    <w:p>
      <w:pPr>
        <w:spacing w:line="400" w:lineRule="exact"/>
        <w:ind w:firstLine="2310" w:firstLineChars="1100"/>
        <w:rPr>
          <w:rFonts w:ascii="Times New Roman" w:hAnsi="Times New Roman" w:cs="Times New Roman"/>
          <w:szCs w:val="21"/>
          <w:highlight w:val="none"/>
        </w:rPr>
      </w:pPr>
      <w:r>
        <w:rPr>
          <w:rFonts w:ascii="Times New Roman" w:hAnsi="Times New Roman" w:cs="Times New Roman"/>
          <w:szCs w:val="21"/>
          <w:highlight w:val="none"/>
        </w:rPr>
        <w:t>地址：</w:t>
      </w:r>
      <w:r>
        <w:rPr>
          <w:rFonts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rPr>
        <w:t xml:space="preserve">             </w:t>
      </w:r>
      <w:r>
        <w:rPr>
          <w:rFonts w:ascii="Times New Roman" w:hAnsi="Times New Roman" w:cs="Times New Roman"/>
          <w:szCs w:val="21"/>
          <w:highlight w:val="none"/>
          <w:u w:val="single"/>
        </w:rPr>
        <w:t xml:space="preserve">      </w:t>
      </w:r>
    </w:p>
    <w:p>
      <w:pPr>
        <w:spacing w:line="400" w:lineRule="exact"/>
        <w:ind w:firstLine="2310" w:firstLineChars="1100"/>
        <w:rPr>
          <w:rFonts w:ascii="Times New Roman" w:hAnsi="Times New Roman" w:cs="Times New Roman"/>
          <w:szCs w:val="21"/>
          <w:highlight w:val="none"/>
        </w:rPr>
      </w:pPr>
      <w:r>
        <w:rPr>
          <w:rFonts w:hint="eastAsia" w:ascii="Times New Roman" w:hAnsi="Times New Roman" w:cs="Times New Roman"/>
          <w:szCs w:val="21"/>
          <w:highlight w:val="none"/>
        </w:rPr>
        <w:t>网址</w:t>
      </w:r>
      <w:r>
        <w:rPr>
          <w:rFonts w:ascii="Times New Roman" w:hAnsi="Times New Roman" w:cs="Times New Roman"/>
          <w:szCs w:val="21"/>
          <w:highlight w:val="none"/>
        </w:rPr>
        <w:t>：</w:t>
      </w:r>
      <w:r>
        <w:rPr>
          <w:rFonts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rPr>
        <w:t xml:space="preserve">             </w:t>
      </w:r>
      <w:r>
        <w:rPr>
          <w:rFonts w:ascii="Times New Roman" w:hAnsi="Times New Roman" w:cs="Times New Roman"/>
          <w:szCs w:val="21"/>
          <w:highlight w:val="none"/>
          <w:u w:val="single"/>
        </w:rPr>
        <w:t xml:space="preserve">   </w:t>
      </w:r>
    </w:p>
    <w:p>
      <w:pPr>
        <w:spacing w:line="400" w:lineRule="exact"/>
        <w:ind w:firstLine="2310" w:firstLineChars="1100"/>
        <w:rPr>
          <w:rFonts w:ascii="Times New Roman" w:hAnsi="Times New Roman" w:cs="Times New Roman"/>
          <w:szCs w:val="21"/>
          <w:highlight w:val="none"/>
          <w:u w:val="single"/>
        </w:rPr>
      </w:pPr>
      <w:r>
        <w:rPr>
          <w:rFonts w:ascii="Times New Roman" w:hAnsi="Times New Roman" w:cs="Times New Roman"/>
          <w:szCs w:val="21"/>
          <w:highlight w:val="none"/>
        </w:rPr>
        <w:t>电话：</w:t>
      </w:r>
      <w:r>
        <w:rPr>
          <w:rFonts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rPr>
        <w:t xml:space="preserve">             </w:t>
      </w:r>
      <w:r>
        <w:rPr>
          <w:rFonts w:ascii="Times New Roman" w:hAnsi="Times New Roman" w:cs="Times New Roman"/>
          <w:szCs w:val="21"/>
          <w:highlight w:val="none"/>
          <w:u w:val="single"/>
        </w:rPr>
        <w:t xml:space="preserve">      </w:t>
      </w:r>
    </w:p>
    <w:p>
      <w:pPr>
        <w:spacing w:line="400" w:lineRule="exact"/>
        <w:ind w:firstLine="2310" w:firstLineChars="1100"/>
        <w:rPr>
          <w:rFonts w:ascii="Times New Roman" w:hAnsi="Times New Roman" w:cs="Times New Roman"/>
          <w:szCs w:val="21"/>
          <w:highlight w:val="none"/>
        </w:rPr>
      </w:pPr>
      <w:r>
        <w:rPr>
          <w:rFonts w:ascii="Times New Roman" w:hAnsi="Times New Roman" w:cs="Times New Roman"/>
          <w:szCs w:val="21"/>
          <w:highlight w:val="none"/>
        </w:rPr>
        <w:t>传真：</w:t>
      </w:r>
      <w:r>
        <w:rPr>
          <w:rFonts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rPr>
        <w:t xml:space="preserve">             </w:t>
      </w:r>
      <w:r>
        <w:rPr>
          <w:rFonts w:ascii="Times New Roman" w:hAnsi="Times New Roman" w:cs="Times New Roman"/>
          <w:szCs w:val="21"/>
          <w:highlight w:val="none"/>
          <w:u w:val="single"/>
        </w:rPr>
        <w:t xml:space="preserve">      </w:t>
      </w:r>
    </w:p>
    <w:p>
      <w:pPr>
        <w:spacing w:line="400" w:lineRule="exact"/>
        <w:ind w:firstLine="2310" w:firstLineChars="1100"/>
        <w:rPr>
          <w:rFonts w:ascii="Times New Roman" w:hAnsi="Times New Roman" w:cs="Times New Roman"/>
          <w:szCs w:val="21"/>
          <w:highlight w:val="none"/>
        </w:rPr>
      </w:pPr>
      <w:r>
        <w:rPr>
          <w:rFonts w:ascii="Times New Roman" w:hAnsi="Times New Roman" w:cs="Times New Roman"/>
          <w:szCs w:val="21"/>
          <w:highlight w:val="none"/>
        </w:rPr>
        <w:t>邮政编码：</w:t>
      </w:r>
      <w:r>
        <w:rPr>
          <w:rFonts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rPr>
        <w:t xml:space="preserve">             </w:t>
      </w:r>
      <w:r>
        <w:rPr>
          <w:rFonts w:ascii="Times New Roman" w:hAnsi="Times New Roman" w:cs="Times New Roman"/>
          <w:szCs w:val="21"/>
          <w:highlight w:val="none"/>
          <w:u w:val="single"/>
        </w:rPr>
        <w:t xml:space="preserve">  </w:t>
      </w:r>
    </w:p>
    <w:p>
      <w:pPr>
        <w:spacing w:line="400" w:lineRule="exact"/>
        <w:ind w:firstLine="4725" w:firstLineChars="2250"/>
        <w:rPr>
          <w:rFonts w:ascii="Times New Roman" w:hAnsi="Times New Roman" w:cs="Times New Roman"/>
          <w:szCs w:val="21"/>
          <w:highlight w:val="none"/>
        </w:rPr>
      </w:pPr>
      <w:r>
        <w:rPr>
          <w:rFonts w:ascii="Times New Roman" w:hAnsi="Times New Roman" w:cs="Times New Roman"/>
          <w:szCs w:val="21"/>
          <w:highlight w:val="none"/>
          <w:u w:val="single"/>
        </w:rPr>
        <w:t xml:space="preserve">      </w:t>
      </w:r>
      <w:r>
        <w:rPr>
          <w:rFonts w:ascii="Times New Roman" w:hAnsi="Times New Roman" w:cs="Times New Roman"/>
          <w:szCs w:val="21"/>
          <w:highlight w:val="none"/>
        </w:rPr>
        <w:t>年</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月</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日</w:t>
      </w:r>
    </w:p>
    <w:p>
      <w:pPr>
        <w:rPr>
          <w:rFonts w:ascii="Times New Roman" w:hAnsi="Times New Roman" w:cs="Times New Roman"/>
          <w:szCs w:val="21"/>
          <w:highlight w:val="none"/>
        </w:rPr>
      </w:pPr>
      <w:r>
        <w:rPr>
          <w:rFonts w:ascii="Times New Roman" w:hAnsi="Times New Roman" w:cs="Times New Roman"/>
          <w:szCs w:val="21"/>
          <w:highlight w:val="none"/>
        </w:rPr>
        <w:br w:type="page"/>
      </w:r>
    </w:p>
    <w:p>
      <w:pPr>
        <w:spacing w:line="440" w:lineRule="exact"/>
        <w:rPr>
          <w:rFonts w:ascii="黑体" w:hAnsi="黑体" w:eastAsia="黑体" w:cs="黑体"/>
          <w:sz w:val="28"/>
          <w:szCs w:val="28"/>
          <w:highlight w:val="none"/>
        </w:rPr>
      </w:pPr>
      <w:r>
        <w:rPr>
          <w:rFonts w:hint="eastAsia" w:ascii="黑体" w:hAnsi="黑体" w:eastAsia="黑体" w:cs="黑体"/>
          <w:sz w:val="28"/>
          <w:szCs w:val="28"/>
          <w:highlight w:val="none"/>
        </w:rPr>
        <w:t>（二）投标函附录</w:t>
      </w:r>
    </w:p>
    <w:p>
      <w:pPr>
        <w:spacing w:line="440" w:lineRule="exact"/>
        <w:rPr>
          <w:rFonts w:ascii="Times New Roman" w:hAnsi="Times New Roman" w:cs="Times New Roman"/>
          <w:sz w:val="20"/>
          <w:szCs w:val="20"/>
          <w:highlight w:val="none"/>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3702"/>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highlight w:val="none"/>
              </w:rPr>
            </w:pPr>
            <w:r>
              <w:rPr>
                <w:rFonts w:hint="eastAsia" w:ascii="Times New Roman" w:hAnsi="Times New Roman" w:cs="Times New Roman"/>
                <w:sz w:val="20"/>
                <w:szCs w:val="20"/>
                <w:highlight w:val="none"/>
              </w:rPr>
              <w:t>序号</w:t>
            </w:r>
          </w:p>
        </w:tc>
        <w:tc>
          <w:tcPr>
            <w:tcW w:w="1984" w:type="dxa"/>
            <w:vAlign w:val="center"/>
          </w:tcPr>
          <w:p>
            <w:pPr>
              <w:spacing w:line="440" w:lineRule="exact"/>
              <w:jc w:val="center"/>
              <w:rPr>
                <w:rFonts w:ascii="Times New Roman" w:hAnsi="Times New Roman" w:cs="Times New Roman"/>
                <w:sz w:val="20"/>
                <w:szCs w:val="20"/>
                <w:highlight w:val="none"/>
              </w:rPr>
            </w:pPr>
            <w:r>
              <w:rPr>
                <w:rFonts w:hint="eastAsia" w:ascii="Times New Roman" w:hAnsi="Times New Roman" w:cs="Times New Roman"/>
                <w:sz w:val="20"/>
                <w:szCs w:val="20"/>
                <w:highlight w:val="none"/>
              </w:rPr>
              <w:t>条款名称</w:t>
            </w:r>
          </w:p>
        </w:tc>
        <w:tc>
          <w:tcPr>
            <w:tcW w:w="3702" w:type="dxa"/>
            <w:vAlign w:val="center"/>
          </w:tcPr>
          <w:p>
            <w:pPr>
              <w:spacing w:line="440" w:lineRule="exact"/>
              <w:jc w:val="center"/>
              <w:rPr>
                <w:rFonts w:ascii="Times New Roman" w:hAnsi="Times New Roman" w:cs="Times New Roman"/>
                <w:sz w:val="20"/>
                <w:szCs w:val="20"/>
                <w:highlight w:val="none"/>
              </w:rPr>
            </w:pPr>
            <w:r>
              <w:rPr>
                <w:rFonts w:hint="eastAsia" w:ascii="Times New Roman" w:hAnsi="Times New Roman" w:cs="Times New Roman"/>
                <w:sz w:val="20"/>
                <w:szCs w:val="20"/>
                <w:highlight w:val="none"/>
              </w:rPr>
              <w:t>约定内容</w:t>
            </w:r>
          </w:p>
        </w:tc>
        <w:tc>
          <w:tcPr>
            <w:tcW w:w="1984" w:type="dxa"/>
            <w:vAlign w:val="center"/>
          </w:tcPr>
          <w:p>
            <w:pPr>
              <w:spacing w:line="440" w:lineRule="exact"/>
              <w:jc w:val="center"/>
              <w:rPr>
                <w:rFonts w:ascii="Times New Roman" w:hAnsi="Times New Roman" w:cs="Times New Roman"/>
                <w:sz w:val="20"/>
                <w:szCs w:val="20"/>
                <w:highlight w:val="none"/>
              </w:rPr>
            </w:pPr>
            <w:r>
              <w:rPr>
                <w:rFonts w:hint="eastAsia" w:ascii="Times New Roman" w:hAnsi="Times New Roman" w:cs="Times New Roman"/>
                <w:sz w:val="20"/>
                <w:szCs w:val="20"/>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highlight w:val="none"/>
              </w:rPr>
            </w:pPr>
            <w:r>
              <w:rPr>
                <w:rFonts w:hint="eastAsia" w:ascii="Times New Roman" w:hAnsi="Times New Roman" w:cs="Times New Roman"/>
                <w:sz w:val="20"/>
                <w:szCs w:val="20"/>
                <w:highlight w:val="none"/>
              </w:rPr>
              <w:t>1</w:t>
            </w:r>
          </w:p>
        </w:tc>
        <w:tc>
          <w:tcPr>
            <w:tcW w:w="1984" w:type="dxa"/>
            <w:vAlign w:val="center"/>
          </w:tcPr>
          <w:p>
            <w:pPr>
              <w:spacing w:line="440" w:lineRule="exact"/>
              <w:jc w:val="center"/>
              <w:rPr>
                <w:rFonts w:ascii="Times New Roman" w:hAnsi="Times New Roman" w:cs="Times New Roman"/>
                <w:sz w:val="20"/>
                <w:szCs w:val="20"/>
                <w:highlight w:val="none"/>
              </w:rPr>
            </w:pPr>
            <w:r>
              <w:rPr>
                <w:rFonts w:hint="eastAsia" w:ascii="Times New Roman" w:hAnsi="Times New Roman" w:cs="Times New Roman"/>
                <w:sz w:val="20"/>
                <w:szCs w:val="20"/>
                <w:highlight w:val="none"/>
              </w:rPr>
              <w:t>项目负责人</w:t>
            </w:r>
          </w:p>
        </w:tc>
        <w:tc>
          <w:tcPr>
            <w:tcW w:w="3702" w:type="dxa"/>
            <w:vAlign w:val="center"/>
          </w:tcPr>
          <w:p>
            <w:pPr>
              <w:spacing w:line="440" w:lineRule="exact"/>
              <w:rPr>
                <w:rFonts w:ascii="Times New Roman" w:hAnsi="Times New Roman" w:cs="Times New Roman"/>
                <w:sz w:val="20"/>
                <w:szCs w:val="20"/>
                <w:highlight w:val="none"/>
              </w:rPr>
            </w:pPr>
            <w:r>
              <w:rPr>
                <w:rFonts w:hint="eastAsia" w:ascii="Times New Roman" w:hAnsi="Times New Roman" w:cs="Times New Roman"/>
                <w:sz w:val="20"/>
                <w:szCs w:val="20"/>
                <w:highlight w:val="none"/>
              </w:rPr>
              <w:t>姓名：</w:t>
            </w:r>
          </w:p>
          <w:p>
            <w:pPr>
              <w:spacing w:line="440" w:lineRule="exact"/>
              <w:rPr>
                <w:rFonts w:ascii="Times New Roman" w:hAnsi="Times New Roman" w:cs="Times New Roman"/>
                <w:sz w:val="20"/>
                <w:szCs w:val="20"/>
                <w:highlight w:val="none"/>
              </w:rPr>
            </w:pPr>
            <w:r>
              <w:rPr>
                <w:rFonts w:hint="eastAsia" w:ascii="Times New Roman" w:hAnsi="Times New Roman" w:cs="Times New Roman"/>
                <w:sz w:val="20"/>
                <w:szCs w:val="20"/>
                <w:highlight w:val="none"/>
              </w:rPr>
              <w:t>身份证号：</w:t>
            </w:r>
          </w:p>
        </w:tc>
        <w:tc>
          <w:tcPr>
            <w:tcW w:w="1984" w:type="dxa"/>
            <w:vAlign w:val="center"/>
          </w:tcPr>
          <w:p>
            <w:pPr>
              <w:spacing w:line="440" w:lineRule="exact"/>
              <w:jc w:val="center"/>
              <w:rPr>
                <w:rFonts w:ascii="Times New Roman" w:hAnsi="Times New Roman" w:cs="Times New Roman"/>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highlight w:val="none"/>
              </w:rPr>
            </w:pPr>
            <w:r>
              <w:rPr>
                <w:rFonts w:hint="eastAsia" w:ascii="Times New Roman" w:hAnsi="Times New Roman" w:cs="Times New Roman"/>
                <w:sz w:val="20"/>
                <w:szCs w:val="20"/>
                <w:highlight w:val="none"/>
              </w:rPr>
              <w:t>2</w:t>
            </w:r>
          </w:p>
        </w:tc>
        <w:tc>
          <w:tcPr>
            <w:tcW w:w="1984" w:type="dxa"/>
            <w:vAlign w:val="center"/>
          </w:tcPr>
          <w:p>
            <w:pPr>
              <w:spacing w:line="440" w:lineRule="exact"/>
              <w:jc w:val="center"/>
              <w:rPr>
                <w:rFonts w:ascii="Times New Roman" w:hAnsi="Times New Roman" w:cs="Times New Roman"/>
                <w:sz w:val="20"/>
                <w:szCs w:val="20"/>
                <w:highlight w:val="none"/>
              </w:rPr>
            </w:pPr>
            <w:r>
              <w:rPr>
                <w:rFonts w:hint="eastAsia" w:ascii="Times New Roman" w:hAnsi="Times New Roman" w:cs="Times New Roman"/>
                <w:sz w:val="20"/>
                <w:szCs w:val="20"/>
                <w:highlight w:val="none"/>
              </w:rPr>
              <w:t>投标有效期</w:t>
            </w:r>
          </w:p>
        </w:tc>
        <w:tc>
          <w:tcPr>
            <w:tcW w:w="3702" w:type="dxa"/>
            <w:vAlign w:val="center"/>
          </w:tcPr>
          <w:p>
            <w:pPr>
              <w:spacing w:line="440" w:lineRule="exact"/>
              <w:rPr>
                <w:rFonts w:ascii="Times New Roman" w:hAnsi="Times New Roman" w:cs="Times New Roman"/>
                <w:sz w:val="20"/>
                <w:szCs w:val="20"/>
                <w:highlight w:val="none"/>
              </w:rPr>
            </w:pPr>
            <w:r>
              <w:rPr>
                <w:rFonts w:hint="eastAsia" w:ascii="Times New Roman" w:hAnsi="Times New Roman" w:cs="Times New Roman"/>
                <w:sz w:val="20"/>
                <w:szCs w:val="20"/>
                <w:highlight w:val="none"/>
              </w:rPr>
              <w:t>自投标截止之日起</w:t>
            </w:r>
            <w:r>
              <w:rPr>
                <w:rFonts w:hint="eastAsia" w:ascii="Times New Roman" w:hAnsi="Times New Roman" w:cs="Times New Roman"/>
                <w:sz w:val="20"/>
                <w:szCs w:val="20"/>
                <w:highlight w:val="none"/>
                <w:u w:val="single"/>
              </w:rPr>
              <w:t>90</w:t>
            </w:r>
            <w:r>
              <w:rPr>
                <w:rFonts w:hint="eastAsia" w:ascii="Times New Roman" w:hAnsi="Times New Roman" w:cs="Times New Roman"/>
                <w:sz w:val="20"/>
                <w:szCs w:val="20"/>
                <w:highlight w:val="none"/>
              </w:rPr>
              <w:t>天</w:t>
            </w:r>
          </w:p>
        </w:tc>
        <w:tc>
          <w:tcPr>
            <w:tcW w:w="1984" w:type="dxa"/>
            <w:vAlign w:val="center"/>
          </w:tcPr>
          <w:p>
            <w:pPr>
              <w:spacing w:line="440" w:lineRule="exact"/>
              <w:jc w:val="center"/>
              <w:rPr>
                <w:rFonts w:ascii="Times New Roman" w:hAnsi="Times New Roman" w:cs="Times New Roman"/>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highlight w:val="none"/>
              </w:rPr>
            </w:pPr>
            <w:r>
              <w:rPr>
                <w:rFonts w:hint="eastAsia" w:ascii="Times New Roman" w:hAnsi="Times New Roman" w:cs="Times New Roman"/>
                <w:sz w:val="20"/>
                <w:szCs w:val="20"/>
                <w:highlight w:val="none"/>
              </w:rPr>
              <w:t>......</w:t>
            </w:r>
          </w:p>
        </w:tc>
        <w:tc>
          <w:tcPr>
            <w:tcW w:w="1984" w:type="dxa"/>
            <w:vAlign w:val="center"/>
          </w:tcPr>
          <w:p>
            <w:pPr>
              <w:spacing w:line="440" w:lineRule="exact"/>
              <w:jc w:val="center"/>
              <w:rPr>
                <w:rFonts w:ascii="Times New Roman" w:hAnsi="Times New Roman" w:cs="Times New Roman"/>
                <w:sz w:val="20"/>
                <w:szCs w:val="20"/>
                <w:highlight w:val="none"/>
              </w:rPr>
            </w:pPr>
            <w:r>
              <w:rPr>
                <w:rFonts w:hint="eastAsia" w:ascii="Times New Roman" w:hAnsi="Times New Roman" w:cs="Times New Roman"/>
                <w:sz w:val="20"/>
                <w:szCs w:val="20"/>
                <w:highlight w:val="none"/>
              </w:rPr>
              <w:t>......</w:t>
            </w:r>
          </w:p>
        </w:tc>
        <w:tc>
          <w:tcPr>
            <w:tcW w:w="3702" w:type="dxa"/>
            <w:vAlign w:val="center"/>
          </w:tcPr>
          <w:p>
            <w:pPr>
              <w:spacing w:line="440" w:lineRule="exact"/>
              <w:jc w:val="center"/>
              <w:rPr>
                <w:rFonts w:ascii="Times New Roman" w:hAnsi="Times New Roman" w:cs="Times New Roman"/>
                <w:sz w:val="20"/>
                <w:szCs w:val="20"/>
                <w:highlight w:val="none"/>
              </w:rPr>
            </w:pPr>
            <w:r>
              <w:rPr>
                <w:rFonts w:hint="eastAsia" w:ascii="Times New Roman" w:hAnsi="Times New Roman" w:cs="Times New Roman"/>
                <w:sz w:val="20"/>
                <w:szCs w:val="20"/>
                <w:highlight w:val="none"/>
              </w:rPr>
              <w:t>......</w:t>
            </w:r>
          </w:p>
        </w:tc>
        <w:tc>
          <w:tcPr>
            <w:tcW w:w="1984" w:type="dxa"/>
            <w:vAlign w:val="center"/>
          </w:tcPr>
          <w:p>
            <w:pPr>
              <w:spacing w:line="440" w:lineRule="exact"/>
              <w:jc w:val="center"/>
              <w:rPr>
                <w:rFonts w:ascii="Times New Roman" w:hAnsi="Times New Roman" w:cs="Times New Roman"/>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highlight w:val="none"/>
              </w:rPr>
            </w:pPr>
            <w:r>
              <w:rPr>
                <w:rFonts w:hint="eastAsia" w:ascii="Times New Roman" w:hAnsi="Times New Roman" w:cs="Times New Roman"/>
                <w:sz w:val="20"/>
                <w:szCs w:val="20"/>
                <w:highlight w:val="none"/>
              </w:rPr>
              <w:t>......</w:t>
            </w:r>
          </w:p>
        </w:tc>
        <w:tc>
          <w:tcPr>
            <w:tcW w:w="1984" w:type="dxa"/>
            <w:vAlign w:val="center"/>
          </w:tcPr>
          <w:p>
            <w:pPr>
              <w:spacing w:line="440" w:lineRule="exact"/>
              <w:jc w:val="center"/>
              <w:rPr>
                <w:rFonts w:ascii="Times New Roman" w:hAnsi="Times New Roman" w:cs="Times New Roman"/>
                <w:sz w:val="20"/>
                <w:szCs w:val="20"/>
                <w:highlight w:val="none"/>
              </w:rPr>
            </w:pPr>
            <w:r>
              <w:rPr>
                <w:rFonts w:hint="eastAsia" w:ascii="Times New Roman" w:hAnsi="Times New Roman" w:cs="Times New Roman"/>
                <w:sz w:val="20"/>
                <w:szCs w:val="20"/>
                <w:highlight w:val="none"/>
              </w:rPr>
              <w:t>......</w:t>
            </w:r>
          </w:p>
        </w:tc>
        <w:tc>
          <w:tcPr>
            <w:tcW w:w="3702" w:type="dxa"/>
            <w:vAlign w:val="center"/>
          </w:tcPr>
          <w:p>
            <w:pPr>
              <w:spacing w:line="440" w:lineRule="exact"/>
              <w:jc w:val="center"/>
              <w:rPr>
                <w:rFonts w:ascii="Times New Roman" w:hAnsi="Times New Roman" w:cs="Times New Roman"/>
                <w:sz w:val="20"/>
                <w:szCs w:val="20"/>
                <w:highlight w:val="none"/>
              </w:rPr>
            </w:pPr>
            <w:r>
              <w:rPr>
                <w:rFonts w:hint="eastAsia" w:ascii="Times New Roman" w:hAnsi="Times New Roman" w:cs="Times New Roman"/>
                <w:sz w:val="20"/>
                <w:szCs w:val="20"/>
                <w:highlight w:val="none"/>
              </w:rPr>
              <w:t>......</w:t>
            </w:r>
          </w:p>
        </w:tc>
        <w:tc>
          <w:tcPr>
            <w:tcW w:w="1984" w:type="dxa"/>
            <w:vAlign w:val="center"/>
          </w:tcPr>
          <w:p>
            <w:pPr>
              <w:spacing w:line="440" w:lineRule="exact"/>
              <w:jc w:val="center"/>
              <w:rPr>
                <w:rFonts w:ascii="Times New Roman" w:hAnsi="Times New Roman" w:cs="Times New Roman"/>
                <w:sz w:val="20"/>
                <w:szCs w:val="20"/>
                <w:highlight w:val="none"/>
              </w:rPr>
            </w:pPr>
          </w:p>
        </w:tc>
      </w:tr>
    </w:tbl>
    <w:p>
      <w:pPr>
        <w:spacing w:line="440" w:lineRule="exact"/>
        <w:rPr>
          <w:rFonts w:ascii="Times New Roman" w:hAnsi="Times New Roman" w:cs="Times New Roman"/>
          <w:sz w:val="20"/>
          <w:szCs w:val="20"/>
          <w:highlight w:val="none"/>
        </w:rPr>
      </w:pPr>
    </w:p>
    <w:p>
      <w:pPr>
        <w:spacing w:line="440" w:lineRule="exact"/>
        <w:rPr>
          <w:rFonts w:ascii="Times New Roman" w:hAnsi="Times New Roman" w:cs="Times New Roman"/>
          <w:sz w:val="20"/>
          <w:szCs w:val="20"/>
          <w:highlight w:val="none"/>
        </w:rPr>
      </w:pPr>
    </w:p>
    <w:p>
      <w:pPr>
        <w:spacing w:line="440" w:lineRule="exact"/>
        <w:ind w:firstLine="2310" w:firstLineChars="1100"/>
        <w:rPr>
          <w:rFonts w:ascii="Times New Roman" w:hAnsi="Times New Roman" w:cs="Times New Roman"/>
          <w:szCs w:val="21"/>
          <w:highlight w:val="none"/>
        </w:rPr>
      </w:pPr>
      <w:r>
        <w:rPr>
          <w:rFonts w:ascii="Times New Roman" w:hAnsi="Times New Roman" w:cs="Times New Roman"/>
          <w:szCs w:val="21"/>
          <w:highlight w:val="none"/>
        </w:rPr>
        <w:t>投 标 人：</w:t>
      </w:r>
      <w:r>
        <w:rPr>
          <w:rFonts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rPr>
        <w:t xml:space="preserve">              </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（盖单位章）</w:t>
      </w:r>
    </w:p>
    <w:p>
      <w:pPr>
        <w:spacing w:line="440" w:lineRule="exact"/>
        <w:ind w:firstLine="2310" w:firstLineChars="1100"/>
        <w:rPr>
          <w:rFonts w:ascii="Times New Roman" w:hAnsi="Times New Roman" w:cs="Times New Roman"/>
          <w:szCs w:val="21"/>
          <w:highlight w:val="none"/>
        </w:rPr>
      </w:pPr>
      <w:r>
        <w:rPr>
          <w:rFonts w:ascii="Times New Roman" w:hAnsi="Times New Roman" w:cs="Times New Roman"/>
          <w:szCs w:val="21"/>
          <w:highlight w:val="none"/>
        </w:rPr>
        <w:t>法定代表人或其委托代理人：</w:t>
      </w:r>
      <w:r>
        <w:rPr>
          <w:rFonts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rPr>
        <w:t xml:space="preserve"> </w:t>
      </w:r>
      <w:r>
        <w:rPr>
          <w:rFonts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rPr>
        <w:t xml:space="preserve">            </w:t>
      </w:r>
      <w:r>
        <w:rPr>
          <w:rFonts w:ascii="Times New Roman" w:hAnsi="Times New Roman" w:cs="Times New Roman"/>
          <w:szCs w:val="21"/>
          <w:highlight w:val="none"/>
        </w:rPr>
        <w:t>（签字）</w:t>
      </w:r>
    </w:p>
    <w:p>
      <w:pPr>
        <w:spacing w:line="440" w:lineRule="exact"/>
        <w:ind w:firstLine="4725" w:firstLineChars="2250"/>
        <w:rPr>
          <w:rFonts w:ascii="Times New Roman" w:hAnsi="Times New Roman" w:cs="Times New Roman"/>
          <w:szCs w:val="21"/>
          <w:highlight w:val="none"/>
        </w:rPr>
      </w:pPr>
      <w:r>
        <w:rPr>
          <w:rFonts w:ascii="Times New Roman" w:hAnsi="Times New Roman" w:cs="Times New Roman"/>
          <w:szCs w:val="21"/>
          <w:highlight w:val="none"/>
          <w:u w:val="single"/>
        </w:rPr>
        <w:t xml:space="preserve">      </w:t>
      </w:r>
      <w:r>
        <w:rPr>
          <w:rFonts w:ascii="Times New Roman" w:hAnsi="Times New Roman" w:cs="Times New Roman"/>
          <w:szCs w:val="21"/>
          <w:highlight w:val="none"/>
        </w:rPr>
        <w:t>年</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月</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日</w:t>
      </w:r>
    </w:p>
    <w:p>
      <w:pPr>
        <w:spacing w:line="440" w:lineRule="exact"/>
        <w:rPr>
          <w:rFonts w:ascii="Times New Roman" w:hAnsi="Times New Roman" w:cs="Times New Roman"/>
          <w:sz w:val="20"/>
          <w:szCs w:val="20"/>
          <w:highlight w:val="none"/>
        </w:rPr>
      </w:pPr>
    </w:p>
    <w:p>
      <w:pPr>
        <w:spacing w:line="440" w:lineRule="exact"/>
        <w:rPr>
          <w:rFonts w:ascii="Times New Roman" w:hAnsi="Times New Roman" w:cs="Times New Roman"/>
          <w:szCs w:val="21"/>
          <w:highlight w:val="none"/>
        </w:rPr>
      </w:pPr>
    </w:p>
    <w:p>
      <w:pPr>
        <w:rPr>
          <w:rFonts w:ascii="Times New Roman" w:hAnsi="Times New Roman" w:cs="Times New Roman"/>
          <w:highlight w:val="none"/>
        </w:rPr>
      </w:pPr>
      <w:bookmarkStart w:id="92" w:name="_Toc144974860"/>
      <w:bookmarkStart w:id="93" w:name="_Toc152042580"/>
      <w:bookmarkStart w:id="94" w:name="_Toc247514283"/>
      <w:bookmarkStart w:id="95" w:name="_Toc152045791"/>
      <w:bookmarkStart w:id="96" w:name="_Toc247527831"/>
      <w:bookmarkStart w:id="97" w:name="_Toc300835213"/>
      <w:r>
        <w:rPr>
          <w:rFonts w:ascii="Times New Roman" w:hAnsi="Times New Roman" w:cs="Times New Roman"/>
          <w:highlight w:val="none"/>
        </w:rPr>
        <w:br w:type="page"/>
      </w:r>
    </w:p>
    <w:p>
      <w:pPr>
        <w:pStyle w:val="6"/>
        <w:jc w:val="center"/>
        <w:rPr>
          <w:rFonts w:ascii="Times New Roman" w:hAnsi="Times New Roman" w:cs="Times New Roman"/>
          <w:highlight w:val="none"/>
        </w:rPr>
      </w:pPr>
      <w:r>
        <w:rPr>
          <w:rFonts w:ascii="Times New Roman" w:hAnsi="Times New Roman" w:cs="Times New Roman"/>
          <w:highlight w:val="none"/>
        </w:rPr>
        <w:t>二、法定代表人身份证明</w:t>
      </w:r>
      <w:bookmarkEnd w:id="92"/>
      <w:bookmarkEnd w:id="93"/>
      <w:bookmarkEnd w:id="94"/>
      <w:bookmarkEnd w:id="95"/>
      <w:bookmarkEnd w:id="96"/>
      <w:bookmarkEnd w:id="97"/>
    </w:p>
    <w:p>
      <w:pPr>
        <w:spacing w:line="440" w:lineRule="exact"/>
        <w:rPr>
          <w:rFonts w:ascii="Times New Roman" w:hAnsi="Times New Roman" w:cs="Times New Roman"/>
          <w:sz w:val="20"/>
          <w:szCs w:val="20"/>
          <w:highlight w:val="none"/>
        </w:rPr>
      </w:pPr>
    </w:p>
    <w:p>
      <w:pPr>
        <w:spacing w:line="440" w:lineRule="exact"/>
        <w:rPr>
          <w:rFonts w:ascii="Times New Roman" w:hAnsi="Times New Roman" w:cs="Times New Roman"/>
          <w:szCs w:val="21"/>
          <w:highlight w:val="none"/>
        </w:rPr>
      </w:pPr>
    </w:p>
    <w:p>
      <w:pPr>
        <w:spacing w:line="440" w:lineRule="exact"/>
        <w:rPr>
          <w:rFonts w:ascii="Times New Roman" w:hAnsi="Times New Roman" w:cs="Times New Roman"/>
          <w:szCs w:val="21"/>
          <w:highlight w:val="none"/>
        </w:rPr>
      </w:pPr>
      <w:r>
        <w:rPr>
          <w:rFonts w:ascii="Times New Roman" w:hAnsi="Times New Roman" w:cs="Times New Roman"/>
          <w:szCs w:val="21"/>
          <w:highlight w:val="none"/>
        </w:rPr>
        <w:t>投标人名称：</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 xml:space="preserve"> </w:t>
      </w:r>
    </w:p>
    <w:p>
      <w:pPr>
        <w:spacing w:line="440" w:lineRule="exact"/>
        <w:rPr>
          <w:rFonts w:ascii="Times New Roman" w:hAnsi="Times New Roman" w:cs="Times New Roman"/>
          <w:szCs w:val="21"/>
          <w:highlight w:val="none"/>
        </w:rPr>
      </w:pPr>
      <w:r>
        <w:rPr>
          <w:rFonts w:ascii="Times New Roman" w:hAnsi="Times New Roman" w:cs="Times New Roman"/>
          <w:szCs w:val="21"/>
          <w:highlight w:val="none"/>
        </w:rPr>
        <w:t>姓名：</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 xml:space="preserve"> 性别：</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 xml:space="preserve"> 年龄：</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职务：</w:t>
      </w:r>
      <w:r>
        <w:rPr>
          <w:rFonts w:ascii="Times New Roman" w:hAnsi="Times New Roman" w:cs="Times New Roman"/>
          <w:szCs w:val="21"/>
          <w:highlight w:val="none"/>
          <w:u w:val="single"/>
        </w:rPr>
        <w:t xml:space="preserve">        </w:t>
      </w:r>
    </w:p>
    <w:p>
      <w:pPr>
        <w:spacing w:line="440" w:lineRule="exact"/>
        <w:rPr>
          <w:rFonts w:ascii="Times New Roman" w:hAnsi="Times New Roman" w:cs="Times New Roman"/>
          <w:szCs w:val="21"/>
          <w:highlight w:val="none"/>
        </w:rPr>
      </w:pPr>
      <w:r>
        <w:rPr>
          <w:rFonts w:ascii="Times New Roman" w:hAnsi="Times New Roman" w:cs="Times New Roman"/>
          <w:szCs w:val="21"/>
          <w:highlight w:val="none"/>
        </w:rPr>
        <w:t>系</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 xml:space="preserve"> （投标人名称）的法定代表人。</w:t>
      </w:r>
    </w:p>
    <w:p>
      <w:pPr>
        <w:spacing w:line="44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特此证明。</w:t>
      </w:r>
    </w:p>
    <w:p>
      <w:pPr>
        <w:spacing w:line="440" w:lineRule="exact"/>
        <w:rPr>
          <w:rFonts w:ascii="Times New Roman" w:hAnsi="Times New Roman" w:cs="Times New Roman"/>
          <w:szCs w:val="21"/>
          <w:highlight w:val="none"/>
        </w:rPr>
      </w:pPr>
    </w:p>
    <w:p>
      <w:pPr>
        <w:spacing w:line="440" w:lineRule="exact"/>
        <w:rPr>
          <w:rFonts w:ascii="Times New Roman" w:hAnsi="Times New Roman" w:cs="Times New Roman"/>
          <w:szCs w:val="21"/>
          <w:highlight w:val="none"/>
        </w:rPr>
      </w:pPr>
      <w:r>
        <w:rPr>
          <w:rFonts w:ascii="Times New Roman" w:hAnsi="Times New Roman" w:cs="Times New Roman"/>
          <w:szCs w:val="21"/>
          <w:highlight w:val="none"/>
        </w:rPr>
        <w:t>附：法定代表人身份证复印件。</w:t>
      </w:r>
    </w:p>
    <w:p>
      <w:pPr>
        <w:spacing w:line="440" w:lineRule="exact"/>
        <w:rPr>
          <w:rFonts w:ascii="Times New Roman" w:hAnsi="Times New Roman" w:cs="Times New Roman"/>
          <w:szCs w:val="21"/>
          <w:highlight w:val="none"/>
        </w:rPr>
      </w:pPr>
    </w:p>
    <w:p>
      <w:pPr>
        <w:spacing w:line="440" w:lineRule="exact"/>
        <w:rPr>
          <w:rFonts w:ascii="Times New Roman" w:hAnsi="Times New Roman" w:cs="Times New Roman"/>
          <w:szCs w:val="21"/>
          <w:highlight w:val="none"/>
        </w:rPr>
      </w:pPr>
      <w:r>
        <w:rPr>
          <w:rFonts w:hint="eastAsia" w:ascii="Times New Roman" w:hAnsi="Times New Roman" w:cs="Times New Roman"/>
          <w:szCs w:val="21"/>
          <w:highlight w:val="none"/>
        </w:rPr>
        <w:t>注：本身份证明需由投标人加盖单位公章。</w:t>
      </w:r>
    </w:p>
    <w:p>
      <w:pPr>
        <w:spacing w:line="440" w:lineRule="exact"/>
        <w:rPr>
          <w:rFonts w:ascii="Times New Roman" w:hAnsi="Times New Roman" w:cs="Times New Roman"/>
          <w:szCs w:val="21"/>
          <w:highlight w:val="none"/>
        </w:rPr>
      </w:pPr>
    </w:p>
    <w:p>
      <w:pPr>
        <w:spacing w:line="440" w:lineRule="exact"/>
        <w:rPr>
          <w:rFonts w:ascii="Times New Roman" w:hAnsi="Times New Roman" w:cs="Times New Roman"/>
          <w:szCs w:val="21"/>
          <w:highlight w:val="none"/>
        </w:rPr>
      </w:pPr>
    </w:p>
    <w:p>
      <w:pPr>
        <w:spacing w:line="440" w:lineRule="exact"/>
        <w:rPr>
          <w:rFonts w:ascii="Times New Roman" w:hAnsi="Times New Roman" w:cs="Times New Roman"/>
          <w:szCs w:val="21"/>
          <w:highlight w:val="none"/>
        </w:rPr>
      </w:pPr>
      <w:r>
        <w:rPr>
          <w:rFonts w:ascii="Times New Roman" w:hAnsi="Times New Roman" w:cs="Times New Roman"/>
          <w:szCs w:val="21"/>
          <w:highlight w:val="none"/>
        </w:rPr>
        <w:t xml:space="preserve">                         </w:t>
      </w:r>
      <w:r>
        <w:rPr>
          <w:rFonts w:hint="eastAsia" w:ascii="Times New Roman" w:hAnsi="Times New Roman" w:cs="Times New Roman"/>
          <w:szCs w:val="21"/>
          <w:highlight w:val="none"/>
        </w:rPr>
        <w:t xml:space="preserve">     </w:t>
      </w:r>
      <w:r>
        <w:rPr>
          <w:rFonts w:ascii="Times New Roman" w:hAnsi="Times New Roman" w:cs="Times New Roman"/>
          <w:szCs w:val="21"/>
          <w:highlight w:val="none"/>
        </w:rPr>
        <w:t xml:space="preserve"> </w:t>
      </w:r>
      <w:r>
        <w:rPr>
          <w:rFonts w:hint="eastAsia" w:ascii="Times New Roman" w:hAnsi="Times New Roman" w:cs="Times New Roman"/>
          <w:szCs w:val="21"/>
          <w:highlight w:val="none"/>
        </w:rPr>
        <w:t xml:space="preserve">       </w:t>
      </w:r>
      <w:r>
        <w:rPr>
          <w:rFonts w:ascii="Times New Roman" w:hAnsi="Times New Roman" w:cs="Times New Roman"/>
          <w:szCs w:val="21"/>
          <w:highlight w:val="none"/>
        </w:rPr>
        <w:t>投标人：</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（盖单位章）</w:t>
      </w:r>
    </w:p>
    <w:p>
      <w:pPr>
        <w:spacing w:line="440" w:lineRule="exact"/>
        <w:rPr>
          <w:rFonts w:ascii="Times New Roman" w:hAnsi="Times New Roman" w:cs="Times New Roman"/>
          <w:szCs w:val="21"/>
          <w:highlight w:val="none"/>
        </w:rPr>
      </w:pPr>
      <w:r>
        <w:rPr>
          <w:rFonts w:ascii="Times New Roman" w:hAnsi="Times New Roman" w:cs="Times New Roman"/>
          <w:szCs w:val="21"/>
          <w:highlight w:val="none"/>
        </w:rPr>
        <w:t xml:space="preserve">                              </w:t>
      </w:r>
      <w:r>
        <w:rPr>
          <w:rFonts w:hint="eastAsia" w:ascii="Times New Roman" w:hAnsi="Times New Roman" w:cs="Times New Roman"/>
          <w:szCs w:val="21"/>
          <w:highlight w:val="none"/>
        </w:rPr>
        <w:t xml:space="preserve">    </w:t>
      </w:r>
      <w:r>
        <w:rPr>
          <w:rFonts w:ascii="Times New Roman" w:hAnsi="Times New Roman" w:cs="Times New Roman"/>
          <w:szCs w:val="21"/>
          <w:highlight w:val="none"/>
        </w:rPr>
        <w:t xml:space="preserve"> </w:t>
      </w:r>
    </w:p>
    <w:p>
      <w:pPr>
        <w:spacing w:line="440" w:lineRule="exact"/>
        <w:ind w:firstLine="4410" w:firstLineChars="2100"/>
        <w:rPr>
          <w:rFonts w:ascii="Times New Roman" w:hAnsi="Times New Roman" w:cs="Times New Roman"/>
          <w:szCs w:val="21"/>
          <w:highlight w:val="none"/>
        </w:rPr>
      </w:pPr>
      <w:r>
        <w:rPr>
          <w:rFonts w:ascii="Times New Roman" w:hAnsi="Times New Roman" w:cs="Times New Roman"/>
          <w:szCs w:val="21"/>
          <w:highlight w:val="none"/>
          <w:u w:val="single"/>
        </w:rPr>
        <w:t xml:space="preserve">      </w:t>
      </w:r>
      <w:r>
        <w:rPr>
          <w:rFonts w:ascii="Times New Roman" w:hAnsi="Times New Roman" w:cs="Times New Roman"/>
          <w:szCs w:val="21"/>
          <w:highlight w:val="none"/>
        </w:rPr>
        <w:t>年</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月</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 xml:space="preserve"> 日</w:t>
      </w:r>
    </w:p>
    <w:p>
      <w:pPr>
        <w:spacing w:line="440" w:lineRule="exact"/>
        <w:jc w:val="center"/>
        <w:rPr>
          <w:rFonts w:ascii="Times New Roman" w:hAnsi="Times New Roman" w:eastAsia="黑体" w:cs="Times New Roman"/>
          <w:sz w:val="20"/>
          <w:szCs w:val="20"/>
          <w:highlight w:val="none"/>
        </w:rPr>
      </w:pPr>
      <w:r>
        <w:rPr>
          <w:rFonts w:ascii="Times New Roman" w:hAnsi="Times New Roman" w:eastAsia="黑体" w:cs="Times New Roman"/>
          <w:sz w:val="20"/>
          <w:szCs w:val="20"/>
          <w:highlight w:val="none"/>
        </w:rPr>
        <w:br w:type="page"/>
      </w:r>
    </w:p>
    <w:p>
      <w:pPr>
        <w:pStyle w:val="6"/>
        <w:jc w:val="center"/>
        <w:rPr>
          <w:rFonts w:ascii="Times New Roman" w:hAnsi="Times New Roman" w:cs="Times New Roman"/>
          <w:highlight w:val="none"/>
        </w:rPr>
      </w:pPr>
      <w:bookmarkStart w:id="98" w:name="_Toc152042581"/>
      <w:bookmarkStart w:id="99" w:name="_Toc152045792"/>
      <w:bookmarkStart w:id="100" w:name="_Toc300835214"/>
      <w:bookmarkStart w:id="101" w:name="_Toc144974861"/>
      <w:bookmarkStart w:id="102" w:name="_Toc247514284"/>
      <w:bookmarkStart w:id="103" w:name="_Toc247527832"/>
      <w:r>
        <w:rPr>
          <w:rFonts w:ascii="Times New Roman" w:hAnsi="Times New Roman" w:cs="Times New Roman"/>
          <w:highlight w:val="none"/>
        </w:rPr>
        <w:t>二、授权委托书</w:t>
      </w:r>
      <w:bookmarkEnd w:id="98"/>
      <w:bookmarkEnd w:id="99"/>
      <w:bookmarkEnd w:id="100"/>
      <w:bookmarkEnd w:id="101"/>
      <w:bookmarkEnd w:id="102"/>
      <w:bookmarkEnd w:id="103"/>
    </w:p>
    <w:p>
      <w:pPr>
        <w:spacing w:line="440" w:lineRule="exact"/>
        <w:rPr>
          <w:rFonts w:ascii="Times New Roman" w:hAnsi="Times New Roman" w:eastAsia="黑体" w:cs="Times New Roman"/>
          <w:szCs w:val="21"/>
          <w:highlight w:val="none"/>
        </w:rPr>
      </w:pPr>
    </w:p>
    <w:p>
      <w:pPr>
        <w:topLinePunct/>
        <w:spacing w:line="44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本人</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（姓名）系</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（投标人名称）的法定代表人，现委托</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rPr>
        <w:t>确认、递交、撤回、修改招标项目投标文件、签订合同和处理有关事宜，</w:t>
      </w:r>
      <w:r>
        <w:rPr>
          <w:rFonts w:ascii="Times New Roman" w:hAnsi="Times New Roman" w:cs="Times New Roman"/>
          <w:szCs w:val="21"/>
          <w:highlight w:val="none"/>
        </w:rPr>
        <w:t>其法律后果由我方承担。</w:t>
      </w:r>
    </w:p>
    <w:p>
      <w:pPr>
        <w:spacing w:line="440" w:lineRule="exact"/>
        <w:rPr>
          <w:rFonts w:ascii="Times New Roman" w:hAnsi="Times New Roman" w:cs="Times New Roman"/>
          <w:szCs w:val="21"/>
          <w:highlight w:val="none"/>
        </w:rPr>
      </w:pPr>
      <w:r>
        <w:rPr>
          <w:rFonts w:ascii="Times New Roman" w:hAnsi="Times New Roman" w:cs="Times New Roman"/>
          <w:szCs w:val="21"/>
          <w:highlight w:val="none"/>
        </w:rPr>
        <w:t xml:space="preserve">    委托期限：</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w:t>
      </w:r>
    </w:p>
    <w:p>
      <w:pPr>
        <w:spacing w:line="44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代理人无转委托权。</w:t>
      </w:r>
    </w:p>
    <w:p>
      <w:pPr>
        <w:spacing w:line="44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附：法定代表人身份</w:t>
      </w:r>
      <w:r>
        <w:rPr>
          <w:rFonts w:hint="eastAsia" w:ascii="Times New Roman" w:hAnsi="Times New Roman" w:cs="Times New Roman"/>
          <w:szCs w:val="21"/>
          <w:highlight w:val="none"/>
        </w:rPr>
        <w:t>证复印件及委托代理人身份证复印件</w:t>
      </w:r>
    </w:p>
    <w:p>
      <w:pPr>
        <w:spacing w:line="440" w:lineRule="exact"/>
        <w:ind w:firstLine="420" w:firstLineChars="200"/>
        <w:rPr>
          <w:rFonts w:ascii="Times New Roman" w:hAnsi="Times New Roman" w:cs="Times New Roman"/>
          <w:szCs w:val="21"/>
          <w:highlight w:val="none"/>
        </w:rPr>
      </w:pPr>
    </w:p>
    <w:p>
      <w:pPr>
        <w:spacing w:line="44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注：本授权委托书需由投标人加盖单位公章并由其法定代表人和委托代理人签字。</w:t>
      </w:r>
    </w:p>
    <w:p>
      <w:pPr>
        <w:spacing w:line="440" w:lineRule="exact"/>
        <w:rPr>
          <w:rFonts w:ascii="Times New Roman" w:hAnsi="Times New Roman" w:cs="Times New Roman"/>
          <w:szCs w:val="21"/>
          <w:highlight w:val="none"/>
        </w:rPr>
      </w:pPr>
    </w:p>
    <w:p>
      <w:pPr>
        <w:spacing w:line="440" w:lineRule="exact"/>
        <w:rPr>
          <w:rFonts w:ascii="Times New Roman" w:hAnsi="Times New Roman" w:cs="Times New Roman"/>
          <w:szCs w:val="21"/>
          <w:highlight w:val="none"/>
        </w:rPr>
      </w:pPr>
    </w:p>
    <w:p>
      <w:pPr>
        <w:spacing w:line="600" w:lineRule="exact"/>
        <w:ind w:firstLine="2100" w:firstLineChars="1000"/>
        <w:rPr>
          <w:rFonts w:ascii="Times New Roman" w:hAnsi="Times New Roman" w:cs="Times New Roman"/>
          <w:szCs w:val="21"/>
          <w:highlight w:val="none"/>
        </w:rPr>
      </w:pPr>
      <w:r>
        <w:rPr>
          <w:rFonts w:ascii="Times New Roman" w:hAnsi="Times New Roman" w:cs="Times New Roman"/>
          <w:szCs w:val="21"/>
          <w:highlight w:val="none"/>
        </w:rPr>
        <w:t>投</w:t>
      </w:r>
      <w:r>
        <w:rPr>
          <w:rFonts w:hint="eastAsia" w:ascii="Times New Roman" w:hAnsi="Times New Roman" w:cs="Times New Roman"/>
          <w:szCs w:val="21"/>
          <w:highlight w:val="none"/>
        </w:rPr>
        <w:t xml:space="preserve">  </w:t>
      </w:r>
      <w:r>
        <w:rPr>
          <w:rFonts w:ascii="Times New Roman" w:hAnsi="Times New Roman" w:cs="Times New Roman"/>
          <w:szCs w:val="21"/>
          <w:highlight w:val="none"/>
        </w:rPr>
        <w:t>标</w:t>
      </w:r>
      <w:r>
        <w:rPr>
          <w:rFonts w:hint="eastAsia" w:ascii="Times New Roman" w:hAnsi="Times New Roman" w:cs="Times New Roman"/>
          <w:szCs w:val="21"/>
          <w:highlight w:val="none"/>
        </w:rPr>
        <w:t xml:space="preserve">  </w:t>
      </w:r>
      <w:r>
        <w:rPr>
          <w:rFonts w:ascii="Times New Roman" w:hAnsi="Times New Roman" w:cs="Times New Roman"/>
          <w:szCs w:val="21"/>
          <w:highlight w:val="none"/>
        </w:rPr>
        <w:t>人：</w:t>
      </w:r>
      <w:r>
        <w:rPr>
          <w:rFonts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rPr>
        <w:t xml:space="preserve"> </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（盖单位章）</w:t>
      </w:r>
    </w:p>
    <w:p>
      <w:pPr>
        <w:spacing w:line="600" w:lineRule="exact"/>
        <w:ind w:firstLine="2100" w:firstLineChars="1000"/>
        <w:rPr>
          <w:rFonts w:ascii="Times New Roman" w:hAnsi="Times New Roman" w:cs="Times New Roman"/>
          <w:szCs w:val="21"/>
          <w:highlight w:val="none"/>
        </w:rPr>
      </w:pPr>
      <w:r>
        <w:rPr>
          <w:rFonts w:ascii="Times New Roman" w:hAnsi="Times New Roman" w:cs="Times New Roman"/>
          <w:szCs w:val="21"/>
          <w:highlight w:val="none"/>
        </w:rPr>
        <w:t>法定代表人：</w:t>
      </w:r>
      <w:r>
        <w:rPr>
          <w:rFonts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rPr>
        <w:t xml:space="preserve">                </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（签字</w:t>
      </w:r>
      <w:r>
        <w:rPr>
          <w:rFonts w:hint="eastAsia" w:ascii="Times New Roman" w:hAnsi="Times New Roman" w:cs="Times New Roman"/>
          <w:szCs w:val="21"/>
          <w:highlight w:val="none"/>
        </w:rPr>
        <w:t>或签章</w:t>
      </w:r>
      <w:r>
        <w:rPr>
          <w:rFonts w:ascii="Times New Roman" w:hAnsi="Times New Roman" w:cs="Times New Roman"/>
          <w:szCs w:val="21"/>
          <w:highlight w:val="none"/>
        </w:rPr>
        <w:t xml:space="preserve">） </w:t>
      </w:r>
    </w:p>
    <w:p>
      <w:pPr>
        <w:spacing w:line="600" w:lineRule="exact"/>
        <w:ind w:firstLine="2100" w:firstLineChars="1000"/>
        <w:rPr>
          <w:rFonts w:ascii="Times New Roman" w:hAnsi="Times New Roman" w:cs="Times New Roman"/>
          <w:szCs w:val="21"/>
          <w:highlight w:val="none"/>
        </w:rPr>
      </w:pPr>
      <w:r>
        <w:rPr>
          <w:rFonts w:ascii="Times New Roman" w:hAnsi="Times New Roman" w:cs="Times New Roman"/>
          <w:szCs w:val="21"/>
          <w:highlight w:val="none"/>
        </w:rPr>
        <w:t>身份证号码：</w:t>
      </w:r>
      <w:r>
        <w:rPr>
          <w:rFonts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rPr>
        <w:t xml:space="preserve">     </w:t>
      </w:r>
      <w:r>
        <w:rPr>
          <w:rFonts w:ascii="Times New Roman" w:hAnsi="Times New Roman" w:cs="Times New Roman"/>
          <w:szCs w:val="21"/>
          <w:highlight w:val="none"/>
          <w:u w:val="single"/>
        </w:rPr>
        <w:t xml:space="preserve">       </w:t>
      </w:r>
    </w:p>
    <w:p>
      <w:pPr>
        <w:spacing w:line="600" w:lineRule="exact"/>
        <w:ind w:firstLine="2100" w:firstLineChars="1000"/>
        <w:rPr>
          <w:rFonts w:ascii="Times New Roman" w:hAnsi="Times New Roman" w:cs="Times New Roman"/>
          <w:szCs w:val="21"/>
          <w:highlight w:val="none"/>
        </w:rPr>
      </w:pPr>
      <w:r>
        <w:rPr>
          <w:rFonts w:ascii="Times New Roman" w:hAnsi="Times New Roman" w:cs="Times New Roman"/>
          <w:szCs w:val="21"/>
          <w:highlight w:val="none"/>
        </w:rPr>
        <w:t>委托代理人：</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 xml:space="preserve">（签字） </w:t>
      </w:r>
    </w:p>
    <w:p>
      <w:pPr>
        <w:spacing w:line="600" w:lineRule="exact"/>
        <w:ind w:firstLine="2100" w:firstLineChars="1000"/>
        <w:rPr>
          <w:rFonts w:ascii="Times New Roman" w:hAnsi="Times New Roman" w:cs="Times New Roman"/>
          <w:szCs w:val="21"/>
          <w:highlight w:val="none"/>
          <w:u w:val="single"/>
        </w:rPr>
      </w:pPr>
      <w:r>
        <w:rPr>
          <w:rFonts w:ascii="Times New Roman" w:hAnsi="Times New Roman" w:cs="Times New Roman"/>
          <w:szCs w:val="21"/>
          <w:highlight w:val="none"/>
        </w:rPr>
        <w:t>身份证号码：</w:t>
      </w:r>
      <w:r>
        <w:rPr>
          <w:rFonts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rPr>
        <w:t xml:space="preserve">              </w:t>
      </w:r>
      <w:r>
        <w:rPr>
          <w:rFonts w:ascii="Times New Roman" w:hAnsi="Times New Roman" w:cs="Times New Roman"/>
          <w:szCs w:val="21"/>
          <w:highlight w:val="none"/>
          <w:u w:val="single"/>
        </w:rPr>
        <w:t xml:space="preserve">       </w:t>
      </w:r>
    </w:p>
    <w:p>
      <w:pPr>
        <w:spacing w:line="440" w:lineRule="exact"/>
        <w:rPr>
          <w:rFonts w:ascii="Times New Roman" w:hAnsi="Times New Roman" w:cs="Times New Roman"/>
          <w:szCs w:val="21"/>
          <w:highlight w:val="none"/>
        </w:rPr>
      </w:pPr>
    </w:p>
    <w:p>
      <w:pPr>
        <w:spacing w:line="440" w:lineRule="exact"/>
        <w:ind w:firstLine="3885" w:firstLineChars="1850"/>
        <w:rPr>
          <w:rFonts w:ascii="Times New Roman" w:hAnsi="Times New Roman" w:eastAsia="黑体" w:cs="Times New Roman"/>
          <w:szCs w:val="21"/>
          <w:highlight w:val="none"/>
        </w:rPr>
      </w:pPr>
      <w:r>
        <w:rPr>
          <w:rFonts w:ascii="Times New Roman" w:hAnsi="Times New Roman" w:cs="Times New Roman"/>
          <w:szCs w:val="21"/>
          <w:highlight w:val="none"/>
          <w:u w:val="single"/>
        </w:rPr>
        <w:t xml:space="preserve">       </w:t>
      </w:r>
      <w:r>
        <w:rPr>
          <w:rFonts w:ascii="Times New Roman" w:hAnsi="Times New Roman" w:cs="Times New Roman"/>
          <w:szCs w:val="21"/>
          <w:highlight w:val="none"/>
        </w:rPr>
        <w:t>年</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月</w:t>
      </w:r>
      <w:r>
        <w:rPr>
          <w:rFonts w:ascii="Times New Roman" w:hAnsi="Times New Roman" w:cs="Times New Roman"/>
          <w:szCs w:val="21"/>
          <w:highlight w:val="none"/>
          <w:u w:val="single"/>
        </w:rPr>
        <w:t xml:space="preserve">       </w:t>
      </w:r>
      <w:r>
        <w:rPr>
          <w:rFonts w:ascii="Times New Roman" w:hAnsi="Times New Roman" w:cs="Times New Roman"/>
          <w:szCs w:val="21"/>
          <w:highlight w:val="none"/>
        </w:rPr>
        <w:t>日</w:t>
      </w:r>
    </w:p>
    <w:p>
      <w:pPr>
        <w:spacing w:line="400" w:lineRule="exact"/>
        <w:rPr>
          <w:rFonts w:ascii="Times New Roman" w:hAnsi="Times New Roman" w:cs="Times New Roman"/>
          <w:highlight w:val="none"/>
        </w:rPr>
      </w:pPr>
      <w:r>
        <w:rPr>
          <w:rFonts w:ascii="Times New Roman" w:hAnsi="Times New Roman" w:eastAsia="黑体" w:cs="Times New Roman"/>
          <w:sz w:val="20"/>
          <w:szCs w:val="20"/>
          <w:highlight w:val="none"/>
        </w:rPr>
        <w:br w:type="page"/>
      </w:r>
    </w:p>
    <w:p>
      <w:pPr>
        <w:pStyle w:val="6"/>
        <w:jc w:val="center"/>
        <w:rPr>
          <w:rFonts w:ascii="Times New Roman" w:hAnsi="Times New Roman" w:cs="Times New Roman"/>
          <w:highlight w:val="none"/>
        </w:rPr>
      </w:pPr>
      <w:bookmarkStart w:id="104" w:name="_Toc247514286"/>
      <w:bookmarkStart w:id="105" w:name="_Toc152045794"/>
      <w:bookmarkStart w:id="106" w:name="_Toc300835216"/>
      <w:bookmarkStart w:id="107" w:name="_Toc152042583"/>
      <w:bookmarkStart w:id="108" w:name="_Toc247527834"/>
      <w:bookmarkStart w:id="109" w:name="_Toc144974862"/>
      <w:r>
        <w:rPr>
          <w:rFonts w:ascii="Times New Roman" w:hAnsi="Times New Roman" w:cs="Times New Roman"/>
          <w:highlight w:val="none"/>
        </w:rPr>
        <w:t>三、</w:t>
      </w:r>
      <w:r>
        <w:rPr>
          <w:rFonts w:hint="eastAsia" w:ascii="Times New Roman" w:hAnsi="Times New Roman" w:cs="Times New Roman"/>
          <w:highlight w:val="none"/>
        </w:rPr>
        <w:t>联合体协议书</w:t>
      </w:r>
    </w:p>
    <w:p>
      <w:pPr>
        <w:topLinePunct/>
        <w:spacing w:line="400" w:lineRule="exact"/>
        <w:ind w:firstLine="420" w:firstLineChars="200"/>
        <w:rPr>
          <w:rFonts w:ascii="Times New Roman" w:hAnsi="Times New Roman" w:eastAsia="宋体" w:cs="Times New Roman"/>
          <w:szCs w:val="21"/>
          <w:highlight w:val="none"/>
        </w:rPr>
      </w:pP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（所有成员单位名称）自愿组成</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（联合体名称）联合体，共同参加</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（项目名称）投标。现就联合体投标事宜订立如下协议。</w:t>
      </w:r>
    </w:p>
    <w:p>
      <w:pPr>
        <w:topLinePunct/>
        <w:spacing w:line="400" w:lineRule="exact"/>
        <w:ind w:firstLine="420" w:firstLineChars="200"/>
        <w:rPr>
          <w:rFonts w:ascii="Times New Roman" w:hAnsi="Times New Roman" w:eastAsia="宋体" w:cs="Times New Roman"/>
          <w:szCs w:val="21"/>
          <w:highlight w:val="none"/>
        </w:rPr>
      </w:pPr>
      <w:r>
        <w:rPr>
          <w:rFonts w:ascii="Times New Roman" w:hAnsi="Times New Roman" w:eastAsia="宋体" w:cs="Times New Roman"/>
          <w:szCs w:val="21"/>
          <w:highlight w:val="none"/>
        </w:rPr>
        <w:t>1.</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（某成员单位名称）为</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（联合体名称）牵头人。</w:t>
      </w:r>
    </w:p>
    <w:p>
      <w:pPr>
        <w:topLinePunct/>
        <w:spacing w:line="400" w:lineRule="exact"/>
        <w:ind w:firstLine="420" w:firstLineChars="200"/>
        <w:rPr>
          <w:rFonts w:ascii="Times New Roman" w:hAnsi="Times New Roman" w:eastAsia="宋体" w:cs="Times New Roman"/>
          <w:szCs w:val="21"/>
          <w:highlight w:val="none"/>
        </w:rPr>
      </w:pPr>
      <w:r>
        <w:rPr>
          <w:rFonts w:ascii="Times New Roman" w:hAnsi="Times New Roman" w:eastAsia="宋体" w:cs="Times New Roman"/>
          <w:szCs w:val="21"/>
          <w:highlight w:val="none"/>
        </w:rPr>
        <w:t>2.联合体牵头人合法代表联合体各成员参加投标，签署文件，提交和接收相关的资料、信息及指示，进行合同谈判活动，负责合同实施阶段的组织和协调工作，以及处理与本招标项目有关的一切事宜。</w:t>
      </w:r>
    </w:p>
    <w:p>
      <w:pPr>
        <w:topLinePunct/>
        <w:spacing w:line="400" w:lineRule="exact"/>
        <w:ind w:firstLine="420" w:firstLineChars="200"/>
        <w:rPr>
          <w:rFonts w:ascii="Times New Roman" w:hAnsi="Times New Roman" w:eastAsia="宋体" w:cs="Times New Roman"/>
          <w:szCs w:val="21"/>
          <w:highlight w:val="none"/>
        </w:rPr>
      </w:pPr>
      <w:r>
        <w:rPr>
          <w:rFonts w:ascii="Times New Roman" w:hAnsi="Times New Roman" w:eastAsia="宋体" w:cs="Times New Roman"/>
          <w:szCs w:val="21"/>
          <w:highlight w:val="none"/>
        </w:rPr>
        <w:t>3.联合体牵头人在本项目中签署的一切文件和处理的一切事宜，联合体各成员均予以承认。联合体各成员将严格按照招标文件、投标文件和合同的要求全面履行义务，并向招标人承担连带责任。</w:t>
      </w:r>
    </w:p>
    <w:p>
      <w:pPr>
        <w:topLinePunct/>
        <w:spacing w:line="400" w:lineRule="exact"/>
        <w:ind w:firstLine="420" w:firstLineChars="200"/>
        <w:rPr>
          <w:rFonts w:ascii="Times New Roman" w:hAnsi="Times New Roman" w:eastAsia="宋体" w:cs="Times New Roman"/>
          <w:szCs w:val="21"/>
          <w:highlight w:val="none"/>
        </w:rPr>
      </w:pPr>
      <w:r>
        <w:rPr>
          <w:rFonts w:ascii="Times New Roman" w:hAnsi="Times New Roman" w:eastAsia="宋体" w:cs="Times New Roman"/>
          <w:szCs w:val="21"/>
          <w:highlight w:val="none"/>
        </w:rPr>
        <w:t>4.联合体各成员单位内部的职责分工如下：</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w:t>
      </w:r>
    </w:p>
    <w:p>
      <w:pPr>
        <w:topLinePunct/>
        <w:spacing w:line="400" w:lineRule="exact"/>
        <w:ind w:firstLine="420" w:firstLineChars="200"/>
        <w:rPr>
          <w:rFonts w:ascii="Times New Roman" w:hAnsi="Times New Roman" w:eastAsia="宋体" w:cs="Times New Roman"/>
          <w:szCs w:val="21"/>
          <w:highlight w:val="none"/>
        </w:rPr>
      </w:pPr>
      <w:r>
        <w:rPr>
          <w:rFonts w:ascii="Times New Roman" w:hAnsi="Times New Roman" w:eastAsia="宋体" w:cs="Times New Roman"/>
          <w:szCs w:val="21"/>
          <w:highlight w:val="none"/>
        </w:rPr>
        <w:t>5.本协议书自所有成员单位法定代表人或其委托代理人签字或盖单位章之日起生效，合同履行完毕后自动失效。</w:t>
      </w:r>
    </w:p>
    <w:p>
      <w:pPr>
        <w:topLinePunct/>
        <w:spacing w:line="400" w:lineRule="exact"/>
        <w:ind w:firstLine="420" w:firstLineChars="200"/>
        <w:rPr>
          <w:rFonts w:ascii="Times New Roman" w:hAnsi="Times New Roman" w:eastAsia="宋体" w:cs="Times New Roman"/>
          <w:szCs w:val="21"/>
          <w:highlight w:val="none"/>
        </w:rPr>
      </w:pPr>
      <w:r>
        <w:rPr>
          <w:rFonts w:ascii="Times New Roman" w:hAnsi="Times New Roman" w:eastAsia="宋体" w:cs="Times New Roman"/>
          <w:szCs w:val="21"/>
          <w:highlight w:val="none"/>
        </w:rPr>
        <w:t>6.本协议书一式</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份，联合体成员和招标人各执一份。</w:t>
      </w:r>
    </w:p>
    <w:p>
      <w:pPr>
        <w:topLinePunct/>
        <w:spacing w:line="400" w:lineRule="exact"/>
        <w:ind w:firstLine="420" w:firstLineChars="200"/>
        <w:rPr>
          <w:rFonts w:ascii="Times New Roman" w:hAnsi="Times New Roman" w:eastAsia="宋体" w:cs="Times New Roman"/>
          <w:szCs w:val="21"/>
          <w:highlight w:val="none"/>
        </w:rPr>
      </w:pPr>
    </w:p>
    <w:p>
      <w:pPr>
        <w:topLinePunct/>
        <w:spacing w:line="400" w:lineRule="exact"/>
        <w:ind w:firstLine="420" w:firstLineChars="200"/>
        <w:rPr>
          <w:rFonts w:ascii="Times New Roman" w:hAnsi="Times New Roman" w:eastAsia="宋体" w:cs="Times New Roman"/>
          <w:szCs w:val="21"/>
          <w:highlight w:val="none"/>
        </w:rPr>
      </w:pPr>
      <w:r>
        <w:rPr>
          <w:rFonts w:ascii="Times New Roman" w:hAnsi="Times New Roman" w:eastAsia="宋体" w:cs="Times New Roman"/>
          <w:szCs w:val="21"/>
          <w:highlight w:val="none"/>
        </w:rPr>
        <w:t>注：本协议书由法定代表人签字的，应附法定代表人身份证明；由委托代理人签字的，应附授权委托书。</w:t>
      </w:r>
    </w:p>
    <w:p>
      <w:pPr>
        <w:topLinePunct/>
        <w:spacing w:line="400" w:lineRule="exact"/>
        <w:rPr>
          <w:rFonts w:ascii="Times New Roman" w:hAnsi="Times New Roman" w:eastAsia="宋体" w:cs="Times New Roman"/>
          <w:szCs w:val="21"/>
          <w:highlight w:val="none"/>
        </w:rPr>
      </w:pPr>
    </w:p>
    <w:p>
      <w:pPr>
        <w:topLinePunct/>
        <w:spacing w:line="400" w:lineRule="exact"/>
        <w:ind w:firstLine="420" w:firstLineChars="200"/>
        <w:rPr>
          <w:rFonts w:ascii="Times New Roman" w:hAnsi="Times New Roman" w:eastAsia="宋体" w:cs="Times New Roman"/>
          <w:szCs w:val="21"/>
          <w:highlight w:val="none"/>
        </w:rPr>
      </w:pPr>
      <w:r>
        <w:rPr>
          <w:rFonts w:ascii="Times New Roman" w:hAnsi="Times New Roman" w:eastAsia="宋体" w:cs="Times New Roman"/>
          <w:szCs w:val="21"/>
          <w:highlight w:val="none"/>
        </w:rPr>
        <w:t>联合体牵头人名称：</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（盖单位章）</w:t>
      </w:r>
    </w:p>
    <w:p>
      <w:pPr>
        <w:topLinePunct/>
        <w:spacing w:line="400" w:lineRule="exact"/>
        <w:ind w:firstLine="420" w:firstLineChars="200"/>
        <w:rPr>
          <w:rFonts w:ascii="Times New Roman" w:hAnsi="Times New Roman" w:eastAsia="宋体" w:cs="Times New Roman"/>
          <w:szCs w:val="21"/>
          <w:highlight w:val="none"/>
        </w:rPr>
      </w:pPr>
      <w:r>
        <w:rPr>
          <w:rFonts w:ascii="Times New Roman" w:hAnsi="Times New Roman" w:eastAsia="宋体" w:cs="Times New Roman"/>
          <w:szCs w:val="21"/>
          <w:highlight w:val="none"/>
        </w:rPr>
        <w:t>法定代表人或其委托代理人：</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 xml:space="preserve">  </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（签字）</w:t>
      </w:r>
    </w:p>
    <w:p>
      <w:pPr>
        <w:topLinePunct/>
        <w:spacing w:line="400" w:lineRule="exact"/>
        <w:rPr>
          <w:rFonts w:ascii="Times New Roman" w:hAnsi="Times New Roman" w:eastAsia="宋体" w:cs="Times New Roman"/>
          <w:szCs w:val="21"/>
          <w:highlight w:val="none"/>
        </w:rPr>
      </w:pPr>
    </w:p>
    <w:p>
      <w:pPr>
        <w:topLinePunct/>
        <w:spacing w:line="400" w:lineRule="exact"/>
        <w:ind w:firstLine="420" w:firstLineChars="200"/>
        <w:rPr>
          <w:rFonts w:ascii="Times New Roman" w:hAnsi="Times New Roman" w:eastAsia="宋体" w:cs="Times New Roman"/>
          <w:szCs w:val="21"/>
          <w:highlight w:val="none"/>
        </w:rPr>
      </w:pPr>
      <w:r>
        <w:rPr>
          <w:rFonts w:ascii="Times New Roman" w:hAnsi="Times New Roman" w:eastAsia="宋体" w:cs="Times New Roman"/>
          <w:szCs w:val="21"/>
          <w:highlight w:val="none"/>
        </w:rPr>
        <w:t>联合体成员名称：</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 xml:space="preserve">  </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（盖单位章）</w:t>
      </w:r>
    </w:p>
    <w:p>
      <w:pPr>
        <w:topLinePunct/>
        <w:spacing w:line="400" w:lineRule="exact"/>
        <w:ind w:firstLine="420" w:firstLineChars="200"/>
        <w:rPr>
          <w:rFonts w:ascii="Times New Roman" w:hAnsi="Times New Roman" w:eastAsia="宋体" w:cs="Times New Roman"/>
          <w:szCs w:val="21"/>
          <w:highlight w:val="none"/>
        </w:rPr>
      </w:pPr>
      <w:r>
        <w:rPr>
          <w:rFonts w:ascii="Times New Roman" w:hAnsi="Times New Roman" w:eastAsia="宋体" w:cs="Times New Roman"/>
          <w:szCs w:val="21"/>
          <w:highlight w:val="none"/>
        </w:rPr>
        <w:t>法定代表人或其委托代理人：</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 xml:space="preserve">  </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（签字）</w:t>
      </w:r>
    </w:p>
    <w:p>
      <w:pPr>
        <w:topLinePunct/>
        <w:spacing w:line="400" w:lineRule="exact"/>
        <w:rPr>
          <w:rFonts w:ascii="Times New Roman" w:hAnsi="Times New Roman" w:eastAsia="宋体" w:cs="Times New Roman"/>
          <w:szCs w:val="21"/>
          <w:highlight w:val="none"/>
        </w:rPr>
      </w:pPr>
    </w:p>
    <w:p>
      <w:pPr>
        <w:topLinePunct/>
        <w:spacing w:line="400" w:lineRule="exact"/>
        <w:rPr>
          <w:rFonts w:ascii="Times New Roman" w:hAnsi="Times New Roman" w:eastAsia="宋体" w:cs="Times New Roman"/>
          <w:szCs w:val="21"/>
          <w:highlight w:val="none"/>
        </w:rPr>
      </w:pPr>
    </w:p>
    <w:p>
      <w:pPr>
        <w:spacing w:line="400" w:lineRule="exact"/>
        <w:ind w:firstLine="5187" w:firstLineChars="2470"/>
        <w:rPr>
          <w:rFonts w:ascii="Times New Roman" w:hAnsi="Times New Roman" w:eastAsia="宋体" w:cs="Times New Roman"/>
          <w:szCs w:val="21"/>
          <w:highlight w:val="none"/>
        </w:rPr>
      </w:pP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年</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月</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日</w:t>
      </w:r>
    </w:p>
    <w:p>
      <w:pPr>
        <w:wordWrap w:val="0"/>
        <w:snapToGrid w:val="0"/>
        <w:spacing w:line="400" w:lineRule="exact"/>
        <w:ind w:firstLine="403" w:firstLineChars="192"/>
        <w:rPr>
          <w:rFonts w:ascii="Times New Roman" w:hAnsi="Times New Roman" w:eastAsia="宋体" w:cs="Times New Roman"/>
          <w:bCs/>
          <w:color w:val="000000"/>
          <w:kern w:val="0"/>
          <w:szCs w:val="21"/>
          <w:highlight w:val="none"/>
        </w:rPr>
      </w:pPr>
    </w:p>
    <w:p>
      <w:pPr>
        <w:wordWrap w:val="0"/>
        <w:snapToGrid w:val="0"/>
        <w:spacing w:line="440" w:lineRule="exact"/>
        <w:ind w:firstLine="460" w:firstLineChars="192"/>
        <w:rPr>
          <w:rFonts w:ascii="Times New Roman" w:hAnsi="Times New Roman" w:cs="Times New Roman"/>
          <w:bCs/>
          <w:color w:val="000000"/>
          <w:kern w:val="0"/>
          <w:sz w:val="24"/>
          <w:highlight w:val="none"/>
        </w:rPr>
      </w:pPr>
    </w:p>
    <w:p>
      <w:pPr>
        <w:rPr>
          <w:rFonts w:ascii="Times New Roman" w:hAnsi="Times New Roman" w:cs="Times New Roman"/>
          <w:highlight w:val="none"/>
        </w:rPr>
      </w:pPr>
      <w:r>
        <w:rPr>
          <w:rFonts w:hint="eastAsia" w:ascii="Times New Roman" w:hAnsi="Times New Roman" w:cs="Times New Roman"/>
          <w:highlight w:val="none"/>
        </w:rPr>
        <w:br w:type="page"/>
      </w:r>
    </w:p>
    <w:p>
      <w:pPr>
        <w:pStyle w:val="6"/>
        <w:jc w:val="center"/>
        <w:rPr>
          <w:rFonts w:ascii="Times New Roman" w:hAnsi="Times New Roman" w:cs="Times New Roman"/>
          <w:highlight w:val="none"/>
        </w:rPr>
      </w:pPr>
      <w:r>
        <w:rPr>
          <w:rFonts w:hint="eastAsia" w:ascii="Times New Roman" w:hAnsi="Times New Roman" w:cs="Times New Roman"/>
          <w:highlight w:val="none"/>
        </w:rPr>
        <w:t>四</w:t>
      </w:r>
      <w:r>
        <w:rPr>
          <w:rFonts w:ascii="Times New Roman" w:hAnsi="Times New Roman" w:cs="Times New Roman"/>
          <w:highlight w:val="none"/>
        </w:rPr>
        <w:t>、投标保证金</w:t>
      </w:r>
      <w:bookmarkEnd w:id="104"/>
      <w:bookmarkEnd w:id="105"/>
      <w:bookmarkEnd w:id="106"/>
      <w:bookmarkEnd w:id="107"/>
      <w:bookmarkEnd w:id="108"/>
      <w:bookmarkEnd w:id="109"/>
    </w:p>
    <w:p>
      <w:pPr>
        <w:wordWrap w:val="0"/>
        <w:snapToGrid w:val="0"/>
        <w:spacing w:line="440" w:lineRule="exact"/>
        <w:ind w:firstLine="460" w:firstLineChars="192"/>
        <w:rPr>
          <w:rFonts w:ascii="Times New Roman" w:hAnsi="Times New Roman" w:cs="Times New Roman"/>
          <w:bCs/>
          <w:color w:val="000000"/>
          <w:kern w:val="0"/>
          <w:sz w:val="24"/>
          <w:highlight w:val="none"/>
        </w:rPr>
      </w:pPr>
      <w:bookmarkStart w:id="110" w:name="_Toc296602998"/>
      <w:r>
        <w:rPr>
          <w:rFonts w:ascii="Times New Roman" w:hAnsi="Times New Roman" w:cs="Times New Roman"/>
          <w:bCs/>
          <w:color w:val="000000"/>
          <w:kern w:val="0"/>
          <w:sz w:val="24"/>
          <w:highlight w:val="none"/>
        </w:rPr>
        <w:t>1.</w:t>
      </w:r>
      <w:r>
        <w:rPr>
          <w:rFonts w:hint="eastAsia" w:ascii="Times New Roman" w:hAnsi="Times New Roman" w:cs="Times New Roman"/>
          <w:bCs/>
          <w:color w:val="000000"/>
          <w:kern w:val="0"/>
          <w:sz w:val="24"/>
          <w:highlight w:val="none"/>
        </w:rPr>
        <w:t>中国</w:t>
      </w:r>
      <w:r>
        <w:rPr>
          <w:rFonts w:ascii="Times New Roman" w:hAnsi="Times New Roman" w:cs="Times New Roman"/>
          <w:bCs/>
          <w:color w:val="000000"/>
          <w:kern w:val="0"/>
          <w:sz w:val="24"/>
          <w:highlight w:val="none"/>
        </w:rPr>
        <w:t>人民银行核发的《基本存款账户开户许可证》或基本存款账户开户银行出具的《基本存款账户信息》（加盖银行印章</w:t>
      </w:r>
      <w:r>
        <w:rPr>
          <w:rFonts w:hint="eastAsia" w:ascii="Times New Roman" w:hAnsi="Times New Roman" w:cs="Times New Roman"/>
          <w:bCs/>
          <w:color w:val="000000"/>
          <w:kern w:val="0"/>
          <w:sz w:val="24"/>
          <w:highlight w:val="none"/>
        </w:rPr>
        <w:t>或投标人公章</w:t>
      </w:r>
      <w:r>
        <w:rPr>
          <w:rFonts w:ascii="Times New Roman" w:hAnsi="Times New Roman" w:cs="Times New Roman"/>
          <w:bCs/>
          <w:color w:val="000000"/>
          <w:kern w:val="0"/>
          <w:sz w:val="24"/>
          <w:highlight w:val="none"/>
        </w:rPr>
        <w:t>）：</w:t>
      </w:r>
    </w:p>
    <w:p>
      <w:pPr>
        <w:wordWrap w:val="0"/>
        <w:snapToGrid w:val="0"/>
        <w:spacing w:line="440" w:lineRule="exact"/>
        <w:ind w:firstLine="460" w:firstLineChars="192"/>
        <w:rPr>
          <w:rFonts w:ascii="Times New Roman" w:hAnsi="Times New Roman" w:cs="Times New Roman"/>
          <w:bCs/>
          <w:color w:val="000000"/>
          <w:kern w:val="0"/>
          <w:sz w:val="24"/>
          <w:highlight w:val="none"/>
        </w:rPr>
      </w:pPr>
    </w:p>
    <w:p>
      <w:pPr>
        <w:wordWrap w:val="0"/>
        <w:snapToGrid w:val="0"/>
        <w:spacing w:line="440" w:lineRule="exact"/>
        <w:ind w:firstLine="460" w:firstLineChars="192"/>
        <w:rPr>
          <w:rFonts w:ascii="Times New Roman" w:hAnsi="Times New Roman" w:cs="Times New Roman"/>
          <w:bCs/>
          <w:color w:val="000000"/>
          <w:kern w:val="0"/>
          <w:sz w:val="24"/>
          <w:highlight w:val="none"/>
        </w:rPr>
      </w:pPr>
    </w:p>
    <w:p>
      <w:pPr>
        <w:wordWrap w:val="0"/>
        <w:snapToGrid w:val="0"/>
        <w:spacing w:line="440" w:lineRule="exact"/>
        <w:ind w:firstLine="460" w:firstLineChars="192"/>
        <w:rPr>
          <w:rFonts w:ascii="Times New Roman" w:hAnsi="Times New Roman" w:cs="Times New Roman"/>
          <w:bCs/>
          <w:color w:val="000000"/>
          <w:kern w:val="0"/>
          <w:sz w:val="24"/>
          <w:highlight w:val="none"/>
        </w:rPr>
      </w:pPr>
    </w:p>
    <w:p>
      <w:pPr>
        <w:wordWrap w:val="0"/>
        <w:snapToGrid w:val="0"/>
        <w:spacing w:line="440" w:lineRule="exact"/>
        <w:ind w:firstLine="460" w:firstLineChars="192"/>
        <w:rPr>
          <w:rFonts w:ascii="Times New Roman" w:hAnsi="Times New Roman" w:cs="Times New Roman"/>
          <w:bCs/>
          <w:color w:val="000000"/>
          <w:kern w:val="0"/>
          <w:sz w:val="24"/>
          <w:highlight w:val="none"/>
        </w:rPr>
      </w:pPr>
    </w:p>
    <w:p>
      <w:pPr>
        <w:wordWrap w:val="0"/>
        <w:snapToGrid w:val="0"/>
        <w:spacing w:line="440" w:lineRule="exact"/>
        <w:ind w:firstLine="460" w:firstLineChars="192"/>
        <w:rPr>
          <w:rFonts w:ascii="Times New Roman" w:hAnsi="Times New Roman" w:cs="Times New Roman"/>
          <w:bCs/>
          <w:color w:val="000000"/>
          <w:kern w:val="0"/>
          <w:sz w:val="24"/>
          <w:highlight w:val="none"/>
        </w:rPr>
      </w:pPr>
      <w:r>
        <w:rPr>
          <w:rFonts w:ascii="Times New Roman" w:hAnsi="Times New Roman" w:cs="Times New Roman"/>
          <w:bCs/>
          <w:color w:val="000000"/>
          <w:kern w:val="0"/>
          <w:sz w:val="24"/>
          <w:highlight w:val="none"/>
        </w:rPr>
        <w:t>2.保证金转账或电汇凭证：</w:t>
      </w:r>
    </w:p>
    <w:p>
      <w:pPr>
        <w:wordWrap w:val="0"/>
        <w:snapToGrid w:val="0"/>
        <w:spacing w:line="440" w:lineRule="exact"/>
        <w:ind w:firstLine="460" w:firstLineChars="192"/>
        <w:rPr>
          <w:rFonts w:ascii="Times New Roman" w:hAnsi="Times New Roman" w:cs="Times New Roman"/>
          <w:bCs/>
          <w:color w:val="000000"/>
          <w:kern w:val="0"/>
          <w:sz w:val="24"/>
          <w:highlight w:val="none"/>
        </w:rPr>
      </w:pPr>
    </w:p>
    <w:p>
      <w:pPr>
        <w:wordWrap w:val="0"/>
        <w:snapToGrid w:val="0"/>
        <w:spacing w:line="440" w:lineRule="exact"/>
        <w:ind w:firstLine="460" w:firstLineChars="192"/>
        <w:rPr>
          <w:rFonts w:ascii="Times New Roman" w:hAnsi="Times New Roman" w:cs="Times New Roman"/>
          <w:bCs/>
          <w:color w:val="000000"/>
          <w:kern w:val="0"/>
          <w:sz w:val="24"/>
          <w:highlight w:val="none"/>
        </w:rPr>
      </w:pPr>
    </w:p>
    <w:p>
      <w:pPr>
        <w:wordWrap w:val="0"/>
        <w:snapToGrid w:val="0"/>
        <w:spacing w:line="440" w:lineRule="exact"/>
        <w:ind w:firstLine="460" w:firstLineChars="192"/>
        <w:rPr>
          <w:rFonts w:ascii="Times New Roman" w:hAnsi="Times New Roman" w:cs="Times New Roman"/>
          <w:bCs/>
          <w:color w:val="000000"/>
          <w:kern w:val="0"/>
          <w:sz w:val="24"/>
          <w:highlight w:val="none"/>
        </w:rPr>
      </w:pPr>
    </w:p>
    <w:p>
      <w:pPr>
        <w:wordWrap w:val="0"/>
        <w:snapToGrid w:val="0"/>
        <w:spacing w:line="440" w:lineRule="exact"/>
        <w:ind w:firstLine="460" w:firstLineChars="192"/>
        <w:rPr>
          <w:rFonts w:ascii="Times New Roman" w:hAnsi="Times New Roman" w:cs="Times New Roman"/>
          <w:bCs/>
          <w:color w:val="000000"/>
          <w:kern w:val="0"/>
          <w:sz w:val="24"/>
          <w:highlight w:val="none"/>
        </w:rPr>
      </w:pPr>
    </w:p>
    <w:p>
      <w:pPr>
        <w:spacing w:line="440" w:lineRule="exact"/>
        <w:ind w:firstLine="482" w:firstLineChars="200"/>
        <w:rPr>
          <w:rFonts w:ascii="Times New Roman" w:hAnsi="Times New Roman"/>
          <w:szCs w:val="21"/>
          <w:highlight w:val="none"/>
        </w:rPr>
      </w:pPr>
      <w:r>
        <w:rPr>
          <w:rFonts w:ascii="Times New Roman" w:hAnsi="Times New Roman" w:cs="Times New Roman"/>
          <w:b/>
          <w:color w:val="000000"/>
          <w:kern w:val="0"/>
          <w:sz w:val="24"/>
          <w:highlight w:val="none"/>
        </w:rPr>
        <w:t>备注：</w:t>
      </w:r>
      <w:r>
        <w:rPr>
          <w:rFonts w:ascii="Times New Roman" w:hAnsi="Times New Roman" w:cs="Times New Roman"/>
          <w:color w:val="000000"/>
          <w:kern w:val="0"/>
          <w:sz w:val="24"/>
          <w:highlight w:val="none"/>
        </w:rPr>
        <w:t>缴纳保证金的开户行、账号等信息须与基本存款账户信息一致</w:t>
      </w:r>
      <w:r>
        <w:rPr>
          <w:rFonts w:hint="eastAsia" w:ascii="Times New Roman" w:hAnsi="Times New Roman" w:cs="Times New Roman"/>
          <w:color w:val="000000"/>
          <w:kern w:val="0"/>
          <w:sz w:val="24"/>
          <w:highlight w:val="none"/>
        </w:rPr>
        <w:t>。</w:t>
      </w:r>
    </w:p>
    <w:p>
      <w:pPr>
        <w:spacing w:line="440" w:lineRule="exact"/>
        <w:rPr>
          <w:rFonts w:ascii="Times New Roman" w:hAnsi="Times New Roman" w:cs="Times New Roman"/>
          <w:b/>
          <w:bCs/>
          <w:highlight w:val="none"/>
        </w:rPr>
      </w:pPr>
    </w:p>
    <w:bookmarkEnd w:id="110"/>
    <w:p>
      <w:pPr>
        <w:rPr>
          <w:rFonts w:ascii="Times New Roman" w:hAnsi="Times New Roman" w:cs="Times New Roman"/>
          <w:highlight w:val="none"/>
        </w:rPr>
      </w:pPr>
      <w:bookmarkStart w:id="111" w:name="_Toc247527835"/>
      <w:bookmarkStart w:id="112" w:name="_Toc152045795"/>
      <w:bookmarkStart w:id="113" w:name="_Toc300835218"/>
      <w:bookmarkStart w:id="114" w:name="_Toc144974863"/>
      <w:bookmarkStart w:id="115" w:name="_Toc247514287"/>
      <w:bookmarkStart w:id="116" w:name="_Toc152042584"/>
      <w:r>
        <w:rPr>
          <w:rFonts w:ascii="Times New Roman" w:hAnsi="Times New Roman" w:cs="Times New Roman"/>
          <w:highlight w:val="none"/>
        </w:rPr>
        <w:br w:type="page"/>
      </w:r>
    </w:p>
    <w:p>
      <w:pPr>
        <w:pStyle w:val="6"/>
        <w:jc w:val="center"/>
        <w:rPr>
          <w:rFonts w:ascii="Times New Roman" w:hAnsi="Times New Roman" w:cs="Times New Roman"/>
          <w:highlight w:val="none"/>
        </w:rPr>
      </w:pPr>
      <w:r>
        <w:rPr>
          <w:rFonts w:hint="eastAsia" w:ascii="Times New Roman" w:hAnsi="Times New Roman" w:cs="Times New Roman"/>
          <w:highlight w:val="none"/>
        </w:rPr>
        <w:t>五</w:t>
      </w:r>
      <w:r>
        <w:rPr>
          <w:rFonts w:ascii="Times New Roman" w:hAnsi="Times New Roman" w:cs="Times New Roman"/>
          <w:highlight w:val="none"/>
        </w:rPr>
        <w:t>、</w:t>
      </w:r>
      <w:bookmarkEnd w:id="111"/>
      <w:bookmarkEnd w:id="112"/>
      <w:bookmarkEnd w:id="113"/>
      <w:bookmarkEnd w:id="114"/>
      <w:bookmarkEnd w:id="115"/>
      <w:bookmarkEnd w:id="116"/>
      <w:r>
        <w:rPr>
          <w:rFonts w:hint="eastAsia" w:ascii="Times New Roman" w:hAnsi="Times New Roman" w:cs="Times New Roman"/>
          <w:highlight w:val="none"/>
        </w:rPr>
        <w:t>服务费用清单</w:t>
      </w:r>
    </w:p>
    <w:p>
      <w:pPr>
        <w:ind w:firstLine="420" w:firstLineChars="200"/>
        <w:rPr>
          <w:rFonts w:ascii="Times New Roman" w:hAnsi="Times New Roman" w:cs="Times New Roman"/>
          <w:highlight w:val="none"/>
        </w:rPr>
      </w:pPr>
      <w:r>
        <w:rPr>
          <w:rFonts w:hint="eastAsia" w:ascii="Times New Roman" w:hAnsi="Times New Roman" w:cs="Times New Roman"/>
          <w:highlight w:val="none"/>
        </w:rPr>
        <w:t>1.服务费用清单说明</w:t>
      </w:r>
    </w:p>
    <w:p>
      <w:pPr>
        <w:rPr>
          <w:rFonts w:ascii="Times New Roman" w:hAnsi="Times New Roman" w:cs="Times New Roman"/>
          <w:highlight w:val="none"/>
        </w:rPr>
      </w:pPr>
    </w:p>
    <w:p>
      <w:pPr>
        <w:ind w:firstLine="420" w:firstLineChars="200"/>
        <w:rPr>
          <w:rFonts w:ascii="Times New Roman" w:hAnsi="Times New Roman" w:cs="Times New Roman"/>
          <w:highlight w:val="none"/>
        </w:rPr>
      </w:pPr>
      <w:r>
        <w:rPr>
          <w:rFonts w:hint="eastAsia" w:ascii="Times New Roman" w:hAnsi="Times New Roman" w:cs="Times New Roman"/>
          <w:highlight w:val="none"/>
        </w:rPr>
        <w:t>2.服务费用清单</w:t>
      </w:r>
    </w:p>
    <w:p>
      <w:pPr>
        <w:rPr>
          <w:rFonts w:ascii="Times New Roman" w:hAnsi="Times New Roman" w:cs="Times New Roman"/>
          <w:highlight w:val="none"/>
        </w:rPr>
      </w:pPr>
    </w:p>
    <w:p>
      <w:pPr>
        <w:jc w:val="right"/>
        <w:rPr>
          <w:rFonts w:ascii="Times New Roman" w:hAnsi="Times New Roman" w:cs="Times New Roman"/>
          <w:highlight w:val="none"/>
        </w:rPr>
      </w:pPr>
      <w:r>
        <w:rPr>
          <w:rFonts w:hint="eastAsia" w:ascii="Times New Roman" w:hAnsi="Times New Roman" w:cs="Times New Roman"/>
          <w:highlight w:val="none"/>
        </w:rPr>
        <w:t>单位：人民币元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b/>
                <w:bCs/>
                <w:highlight w:val="none"/>
              </w:rPr>
            </w:pPr>
            <w:bookmarkStart w:id="117" w:name="_Toc152042585"/>
            <w:bookmarkStart w:id="118" w:name="_Toc300835221"/>
            <w:bookmarkStart w:id="119" w:name="_Toc152045796"/>
            <w:bookmarkStart w:id="120" w:name="_Toc144974864"/>
            <w:bookmarkStart w:id="121" w:name="_Toc247527836"/>
            <w:bookmarkStart w:id="122" w:name="_Toc247514288"/>
            <w:r>
              <w:rPr>
                <w:rFonts w:hint="eastAsia" w:ascii="Times New Roman" w:hAnsi="Times New Roman" w:cs="Times New Roman"/>
                <w:b/>
                <w:bCs/>
                <w:highlight w:val="none"/>
              </w:rPr>
              <w:t>序号</w:t>
            </w:r>
          </w:p>
        </w:tc>
        <w:tc>
          <w:tcPr>
            <w:tcW w:w="2268" w:type="dxa"/>
            <w:vAlign w:val="center"/>
          </w:tcPr>
          <w:p>
            <w:pPr>
              <w:jc w:val="center"/>
              <w:rPr>
                <w:rFonts w:ascii="Times New Roman" w:hAnsi="Times New Roman" w:cs="Times New Roman"/>
                <w:b/>
                <w:bCs/>
                <w:highlight w:val="none"/>
              </w:rPr>
            </w:pPr>
            <w:r>
              <w:rPr>
                <w:rFonts w:hint="eastAsia" w:ascii="Times New Roman" w:hAnsi="Times New Roman" w:cs="Times New Roman"/>
                <w:b/>
                <w:bCs/>
                <w:highlight w:val="none"/>
              </w:rPr>
              <w:t>服务费用分项名称</w:t>
            </w:r>
          </w:p>
        </w:tc>
        <w:tc>
          <w:tcPr>
            <w:tcW w:w="2268" w:type="dxa"/>
            <w:vAlign w:val="center"/>
          </w:tcPr>
          <w:p>
            <w:pPr>
              <w:jc w:val="center"/>
              <w:rPr>
                <w:rFonts w:ascii="Times New Roman" w:hAnsi="Times New Roman" w:cs="Times New Roman"/>
                <w:b/>
                <w:bCs/>
                <w:highlight w:val="none"/>
              </w:rPr>
            </w:pPr>
            <w:r>
              <w:rPr>
                <w:rFonts w:hint="eastAsia" w:ascii="Times New Roman" w:hAnsi="Times New Roman" w:cs="Times New Roman"/>
                <w:b/>
                <w:bCs/>
                <w:highlight w:val="none"/>
              </w:rPr>
              <w:t>计算依据、过程和公式</w:t>
            </w:r>
          </w:p>
        </w:tc>
        <w:tc>
          <w:tcPr>
            <w:tcW w:w="1134" w:type="dxa"/>
            <w:vAlign w:val="center"/>
          </w:tcPr>
          <w:p>
            <w:pPr>
              <w:jc w:val="center"/>
              <w:rPr>
                <w:rFonts w:ascii="Times New Roman" w:hAnsi="Times New Roman" w:cs="Times New Roman"/>
                <w:b/>
                <w:bCs/>
                <w:highlight w:val="none"/>
              </w:rPr>
            </w:pPr>
            <w:r>
              <w:rPr>
                <w:rFonts w:hint="eastAsia" w:ascii="Times New Roman" w:hAnsi="Times New Roman" w:cs="Times New Roman"/>
                <w:b/>
                <w:bCs/>
                <w:highlight w:val="none"/>
              </w:rPr>
              <w:t>金额（元）</w:t>
            </w:r>
          </w:p>
        </w:tc>
        <w:tc>
          <w:tcPr>
            <w:tcW w:w="2001" w:type="dxa"/>
            <w:vAlign w:val="center"/>
          </w:tcPr>
          <w:p>
            <w:pPr>
              <w:jc w:val="center"/>
              <w:rPr>
                <w:rFonts w:ascii="Times New Roman" w:hAnsi="Times New Roman" w:cs="Times New Roman"/>
                <w:b/>
                <w:bCs/>
                <w:highlight w:val="none"/>
              </w:rPr>
            </w:pPr>
            <w:r>
              <w:rPr>
                <w:rFonts w:hint="eastAsia" w:ascii="Times New Roman" w:hAnsi="Times New Roman" w:cs="Times New Roman"/>
                <w:b/>
                <w:bCs/>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highlight w:val="none"/>
              </w:rPr>
            </w:pPr>
            <w:r>
              <w:rPr>
                <w:rFonts w:hint="eastAsia" w:ascii="Times New Roman" w:hAnsi="Times New Roman" w:cs="Times New Roman"/>
                <w:highlight w:val="none"/>
              </w:rPr>
              <w:t>1</w:t>
            </w:r>
          </w:p>
        </w:tc>
        <w:tc>
          <w:tcPr>
            <w:tcW w:w="2268" w:type="dxa"/>
            <w:vAlign w:val="center"/>
          </w:tcPr>
          <w:p>
            <w:pPr>
              <w:jc w:val="center"/>
              <w:rPr>
                <w:rFonts w:ascii="Times New Roman" w:hAnsi="Times New Roman" w:cs="Times New Roman"/>
                <w:highlight w:val="none"/>
              </w:rPr>
            </w:pPr>
          </w:p>
        </w:tc>
        <w:tc>
          <w:tcPr>
            <w:tcW w:w="2268" w:type="dxa"/>
            <w:vAlign w:val="center"/>
          </w:tcPr>
          <w:p>
            <w:pPr>
              <w:jc w:val="center"/>
              <w:rPr>
                <w:rFonts w:ascii="Times New Roman" w:hAnsi="Times New Roman" w:cs="Times New Roman"/>
                <w:highlight w:val="none"/>
              </w:rPr>
            </w:pPr>
          </w:p>
        </w:tc>
        <w:tc>
          <w:tcPr>
            <w:tcW w:w="1134" w:type="dxa"/>
            <w:vAlign w:val="center"/>
          </w:tcPr>
          <w:p>
            <w:pPr>
              <w:jc w:val="center"/>
              <w:rPr>
                <w:rFonts w:ascii="Times New Roman" w:hAnsi="Times New Roman" w:cs="Times New Roman"/>
                <w:highlight w:val="none"/>
              </w:rPr>
            </w:pPr>
          </w:p>
        </w:tc>
        <w:tc>
          <w:tcPr>
            <w:tcW w:w="2001"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highlight w:val="none"/>
              </w:rPr>
            </w:pPr>
            <w:r>
              <w:rPr>
                <w:rFonts w:hint="eastAsia" w:ascii="Times New Roman" w:hAnsi="Times New Roman" w:cs="Times New Roman"/>
                <w:highlight w:val="none"/>
              </w:rPr>
              <w:t>2</w:t>
            </w:r>
          </w:p>
        </w:tc>
        <w:tc>
          <w:tcPr>
            <w:tcW w:w="2268" w:type="dxa"/>
            <w:vAlign w:val="center"/>
          </w:tcPr>
          <w:p>
            <w:pPr>
              <w:jc w:val="center"/>
              <w:rPr>
                <w:rFonts w:ascii="Times New Roman" w:hAnsi="Times New Roman" w:cs="Times New Roman"/>
                <w:highlight w:val="none"/>
              </w:rPr>
            </w:pPr>
          </w:p>
        </w:tc>
        <w:tc>
          <w:tcPr>
            <w:tcW w:w="2268" w:type="dxa"/>
            <w:vAlign w:val="center"/>
          </w:tcPr>
          <w:p>
            <w:pPr>
              <w:jc w:val="center"/>
              <w:rPr>
                <w:rFonts w:ascii="Times New Roman" w:hAnsi="Times New Roman" w:cs="Times New Roman"/>
                <w:highlight w:val="none"/>
              </w:rPr>
            </w:pPr>
          </w:p>
        </w:tc>
        <w:tc>
          <w:tcPr>
            <w:tcW w:w="1134" w:type="dxa"/>
            <w:vAlign w:val="center"/>
          </w:tcPr>
          <w:p>
            <w:pPr>
              <w:jc w:val="center"/>
              <w:rPr>
                <w:rFonts w:ascii="Times New Roman" w:hAnsi="Times New Roman" w:cs="Times New Roman"/>
                <w:highlight w:val="none"/>
              </w:rPr>
            </w:pPr>
          </w:p>
        </w:tc>
        <w:tc>
          <w:tcPr>
            <w:tcW w:w="2001"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highlight w:val="none"/>
              </w:rPr>
            </w:pPr>
            <w:r>
              <w:rPr>
                <w:rFonts w:hint="eastAsia" w:ascii="Times New Roman" w:hAnsi="Times New Roman" w:cs="Times New Roman"/>
                <w:highlight w:val="none"/>
              </w:rPr>
              <w:t>3</w:t>
            </w:r>
          </w:p>
        </w:tc>
        <w:tc>
          <w:tcPr>
            <w:tcW w:w="2268" w:type="dxa"/>
            <w:vAlign w:val="center"/>
          </w:tcPr>
          <w:p>
            <w:pPr>
              <w:jc w:val="center"/>
              <w:rPr>
                <w:rFonts w:ascii="Times New Roman" w:hAnsi="Times New Roman" w:cs="Times New Roman"/>
                <w:highlight w:val="none"/>
              </w:rPr>
            </w:pPr>
          </w:p>
        </w:tc>
        <w:tc>
          <w:tcPr>
            <w:tcW w:w="2268" w:type="dxa"/>
            <w:vAlign w:val="center"/>
          </w:tcPr>
          <w:p>
            <w:pPr>
              <w:jc w:val="center"/>
              <w:rPr>
                <w:rFonts w:ascii="Times New Roman" w:hAnsi="Times New Roman" w:cs="Times New Roman"/>
                <w:highlight w:val="none"/>
              </w:rPr>
            </w:pPr>
          </w:p>
        </w:tc>
        <w:tc>
          <w:tcPr>
            <w:tcW w:w="1134" w:type="dxa"/>
            <w:vAlign w:val="center"/>
          </w:tcPr>
          <w:p>
            <w:pPr>
              <w:jc w:val="center"/>
              <w:rPr>
                <w:rFonts w:ascii="Times New Roman" w:hAnsi="Times New Roman" w:cs="Times New Roman"/>
                <w:highlight w:val="none"/>
              </w:rPr>
            </w:pPr>
          </w:p>
        </w:tc>
        <w:tc>
          <w:tcPr>
            <w:tcW w:w="2001"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highlight w:val="none"/>
              </w:rPr>
            </w:pPr>
            <w:r>
              <w:rPr>
                <w:rFonts w:hint="eastAsia" w:ascii="Times New Roman" w:hAnsi="Times New Roman" w:cs="Times New Roman"/>
                <w:highlight w:val="none"/>
              </w:rPr>
              <w:t>4</w:t>
            </w:r>
          </w:p>
        </w:tc>
        <w:tc>
          <w:tcPr>
            <w:tcW w:w="2268" w:type="dxa"/>
            <w:vAlign w:val="center"/>
          </w:tcPr>
          <w:p>
            <w:pPr>
              <w:jc w:val="center"/>
              <w:rPr>
                <w:rFonts w:ascii="Times New Roman" w:hAnsi="Times New Roman" w:cs="Times New Roman"/>
                <w:highlight w:val="none"/>
              </w:rPr>
            </w:pPr>
          </w:p>
        </w:tc>
        <w:tc>
          <w:tcPr>
            <w:tcW w:w="2268" w:type="dxa"/>
            <w:vAlign w:val="center"/>
          </w:tcPr>
          <w:p>
            <w:pPr>
              <w:jc w:val="center"/>
              <w:rPr>
                <w:rFonts w:ascii="Times New Roman" w:hAnsi="Times New Roman" w:cs="Times New Roman"/>
                <w:highlight w:val="none"/>
              </w:rPr>
            </w:pPr>
          </w:p>
        </w:tc>
        <w:tc>
          <w:tcPr>
            <w:tcW w:w="1134" w:type="dxa"/>
            <w:vAlign w:val="center"/>
          </w:tcPr>
          <w:p>
            <w:pPr>
              <w:jc w:val="center"/>
              <w:rPr>
                <w:rFonts w:ascii="Times New Roman" w:hAnsi="Times New Roman" w:cs="Times New Roman"/>
                <w:highlight w:val="none"/>
              </w:rPr>
            </w:pPr>
          </w:p>
        </w:tc>
        <w:tc>
          <w:tcPr>
            <w:tcW w:w="2001"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0" w:type="dxa"/>
            <w:vAlign w:val="center"/>
          </w:tcPr>
          <w:p>
            <w:pPr>
              <w:jc w:val="center"/>
              <w:rPr>
                <w:rFonts w:ascii="Times New Roman" w:hAnsi="Times New Roman" w:cs="Times New Roman"/>
                <w:highlight w:val="none"/>
              </w:rPr>
            </w:pPr>
            <w:r>
              <w:rPr>
                <w:rFonts w:hint="eastAsia" w:ascii="Times New Roman" w:hAnsi="Times New Roman" w:cs="Times New Roman"/>
                <w:highlight w:val="none"/>
              </w:rPr>
              <w:t>5</w:t>
            </w:r>
          </w:p>
        </w:tc>
        <w:tc>
          <w:tcPr>
            <w:tcW w:w="2268" w:type="dxa"/>
            <w:vAlign w:val="center"/>
          </w:tcPr>
          <w:p>
            <w:pPr>
              <w:jc w:val="center"/>
              <w:rPr>
                <w:rFonts w:ascii="Times New Roman" w:hAnsi="Times New Roman" w:cs="Times New Roman"/>
                <w:highlight w:val="none"/>
              </w:rPr>
            </w:pPr>
          </w:p>
        </w:tc>
        <w:tc>
          <w:tcPr>
            <w:tcW w:w="2268" w:type="dxa"/>
            <w:vAlign w:val="center"/>
          </w:tcPr>
          <w:p>
            <w:pPr>
              <w:jc w:val="center"/>
              <w:rPr>
                <w:rFonts w:ascii="Times New Roman" w:hAnsi="Times New Roman" w:cs="Times New Roman"/>
                <w:highlight w:val="none"/>
              </w:rPr>
            </w:pPr>
          </w:p>
        </w:tc>
        <w:tc>
          <w:tcPr>
            <w:tcW w:w="1134" w:type="dxa"/>
            <w:vAlign w:val="center"/>
          </w:tcPr>
          <w:p>
            <w:pPr>
              <w:jc w:val="center"/>
              <w:rPr>
                <w:rFonts w:ascii="Times New Roman" w:hAnsi="Times New Roman" w:cs="Times New Roman"/>
                <w:highlight w:val="none"/>
              </w:rPr>
            </w:pPr>
          </w:p>
        </w:tc>
        <w:tc>
          <w:tcPr>
            <w:tcW w:w="2001"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highlight w:val="none"/>
              </w:rPr>
            </w:pPr>
            <w:r>
              <w:rPr>
                <w:rFonts w:hint="eastAsia" w:ascii="Times New Roman" w:hAnsi="Times New Roman" w:cs="Times New Roman"/>
                <w:highlight w:val="none"/>
              </w:rPr>
              <w:t>......</w:t>
            </w:r>
          </w:p>
        </w:tc>
        <w:tc>
          <w:tcPr>
            <w:tcW w:w="2268" w:type="dxa"/>
            <w:vAlign w:val="center"/>
          </w:tcPr>
          <w:p>
            <w:pPr>
              <w:jc w:val="center"/>
              <w:rPr>
                <w:rFonts w:ascii="Times New Roman" w:hAnsi="Times New Roman" w:cs="Times New Roman"/>
                <w:highlight w:val="none"/>
              </w:rPr>
            </w:pPr>
          </w:p>
        </w:tc>
        <w:tc>
          <w:tcPr>
            <w:tcW w:w="2268" w:type="dxa"/>
            <w:vAlign w:val="center"/>
          </w:tcPr>
          <w:p>
            <w:pPr>
              <w:jc w:val="center"/>
              <w:rPr>
                <w:rFonts w:ascii="Times New Roman" w:hAnsi="Times New Roman" w:cs="Times New Roman"/>
                <w:highlight w:val="none"/>
              </w:rPr>
            </w:pPr>
          </w:p>
        </w:tc>
        <w:tc>
          <w:tcPr>
            <w:tcW w:w="1134" w:type="dxa"/>
            <w:vAlign w:val="center"/>
          </w:tcPr>
          <w:p>
            <w:pPr>
              <w:jc w:val="center"/>
              <w:rPr>
                <w:rFonts w:ascii="Times New Roman" w:hAnsi="Times New Roman" w:cs="Times New Roman"/>
                <w:highlight w:val="none"/>
              </w:rPr>
            </w:pPr>
          </w:p>
        </w:tc>
        <w:tc>
          <w:tcPr>
            <w:tcW w:w="2001"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ascii="Times New Roman" w:hAnsi="Times New Roman" w:cs="Times New Roman"/>
                <w:highlight w:val="none"/>
              </w:rPr>
            </w:pPr>
            <w:r>
              <w:rPr>
                <w:rFonts w:hint="eastAsia" w:ascii="Times New Roman" w:hAnsi="Times New Roman" w:cs="Times New Roman"/>
                <w:b/>
                <w:bCs/>
                <w:highlight w:val="none"/>
              </w:rPr>
              <w:t>合计报价</w:t>
            </w:r>
          </w:p>
        </w:tc>
        <w:tc>
          <w:tcPr>
            <w:tcW w:w="1134" w:type="dxa"/>
            <w:vAlign w:val="center"/>
          </w:tcPr>
          <w:p>
            <w:pPr>
              <w:jc w:val="center"/>
              <w:rPr>
                <w:rFonts w:ascii="Times New Roman" w:hAnsi="Times New Roman" w:cs="Times New Roman"/>
                <w:highlight w:val="none"/>
              </w:rPr>
            </w:pPr>
          </w:p>
        </w:tc>
        <w:tc>
          <w:tcPr>
            <w:tcW w:w="2001" w:type="dxa"/>
            <w:vAlign w:val="center"/>
          </w:tcPr>
          <w:p>
            <w:pPr>
              <w:jc w:val="center"/>
              <w:rPr>
                <w:rFonts w:ascii="Times New Roman" w:hAnsi="Times New Roman" w:cs="Times New Roman"/>
                <w:highlight w:val="none"/>
              </w:rPr>
            </w:pPr>
          </w:p>
        </w:tc>
      </w:tr>
    </w:tbl>
    <w:p>
      <w:pPr>
        <w:spacing w:line="440" w:lineRule="exact"/>
        <w:rPr>
          <w:rFonts w:ascii="Times New Roman" w:hAnsi="Times New Roman" w:cs="Times New Roman"/>
          <w:highlight w:val="none"/>
        </w:rPr>
      </w:pPr>
      <w:r>
        <w:rPr>
          <w:rFonts w:hint="eastAsia" w:ascii="Times New Roman" w:hAnsi="Times New Roman" w:cs="Times New Roman"/>
          <w:highlight w:val="none"/>
        </w:rPr>
        <w:t>注：投标人可根据行业具体情况对本表格式进行调整。</w:t>
      </w:r>
    </w:p>
    <w:p>
      <w:pPr>
        <w:rPr>
          <w:rFonts w:ascii="Times New Roman" w:hAnsi="Times New Roman" w:cs="Times New Roman"/>
          <w:highlight w:val="none"/>
        </w:rPr>
      </w:pPr>
      <w:r>
        <w:rPr>
          <w:rFonts w:ascii="Times New Roman" w:hAnsi="Times New Roman" w:cs="Times New Roman"/>
          <w:highlight w:val="none"/>
        </w:rPr>
        <w:br w:type="page"/>
      </w:r>
    </w:p>
    <w:bookmarkEnd w:id="117"/>
    <w:bookmarkEnd w:id="118"/>
    <w:bookmarkEnd w:id="119"/>
    <w:bookmarkEnd w:id="120"/>
    <w:bookmarkEnd w:id="121"/>
    <w:bookmarkEnd w:id="122"/>
    <w:p>
      <w:pPr>
        <w:pStyle w:val="6"/>
        <w:jc w:val="center"/>
        <w:rPr>
          <w:highlight w:val="none"/>
        </w:rPr>
      </w:pPr>
      <w:bookmarkStart w:id="123" w:name="_Toc246997112"/>
      <w:bookmarkStart w:id="124" w:name="_Toc246996369"/>
      <w:bookmarkStart w:id="125" w:name="_Toc152042592"/>
      <w:bookmarkStart w:id="126" w:name="_Toc247085887"/>
      <w:bookmarkStart w:id="127" w:name="_Toc247527848"/>
      <w:bookmarkStart w:id="128" w:name="_Toc300835224"/>
      <w:bookmarkStart w:id="129" w:name="_Toc152045803"/>
      <w:bookmarkStart w:id="130" w:name="_Toc144974871"/>
      <w:bookmarkStart w:id="131" w:name="_Toc296602614"/>
      <w:bookmarkStart w:id="132" w:name="_Toc144974876"/>
      <w:bookmarkStart w:id="133" w:name="_Toc152042597"/>
      <w:bookmarkStart w:id="134" w:name="_Toc179632823"/>
      <w:bookmarkStart w:id="135" w:name="_Toc152045808"/>
      <w:bookmarkStart w:id="136" w:name="_Toc247514300"/>
      <w:r>
        <w:rPr>
          <w:rFonts w:hint="eastAsia"/>
          <w:highlight w:val="none"/>
        </w:rPr>
        <w:t>六</w:t>
      </w:r>
      <w:r>
        <w:rPr>
          <w:highlight w:val="none"/>
        </w:rPr>
        <w:t>、资格审查资料</w:t>
      </w:r>
    </w:p>
    <w:p>
      <w:pPr>
        <w:pStyle w:val="7"/>
        <w:rPr>
          <w:highlight w:val="none"/>
        </w:rPr>
      </w:pPr>
      <w:r>
        <w:rPr>
          <w:highlight w:val="none"/>
        </w:rPr>
        <w:t>（一）基本情况表</w:t>
      </w: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投标人名称</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注册地址</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邮政编码</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联系方式</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联系人</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电  话</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传  真</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网  址</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法定代表人</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姓名</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技术职称</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电话</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技术负责人</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姓名</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技术职称</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电话</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企业资质证书</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rPr>
                <w:szCs w:val="21"/>
                <w:highlight w:val="none"/>
              </w:rPr>
            </w:pPr>
            <w:r>
              <w:rPr>
                <w:rFonts w:hint="eastAsia"/>
                <w:szCs w:val="21"/>
                <w:highlight w:val="none"/>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rPr>
                <w:szCs w:val="21"/>
                <w:highlight w:val="none"/>
              </w:rPr>
            </w:pPr>
            <w:r>
              <w:rPr>
                <w:rFonts w:hint="eastAsia"/>
                <w:szCs w:val="21"/>
                <w:highlight w:val="none"/>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营业执照号</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c>
          <w:tcPr>
            <w:tcW w:w="3419" w:type="dxa"/>
            <w:gridSpan w:val="4"/>
            <w:tcBorders>
              <w:top w:val="single" w:color="auto" w:sz="4" w:space="0"/>
              <w:left w:val="single" w:color="auto" w:sz="4" w:space="0"/>
              <w:bottom w:val="single" w:color="auto" w:sz="4" w:space="0"/>
              <w:right w:val="single" w:color="auto" w:sz="4" w:space="0"/>
            </w:tcBorders>
            <w:vAlign w:val="center"/>
          </w:tcPr>
          <w:p>
            <w:pPr>
              <w:topLinePunct/>
              <w:spacing w:line="400" w:lineRule="exact"/>
              <w:jc w:val="left"/>
              <w:rPr>
                <w:szCs w:val="21"/>
                <w:highlight w:val="none"/>
              </w:rPr>
            </w:pPr>
            <w:r>
              <w:rPr>
                <w:rFonts w:hint="eastAsia"/>
                <w:szCs w:val="21"/>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注册资本</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c>
          <w:tcPr>
            <w:tcW w:w="567" w:type="dxa"/>
            <w:vMerge w:val="restart"/>
            <w:tcBorders>
              <w:top w:val="single" w:color="auto" w:sz="4" w:space="0"/>
              <w:left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高级职称人员</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成立日期</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c>
          <w:tcPr>
            <w:tcW w:w="567" w:type="dxa"/>
            <w:vMerge w:val="continue"/>
            <w:tcBorders>
              <w:left w:val="single" w:color="auto" w:sz="4" w:space="0"/>
              <w:right w:val="single" w:color="auto" w:sz="4" w:space="0"/>
            </w:tcBorders>
            <w:vAlign w:val="center"/>
          </w:tcPr>
          <w:p>
            <w:pPr>
              <w:topLinePunct/>
              <w:spacing w:line="400" w:lineRule="exact"/>
              <w:jc w:val="center"/>
              <w:rPr>
                <w:szCs w:val="21"/>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中级职称人员</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基本账户</w:t>
            </w:r>
          </w:p>
          <w:p>
            <w:pPr>
              <w:topLinePunct/>
              <w:spacing w:line="400" w:lineRule="exact"/>
              <w:jc w:val="center"/>
              <w:rPr>
                <w:szCs w:val="21"/>
                <w:highlight w:val="none"/>
              </w:rPr>
            </w:pPr>
            <w:r>
              <w:rPr>
                <w:rFonts w:hint="eastAsia"/>
                <w:szCs w:val="21"/>
                <w:highlight w:val="none"/>
              </w:rPr>
              <w:t>开户银行</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c>
          <w:tcPr>
            <w:tcW w:w="567" w:type="dxa"/>
            <w:vMerge w:val="continue"/>
            <w:tcBorders>
              <w:left w:val="single" w:color="auto" w:sz="4" w:space="0"/>
              <w:right w:val="single" w:color="auto" w:sz="4" w:space="0"/>
            </w:tcBorders>
            <w:vAlign w:val="center"/>
          </w:tcPr>
          <w:p>
            <w:pPr>
              <w:topLinePunct/>
              <w:spacing w:line="400" w:lineRule="exact"/>
              <w:jc w:val="center"/>
              <w:rPr>
                <w:szCs w:val="21"/>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技术人员数量</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基本账户</w:t>
            </w:r>
          </w:p>
          <w:p>
            <w:pPr>
              <w:topLinePunct/>
              <w:spacing w:line="400" w:lineRule="exact"/>
              <w:jc w:val="center"/>
              <w:rPr>
                <w:szCs w:val="21"/>
                <w:highlight w:val="none"/>
              </w:rPr>
            </w:pPr>
            <w:r>
              <w:rPr>
                <w:rFonts w:hint="eastAsia"/>
                <w:szCs w:val="21"/>
                <w:highlight w:val="none"/>
              </w:rPr>
              <w:t>银行账户</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c>
          <w:tcPr>
            <w:tcW w:w="567" w:type="dxa"/>
            <w:vMerge w:val="continue"/>
            <w:tcBorders>
              <w:left w:val="single" w:color="auto" w:sz="4" w:space="0"/>
              <w:right w:val="single" w:color="auto" w:sz="4" w:space="0"/>
            </w:tcBorders>
            <w:vAlign w:val="center"/>
          </w:tcPr>
          <w:p>
            <w:pPr>
              <w:topLinePunct/>
              <w:spacing w:line="400" w:lineRule="exact"/>
              <w:jc w:val="center"/>
              <w:rPr>
                <w:szCs w:val="21"/>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各类注册人员</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经营范围</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r>
              <w:rPr>
                <w:rFonts w:hint="eastAsia"/>
                <w:szCs w:val="21"/>
                <w:highlight w:val="none"/>
              </w:rPr>
              <w:t>备注</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highlight w:val="none"/>
              </w:rPr>
            </w:pPr>
          </w:p>
        </w:tc>
      </w:tr>
    </w:tbl>
    <w:p>
      <w:pPr>
        <w:spacing w:line="440" w:lineRule="exact"/>
        <w:ind w:firstLine="420" w:firstLineChars="200"/>
        <w:rPr>
          <w:rFonts w:ascii="Times New Roman" w:hAnsi="Times New Roman" w:cs="Times New Roman"/>
          <w:highlight w:val="none"/>
        </w:rPr>
      </w:pPr>
      <w:r>
        <w:rPr>
          <w:rFonts w:hint="eastAsia" w:ascii="Times New Roman" w:hAnsi="Times New Roman" w:cs="Times New Roman"/>
          <w:highlight w:val="none"/>
        </w:rPr>
        <w:t>注：</w:t>
      </w:r>
      <w:r>
        <w:rPr>
          <w:rFonts w:ascii="Times New Roman" w:hAnsi="Times New Roman" w:cs="Times New Roman"/>
          <w:highlight w:val="none"/>
        </w:rPr>
        <w:t>投标人应根据投标人须知第3.5.1项的要求在本表后附相关证明材料</w:t>
      </w:r>
      <w:r>
        <w:rPr>
          <w:rFonts w:hint="eastAsia" w:ascii="Times New Roman" w:hAnsi="Times New Roman" w:cs="Times New Roman"/>
          <w:highlight w:val="none"/>
        </w:rPr>
        <w:t>。</w:t>
      </w:r>
    </w:p>
    <w:p>
      <w:pPr>
        <w:spacing w:line="440" w:lineRule="exact"/>
        <w:ind w:firstLine="420" w:firstLineChars="200"/>
        <w:rPr>
          <w:rFonts w:ascii="Times New Roman" w:hAnsi="Times New Roman" w:cs="Times New Roman"/>
          <w:highlight w:val="none"/>
        </w:rPr>
      </w:pPr>
      <w:r>
        <w:rPr>
          <w:rFonts w:hint="eastAsia" w:ascii="Times New Roman" w:hAnsi="Times New Roman" w:cs="Times New Roman"/>
          <w:highlight w:val="none"/>
        </w:rPr>
        <w:t>附：3.5.1 “投标人基本情况表”应附投标人营业执照和组织机构代码证的复印件（按照“三证合一”或“五证合一”登记制度进行登记的，可仅提供营业执照复印件）、投标人资质证书副本（如有）等材料的复印件。</w:t>
      </w:r>
    </w:p>
    <w:p>
      <w:pPr>
        <w:pStyle w:val="7"/>
        <w:rPr>
          <w:highlight w:val="none"/>
        </w:rPr>
      </w:pPr>
      <w:r>
        <w:rPr>
          <w:rFonts w:hint="eastAsia"/>
          <w:highlight w:val="none"/>
        </w:rPr>
        <w:br w:type="page"/>
      </w:r>
      <w:r>
        <w:rPr>
          <w:highlight w:val="none"/>
        </w:rPr>
        <w:t>（</w:t>
      </w:r>
      <w:r>
        <w:rPr>
          <w:rFonts w:hint="eastAsia"/>
          <w:highlight w:val="none"/>
        </w:rPr>
        <w:t>二</w:t>
      </w:r>
      <w:r>
        <w:rPr>
          <w:highlight w:val="none"/>
        </w:rPr>
        <w:t>）近年完成的类似项目情况表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4535"/>
        <w:gridCol w:w="3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b/>
                <w:bCs/>
                <w:highlight w:val="none"/>
                <w:vertAlign w:val="baseline"/>
                <w:lang w:val="en-US" w:eastAsia="zh-CN"/>
              </w:rPr>
            </w:pPr>
            <w:r>
              <w:rPr>
                <w:rFonts w:hint="eastAsia" w:ascii="Times New Roman" w:hAnsi="Times New Roman" w:cs="Times New Roman"/>
                <w:b/>
                <w:bCs/>
                <w:highlight w:val="none"/>
                <w:vertAlign w:val="baseline"/>
                <w:lang w:val="en-US" w:eastAsia="zh-CN"/>
              </w:rPr>
              <w:t>序号</w:t>
            </w:r>
          </w:p>
        </w:tc>
        <w:tc>
          <w:tcPr>
            <w:tcW w:w="4535" w:type="dxa"/>
            <w:vAlign w:val="center"/>
          </w:tcPr>
          <w:p>
            <w:pPr>
              <w:spacing w:line="440" w:lineRule="exact"/>
              <w:jc w:val="center"/>
              <w:rPr>
                <w:rFonts w:hint="default" w:ascii="Times New Roman" w:hAnsi="Times New Roman" w:cs="Times New Roman"/>
                <w:b/>
                <w:bCs/>
                <w:highlight w:val="none"/>
                <w:vertAlign w:val="baseline"/>
                <w:lang w:val="en-US" w:eastAsia="zh-CN"/>
              </w:rPr>
            </w:pPr>
            <w:r>
              <w:rPr>
                <w:rFonts w:hint="eastAsia" w:ascii="Times New Roman" w:hAnsi="Times New Roman" w:cs="Times New Roman"/>
                <w:b/>
                <w:bCs/>
                <w:highlight w:val="none"/>
                <w:vertAlign w:val="baseline"/>
                <w:lang w:val="en-US" w:eastAsia="zh-CN"/>
              </w:rPr>
              <w:t>业绩类别</w:t>
            </w:r>
          </w:p>
        </w:tc>
        <w:tc>
          <w:tcPr>
            <w:tcW w:w="3135" w:type="dxa"/>
            <w:vAlign w:val="center"/>
          </w:tcPr>
          <w:p>
            <w:pPr>
              <w:spacing w:line="440" w:lineRule="exact"/>
              <w:jc w:val="center"/>
              <w:rPr>
                <w:rFonts w:hint="default" w:ascii="Times New Roman" w:hAnsi="Times New Roman" w:cs="Times New Roman"/>
                <w:b/>
                <w:bCs/>
                <w:highlight w:val="none"/>
                <w:vertAlign w:val="baseline"/>
                <w:lang w:val="en-US" w:eastAsia="zh-CN"/>
              </w:rPr>
            </w:pPr>
            <w:r>
              <w:rPr>
                <w:rFonts w:hint="eastAsia" w:ascii="Times New Roman" w:hAnsi="Times New Roman" w:cs="Times New Roman"/>
                <w:b/>
                <w:bCs/>
                <w:highlight w:val="none"/>
                <w:vertAlign w:val="baseline"/>
                <w:lang w:val="en-US" w:eastAsia="zh-CN"/>
              </w:rPr>
              <w:t>wind口径数据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1</w:t>
            </w:r>
          </w:p>
        </w:tc>
        <w:tc>
          <w:tcPr>
            <w:tcW w:w="4535" w:type="dxa"/>
            <w:vAlign w:val="center"/>
          </w:tcPr>
          <w:p>
            <w:pPr>
              <w:spacing w:line="440" w:lineRule="exact"/>
              <w:ind w:firstLine="420" w:firstLineChars="200"/>
              <w:jc w:val="both"/>
              <w:rPr>
                <w:rFonts w:hint="eastAsia"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投标人自2020年6月30日至2021年6月30日，总行层面成功承销全国范围内主体评级AA及以上公司银行间市场债务融资工具（中期票据）的总金额（亿元），保留到小数点后两位。</w:t>
            </w:r>
          </w:p>
          <w:p>
            <w:pPr>
              <w:spacing w:line="440" w:lineRule="exact"/>
              <w:ind w:firstLine="420" w:firstLineChars="200"/>
              <w:jc w:val="both"/>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注：银行与券商组成联合体的，以银行的业绩为准；银行与银行组成联合体的，则取两家银行业绩的算数平均数。</w:t>
            </w:r>
          </w:p>
        </w:tc>
        <w:tc>
          <w:tcPr>
            <w:tcW w:w="3135" w:type="dxa"/>
            <w:vAlign w:val="center"/>
          </w:tcPr>
          <w:p>
            <w:pPr>
              <w:spacing w:line="440" w:lineRule="exact"/>
              <w:jc w:val="center"/>
              <w:rPr>
                <w:rFonts w:hint="eastAsia" w:ascii="Times New Roman" w:hAnsi="Times New Roman" w:cs="Times New Roman"/>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2</w:t>
            </w:r>
          </w:p>
        </w:tc>
        <w:tc>
          <w:tcPr>
            <w:tcW w:w="4535" w:type="dxa"/>
            <w:vAlign w:val="center"/>
          </w:tcPr>
          <w:p>
            <w:pPr>
              <w:spacing w:line="440" w:lineRule="exact"/>
              <w:ind w:firstLine="420" w:firstLineChars="200"/>
              <w:jc w:val="both"/>
              <w:rPr>
                <w:rFonts w:hint="eastAsia"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投标人自2020年6月30日至2021年6月30日，总行层面成功承销全国范围内主体评级AA及以上公司权益出资型票据数量。</w:t>
            </w:r>
          </w:p>
        </w:tc>
        <w:tc>
          <w:tcPr>
            <w:tcW w:w="3135" w:type="dxa"/>
            <w:vAlign w:val="center"/>
          </w:tcPr>
          <w:p>
            <w:pPr>
              <w:spacing w:line="440" w:lineRule="exact"/>
              <w:jc w:val="center"/>
              <w:rPr>
                <w:rFonts w:hint="eastAsia" w:ascii="Times New Roman" w:hAnsi="Times New Roman" w:cs="Times New Roman"/>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3</w:t>
            </w:r>
          </w:p>
        </w:tc>
        <w:tc>
          <w:tcPr>
            <w:tcW w:w="4535" w:type="dxa"/>
            <w:vAlign w:val="center"/>
          </w:tcPr>
          <w:p>
            <w:pPr>
              <w:spacing w:line="440" w:lineRule="exact"/>
              <w:ind w:firstLine="420" w:firstLineChars="200"/>
              <w:jc w:val="both"/>
              <w:rPr>
                <w:rFonts w:hint="eastAsia"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投标人作为主承销商，自2020年6月30日至2021年6月30日，在安徽省内推迟或取消发行的银行间市场债务融资工具（短融、超短融、中期票据）的数量。</w:t>
            </w:r>
          </w:p>
          <w:p>
            <w:pPr>
              <w:spacing w:line="440" w:lineRule="exact"/>
              <w:ind w:firstLine="420" w:firstLineChars="200"/>
              <w:jc w:val="both"/>
              <w:rPr>
                <w:rFonts w:hint="eastAsia"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联合体投标的，以联合体牵头人的业绩为准。</w:t>
            </w:r>
          </w:p>
        </w:tc>
        <w:tc>
          <w:tcPr>
            <w:tcW w:w="3135" w:type="dxa"/>
            <w:vAlign w:val="center"/>
          </w:tcPr>
          <w:p>
            <w:pPr>
              <w:spacing w:line="440" w:lineRule="exact"/>
              <w:jc w:val="center"/>
              <w:rPr>
                <w:rFonts w:hint="eastAsia" w:ascii="Times New Roman" w:hAnsi="Times New Roman" w:cs="Times New Roman"/>
                <w:highlight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highlight w:val="none"/>
        </w:rPr>
      </w:pPr>
      <w:r>
        <w:rPr>
          <w:rFonts w:hint="eastAsia" w:ascii="Times New Roman" w:hAnsi="Times New Roman" w:cs="Times New Roman"/>
          <w:highlight w:val="none"/>
        </w:rPr>
        <w:t>注：所有业绩以wind系统查询数据为准，如发现投标人</w:t>
      </w:r>
      <w:r>
        <w:rPr>
          <w:rFonts w:hint="eastAsia" w:ascii="Times New Roman" w:hAnsi="Times New Roman" w:cs="Times New Roman"/>
          <w:highlight w:val="none"/>
          <w:lang w:val="en-US" w:eastAsia="zh-CN"/>
        </w:rPr>
        <w:t>存在</w:t>
      </w:r>
      <w:r>
        <w:rPr>
          <w:rFonts w:hint="eastAsia" w:ascii="Times New Roman" w:hAnsi="Times New Roman" w:cs="Times New Roman"/>
          <w:highlight w:val="none"/>
        </w:rPr>
        <w:t>弄虚作假</w:t>
      </w:r>
      <w:r>
        <w:rPr>
          <w:rFonts w:hint="eastAsia" w:ascii="Times New Roman" w:hAnsi="Times New Roman" w:cs="Times New Roman"/>
          <w:highlight w:val="none"/>
          <w:lang w:val="en-US" w:eastAsia="zh-CN"/>
        </w:rPr>
        <w:t>的行为</w:t>
      </w:r>
      <w:r>
        <w:rPr>
          <w:rFonts w:hint="eastAsia" w:ascii="Times New Roman" w:hAnsi="Times New Roman" w:cs="Times New Roman"/>
          <w:highlight w:val="none"/>
        </w:rPr>
        <w:t>，</w:t>
      </w:r>
      <w:r>
        <w:rPr>
          <w:rFonts w:hint="eastAsia" w:ascii="Times New Roman" w:hAnsi="Times New Roman" w:cs="Times New Roman"/>
          <w:highlight w:val="none"/>
          <w:lang w:val="en-US" w:eastAsia="zh-CN"/>
        </w:rPr>
        <w:t>招标人将</w:t>
      </w:r>
      <w:r>
        <w:rPr>
          <w:rFonts w:hint="eastAsia" w:ascii="Times New Roman" w:hAnsi="Times New Roman" w:cs="Times New Roman"/>
          <w:highlight w:val="none"/>
        </w:rPr>
        <w:t>取消</w:t>
      </w:r>
      <w:r>
        <w:rPr>
          <w:rFonts w:hint="eastAsia" w:ascii="Times New Roman" w:hAnsi="Times New Roman" w:cs="Times New Roman"/>
          <w:highlight w:val="none"/>
          <w:lang w:val="en-US" w:eastAsia="zh-CN"/>
        </w:rPr>
        <w:t>其</w:t>
      </w:r>
      <w:r>
        <w:rPr>
          <w:rFonts w:hint="eastAsia" w:ascii="Times New Roman" w:hAnsi="Times New Roman" w:cs="Times New Roman"/>
          <w:highlight w:val="none"/>
        </w:rPr>
        <w:t>投标资格。</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ascii="Times New Roman" w:hAnsi="Times New Roman" w:cs="Times New Roman"/>
          <w:b/>
          <w:bCs/>
          <w:highlight w:val="none"/>
        </w:rPr>
      </w:pPr>
      <w:r>
        <w:rPr>
          <w:rFonts w:hint="eastAsia" w:ascii="Times New Roman" w:hAnsi="Times New Roman" w:cs="Times New Roman"/>
          <w:b/>
          <w:bCs/>
          <w:highlight w:val="none"/>
          <w:lang w:val="en-US" w:eastAsia="zh-CN"/>
        </w:rPr>
        <w:t>提供</w:t>
      </w:r>
      <w:r>
        <w:rPr>
          <w:rFonts w:ascii="Times New Roman" w:hAnsi="Times New Roman" w:cs="Times New Roman"/>
          <w:b/>
          <w:bCs/>
          <w:highlight w:val="none"/>
        </w:rPr>
        <w:t>wind系统查询截图或其他证明材料</w:t>
      </w:r>
      <w:r>
        <w:rPr>
          <w:rFonts w:hint="eastAsia" w:ascii="Times New Roman" w:hAnsi="Times New Roman" w:cs="Times New Roman"/>
          <w:b/>
          <w:bCs/>
          <w:highlight w:val="none"/>
        </w:rPr>
        <w:t>，</w:t>
      </w:r>
      <w:r>
        <w:rPr>
          <w:rFonts w:ascii="Times New Roman" w:hAnsi="Times New Roman" w:cs="Times New Roman"/>
          <w:b/>
          <w:bCs/>
          <w:highlight w:val="none"/>
        </w:rPr>
        <w:t>并加盖公章</w:t>
      </w:r>
      <w:r>
        <w:rPr>
          <w:rFonts w:hint="eastAsia" w:ascii="Times New Roman" w:hAnsi="Times New Roman" w:cs="Times New Roman"/>
          <w:b/>
          <w:bCs/>
          <w:highlight w:val="none"/>
        </w:rPr>
        <w:t>。</w:t>
      </w:r>
    </w:p>
    <w:p>
      <w:pPr>
        <w:rPr>
          <w:highlight w:val="none"/>
        </w:rPr>
      </w:pPr>
      <w:r>
        <w:rPr>
          <w:rFonts w:hint="eastAsia"/>
          <w:highlight w:val="none"/>
        </w:rPr>
        <w:br w:type="page"/>
      </w:r>
    </w:p>
    <w:p>
      <w:pPr>
        <w:pStyle w:val="7"/>
        <w:rPr>
          <w:rFonts w:ascii="Times New Roman" w:hAnsi="Times New Roman" w:eastAsia="宋体" w:cs="Times New Roman"/>
          <w:b w:val="0"/>
          <w:bCs w:val="0"/>
          <w:kern w:val="0"/>
          <w:sz w:val="24"/>
          <w:szCs w:val="24"/>
          <w:highlight w:val="none"/>
        </w:rPr>
      </w:pPr>
      <w:r>
        <w:rPr>
          <w:rFonts w:hint="eastAsia" w:ascii="Times New Roman" w:hAnsi="Times New Roman" w:cs="Times New Roman"/>
          <w:highlight w:val="none"/>
        </w:rPr>
        <w:t>（三）拟委任的主要人员汇总表</w:t>
      </w:r>
    </w:p>
    <w:tbl>
      <w:tblPr>
        <w:tblStyle w:val="18"/>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spacing w:line="480" w:lineRule="exact"/>
              <w:jc w:val="center"/>
              <w:rPr>
                <w:rFonts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序号</w:t>
            </w:r>
          </w:p>
        </w:tc>
        <w:tc>
          <w:tcPr>
            <w:tcW w:w="948" w:type="pct"/>
            <w:vMerge w:val="restart"/>
            <w:vAlign w:val="center"/>
          </w:tcPr>
          <w:p>
            <w:pPr>
              <w:spacing w:line="480" w:lineRule="exact"/>
              <w:jc w:val="center"/>
              <w:rPr>
                <w:rFonts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本项目任职</w:t>
            </w:r>
          </w:p>
        </w:tc>
        <w:tc>
          <w:tcPr>
            <w:tcW w:w="466" w:type="pct"/>
            <w:vMerge w:val="restart"/>
            <w:vAlign w:val="center"/>
          </w:tcPr>
          <w:p>
            <w:pPr>
              <w:spacing w:line="480" w:lineRule="exact"/>
              <w:jc w:val="center"/>
              <w:rPr>
                <w:rFonts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姓名</w:t>
            </w:r>
          </w:p>
        </w:tc>
        <w:tc>
          <w:tcPr>
            <w:tcW w:w="466" w:type="pct"/>
            <w:vMerge w:val="restart"/>
            <w:vAlign w:val="center"/>
          </w:tcPr>
          <w:p>
            <w:pPr>
              <w:spacing w:line="480" w:lineRule="exact"/>
              <w:jc w:val="center"/>
              <w:rPr>
                <w:rFonts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职称</w:t>
            </w:r>
          </w:p>
        </w:tc>
        <w:tc>
          <w:tcPr>
            <w:tcW w:w="466" w:type="pct"/>
            <w:vMerge w:val="restart"/>
            <w:vAlign w:val="center"/>
          </w:tcPr>
          <w:p>
            <w:pPr>
              <w:spacing w:line="480" w:lineRule="exact"/>
              <w:jc w:val="center"/>
              <w:rPr>
                <w:rFonts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专业</w:t>
            </w:r>
          </w:p>
        </w:tc>
        <w:tc>
          <w:tcPr>
            <w:tcW w:w="1725" w:type="pct"/>
            <w:gridSpan w:val="3"/>
            <w:vAlign w:val="center"/>
          </w:tcPr>
          <w:p>
            <w:pPr>
              <w:spacing w:line="480" w:lineRule="exact"/>
              <w:jc w:val="center"/>
              <w:rPr>
                <w:rFonts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执业或职业资格证明</w:t>
            </w:r>
          </w:p>
        </w:tc>
        <w:tc>
          <w:tcPr>
            <w:tcW w:w="466" w:type="pct"/>
            <w:vMerge w:val="restart"/>
            <w:vAlign w:val="center"/>
          </w:tcPr>
          <w:p>
            <w:pPr>
              <w:spacing w:line="480" w:lineRule="exact"/>
              <w:jc w:val="center"/>
              <w:rPr>
                <w:rFonts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spacing w:line="480" w:lineRule="exact"/>
              <w:jc w:val="center"/>
              <w:rPr>
                <w:rFonts w:ascii="Times New Roman" w:hAnsi="Times New Roman" w:eastAsia="宋体" w:cs="Times New Roman"/>
                <w:kern w:val="0"/>
                <w:sz w:val="24"/>
                <w:highlight w:val="none"/>
              </w:rPr>
            </w:pPr>
          </w:p>
        </w:tc>
        <w:tc>
          <w:tcPr>
            <w:tcW w:w="948" w:type="pct"/>
            <w:vMerge w:val="continue"/>
            <w:vAlign w:val="center"/>
          </w:tcPr>
          <w:p>
            <w:pPr>
              <w:spacing w:line="480" w:lineRule="exact"/>
              <w:jc w:val="center"/>
              <w:rPr>
                <w:rFonts w:ascii="Times New Roman" w:hAnsi="Times New Roman" w:eastAsia="宋体" w:cs="Times New Roman"/>
                <w:kern w:val="0"/>
                <w:sz w:val="24"/>
                <w:highlight w:val="none"/>
              </w:rPr>
            </w:pPr>
          </w:p>
        </w:tc>
        <w:tc>
          <w:tcPr>
            <w:tcW w:w="466" w:type="pct"/>
            <w:vMerge w:val="continue"/>
            <w:vAlign w:val="center"/>
          </w:tcPr>
          <w:p>
            <w:pPr>
              <w:spacing w:line="480" w:lineRule="exact"/>
              <w:jc w:val="center"/>
              <w:rPr>
                <w:rFonts w:ascii="Times New Roman" w:hAnsi="Times New Roman" w:eastAsia="宋体" w:cs="Times New Roman"/>
                <w:kern w:val="0"/>
                <w:sz w:val="24"/>
                <w:highlight w:val="none"/>
              </w:rPr>
            </w:pPr>
          </w:p>
        </w:tc>
        <w:tc>
          <w:tcPr>
            <w:tcW w:w="466" w:type="pct"/>
            <w:vMerge w:val="continue"/>
            <w:vAlign w:val="center"/>
          </w:tcPr>
          <w:p>
            <w:pPr>
              <w:spacing w:line="480" w:lineRule="exact"/>
              <w:jc w:val="center"/>
              <w:rPr>
                <w:rFonts w:ascii="Times New Roman" w:hAnsi="Times New Roman" w:eastAsia="宋体" w:cs="Times New Roman"/>
                <w:kern w:val="0"/>
                <w:sz w:val="24"/>
                <w:highlight w:val="none"/>
              </w:rPr>
            </w:pPr>
          </w:p>
        </w:tc>
        <w:tc>
          <w:tcPr>
            <w:tcW w:w="466" w:type="pct"/>
            <w:vMerge w:val="continue"/>
            <w:vAlign w:val="center"/>
          </w:tcPr>
          <w:p>
            <w:pPr>
              <w:spacing w:line="480" w:lineRule="exact"/>
              <w:jc w:val="center"/>
              <w:rPr>
                <w:rFonts w:ascii="Times New Roman" w:hAnsi="Times New Roman" w:eastAsia="宋体" w:cs="Times New Roman"/>
                <w:kern w:val="0"/>
                <w:sz w:val="24"/>
                <w:highlight w:val="none"/>
              </w:rPr>
            </w:pPr>
          </w:p>
        </w:tc>
        <w:tc>
          <w:tcPr>
            <w:tcW w:w="787" w:type="pct"/>
            <w:vAlign w:val="center"/>
          </w:tcPr>
          <w:p>
            <w:pPr>
              <w:spacing w:line="480" w:lineRule="exact"/>
              <w:jc w:val="center"/>
              <w:rPr>
                <w:rFonts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证明名称</w:t>
            </w:r>
          </w:p>
        </w:tc>
        <w:tc>
          <w:tcPr>
            <w:tcW w:w="466" w:type="pct"/>
            <w:vAlign w:val="center"/>
          </w:tcPr>
          <w:p>
            <w:pPr>
              <w:spacing w:line="480" w:lineRule="exact"/>
              <w:jc w:val="center"/>
              <w:rPr>
                <w:rFonts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级别</w:t>
            </w:r>
          </w:p>
        </w:tc>
        <w:tc>
          <w:tcPr>
            <w:tcW w:w="471" w:type="pct"/>
            <w:vAlign w:val="center"/>
          </w:tcPr>
          <w:p>
            <w:pPr>
              <w:spacing w:line="480" w:lineRule="exact"/>
              <w:jc w:val="center"/>
              <w:rPr>
                <w:rFonts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证号</w:t>
            </w:r>
          </w:p>
        </w:tc>
        <w:tc>
          <w:tcPr>
            <w:tcW w:w="466" w:type="pct"/>
            <w:vMerge w:val="continue"/>
            <w:vAlign w:val="center"/>
          </w:tcPr>
          <w:p>
            <w:pPr>
              <w:spacing w:line="480" w:lineRule="exact"/>
              <w:jc w:val="center"/>
              <w:rPr>
                <w:rFonts w:ascii="Times New Roman" w:hAnsi="Times New Roman" w:eastAsia="宋体"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highlight w:val="none"/>
              </w:rPr>
            </w:pPr>
          </w:p>
        </w:tc>
        <w:tc>
          <w:tcPr>
            <w:tcW w:w="948"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787"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71"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highlight w:val="none"/>
              </w:rPr>
            </w:pPr>
          </w:p>
        </w:tc>
        <w:tc>
          <w:tcPr>
            <w:tcW w:w="948"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787"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71"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highlight w:val="none"/>
              </w:rPr>
            </w:pPr>
          </w:p>
        </w:tc>
        <w:tc>
          <w:tcPr>
            <w:tcW w:w="948"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787"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71"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highlight w:val="none"/>
              </w:rPr>
            </w:pPr>
          </w:p>
        </w:tc>
        <w:tc>
          <w:tcPr>
            <w:tcW w:w="948"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787"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71"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highlight w:val="none"/>
              </w:rPr>
            </w:pPr>
          </w:p>
        </w:tc>
        <w:tc>
          <w:tcPr>
            <w:tcW w:w="948"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787"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71"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highlight w:val="none"/>
              </w:rPr>
            </w:pPr>
          </w:p>
        </w:tc>
        <w:tc>
          <w:tcPr>
            <w:tcW w:w="948"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787"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71"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highlight w:val="none"/>
              </w:rPr>
            </w:pPr>
          </w:p>
        </w:tc>
        <w:tc>
          <w:tcPr>
            <w:tcW w:w="948"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787"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71"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highlight w:val="none"/>
              </w:rPr>
            </w:pPr>
          </w:p>
        </w:tc>
        <w:tc>
          <w:tcPr>
            <w:tcW w:w="948"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787"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71"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highlight w:val="none"/>
              </w:rPr>
            </w:pPr>
          </w:p>
        </w:tc>
        <w:tc>
          <w:tcPr>
            <w:tcW w:w="948"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787"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71"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highlight w:val="none"/>
              </w:rPr>
            </w:pPr>
          </w:p>
        </w:tc>
        <w:tc>
          <w:tcPr>
            <w:tcW w:w="948"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787"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71"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highlight w:val="none"/>
              </w:rPr>
            </w:pPr>
          </w:p>
        </w:tc>
        <w:tc>
          <w:tcPr>
            <w:tcW w:w="948"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787"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71"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highlight w:val="none"/>
              </w:rPr>
            </w:pPr>
          </w:p>
        </w:tc>
        <w:tc>
          <w:tcPr>
            <w:tcW w:w="948"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787"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71"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highlight w:val="none"/>
              </w:rPr>
            </w:pPr>
          </w:p>
        </w:tc>
        <w:tc>
          <w:tcPr>
            <w:tcW w:w="948"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787"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71"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highlight w:val="none"/>
              </w:rPr>
            </w:pPr>
          </w:p>
        </w:tc>
        <w:tc>
          <w:tcPr>
            <w:tcW w:w="948"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787"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71"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highlight w:val="none"/>
              </w:rPr>
            </w:pPr>
          </w:p>
        </w:tc>
        <w:tc>
          <w:tcPr>
            <w:tcW w:w="948"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787"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71"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highlight w:val="none"/>
              </w:rPr>
            </w:pPr>
          </w:p>
        </w:tc>
        <w:tc>
          <w:tcPr>
            <w:tcW w:w="948"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787"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71"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highlight w:val="none"/>
              </w:rPr>
            </w:pPr>
          </w:p>
        </w:tc>
        <w:tc>
          <w:tcPr>
            <w:tcW w:w="948"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787"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71"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highlight w:val="none"/>
              </w:rPr>
            </w:pPr>
          </w:p>
        </w:tc>
        <w:tc>
          <w:tcPr>
            <w:tcW w:w="948"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787"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71"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highlight w:val="none"/>
              </w:rPr>
            </w:pPr>
          </w:p>
        </w:tc>
        <w:tc>
          <w:tcPr>
            <w:tcW w:w="948"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787"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71"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highlight w:val="none"/>
              </w:rPr>
            </w:pPr>
          </w:p>
        </w:tc>
        <w:tc>
          <w:tcPr>
            <w:tcW w:w="948"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787"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71"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highlight w:val="none"/>
              </w:rPr>
            </w:pPr>
          </w:p>
        </w:tc>
        <w:tc>
          <w:tcPr>
            <w:tcW w:w="948"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787"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71"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spacing w:line="480" w:lineRule="exact"/>
              <w:jc w:val="center"/>
              <w:rPr>
                <w:rFonts w:ascii="Times New Roman" w:hAnsi="Times New Roman" w:eastAsia="宋体" w:cs="Times New Roman"/>
                <w:kern w:val="0"/>
                <w:sz w:val="24"/>
                <w:highlight w:val="none"/>
              </w:rPr>
            </w:pPr>
          </w:p>
        </w:tc>
        <w:tc>
          <w:tcPr>
            <w:tcW w:w="948"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787"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c>
          <w:tcPr>
            <w:tcW w:w="471" w:type="pct"/>
            <w:vAlign w:val="center"/>
          </w:tcPr>
          <w:p>
            <w:pPr>
              <w:spacing w:line="480" w:lineRule="exact"/>
              <w:jc w:val="center"/>
              <w:rPr>
                <w:rFonts w:ascii="Times New Roman" w:hAnsi="Times New Roman" w:eastAsia="宋体" w:cs="Times New Roman"/>
                <w:kern w:val="0"/>
                <w:sz w:val="24"/>
                <w:highlight w:val="none"/>
              </w:rPr>
            </w:pPr>
          </w:p>
        </w:tc>
        <w:tc>
          <w:tcPr>
            <w:tcW w:w="466" w:type="pct"/>
            <w:vAlign w:val="center"/>
          </w:tcPr>
          <w:p>
            <w:pPr>
              <w:spacing w:line="480" w:lineRule="exact"/>
              <w:jc w:val="center"/>
              <w:rPr>
                <w:rFonts w:ascii="Times New Roman" w:hAnsi="Times New Roman" w:eastAsia="宋体" w:cs="Times New Roman"/>
                <w:kern w:val="0"/>
                <w:sz w:val="24"/>
                <w:highlight w:val="none"/>
              </w:rPr>
            </w:pPr>
          </w:p>
        </w:tc>
      </w:tr>
    </w:tbl>
    <w:p>
      <w:pPr>
        <w:spacing w:line="440" w:lineRule="exact"/>
        <w:ind w:firstLine="420" w:firstLineChars="200"/>
        <w:rPr>
          <w:rFonts w:ascii="Times New Roman" w:hAnsi="Times New Roman"/>
          <w:highlight w:val="none"/>
        </w:rPr>
      </w:pPr>
      <w:r>
        <w:rPr>
          <w:rFonts w:hint="eastAsia" w:ascii="Times New Roman" w:hAnsi="Times New Roman"/>
          <w:highlight w:val="none"/>
        </w:rPr>
        <w:t>附：3.5.6 “拟委任的主要人员汇总表”应填报满足第二章投标人须知第1.4.1项规定的项目负责人和其他主要人员的相关信息。</w:t>
      </w:r>
    </w:p>
    <w:p>
      <w:pPr>
        <w:pStyle w:val="7"/>
        <w:rPr>
          <w:rFonts w:ascii="Times New Roman" w:hAnsi="Times New Roman" w:eastAsia="宋体" w:cs="Times New Roman"/>
          <w:b w:val="0"/>
          <w:bCs w:val="0"/>
          <w:kern w:val="0"/>
          <w:sz w:val="24"/>
          <w:szCs w:val="24"/>
          <w:highlight w:val="none"/>
        </w:rPr>
      </w:pPr>
      <w:r>
        <w:rPr>
          <w:rFonts w:hint="eastAsia" w:ascii="Times New Roman" w:hAnsi="Times New Roman" w:cs="Times New Roman"/>
          <w:highlight w:val="none"/>
        </w:rPr>
        <w:t>（四）主要人员简历表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highlight w:val="none"/>
              </w:rPr>
            </w:pPr>
            <w:r>
              <w:rPr>
                <w:rFonts w:hint="eastAsia"/>
                <w:highlight w:val="none"/>
              </w:rPr>
              <w:t>姓名</w:t>
            </w:r>
          </w:p>
        </w:tc>
        <w:tc>
          <w:tcPr>
            <w:tcW w:w="1134" w:type="dxa"/>
            <w:vAlign w:val="center"/>
          </w:tcPr>
          <w:p>
            <w:pPr>
              <w:jc w:val="center"/>
              <w:rPr>
                <w:highlight w:val="none"/>
              </w:rPr>
            </w:pPr>
          </w:p>
        </w:tc>
        <w:tc>
          <w:tcPr>
            <w:tcW w:w="1134" w:type="dxa"/>
            <w:vAlign w:val="center"/>
          </w:tcPr>
          <w:p>
            <w:pPr>
              <w:jc w:val="center"/>
              <w:rPr>
                <w:highlight w:val="none"/>
              </w:rPr>
            </w:pPr>
            <w:r>
              <w:rPr>
                <w:rFonts w:hint="eastAsia"/>
                <w:highlight w:val="none"/>
              </w:rPr>
              <w:t>年龄</w:t>
            </w:r>
          </w:p>
        </w:tc>
        <w:tc>
          <w:tcPr>
            <w:tcW w:w="1134" w:type="dxa"/>
            <w:vAlign w:val="center"/>
          </w:tcPr>
          <w:p>
            <w:pPr>
              <w:jc w:val="center"/>
              <w:rPr>
                <w:highlight w:val="none"/>
              </w:rPr>
            </w:pPr>
          </w:p>
        </w:tc>
        <w:tc>
          <w:tcPr>
            <w:tcW w:w="1701" w:type="dxa"/>
            <w:vAlign w:val="center"/>
          </w:tcPr>
          <w:p>
            <w:pPr>
              <w:jc w:val="center"/>
              <w:rPr>
                <w:highlight w:val="none"/>
              </w:rPr>
            </w:pPr>
            <w:r>
              <w:rPr>
                <w:rFonts w:hint="eastAsia"/>
                <w:highlight w:val="none"/>
              </w:rPr>
              <w:t>执业资格证书（或上岗证书）名称</w:t>
            </w:r>
          </w:p>
        </w:tc>
        <w:tc>
          <w:tcPr>
            <w:tcW w:w="2285" w:type="dxa"/>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highlight w:val="none"/>
              </w:rPr>
            </w:pPr>
            <w:r>
              <w:rPr>
                <w:rFonts w:hint="eastAsia"/>
                <w:highlight w:val="none"/>
              </w:rPr>
              <w:t>职称</w:t>
            </w:r>
          </w:p>
        </w:tc>
        <w:tc>
          <w:tcPr>
            <w:tcW w:w="1134" w:type="dxa"/>
            <w:vAlign w:val="center"/>
          </w:tcPr>
          <w:p>
            <w:pPr>
              <w:jc w:val="center"/>
              <w:rPr>
                <w:highlight w:val="none"/>
              </w:rPr>
            </w:pPr>
          </w:p>
        </w:tc>
        <w:tc>
          <w:tcPr>
            <w:tcW w:w="1134" w:type="dxa"/>
            <w:vAlign w:val="center"/>
          </w:tcPr>
          <w:p>
            <w:pPr>
              <w:jc w:val="center"/>
              <w:rPr>
                <w:highlight w:val="none"/>
              </w:rPr>
            </w:pPr>
            <w:r>
              <w:rPr>
                <w:rFonts w:hint="eastAsia"/>
                <w:highlight w:val="none"/>
              </w:rPr>
              <w:t>学历</w:t>
            </w:r>
          </w:p>
        </w:tc>
        <w:tc>
          <w:tcPr>
            <w:tcW w:w="1134" w:type="dxa"/>
            <w:vAlign w:val="center"/>
          </w:tcPr>
          <w:p>
            <w:pPr>
              <w:jc w:val="center"/>
              <w:rPr>
                <w:highlight w:val="none"/>
              </w:rPr>
            </w:pPr>
          </w:p>
        </w:tc>
        <w:tc>
          <w:tcPr>
            <w:tcW w:w="1701" w:type="dxa"/>
            <w:vAlign w:val="center"/>
          </w:tcPr>
          <w:p>
            <w:pPr>
              <w:jc w:val="center"/>
              <w:rPr>
                <w:highlight w:val="none"/>
              </w:rPr>
            </w:pPr>
            <w:r>
              <w:rPr>
                <w:rFonts w:hint="eastAsia"/>
                <w:highlight w:val="none"/>
              </w:rPr>
              <w:t>拟在本项目任职</w:t>
            </w:r>
          </w:p>
        </w:tc>
        <w:tc>
          <w:tcPr>
            <w:tcW w:w="2285" w:type="dxa"/>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highlight w:val="none"/>
              </w:rPr>
            </w:pPr>
            <w:r>
              <w:rPr>
                <w:rFonts w:hint="eastAsia"/>
                <w:highlight w:val="none"/>
              </w:rPr>
              <w:t>工作年限</w:t>
            </w:r>
          </w:p>
        </w:tc>
        <w:tc>
          <w:tcPr>
            <w:tcW w:w="3402" w:type="dxa"/>
            <w:gridSpan w:val="3"/>
            <w:vAlign w:val="center"/>
          </w:tcPr>
          <w:p>
            <w:pPr>
              <w:jc w:val="center"/>
              <w:rPr>
                <w:highlight w:val="none"/>
              </w:rPr>
            </w:pPr>
          </w:p>
        </w:tc>
        <w:tc>
          <w:tcPr>
            <w:tcW w:w="1701" w:type="dxa"/>
            <w:vAlign w:val="center"/>
          </w:tcPr>
          <w:p>
            <w:pPr>
              <w:jc w:val="center"/>
              <w:rPr>
                <w:highlight w:val="none"/>
              </w:rPr>
            </w:pPr>
            <w:r>
              <w:rPr>
                <w:rFonts w:hint="eastAsia"/>
                <w:highlight w:val="none"/>
              </w:rPr>
              <w:t>从事相关</w:t>
            </w:r>
          </w:p>
          <w:p>
            <w:pPr>
              <w:jc w:val="center"/>
              <w:rPr>
                <w:highlight w:val="none"/>
              </w:rPr>
            </w:pPr>
            <w:r>
              <w:rPr>
                <w:rFonts w:hint="eastAsia"/>
                <w:highlight w:val="none"/>
              </w:rPr>
              <w:t>工作年限</w:t>
            </w:r>
          </w:p>
        </w:tc>
        <w:tc>
          <w:tcPr>
            <w:tcW w:w="2285" w:type="dxa"/>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highlight w:val="none"/>
              </w:rPr>
            </w:pPr>
            <w:r>
              <w:rPr>
                <w:rFonts w:hint="eastAsia"/>
                <w:highlight w:val="none"/>
              </w:rPr>
              <w:t>毕业学校</w:t>
            </w:r>
          </w:p>
        </w:tc>
        <w:tc>
          <w:tcPr>
            <w:tcW w:w="7388" w:type="dxa"/>
            <w:gridSpan w:val="5"/>
            <w:vAlign w:val="center"/>
          </w:tcPr>
          <w:p>
            <w:pPr>
              <w:rPr>
                <w:highlight w:val="none"/>
              </w:rPr>
            </w:pPr>
            <w:r>
              <w:rPr>
                <w:rFonts w:hint="eastAsia"/>
                <w:highlight w:val="none"/>
                <w:u w:val="single"/>
              </w:rPr>
              <w:t xml:space="preserve">            </w:t>
            </w:r>
            <w:r>
              <w:rPr>
                <w:rFonts w:hint="eastAsia"/>
                <w:highlight w:val="none"/>
              </w:rPr>
              <w:t>年毕业于</w:t>
            </w:r>
            <w:r>
              <w:rPr>
                <w:rFonts w:hint="eastAsia"/>
                <w:highlight w:val="none"/>
                <w:u w:val="single"/>
              </w:rPr>
              <w:t xml:space="preserve">            </w:t>
            </w:r>
            <w:r>
              <w:rPr>
                <w:rFonts w:hint="eastAsia"/>
                <w:highlight w:val="none"/>
              </w:rPr>
              <w:t>学校</w:t>
            </w:r>
            <w:r>
              <w:rPr>
                <w:rFonts w:hint="eastAsia"/>
                <w:highlight w:val="none"/>
                <w:u w:val="single"/>
              </w:rPr>
              <w:t xml:space="preserve">            </w:t>
            </w:r>
            <w:r>
              <w:rPr>
                <w:rFonts w:hint="eastAsia"/>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rPr>
                <w:highlight w:val="none"/>
              </w:rPr>
            </w:pPr>
            <w:r>
              <w:rPr>
                <w:rFonts w:hint="eastAsia"/>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highlight w:val="none"/>
              </w:rPr>
            </w:pPr>
            <w:r>
              <w:rPr>
                <w:rFonts w:hint="eastAsia"/>
                <w:highlight w:val="none"/>
              </w:rPr>
              <w:t>时间</w:t>
            </w:r>
          </w:p>
        </w:tc>
        <w:tc>
          <w:tcPr>
            <w:tcW w:w="3402" w:type="dxa"/>
            <w:gridSpan w:val="3"/>
            <w:vAlign w:val="center"/>
          </w:tcPr>
          <w:p>
            <w:pPr>
              <w:jc w:val="center"/>
              <w:rPr>
                <w:highlight w:val="none"/>
              </w:rPr>
            </w:pPr>
            <w:r>
              <w:rPr>
                <w:rFonts w:hint="eastAsia"/>
                <w:highlight w:val="none"/>
              </w:rPr>
              <w:t>参加过的类似项目</w:t>
            </w:r>
          </w:p>
        </w:tc>
        <w:tc>
          <w:tcPr>
            <w:tcW w:w="1701" w:type="dxa"/>
            <w:vAlign w:val="center"/>
          </w:tcPr>
          <w:p>
            <w:pPr>
              <w:jc w:val="center"/>
              <w:rPr>
                <w:highlight w:val="none"/>
              </w:rPr>
            </w:pPr>
            <w:r>
              <w:rPr>
                <w:rFonts w:hint="eastAsia"/>
                <w:highlight w:val="none"/>
              </w:rPr>
              <w:t>担任职称</w:t>
            </w:r>
          </w:p>
        </w:tc>
        <w:tc>
          <w:tcPr>
            <w:tcW w:w="2285" w:type="dxa"/>
            <w:vAlign w:val="center"/>
          </w:tcPr>
          <w:p>
            <w:pPr>
              <w:jc w:val="center"/>
              <w:rPr>
                <w:highlight w:val="none"/>
              </w:rPr>
            </w:pPr>
            <w:r>
              <w:rPr>
                <w:rFonts w:hint="eastAsia"/>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highlight w:val="none"/>
              </w:rPr>
            </w:pPr>
          </w:p>
        </w:tc>
        <w:tc>
          <w:tcPr>
            <w:tcW w:w="3402" w:type="dxa"/>
            <w:gridSpan w:val="3"/>
            <w:vAlign w:val="center"/>
          </w:tcPr>
          <w:p>
            <w:pPr>
              <w:jc w:val="center"/>
              <w:rPr>
                <w:highlight w:val="none"/>
              </w:rPr>
            </w:pPr>
          </w:p>
        </w:tc>
        <w:tc>
          <w:tcPr>
            <w:tcW w:w="1701" w:type="dxa"/>
            <w:vAlign w:val="center"/>
          </w:tcPr>
          <w:p>
            <w:pPr>
              <w:jc w:val="center"/>
              <w:rPr>
                <w:highlight w:val="none"/>
              </w:rPr>
            </w:pPr>
          </w:p>
        </w:tc>
        <w:tc>
          <w:tcPr>
            <w:tcW w:w="2285" w:type="dxa"/>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highlight w:val="none"/>
              </w:rPr>
            </w:pPr>
          </w:p>
        </w:tc>
        <w:tc>
          <w:tcPr>
            <w:tcW w:w="3402" w:type="dxa"/>
            <w:gridSpan w:val="3"/>
            <w:vAlign w:val="center"/>
          </w:tcPr>
          <w:p>
            <w:pPr>
              <w:jc w:val="center"/>
              <w:rPr>
                <w:highlight w:val="none"/>
              </w:rPr>
            </w:pPr>
          </w:p>
        </w:tc>
        <w:tc>
          <w:tcPr>
            <w:tcW w:w="1701" w:type="dxa"/>
            <w:vAlign w:val="center"/>
          </w:tcPr>
          <w:p>
            <w:pPr>
              <w:jc w:val="center"/>
              <w:rPr>
                <w:highlight w:val="none"/>
              </w:rPr>
            </w:pPr>
          </w:p>
        </w:tc>
        <w:tc>
          <w:tcPr>
            <w:tcW w:w="2285" w:type="dxa"/>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highlight w:val="none"/>
              </w:rPr>
            </w:pPr>
          </w:p>
        </w:tc>
        <w:tc>
          <w:tcPr>
            <w:tcW w:w="3402" w:type="dxa"/>
            <w:gridSpan w:val="3"/>
            <w:vAlign w:val="center"/>
          </w:tcPr>
          <w:p>
            <w:pPr>
              <w:jc w:val="center"/>
              <w:rPr>
                <w:highlight w:val="none"/>
              </w:rPr>
            </w:pPr>
          </w:p>
        </w:tc>
        <w:tc>
          <w:tcPr>
            <w:tcW w:w="1701" w:type="dxa"/>
            <w:vAlign w:val="center"/>
          </w:tcPr>
          <w:p>
            <w:pPr>
              <w:jc w:val="center"/>
              <w:rPr>
                <w:highlight w:val="none"/>
              </w:rPr>
            </w:pPr>
          </w:p>
        </w:tc>
        <w:tc>
          <w:tcPr>
            <w:tcW w:w="2285" w:type="dxa"/>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highlight w:val="none"/>
              </w:rPr>
            </w:pPr>
          </w:p>
        </w:tc>
        <w:tc>
          <w:tcPr>
            <w:tcW w:w="3402" w:type="dxa"/>
            <w:gridSpan w:val="3"/>
            <w:vAlign w:val="center"/>
          </w:tcPr>
          <w:p>
            <w:pPr>
              <w:jc w:val="center"/>
              <w:rPr>
                <w:highlight w:val="none"/>
              </w:rPr>
            </w:pPr>
          </w:p>
        </w:tc>
        <w:tc>
          <w:tcPr>
            <w:tcW w:w="1701" w:type="dxa"/>
            <w:vAlign w:val="center"/>
          </w:tcPr>
          <w:p>
            <w:pPr>
              <w:jc w:val="center"/>
              <w:rPr>
                <w:highlight w:val="none"/>
              </w:rPr>
            </w:pPr>
          </w:p>
        </w:tc>
        <w:tc>
          <w:tcPr>
            <w:tcW w:w="2285" w:type="dxa"/>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highlight w:val="none"/>
              </w:rPr>
            </w:pPr>
          </w:p>
        </w:tc>
        <w:tc>
          <w:tcPr>
            <w:tcW w:w="3402" w:type="dxa"/>
            <w:gridSpan w:val="3"/>
            <w:vAlign w:val="center"/>
          </w:tcPr>
          <w:p>
            <w:pPr>
              <w:jc w:val="center"/>
              <w:rPr>
                <w:highlight w:val="none"/>
              </w:rPr>
            </w:pPr>
          </w:p>
        </w:tc>
        <w:tc>
          <w:tcPr>
            <w:tcW w:w="1701" w:type="dxa"/>
            <w:vAlign w:val="center"/>
          </w:tcPr>
          <w:p>
            <w:pPr>
              <w:jc w:val="center"/>
              <w:rPr>
                <w:highlight w:val="none"/>
              </w:rPr>
            </w:pPr>
          </w:p>
        </w:tc>
        <w:tc>
          <w:tcPr>
            <w:tcW w:w="2285" w:type="dxa"/>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highlight w:val="none"/>
              </w:rPr>
            </w:pPr>
          </w:p>
        </w:tc>
        <w:tc>
          <w:tcPr>
            <w:tcW w:w="3402" w:type="dxa"/>
            <w:gridSpan w:val="3"/>
            <w:vAlign w:val="center"/>
          </w:tcPr>
          <w:p>
            <w:pPr>
              <w:jc w:val="center"/>
              <w:rPr>
                <w:highlight w:val="none"/>
              </w:rPr>
            </w:pPr>
          </w:p>
        </w:tc>
        <w:tc>
          <w:tcPr>
            <w:tcW w:w="1701" w:type="dxa"/>
            <w:vAlign w:val="center"/>
          </w:tcPr>
          <w:p>
            <w:pPr>
              <w:jc w:val="center"/>
              <w:rPr>
                <w:highlight w:val="none"/>
              </w:rPr>
            </w:pPr>
          </w:p>
        </w:tc>
        <w:tc>
          <w:tcPr>
            <w:tcW w:w="2285" w:type="dxa"/>
            <w:vAlign w:val="center"/>
          </w:tcPr>
          <w:p>
            <w:pPr>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highlight w:val="none"/>
              </w:rPr>
            </w:pPr>
          </w:p>
        </w:tc>
        <w:tc>
          <w:tcPr>
            <w:tcW w:w="3402" w:type="dxa"/>
            <w:gridSpan w:val="3"/>
            <w:vAlign w:val="center"/>
          </w:tcPr>
          <w:p>
            <w:pPr>
              <w:jc w:val="center"/>
              <w:rPr>
                <w:highlight w:val="none"/>
              </w:rPr>
            </w:pPr>
          </w:p>
        </w:tc>
        <w:tc>
          <w:tcPr>
            <w:tcW w:w="1701" w:type="dxa"/>
            <w:vAlign w:val="center"/>
          </w:tcPr>
          <w:p>
            <w:pPr>
              <w:jc w:val="center"/>
              <w:rPr>
                <w:highlight w:val="none"/>
              </w:rPr>
            </w:pPr>
          </w:p>
        </w:tc>
        <w:tc>
          <w:tcPr>
            <w:tcW w:w="2285" w:type="dxa"/>
            <w:vAlign w:val="center"/>
          </w:tcPr>
          <w:p>
            <w:pPr>
              <w:jc w:val="center"/>
              <w:rPr>
                <w:highlight w:val="none"/>
              </w:rPr>
            </w:pPr>
          </w:p>
        </w:tc>
      </w:tr>
    </w:tbl>
    <w:p>
      <w:pPr>
        <w:spacing w:line="440" w:lineRule="exact"/>
        <w:ind w:firstLine="420" w:firstLineChars="200"/>
        <w:rPr>
          <w:rFonts w:ascii="Times New Roman" w:hAnsi="Times New Roman" w:eastAsia="宋体" w:cs="Times New Roman"/>
          <w:highlight w:val="none"/>
        </w:rPr>
      </w:pPr>
      <w:r>
        <w:rPr>
          <w:rFonts w:ascii="Times New Roman" w:hAnsi="Times New Roman" w:eastAsia="宋体" w:cs="Times New Roman"/>
          <w:highlight w:val="none"/>
        </w:rPr>
        <w:t>注：投标人应根据投标人须知第3.5.6项的要求在本表后附相关证明材料。</w:t>
      </w:r>
    </w:p>
    <w:p>
      <w:pPr>
        <w:spacing w:line="440" w:lineRule="exact"/>
        <w:ind w:firstLine="420" w:firstLineChars="200"/>
        <w:rPr>
          <w:rFonts w:ascii="Times New Roman" w:hAnsi="Times New Roman" w:eastAsia="宋体" w:cs="Times New Roman"/>
          <w:color w:val="auto"/>
          <w:highlight w:val="none"/>
        </w:rPr>
      </w:pPr>
      <w:r>
        <w:rPr>
          <w:rFonts w:hint="eastAsia" w:ascii="Times New Roman" w:hAnsi="Times New Roman" w:eastAsia="宋体" w:cs="Times New Roman"/>
          <w:highlight w:val="none"/>
        </w:rPr>
        <w:t>附：3.5.6 “主要人员简历表”中项目负责人应附身份证、学历证、职称证、执业资格证书</w:t>
      </w:r>
      <w:r>
        <w:rPr>
          <w:rFonts w:hint="eastAsia" w:ascii="Times New Roman" w:hAnsi="Times New Roman" w:eastAsia="宋体" w:cs="Times New Roman"/>
          <w:color w:val="auto"/>
          <w:highlight w:val="none"/>
        </w:rPr>
        <w:t>和</w:t>
      </w:r>
      <w:r>
        <w:rPr>
          <w:rFonts w:hint="eastAsia" w:ascii="Times New Roman" w:hAnsi="Times New Roman" w:eastAsia="宋体" w:cs="Times New Roman"/>
          <w:b/>
          <w:bCs/>
          <w:color w:val="auto"/>
          <w:highlight w:val="none"/>
          <w:u w:val="single"/>
        </w:rPr>
        <w:t>2020年6月以来任意连续3个月</w:t>
      </w:r>
      <w:r>
        <w:rPr>
          <w:rFonts w:hint="eastAsia" w:ascii="Times New Roman" w:hAnsi="Times New Roman" w:eastAsia="宋体" w:cs="Times New Roman"/>
          <w:color w:val="auto"/>
          <w:highlight w:val="none"/>
        </w:rPr>
        <w:t>的社保缴费证明复印件，管理过的项目业绩须附合同协议书复印件；其他主要人员应附身份证、学历证、职称证、有关证书和</w:t>
      </w:r>
      <w:r>
        <w:rPr>
          <w:rFonts w:hint="eastAsia" w:ascii="Times New Roman" w:hAnsi="Times New Roman" w:eastAsia="宋体" w:cs="Times New Roman"/>
          <w:b/>
          <w:bCs/>
          <w:color w:val="auto"/>
          <w:highlight w:val="none"/>
          <w:u w:val="single"/>
        </w:rPr>
        <w:t>2020年6月以来任意连续3个月</w:t>
      </w:r>
      <w:r>
        <w:rPr>
          <w:rFonts w:hint="eastAsia" w:ascii="Times New Roman" w:hAnsi="Times New Roman" w:eastAsia="宋体" w:cs="Times New Roman"/>
          <w:color w:val="auto"/>
          <w:highlight w:val="none"/>
        </w:rPr>
        <w:t>社保缴费证明复印件。</w:t>
      </w:r>
    </w:p>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Pr>
        <w:rPr>
          <w:rFonts w:hint="eastAsia"/>
          <w:highlight w:val="none"/>
        </w:rPr>
      </w:pPr>
      <w:r>
        <w:rPr>
          <w:rFonts w:hint="eastAsia"/>
          <w:highlight w:val="none"/>
        </w:rPr>
        <w:br w:type="page"/>
      </w:r>
    </w:p>
    <w:p>
      <w:pPr>
        <w:pStyle w:val="6"/>
        <w:jc w:val="center"/>
        <w:rPr>
          <w:highlight w:val="none"/>
        </w:rPr>
      </w:pPr>
      <w:r>
        <w:rPr>
          <w:rFonts w:hint="eastAsia"/>
          <w:highlight w:val="none"/>
        </w:rPr>
        <w:t>七</w:t>
      </w:r>
      <w:r>
        <w:rPr>
          <w:highlight w:val="none"/>
        </w:rPr>
        <w:t>、</w:t>
      </w:r>
      <w:r>
        <w:rPr>
          <w:rFonts w:hint="eastAsia"/>
          <w:highlight w:val="none"/>
        </w:rPr>
        <w:t>服务方案</w:t>
      </w:r>
    </w:p>
    <w:p>
      <w:pPr>
        <w:spacing w:line="440" w:lineRule="exact"/>
        <w:ind w:firstLine="420" w:firstLineChars="200"/>
        <w:rPr>
          <w:rFonts w:ascii="Times New Roman" w:hAnsi="Times New Roman" w:cs="Times New Roman"/>
          <w:highlight w:val="none"/>
        </w:rPr>
      </w:pPr>
      <w:r>
        <w:rPr>
          <w:rFonts w:hint="eastAsia" w:ascii="Times New Roman" w:hAnsi="Times New Roman" w:cs="Times New Roman"/>
          <w:highlight w:val="none"/>
        </w:rPr>
        <w:t>服务方案格式参考如下，投标人可根据行业特点及具体情况进行调整：</w:t>
      </w:r>
    </w:p>
    <w:p>
      <w:pPr>
        <w:spacing w:line="440" w:lineRule="exact"/>
        <w:ind w:firstLine="420" w:firstLineChars="200"/>
        <w:rPr>
          <w:rFonts w:ascii="Times New Roman" w:hAnsi="Times New Roman" w:cs="Times New Roman"/>
          <w:highlight w:val="none"/>
        </w:rPr>
      </w:pPr>
      <w:r>
        <w:rPr>
          <w:rFonts w:hint="eastAsia" w:ascii="Times New Roman" w:hAnsi="Times New Roman" w:cs="Times New Roman"/>
          <w:highlight w:val="none"/>
        </w:rPr>
        <w:t>一、项目概况；</w:t>
      </w:r>
    </w:p>
    <w:p>
      <w:pPr>
        <w:spacing w:line="440" w:lineRule="exact"/>
        <w:ind w:firstLine="420" w:firstLineChars="200"/>
        <w:rPr>
          <w:rFonts w:ascii="Times New Roman" w:hAnsi="Times New Roman" w:cs="Times New Roman"/>
          <w:highlight w:val="none"/>
        </w:rPr>
      </w:pPr>
      <w:r>
        <w:rPr>
          <w:rFonts w:hint="eastAsia" w:ascii="Times New Roman" w:hAnsi="Times New Roman" w:cs="Times New Roman"/>
          <w:highlight w:val="none"/>
        </w:rPr>
        <w:t>二、服务范围、服务内容；</w:t>
      </w:r>
    </w:p>
    <w:p>
      <w:pPr>
        <w:spacing w:line="440" w:lineRule="exact"/>
        <w:ind w:firstLine="420" w:firstLineChars="200"/>
        <w:rPr>
          <w:rFonts w:ascii="Times New Roman" w:hAnsi="Times New Roman" w:cs="Times New Roman"/>
          <w:highlight w:val="none"/>
        </w:rPr>
      </w:pPr>
      <w:r>
        <w:rPr>
          <w:rFonts w:hint="eastAsia" w:ascii="Times New Roman" w:hAnsi="Times New Roman" w:cs="Times New Roman"/>
          <w:highlight w:val="none"/>
        </w:rPr>
        <w:t>三、工作依据、工作目标；</w:t>
      </w:r>
    </w:p>
    <w:p>
      <w:pPr>
        <w:spacing w:line="440" w:lineRule="exact"/>
        <w:ind w:firstLine="420" w:firstLineChars="200"/>
        <w:rPr>
          <w:rFonts w:ascii="Times New Roman" w:hAnsi="Times New Roman" w:cs="Times New Roman"/>
          <w:highlight w:val="none"/>
        </w:rPr>
      </w:pPr>
      <w:r>
        <w:rPr>
          <w:rFonts w:hint="eastAsia" w:ascii="Times New Roman" w:hAnsi="Times New Roman" w:cs="Times New Roman"/>
          <w:highlight w:val="none"/>
        </w:rPr>
        <w:t>四、机构设置（框图）、岗位职责；</w:t>
      </w:r>
    </w:p>
    <w:p>
      <w:pPr>
        <w:spacing w:line="440" w:lineRule="exact"/>
        <w:ind w:firstLine="420" w:firstLineChars="200"/>
        <w:rPr>
          <w:rFonts w:ascii="Times New Roman" w:hAnsi="Times New Roman" w:cs="Times New Roman"/>
          <w:highlight w:val="none"/>
        </w:rPr>
      </w:pPr>
      <w:r>
        <w:rPr>
          <w:rFonts w:hint="eastAsia" w:ascii="Times New Roman" w:hAnsi="Times New Roman" w:cs="Times New Roman"/>
          <w:highlight w:val="none"/>
        </w:rPr>
        <w:t>五、服务说明和服务方案；</w:t>
      </w:r>
    </w:p>
    <w:p>
      <w:pPr>
        <w:spacing w:line="440" w:lineRule="exact"/>
        <w:ind w:firstLine="420" w:firstLineChars="200"/>
        <w:rPr>
          <w:rFonts w:ascii="Times New Roman" w:hAnsi="Times New Roman" w:cs="Times New Roman"/>
          <w:highlight w:val="none"/>
        </w:rPr>
      </w:pPr>
      <w:r>
        <w:rPr>
          <w:rFonts w:hint="eastAsia" w:ascii="Times New Roman" w:hAnsi="Times New Roman" w:cs="Times New Roman"/>
          <w:highlight w:val="none"/>
        </w:rPr>
        <w:t>六、拟投入的主要人员；</w:t>
      </w:r>
    </w:p>
    <w:p>
      <w:pPr>
        <w:spacing w:line="440" w:lineRule="exact"/>
        <w:ind w:firstLine="420" w:firstLineChars="200"/>
        <w:rPr>
          <w:rFonts w:ascii="Times New Roman" w:hAnsi="Times New Roman" w:cs="Times New Roman"/>
          <w:highlight w:val="none"/>
        </w:rPr>
      </w:pPr>
      <w:r>
        <w:rPr>
          <w:rFonts w:hint="eastAsia" w:ascii="Times New Roman" w:hAnsi="Times New Roman" w:cs="Times New Roman"/>
          <w:highlight w:val="none"/>
        </w:rPr>
        <w:t>七、质量、进度、保密等保证措施；</w:t>
      </w:r>
    </w:p>
    <w:p>
      <w:pPr>
        <w:spacing w:line="440" w:lineRule="exact"/>
        <w:ind w:firstLine="420" w:firstLineChars="200"/>
        <w:rPr>
          <w:rFonts w:ascii="Times New Roman" w:hAnsi="Times New Roman" w:cs="Times New Roman"/>
          <w:highlight w:val="none"/>
        </w:rPr>
      </w:pPr>
      <w:r>
        <w:rPr>
          <w:rFonts w:hint="eastAsia" w:ascii="Times New Roman" w:hAnsi="Times New Roman" w:cs="Times New Roman"/>
          <w:highlight w:val="none"/>
        </w:rPr>
        <w:t>八、安全保证措施；</w:t>
      </w:r>
    </w:p>
    <w:p>
      <w:pPr>
        <w:spacing w:line="440" w:lineRule="exact"/>
        <w:ind w:firstLine="420" w:firstLineChars="200"/>
        <w:rPr>
          <w:rFonts w:ascii="Times New Roman" w:hAnsi="Times New Roman" w:cs="Times New Roman"/>
          <w:highlight w:val="none"/>
        </w:rPr>
      </w:pPr>
      <w:r>
        <w:rPr>
          <w:rFonts w:hint="eastAsia" w:ascii="Times New Roman" w:hAnsi="Times New Roman" w:cs="Times New Roman"/>
          <w:highlight w:val="none"/>
        </w:rPr>
        <w:t>九、工作重点、难点分析</w:t>
      </w:r>
    </w:p>
    <w:p>
      <w:pPr>
        <w:spacing w:line="440" w:lineRule="exact"/>
        <w:ind w:firstLine="420" w:firstLineChars="200"/>
        <w:rPr>
          <w:rFonts w:ascii="Times New Roman" w:hAnsi="Times New Roman" w:cs="Times New Roman"/>
          <w:highlight w:val="none"/>
        </w:rPr>
      </w:pPr>
      <w:r>
        <w:rPr>
          <w:rFonts w:hint="eastAsia" w:ascii="Times New Roman" w:hAnsi="Times New Roman" w:cs="Times New Roman"/>
          <w:highlight w:val="none"/>
        </w:rPr>
        <w:t>十、对本项目的合理化建议。</w:t>
      </w:r>
    </w:p>
    <w:p>
      <w:pPr>
        <w:spacing w:line="440" w:lineRule="exact"/>
        <w:ind w:firstLine="420" w:firstLineChars="200"/>
        <w:rPr>
          <w:rFonts w:ascii="Times New Roman" w:hAnsi="Times New Roman" w:cs="Times New Roman"/>
          <w:highlight w:val="none"/>
        </w:rPr>
      </w:pPr>
    </w:p>
    <w:p>
      <w:pPr>
        <w:spacing w:line="440" w:lineRule="exact"/>
        <w:ind w:firstLine="420" w:firstLineChars="200"/>
        <w:rPr>
          <w:rFonts w:ascii="Times New Roman" w:hAnsi="Times New Roman" w:cs="Times New Roman"/>
          <w:highlight w:val="none"/>
        </w:rPr>
      </w:pPr>
    </w:p>
    <w:p>
      <w:pPr>
        <w:spacing w:line="440" w:lineRule="exact"/>
        <w:ind w:firstLine="420" w:firstLineChars="200"/>
        <w:rPr>
          <w:rFonts w:ascii="Times New Roman" w:hAnsi="Times New Roman" w:cs="Times New Roman"/>
          <w:highlight w:val="none"/>
        </w:rPr>
      </w:pPr>
    </w:p>
    <w:p>
      <w:pPr>
        <w:pStyle w:val="6"/>
        <w:jc w:val="center"/>
        <w:rPr>
          <w:rFonts w:ascii="Times New Roman" w:hAnsi="Times New Roman" w:cs="Times New Roman"/>
          <w:highlight w:val="none"/>
        </w:rPr>
      </w:pPr>
      <w:r>
        <w:rPr>
          <w:rFonts w:ascii="Times New Roman" w:hAnsi="Times New Roman" w:cs="Times New Roman"/>
          <w:highlight w:val="none"/>
        </w:rPr>
        <w:br w:type="page"/>
      </w:r>
      <w:bookmarkStart w:id="137" w:name="_Toc271821942"/>
      <w:bookmarkStart w:id="138" w:name="_Toc300835233"/>
      <w:r>
        <w:rPr>
          <w:rFonts w:hint="eastAsia" w:ascii="Times New Roman" w:hAnsi="Times New Roman" w:cs="Times New Roman"/>
          <w:highlight w:val="none"/>
        </w:rPr>
        <w:t>八</w:t>
      </w:r>
      <w:r>
        <w:rPr>
          <w:rFonts w:ascii="Times New Roman" w:hAnsi="Times New Roman" w:cs="Times New Roman"/>
          <w:highlight w:val="none"/>
        </w:rPr>
        <w:t>、其他资料</w:t>
      </w:r>
      <w:bookmarkEnd w:id="137"/>
      <w:bookmarkEnd w:id="138"/>
    </w:p>
    <w:p>
      <w:pPr>
        <w:spacing w:line="440" w:lineRule="exact"/>
        <w:ind w:firstLine="420" w:firstLineChars="200"/>
        <w:rPr>
          <w:rFonts w:ascii="Times New Roman" w:hAnsi="Times New Roman" w:eastAsia="仿宋_GB2312" w:cs="Times New Roman"/>
          <w:kern w:val="0"/>
          <w:sz w:val="28"/>
          <w:szCs w:val="28"/>
          <w:highlight w:val="none"/>
        </w:rPr>
      </w:pPr>
      <w:r>
        <w:rPr>
          <w:rFonts w:hint="eastAsia" w:ascii="Times New Roman" w:hAnsi="Times New Roman"/>
          <w:highlight w:val="none"/>
        </w:rPr>
        <w:t>第</w:t>
      </w:r>
      <w:r>
        <w:rPr>
          <w:rFonts w:hint="eastAsia" w:ascii="Times New Roman" w:hAnsi="Times New Roman"/>
          <w:highlight w:val="none"/>
          <w:lang w:val="en-US" w:eastAsia="zh-CN"/>
        </w:rPr>
        <w:t>五</w:t>
      </w:r>
      <w:r>
        <w:rPr>
          <w:rFonts w:hint="eastAsia" w:ascii="Times New Roman" w:hAnsi="Times New Roman"/>
          <w:highlight w:val="none"/>
        </w:rPr>
        <w:t>章“投标文件格式”未详尽列举，但招标文件要求或投标人认为有必要提供的资料。</w:t>
      </w:r>
    </w:p>
    <w:bookmarkEnd w:id="139"/>
    <w:sectPr>
      <w:headerReference r:id="rId4" w:type="default"/>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15</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2"/>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15</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2876"/>
    <w:rsid w:val="0002412E"/>
    <w:rsid w:val="00096BD7"/>
    <w:rsid w:val="000A4B92"/>
    <w:rsid w:val="001F62C8"/>
    <w:rsid w:val="0025121F"/>
    <w:rsid w:val="002609D3"/>
    <w:rsid w:val="002A0B03"/>
    <w:rsid w:val="002C069E"/>
    <w:rsid w:val="002C27B7"/>
    <w:rsid w:val="00342E57"/>
    <w:rsid w:val="003F431E"/>
    <w:rsid w:val="0040224D"/>
    <w:rsid w:val="0055160B"/>
    <w:rsid w:val="0055238B"/>
    <w:rsid w:val="00567359"/>
    <w:rsid w:val="005B3F61"/>
    <w:rsid w:val="006C499F"/>
    <w:rsid w:val="006C7E0C"/>
    <w:rsid w:val="006D286C"/>
    <w:rsid w:val="007001F0"/>
    <w:rsid w:val="00733B0B"/>
    <w:rsid w:val="00746178"/>
    <w:rsid w:val="00764376"/>
    <w:rsid w:val="00796B76"/>
    <w:rsid w:val="007B1656"/>
    <w:rsid w:val="007D2876"/>
    <w:rsid w:val="00821D15"/>
    <w:rsid w:val="00850CC0"/>
    <w:rsid w:val="008A465F"/>
    <w:rsid w:val="00B00F2F"/>
    <w:rsid w:val="00B07197"/>
    <w:rsid w:val="00B6178C"/>
    <w:rsid w:val="00B7173A"/>
    <w:rsid w:val="00C77961"/>
    <w:rsid w:val="00C81162"/>
    <w:rsid w:val="00CE4249"/>
    <w:rsid w:val="00D22014"/>
    <w:rsid w:val="00D601FF"/>
    <w:rsid w:val="00E2797B"/>
    <w:rsid w:val="00EA6649"/>
    <w:rsid w:val="00F77036"/>
    <w:rsid w:val="00FA7E7A"/>
    <w:rsid w:val="00FC5EA1"/>
    <w:rsid w:val="00FF308E"/>
    <w:rsid w:val="011E6004"/>
    <w:rsid w:val="01265F82"/>
    <w:rsid w:val="0145105E"/>
    <w:rsid w:val="01477ECF"/>
    <w:rsid w:val="015366DE"/>
    <w:rsid w:val="015D6DEE"/>
    <w:rsid w:val="01776822"/>
    <w:rsid w:val="017C04D7"/>
    <w:rsid w:val="017D6531"/>
    <w:rsid w:val="01891D75"/>
    <w:rsid w:val="019846E3"/>
    <w:rsid w:val="019A0D37"/>
    <w:rsid w:val="019F6B16"/>
    <w:rsid w:val="01A96F88"/>
    <w:rsid w:val="01AC09B9"/>
    <w:rsid w:val="01B734D5"/>
    <w:rsid w:val="01BC6192"/>
    <w:rsid w:val="01CB0CDF"/>
    <w:rsid w:val="01CD2334"/>
    <w:rsid w:val="01E140D3"/>
    <w:rsid w:val="01F16263"/>
    <w:rsid w:val="01FB5FA7"/>
    <w:rsid w:val="01FC6C8A"/>
    <w:rsid w:val="02016132"/>
    <w:rsid w:val="021323E7"/>
    <w:rsid w:val="021D348F"/>
    <w:rsid w:val="02562B11"/>
    <w:rsid w:val="026E5FAB"/>
    <w:rsid w:val="028E0BA6"/>
    <w:rsid w:val="02921EEB"/>
    <w:rsid w:val="02983D41"/>
    <w:rsid w:val="029B73B6"/>
    <w:rsid w:val="02A31129"/>
    <w:rsid w:val="02A46690"/>
    <w:rsid w:val="02AC508C"/>
    <w:rsid w:val="02BE075F"/>
    <w:rsid w:val="02C62A0C"/>
    <w:rsid w:val="02D15F15"/>
    <w:rsid w:val="02E85A11"/>
    <w:rsid w:val="02F4317E"/>
    <w:rsid w:val="03067649"/>
    <w:rsid w:val="0324584F"/>
    <w:rsid w:val="032652C7"/>
    <w:rsid w:val="0327280A"/>
    <w:rsid w:val="033964DC"/>
    <w:rsid w:val="0344745D"/>
    <w:rsid w:val="035021B2"/>
    <w:rsid w:val="035103B6"/>
    <w:rsid w:val="035A6997"/>
    <w:rsid w:val="03696450"/>
    <w:rsid w:val="03737C8E"/>
    <w:rsid w:val="038E65F9"/>
    <w:rsid w:val="039B26C3"/>
    <w:rsid w:val="03B16CFB"/>
    <w:rsid w:val="03BD28F2"/>
    <w:rsid w:val="03C10800"/>
    <w:rsid w:val="03C96DCC"/>
    <w:rsid w:val="03D76A54"/>
    <w:rsid w:val="03F661CB"/>
    <w:rsid w:val="03FB71CD"/>
    <w:rsid w:val="040C579E"/>
    <w:rsid w:val="04127BBC"/>
    <w:rsid w:val="0414641F"/>
    <w:rsid w:val="041515CF"/>
    <w:rsid w:val="04210376"/>
    <w:rsid w:val="04212D24"/>
    <w:rsid w:val="042C575E"/>
    <w:rsid w:val="043175D2"/>
    <w:rsid w:val="04382327"/>
    <w:rsid w:val="043A6EF6"/>
    <w:rsid w:val="043F4B9B"/>
    <w:rsid w:val="043F5557"/>
    <w:rsid w:val="044363A4"/>
    <w:rsid w:val="046528EE"/>
    <w:rsid w:val="047422EC"/>
    <w:rsid w:val="047473E0"/>
    <w:rsid w:val="04786991"/>
    <w:rsid w:val="04806F13"/>
    <w:rsid w:val="04885B47"/>
    <w:rsid w:val="04A33316"/>
    <w:rsid w:val="04A52387"/>
    <w:rsid w:val="04B54547"/>
    <w:rsid w:val="04C6056D"/>
    <w:rsid w:val="04CD15E8"/>
    <w:rsid w:val="04CF4810"/>
    <w:rsid w:val="04D36D79"/>
    <w:rsid w:val="04D63FDF"/>
    <w:rsid w:val="04DC341B"/>
    <w:rsid w:val="04EB08D2"/>
    <w:rsid w:val="04EC7DA2"/>
    <w:rsid w:val="050252F6"/>
    <w:rsid w:val="051B12F6"/>
    <w:rsid w:val="054D04ED"/>
    <w:rsid w:val="055625ED"/>
    <w:rsid w:val="05595DE4"/>
    <w:rsid w:val="056553DC"/>
    <w:rsid w:val="0572490A"/>
    <w:rsid w:val="057E3D65"/>
    <w:rsid w:val="058253F2"/>
    <w:rsid w:val="05872EB9"/>
    <w:rsid w:val="05933026"/>
    <w:rsid w:val="05B47B0A"/>
    <w:rsid w:val="05BA17C0"/>
    <w:rsid w:val="05C166EB"/>
    <w:rsid w:val="05D9116E"/>
    <w:rsid w:val="05EC50A2"/>
    <w:rsid w:val="05FA76CD"/>
    <w:rsid w:val="060B41C8"/>
    <w:rsid w:val="060C7EF1"/>
    <w:rsid w:val="061C4B78"/>
    <w:rsid w:val="061F0438"/>
    <w:rsid w:val="0623163B"/>
    <w:rsid w:val="06256505"/>
    <w:rsid w:val="06292F58"/>
    <w:rsid w:val="063F4D83"/>
    <w:rsid w:val="064A364D"/>
    <w:rsid w:val="064B59D4"/>
    <w:rsid w:val="06501BB5"/>
    <w:rsid w:val="06624967"/>
    <w:rsid w:val="06626753"/>
    <w:rsid w:val="066620F9"/>
    <w:rsid w:val="06714440"/>
    <w:rsid w:val="067240CC"/>
    <w:rsid w:val="0675297E"/>
    <w:rsid w:val="0678324B"/>
    <w:rsid w:val="067D3128"/>
    <w:rsid w:val="06866D3C"/>
    <w:rsid w:val="06972E4E"/>
    <w:rsid w:val="069A3AC9"/>
    <w:rsid w:val="06A31B6E"/>
    <w:rsid w:val="06A51B4A"/>
    <w:rsid w:val="06A602CF"/>
    <w:rsid w:val="06A848F7"/>
    <w:rsid w:val="06B86823"/>
    <w:rsid w:val="06BF2153"/>
    <w:rsid w:val="06D375E0"/>
    <w:rsid w:val="06D9502E"/>
    <w:rsid w:val="06E329B2"/>
    <w:rsid w:val="06EB4F76"/>
    <w:rsid w:val="06ED1728"/>
    <w:rsid w:val="06F81D74"/>
    <w:rsid w:val="06F945C3"/>
    <w:rsid w:val="071442F5"/>
    <w:rsid w:val="07341382"/>
    <w:rsid w:val="07351836"/>
    <w:rsid w:val="074267A8"/>
    <w:rsid w:val="07435AC7"/>
    <w:rsid w:val="074A7C93"/>
    <w:rsid w:val="07511E6E"/>
    <w:rsid w:val="07666E00"/>
    <w:rsid w:val="07723470"/>
    <w:rsid w:val="077B19B3"/>
    <w:rsid w:val="07803B85"/>
    <w:rsid w:val="078A5688"/>
    <w:rsid w:val="07962EAB"/>
    <w:rsid w:val="07972327"/>
    <w:rsid w:val="07A526A3"/>
    <w:rsid w:val="07A85930"/>
    <w:rsid w:val="07EE56D8"/>
    <w:rsid w:val="07FC7F9B"/>
    <w:rsid w:val="08135436"/>
    <w:rsid w:val="08135F8A"/>
    <w:rsid w:val="081A64E8"/>
    <w:rsid w:val="081A78AB"/>
    <w:rsid w:val="083704C9"/>
    <w:rsid w:val="083726B7"/>
    <w:rsid w:val="0838660F"/>
    <w:rsid w:val="0844736D"/>
    <w:rsid w:val="08554A0D"/>
    <w:rsid w:val="08563EE1"/>
    <w:rsid w:val="08633C94"/>
    <w:rsid w:val="086D3DA1"/>
    <w:rsid w:val="08774BE1"/>
    <w:rsid w:val="087C0267"/>
    <w:rsid w:val="088F5820"/>
    <w:rsid w:val="08903F11"/>
    <w:rsid w:val="08932D8F"/>
    <w:rsid w:val="08B42C1D"/>
    <w:rsid w:val="08BF001C"/>
    <w:rsid w:val="08ED571D"/>
    <w:rsid w:val="08F30303"/>
    <w:rsid w:val="090347F9"/>
    <w:rsid w:val="09094C02"/>
    <w:rsid w:val="090B4E95"/>
    <w:rsid w:val="09176975"/>
    <w:rsid w:val="0922447E"/>
    <w:rsid w:val="09285EF9"/>
    <w:rsid w:val="092D0C4C"/>
    <w:rsid w:val="09320BA3"/>
    <w:rsid w:val="09402156"/>
    <w:rsid w:val="094319EC"/>
    <w:rsid w:val="09553317"/>
    <w:rsid w:val="095B2DC5"/>
    <w:rsid w:val="095C220F"/>
    <w:rsid w:val="095C3083"/>
    <w:rsid w:val="096213E6"/>
    <w:rsid w:val="09633229"/>
    <w:rsid w:val="09641BD1"/>
    <w:rsid w:val="096637B6"/>
    <w:rsid w:val="0967298A"/>
    <w:rsid w:val="09817F0F"/>
    <w:rsid w:val="099B4112"/>
    <w:rsid w:val="09A4167C"/>
    <w:rsid w:val="09A71C3D"/>
    <w:rsid w:val="09AF2C22"/>
    <w:rsid w:val="09B32D8C"/>
    <w:rsid w:val="09B45CC6"/>
    <w:rsid w:val="09B9167B"/>
    <w:rsid w:val="09C37FE6"/>
    <w:rsid w:val="09CB20E0"/>
    <w:rsid w:val="09D236A1"/>
    <w:rsid w:val="09DB25D9"/>
    <w:rsid w:val="09DF226A"/>
    <w:rsid w:val="09EC69D2"/>
    <w:rsid w:val="09F24E69"/>
    <w:rsid w:val="09F55A47"/>
    <w:rsid w:val="09F61499"/>
    <w:rsid w:val="09F80B72"/>
    <w:rsid w:val="0A074254"/>
    <w:rsid w:val="0A0D1983"/>
    <w:rsid w:val="0A3B332D"/>
    <w:rsid w:val="0A3F6135"/>
    <w:rsid w:val="0A4A4D09"/>
    <w:rsid w:val="0A4D21A5"/>
    <w:rsid w:val="0A500304"/>
    <w:rsid w:val="0A5234C1"/>
    <w:rsid w:val="0A544005"/>
    <w:rsid w:val="0A605FF5"/>
    <w:rsid w:val="0A704DEE"/>
    <w:rsid w:val="0A8B5261"/>
    <w:rsid w:val="0A8E5075"/>
    <w:rsid w:val="0A9001DC"/>
    <w:rsid w:val="0A9022CF"/>
    <w:rsid w:val="0A99152D"/>
    <w:rsid w:val="0A9F1087"/>
    <w:rsid w:val="0AA913FB"/>
    <w:rsid w:val="0AAE6B76"/>
    <w:rsid w:val="0AB37F43"/>
    <w:rsid w:val="0AB930A2"/>
    <w:rsid w:val="0ADD0DF0"/>
    <w:rsid w:val="0AE12CD3"/>
    <w:rsid w:val="0AE617F3"/>
    <w:rsid w:val="0AEB40E8"/>
    <w:rsid w:val="0B2810DB"/>
    <w:rsid w:val="0B2E135C"/>
    <w:rsid w:val="0B416906"/>
    <w:rsid w:val="0B44058A"/>
    <w:rsid w:val="0B5D1C2A"/>
    <w:rsid w:val="0B683A4F"/>
    <w:rsid w:val="0B685C3C"/>
    <w:rsid w:val="0B7202E7"/>
    <w:rsid w:val="0B725051"/>
    <w:rsid w:val="0B8C63AF"/>
    <w:rsid w:val="0B991D46"/>
    <w:rsid w:val="0B9E2A8E"/>
    <w:rsid w:val="0B9F686D"/>
    <w:rsid w:val="0BB82A2B"/>
    <w:rsid w:val="0BC817F0"/>
    <w:rsid w:val="0BE71E62"/>
    <w:rsid w:val="0C110CA2"/>
    <w:rsid w:val="0C175AC8"/>
    <w:rsid w:val="0C364F9E"/>
    <w:rsid w:val="0C773477"/>
    <w:rsid w:val="0C905D65"/>
    <w:rsid w:val="0C9F113B"/>
    <w:rsid w:val="0CAF0053"/>
    <w:rsid w:val="0CD3448B"/>
    <w:rsid w:val="0CD42B77"/>
    <w:rsid w:val="0CF072F3"/>
    <w:rsid w:val="0CF210CD"/>
    <w:rsid w:val="0D0C3D32"/>
    <w:rsid w:val="0D2466BD"/>
    <w:rsid w:val="0D3575AB"/>
    <w:rsid w:val="0D3A1668"/>
    <w:rsid w:val="0D4120AF"/>
    <w:rsid w:val="0D447FB8"/>
    <w:rsid w:val="0D4965D9"/>
    <w:rsid w:val="0D4A67B7"/>
    <w:rsid w:val="0D5C2246"/>
    <w:rsid w:val="0D5C46C4"/>
    <w:rsid w:val="0D66752B"/>
    <w:rsid w:val="0D6A3C45"/>
    <w:rsid w:val="0D6B611E"/>
    <w:rsid w:val="0D772542"/>
    <w:rsid w:val="0D7E1788"/>
    <w:rsid w:val="0D7F3B4D"/>
    <w:rsid w:val="0D84383E"/>
    <w:rsid w:val="0D887338"/>
    <w:rsid w:val="0DA13B17"/>
    <w:rsid w:val="0DA277FF"/>
    <w:rsid w:val="0DB75691"/>
    <w:rsid w:val="0DB8057F"/>
    <w:rsid w:val="0DC57869"/>
    <w:rsid w:val="0DD331D8"/>
    <w:rsid w:val="0DDB677F"/>
    <w:rsid w:val="0DE90B73"/>
    <w:rsid w:val="0DF043C6"/>
    <w:rsid w:val="0E05197A"/>
    <w:rsid w:val="0E093A81"/>
    <w:rsid w:val="0E1060AD"/>
    <w:rsid w:val="0E1201C4"/>
    <w:rsid w:val="0E3C08A3"/>
    <w:rsid w:val="0E493D37"/>
    <w:rsid w:val="0E525503"/>
    <w:rsid w:val="0E5C46C9"/>
    <w:rsid w:val="0E5E6C82"/>
    <w:rsid w:val="0E626142"/>
    <w:rsid w:val="0E6D2ED0"/>
    <w:rsid w:val="0E6D3EE4"/>
    <w:rsid w:val="0E73304D"/>
    <w:rsid w:val="0E766E25"/>
    <w:rsid w:val="0E8168AC"/>
    <w:rsid w:val="0E92031F"/>
    <w:rsid w:val="0E9601D9"/>
    <w:rsid w:val="0EB07759"/>
    <w:rsid w:val="0EBD5C4C"/>
    <w:rsid w:val="0ED9692D"/>
    <w:rsid w:val="0EDF4D5E"/>
    <w:rsid w:val="0EF860F0"/>
    <w:rsid w:val="0F00127D"/>
    <w:rsid w:val="0F024085"/>
    <w:rsid w:val="0F1438EF"/>
    <w:rsid w:val="0F161C0C"/>
    <w:rsid w:val="0F3D265E"/>
    <w:rsid w:val="0F463825"/>
    <w:rsid w:val="0F4B0F6A"/>
    <w:rsid w:val="0F4F04D7"/>
    <w:rsid w:val="0F575798"/>
    <w:rsid w:val="0F5F0514"/>
    <w:rsid w:val="0F5F5CB1"/>
    <w:rsid w:val="0F670A63"/>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A0147"/>
    <w:rsid w:val="0FEF7844"/>
    <w:rsid w:val="0FF072CE"/>
    <w:rsid w:val="0FF61FF1"/>
    <w:rsid w:val="0FF67BB1"/>
    <w:rsid w:val="1000615B"/>
    <w:rsid w:val="100220BE"/>
    <w:rsid w:val="10025B65"/>
    <w:rsid w:val="101038A7"/>
    <w:rsid w:val="101E2D38"/>
    <w:rsid w:val="102A3008"/>
    <w:rsid w:val="10427DDE"/>
    <w:rsid w:val="10446D2F"/>
    <w:rsid w:val="104957CA"/>
    <w:rsid w:val="104A797E"/>
    <w:rsid w:val="104D6EF3"/>
    <w:rsid w:val="1069417C"/>
    <w:rsid w:val="106C1E4B"/>
    <w:rsid w:val="10754F51"/>
    <w:rsid w:val="1079104A"/>
    <w:rsid w:val="108A23D3"/>
    <w:rsid w:val="108E687D"/>
    <w:rsid w:val="1095135B"/>
    <w:rsid w:val="10AF7305"/>
    <w:rsid w:val="10CF5152"/>
    <w:rsid w:val="10D35E97"/>
    <w:rsid w:val="10E65AA9"/>
    <w:rsid w:val="10F47DFE"/>
    <w:rsid w:val="11114551"/>
    <w:rsid w:val="112269D1"/>
    <w:rsid w:val="11356135"/>
    <w:rsid w:val="11537004"/>
    <w:rsid w:val="115D1849"/>
    <w:rsid w:val="11800917"/>
    <w:rsid w:val="118955AD"/>
    <w:rsid w:val="11970BCB"/>
    <w:rsid w:val="1197226B"/>
    <w:rsid w:val="119E5143"/>
    <w:rsid w:val="11A23351"/>
    <w:rsid w:val="11AA0839"/>
    <w:rsid w:val="11BD1BCA"/>
    <w:rsid w:val="11BD5F4B"/>
    <w:rsid w:val="11C42470"/>
    <w:rsid w:val="11C71895"/>
    <w:rsid w:val="11CD444A"/>
    <w:rsid w:val="11E2334D"/>
    <w:rsid w:val="11E42782"/>
    <w:rsid w:val="11EA25BA"/>
    <w:rsid w:val="11FC3F3B"/>
    <w:rsid w:val="11FD41F5"/>
    <w:rsid w:val="11FE456B"/>
    <w:rsid w:val="120A72E0"/>
    <w:rsid w:val="12262DDA"/>
    <w:rsid w:val="12292E18"/>
    <w:rsid w:val="123F1A00"/>
    <w:rsid w:val="124D3BAD"/>
    <w:rsid w:val="12535B93"/>
    <w:rsid w:val="125A52C4"/>
    <w:rsid w:val="12655D96"/>
    <w:rsid w:val="126E70A7"/>
    <w:rsid w:val="12871BA1"/>
    <w:rsid w:val="128E3C38"/>
    <w:rsid w:val="12981122"/>
    <w:rsid w:val="129E250A"/>
    <w:rsid w:val="12BF2922"/>
    <w:rsid w:val="12C942C8"/>
    <w:rsid w:val="12D50370"/>
    <w:rsid w:val="12DC5F5E"/>
    <w:rsid w:val="12DC7F8C"/>
    <w:rsid w:val="12E2251E"/>
    <w:rsid w:val="12E82A0B"/>
    <w:rsid w:val="13027FAE"/>
    <w:rsid w:val="131873D2"/>
    <w:rsid w:val="131C5459"/>
    <w:rsid w:val="13212B64"/>
    <w:rsid w:val="13237A9A"/>
    <w:rsid w:val="13253C3A"/>
    <w:rsid w:val="13274F9C"/>
    <w:rsid w:val="13417410"/>
    <w:rsid w:val="134A448A"/>
    <w:rsid w:val="134C5D75"/>
    <w:rsid w:val="134F4267"/>
    <w:rsid w:val="134F7EA7"/>
    <w:rsid w:val="135107A8"/>
    <w:rsid w:val="13593CA5"/>
    <w:rsid w:val="135A2C11"/>
    <w:rsid w:val="136066CF"/>
    <w:rsid w:val="13657E31"/>
    <w:rsid w:val="136C3340"/>
    <w:rsid w:val="1387094F"/>
    <w:rsid w:val="138D74CD"/>
    <w:rsid w:val="139C08EB"/>
    <w:rsid w:val="13A41DAE"/>
    <w:rsid w:val="13AF64FC"/>
    <w:rsid w:val="13AF7657"/>
    <w:rsid w:val="13C25262"/>
    <w:rsid w:val="13D0213F"/>
    <w:rsid w:val="13D35238"/>
    <w:rsid w:val="13D81B1F"/>
    <w:rsid w:val="13ED6E9B"/>
    <w:rsid w:val="14061B66"/>
    <w:rsid w:val="140E6906"/>
    <w:rsid w:val="142B5FE2"/>
    <w:rsid w:val="142C3159"/>
    <w:rsid w:val="14334C51"/>
    <w:rsid w:val="14542872"/>
    <w:rsid w:val="147E2423"/>
    <w:rsid w:val="1487273A"/>
    <w:rsid w:val="148B2FCA"/>
    <w:rsid w:val="148C28CB"/>
    <w:rsid w:val="14944440"/>
    <w:rsid w:val="14A059A0"/>
    <w:rsid w:val="14B87DF7"/>
    <w:rsid w:val="14B97B05"/>
    <w:rsid w:val="14CD31B9"/>
    <w:rsid w:val="14D32567"/>
    <w:rsid w:val="14DA6BBE"/>
    <w:rsid w:val="14E67563"/>
    <w:rsid w:val="14EE304A"/>
    <w:rsid w:val="15021B62"/>
    <w:rsid w:val="150A21BA"/>
    <w:rsid w:val="151779D1"/>
    <w:rsid w:val="151B2EFC"/>
    <w:rsid w:val="1522437E"/>
    <w:rsid w:val="15283931"/>
    <w:rsid w:val="153608A7"/>
    <w:rsid w:val="15382F40"/>
    <w:rsid w:val="153C4DAD"/>
    <w:rsid w:val="154F1076"/>
    <w:rsid w:val="15593D90"/>
    <w:rsid w:val="15631036"/>
    <w:rsid w:val="158374C1"/>
    <w:rsid w:val="15883F0F"/>
    <w:rsid w:val="159D2DF0"/>
    <w:rsid w:val="15A62ECC"/>
    <w:rsid w:val="15B14179"/>
    <w:rsid w:val="15BB515A"/>
    <w:rsid w:val="15C516BD"/>
    <w:rsid w:val="15E14ACE"/>
    <w:rsid w:val="15E30544"/>
    <w:rsid w:val="15EA1C06"/>
    <w:rsid w:val="15EB64F1"/>
    <w:rsid w:val="163972DF"/>
    <w:rsid w:val="16403FD8"/>
    <w:rsid w:val="16413781"/>
    <w:rsid w:val="166266B1"/>
    <w:rsid w:val="16636D0F"/>
    <w:rsid w:val="16664D45"/>
    <w:rsid w:val="166A29CC"/>
    <w:rsid w:val="16822D4F"/>
    <w:rsid w:val="168E157D"/>
    <w:rsid w:val="16A67EDC"/>
    <w:rsid w:val="16AE5D39"/>
    <w:rsid w:val="16C724D4"/>
    <w:rsid w:val="16D2144C"/>
    <w:rsid w:val="16D411E7"/>
    <w:rsid w:val="170756D4"/>
    <w:rsid w:val="170F4587"/>
    <w:rsid w:val="171C6910"/>
    <w:rsid w:val="17286409"/>
    <w:rsid w:val="172C7D14"/>
    <w:rsid w:val="17452741"/>
    <w:rsid w:val="176115DC"/>
    <w:rsid w:val="176D7525"/>
    <w:rsid w:val="17824660"/>
    <w:rsid w:val="178948A0"/>
    <w:rsid w:val="178D4F75"/>
    <w:rsid w:val="178F2FF8"/>
    <w:rsid w:val="179121FE"/>
    <w:rsid w:val="17915931"/>
    <w:rsid w:val="17A95D2F"/>
    <w:rsid w:val="17AE37BE"/>
    <w:rsid w:val="17B406A7"/>
    <w:rsid w:val="17BB073A"/>
    <w:rsid w:val="17C24576"/>
    <w:rsid w:val="17C41ABF"/>
    <w:rsid w:val="17E9387C"/>
    <w:rsid w:val="18116B1D"/>
    <w:rsid w:val="18175D56"/>
    <w:rsid w:val="181C44F7"/>
    <w:rsid w:val="18276B10"/>
    <w:rsid w:val="18310520"/>
    <w:rsid w:val="18341AA2"/>
    <w:rsid w:val="18396FF2"/>
    <w:rsid w:val="183C0E63"/>
    <w:rsid w:val="1866537E"/>
    <w:rsid w:val="187964F0"/>
    <w:rsid w:val="189B5F22"/>
    <w:rsid w:val="18A70256"/>
    <w:rsid w:val="18A944F8"/>
    <w:rsid w:val="18B117A1"/>
    <w:rsid w:val="18B30663"/>
    <w:rsid w:val="18B73074"/>
    <w:rsid w:val="18C5114B"/>
    <w:rsid w:val="18CA061B"/>
    <w:rsid w:val="18DA76F1"/>
    <w:rsid w:val="18DC597B"/>
    <w:rsid w:val="18E4164E"/>
    <w:rsid w:val="18E54122"/>
    <w:rsid w:val="19034C2D"/>
    <w:rsid w:val="1916127C"/>
    <w:rsid w:val="193D465D"/>
    <w:rsid w:val="193D4E12"/>
    <w:rsid w:val="195419D3"/>
    <w:rsid w:val="19605E78"/>
    <w:rsid w:val="196C4606"/>
    <w:rsid w:val="196C6238"/>
    <w:rsid w:val="19746D28"/>
    <w:rsid w:val="197C46C1"/>
    <w:rsid w:val="198A59D6"/>
    <w:rsid w:val="19A73D74"/>
    <w:rsid w:val="19AA5416"/>
    <w:rsid w:val="19B10C29"/>
    <w:rsid w:val="19B47ADC"/>
    <w:rsid w:val="19CE7FF6"/>
    <w:rsid w:val="19D03EAF"/>
    <w:rsid w:val="19D70C6D"/>
    <w:rsid w:val="19E2271F"/>
    <w:rsid w:val="19ED4AB6"/>
    <w:rsid w:val="19F3086D"/>
    <w:rsid w:val="19FF6399"/>
    <w:rsid w:val="1A075570"/>
    <w:rsid w:val="1A0873EE"/>
    <w:rsid w:val="1A097330"/>
    <w:rsid w:val="1A1C623A"/>
    <w:rsid w:val="1A222A0A"/>
    <w:rsid w:val="1A270D5F"/>
    <w:rsid w:val="1A2820C6"/>
    <w:rsid w:val="1A341AC0"/>
    <w:rsid w:val="1A4D4CED"/>
    <w:rsid w:val="1A735AEC"/>
    <w:rsid w:val="1A744BB1"/>
    <w:rsid w:val="1A761035"/>
    <w:rsid w:val="1A797469"/>
    <w:rsid w:val="1A8850B8"/>
    <w:rsid w:val="1AAB4E9C"/>
    <w:rsid w:val="1ADB0B95"/>
    <w:rsid w:val="1AEC3C17"/>
    <w:rsid w:val="1AF80851"/>
    <w:rsid w:val="1AF92C34"/>
    <w:rsid w:val="1B0361BC"/>
    <w:rsid w:val="1B0D61D2"/>
    <w:rsid w:val="1B262D26"/>
    <w:rsid w:val="1B2670F4"/>
    <w:rsid w:val="1B2D1E19"/>
    <w:rsid w:val="1B2D7FD6"/>
    <w:rsid w:val="1B374A35"/>
    <w:rsid w:val="1B3A5220"/>
    <w:rsid w:val="1B3B258E"/>
    <w:rsid w:val="1B432501"/>
    <w:rsid w:val="1B62216D"/>
    <w:rsid w:val="1B652C95"/>
    <w:rsid w:val="1B70155F"/>
    <w:rsid w:val="1B723039"/>
    <w:rsid w:val="1B7700FA"/>
    <w:rsid w:val="1B894EBC"/>
    <w:rsid w:val="1B8C1172"/>
    <w:rsid w:val="1B9269B7"/>
    <w:rsid w:val="1BB12BB2"/>
    <w:rsid w:val="1BCE49E9"/>
    <w:rsid w:val="1BD12722"/>
    <w:rsid w:val="1BD15865"/>
    <w:rsid w:val="1BDF24E0"/>
    <w:rsid w:val="1BE276B7"/>
    <w:rsid w:val="1BE90199"/>
    <w:rsid w:val="1BF17355"/>
    <w:rsid w:val="1BFE7E24"/>
    <w:rsid w:val="1C100B6A"/>
    <w:rsid w:val="1C2075D6"/>
    <w:rsid w:val="1C2B6CB4"/>
    <w:rsid w:val="1C2F15C4"/>
    <w:rsid w:val="1C3774BA"/>
    <w:rsid w:val="1C4C1274"/>
    <w:rsid w:val="1C5D4617"/>
    <w:rsid w:val="1C5D5F8B"/>
    <w:rsid w:val="1C637E71"/>
    <w:rsid w:val="1C6E241C"/>
    <w:rsid w:val="1C781F1C"/>
    <w:rsid w:val="1C7A099F"/>
    <w:rsid w:val="1C855634"/>
    <w:rsid w:val="1C9B2C88"/>
    <w:rsid w:val="1C9C2788"/>
    <w:rsid w:val="1CA83FE4"/>
    <w:rsid w:val="1CB07DF9"/>
    <w:rsid w:val="1CBE006C"/>
    <w:rsid w:val="1CC3681B"/>
    <w:rsid w:val="1CC7761E"/>
    <w:rsid w:val="1CD143D0"/>
    <w:rsid w:val="1CE330DA"/>
    <w:rsid w:val="1CF251D3"/>
    <w:rsid w:val="1CFF3217"/>
    <w:rsid w:val="1D0C3E62"/>
    <w:rsid w:val="1D1D0D81"/>
    <w:rsid w:val="1D271412"/>
    <w:rsid w:val="1D576A44"/>
    <w:rsid w:val="1D5835F0"/>
    <w:rsid w:val="1D5D4990"/>
    <w:rsid w:val="1D6539B3"/>
    <w:rsid w:val="1D7D4B0B"/>
    <w:rsid w:val="1D8B4FE2"/>
    <w:rsid w:val="1D8C5045"/>
    <w:rsid w:val="1D9244F8"/>
    <w:rsid w:val="1D931CEA"/>
    <w:rsid w:val="1D9C5084"/>
    <w:rsid w:val="1DA0794B"/>
    <w:rsid w:val="1DB64AE5"/>
    <w:rsid w:val="1DB82722"/>
    <w:rsid w:val="1DC177D9"/>
    <w:rsid w:val="1DD1343B"/>
    <w:rsid w:val="1DD222FF"/>
    <w:rsid w:val="1DD94BEF"/>
    <w:rsid w:val="1DDE608F"/>
    <w:rsid w:val="1E021573"/>
    <w:rsid w:val="1E1A236E"/>
    <w:rsid w:val="1E225BB3"/>
    <w:rsid w:val="1E2A6113"/>
    <w:rsid w:val="1E2D212B"/>
    <w:rsid w:val="1E2E1737"/>
    <w:rsid w:val="1E2E6E13"/>
    <w:rsid w:val="1E32182A"/>
    <w:rsid w:val="1E3C2BCA"/>
    <w:rsid w:val="1E5A61EE"/>
    <w:rsid w:val="1E615244"/>
    <w:rsid w:val="1E713E2F"/>
    <w:rsid w:val="1E882116"/>
    <w:rsid w:val="1E927A94"/>
    <w:rsid w:val="1EA573D8"/>
    <w:rsid w:val="1EB0513B"/>
    <w:rsid w:val="1EB4327E"/>
    <w:rsid w:val="1EB72F76"/>
    <w:rsid w:val="1EBC7943"/>
    <w:rsid w:val="1ED45036"/>
    <w:rsid w:val="1EDC61DD"/>
    <w:rsid w:val="1EE36B2C"/>
    <w:rsid w:val="1EEA786F"/>
    <w:rsid w:val="1EF15394"/>
    <w:rsid w:val="1EF342CB"/>
    <w:rsid w:val="1EF62481"/>
    <w:rsid w:val="1F020A44"/>
    <w:rsid w:val="1F041BC7"/>
    <w:rsid w:val="1F127B09"/>
    <w:rsid w:val="1F16394E"/>
    <w:rsid w:val="1F2354C8"/>
    <w:rsid w:val="1F36160E"/>
    <w:rsid w:val="1F3920FB"/>
    <w:rsid w:val="1F4544BF"/>
    <w:rsid w:val="1F560579"/>
    <w:rsid w:val="1F5D00BF"/>
    <w:rsid w:val="1F640255"/>
    <w:rsid w:val="1F671677"/>
    <w:rsid w:val="1F722047"/>
    <w:rsid w:val="1F904945"/>
    <w:rsid w:val="1F9C3A7F"/>
    <w:rsid w:val="1F9E44D6"/>
    <w:rsid w:val="1FA32D78"/>
    <w:rsid w:val="1FAA6A2E"/>
    <w:rsid w:val="1FC11059"/>
    <w:rsid w:val="1FD608B1"/>
    <w:rsid w:val="1FE570E2"/>
    <w:rsid w:val="1FE7673E"/>
    <w:rsid w:val="200218B6"/>
    <w:rsid w:val="200E38F2"/>
    <w:rsid w:val="201E585F"/>
    <w:rsid w:val="20207229"/>
    <w:rsid w:val="20410B17"/>
    <w:rsid w:val="2049266D"/>
    <w:rsid w:val="20534B67"/>
    <w:rsid w:val="2054187A"/>
    <w:rsid w:val="20557DC5"/>
    <w:rsid w:val="205A5C16"/>
    <w:rsid w:val="205B7D6A"/>
    <w:rsid w:val="207C33EE"/>
    <w:rsid w:val="2081342E"/>
    <w:rsid w:val="209740BF"/>
    <w:rsid w:val="2099242E"/>
    <w:rsid w:val="20AA1E5D"/>
    <w:rsid w:val="20AE5E99"/>
    <w:rsid w:val="20B0411F"/>
    <w:rsid w:val="20B25974"/>
    <w:rsid w:val="20D658C9"/>
    <w:rsid w:val="20D95B5B"/>
    <w:rsid w:val="20DC2416"/>
    <w:rsid w:val="20E43C38"/>
    <w:rsid w:val="20EA6CF6"/>
    <w:rsid w:val="20F22231"/>
    <w:rsid w:val="20FF6C87"/>
    <w:rsid w:val="21015C2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7422B6"/>
    <w:rsid w:val="218830DB"/>
    <w:rsid w:val="2188758A"/>
    <w:rsid w:val="21927CFA"/>
    <w:rsid w:val="21A61686"/>
    <w:rsid w:val="21AE0FC0"/>
    <w:rsid w:val="21BC2CB4"/>
    <w:rsid w:val="21C13A32"/>
    <w:rsid w:val="21CA0AEB"/>
    <w:rsid w:val="21D660F7"/>
    <w:rsid w:val="21DA0654"/>
    <w:rsid w:val="21EE31A8"/>
    <w:rsid w:val="21F3174D"/>
    <w:rsid w:val="220940EA"/>
    <w:rsid w:val="220A4BCF"/>
    <w:rsid w:val="22127266"/>
    <w:rsid w:val="221E15AC"/>
    <w:rsid w:val="22225038"/>
    <w:rsid w:val="22270787"/>
    <w:rsid w:val="222A3752"/>
    <w:rsid w:val="223659AD"/>
    <w:rsid w:val="224D73DD"/>
    <w:rsid w:val="224E5BF6"/>
    <w:rsid w:val="224F02C6"/>
    <w:rsid w:val="22592601"/>
    <w:rsid w:val="225F6B03"/>
    <w:rsid w:val="226D7B83"/>
    <w:rsid w:val="227D333D"/>
    <w:rsid w:val="22805079"/>
    <w:rsid w:val="22830B8E"/>
    <w:rsid w:val="22881D30"/>
    <w:rsid w:val="2290672C"/>
    <w:rsid w:val="2293123C"/>
    <w:rsid w:val="22A570EC"/>
    <w:rsid w:val="22A80FFA"/>
    <w:rsid w:val="22B70712"/>
    <w:rsid w:val="22C10E81"/>
    <w:rsid w:val="22D43243"/>
    <w:rsid w:val="22D704E6"/>
    <w:rsid w:val="22E75573"/>
    <w:rsid w:val="22ED5BB2"/>
    <w:rsid w:val="23146AE4"/>
    <w:rsid w:val="232E56FD"/>
    <w:rsid w:val="2330187C"/>
    <w:rsid w:val="233F5F96"/>
    <w:rsid w:val="23443F8C"/>
    <w:rsid w:val="235A5A61"/>
    <w:rsid w:val="235B2F11"/>
    <w:rsid w:val="235F4D23"/>
    <w:rsid w:val="236D4028"/>
    <w:rsid w:val="237A75E1"/>
    <w:rsid w:val="238A4DFC"/>
    <w:rsid w:val="238D6946"/>
    <w:rsid w:val="2393654C"/>
    <w:rsid w:val="23B04AEE"/>
    <w:rsid w:val="23B449C4"/>
    <w:rsid w:val="23CA7A4D"/>
    <w:rsid w:val="23DD21F3"/>
    <w:rsid w:val="23DF7B34"/>
    <w:rsid w:val="240C05DA"/>
    <w:rsid w:val="24226CC5"/>
    <w:rsid w:val="24312A4A"/>
    <w:rsid w:val="244A5E9A"/>
    <w:rsid w:val="244C4BB8"/>
    <w:rsid w:val="24691193"/>
    <w:rsid w:val="246C3A46"/>
    <w:rsid w:val="247152E7"/>
    <w:rsid w:val="24881DAE"/>
    <w:rsid w:val="24BC7675"/>
    <w:rsid w:val="24C57933"/>
    <w:rsid w:val="24E04616"/>
    <w:rsid w:val="24FC0DBA"/>
    <w:rsid w:val="24FF7718"/>
    <w:rsid w:val="251A7612"/>
    <w:rsid w:val="25237A22"/>
    <w:rsid w:val="25285AE1"/>
    <w:rsid w:val="252E0774"/>
    <w:rsid w:val="2544462C"/>
    <w:rsid w:val="25481BCE"/>
    <w:rsid w:val="254E3439"/>
    <w:rsid w:val="255453E5"/>
    <w:rsid w:val="255D36DD"/>
    <w:rsid w:val="25812F8D"/>
    <w:rsid w:val="25814DB7"/>
    <w:rsid w:val="25824959"/>
    <w:rsid w:val="25987A23"/>
    <w:rsid w:val="259D3936"/>
    <w:rsid w:val="259E2C83"/>
    <w:rsid w:val="25A0070B"/>
    <w:rsid w:val="25B460CA"/>
    <w:rsid w:val="25BC46FF"/>
    <w:rsid w:val="25C00CC8"/>
    <w:rsid w:val="25C517A2"/>
    <w:rsid w:val="25D35F83"/>
    <w:rsid w:val="25E62BDF"/>
    <w:rsid w:val="25F5789E"/>
    <w:rsid w:val="25FD6A72"/>
    <w:rsid w:val="2608561B"/>
    <w:rsid w:val="26196938"/>
    <w:rsid w:val="26261861"/>
    <w:rsid w:val="26382AAC"/>
    <w:rsid w:val="26405FF8"/>
    <w:rsid w:val="26410311"/>
    <w:rsid w:val="26506FAD"/>
    <w:rsid w:val="26617429"/>
    <w:rsid w:val="26645CEF"/>
    <w:rsid w:val="26656277"/>
    <w:rsid w:val="26663117"/>
    <w:rsid w:val="266C4D57"/>
    <w:rsid w:val="2673017F"/>
    <w:rsid w:val="267771CA"/>
    <w:rsid w:val="26807144"/>
    <w:rsid w:val="268A362E"/>
    <w:rsid w:val="269560EE"/>
    <w:rsid w:val="26AF686C"/>
    <w:rsid w:val="26BD6F5F"/>
    <w:rsid w:val="26CA60FC"/>
    <w:rsid w:val="26D16018"/>
    <w:rsid w:val="26D85E7A"/>
    <w:rsid w:val="26DB3228"/>
    <w:rsid w:val="26DF6074"/>
    <w:rsid w:val="26E05716"/>
    <w:rsid w:val="26FA6F48"/>
    <w:rsid w:val="26FE679C"/>
    <w:rsid w:val="270C26D7"/>
    <w:rsid w:val="271E59B6"/>
    <w:rsid w:val="272C11C0"/>
    <w:rsid w:val="27301EDB"/>
    <w:rsid w:val="27453115"/>
    <w:rsid w:val="274F6B1E"/>
    <w:rsid w:val="27547EE4"/>
    <w:rsid w:val="276C029F"/>
    <w:rsid w:val="27867E0A"/>
    <w:rsid w:val="27912807"/>
    <w:rsid w:val="2792515D"/>
    <w:rsid w:val="27982DD4"/>
    <w:rsid w:val="27A1656E"/>
    <w:rsid w:val="27B2212B"/>
    <w:rsid w:val="27CC67E7"/>
    <w:rsid w:val="27D96892"/>
    <w:rsid w:val="27DD09CE"/>
    <w:rsid w:val="27E20FE5"/>
    <w:rsid w:val="27EC553C"/>
    <w:rsid w:val="280C4BFC"/>
    <w:rsid w:val="2813394B"/>
    <w:rsid w:val="281C1F63"/>
    <w:rsid w:val="281C54D8"/>
    <w:rsid w:val="2832749A"/>
    <w:rsid w:val="2834666F"/>
    <w:rsid w:val="283610D5"/>
    <w:rsid w:val="285F5293"/>
    <w:rsid w:val="28622D71"/>
    <w:rsid w:val="286E69FD"/>
    <w:rsid w:val="28705AEC"/>
    <w:rsid w:val="2874076E"/>
    <w:rsid w:val="28921104"/>
    <w:rsid w:val="289524E1"/>
    <w:rsid w:val="28C56178"/>
    <w:rsid w:val="28D42521"/>
    <w:rsid w:val="28D51A0C"/>
    <w:rsid w:val="28DE24EF"/>
    <w:rsid w:val="28DF0877"/>
    <w:rsid w:val="28E349BC"/>
    <w:rsid w:val="28FA546B"/>
    <w:rsid w:val="28FE025E"/>
    <w:rsid w:val="291D70F7"/>
    <w:rsid w:val="29245F1A"/>
    <w:rsid w:val="29290073"/>
    <w:rsid w:val="29366359"/>
    <w:rsid w:val="29456427"/>
    <w:rsid w:val="294820D8"/>
    <w:rsid w:val="29492412"/>
    <w:rsid w:val="29556B36"/>
    <w:rsid w:val="29586D7A"/>
    <w:rsid w:val="29772B51"/>
    <w:rsid w:val="29791894"/>
    <w:rsid w:val="2981202B"/>
    <w:rsid w:val="29840124"/>
    <w:rsid w:val="2984235F"/>
    <w:rsid w:val="29844E30"/>
    <w:rsid w:val="299400E6"/>
    <w:rsid w:val="29967FD2"/>
    <w:rsid w:val="29972080"/>
    <w:rsid w:val="299A7D31"/>
    <w:rsid w:val="29A055D0"/>
    <w:rsid w:val="29A52D8F"/>
    <w:rsid w:val="29B76175"/>
    <w:rsid w:val="29B9118A"/>
    <w:rsid w:val="29C56C3A"/>
    <w:rsid w:val="29C5793C"/>
    <w:rsid w:val="29D21D69"/>
    <w:rsid w:val="29D85278"/>
    <w:rsid w:val="29E1380C"/>
    <w:rsid w:val="29E16B08"/>
    <w:rsid w:val="29E85046"/>
    <w:rsid w:val="2A017BFD"/>
    <w:rsid w:val="2A0A71F8"/>
    <w:rsid w:val="2A4913A2"/>
    <w:rsid w:val="2A555F6F"/>
    <w:rsid w:val="2A5C5810"/>
    <w:rsid w:val="2A606125"/>
    <w:rsid w:val="2A651A82"/>
    <w:rsid w:val="2A6D7B04"/>
    <w:rsid w:val="2A9154D8"/>
    <w:rsid w:val="2A9635C0"/>
    <w:rsid w:val="2AA04C57"/>
    <w:rsid w:val="2AAF4FD6"/>
    <w:rsid w:val="2AD750C3"/>
    <w:rsid w:val="2AE77D08"/>
    <w:rsid w:val="2AEA3011"/>
    <w:rsid w:val="2AEB73AD"/>
    <w:rsid w:val="2AF315E7"/>
    <w:rsid w:val="2B0014BF"/>
    <w:rsid w:val="2B1C0596"/>
    <w:rsid w:val="2B200903"/>
    <w:rsid w:val="2B252D72"/>
    <w:rsid w:val="2B3E0375"/>
    <w:rsid w:val="2B492499"/>
    <w:rsid w:val="2B6438CC"/>
    <w:rsid w:val="2B652A8D"/>
    <w:rsid w:val="2B6A2F63"/>
    <w:rsid w:val="2B6C55DB"/>
    <w:rsid w:val="2B75494F"/>
    <w:rsid w:val="2B7F70AE"/>
    <w:rsid w:val="2B885372"/>
    <w:rsid w:val="2B8A2FFD"/>
    <w:rsid w:val="2B8D5640"/>
    <w:rsid w:val="2B8E3DDE"/>
    <w:rsid w:val="2BA46A0B"/>
    <w:rsid w:val="2BBA2DA3"/>
    <w:rsid w:val="2BCB5562"/>
    <w:rsid w:val="2BD90E44"/>
    <w:rsid w:val="2BDE1B83"/>
    <w:rsid w:val="2BF4029C"/>
    <w:rsid w:val="2C183D71"/>
    <w:rsid w:val="2C1C6937"/>
    <w:rsid w:val="2C202757"/>
    <w:rsid w:val="2C270D43"/>
    <w:rsid w:val="2C447106"/>
    <w:rsid w:val="2C562B1A"/>
    <w:rsid w:val="2C6436A6"/>
    <w:rsid w:val="2C7A2A8F"/>
    <w:rsid w:val="2C8D731E"/>
    <w:rsid w:val="2C9023A5"/>
    <w:rsid w:val="2C937549"/>
    <w:rsid w:val="2C9D6A04"/>
    <w:rsid w:val="2CB62598"/>
    <w:rsid w:val="2CBC136A"/>
    <w:rsid w:val="2CC57724"/>
    <w:rsid w:val="2CCD3F07"/>
    <w:rsid w:val="2CF46243"/>
    <w:rsid w:val="2CFB48FA"/>
    <w:rsid w:val="2CFE607B"/>
    <w:rsid w:val="2D095409"/>
    <w:rsid w:val="2D096D16"/>
    <w:rsid w:val="2D185752"/>
    <w:rsid w:val="2D204FAE"/>
    <w:rsid w:val="2D213A27"/>
    <w:rsid w:val="2D3A3199"/>
    <w:rsid w:val="2D3B27F8"/>
    <w:rsid w:val="2D443FDB"/>
    <w:rsid w:val="2D4B38E7"/>
    <w:rsid w:val="2D5470D9"/>
    <w:rsid w:val="2D551303"/>
    <w:rsid w:val="2D6844C6"/>
    <w:rsid w:val="2D772574"/>
    <w:rsid w:val="2D7E63CF"/>
    <w:rsid w:val="2D893900"/>
    <w:rsid w:val="2D8D31B7"/>
    <w:rsid w:val="2D8D5835"/>
    <w:rsid w:val="2DA54623"/>
    <w:rsid w:val="2DAB1C25"/>
    <w:rsid w:val="2DCC12FC"/>
    <w:rsid w:val="2DCD34B4"/>
    <w:rsid w:val="2DD66E3A"/>
    <w:rsid w:val="2DE54D24"/>
    <w:rsid w:val="2DEC5FDC"/>
    <w:rsid w:val="2DF17D73"/>
    <w:rsid w:val="2E0825A5"/>
    <w:rsid w:val="2E127CEC"/>
    <w:rsid w:val="2E1C3BFA"/>
    <w:rsid w:val="2E322064"/>
    <w:rsid w:val="2E614DCE"/>
    <w:rsid w:val="2E652B8E"/>
    <w:rsid w:val="2E66167A"/>
    <w:rsid w:val="2E687A2E"/>
    <w:rsid w:val="2E6C7EF1"/>
    <w:rsid w:val="2E6D260E"/>
    <w:rsid w:val="2E6D69DB"/>
    <w:rsid w:val="2E6F6584"/>
    <w:rsid w:val="2E7823B0"/>
    <w:rsid w:val="2E9168AD"/>
    <w:rsid w:val="2E933BCE"/>
    <w:rsid w:val="2E9C6490"/>
    <w:rsid w:val="2EA40069"/>
    <w:rsid w:val="2EAA3B87"/>
    <w:rsid w:val="2EB66E96"/>
    <w:rsid w:val="2EBC23A0"/>
    <w:rsid w:val="2EF532F9"/>
    <w:rsid w:val="2EF545DC"/>
    <w:rsid w:val="2EF6054E"/>
    <w:rsid w:val="2EFA0191"/>
    <w:rsid w:val="2EFC22DC"/>
    <w:rsid w:val="2F08785B"/>
    <w:rsid w:val="2F100467"/>
    <w:rsid w:val="2F336E4F"/>
    <w:rsid w:val="2F3D3E78"/>
    <w:rsid w:val="2F436846"/>
    <w:rsid w:val="2F450E90"/>
    <w:rsid w:val="2F4556CE"/>
    <w:rsid w:val="2F5B184C"/>
    <w:rsid w:val="2F6F3C93"/>
    <w:rsid w:val="2F716E21"/>
    <w:rsid w:val="2F754A27"/>
    <w:rsid w:val="2F7A423F"/>
    <w:rsid w:val="2F8349FB"/>
    <w:rsid w:val="2F967046"/>
    <w:rsid w:val="2FA32A00"/>
    <w:rsid w:val="2FAC3ECD"/>
    <w:rsid w:val="2FB1448A"/>
    <w:rsid w:val="2FC802AE"/>
    <w:rsid w:val="2FD03CC2"/>
    <w:rsid w:val="2FD11635"/>
    <w:rsid w:val="2FDC4B15"/>
    <w:rsid w:val="2FDF786F"/>
    <w:rsid w:val="2FFA6D56"/>
    <w:rsid w:val="30027B6C"/>
    <w:rsid w:val="30030176"/>
    <w:rsid w:val="301C41BF"/>
    <w:rsid w:val="303048F7"/>
    <w:rsid w:val="30323D63"/>
    <w:rsid w:val="303474C0"/>
    <w:rsid w:val="30350DA4"/>
    <w:rsid w:val="303C233C"/>
    <w:rsid w:val="30411EAD"/>
    <w:rsid w:val="30536BCF"/>
    <w:rsid w:val="305C41A9"/>
    <w:rsid w:val="30820205"/>
    <w:rsid w:val="308665CC"/>
    <w:rsid w:val="308E41B5"/>
    <w:rsid w:val="30952C59"/>
    <w:rsid w:val="30955958"/>
    <w:rsid w:val="30975EA4"/>
    <w:rsid w:val="30B34C1F"/>
    <w:rsid w:val="30EE0209"/>
    <w:rsid w:val="30FF4D69"/>
    <w:rsid w:val="31031D74"/>
    <w:rsid w:val="3108103A"/>
    <w:rsid w:val="3113559B"/>
    <w:rsid w:val="311978DB"/>
    <w:rsid w:val="311C5E6A"/>
    <w:rsid w:val="312421F6"/>
    <w:rsid w:val="3127420C"/>
    <w:rsid w:val="31277147"/>
    <w:rsid w:val="31477BEB"/>
    <w:rsid w:val="315523B1"/>
    <w:rsid w:val="315F79F9"/>
    <w:rsid w:val="316F4055"/>
    <w:rsid w:val="31807ACD"/>
    <w:rsid w:val="318173F5"/>
    <w:rsid w:val="318318AF"/>
    <w:rsid w:val="318E2BCE"/>
    <w:rsid w:val="3192189F"/>
    <w:rsid w:val="3198056E"/>
    <w:rsid w:val="31C83EB4"/>
    <w:rsid w:val="31C97505"/>
    <w:rsid w:val="31CD31BF"/>
    <w:rsid w:val="31DD064B"/>
    <w:rsid w:val="31E10F55"/>
    <w:rsid w:val="31EA5D85"/>
    <w:rsid w:val="31EF3571"/>
    <w:rsid w:val="31FF2C2B"/>
    <w:rsid w:val="32015985"/>
    <w:rsid w:val="32017C4A"/>
    <w:rsid w:val="32054C39"/>
    <w:rsid w:val="320B7F80"/>
    <w:rsid w:val="32107212"/>
    <w:rsid w:val="3219008D"/>
    <w:rsid w:val="321D798F"/>
    <w:rsid w:val="32203C87"/>
    <w:rsid w:val="32215AE9"/>
    <w:rsid w:val="32215B79"/>
    <w:rsid w:val="322241F2"/>
    <w:rsid w:val="3229379D"/>
    <w:rsid w:val="32294133"/>
    <w:rsid w:val="322D5AFA"/>
    <w:rsid w:val="3236742B"/>
    <w:rsid w:val="32375861"/>
    <w:rsid w:val="323D3EDB"/>
    <w:rsid w:val="32514C44"/>
    <w:rsid w:val="32686129"/>
    <w:rsid w:val="328916BE"/>
    <w:rsid w:val="32974C7A"/>
    <w:rsid w:val="32B865E1"/>
    <w:rsid w:val="32BB4ABE"/>
    <w:rsid w:val="32C8549C"/>
    <w:rsid w:val="32CA16D9"/>
    <w:rsid w:val="32D33E51"/>
    <w:rsid w:val="32D34F70"/>
    <w:rsid w:val="32DB36D4"/>
    <w:rsid w:val="32E83928"/>
    <w:rsid w:val="32F45590"/>
    <w:rsid w:val="32F61086"/>
    <w:rsid w:val="331337B2"/>
    <w:rsid w:val="33227B1F"/>
    <w:rsid w:val="333C5EC4"/>
    <w:rsid w:val="337120CB"/>
    <w:rsid w:val="33773188"/>
    <w:rsid w:val="337E77C9"/>
    <w:rsid w:val="338B4D67"/>
    <w:rsid w:val="338F53C2"/>
    <w:rsid w:val="33925662"/>
    <w:rsid w:val="339B7AA1"/>
    <w:rsid w:val="339C5609"/>
    <w:rsid w:val="33A51FC1"/>
    <w:rsid w:val="33B72334"/>
    <w:rsid w:val="33B7637D"/>
    <w:rsid w:val="33BD5FB4"/>
    <w:rsid w:val="33C20566"/>
    <w:rsid w:val="33C45055"/>
    <w:rsid w:val="33D4661F"/>
    <w:rsid w:val="33DB2AA4"/>
    <w:rsid w:val="33ED39C2"/>
    <w:rsid w:val="33F16CCB"/>
    <w:rsid w:val="33F2572E"/>
    <w:rsid w:val="340A31F3"/>
    <w:rsid w:val="340F56DE"/>
    <w:rsid w:val="3425597D"/>
    <w:rsid w:val="342802EC"/>
    <w:rsid w:val="342A5DF5"/>
    <w:rsid w:val="344851FD"/>
    <w:rsid w:val="34553518"/>
    <w:rsid w:val="34645BE6"/>
    <w:rsid w:val="34767BE8"/>
    <w:rsid w:val="34900F0B"/>
    <w:rsid w:val="349866E4"/>
    <w:rsid w:val="349B5E0E"/>
    <w:rsid w:val="34A176C9"/>
    <w:rsid w:val="34A432B6"/>
    <w:rsid w:val="34AA020B"/>
    <w:rsid w:val="34B057BD"/>
    <w:rsid w:val="34BB5388"/>
    <w:rsid w:val="34BC17DA"/>
    <w:rsid w:val="34C47973"/>
    <w:rsid w:val="34C860D0"/>
    <w:rsid w:val="34D015E3"/>
    <w:rsid w:val="34DD7A9E"/>
    <w:rsid w:val="34E81276"/>
    <w:rsid w:val="34EB3E0C"/>
    <w:rsid w:val="34EC3ED5"/>
    <w:rsid w:val="34ED3DC3"/>
    <w:rsid w:val="34F85DA8"/>
    <w:rsid w:val="3509398E"/>
    <w:rsid w:val="352B4855"/>
    <w:rsid w:val="353178AD"/>
    <w:rsid w:val="353A14F3"/>
    <w:rsid w:val="35447EDF"/>
    <w:rsid w:val="35463030"/>
    <w:rsid w:val="3547266B"/>
    <w:rsid w:val="354B62D7"/>
    <w:rsid w:val="35507AD6"/>
    <w:rsid w:val="3554479E"/>
    <w:rsid w:val="355620A6"/>
    <w:rsid w:val="35562720"/>
    <w:rsid w:val="35671CBE"/>
    <w:rsid w:val="357105FB"/>
    <w:rsid w:val="35715B74"/>
    <w:rsid w:val="357A69BB"/>
    <w:rsid w:val="357D63E5"/>
    <w:rsid w:val="357F00D0"/>
    <w:rsid w:val="35894506"/>
    <w:rsid w:val="358B7232"/>
    <w:rsid w:val="35A377DB"/>
    <w:rsid w:val="35C44A8D"/>
    <w:rsid w:val="35C6740D"/>
    <w:rsid w:val="35E7387F"/>
    <w:rsid w:val="35E81F7A"/>
    <w:rsid w:val="35F52BF3"/>
    <w:rsid w:val="35FA6E49"/>
    <w:rsid w:val="35FE6C4E"/>
    <w:rsid w:val="36041802"/>
    <w:rsid w:val="360530D8"/>
    <w:rsid w:val="3605698A"/>
    <w:rsid w:val="36162F1C"/>
    <w:rsid w:val="363277D2"/>
    <w:rsid w:val="36361B1F"/>
    <w:rsid w:val="3654712C"/>
    <w:rsid w:val="366244D5"/>
    <w:rsid w:val="367C249E"/>
    <w:rsid w:val="368F357B"/>
    <w:rsid w:val="36A82C1D"/>
    <w:rsid w:val="36B34449"/>
    <w:rsid w:val="36B91ADD"/>
    <w:rsid w:val="36C342D9"/>
    <w:rsid w:val="36C3654A"/>
    <w:rsid w:val="36E54DB4"/>
    <w:rsid w:val="36E611B4"/>
    <w:rsid w:val="36E831A7"/>
    <w:rsid w:val="36EE39A2"/>
    <w:rsid w:val="36F40A0E"/>
    <w:rsid w:val="370F2E93"/>
    <w:rsid w:val="370F32ED"/>
    <w:rsid w:val="37223E78"/>
    <w:rsid w:val="372303B9"/>
    <w:rsid w:val="374E35E0"/>
    <w:rsid w:val="37560CC6"/>
    <w:rsid w:val="376E331C"/>
    <w:rsid w:val="378D0CEB"/>
    <w:rsid w:val="379A026D"/>
    <w:rsid w:val="37A2207E"/>
    <w:rsid w:val="37A2434F"/>
    <w:rsid w:val="37A96F98"/>
    <w:rsid w:val="37BE493A"/>
    <w:rsid w:val="37C037E9"/>
    <w:rsid w:val="37E0252B"/>
    <w:rsid w:val="37ED32C0"/>
    <w:rsid w:val="37ED6D6E"/>
    <w:rsid w:val="37FD6298"/>
    <w:rsid w:val="380958D4"/>
    <w:rsid w:val="380C3B20"/>
    <w:rsid w:val="3811299F"/>
    <w:rsid w:val="3813029C"/>
    <w:rsid w:val="38422CE2"/>
    <w:rsid w:val="38464281"/>
    <w:rsid w:val="384F0A3E"/>
    <w:rsid w:val="385438E8"/>
    <w:rsid w:val="386D09FD"/>
    <w:rsid w:val="386E21B0"/>
    <w:rsid w:val="38AE496C"/>
    <w:rsid w:val="38B54D45"/>
    <w:rsid w:val="38B7072B"/>
    <w:rsid w:val="38D242CD"/>
    <w:rsid w:val="38DC6FB6"/>
    <w:rsid w:val="39021924"/>
    <w:rsid w:val="391762C0"/>
    <w:rsid w:val="39324B9F"/>
    <w:rsid w:val="393316B2"/>
    <w:rsid w:val="393958EC"/>
    <w:rsid w:val="393E0C7A"/>
    <w:rsid w:val="39470BCD"/>
    <w:rsid w:val="395A4090"/>
    <w:rsid w:val="39821F75"/>
    <w:rsid w:val="398B5520"/>
    <w:rsid w:val="398C3DB7"/>
    <w:rsid w:val="39A27A80"/>
    <w:rsid w:val="39A54F6F"/>
    <w:rsid w:val="39AB6275"/>
    <w:rsid w:val="39B63539"/>
    <w:rsid w:val="39C52E4C"/>
    <w:rsid w:val="39E17621"/>
    <w:rsid w:val="39F227B1"/>
    <w:rsid w:val="3A05112E"/>
    <w:rsid w:val="3A151290"/>
    <w:rsid w:val="3A201663"/>
    <w:rsid w:val="3A292038"/>
    <w:rsid w:val="3A4D07E7"/>
    <w:rsid w:val="3A524E6B"/>
    <w:rsid w:val="3A5E4DE2"/>
    <w:rsid w:val="3A63511E"/>
    <w:rsid w:val="3A656D44"/>
    <w:rsid w:val="3A7164C9"/>
    <w:rsid w:val="3A762A49"/>
    <w:rsid w:val="3A764CE2"/>
    <w:rsid w:val="3A826354"/>
    <w:rsid w:val="3A9D28F5"/>
    <w:rsid w:val="3AA21B83"/>
    <w:rsid w:val="3AB53AE3"/>
    <w:rsid w:val="3AB80239"/>
    <w:rsid w:val="3ABA012D"/>
    <w:rsid w:val="3ACD0EA1"/>
    <w:rsid w:val="3ACD43C9"/>
    <w:rsid w:val="3AFF2C64"/>
    <w:rsid w:val="3B1E4609"/>
    <w:rsid w:val="3B2125FB"/>
    <w:rsid w:val="3B2B107F"/>
    <w:rsid w:val="3B2F69DB"/>
    <w:rsid w:val="3B5E1380"/>
    <w:rsid w:val="3B68776A"/>
    <w:rsid w:val="3B79226F"/>
    <w:rsid w:val="3B8B34BF"/>
    <w:rsid w:val="3B904834"/>
    <w:rsid w:val="3B932344"/>
    <w:rsid w:val="3B963B4D"/>
    <w:rsid w:val="3B9B2E63"/>
    <w:rsid w:val="3B9D20F5"/>
    <w:rsid w:val="3BB33F88"/>
    <w:rsid w:val="3BD81B44"/>
    <w:rsid w:val="3BD91520"/>
    <w:rsid w:val="3BD93153"/>
    <w:rsid w:val="3BDA6996"/>
    <w:rsid w:val="3BF15E34"/>
    <w:rsid w:val="3C0A3047"/>
    <w:rsid w:val="3C2E50FB"/>
    <w:rsid w:val="3C37637A"/>
    <w:rsid w:val="3C4A12AD"/>
    <w:rsid w:val="3C5125FC"/>
    <w:rsid w:val="3C5D4C2E"/>
    <w:rsid w:val="3C690ECB"/>
    <w:rsid w:val="3C6D45E2"/>
    <w:rsid w:val="3C7A7072"/>
    <w:rsid w:val="3C860AC6"/>
    <w:rsid w:val="3C8B02A4"/>
    <w:rsid w:val="3C953A7D"/>
    <w:rsid w:val="3C960BC8"/>
    <w:rsid w:val="3C9848A1"/>
    <w:rsid w:val="3C9B05BB"/>
    <w:rsid w:val="3CA509B7"/>
    <w:rsid w:val="3CA509D1"/>
    <w:rsid w:val="3CB43F0C"/>
    <w:rsid w:val="3CD537E6"/>
    <w:rsid w:val="3CD93879"/>
    <w:rsid w:val="3CE728EF"/>
    <w:rsid w:val="3CE93C13"/>
    <w:rsid w:val="3D2571D3"/>
    <w:rsid w:val="3D29787E"/>
    <w:rsid w:val="3D3074C1"/>
    <w:rsid w:val="3D317B2F"/>
    <w:rsid w:val="3D4B33D2"/>
    <w:rsid w:val="3D5D0A53"/>
    <w:rsid w:val="3D7A2818"/>
    <w:rsid w:val="3D7D2F47"/>
    <w:rsid w:val="3D8106EA"/>
    <w:rsid w:val="3D834DF8"/>
    <w:rsid w:val="3DA352B1"/>
    <w:rsid w:val="3DBA258D"/>
    <w:rsid w:val="3DBA61E7"/>
    <w:rsid w:val="3DBD544C"/>
    <w:rsid w:val="3DBE59FA"/>
    <w:rsid w:val="3DBF6E87"/>
    <w:rsid w:val="3DCC59CC"/>
    <w:rsid w:val="3DD3396F"/>
    <w:rsid w:val="3DD55956"/>
    <w:rsid w:val="3DD61616"/>
    <w:rsid w:val="3DDD3D32"/>
    <w:rsid w:val="3DE046DB"/>
    <w:rsid w:val="3DE23C90"/>
    <w:rsid w:val="3DF7051E"/>
    <w:rsid w:val="3DFC4E1B"/>
    <w:rsid w:val="3E100FFC"/>
    <w:rsid w:val="3E127062"/>
    <w:rsid w:val="3E156F67"/>
    <w:rsid w:val="3E1C559D"/>
    <w:rsid w:val="3E1D4BD2"/>
    <w:rsid w:val="3E201534"/>
    <w:rsid w:val="3E216B4D"/>
    <w:rsid w:val="3E4E3A85"/>
    <w:rsid w:val="3E58620C"/>
    <w:rsid w:val="3E5E7A6F"/>
    <w:rsid w:val="3E651EE9"/>
    <w:rsid w:val="3E70638E"/>
    <w:rsid w:val="3E784A78"/>
    <w:rsid w:val="3E8554F5"/>
    <w:rsid w:val="3EA51CD6"/>
    <w:rsid w:val="3EAE3E2C"/>
    <w:rsid w:val="3EB43B31"/>
    <w:rsid w:val="3EB65E71"/>
    <w:rsid w:val="3EC33032"/>
    <w:rsid w:val="3EC61DB3"/>
    <w:rsid w:val="3ECA2B53"/>
    <w:rsid w:val="3ED9587D"/>
    <w:rsid w:val="3EF62661"/>
    <w:rsid w:val="3F1C56E6"/>
    <w:rsid w:val="3F256A16"/>
    <w:rsid w:val="3F3668C7"/>
    <w:rsid w:val="3F3C595E"/>
    <w:rsid w:val="3F42509A"/>
    <w:rsid w:val="3F5565A1"/>
    <w:rsid w:val="3F59346C"/>
    <w:rsid w:val="3F5E3FC7"/>
    <w:rsid w:val="3F657308"/>
    <w:rsid w:val="3F7856B5"/>
    <w:rsid w:val="3F7970EE"/>
    <w:rsid w:val="3F8003ED"/>
    <w:rsid w:val="3F877BB1"/>
    <w:rsid w:val="3F996D9A"/>
    <w:rsid w:val="3FA94649"/>
    <w:rsid w:val="3FB55F3F"/>
    <w:rsid w:val="3FBC79BD"/>
    <w:rsid w:val="3FC519F7"/>
    <w:rsid w:val="3FC83B5E"/>
    <w:rsid w:val="3FD0326B"/>
    <w:rsid w:val="3FD34D1A"/>
    <w:rsid w:val="3FED63B1"/>
    <w:rsid w:val="3FEF1AEF"/>
    <w:rsid w:val="3FF01019"/>
    <w:rsid w:val="40031733"/>
    <w:rsid w:val="40076D3D"/>
    <w:rsid w:val="400A2138"/>
    <w:rsid w:val="401F65F0"/>
    <w:rsid w:val="40296E71"/>
    <w:rsid w:val="40342736"/>
    <w:rsid w:val="404470DB"/>
    <w:rsid w:val="404C2292"/>
    <w:rsid w:val="405435BD"/>
    <w:rsid w:val="405D572D"/>
    <w:rsid w:val="405F4973"/>
    <w:rsid w:val="4071679F"/>
    <w:rsid w:val="407E7B1F"/>
    <w:rsid w:val="408D1EA0"/>
    <w:rsid w:val="408E2DBF"/>
    <w:rsid w:val="409603F6"/>
    <w:rsid w:val="40982E53"/>
    <w:rsid w:val="409D2A1A"/>
    <w:rsid w:val="40A354EF"/>
    <w:rsid w:val="40A752D1"/>
    <w:rsid w:val="40B21FB5"/>
    <w:rsid w:val="40B95E2E"/>
    <w:rsid w:val="40C17F9E"/>
    <w:rsid w:val="40C43B66"/>
    <w:rsid w:val="40D01AC5"/>
    <w:rsid w:val="40E247F7"/>
    <w:rsid w:val="40E66AF1"/>
    <w:rsid w:val="40EE5966"/>
    <w:rsid w:val="40EF0A63"/>
    <w:rsid w:val="40FA444D"/>
    <w:rsid w:val="40FE6AE6"/>
    <w:rsid w:val="41097827"/>
    <w:rsid w:val="410F1967"/>
    <w:rsid w:val="412F59F8"/>
    <w:rsid w:val="41335FC7"/>
    <w:rsid w:val="4135196D"/>
    <w:rsid w:val="414240CA"/>
    <w:rsid w:val="415978C8"/>
    <w:rsid w:val="415C1B4D"/>
    <w:rsid w:val="415E02D9"/>
    <w:rsid w:val="417843F2"/>
    <w:rsid w:val="418A1799"/>
    <w:rsid w:val="41962EB0"/>
    <w:rsid w:val="41A61C3F"/>
    <w:rsid w:val="41B17185"/>
    <w:rsid w:val="41F05895"/>
    <w:rsid w:val="420155A5"/>
    <w:rsid w:val="420C70DA"/>
    <w:rsid w:val="42160B59"/>
    <w:rsid w:val="4226611D"/>
    <w:rsid w:val="42370B89"/>
    <w:rsid w:val="4252208C"/>
    <w:rsid w:val="42524C08"/>
    <w:rsid w:val="425402BB"/>
    <w:rsid w:val="42564ADA"/>
    <w:rsid w:val="425C471A"/>
    <w:rsid w:val="425C4890"/>
    <w:rsid w:val="42651FF6"/>
    <w:rsid w:val="427456AF"/>
    <w:rsid w:val="42747A95"/>
    <w:rsid w:val="427E52C8"/>
    <w:rsid w:val="42841878"/>
    <w:rsid w:val="4299542A"/>
    <w:rsid w:val="429A1379"/>
    <w:rsid w:val="429E1B22"/>
    <w:rsid w:val="42A17EB5"/>
    <w:rsid w:val="42A3428D"/>
    <w:rsid w:val="42CC2D61"/>
    <w:rsid w:val="42FA6BD0"/>
    <w:rsid w:val="42FB4E01"/>
    <w:rsid w:val="4301585B"/>
    <w:rsid w:val="43017026"/>
    <w:rsid w:val="43067C6F"/>
    <w:rsid w:val="430A6E09"/>
    <w:rsid w:val="43145EC4"/>
    <w:rsid w:val="43177F8E"/>
    <w:rsid w:val="43183E1C"/>
    <w:rsid w:val="431B31A4"/>
    <w:rsid w:val="43325808"/>
    <w:rsid w:val="433E1CAF"/>
    <w:rsid w:val="43412297"/>
    <w:rsid w:val="43413ED4"/>
    <w:rsid w:val="43594499"/>
    <w:rsid w:val="43636C3F"/>
    <w:rsid w:val="4364610B"/>
    <w:rsid w:val="436E5353"/>
    <w:rsid w:val="438073DF"/>
    <w:rsid w:val="43823B03"/>
    <w:rsid w:val="438903A1"/>
    <w:rsid w:val="439D6340"/>
    <w:rsid w:val="43AE4585"/>
    <w:rsid w:val="43C1769F"/>
    <w:rsid w:val="43E877FC"/>
    <w:rsid w:val="43ED157C"/>
    <w:rsid w:val="43F94FC9"/>
    <w:rsid w:val="43FD7280"/>
    <w:rsid w:val="440915E3"/>
    <w:rsid w:val="44116ECE"/>
    <w:rsid w:val="441532B2"/>
    <w:rsid w:val="4416068C"/>
    <w:rsid w:val="441C5686"/>
    <w:rsid w:val="441D4489"/>
    <w:rsid w:val="441E55BD"/>
    <w:rsid w:val="44210030"/>
    <w:rsid w:val="442C59F4"/>
    <w:rsid w:val="442C5CE7"/>
    <w:rsid w:val="442F2679"/>
    <w:rsid w:val="443D4BB3"/>
    <w:rsid w:val="443F7EE3"/>
    <w:rsid w:val="44477A7A"/>
    <w:rsid w:val="445A5900"/>
    <w:rsid w:val="44620AD6"/>
    <w:rsid w:val="44711AA3"/>
    <w:rsid w:val="448F2EF2"/>
    <w:rsid w:val="44A72CB4"/>
    <w:rsid w:val="44D243AA"/>
    <w:rsid w:val="44D82DAD"/>
    <w:rsid w:val="44DC0CFE"/>
    <w:rsid w:val="44DC4FCA"/>
    <w:rsid w:val="44E15547"/>
    <w:rsid w:val="44EA12B2"/>
    <w:rsid w:val="44EE00E1"/>
    <w:rsid w:val="44FD1C6D"/>
    <w:rsid w:val="45051DF1"/>
    <w:rsid w:val="450D6ADD"/>
    <w:rsid w:val="451231AD"/>
    <w:rsid w:val="453E4B66"/>
    <w:rsid w:val="453F207E"/>
    <w:rsid w:val="454276A8"/>
    <w:rsid w:val="45465AD9"/>
    <w:rsid w:val="45517B8C"/>
    <w:rsid w:val="4577723A"/>
    <w:rsid w:val="457A6C83"/>
    <w:rsid w:val="45951B1A"/>
    <w:rsid w:val="45A31600"/>
    <w:rsid w:val="45E526C2"/>
    <w:rsid w:val="45EF4AA8"/>
    <w:rsid w:val="45EF5694"/>
    <w:rsid w:val="45F32D75"/>
    <w:rsid w:val="45F86B49"/>
    <w:rsid w:val="45FE4441"/>
    <w:rsid w:val="460934CE"/>
    <w:rsid w:val="460E6F64"/>
    <w:rsid w:val="461A7582"/>
    <w:rsid w:val="461F685B"/>
    <w:rsid w:val="46325B00"/>
    <w:rsid w:val="463A35BA"/>
    <w:rsid w:val="464478D6"/>
    <w:rsid w:val="46537026"/>
    <w:rsid w:val="46594972"/>
    <w:rsid w:val="46666A6B"/>
    <w:rsid w:val="46763AFA"/>
    <w:rsid w:val="46780627"/>
    <w:rsid w:val="469438D3"/>
    <w:rsid w:val="46974EA3"/>
    <w:rsid w:val="46A86AC5"/>
    <w:rsid w:val="46AF0ACC"/>
    <w:rsid w:val="46C9043C"/>
    <w:rsid w:val="46CD2EA3"/>
    <w:rsid w:val="46E3153B"/>
    <w:rsid w:val="46E33C2A"/>
    <w:rsid w:val="46EB5C2E"/>
    <w:rsid w:val="46FD4E10"/>
    <w:rsid w:val="47191F43"/>
    <w:rsid w:val="471B210D"/>
    <w:rsid w:val="47202ED1"/>
    <w:rsid w:val="472752D8"/>
    <w:rsid w:val="47330BB1"/>
    <w:rsid w:val="474340E1"/>
    <w:rsid w:val="4754737E"/>
    <w:rsid w:val="47622DD8"/>
    <w:rsid w:val="476B3223"/>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80862"/>
    <w:rsid w:val="47EE38F1"/>
    <w:rsid w:val="47FC33A5"/>
    <w:rsid w:val="48012A31"/>
    <w:rsid w:val="481C30AE"/>
    <w:rsid w:val="481D4366"/>
    <w:rsid w:val="4845350C"/>
    <w:rsid w:val="48561B07"/>
    <w:rsid w:val="485803F1"/>
    <w:rsid w:val="485E2E16"/>
    <w:rsid w:val="4865215C"/>
    <w:rsid w:val="48676AC2"/>
    <w:rsid w:val="486942C4"/>
    <w:rsid w:val="487B552A"/>
    <w:rsid w:val="48842F37"/>
    <w:rsid w:val="488D1FD6"/>
    <w:rsid w:val="48996690"/>
    <w:rsid w:val="489D751F"/>
    <w:rsid w:val="48A6278A"/>
    <w:rsid w:val="48AB0368"/>
    <w:rsid w:val="48B05292"/>
    <w:rsid w:val="48B33700"/>
    <w:rsid w:val="48B971DC"/>
    <w:rsid w:val="48CE2BF3"/>
    <w:rsid w:val="48D4605A"/>
    <w:rsid w:val="48EF6487"/>
    <w:rsid w:val="48F556EA"/>
    <w:rsid w:val="490010B1"/>
    <w:rsid w:val="491849B4"/>
    <w:rsid w:val="491946D3"/>
    <w:rsid w:val="4924047E"/>
    <w:rsid w:val="4924100D"/>
    <w:rsid w:val="49276380"/>
    <w:rsid w:val="4948117F"/>
    <w:rsid w:val="494B0B0D"/>
    <w:rsid w:val="49603FAC"/>
    <w:rsid w:val="497E20AD"/>
    <w:rsid w:val="49820EB7"/>
    <w:rsid w:val="498C0E72"/>
    <w:rsid w:val="49920053"/>
    <w:rsid w:val="499416E9"/>
    <w:rsid w:val="499B7FDA"/>
    <w:rsid w:val="49A503F7"/>
    <w:rsid w:val="49A637DE"/>
    <w:rsid w:val="49A63EAD"/>
    <w:rsid w:val="49B4166E"/>
    <w:rsid w:val="49BA2C9E"/>
    <w:rsid w:val="49C42ED0"/>
    <w:rsid w:val="49C51673"/>
    <w:rsid w:val="49D51633"/>
    <w:rsid w:val="49D86805"/>
    <w:rsid w:val="49F72310"/>
    <w:rsid w:val="49FD2EE4"/>
    <w:rsid w:val="4A0B4FDE"/>
    <w:rsid w:val="4A0E4738"/>
    <w:rsid w:val="4A343D11"/>
    <w:rsid w:val="4A44591C"/>
    <w:rsid w:val="4A497D35"/>
    <w:rsid w:val="4A8A37D8"/>
    <w:rsid w:val="4A8A64F2"/>
    <w:rsid w:val="4A8B4AB2"/>
    <w:rsid w:val="4ABE300E"/>
    <w:rsid w:val="4AC30904"/>
    <w:rsid w:val="4AD1058E"/>
    <w:rsid w:val="4AD24DB9"/>
    <w:rsid w:val="4AD9595B"/>
    <w:rsid w:val="4AE97387"/>
    <w:rsid w:val="4AF57F36"/>
    <w:rsid w:val="4AF6154C"/>
    <w:rsid w:val="4AF93EAE"/>
    <w:rsid w:val="4B311212"/>
    <w:rsid w:val="4B373C21"/>
    <w:rsid w:val="4B3E6720"/>
    <w:rsid w:val="4B43535A"/>
    <w:rsid w:val="4B4657C3"/>
    <w:rsid w:val="4B476348"/>
    <w:rsid w:val="4B4E66A7"/>
    <w:rsid w:val="4B53063D"/>
    <w:rsid w:val="4B58574A"/>
    <w:rsid w:val="4B625BF7"/>
    <w:rsid w:val="4B643100"/>
    <w:rsid w:val="4B743367"/>
    <w:rsid w:val="4B753465"/>
    <w:rsid w:val="4B770921"/>
    <w:rsid w:val="4B7E5905"/>
    <w:rsid w:val="4B7F01A8"/>
    <w:rsid w:val="4B916EFB"/>
    <w:rsid w:val="4BB21AF4"/>
    <w:rsid w:val="4BB54107"/>
    <w:rsid w:val="4BB67EEE"/>
    <w:rsid w:val="4BBA7466"/>
    <w:rsid w:val="4BC471E7"/>
    <w:rsid w:val="4BD13DC6"/>
    <w:rsid w:val="4BD17814"/>
    <w:rsid w:val="4BDC5109"/>
    <w:rsid w:val="4BE84FA7"/>
    <w:rsid w:val="4BEB6BB7"/>
    <w:rsid w:val="4BF70C92"/>
    <w:rsid w:val="4BFD0513"/>
    <w:rsid w:val="4C005E77"/>
    <w:rsid w:val="4C1440C1"/>
    <w:rsid w:val="4C1A02C6"/>
    <w:rsid w:val="4C1F00FB"/>
    <w:rsid w:val="4C2B76C1"/>
    <w:rsid w:val="4C3B40FC"/>
    <w:rsid w:val="4C5419A1"/>
    <w:rsid w:val="4C5429A3"/>
    <w:rsid w:val="4C6359CC"/>
    <w:rsid w:val="4C645A11"/>
    <w:rsid w:val="4C72089C"/>
    <w:rsid w:val="4C737123"/>
    <w:rsid w:val="4C87254B"/>
    <w:rsid w:val="4C8B3377"/>
    <w:rsid w:val="4CA3114C"/>
    <w:rsid w:val="4CB95137"/>
    <w:rsid w:val="4CC37EEC"/>
    <w:rsid w:val="4CDE4416"/>
    <w:rsid w:val="4CE85842"/>
    <w:rsid w:val="4D017726"/>
    <w:rsid w:val="4D082D34"/>
    <w:rsid w:val="4D18687A"/>
    <w:rsid w:val="4D1C2C8C"/>
    <w:rsid w:val="4D1E77BE"/>
    <w:rsid w:val="4D245FC5"/>
    <w:rsid w:val="4D2B3B2C"/>
    <w:rsid w:val="4D8051B1"/>
    <w:rsid w:val="4DA943B0"/>
    <w:rsid w:val="4DB75561"/>
    <w:rsid w:val="4DC515BB"/>
    <w:rsid w:val="4DCB5984"/>
    <w:rsid w:val="4DD64458"/>
    <w:rsid w:val="4DDD243C"/>
    <w:rsid w:val="4DEC5891"/>
    <w:rsid w:val="4DF21B22"/>
    <w:rsid w:val="4E135BFA"/>
    <w:rsid w:val="4E1A7EB4"/>
    <w:rsid w:val="4E1B2DDB"/>
    <w:rsid w:val="4E1F235E"/>
    <w:rsid w:val="4E213391"/>
    <w:rsid w:val="4E250E8C"/>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A75BC"/>
    <w:rsid w:val="4ECD54B1"/>
    <w:rsid w:val="4ED4046B"/>
    <w:rsid w:val="4EDF4B15"/>
    <w:rsid w:val="4EEA782A"/>
    <w:rsid w:val="4EF43B16"/>
    <w:rsid w:val="4F135FF8"/>
    <w:rsid w:val="4F1646F3"/>
    <w:rsid w:val="4F1929E5"/>
    <w:rsid w:val="4F1E3B69"/>
    <w:rsid w:val="4F290416"/>
    <w:rsid w:val="4F2B6C13"/>
    <w:rsid w:val="4F3153D3"/>
    <w:rsid w:val="4F5F3ED1"/>
    <w:rsid w:val="4F6E4CB2"/>
    <w:rsid w:val="4F7404AB"/>
    <w:rsid w:val="4F804E7C"/>
    <w:rsid w:val="4F842F34"/>
    <w:rsid w:val="4F85516A"/>
    <w:rsid w:val="4F944D8F"/>
    <w:rsid w:val="4FCA5221"/>
    <w:rsid w:val="4FE03DE3"/>
    <w:rsid w:val="4FE64923"/>
    <w:rsid w:val="4FEA7FBD"/>
    <w:rsid w:val="4FED0FB9"/>
    <w:rsid w:val="4FFC5D0B"/>
    <w:rsid w:val="501D7CCE"/>
    <w:rsid w:val="50245208"/>
    <w:rsid w:val="50315512"/>
    <w:rsid w:val="504430D6"/>
    <w:rsid w:val="50474896"/>
    <w:rsid w:val="505F23BC"/>
    <w:rsid w:val="505F4513"/>
    <w:rsid w:val="50676140"/>
    <w:rsid w:val="50697ABC"/>
    <w:rsid w:val="507410D2"/>
    <w:rsid w:val="509B702F"/>
    <w:rsid w:val="509C0AC4"/>
    <w:rsid w:val="50A4392E"/>
    <w:rsid w:val="50A97681"/>
    <w:rsid w:val="50AE3B94"/>
    <w:rsid w:val="50AF7418"/>
    <w:rsid w:val="50B02AF0"/>
    <w:rsid w:val="50B0422B"/>
    <w:rsid w:val="50C600F2"/>
    <w:rsid w:val="50C93813"/>
    <w:rsid w:val="50D03252"/>
    <w:rsid w:val="50E13312"/>
    <w:rsid w:val="50E93575"/>
    <w:rsid w:val="50F04D4E"/>
    <w:rsid w:val="50F41527"/>
    <w:rsid w:val="50F57385"/>
    <w:rsid w:val="50F6016F"/>
    <w:rsid w:val="50FB1FB9"/>
    <w:rsid w:val="51132FF4"/>
    <w:rsid w:val="51151213"/>
    <w:rsid w:val="51297F73"/>
    <w:rsid w:val="513225F9"/>
    <w:rsid w:val="513F5114"/>
    <w:rsid w:val="51440384"/>
    <w:rsid w:val="5146769D"/>
    <w:rsid w:val="51567BE2"/>
    <w:rsid w:val="51590B27"/>
    <w:rsid w:val="515E6A1B"/>
    <w:rsid w:val="5169073B"/>
    <w:rsid w:val="516B705C"/>
    <w:rsid w:val="5177537A"/>
    <w:rsid w:val="51826626"/>
    <w:rsid w:val="518806E3"/>
    <w:rsid w:val="51A1217B"/>
    <w:rsid w:val="51A47CAD"/>
    <w:rsid w:val="51B6464D"/>
    <w:rsid w:val="51BC2004"/>
    <w:rsid w:val="51C462A1"/>
    <w:rsid w:val="51C5215C"/>
    <w:rsid w:val="51CB0C5C"/>
    <w:rsid w:val="51CB74F6"/>
    <w:rsid w:val="51D03F6F"/>
    <w:rsid w:val="51D13948"/>
    <w:rsid w:val="51EB5979"/>
    <w:rsid w:val="52046C00"/>
    <w:rsid w:val="520B66FC"/>
    <w:rsid w:val="52160A43"/>
    <w:rsid w:val="521A0101"/>
    <w:rsid w:val="52241967"/>
    <w:rsid w:val="522B06FD"/>
    <w:rsid w:val="522D1CB6"/>
    <w:rsid w:val="52382896"/>
    <w:rsid w:val="52437814"/>
    <w:rsid w:val="52444C58"/>
    <w:rsid w:val="52463B41"/>
    <w:rsid w:val="52594FE0"/>
    <w:rsid w:val="5263075C"/>
    <w:rsid w:val="52660A26"/>
    <w:rsid w:val="526D237C"/>
    <w:rsid w:val="52712F73"/>
    <w:rsid w:val="52717995"/>
    <w:rsid w:val="528315FB"/>
    <w:rsid w:val="52990759"/>
    <w:rsid w:val="52A01177"/>
    <w:rsid w:val="52B87033"/>
    <w:rsid w:val="52BE5917"/>
    <w:rsid w:val="52CF23AC"/>
    <w:rsid w:val="52D22288"/>
    <w:rsid w:val="52D63FD3"/>
    <w:rsid w:val="52DC0353"/>
    <w:rsid w:val="52ED3633"/>
    <w:rsid w:val="53172097"/>
    <w:rsid w:val="531B72EC"/>
    <w:rsid w:val="531E35FC"/>
    <w:rsid w:val="531E3DBA"/>
    <w:rsid w:val="532B1547"/>
    <w:rsid w:val="532C2C22"/>
    <w:rsid w:val="533E6E17"/>
    <w:rsid w:val="534044A8"/>
    <w:rsid w:val="5343182D"/>
    <w:rsid w:val="53552E21"/>
    <w:rsid w:val="536C4A63"/>
    <w:rsid w:val="539B26A9"/>
    <w:rsid w:val="539C4C50"/>
    <w:rsid w:val="53A201DA"/>
    <w:rsid w:val="53A86633"/>
    <w:rsid w:val="53AF4DD6"/>
    <w:rsid w:val="53B22D34"/>
    <w:rsid w:val="53B6236C"/>
    <w:rsid w:val="53B704F6"/>
    <w:rsid w:val="53BD6F30"/>
    <w:rsid w:val="53DE553F"/>
    <w:rsid w:val="53FC5A1A"/>
    <w:rsid w:val="54017416"/>
    <w:rsid w:val="540540F5"/>
    <w:rsid w:val="540C4C6E"/>
    <w:rsid w:val="54107D40"/>
    <w:rsid w:val="542913B3"/>
    <w:rsid w:val="54355530"/>
    <w:rsid w:val="543F18BA"/>
    <w:rsid w:val="54747751"/>
    <w:rsid w:val="547C1FA2"/>
    <w:rsid w:val="548659DA"/>
    <w:rsid w:val="54883400"/>
    <w:rsid w:val="54930B49"/>
    <w:rsid w:val="54932F58"/>
    <w:rsid w:val="549B63DD"/>
    <w:rsid w:val="54A81CB5"/>
    <w:rsid w:val="54BD0985"/>
    <w:rsid w:val="54C41B11"/>
    <w:rsid w:val="54CC32C5"/>
    <w:rsid w:val="54F859EA"/>
    <w:rsid w:val="54FF1FBE"/>
    <w:rsid w:val="550E49C6"/>
    <w:rsid w:val="5519688F"/>
    <w:rsid w:val="551B0C30"/>
    <w:rsid w:val="5525118D"/>
    <w:rsid w:val="552E6032"/>
    <w:rsid w:val="555C1243"/>
    <w:rsid w:val="55632353"/>
    <w:rsid w:val="55A47D96"/>
    <w:rsid w:val="55C94049"/>
    <w:rsid w:val="55DA287E"/>
    <w:rsid w:val="55DD1819"/>
    <w:rsid w:val="55EE6DAD"/>
    <w:rsid w:val="56073162"/>
    <w:rsid w:val="5609127C"/>
    <w:rsid w:val="560F5CEA"/>
    <w:rsid w:val="561A1AAB"/>
    <w:rsid w:val="56243B92"/>
    <w:rsid w:val="563D619D"/>
    <w:rsid w:val="56413F2B"/>
    <w:rsid w:val="56537C47"/>
    <w:rsid w:val="566F71B4"/>
    <w:rsid w:val="568043DC"/>
    <w:rsid w:val="56A010C0"/>
    <w:rsid w:val="56A060CF"/>
    <w:rsid w:val="56AA3F63"/>
    <w:rsid w:val="56AF65AD"/>
    <w:rsid w:val="56B16590"/>
    <w:rsid w:val="56B96B8E"/>
    <w:rsid w:val="56C747B5"/>
    <w:rsid w:val="56CC4101"/>
    <w:rsid w:val="56D42684"/>
    <w:rsid w:val="56D53135"/>
    <w:rsid w:val="56D83E33"/>
    <w:rsid w:val="56DD2471"/>
    <w:rsid w:val="56FD66BE"/>
    <w:rsid w:val="57181EE6"/>
    <w:rsid w:val="57210A6D"/>
    <w:rsid w:val="573400E8"/>
    <w:rsid w:val="5744214A"/>
    <w:rsid w:val="574B480A"/>
    <w:rsid w:val="57501AFE"/>
    <w:rsid w:val="57527252"/>
    <w:rsid w:val="57543081"/>
    <w:rsid w:val="577B68EA"/>
    <w:rsid w:val="5789649C"/>
    <w:rsid w:val="57A373F0"/>
    <w:rsid w:val="57B12989"/>
    <w:rsid w:val="57C31CF0"/>
    <w:rsid w:val="57C83C57"/>
    <w:rsid w:val="57CF7F96"/>
    <w:rsid w:val="57E225F6"/>
    <w:rsid w:val="57E633B4"/>
    <w:rsid w:val="57EC2A0C"/>
    <w:rsid w:val="57F05231"/>
    <w:rsid w:val="57F637B3"/>
    <w:rsid w:val="57F80E49"/>
    <w:rsid w:val="57FA04F9"/>
    <w:rsid w:val="57FB2FB4"/>
    <w:rsid w:val="581B487A"/>
    <w:rsid w:val="581C6534"/>
    <w:rsid w:val="582014EC"/>
    <w:rsid w:val="582028C2"/>
    <w:rsid w:val="582908A2"/>
    <w:rsid w:val="583D07DD"/>
    <w:rsid w:val="584B6239"/>
    <w:rsid w:val="585011BC"/>
    <w:rsid w:val="585F1862"/>
    <w:rsid w:val="58620D26"/>
    <w:rsid w:val="58622549"/>
    <w:rsid w:val="58706FB1"/>
    <w:rsid w:val="587C5983"/>
    <w:rsid w:val="587F30BB"/>
    <w:rsid w:val="589B5B2C"/>
    <w:rsid w:val="58AE77D0"/>
    <w:rsid w:val="58C13117"/>
    <w:rsid w:val="58D30971"/>
    <w:rsid w:val="58E8415E"/>
    <w:rsid w:val="58FF1A45"/>
    <w:rsid w:val="590259B0"/>
    <w:rsid w:val="59073E9A"/>
    <w:rsid w:val="59092BF1"/>
    <w:rsid w:val="591C580B"/>
    <w:rsid w:val="5926497A"/>
    <w:rsid w:val="59307D3E"/>
    <w:rsid w:val="594F0E6D"/>
    <w:rsid w:val="595D3E12"/>
    <w:rsid w:val="596B5ED3"/>
    <w:rsid w:val="598446C5"/>
    <w:rsid w:val="59961EFB"/>
    <w:rsid w:val="59987F3C"/>
    <w:rsid w:val="59A11353"/>
    <w:rsid w:val="59B73771"/>
    <w:rsid w:val="59CF0329"/>
    <w:rsid w:val="59D67135"/>
    <w:rsid w:val="5A0336C4"/>
    <w:rsid w:val="5A1D0D82"/>
    <w:rsid w:val="5A20315B"/>
    <w:rsid w:val="5A36472F"/>
    <w:rsid w:val="5A3B004E"/>
    <w:rsid w:val="5A5827FE"/>
    <w:rsid w:val="5A70211C"/>
    <w:rsid w:val="5A970C62"/>
    <w:rsid w:val="5A9B6F49"/>
    <w:rsid w:val="5AA452E6"/>
    <w:rsid w:val="5AAB2A29"/>
    <w:rsid w:val="5AAB3211"/>
    <w:rsid w:val="5AAC7307"/>
    <w:rsid w:val="5AAF4352"/>
    <w:rsid w:val="5AB86388"/>
    <w:rsid w:val="5AD07CB2"/>
    <w:rsid w:val="5ADB2A9F"/>
    <w:rsid w:val="5AE244D3"/>
    <w:rsid w:val="5AE37CAA"/>
    <w:rsid w:val="5AEF1DC1"/>
    <w:rsid w:val="5AF001BB"/>
    <w:rsid w:val="5AF9020E"/>
    <w:rsid w:val="5B384E15"/>
    <w:rsid w:val="5B3A14FF"/>
    <w:rsid w:val="5B3A7E78"/>
    <w:rsid w:val="5B3D442E"/>
    <w:rsid w:val="5B412C22"/>
    <w:rsid w:val="5B4B2EB1"/>
    <w:rsid w:val="5B5544BB"/>
    <w:rsid w:val="5B570332"/>
    <w:rsid w:val="5B5B31AB"/>
    <w:rsid w:val="5B5F0395"/>
    <w:rsid w:val="5B6110B7"/>
    <w:rsid w:val="5B6300A3"/>
    <w:rsid w:val="5B6C0ED6"/>
    <w:rsid w:val="5B713C90"/>
    <w:rsid w:val="5B790B4E"/>
    <w:rsid w:val="5B7A2400"/>
    <w:rsid w:val="5B9B626D"/>
    <w:rsid w:val="5BCF3C34"/>
    <w:rsid w:val="5BD32897"/>
    <w:rsid w:val="5BF346C3"/>
    <w:rsid w:val="5BF50A44"/>
    <w:rsid w:val="5C034868"/>
    <w:rsid w:val="5C295CCC"/>
    <w:rsid w:val="5C2B2A98"/>
    <w:rsid w:val="5C345941"/>
    <w:rsid w:val="5C381A3A"/>
    <w:rsid w:val="5C405E62"/>
    <w:rsid w:val="5C5C135C"/>
    <w:rsid w:val="5C787FE3"/>
    <w:rsid w:val="5C872DAA"/>
    <w:rsid w:val="5C8809AC"/>
    <w:rsid w:val="5C894745"/>
    <w:rsid w:val="5C9746FF"/>
    <w:rsid w:val="5C974816"/>
    <w:rsid w:val="5CA544D0"/>
    <w:rsid w:val="5CA97228"/>
    <w:rsid w:val="5CBA57BD"/>
    <w:rsid w:val="5CC5471C"/>
    <w:rsid w:val="5CCE52E4"/>
    <w:rsid w:val="5CDC5386"/>
    <w:rsid w:val="5CDD7E2B"/>
    <w:rsid w:val="5CE127AC"/>
    <w:rsid w:val="5CEE7B85"/>
    <w:rsid w:val="5CF6455E"/>
    <w:rsid w:val="5CF73D69"/>
    <w:rsid w:val="5D0057E1"/>
    <w:rsid w:val="5D187C36"/>
    <w:rsid w:val="5D1975F4"/>
    <w:rsid w:val="5D202057"/>
    <w:rsid w:val="5D2F3202"/>
    <w:rsid w:val="5D453058"/>
    <w:rsid w:val="5D4700C2"/>
    <w:rsid w:val="5D4B13B2"/>
    <w:rsid w:val="5D606E10"/>
    <w:rsid w:val="5D661860"/>
    <w:rsid w:val="5D6C4615"/>
    <w:rsid w:val="5D6F6550"/>
    <w:rsid w:val="5D7603B3"/>
    <w:rsid w:val="5D7C5A81"/>
    <w:rsid w:val="5D8B4DF9"/>
    <w:rsid w:val="5D951781"/>
    <w:rsid w:val="5DB43A14"/>
    <w:rsid w:val="5DB80337"/>
    <w:rsid w:val="5DD31E8F"/>
    <w:rsid w:val="5DDF2196"/>
    <w:rsid w:val="5DE853F9"/>
    <w:rsid w:val="5DF704AE"/>
    <w:rsid w:val="5DF954B7"/>
    <w:rsid w:val="5DFD1F51"/>
    <w:rsid w:val="5DFF05CD"/>
    <w:rsid w:val="5E1672C2"/>
    <w:rsid w:val="5E1B6033"/>
    <w:rsid w:val="5E2612F9"/>
    <w:rsid w:val="5E2A7510"/>
    <w:rsid w:val="5E366CB5"/>
    <w:rsid w:val="5E534129"/>
    <w:rsid w:val="5E5B1464"/>
    <w:rsid w:val="5E66797C"/>
    <w:rsid w:val="5E6E3C24"/>
    <w:rsid w:val="5E7214D7"/>
    <w:rsid w:val="5E7255BD"/>
    <w:rsid w:val="5E735B91"/>
    <w:rsid w:val="5E8E438D"/>
    <w:rsid w:val="5E937CCC"/>
    <w:rsid w:val="5ECD4059"/>
    <w:rsid w:val="5EDD6931"/>
    <w:rsid w:val="5EDF337C"/>
    <w:rsid w:val="5EE03971"/>
    <w:rsid w:val="5EF83794"/>
    <w:rsid w:val="5F0173CC"/>
    <w:rsid w:val="5F073560"/>
    <w:rsid w:val="5F1A1A93"/>
    <w:rsid w:val="5F212DE2"/>
    <w:rsid w:val="5F287F7E"/>
    <w:rsid w:val="5F2E7F94"/>
    <w:rsid w:val="5F475677"/>
    <w:rsid w:val="5F484198"/>
    <w:rsid w:val="5F567498"/>
    <w:rsid w:val="5F8420E2"/>
    <w:rsid w:val="5F851A99"/>
    <w:rsid w:val="5F865198"/>
    <w:rsid w:val="5F887220"/>
    <w:rsid w:val="5F9022AB"/>
    <w:rsid w:val="5FB537C3"/>
    <w:rsid w:val="5FB81E56"/>
    <w:rsid w:val="5FBC1FE2"/>
    <w:rsid w:val="5FCC4D82"/>
    <w:rsid w:val="5FD85FDC"/>
    <w:rsid w:val="5FE725FA"/>
    <w:rsid w:val="5FEB78D3"/>
    <w:rsid w:val="5FEC00EE"/>
    <w:rsid w:val="5FF70F57"/>
    <w:rsid w:val="600458FB"/>
    <w:rsid w:val="600878DD"/>
    <w:rsid w:val="600951D4"/>
    <w:rsid w:val="600A4B4D"/>
    <w:rsid w:val="601015A4"/>
    <w:rsid w:val="6010358A"/>
    <w:rsid w:val="60113E63"/>
    <w:rsid w:val="601A25EF"/>
    <w:rsid w:val="60250EC1"/>
    <w:rsid w:val="603A684C"/>
    <w:rsid w:val="603E1F21"/>
    <w:rsid w:val="603E7832"/>
    <w:rsid w:val="6044067F"/>
    <w:rsid w:val="60546D44"/>
    <w:rsid w:val="60564383"/>
    <w:rsid w:val="605C6D51"/>
    <w:rsid w:val="607427E7"/>
    <w:rsid w:val="60793AF7"/>
    <w:rsid w:val="6099592B"/>
    <w:rsid w:val="60A13AB9"/>
    <w:rsid w:val="60A7744C"/>
    <w:rsid w:val="60C603C2"/>
    <w:rsid w:val="60CF04AB"/>
    <w:rsid w:val="60DB5486"/>
    <w:rsid w:val="60E82C1A"/>
    <w:rsid w:val="60EC0541"/>
    <w:rsid w:val="60ED408E"/>
    <w:rsid w:val="60F6028F"/>
    <w:rsid w:val="60FD245E"/>
    <w:rsid w:val="60FF2E22"/>
    <w:rsid w:val="61023605"/>
    <w:rsid w:val="61033EA8"/>
    <w:rsid w:val="61041F36"/>
    <w:rsid w:val="610A1613"/>
    <w:rsid w:val="6117702C"/>
    <w:rsid w:val="61251167"/>
    <w:rsid w:val="612F1395"/>
    <w:rsid w:val="612F661C"/>
    <w:rsid w:val="61432D9E"/>
    <w:rsid w:val="61581582"/>
    <w:rsid w:val="61656F66"/>
    <w:rsid w:val="61665017"/>
    <w:rsid w:val="61683AEB"/>
    <w:rsid w:val="61737A70"/>
    <w:rsid w:val="617D144B"/>
    <w:rsid w:val="61855138"/>
    <w:rsid w:val="618A70BC"/>
    <w:rsid w:val="618B76C7"/>
    <w:rsid w:val="61963F6D"/>
    <w:rsid w:val="61BD1F9D"/>
    <w:rsid w:val="61D27428"/>
    <w:rsid w:val="61D45501"/>
    <w:rsid w:val="61E072C3"/>
    <w:rsid w:val="61EA093B"/>
    <w:rsid w:val="61F010A8"/>
    <w:rsid w:val="61F511E0"/>
    <w:rsid w:val="61FD6D62"/>
    <w:rsid w:val="61FE2EA1"/>
    <w:rsid w:val="62024DB4"/>
    <w:rsid w:val="62117D72"/>
    <w:rsid w:val="62142622"/>
    <w:rsid w:val="62210A89"/>
    <w:rsid w:val="62285DB7"/>
    <w:rsid w:val="62297B7B"/>
    <w:rsid w:val="623613F4"/>
    <w:rsid w:val="62367ED8"/>
    <w:rsid w:val="62621800"/>
    <w:rsid w:val="626857C6"/>
    <w:rsid w:val="627C01A8"/>
    <w:rsid w:val="62923991"/>
    <w:rsid w:val="62BB078B"/>
    <w:rsid w:val="62C8685E"/>
    <w:rsid w:val="62D347D3"/>
    <w:rsid w:val="62F20D03"/>
    <w:rsid w:val="62F26EC0"/>
    <w:rsid w:val="62F75B83"/>
    <w:rsid w:val="62FA13EE"/>
    <w:rsid w:val="62FD65F4"/>
    <w:rsid w:val="63095375"/>
    <w:rsid w:val="630E4188"/>
    <w:rsid w:val="6312135F"/>
    <w:rsid w:val="63152F31"/>
    <w:rsid w:val="632A3D0D"/>
    <w:rsid w:val="632A76EA"/>
    <w:rsid w:val="633443AB"/>
    <w:rsid w:val="634161B6"/>
    <w:rsid w:val="634924E6"/>
    <w:rsid w:val="635222C3"/>
    <w:rsid w:val="638857E1"/>
    <w:rsid w:val="63964A9A"/>
    <w:rsid w:val="63A445C5"/>
    <w:rsid w:val="63AB78F4"/>
    <w:rsid w:val="63B51224"/>
    <w:rsid w:val="63C642C7"/>
    <w:rsid w:val="63C85688"/>
    <w:rsid w:val="63CD5666"/>
    <w:rsid w:val="63D01EF3"/>
    <w:rsid w:val="63D2038C"/>
    <w:rsid w:val="63E631E1"/>
    <w:rsid w:val="63E72800"/>
    <w:rsid w:val="63ED2538"/>
    <w:rsid w:val="63F66CE6"/>
    <w:rsid w:val="640E7E19"/>
    <w:rsid w:val="64477F3F"/>
    <w:rsid w:val="64745DFC"/>
    <w:rsid w:val="647527CB"/>
    <w:rsid w:val="64815114"/>
    <w:rsid w:val="648A0F84"/>
    <w:rsid w:val="648E4974"/>
    <w:rsid w:val="648F4377"/>
    <w:rsid w:val="64902375"/>
    <w:rsid w:val="64921E7A"/>
    <w:rsid w:val="649E65A7"/>
    <w:rsid w:val="64A9027D"/>
    <w:rsid w:val="64AE4937"/>
    <w:rsid w:val="64B70C4D"/>
    <w:rsid w:val="64C530D0"/>
    <w:rsid w:val="64C92A8D"/>
    <w:rsid w:val="64D14920"/>
    <w:rsid w:val="64DC22D2"/>
    <w:rsid w:val="64EA382F"/>
    <w:rsid w:val="64ED3306"/>
    <w:rsid w:val="65006330"/>
    <w:rsid w:val="6511603A"/>
    <w:rsid w:val="652763A9"/>
    <w:rsid w:val="653B0F51"/>
    <w:rsid w:val="65431C28"/>
    <w:rsid w:val="65434194"/>
    <w:rsid w:val="65472CDB"/>
    <w:rsid w:val="65477730"/>
    <w:rsid w:val="654912E0"/>
    <w:rsid w:val="655007CD"/>
    <w:rsid w:val="656A4332"/>
    <w:rsid w:val="65715D8E"/>
    <w:rsid w:val="65733372"/>
    <w:rsid w:val="65744876"/>
    <w:rsid w:val="657845AE"/>
    <w:rsid w:val="658A29C5"/>
    <w:rsid w:val="658C4C45"/>
    <w:rsid w:val="658F60B1"/>
    <w:rsid w:val="65991D3E"/>
    <w:rsid w:val="659E280B"/>
    <w:rsid w:val="65A13936"/>
    <w:rsid w:val="65A44341"/>
    <w:rsid w:val="65A95292"/>
    <w:rsid w:val="65B74A52"/>
    <w:rsid w:val="65B87761"/>
    <w:rsid w:val="65BD55BD"/>
    <w:rsid w:val="65C53449"/>
    <w:rsid w:val="65DA55D1"/>
    <w:rsid w:val="65DE269B"/>
    <w:rsid w:val="65E72587"/>
    <w:rsid w:val="65F27286"/>
    <w:rsid w:val="6602655A"/>
    <w:rsid w:val="66037BA1"/>
    <w:rsid w:val="66054E88"/>
    <w:rsid w:val="660C6350"/>
    <w:rsid w:val="660D45C7"/>
    <w:rsid w:val="66125273"/>
    <w:rsid w:val="661E771B"/>
    <w:rsid w:val="66280ABB"/>
    <w:rsid w:val="663B7082"/>
    <w:rsid w:val="665C299B"/>
    <w:rsid w:val="666717B3"/>
    <w:rsid w:val="6668032B"/>
    <w:rsid w:val="667C4290"/>
    <w:rsid w:val="668569A3"/>
    <w:rsid w:val="668E7332"/>
    <w:rsid w:val="669C13AC"/>
    <w:rsid w:val="66B12F54"/>
    <w:rsid w:val="66B1624D"/>
    <w:rsid w:val="66B173CB"/>
    <w:rsid w:val="66C95898"/>
    <w:rsid w:val="66D15019"/>
    <w:rsid w:val="66DC2CB9"/>
    <w:rsid w:val="66EB023B"/>
    <w:rsid w:val="66F8201A"/>
    <w:rsid w:val="66FF1E1B"/>
    <w:rsid w:val="671C5A04"/>
    <w:rsid w:val="67246142"/>
    <w:rsid w:val="67301B4C"/>
    <w:rsid w:val="6734528A"/>
    <w:rsid w:val="673F01D2"/>
    <w:rsid w:val="676777C3"/>
    <w:rsid w:val="676A389B"/>
    <w:rsid w:val="676A4CD5"/>
    <w:rsid w:val="677D4B8A"/>
    <w:rsid w:val="67802ACE"/>
    <w:rsid w:val="67804B33"/>
    <w:rsid w:val="678C4018"/>
    <w:rsid w:val="67BA3CAD"/>
    <w:rsid w:val="67C132E8"/>
    <w:rsid w:val="67C40A09"/>
    <w:rsid w:val="67D020A7"/>
    <w:rsid w:val="67D600B8"/>
    <w:rsid w:val="67D64151"/>
    <w:rsid w:val="67E4087E"/>
    <w:rsid w:val="67EF2E87"/>
    <w:rsid w:val="6821192D"/>
    <w:rsid w:val="682A50A4"/>
    <w:rsid w:val="68337E89"/>
    <w:rsid w:val="68337EE8"/>
    <w:rsid w:val="683A6C76"/>
    <w:rsid w:val="6842321A"/>
    <w:rsid w:val="684675EC"/>
    <w:rsid w:val="68537052"/>
    <w:rsid w:val="68556FC7"/>
    <w:rsid w:val="685C5B46"/>
    <w:rsid w:val="686B3945"/>
    <w:rsid w:val="6876746A"/>
    <w:rsid w:val="688C0656"/>
    <w:rsid w:val="68981E7C"/>
    <w:rsid w:val="689B166D"/>
    <w:rsid w:val="68A328F2"/>
    <w:rsid w:val="68A477EF"/>
    <w:rsid w:val="68AE1735"/>
    <w:rsid w:val="68B037E5"/>
    <w:rsid w:val="68B72950"/>
    <w:rsid w:val="68B93736"/>
    <w:rsid w:val="68D10AC8"/>
    <w:rsid w:val="68D60630"/>
    <w:rsid w:val="68ED7332"/>
    <w:rsid w:val="68F8555D"/>
    <w:rsid w:val="68FE0DB6"/>
    <w:rsid w:val="691D712E"/>
    <w:rsid w:val="69214FE0"/>
    <w:rsid w:val="6953070F"/>
    <w:rsid w:val="69657D32"/>
    <w:rsid w:val="697E1E2B"/>
    <w:rsid w:val="697E7396"/>
    <w:rsid w:val="6983176F"/>
    <w:rsid w:val="69975871"/>
    <w:rsid w:val="69A009FE"/>
    <w:rsid w:val="69A11A0C"/>
    <w:rsid w:val="69A729C5"/>
    <w:rsid w:val="69BF206E"/>
    <w:rsid w:val="69C308D8"/>
    <w:rsid w:val="69CA255F"/>
    <w:rsid w:val="69CA755B"/>
    <w:rsid w:val="69CD3B8D"/>
    <w:rsid w:val="69D10E05"/>
    <w:rsid w:val="69E45CA2"/>
    <w:rsid w:val="69E46DF1"/>
    <w:rsid w:val="69E8174D"/>
    <w:rsid w:val="69EA3CED"/>
    <w:rsid w:val="69EB7655"/>
    <w:rsid w:val="69F66247"/>
    <w:rsid w:val="69F86AAF"/>
    <w:rsid w:val="6A09023E"/>
    <w:rsid w:val="6A1F6154"/>
    <w:rsid w:val="6A2746CC"/>
    <w:rsid w:val="6A332D95"/>
    <w:rsid w:val="6A444A47"/>
    <w:rsid w:val="6A4F7CF0"/>
    <w:rsid w:val="6A5517EC"/>
    <w:rsid w:val="6A694BA1"/>
    <w:rsid w:val="6A734205"/>
    <w:rsid w:val="6A750C16"/>
    <w:rsid w:val="6A776566"/>
    <w:rsid w:val="6AA02A00"/>
    <w:rsid w:val="6AA56FC6"/>
    <w:rsid w:val="6AB51195"/>
    <w:rsid w:val="6ABC3292"/>
    <w:rsid w:val="6AC04F0B"/>
    <w:rsid w:val="6AD34458"/>
    <w:rsid w:val="6ADC23D5"/>
    <w:rsid w:val="6ADC4801"/>
    <w:rsid w:val="6ADF25FC"/>
    <w:rsid w:val="6AF9720B"/>
    <w:rsid w:val="6AFA1E66"/>
    <w:rsid w:val="6AFE12C2"/>
    <w:rsid w:val="6AFF22DC"/>
    <w:rsid w:val="6B020CD0"/>
    <w:rsid w:val="6B0547F9"/>
    <w:rsid w:val="6B0B4870"/>
    <w:rsid w:val="6B1148AC"/>
    <w:rsid w:val="6B3632FE"/>
    <w:rsid w:val="6B3E0351"/>
    <w:rsid w:val="6B42449D"/>
    <w:rsid w:val="6B4A5562"/>
    <w:rsid w:val="6B565807"/>
    <w:rsid w:val="6B6548BE"/>
    <w:rsid w:val="6B6947A4"/>
    <w:rsid w:val="6B7A369F"/>
    <w:rsid w:val="6B942656"/>
    <w:rsid w:val="6BAC2823"/>
    <w:rsid w:val="6BB17CCF"/>
    <w:rsid w:val="6BBB682B"/>
    <w:rsid w:val="6BBD5024"/>
    <w:rsid w:val="6BD25DF8"/>
    <w:rsid w:val="6BEB455F"/>
    <w:rsid w:val="6BEB45CC"/>
    <w:rsid w:val="6BF37DF1"/>
    <w:rsid w:val="6BFA3189"/>
    <w:rsid w:val="6C0B4C1B"/>
    <w:rsid w:val="6C3468D1"/>
    <w:rsid w:val="6C3C5607"/>
    <w:rsid w:val="6C546532"/>
    <w:rsid w:val="6C562F8A"/>
    <w:rsid w:val="6C630CE9"/>
    <w:rsid w:val="6C714746"/>
    <w:rsid w:val="6C8A28F0"/>
    <w:rsid w:val="6C914CAA"/>
    <w:rsid w:val="6C9A6912"/>
    <w:rsid w:val="6CC17B62"/>
    <w:rsid w:val="6CEC0F34"/>
    <w:rsid w:val="6CEF01FA"/>
    <w:rsid w:val="6CF73CA4"/>
    <w:rsid w:val="6D005FF7"/>
    <w:rsid w:val="6D05105B"/>
    <w:rsid w:val="6D055E78"/>
    <w:rsid w:val="6D17316C"/>
    <w:rsid w:val="6D1D68D4"/>
    <w:rsid w:val="6D207FCD"/>
    <w:rsid w:val="6D2112FB"/>
    <w:rsid w:val="6D222330"/>
    <w:rsid w:val="6D270713"/>
    <w:rsid w:val="6D280C36"/>
    <w:rsid w:val="6D286C4C"/>
    <w:rsid w:val="6D2B534E"/>
    <w:rsid w:val="6D2B5B01"/>
    <w:rsid w:val="6D381497"/>
    <w:rsid w:val="6D4F3914"/>
    <w:rsid w:val="6D6A2DB3"/>
    <w:rsid w:val="6D6A69AA"/>
    <w:rsid w:val="6D79127B"/>
    <w:rsid w:val="6D7A53AB"/>
    <w:rsid w:val="6D7C1B0A"/>
    <w:rsid w:val="6D7C7BFF"/>
    <w:rsid w:val="6D832281"/>
    <w:rsid w:val="6D993D94"/>
    <w:rsid w:val="6DA910BB"/>
    <w:rsid w:val="6DB63930"/>
    <w:rsid w:val="6DB6586E"/>
    <w:rsid w:val="6DC237AE"/>
    <w:rsid w:val="6DC33C22"/>
    <w:rsid w:val="6DC57185"/>
    <w:rsid w:val="6DE27BDD"/>
    <w:rsid w:val="6DEA260D"/>
    <w:rsid w:val="6DF91502"/>
    <w:rsid w:val="6DFA2CF4"/>
    <w:rsid w:val="6E01482E"/>
    <w:rsid w:val="6E0D1941"/>
    <w:rsid w:val="6E18292B"/>
    <w:rsid w:val="6E2013CD"/>
    <w:rsid w:val="6E28061C"/>
    <w:rsid w:val="6E3107FB"/>
    <w:rsid w:val="6E3C1FE0"/>
    <w:rsid w:val="6E3E50B4"/>
    <w:rsid w:val="6E402C35"/>
    <w:rsid w:val="6E403BCF"/>
    <w:rsid w:val="6E424CF7"/>
    <w:rsid w:val="6E4510A9"/>
    <w:rsid w:val="6E4D592D"/>
    <w:rsid w:val="6E7B6A56"/>
    <w:rsid w:val="6E96703D"/>
    <w:rsid w:val="6E984122"/>
    <w:rsid w:val="6EC4761A"/>
    <w:rsid w:val="6ED26905"/>
    <w:rsid w:val="6EE20566"/>
    <w:rsid w:val="6EE32670"/>
    <w:rsid w:val="6EEB6DD8"/>
    <w:rsid w:val="6EF513F6"/>
    <w:rsid w:val="6EF55455"/>
    <w:rsid w:val="6F166BCE"/>
    <w:rsid w:val="6F1D0027"/>
    <w:rsid w:val="6F1F0771"/>
    <w:rsid w:val="6F290684"/>
    <w:rsid w:val="6F3669E2"/>
    <w:rsid w:val="6F3A0437"/>
    <w:rsid w:val="6F452492"/>
    <w:rsid w:val="6F4B64FF"/>
    <w:rsid w:val="6F4E1ABB"/>
    <w:rsid w:val="6F65489B"/>
    <w:rsid w:val="6F6A3BD2"/>
    <w:rsid w:val="6F6F66FF"/>
    <w:rsid w:val="6F7227E7"/>
    <w:rsid w:val="6F7869AA"/>
    <w:rsid w:val="6F7F24B7"/>
    <w:rsid w:val="6F86274A"/>
    <w:rsid w:val="6F886A39"/>
    <w:rsid w:val="6F8A6B50"/>
    <w:rsid w:val="6F8C42FF"/>
    <w:rsid w:val="6F9964D8"/>
    <w:rsid w:val="6F9E35B3"/>
    <w:rsid w:val="6F9E4E98"/>
    <w:rsid w:val="6FB1313E"/>
    <w:rsid w:val="6FB536E7"/>
    <w:rsid w:val="6FC169C6"/>
    <w:rsid w:val="6FC24AD0"/>
    <w:rsid w:val="6FEF1ED2"/>
    <w:rsid w:val="6FF0266C"/>
    <w:rsid w:val="700148B1"/>
    <w:rsid w:val="700708F2"/>
    <w:rsid w:val="701637CE"/>
    <w:rsid w:val="7017418F"/>
    <w:rsid w:val="70192A9F"/>
    <w:rsid w:val="70262445"/>
    <w:rsid w:val="704865AC"/>
    <w:rsid w:val="70575662"/>
    <w:rsid w:val="7068342F"/>
    <w:rsid w:val="706B1A4B"/>
    <w:rsid w:val="70796EB7"/>
    <w:rsid w:val="70891E2B"/>
    <w:rsid w:val="709304FC"/>
    <w:rsid w:val="70B21D55"/>
    <w:rsid w:val="70BA4068"/>
    <w:rsid w:val="70CA7559"/>
    <w:rsid w:val="70D77F1A"/>
    <w:rsid w:val="70D80040"/>
    <w:rsid w:val="70E96559"/>
    <w:rsid w:val="70F06D61"/>
    <w:rsid w:val="70F36F46"/>
    <w:rsid w:val="70FC142B"/>
    <w:rsid w:val="71156D9D"/>
    <w:rsid w:val="71231B23"/>
    <w:rsid w:val="71343C14"/>
    <w:rsid w:val="713B214A"/>
    <w:rsid w:val="714633CE"/>
    <w:rsid w:val="716241B1"/>
    <w:rsid w:val="716E1428"/>
    <w:rsid w:val="7178159F"/>
    <w:rsid w:val="718621EE"/>
    <w:rsid w:val="71894FD2"/>
    <w:rsid w:val="719B2361"/>
    <w:rsid w:val="71A00EEF"/>
    <w:rsid w:val="71A3311F"/>
    <w:rsid w:val="71AA4E1C"/>
    <w:rsid w:val="71AD3A74"/>
    <w:rsid w:val="71E810EE"/>
    <w:rsid w:val="71F8619A"/>
    <w:rsid w:val="72005730"/>
    <w:rsid w:val="72280301"/>
    <w:rsid w:val="7231753D"/>
    <w:rsid w:val="72386C6E"/>
    <w:rsid w:val="723A3057"/>
    <w:rsid w:val="72400885"/>
    <w:rsid w:val="724551B5"/>
    <w:rsid w:val="724B6026"/>
    <w:rsid w:val="725273EA"/>
    <w:rsid w:val="725B1897"/>
    <w:rsid w:val="725F5B3C"/>
    <w:rsid w:val="72603689"/>
    <w:rsid w:val="726C47BC"/>
    <w:rsid w:val="72CA5B9C"/>
    <w:rsid w:val="72CD216D"/>
    <w:rsid w:val="72CD2240"/>
    <w:rsid w:val="72CD58C3"/>
    <w:rsid w:val="72DC19E2"/>
    <w:rsid w:val="72DC648D"/>
    <w:rsid w:val="72E07EEA"/>
    <w:rsid w:val="72E420AF"/>
    <w:rsid w:val="72E530D5"/>
    <w:rsid w:val="72EC4E12"/>
    <w:rsid w:val="72EF2AE7"/>
    <w:rsid w:val="73373DED"/>
    <w:rsid w:val="73391B68"/>
    <w:rsid w:val="733B2119"/>
    <w:rsid w:val="733F7A24"/>
    <w:rsid w:val="735C44F0"/>
    <w:rsid w:val="736A01CD"/>
    <w:rsid w:val="736B4D35"/>
    <w:rsid w:val="737010AC"/>
    <w:rsid w:val="73741988"/>
    <w:rsid w:val="73742A01"/>
    <w:rsid w:val="7375590C"/>
    <w:rsid w:val="73814929"/>
    <w:rsid w:val="738858FE"/>
    <w:rsid w:val="7391289C"/>
    <w:rsid w:val="7393399F"/>
    <w:rsid w:val="73984022"/>
    <w:rsid w:val="73A84BF1"/>
    <w:rsid w:val="73B45570"/>
    <w:rsid w:val="73C11347"/>
    <w:rsid w:val="73E2421D"/>
    <w:rsid w:val="74000D97"/>
    <w:rsid w:val="741E426C"/>
    <w:rsid w:val="742D3750"/>
    <w:rsid w:val="74310474"/>
    <w:rsid w:val="74694C3B"/>
    <w:rsid w:val="746A6AAD"/>
    <w:rsid w:val="746D246B"/>
    <w:rsid w:val="747A4FBC"/>
    <w:rsid w:val="747C002A"/>
    <w:rsid w:val="748B466B"/>
    <w:rsid w:val="74CC4EFB"/>
    <w:rsid w:val="74D469D0"/>
    <w:rsid w:val="74D94903"/>
    <w:rsid w:val="74DC7834"/>
    <w:rsid w:val="74E271F1"/>
    <w:rsid w:val="74EE4239"/>
    <w:rsid w:val="74F914E4"/>
    <w:rsid w:val="75197F39"/>
    <w:rsid w:val="751D2FBA"/>
    <w:rsid w:val="75326EC3"/>
    <w:rsid w:val="754D60F6"/>
    <w:rsid w:val="7551327B"/>
    <w:rsid w:val="755D51F1"/>
    <w:rsid w:val="755F3E02"/>
    <w:rsid w:val="755F782E"/>
    <w:rsid w:val="75701583"/>
    <w:rsid w:val="7573343A"/>
    <w:rsid w:val="757A5DAF"/>
    <w:rsid w:val="757F1016"/>
    <w:rsid w:val="758C2EBE"/>
    <w:rsid w:val="75A16A9F"/>
    <w:rsid w:val="75BC6CCF"/>
    <w:rsid w:val="75D61B06"/>
    <w:rsid w:val="75D636FA"/>
    <w:rsid w:val="75E27D49"/>
    <w:rsid w:val="75EA771F"/>
    <w:rsid w:val="75FE7567"/>
    <w:rsid w:val="761867BE"/>
    <w:rsid w:val="76365AD0"/>
    <w:rsid w:val="763E44C0"/>
    <w:rsid w:val="76433653"/>
    <w:rsid w:val="7648216B"/>
    <w:rsid w:val="765D57EA"/>
    <w:rsid w:val="7688585F"/>
    <w:rsid w:val="76933A35"/>
    <w:rsid w:val="76AE1756"/>
    <w:rsid w:val="76B81114"/>
    <w:rsid w:val="76BE3027"/>
    <w:rsid w:val="76CA616D"/>
    <w:rsid w:val="76DF0E9A"/>
    <w:rsid w:val="76ED7180"/>
    <w:rsid w:val="76F54CF0"/>
    <w:rsid w:val="76FD5906"/>
    <w:rsid w:val="77072866"/>
    <w:rsid w:val="770B684E"/>
    <w:rsid w:val="771D50F3"/>
    <w:rsid w:val="771F1990"/>
    <w:rsid w:val="77204CB1"/>
    <w:rsid w:val="77272726"/>
    <w:rsid w:val="77432F5D"/>
    <w:rsid w:val="77514AFF"/>
    <w:rsid w:val="775C70FA"/>
    <w:rsid w:val="77676DD8"/>
    <w:rsid w:val="776D12D7"/>
    <w:rsid w:val="777C1603"/>
    <w:rsid w:val="77986676"/>
    <w:rsid w:val="77A06E49"/>
    <w:rsid w:val="77A14CDE"/>
    <w:rsid w:val="77AA2F7D"/>
    <w:rsid w:val="77C96BD3"/>
    <w:rsid w:val="77D60033"/>
    <w:rsid w:val="77D800C3"/>
    <w:rsid w:val="77E50D75"/>
    <w:rsid w:val="77F547E0"/>
    <w:rsid w:val="77F8286E"/>
    <w:rsid w:val="78266CE5"/>
    <w:rsid w:val="7827421F"/>
    <w:rsid w:val="782B4A23"/>
    <w:rsid w:val="782F340C"/>
    <w:rsid w:val="78302F8F"/>
    <w:rsid w:val="784117AB"/>
    <w:rsid w:val="78510397"/>
    <w:rsid w:val="78542CE7"/>
    <w:rsid w:val="78552936"/>
    <w:rsid w:val="785D1E8E"/>
    <w:rsid w:val="78731F0E"/>
    <w:rsid w:val="787429FA"/>
    <w:rsid w:val="78754CBA"/>
    <w:rsid w:val="78805EAB"/>
    <w:rsid w:val="78881BFC"/>
    <w:rsid w:val="78962FA5"/>
    <w:rsid w:val="78A43903"/>
    <w:rsid w:val="78C148AC"/>
    <w:rsid w:val="78CA1FEE"/>
    <w:rsid w:val="78CB3FEB"/>
    <w:rsid w:val="78D86D27"/>
    <w:rsid w:val="793B5CE2"/>
    <w:rsid w:val="795C411F"/>
    <w:rsid w:val="796057A7"/>
    <w:rsid w:val="7966323A"/>
    <w:rsid w:val="796834B3"/>
    <w:rsid w:val="797B3C8A"/>
    <w:rsid w:val="797F45FC"/>
    <w:rsid w:val="798304E0"/>
    <w:rsid w:val="79830C32"/>
    <w:rsid w:val="79970647"/>
    <w:rsid w:val="79A11C25"/>
    <w:rsid w:val="79B847D4"/>
    <w:rsid w:val="79CE7F1F"/>
    <w:rsid w:val="79D9682C"/>
    <w:rsid w:val="79DB75C0"/>
    <w:rsid w:val="79E37881"/>
    <w:rsid w:val="79E4486C"/>
    <w:rsid w:val="79EA2E0E"/>
    <w:rsid w:val="79ED08FA"/>
    <w:rsid w:val="79F501D1"/>
    <w:rsid w:val="79FC00C4"/>
    <w:rsid w:val="79FC2BF8"/>
    <w:rsid w:val="7A0610D0"/>
    <w:rsid w:val="7A067AFA"/>
    <w:rsid w:val="7A0C585A"/>
    <w:rsid w:val="7A2578FD"/>
    <w:rsid w:val="7A2C7450"/>
    <w:rsid w:val="7A326B5A"/>
    <w:rsid w:val="7A535A35"/>
    <w:rsid w:val="7A553725"/>
    <w:rsid w:val="7A604F43"/>
    <w:rsid w:val="7A616D0A"/>
    <w:rsid w:val="7A783A23"/>
    <w:rsid w:val="7A7F2C76"/>
    <w:rsid w:val="7A8F5500"/>
    <w:rsid w:val="7AA7447C"/>
    <w:rsid w:val="7AAC462A"/>
    <w:rsid w:val="7AD14E20"/>
    <w:rsid w:val="7AD85F47"/>
    <w:rsid w:val="7AF84FA0"/>
    <w:rsid w:val="7AF909C6"/>
    <w:rsid w:val="7AFC330B"/>
    <w:rsid w:val="7B1502B3"/>
    <w:rsid w:val="7B1F3681"/>
    <w:rsid w:val="7B6F1BD0"/>
    <w:rsid w:val="7B732126"/>
    <w:rsid w:val="7B755C15"/>
    <w:rsid w:val="7B757173"/>
    <w:rsid w:val="7B7B20CE"/>
    <w:rsid w:val="7B8E1216"/>
    <w:rsid w:val="7B9A1345"/>
    <w:rsid w:val="7B9F4805"/>
    <w:rsid w:val="7BA226FD"/>
    <w:rsid w:val="7BB20B69"/>
    <w:rsid w:val="7BB819E3"/>
    <w:rsid w:val="7BC51755"/>
    <w:rsid w:val="7BC67AB6"/>
    <w:rsid w:val="7BCA6C86"/>
    <w:rsid w:val="7BE7412D"/>
    <w:rsid w:val="7BF4232A"/>
    <w:rsid w:val="7BFA4E58"/>
    <w:rsid w:val="7BFC24E5"/>
    <w:rsid w:val="7C044DA1"/>
    <w:rsid w:val="7C0B3159"/>
    <w:rsid w:val="7C132D64"/>
    <w:rsid w:val="7C27612C"/>
    <w:rsid w:val="7C3F76F0"/>
    <w:rsid w:val="7CA33449"/>
    <w:rsid w:val="7CA45FF7"/>
    <w:rsid w:val="7CC61907"/>
    <w:rsid w:val="7CE0350C"/>
    <w:rsid w:val="7CE16426"/>
    <w:rsid w:val="7D0A0BA4"/>
    <w:rsid w:val="7D107AF3"/>
    <w:rsid w:val="7D28386F"/>
    <w:rsid w:val="7D3A0F1D"/>
    <w:rsid w:val="7D4253C7"/>
    <w:rsid w:val="7D4C5341"/>
    <w:rsid w:val="7D4E5EE6"/>
    <w:rsid w:val="7D7B6658"/>
    <w:rsid w:val="7D800310"/>
    <w:rsid w:val="7D8901AD"/>
    <w:rsid w:val="7D8E577D"/>
    <w:rsid w:val="7D8F2C22"/>
    <w:rsid w:val="7D90536C"/>
    <w:rsid w:val="7D9A426A"/>
    <w:rsid w:val="7D9A7FCD"/>
    <w:rsid w:val="7DB173F7"/>
    <w:rsid w:val="7DD17FD1"/>
    <w:rsid w:val="7DE70AC3"/>
    <w:rsid w:val="7DF245FC"/>
    <w:rsid w:val="7E006F08"/>
    <w:rsid w:val="7E3101B4"/>
    <w:rsid w:val="7E3172CD"/>
    <w:rsid w:val="7E333E03"/>
    <w:rsid w:val="7E391FE6"/>
    <w:rsid w:val="7E4D1B3B"/>
    <w:rsid w:val="7E4D6F6B"/>
    <w:rsid w:val="7E750D96"/>
    <w:rsid w:val="7E7A6F17"/>
    <w:rsid w:val="7E7D152D"/>
    <w:rsid w:val="7E841A66"/>
    <w:rsid w:val="7E876C73"/>
    <w:rsid w:val="7E916762"/>
    <w:rsid w:val="7E9E6093"/>
    <w:rsid w:val="7EA916FD"/>
    <w:rsid w:val="7EBF6723"/>
    <w:rsid w:val="7ED011E0"/>
    <w:rsid w:val="7ED6731D"/>
    <w:rsid w:val="7EE53C64"/>
    <w:rsid w:val="7EEA29E2"/>
    <w:rsid w:val="7F294316"/>
    <w:rsid w:val="7F461975"/>
    <w:rsid w:val="7F541580"/>
    <w:rsid w:val="7F590594"/>
    <w:rsid w:val="7F667225"/>
    <w:rsid w:val="7F844A6E"/>
    <w:rsid w:val="7F887A65"/>
    <w:rsid w:val="7F9E05E2"/>
    <w:rsid w:val="7FA27C81"/>
    <w:rsid w:val="7FAA1C29"/>
    <w:rsid w:val="7FAC4830"/>
    <w:rsid w:val="7FB659E5"/>
    <w:rsid w:val="7FB7407D"/>
    <w:rsid w:val="7FE57792"/>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pPr>
    <w:rPr>
      <w:rFonts w:eastAsia="宋体"/>
      <w:sz w:val="24"/>
    </w:rPr>
  </w:style>
  <w:style w:type="paragraph" w:styleId="3">
    <w:name w:val="Body Text Indent"/>
    <w:basedOn w:val="1"/>
    <w:next w:val="4"/>
    <w:qFormat/>
    <w:uiPriority w:val="0"/>
    <w:pPr>
      <w:spacing w:after="120"/>
      <w:ind w:left="420" w:leftChars="200"/>
    </w:pPr>
  </w:style>
  <w:style w:type="paragraph" w:styleId="4">
    <w:name w:val="envelope return"/>
    <w:basedOn w:val="1"/>
    <w:qFormat/>
    <w:uiPriority w:val="0"/>
    <w:pPr>
      <w:snapToGrid w:val="0"/>
    </w:pPr>
    <w:rPr>
      <w:rFonts w:ascii="Arial" w:hAnsi="Arial"/>
    </w:rPr>
  </w:style>
  <w:style w:type="paragraph" w:styleId="8">
    <w:name w:val="annotation text"/>
    <w:basedOn w:val="1"/>
    <w:qFormat/>
    <w:uiPriority w:val="0"/>
    <w:pPr>
      <w:jc w:val="left"/>
    </w:pPr>
    <w:rPr>
      <w:rFonts w:eastAsia="宋体"/>
    </w:rPr>
  </w:style>
  <w:style w:type="paragraph" w:styleId="9">
    <w:name w:val="Body Text 3"/>
    <w:basedOn w:val="1"/>
    <w:qFormat/>
    <w:uiPriority w:val="0"/>
    <w:rPr>
      <w:rFonts w:ascii="宋体"/>
      <w:sz w:val="24"/>
      <w:szCs w:val="20"/>
    </w:rPr>
  </w:style>
  <w:style w:type="paragraph" w:styleId="10">
    <w:name w:val="Body Text"/>
    <w:basedOn w:val="1"/>
    <w:qFormat/>
    <w:uiPriority w:val="0"/>
    <w:pPr>
      <w:spacing w:after="12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10"/>
    <w:qFormat/>
    <w:uiPriority w:val="0"/>
    <w:pPr>
      <w:ind w:firstLine="420" w:firstLineChars="1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6"/>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7"/>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C52D11-2E1E-4675-9E8A-BB1B48D22678}">
  <ds:schemaRefs/>
</ds:datastoreItem>
</file>

<file path=docProps/app.xml><?xml version="1.0" encoding="utf-8"?>
<Properties xmlns="http://schemas.openxmlformats.org/officeDocument/2006/extended-properties" xmlns:vt="http://schemas.openxmlformats.org/officeDocument/2006/docPropsVTypes">
  <Template>Normal</Template>
  <Pages>38</Pages>
  <Words>2349</Words>
  <Characters>13390</Characters>
  <Lines>111</Lines>
  <Paragraphs>31</Paragraphs>
  <TotalTime>45</TotalTime>
  <ScaleCrop>false</ScaleCrop>
  <LinksUpToDate>false</LinksUpToDate>
  <CharactersWithSpaces>15708</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2021-07-02T06:33:00Z</cp:lastPrinted>
  <dcterms:modified xsi:type="dcterms:W3CDTF">2021-07-08T07:54:44Z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383E715DF5C8458393E4A773507A30AF</vt:lpwstr>
  </property>
</Properties>
</file>