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亳州市2021-13地块建设项目广告策划（二次）</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21</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none"/>
          <w:shd w:val="clear" w:color="auto" w:fill="auto"/>
          <w:lang w:val="en-US" w:eastAsia="zh-CN"/>
        </w:rPr>
        <w:t>036</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亳州通恒置业有限公司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二〇二</w:t>
      </w:r>
      <w:r>
        <w:rPr>
          <w:rFonts w:hint="eastAsia" w:ascii="Times New Roman" w:hAnsi="Times New Roman" w:eastAsia="楷体" w:cs="Times New Roman"/>
          <w:color w:val="auto"/>
          <w:kern w:val="0"/>
          <w:sz w:val="32"/>
          <w:szCs w:val="32"/>
          <w:highlight w:val="none"/>
          <w:shd w:val="clear" w:color="auto" w:fill="auto"/>
          <w:lang w:val="en-US" w:eastAsia="zh-CN"/>
        </w:rPr>
        <w:t>一</w:t>
      </w:r>
      <w:r>
        <w:rPr>
          <w:rFonts w:hint="eastAsia" w:ascii="Times New Roman" w:hAnsi="Times New Roman" w:eastAsia="楷体" w:cs="Times New Roman"/>
          <w:kern w:val="0"/>
          <w:sz w:val="32"/>
          <w:szCs w:val="32"/>
          <w:highlight w:val="none"/>
          <w:shd w:val="clear" w:color="auto" w:fill="auto"/>
          <w:lang w:val="en-US" w:eastAsia="zh-CN"/>
        </w:rPr>
        <w:t>年七</w:t>
      </w:r>
      <w:r>
        <w:rPr>
          <w:rFonts w:hint="eastAsia" w:ascii="Times New Roman" w:hAnsi="Times New Roman" w:eastAsia="楷体" w:cs="Times New Roman"/>
          <w:color w:val="auto"/>
          <w:kern w:val="0"/>
          <w:sz w:val="32"/>
          <w:szCs w:val="32"/>
          <w:highlight w:val="none"/>
          <w:shd w:val="clear" w:color="auto" w:fill="auto"/>
          <w:lang w:val="en-US" w:eastAsia="zh-CN"/>
        </w:rPr>
        <w:t>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第二章 投标人须知...................................................................</w:t>
      </w:r>
      <w:r>
        <w:rPr>
          <w:rFonts w:hint="eastAsia" w:ascii="Times New Roman" w:hAnsi="Times New Roman" w:eastAsia="黑体" w:cs="Times New Roman"/>
          <w:color w:val="auto"/>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第三章 评标办法</w:t>
      </w:r>
      <w:r>
        <w:rPr>
          <w:rFonts w:hint="eastAsia" w:ascii="Times New Roman" w:hAnsi="Times New Roman" w:eastAsia="黑体" w:cs="Times New Roman"/>
          <w:color w:val="auto"/>
          <w:kern w:val="0"/>
          <w:sz w:val="32"/>
          <w:szCs w:val="32"/>
          <w:highlight w:val="none"/>
          <w:lang w:val="en-US" w:eastAsia="zh-CN"/>
        </w:rPr>
        <w:t>（综合评估法）</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12</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第四章 合同条款及格式......................................</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19</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五</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发包人要求</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20</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六</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投标文件格式</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24</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亳州市2021-13地块建设项目广告策划（二次）</w:t>
      </w: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144974487"/>
      <w:bookmarkStart w:id="1" w:name="_Toc152042295"/>
      <w:bookmarkStart w:id="2" w:name="_Toc246996909"/>
      <w:bookmarkStart w:id="3" w:name="_Toc246996166"/>
      <w:bookmarkStart w:id="4" w:name="_Toc179632536"/>
      <w:bookmarkStart w:id="5" w:name="_Toc296602410"/>
      <w:bookmarkStart w:id="6" w:name="_Toc247085680"/>
      <w:bookmarkStart w:id="7" w:name="_Toc152045519"/>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8" w:name="_Toc179632537"/>
      <w:bookmarkStart w:id="9" w:name="_Toc152042296"/>
      <w:bookmarkStart w:id="10" w:name="_Toc246996167"/>
      <w:bookmarkStart w:id="11" w:name="_Toc296602411"/>
      <w:bookmarkStart w:id="12" w:name="_Toc152045520"/>
      <w:bookmarkStart w:id="13" w:name="_Toc144974488"/>
      <w:bookmarkStart w:id="14" w:name="_Toc247085681"/>
      <w:bookmarkStart w:id="15" w:name="_Toc246996910"/>
      <w:r>
        <w:rPr>
          <w:rFonts w:ascii="Times New Roman" w:hAnsi="Times New Roman" w:eastAsia="仿宋_GB2312" w:cs="Times New Roman"/>
          <w:sz w:val="28"/>
          <w:szCs w:val="28"/>
        </w:rPr>
        <w:t>本招标项目</w:t>
      </w:r>
      <w:r>
        <w:rPr>
          <w:rFonts w:ascii="Times New Roman" w:hAnsi="Times New Roman" w:eastAsia="仿宋_GB2312" w:cs="Times New Roman"/>
          <w:sz w:val="28"/>
          <w:szCs w:val="28"/>
          <w:highlight w:val="none"/>
        </w:rPr>
        <w:t>为</w:t>
      </w:r>
      <w:r>
        <w:rPr>
          <w:rFonts w:hint="eastAsia" w:ascii="Times New Roman" w:hAnsi="Times New Roman" w:eastAsia="仿宋_GB2312" w:cs="Times New Roman"/>
          <w:sz w:val="28"/>
          <w:szCs w:val="28"/>
          <w:highlight w:val="none"/>
          <w:u w:val="single"/>
        </w:rPr>
        <w:t>亳州市2021-13地块建设项目</w:t>
      </w:r>
      <w:r>
        <w:rPr>
          <w:rFonts w:hint="eastAsia" w:ascii="Times New Roman" w:hAnsi="Times New Roman" w:eastAsia="仿宋_GB2312" w:cs="Times New Roman"/>
          <w:sz w:val="28"/>
          <w:szCs w:val="28"/>
          <w:highlight w:val="none"/>
          <w:u w:val="single"/>
          <w:lang w:val="en-US" w:eastAsia="zh-CN"/>
        </w:rPr>
        <w:t>广告策划</w:t>
      </w:r>
      <w:r>
        <w:rPr>
          <w:rFonts w:ascii="Times New Roman" w:hAnsi="Times New Roman" w:eastAsia="仿宋_GB2312" w:cs="Times New Roman"/>
          <w:sz w:val="28"/>
          <w:szCs w:val="28"/>
          <w:highlight w:val="none"/>
          <w:u w:val="single"/>
        </w:rPr>
        <w:t>（项目编号：BZJK-20</w:t>
      </w:r>
      <w:r>
        <w:rPr>
          <w:rFonts w:hint="eastAsia" w:ascii="Times New Roman" w:hAnsi="Times New Roman" w:eastAsia="仿宋_GB2312" w:cs="Times New Roman"/>
          <w:sz w:val="28"/>
          <w:szCs w:val="28"/>
          <w:highlight w:val="none"/>
          <w:u w:val="single"/>
        </w:rPr>
        <w:t>21</w:t>
      </w:r>
      <w:r>
        <w:rPr>
          <w:rFonts w:ascii="Times New Roman" w:hAnsi="Times New Roman" w:eastAsia="仿宋_GB2312" w:cs="Times New Roman"/>
          <w:sz w:val="28"/>
          <w:szCs w:val="28"/>
          <w:highlight w:val="none"/>
          <w:u w:val="single"/>
        </w:rPr>
        <w:t>-</w:t>
      </w:r>
      <w:r>
        <w:rPr>
          <w:rFonts w:hint="eastAsia" w:ascii="Times New Roman" w:hAnsi="Times New Roman" w:eastAsia="仿宋_GB2312" w:cs="Times New Roman"/>
          <w:sz w:val="28"/>
          <w:szCs w:val="28"/>
          <w:highlight w:val="none"/>
          <w:u w:val="single"/>
          <w:lang w:val="en-US" w:eastAsia="zh-CN"/>
        </w:rPr>
        <w:t>036</w:t>
      </w:r>
      <w:r>
        <w:rPr>
          <w:rFonts w:ascii="Times New Roman" w:hAnsi="Times New Roman" w:eastAsia="仿宋_GB2312" w:cs="Times New Roman"/>
          <w:sz w:val="28"/>
          <w:szCs w:val="28"/>
          <w:highlight w:val="none"/>
          <w:u w:val="single"/>
        </w:rPr>
        <w:t>号）</w:t>
      </w:r>
      <w:r>
        <w:rPr>
          <w:rFonts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rPr>
        <w:t>项目业主为</w:t>
      </w:r>
      <w:r>
        <w:rPr>
          <w:rFonts w:hint="eastAsia" w:ascii="Times New Roman" w:hAnsi="Times New Roman" w:eastAsia="仿宋_GB2312" w:cs="Times New Roman"/>
          <w:sz w:val="28"/>
          <w:szCs w:val="28"/>
          <w:highlight w:val="none"/>
          <w:u w:val="single"/>
        </w:rPr>
        <w:t>亳州通恒置业有限公司</w:t>
      </w: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建设</w:t>
      </w:r>
      <w:r>
        <w:rPr>
          <w:rFonts w:hint="eastAsia" w:ascii="Times New Roman" w:hAnsi="Times New Roman" w:eastAsia="仿宋_GB2312" w:cs="Times New Roman"/>
          <w:sz w:val="28"/>
          <w:szCs w:val="28"/>
          <w:highlight w:val="none"/>
        </w:rPr>
        <w:t>资金来自</w:t>
      </w:r>
      <w:r>
        <w:rPr>
          <w:rFonts w:hint="eastAsia" w:ascii="Times New Roman" w:hAnsi="Times New Roman" w:eastAsia="仿宋_GB2312" w:cs="Times New Roman"/>
          <w:sz w:val="28"/>
          <w:szCs w:val="28"/>
          <w:highlight w:val="none"/>
          <w:u w:val="single"/>
        </w:rPr>
        <w:t>业主自筹</w:t>
      </w: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出资比例为</w:t>
      </w:r>
      <w:r>
        <w:rPr>
          <w:rFonts w:hint="eastAsia" w:ascii="Times New Roman" w:hAnsi="Times New Roman" w:eastAsia="仿宋_GB2312" w:cs="Times New Roman"/>
          <w:sz w:val="28"/>
          <w:szCs w:val="28"/>
          <w:highlight w:val="none"/>
          <w:u w:val="single"/>
          <w:lang w:val="en-US" w:eastAsia="zh-CN"/>
        </w:rPr>
        <w:t>100</w:t>
      </w:r>
      <w:r>
        <w:rPr>
          <w:rFonts w:hint="eastAsia" w:ascii="Times New Roman" w:hAnsi="Times New Roman" w:eastAsia="仿宋_GB2312" w:cs="Times New Roman"/>
          <w:sz w:val="28"/>
          <w:szCs w:val="28"/>
          <w:u w:val="single"/>
          <w:lang w:val="en-US" w:eastAsia="zh-CN"/>
        </w:rPr>
        <w:t>%</w:t>
      </w:r>
      <w:r>
        <w:rPr>
          <w:rFonts w:hint="eastAsia" w:ascii="Times New Roman" w:hAnsi="Times New Roman" w:eastAsia="仿宋_GB2312" w:cs="Times New Roman"/>
          <w:sz w:val="28"/>
          <w:szCs w:val="28"/>
          <w:u w:val="none"/>
          <w:lang w:val="en-US" w:eastAsia="zh-CN"/>
        </w:rPr>
        <w:t>，</w:t>
      </w:r>
      <w:r>
        <w:rPr>
          <w:rFonts w:ascii="Times New Roman" w:hAnsi="Times New Roman" w:eastAsia="仿宋_GB2312" w:cs="Times New Roman"/>
          <w:sz w:val="28"/>
          <w:szCs w:val="28"/>
        </w:rPr>
        <w:t>招标人为</w:t>
      </w:r>
      <w:r>
        <w:rPr>
          <w:rFonts w:hint="eastAsia" w:ascii="Times New Roman" w:hAnsi="Times New Roman" w:eastAsia="仿宋_GB2312" w:cs="Times New Roman"/>
          <w:sz w:val="28"/>
          <w:szCs w:val="28"/>
          <w:u w:val="single"/>
        </w:rPr>
        <w:t>亳州通恒置业有限公司</w:t>
      </w:r>
      <w:r>
        <w:rPr>
          <w:rFonts w:ascii="Times New Roman" w:hAnsi="Times New Roman" w:eastAsia="仿宋_GB2312" w:cs="Times New Roman"/>
          <w:sz w:val="28"/>
          <w:szCs w:val="28"/>
        </w:rPr>
        <w:t>。项目已具备招标条件，现对该项目进行</w:t>
      </w:r>
      <w:r>
        <w:rPr>
          <w:rFonts w:ascii="Times New Roman" w:hAnsi="Times New Roman" w:eastAsia="仿宋_GB2312" w:cs="Times New Roman"/>
          <w:sz w:val="28"/>
          <w:szCs w:val="28"/>
          <w:u w:val="single"/>
        </w:rPr>
        <w:t>公开招标</w:t>
      </w:r>
      <w:r>
        <w:rPr>
          <w:rFonts w:ascii="Times New Roman" w:hAnsi="Times New Roman" w:eastAsia="仿宋_GB2312" w:cs="Times New Roman"/>
          <w:sz w:val="28"/>
          <w:szCs w:val="28"/>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亳州市2021-13地块建设项目位于利辛路北、华佗大道西、庄周路东，占地面积134680.3平方米，土地用途为商住（商服不大于5%），规划指标要求容积率不大于2.0，建筑密度不大于25%，绿地率不小于35%。</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招标范围：为招标人提供2021-13地块建设项目的整合传播营销策划思路、阶段性具体操作方案、媒体组合策略、各种传播方式的创意、撰文与设计、本项目有关的品牌宣传等工作，具体工作内容详见招标文件第五章发包人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（三）服务期限：自合同签订之日起</w:t>
      </w:r>
      <w:r>
        <w:rPr>
          <w:rFonts w:hint="eastAsia" w:ascii="Times New Roman" w:hAnsi="Times New Roman" w:eastAsia="仿宋_GB2312" w:cs="Times New Roman"/>
          <w:sz w:val="28"/>
          <w:szCs w:val="28"/>
          <w:highlight w:val="none"/>
          <w:u w:val="single"/>
          <w:lang w:val="en-US" w:eastAsia="zh-CN"/>
        </w:rPr>
        <w:t>6</w:t>
      </w:r>
      <w:r>
        <w:rPr>
          <w:rFonts w:hint="eastAsia" w:ascii="Times New Roman" w:hAnsi="Times New Roman" w:eastAsia="仿宋_GB2312" w:cs="Times New Roman"/>
          <w:sz w:val="28"/>
          <w:szCs w:val="28"/>
          <w:highlight w:val="none"/>
          <w:lang w:val="en-US" w:eastAsia="zh-CN"/>
        </w:rPr>
        <w:t>个月。</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（四）质量标准：成果文件须符合国家、地方、行业现行相关规范合格标准，符合招标文件第五章发包人要求。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（五）最高投标限价：投标人按</w:t>
      </w:r>
      <w:r>
        <w:rPr>
          <w:rFonts w:hint="eastAsia" w:ascii="Times New Roman" w:hAnsi="Times New Roman" w:eastAsia="仿宋_GB2312" w:cs="Times New Roman"/>
          <w:sz w:val="28"/>
          <w:szCs w:val="28"/>
          <w:highlight w:val="none"/>
          <w:u w:val="single"/>
          <w:lang w:val="en-US" w:eastAsia="zh-CN"/>
        </w:rPr>
        <w:t>固定总价</w:t>
      </w:r>
      <w:r>
        <w:rPr>
          <w:rFonts w:hint="eastAsia" w:ascii="Times New Roman" w:hAnsi="Times New Roman" w:eastAsia="仿宋_GB2312" w:cs="Times New Roman"/>
          <w:sz w:val="28"/>
          <w:szCs w:val="28"/>
          <w:highlight w:val="none"/>
          <w:lang w:val="en-US" w:eastAsia="zh-CN"/>
        </w:rPr>
        <w:t>报价，最高投标限价为人民币（大写）</w:t>
      </w:r>
      <w:r>
        <w:rPr>
          <w:rFonts w:hint="eastAsia" w:ascii="Times New Roman" w:hAnsi="Times New Roman" w:eastAsia="仿宋_GB2312" w:cs="Times New Roman"/>
          <w:sz w:val="28"/>
          <w:szCs w:val="28"/>
          <w:highlight w:val="none"/>
          <w:u w:val="single"/>
          <w:lang w:val="en-US" w:eastAsia="zh-CN"/>
        </w:rPr>
        <w:t>捌万元每月</w:t>
      </w:r>
      <w:r>
        <w:rPr>
          <w:rFonts w:hint="eastAsia" w:ascii="Times New Roman" w:hAnsi="Times New Roman" w:eastAsia="仿宋_GB2312" w:cs="Times New Roman"/>
          <w:sz w:val="28"/>
          <w:szCs w:val="28"/>
          <w:highlight w:val="none"/>
          <w:lang w:val="en-US" w:eastAsia="zh-CN"/>
        </w:rPr>
        <w:t>，（小写）</w:t>
      </w:r>
      <w:r>
        <w:rPr>
          <w:rFonts w:hint="eastAsia" w:ascii="Times New Roman" w:hAnsi="Times New Roman" w:eastAsia="仿宋_GB2312" w:cs="Times New Roman"/>
          <w:sz w:val="28"/>
          <w:szCs w:val="28"/>
          <w:highlight w:val="none"/>
          <w:u w:val="single"/>
          <w:lang w:val="en-US" w:eastAsia="zh-CN"/>
        </w:rPr>
        <w:t>80000元/月</w:t>
      </w:r>
      <w:r>
        <w:rPr>
          <w:rFonts w:hint="eastAsia" w:ascii="Times New Roman" w:hAnsi="Times New Roman" w:eastAsia="仿宋_GB2312" w:cs="Times New Roman"/>
          <w:sz w:val="28"/>
          <w:szCs w:val="28"/>
          <w:highlight w:val="none"/>
          <w:lang w:val="en-US" w:eastAsia="zh-CN"/>
        </w:rPr>
        <w:t>。投标报价超出限价或低于其成本价的按无效投标处理；投标报价应包括为完成本招标项目各阶段工作内容以及后期服务所需的全部费用及税金，包括但不限于食宿费、差旅费、出具方案文本费等。</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本次招标要求投标人须符合《政府采购法》第二十二条规定，营业执照经营范围与本项目招标范围相适应，并在人员、设备等方面具有相应的广告策划能力；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（二）投标人须提供类似项目业绩至少1个，“类似项目业绩”是指投标人自2018年1月1日至今承担过的大型住宅房地产广告策划业绩，业绩时间以合同签订时间为准；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（三）投标人如在以往承接亳州交控集团或其子公司项目过程中存在不良合作记录</w:t>
      </w:r>
      <w:bookmarkStart w:id="139" w:name="_GoBack"/>
      <w:bookmarkEnd w:id="139"/>
      <w:r>
        <w:rPr>
          <w:rFonts w:hint="eastAsia" w:ascii="Times New Roman" w:hAnsi="Times New Roman" w:eastAsia="仿宋_GB2312" w:cs="Times New Roman"/>
          <w:sz w:val="28"/>
          <w:szCs w:val="28"/>
          <w:highlight w:val="none"/>
          <w:lang w:val="en-US" w:eastAsia="zh-CN"/>
        </w:rPr>
        <w:t>，或被信用中国网站记入“失信被执行人”的，不得参加本次招标投标活动（提供信用中国网站查询结果截图）；</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（四）本次招标</w:t>
      </w:r>
      <w:r>
        <w:rPr>
          <w:rFonts w:hint="eastAsia" w:ascii="Times New Roman" w:hAnsi="Times New Roman" w:eastAsia="仿宋_GB2312" w:cs="Times New Roman"/>
          <w:sz w:val="28"/>
          <w:szCs w:val="28"/>
          <w:highlight w:val="none"/>
          <w:u w:val="single"/>
          <w:lang w:val="en-US" w:eastAsia="zh-CN"/>
        </w:rPr>
        <w:t>不接受</w:t>
      </w:r>
      <w:r>
        <w:rPr>
          <w:rFonts w:hint="eastAsia" w:ascii="Times New Roman" w:hAnsi="Times New Roman" w:eastAsia="仿宋_GB2312" w:cs="Times New Roman"/>
          <w:sz w:val="28"/>
          <w:szCs w:val="28"/>
          <w:highlight w:val="none"/>
          <w:lang w:val="en-US" w:eastAsia="zh-CN"/>
        </w:rPr>
        <w:t>联合体投标。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四、技术成果经济补偿</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本次招标对未中标人投标文件中的技术成果</w:t>
      </w:r>
      <w:r>
        <w:rPr>
          <w:rFonts w:hint="eastAsia" w:ascii="Times New Roman" w:hAnsi="Times New Roman" w:eastAsia="仿宋_GB2312" w:cs="Times New Roman"/>
          <w:sz w:val="28"/>
          <w:szCs w:val="28"/>
          <w:highlight w:val="none"/>
          <w:u w:val="single"/>
          <w:lang w:val="en-US" w:eastAsia="zh-CN"/>
        </w:rPr>
        <w:t>不给予</w:t>
      </w:r>
      <w:r>
        <w:rPr>
          <w:rFonts w:hint="eastAsia" w:ascii="Times New Roman" w:hAnsi="Times New Roman" w:eastAsia="仿宋_GB2312" w:cs="Times New Roman"/>
          <w:sz w:val="28"/>
          <w:szCs w:val="28"/>
          <w:highlight w:val="none"/>
          <w:u w:val="none"/>
          <w:lang w:val="en-US" w:eastAsia="zh-CN"/>
        </w:rPr>
        <w:t>经济补偿。</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五、招标文件的获取</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凡有意参加投标者，请于投标文件递交截止时间前到亳州交通投资控股集团有限公司官网信息公开栏（www.bzjkjt.com/article/index-94.html）</w:t>
      </w:r>
      <w:r>
        <w:rPr>
          <w:rFonts w:hint="eastAsia" w:ascii="Times New Roman" w:hAnsi="Times New Roman" w:eastAsia="仿宋_GB2312" w:cs="Times New Roman"/>
          <w:sz w:val="28"/>
          <w:szCs w:val="28"/>
          <w:highlight w:val="none"/>
          <w:lang w:val="en-US" w:eastAsia="zh-CN"/>
        </w:rPr>
        <w:t>或安徽省招标投标信息网（www.ahtba.org.cn）</w:t>
      </w:r>
      <w:r>
        <w:rPr>
          <w:rFonts w:hint="default" w:ascii="Times New Roman" w:hAnsi="Times New Roman" w:eastAsia="仿宋_GB2312" w:cs="Times New Roman"/>
          <w:sz w:val="28"/>
          <w:szCs w:val="28"/>
          <w:highlight w:val="none"/>
          <w:lang w:val="en-US" w:eastAsia="zh-CN"/>
        </w:rPr>
        <w:t>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文件递交的截止时间（投标截止时间，下同）为</w:t>
      </w:r>
      <w:r>
        <w:rPr>
          <w:rFonts w:hint="eastAsia" w:ascii="Times New Roman" w:hAnsi="Times New Roman" w:eastAsia="仿宋_GB2312" w:cs="Times New Roman"/>
          <w:sz w:val="28"/>
          <w:szCs w:val="28"/>
          <w:highlight w:val="none"/>
          <w:u w:val="single"/>
          <w:lang w:val="en-US" w:eastAsia="zh-CN"/>
        </w:rPr>
        <w:t>2021</w:t>
      </w:r>
      <w:r>
        <w:rPr>
          <w:rFonts w:hint="eastAsia" w:ascii="Times New Roman" w:hAnsi="Times New Roman" w:eastAsia="仿宋_GB2312" w:cs="Times New Roman"/>
          <w:sz w:val="28"/>
          <w:szCs w:val="28"/>
          <w:highlight w:val="none"/>
          <w:lang w:val="en-US" w:eastAsia="zh-CN"/>
        </w:rPr>
        <w:t>年</w:t>
      </w:r>
      <w:r>
        <w:rPr>
          <w:rFonts w:hint="eastAsia" w:ascii="Times New Roman" w:hAnsi="Times New Roman" w:eastAsia="仿宋_GB2312" w:cs="Times New Roman"/>
          <w:sz w:val="28"/>
          <w:szCs w:val="28"/>
          <w:highlight w:val="none"/>
          <w:u w:val="single"/>
          <w:lang w:val="en-US" w:eastAsia="zh-CN"/>
        </w:rPr>
        <w:t>7</w:t>
      </w:r>
      <w:r>
        <w:rPr>
          <w:rFonts w:hint="eastAsia" w:ascii="Times New Roman" w:hAnsi="Times New Roman" w:eastAsia="仿宋_GB2312" w:cs="Times New Roman"/>
          <w:sz w:val="28"/>
          <w:szCs w:val="28"/>
          <w:highlight w:val="none"/>
          <w:lang w:val="en-US" w:eastAsia="zh-CN"/>
        </w:rPr>
        <w:t>月</w:t>
      </w:r>
      <w:r>
        <w:rPr>
          <w:rFonts w:hint="eastAsia" w:ascii="Times New Roman" w:hAnsi="Times New Roman" w:eastAsia="仿宋_GB2312" w:cs="Times New Roman"/>
          <w:sz w:val="28"/>
          <w:szCs w:val="28"/>
          <w:highlight w:val="none"/>
          <w:u w:val="single"/>
          <w:lang w:val="en-US" w:eastAsia="zh-CN"/>
        </w:rPr>
        <w:t>20</w:t>
      </w:r>
      <w:r>
        <w:rPr>
          <w:rFonts w:hint="eastAsia" w:ascii="Times New Roman" w:hAnsi="Times New Roman" w:eastAsia="仿宋_GB2312" w:cs="Times New Roman"/>
          <w:sz w:val="28"/>
          <w:szCs w:val="28"/>
          <w:highlight w:val="none"/>
          <w:lang w:val="en-US" w:eastAsia="zh-CN"/>
        </w:rPr>
        <w:t>日</w:t>
      </w:r>
      <w:r>
        <w:rPr>
          <w:rFonts w:hint="eastAsia" w:ascii="Times New Roman" w:hAnsi="Times New Roman" w:eastAsia="仿宋_GB2312" w:cs="Times New Roman"/>
          <w:sz w:val="28"/>
          <w:szCs w:val="28"/>
          <w:highlight w:val="none"/>
          <w:u w:val="single"/>
          <w:lang w:val="en-US" w:eastAsia="zh-CN"/>
        </w:rPr>
        <w:t>9</w:t>
      </w:r>
      <w:r>
        <w:rPr>
          <w:rFonts w:hint="default" w:ascii="Times New Roman" w:hAnsi="Times New Roman" w:eastAsia="仿宋_GB2312" w:cs="Times New Roman"/>
          <w:sz w:val="28"/>
          <w:szCs w:val="28"/>
          <w:highlight w:val="none"/>
          <w:lang w:val="en-US" w:eastAsia="zh-CN"/>
        </w:rPr>
        <w:t>时</w:t>
      </w:r>
      <w:r>
        <w:rPr>
          <w:rFonts w:hint="default" w:ascii="Times New Roman" w:hAnsi="Times New Roman" w:eastAsia="仿宋_GB2312" w:cs="Times New Roman"/>
          <w:sz w:val="28"/>
          <w:szCs w:val="28"/>
          <w:highlight w:val="none"/>
          <w:u w:val="single"/>
          <w:lang w:val="en-US" w:eastAsia="zh-CN"/>
        </w:rPr>
        <w:t>00</w:t>
      </w:r>
      <w:r>
        <w:rPr>
          <w:rFonts w:hint="default" w:ascii="Times New Roman" w:hAnsi="Times New Roman" w:eastAsia="仿宋_GB2312" w:cs="Times New Roman"/>
          <w:sz w:val="28"/>
          <w:szCs w:val="28"/>
          <w:highlight w:val="none"/>
          <w:lang w:val="en-US" w:eastAsia="zh-CN"/>
        </w:rPr>
        <w:t>分，地点为</w:t>
      </w:r>
      <w:r>
        <w:rPr>
          <w:rFonts w:hint="eastAsia" w:ascii="Times New Roman" w:hAnsi="Times New Roman" w:eastAsia="仿宋_GB2312" w:cs="Times New Roman"/>
          <w:sz w:val="28"/>
          <w:szCs w:val="28"/>
          <w:highlight w:val="none"/>
          <w:u w:val="single"/>
          <w:lang w:val="en-US" w:eastAsia="zh-CN"/>
        </w:rPr>
        <w:t>亳州交通投资控股集团有限公司8楼会议室（药都大道与希夷大道交叉口东北角8楼）</w:t>
      </w:r>
      <w:r>
        <w:rPr>
          <w:rFonts w:hint="default"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w:t>
      </w:r>
      <w:r>
        <w:rPr>
          <w:rFonts w:hint="eastAsia" w:ascii="Times New Roman" w:hAnsi="Times New Roman" w:eastAsia="仿宋_GB2312" w:cs="Times New Roman"/>
          <w:sz w:val="28"/>
          <w:szCs w:val="28"/>
          <w:highlight w:val="none"/>
          <w:lang w:val="en-US" w:eastAsia="zh-CN"/>
        </w:rPr>
        <w:t>或者不按照招标文件要求密封的投标文件，招标人将予以拒收。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七、发布公告的媒介</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w:t>
      </w:r>
      <w:r>
        <w:rPr>
          <w:rFonts w:hint="eastAsia" w:ascii="Times New Roman" w:hAnsi="Times New Roman" w:eastAsia="仿宋_GB2312" w:cs="Times New Roman"/>
          <w:sz w:val="28"/>
          <w:szCs w:val="28"/>
          <w:highlight w:val="none"/>
          <w:u w:val="single"/>
          <w:lang w:val="en-US" w:eastAsia="zh-CN"/>
        </w:rPr>
        <w:t>亳州交通投资控股集团有限公司官网（www.bzjkjt.com）、安徽省招标投标信息网（www.ahtba.org.cn）</w:t>
      </w:r>
      <w:r>
        <w:rPr>
          <w:rFonts w:hint="default" w:ascii="Times New Roman" w:hAnsi="Times New Roman" w:eastAsia="仿宋_GB2312" w:cs="Times New Roman"/>
          <w:sz w:val="28"/>
          <w:szCs w:val="28"/>
          <w:highlight w:val="none"/>
          <w:lang w:val="en-US" w:eastAsia="zh-CN"/>
        </w:rPr>
        <w:t>上发布。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八、联系方式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default" w:ascii="Times New Roman" w:hAnsi="Times New Roman" w:eastAsia="仿宋_GB2312" w:cs="Times New Roman"/>
          <w:i w:val="0"/>
          <w:iCs w:val="0"/>
          <w:color w:val="auto"/>
          <w:sz w:val="28"/>
          <w:szCs w:val="28"/>
          <w:highlight w:val="none"/>
          <w:u w:val="none"/>
          <w:lang w:val="en-US" w:eastAsia="zh-CN"/>
        </w:rPr>
        <w:t>亳州通恒置业有限公司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址：</w:t>
      </w:r>
      <w:r>
        <w:rPr>
          <w:rFonts w:hint="eastAsia" w:ascii="Times New Roman" w:hAnsi="Times New Roman" w:eastAsia="仿宋_GB2312" w:cs="Times New Roman"/>
          <w:sz w:val="28"/>
          <w:szCs w:val="28"/>
          <w:highlight w:val="none"/>
          <w:lang w:val="en-US" w:eastAsia="zh-CN"/>
        </w:rPr>
        <w:t>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系</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才女士</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w:t>
      </w:r>
      <w:r>
        <w:rPr>
          <w:rFonts w:hint="default" w:ascii="Times New Roman" w:hAnsi="Times New Roman" w:eastAsia="仿宋_GB2312" w:cs="Times New Roman"/>
          <w:sz w:val="28"/>
          <w:szCs w:val="28"/>
          <w:highlight w:val="none"/>
          <w:lang w:val="en-US" w:eastAsia="zh-CN"/>
        </w:rPr>
        <w:t>：17756789753</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亳州通恒置业有限公司</w:t>
      </w:r>
    </w:p>
    <w:p>
      <w:pPr>
        <w:keepNext w:val="0"/>
        <w:keepLines w:val="0"/>
        <w:pageBreakBefore w:val="0"/>
        <w:widowControl w:val="0"/>
        <w:kinsoku/>
        <w:wordWrap/>
        <w:overflowPunct/>
        <w:topLinePunct w:val="0"/>
        <w:autoSpaceDE/>
        <w:autoSpaceDN/>
        <w:bidi w:val="0"/>
        <w:adjustRightInd/>
        <w:snapToGrid/>
        <w:spacing w:line="480" w:lineRule="exact"/>
        <w:ind w:firstLine="5880" w:firstLineChars="2100"/>
        <w:textAlignment w:val="auto"/>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2021年</w:t>
      </w:r>
      <w:r>
        <w:rPr>
          <w:rFonts w:hint="eastAsia" w:ascii="Times New Roman" w:hAnsi="Times New Roman" w:eastAsia="仿宋_GB2312" w:cs="Times New Roman"/>
          <w:i w:val="0"/>
          <w:iCs w:val="0"/>
          <w:color w:val="auto"/>
          <w:sz w:val="28"/>
          <w:szCs w:val="28"/>
          <w:highlight w:val="none"/>
          <w:u w:val="none"/>
          <w:lang w:val="en-US" w:eastAsia="zh-CN"/>
        </w:rPr>
        <w:t>7</w:t>
      </w:r>
      <w:r>
        <w:rPr>
          <w:rFonts w:hint="default" w:ascii="Times New Roman" w:hAnsi="Times New Roman" w:eastAsia="仿宋_GB2312" w:cs="Times New Roman"/>
          <w:i w:val="0"/>
          <w:iCs w:val="0"/>
          <w:color w:val="auto"/>
          <w:sz w:val="28"/>
          <w:szCs w:val="28"/>
          <w:highlight w:val="none"/>
          <w:u w:val="none"/>
          <w:lang w:val="en-US" w:eastAsia="zh-CN"/>
        </w:rPr>
        <w:t>月</w:t>
      </w:r>
      <w:r>
        <w:rPr>
          <w:rFonts w:hint="eastAsia" w:ascii="Times New Roman" w:hAnsi="Times New Roman" w:eastAsia="仿宋_GB2312" w:cs="Times New Roman"/>
          <w:i w:val="0"/>
          <w:iCs w:val="0"/>
          <w:color w:val="auto"/>
          <w:sz w:val="28"/>
          <w:szCs w:val="28"/>
          <w:highlight w:val="none"/>
          <w:u w:val="none"/>
          <w:lang w:val="en-US" w:eastAsia="zh-CN"/>
        </w:rPr>
        <w:t>7</w:t>
      </w:r>
      <w:r>
        <w:rPr>
          <w:rFonts w:hint="default" w:ascii="Times New Roman" w:hAnsi="Times New Roman" w:eastAsia="仿宋_GB2312" w:cs="Times New Roman"/>
          <w:i w:val="0"/>
          <w:iCs w:val="0"/>
          <w:color w:val="auto"/>
          <w:sz w:val="28"/>
          <w:szCs w:val="28"/>
          <w:highlight w:val="none"/>
          <w:u w:val="none"/>
          <w:lang w:val="en-US" w:eastAsia="zh-CN"/>
        </w:rPr>
        <w:t>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780"/>
        <w:gridCol w:w="37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项目建设地点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1.1.6</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项目建设规模</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1.1.7</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项目投资估算</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eastAsiaTheme="minorEastAsia"/>
                <w:szCs w:val="21"/>
                <w:highlight w:val="none"/>
                <w:lang w:val="en-US" w:eastAsia="zh-CN"/>
              </w:rPr>
              <w:t>亳州市2021-13地块建设项目</w:t>
            </w:r>
            <w:r>
              <w:rPr>
                <w:rFonts w:hint="eastAsia" w:ascii="Times New Roman" w:hAnsi="Times New Roman" w:cs="Times New Roman"/>
                <w:szCs w:val="21"/>
                <w:highlight w:val="none"/>
                <w:lang w:val="en-US" w:eastAsia="zh-CN"/>
              </w:rPr>
              <w:t>投资估算约16亿元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质量标准</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增1.3.4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服务期限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信誉</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接受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（17）在以往承接招标人项目过程中被记入“黑名单”。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踏勘现场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组织，自行踏勘现场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1.10.2</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投标人在投标预备会前提出问题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时间：不适用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形式：不适用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 w:val="21"/>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详见第四章合同条款及格式、第五章发包人要求。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偏差</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w:t>
            </w:r>
            <w:r>
              <w:rPr>
                <w:rFonts w:hint="eastAsia" w:ascii="Times New Roman" w:hAnsi="Times New Roman" w:cs="Times New Roman"/>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投标截止时间前，招标文件的澄清将在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安徽省招标投标信息网（www.ahtba.org.cn）</w:t>
            </w:r>
            <w:r>
              <w:rPr>
                <w:rFonts w:hint="default" w:ascii="Times New Roman" w:hAnsi="Times New Roman" w:cs="Times New Roman"/>
                <w:szCs w:val="21"/>
                <w:highlight w:val="none"/>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37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招标文件的澄清在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安徽省招标投标信息网（www.ahtba.org.cn）</w:t>
            </w:r>
            <w:r>
              <w:rPr>
                <w:rFonts w:hint="default" w:ascii="Times New Roman" w:hAnsi="Times New Roman" w:cs="Times New Roman"/>
                <w:szCs w:val="21"/>
                <w:highlight w:val="none"/>
                <w:u w:val="none"/>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安徽省招标投标信息网（www.ahtba.org.cn）</w:t>
            </w:r>
            <w:r>
              <w:rPr>
                <w:rFonts w:hint="default" w:ascii="Times New Roman" w:hAnsi="Times New Roman" w:cs="Times New Roman"/>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安徽省招标投标信息网（www.ahtba.org.cn）</w:t>
            </w:r>
            <w:r>
              <w:rPr>
                <w:rFonts w:hint="default" w:ascii="Times New Roman" w:hAnsi="Times New Roman" w:cs="Times New Roman"/>
                <w:szCs w:val="21"/>
                <w:highlight w:val="none"/>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安徽省招标投标信息网（www.ahtba.org.cn）</w:t>
            </w:r>
            <w:r>
              <w:rPr>
                <w:rFonts w:hint="default" w:ascii="Times New Roman" w:hAnsi="Times New Roman" w:cs="Times New Roman"/>
                <w:szCs w:val="21"/>
                <w:highlight w:val="none"/>
                <w:u w:val="none"/>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安徽省招标投标信息网（www.ahtba.org.cn）</w:t>
            </w:r>
            <w:r>
              <w:rPr>
                <w:rFonts w:hint="default" w:ascii="Times New Roman" w:hAnsi="Times New Roman" w:cs="Times New Roman"/>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增值税税金的计算方法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eastAsiaTheme="minorEastAsia" w:cstheme="minorEastAsia"/>
                <w:szCs w:val="21"/>
                <w:highlight w:val="none"/>
                <w:lang w:val="en-US" w:eastAsia="zh-CN"/>
              </w:rPr>
              <w:t>有</w:t>
            </w:r>
            <w:r>
              <w:rPr>
                <w:rFonts w:hint="eastAsia" w:asciiTheme="minorEastAsia" w:hAnsiTheme="minorEastAsia" w:cstheme="minorEastAsia"/>
                <w:szCs w:val="21"/>
                <w:highlight w:val="none"/>
                <w:lang w:val="en-US" w:eastAsia="zh-CN"/>
              </w:rPr>
              <w:t>，最高投标限价：</w:t>
            </w: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3.2.5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投标报价的其他要求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是否要求投标人递交投标保证金：</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投标保证金的金额：人民币（大写）</w:t>
            </w:r>
            <w:r>
              <w:rPr>
                <w:rFonts w:hint="eastAsia" w:ascii="Times New Roman" w:hAnsi="Times New Roman" w:cs="Times New Roman"/>
                <w:szCs w:val="21"/>
                <w:highlight w:val="none"/>
                <w:u w:val="single"/>
                <w:lang w:val="en-US" w:eastAsia="zh-CN"/>
              </w:rPr>
              <w:t>壹万</w:t>
            </w:r>
            <w:r>
              <w:rPr>
                <w:rFonts w:hint="eastAsia" w:ascii="Times New Roman" w:hAnsi="Times New Roman" w:cs="Times New Roman"/>
                <w:szCs w:val="21"/>
                <w:highlight w:val="none"/>
                <w:u w:val="none"/>
                <w:lang w:val="en-US" w:eastAsia="zh-CN"/>
              </w:rPr>
              <w:t>元整</w:t>
            </w:r>
            <w:r>
              <w:rPr>
                <w:rFonts w:hint="default" w:ascii="Times New Roman" w:hAnsi="Times New Roman" w:cs="Times New Roman"/>
                <w:szCs w:val="21"/>
                <w:highlight w:val="none"/>
              </w:rPr>
              <w:t>，（小写）</w:t>
            </w:r>
            <w:r>
              <w:rPr>
                <w:rFonts w:hint="eastAsia" w:ascii="Times New Roman" w:hAnsi="Times New Roman" w:cs="Times New Roman"/>
                <w:szCs w:val="21"/>
                <w:highlight w:val="none"/>
                <w:u w:val="single"/>
                <w:lang w:val="en-US" w:eastAsia="zh-CN"/>
              </w:rPr>
              <w:t>10000</w:t>
            </w:r>
            <w:r>
              <w:rPr>
                <w:rFonts w:hint="eastAsia" w:ascii="Times New Roman" w:hAnsi="Times New Roman" w:cs="Times New Roman"/>
                <w:szCs w:val="21"/>
                <w:highlight w:val="none"/>
                <w:u w:val="none"/>
                <w:lang w:val="en-US" w:eastAsia="zh-CN"/>
              </w:rPr>
              <w:t>元</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b/>
                <w:bCs/>
                <w:i w:val="0"/>
                <w:iCs w:val="0"/>
                <w:color w:val="FF0000"/>
                <w:szCs w:val="21"/>
                <w:highlight w:val="none"/>
                <w:u w:val="single"/>
                <w:lang w:val="en-US" w:eastAsia="zh-CN"/>
              </w:rPr>
              <w:t>BZJK-2021-036号保证金</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w:t>
            </w:r>
            <w:r>
              <w:rPr>
                <w:rFonts w:hint="eastAsia" w:ascii="Times New Roman" w:hAnsi="Times New Roman" w:cs="Times New Roman"/>
                <w:szCs w:val="21"/>
                <w:highlight w:val="none"/>
                <w:lang w:val="en-US" w:eastAsia="zh-CN"/>
              </w:rPr>
              <w:t>5个工作</w:t>
            </w:r>
            <w:r>
              <w:rPr>
                <w:rFonts w:hint="default" w:ascii="Times New Roman" w:hAnsi="Times New Roman" w:cs="Times New Roman"/>
                <w:szCs w:val="21"/>
                <w:highlight w:val="none"/>
              </w:rPr>
              <w:t>日内直接退还至该投标人汇出帐户。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在5个工作</w:t>
            </w:r>
            <w:r>
              <w:rPr>
                <w:rFonts w:hint="default" w:ascii="Times New Roman" w:hAnsi="Times New Roman" w:cs="Times New Roman"/>
                <w:szCs w:val="21"/>
                <w:highlight w:val="none"/>
              </w:rPr>
              <w:t>日内直接退还至该投标人汇出帐户。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3</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如有异议或投诉的项目，按相关规定处理。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6</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single"/>
                <w:lang w:val="en-US" w:eastAsia="zh-CN"/>
              </w:rPr>
              <w:t>2018</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日至</w:t>
            </w:r>
            <w:r>
              <w:rPr>
                <w:rFonts w:hint="eastAsia" w:ascii="Times New Roman" w:hAnsi="Times New Roman" w:cs="Times New Roman"/>
                <w:szCs w:val="21"/>
                <w:highlight w:val="none"/>
                <w:u w:val="single"/>
                <w:lang w:val="en-US" w:eastAsia="zh-CN"/>
              </w:rPr>
              <w:t>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近年发生的诉讼及仲裁情况的时间要求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2018</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日至</w:t>
            </w:r>
            <w:r>
              <w:rPr>
                <w:rFonts w:hint="eastAsia" w:ascii="Times New Roman" w:hAnsi="Times New Roman" w:cs="Times New Roman"/>
                <w:szCs w:val="21"/>
                <w:highlight w:val="none"/>
                <w:u w:val="single"/>
                <w:lang w:val="en-US" w:eastAsia="zh-CN"/>
              </w:rPr>
              <w:t>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不允许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、下属单位或分支机构印章代替，否则其投标无效</w:t>
            </w:r>
            <w:r>
              <w:rPr>
                <w:rFonts w:hint="eastAsia" w:ascii="Times New Roman" w:hAnsi="Times New Roman" w:cs="Times New Roman"/>
                <w:szCs w:val="21"/>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是否要求提交电子版文件：不要求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szCs w:val="21"/>
                <w:highlight w:val="none"/>
                <w:u w:val="none"/>
                <w:lang w:val="en-US" w:eastAsia="zh-CN"/>
              </w:rPr>
            </w:pPr>
            <w:r>
              <w:rPr>
                <w:rFonts w:hint="eastAsia" w:ascii="Times New Roman" w:hAnsi="Times New Roman" w:cs="Times New Roman"/>
                <w:b/>
                <w:bCs/>
                <w:szCs w:val="21"/>
                <w:highlight w:val="none"/>
                <w:u w:val="none"/>
                <w:lang w:val="en-US" w:eastAsia="zh-CN"/>
              </w:rPr>
              <w:t>是否要求述标：</w:t>
            </w:r>
          </w:p>
          <w:p>
            <w:pPr>
              <w:keepNext w:val="0"/>
              <w:keepLines w:val="0"/>
              <w:pageBreakBefore w:val="0"/>
              <w:widowControl w:val="0"/>
              <w:kinsoku/>
              <w:wordWrap w:val="0"/>
              <w:overflowPunct/>
              <w:topLinePunct w:val="0"/>
              <w:autoSpaceDE/>
              <w:autoSpaceDN/>
              <w:bidi w:val="0"/>
              <w:adjustRightInd/>
              <w:snapToGrid/>
              <w:spacing w:line="440" w:lineRule="exact"/>
              <w:ind w:firstLine="422" w:firstLineChars="200"/>
              <w:jc w:val="both"/>
              <w:textAlignment w:val="auto"/>
              <w:rPr>
                <w:rFonts w:hint="default" w:ascii="Times New Roman" w:hAnsi="Times New Roman" w:cs="Times New Roman"/>
                <w:b/>
                <w:bCs/>
                <w:szCs w:val="21"/>
                <w:highlight w:val="none"/>
                <w:u w:val="none"/>
                <w:lang w:val="en-US" w:eastAsia="zh-CN"/>
              </w:rPr>
            </w:pPr>
            <w:r>
              <w:rPr>
                <w:rFonts w:hint="default" w:ascii="Times New Roman" w:hAnsi="Times New Roman" w:cs="Times New Roman"/>
                <w:b/>
                <w:bCs/>
                <w:szCs w:val="21"/>
                <w:highlight w:val="none"/>
                <w:u w:val="none"/>
                <w:lang w:val="en-US" w:eastAsia="zh-CN"/>
              </w:rPr>
              <w:t>投标人自制述标演示文件，通过初步评审的投标人按签到正顺序依次述标，并就评标委员会提出的问题进行现场答辩，述标人员由投标人代表指派，但不得超过2人，述标、演示及答辩的时间应控制在</w:t>
            </w:r>
            <w:r>
              <w:rPr>
                <w:rFonts w:hint="eastAsia" w:ascii="Times New Roman" w:hAnsi="Times New Roman" w:cs="Times New Roman"/>
                <w:b/>
                <w:bCs/>
                <w:szCs w:val="21"/>
                <w:highlight w:val="none"/>
                <w:u w:val="none"/>
                <w:lang w:val="en-US" w:eastAsia="zh-CN"/>
              </w:rPr>
              <w:t>40</w:t>
            </w:r>
            <w:r>
              <w:rPr>
                <w:rFonts w:hint="default" w:ascii="Times New Roman" w:hAnsi="Times New Roman" w:cs="Times New Roman"/>
                <w:b/>
                <w:bCs/>
                <w:szCs w:val="21"/>
                <w:highlight w:val="none"/>
                <w:u w:val="none"/>
                <w:lang w:val="en-US" w:eastAsia="zh-CN"/>
              </w:rPr>
              <w:t>分钟以内。</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heme="minorEastAsia" w:hAnsiTheme="minorEastAsia" w:cstheme="minorEastAsia"/>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需要，分册装订要求：</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投标阶段成果文件的形式及数量要求如下：</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（1）方案文本5</w:t>
            </w:r>
            <w:r>
              <w:rPr>
                <w:rFonts w:hint="eastAsia" w:ascii="Times New Roman" w:hAnsi="Times New Roman" w:cs="Times New Roman"/>
                <w:szCs w:val="21"/>
                <w:highlight w:val="none"/>
                <w:lang w:val="en-US" w:eastAsia="zh-CN"/>
              </w:rPr>
              <w:t>份</w:t>
            </w:r>
            <w:r>
              <w:rPr>
                <w:rFonts w:hint="default" w:ascii="Times New Roman" w:hAnsi="Times New Roman" w:cs="Times New Roman"/>
                <w:szCs w:val="21"/>
                <w:highlight w:val="none"/>
                <w:lang w:val="en-US" w:eastAsia="zh-CN"/>
              </w:rPr>
              <w:t>，</w:t>
            </w:r>
            <w:r>
              <w:rPr>
                <w:rFonts w:hint="eastAsia" w:ascii="Times New Roman" w:hAnsi="Times New Roman" w:cs="Times New Roman"/>
                <w:szCs w:val="21"/>
                <w:highlight w:val="none"/>
                <w:lang w:val="en-US" w:eastAsia="zh-CN"/>
              </w:rPr>
              <w:t>其中</w:t>
            </w:r>
            <w:r>
              <w:rPr>
                <w:rFonts w:hint="default" w:ascii="Times New Roman" w:hAnsi="Times New Roman" w:cs="Times New Roman"/>
                <w:szCs w:val="21"/>
                <w:highlight w:val="none"/>
                <w:lang w:val="en-US" w:eastAsia="zh-CN"/>
              </w:rPr>
              <w:t>正本1份、副本4份</w:t>
            </w:r>
            <w:r>
              <w:rPr>
                <w:rFonts w:hint="eastAsia" w:ascii="Times New Roman" w:hAnsi="Times New Roman" w:cs="Times New Roman"/>
                <w:szCs w:val="21"/>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heme="minorEastAsia" w:hAnsiTheme="minorEastAsia" w:cstheme="minorEastAsia"/>
                <w:szCs w:val="21"/>
                <w:highlight w:val="none"/>
                <w:lang w:val="en-US" w:eastAsia="zh-CN"/>
              </w:rPr>
            </w:pPr>
            <w:r>
              <w:rPr>
                <w:rFonts w:hint="default" w:ascii="Times New Roman" w:hAnsi="Times New Roman" w:cs="Times New Roman"/>
                <w:szCs w:val="21"/>
                <w:highlight w:val="none"/>
                <w:lang w:val="en-US" w:eastAsia="zh-CN"/>
              </w:rPr>
              <w:t>（2）反映</w:t>
            </w:r>
            <w:r>
              <w:rPr>
                <w:rFonts w:hint="eastAsia" w:ascii="Times New Roman" w:hAnsi="Times New Roman" w:cs="Times New Roman"/>
                <w:szCs w:val="21"/>
                <w:highlight w:val="none"/>
                <w:lang w:val="en-US" w:eastAsia="zh-CN"/>
              </w:rPr>
              <w:t>广告策划</w:t>
            </w:r>
            <w:r>
              <w:rPr>
                <w:rFonts w:hint="default" w:ascii="Times New Roman" w:hAnsi="Times New Roman" w:cs="Times New Roman"/>
                <w:szCs w:val="21"/>
                <w:highlight w:val="none"/>
                <w:lang w:val="en-US" w:eastAsia="zh-CN"/>
              </w:rPr>
              <w:t>意图的其他</w:t>
            </w:r>
            <w:r>
              <w:rPr>
                <w:rFonts w:hint="eastAsia" w:ascii="Times New Roman" w:hAnsi="Times New Roman" w:cs="Times New Roman"/>
                <w:szCs w:val="21"/>
                <w:highlight w:val="none"/>
                <w:lang w:val="en-US" w:eastAsia="zh-CN"/>
              </w:rPr>
              <w:t>成果</w:t>
            </w:r>
            <w:r>
              <w:rPr>
                <w:rFonts w:hint="default" w:ascii="Times New Roman" w:hAnsi="Times New Roman" w:cs="Times New Roman"/>
                <w:szCs w:val="21"/>
                <w:highlight w:val="none"/>
                <w:lang w:val="en-US" w:eastAsia="zh-CN"/>
              </w:rPr>
              <w:t>文件。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投标文件所附证书证件要求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4.1.1（B）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投标文件加密要求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招标人名称：亳州通恒置业有限公司</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招标人地址：亳州市谯城区药都大道1289号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亳州市2021-13地块建设项目广告策划（二次）</w:t>
            </w:r>
            <w:r>
              <w:rPr>
                <w:rFonts w:hint="eastAsia" w:ascii="Times New Roman" w:hAnsi="Times New Roman" w:cs="Times New Roman"/>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招标项目编号：BZJK-2021-</w:t>
            </w:r>
            <w:r>
              <w:rPr>
                <w:rFonts w:hint="eastAsia" w:ascii="Times New Roman" w:hAnsi="Times New Roman" w:cs="Times New Roman"/>
                <w:szCs w:val="21"/>
                <w:highlight w:val="none"/>
                <w:u w:val="none"/>
                <w:lang w:val="en-US" w:eastAsia="zh-CN"/>
              </w:rPr>
              <w:t>036号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szCs w:val="21"/>
                <w:highlight w:val="none"/>
                <w:u w:val="single"/>
                <w:lang w:val="en-US" w:eastAsia="zh-CN"/>
              </w:rPr>
              <w:t>2021</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7</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20</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r>
              <w:rPr>
                <w:rFonts w:hint="eastAsia" w:ascii="Times New Roman" w:hAnsi="Times New Roman" w:cs="Times New Roman"/>
                <w:szCs w:val="21"/>
                <w:highlight w:val="none"/>
                <w:lang w:val="en-US" w:eastAsia="zh-CN"/>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2021</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7</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20</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投标文件是否退还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overflowPunct/>
              <w:topLinePunct w:val="0"/>
              <w:autoSpaceDE/>
              <w:autoSpaceDN/>
              <w:bidi w:val="0"/>
              <w:adjustRightInd/>
              <w:snapToGrid/>
              <w:spacing w:line="440" w:lineRule="exact"/>
              <w:ind w:firstLine="422" w:firstLineChars="200"/>
              <w:jc w:val="both"/>
              <w:textAlignment w:val="auto"/>
              <w:rPr>
                <w:rFonts w:hint="default" w:ascii="Times New Roman" w:hAnsi="Times New Roman" w:cs="Times New Roman"/>
                <w:b/>
                <w:bCs/>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r>
              <w:rPr>
                <w:rFonts w:hint="eastAsia" w:ascii="Times New Roman" w:hAnsi="Times New Roman" w:cs="Times New Roman"/>
                <w:b/>
                <w:bCs/>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由投标人代表、招标平台工作人员共同检查确认。</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按有关规定抽取</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公示媒介：</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安徽省招标投标信息网（www.ahtba.org.cn）</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技术成果经济补偿</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不补偿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b/>
                <w:bCs/>
                <w:szCs w:val="21"/>
                <w:highlight w:val="none"/>
              </w:rPr>
              <w:t>履约</w:t>
            </w:r>
            <w:r>
              <w:rPr>
                <w:rFonts w:hint="eastAsia" w:ascii="Times New Roman" w:hAnsi="Times New Roman" w:cs="Times New Roman"/>
                <w:b/>
                <w:bCs/>
                <w:szCs w:val="21"/>
                <w:highlight w:val="none"/>
                <w:lang w:val="en-US" w:eastAsia="zh-CN"/>
              </w:rPr>
              <w:t>保证金</w:t>
            </w:r>
            <w:r>
              <w:rPr>
                <w:rFonts w:hint="default" w:ascii="Times New Roman" w:hAnsi="Times New Roman" w:cs="Times New Roman"/>
                <w:b/>
                <w:bCs/>
                <w:szCs w:val="21"/>
                <w:highlight w:val="none"/>
              </w:rPr>
              <w:t>的形式：</w:t>
            </w:r>
            <w:r>
              <w:rPr>
                <w:rFonts w:hint="default" w:ascii="Times New Roman" w:hAnsi="Times New Roman" w:cs="Times New Roman"/>
                <w:szCs w:val="21"/>
                <w:highlight w:val="none"/>
              </w:rPr>
              <w:t>中标后，投标保证金自动转为履约保证金，履约保证金不足部分由中标人在收到中标通知书1</w:t>
            </w:r>
            <w:r>
              <w:rPr>
                <w:rFonts w:hint="eastAsia" w:ascii="Times New Roman" w:hAnsi="Times New Roman" w:cs="Times New Roman"/>
                <w:szCs w:val="21"/>
                <w:highlight w:val="none"/>
                <w:lang w:val="en-US" w:eastAsia="zh-CN"/>
              </w:rPr>
              <w:t>0</w:t>
            </w:r>
            <w:r>
              <w:rPr>
                <w:rFonts w:hint="default" w:ascii="Times New Roman" w:hAnsi="Times New Roman" w:cs="Times New Roman"/>
                <w:szCs w:val="21"/>
                <w:highlight w:val="none"/>
              </w:rPr>
              <w:t>日内从其基本账户开户行银行汇款。</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b/>
                <w:bCs/>
                <w:szCs w:val="21"/>
                <w:highlight w:val="none"/>
              </w:rPr>
              <w:t>履约</w:t>
            </w:r>
            <w:r>
              <w:rPr>
                <w:rFonts w:hint="eastAsia" w:ascii="Times New Roman" w:hAnsi="Times New Roman" w:cs="Times New Roman"/>
                <w:b/>
                <w:bCs/>
                <w:szCs w:val="21"/>
                <w:highlight w:val="none"/>
                <w:lang w:val="en-US" w:eastAsia="zh-CN"/>
              </w:rPr>
              <w:t>保证金</w:t>
            </w:r>
            <w:r>
              <w:rPr>
                <w:rFonts w:hint="default" w:ascii="Times New Roman" w:hAnsi="Times New Roman" w:cs="Times New Roman"/>
                <w:b/>
                <w:bCs/>
                <w:szCs w:val="21"/>
                <w:highlight w:val="none"/>
              </w:rPr>
              <w:t>的金额：</w:t>
            </w:r>
            <w:r>
              <w:rPr>
                <w:rFonts w:hint="eastAsia" w:ascii="Times New Roman" w:hAnsi="Times New Roman" w:cs="Times New Roman"/>
                <w:szCs w:val="21"/>
                <w:highlight w:val="none"/>
                <w:lang w:val="en-US" w:eastAsia="zh-CN"/>
              </w:rPr>
              <w:t>同投标保证金</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rPr>
              <w:t>履约保证金的退还：</w:t>
            </w:r>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val="en-US" w:eastAsia="zh-CN"/>
              </w:rPr>
              <w:t>合同到期后退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履约保证金（无息本金）。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w:t>
            </w:r>
            <w:r>
              <w:rPr>
                <w:rFonts w:hint="eastAsia" w:ascii="Times New Roman" w:hAnsi="Times New Roman" w:cs="Times New Roman"/>
                <w:szCs w:val="21"/>
                <w:highlight w:val="none"/>
                <w:lang w:val="en-US" w:eastAsia="zh-CN"/>
              </w:rPr>
              <w:t>部分</w:t>
            </w:r>
            <w:r>
              <w:rPr>
                <w:rFonts w:hint="default" w:ascii="Times New Roman" w:hAnsi="Times New Roman" w:cs="Times New Roman"/>
                <w:szCs w:val="21"/>
                <w:highlight w:val="none"/>
              </w:rPr>
              <w:t>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w:t>
            </w:r>
            <w:r>
              <w:rPr>
                <w:rFonts w:hint="eastAsia" w:ascii="Times New Roman" w:hAnsi="Times New Roman" w:cs="Times New Roman"/>
                <w:szCs w:val="21"/>
                <w:highlight w:val="none"/>
                <w:lang w:val="en-US" w:eastAsia="zh-CN"/>
              </w:rPr>
              <w:t>内容</w:t>
            </w:r>
            <w:r>
              <w:rPr>
                <w:rFonts w:hint="default" w:ascii="Times New Roman" w:hAnsi="Times New Roman" w:cs="Times New Roman"/>
                <w:szCs w:val="21"/>
                <w:highlight w:val="none"/>
              </w:rPr>
              <w:t>有不一致的，以形成时间在后者为准。</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40" w:lineRule="exact"/>
        <w:ind w:firstLine="422" w:firstLineChars="200"/>
        <w:jc w:val="both"/>
        <w:textAlignment w:val="auto"/>
        <w:rPr>
          <w:rFonts w:hint="eastAsia" w:ascii="Times New Roman" w:hAnsi="Times New Roman" w:cs="Times New Roman"/>
          <w:color w:val="000000"/>
          <w:highlight w:val="none"/>
          <w:lang w:val="en-US" w:eastAsia="zh-CN"/>
        </w:rPr>
      </w:pPr>
      <w:r>
        <w:rPr>
          <w:rFonts w:hint="eastAsia" w:ascii="Times New Roman" w:hAnsi="Times New Roman" w:cs="Times New Roman"/>
          <w:b/>
          <w:bCs/>
          <w:color w:val="000000"/>
          <w:highlight w:val="none"/>
          <w:lang w:val="en-US" w:eastAsia="zh-CN"/>
        </w:rPr>
        <w:t>说明：</w:t>
      </w:r>
      <w:r>
        <w:rPr>
          <w:rFonts w:hint="eastAsia" w:ascii="Times New Roman" w:hAnsi="Times New Roman" w:cs="Times New Roman"/>
          <w:color w:val="000000"/>
          <w:highlight w:val="none"/>
          <w:lang w:val="en-US" w:eastAsia="zh-CN"/>
        </w:rPr>
        <w:t>投标人须知正文部分直接引用国家发改委等九部委于2017年9月4日联合印发的</w:t>
      </w:r>
      <w:r>
        <w:rPr>
          <w:rFonts w:hint="eastAsia" w:ascii="Times New Roman" w:hAnsi="Times New Roman" w:cs="Times New Roman"/>
          <w:color w:val="000000"/>
          <w:highlight w:val="none"/>
          <w:u w:val="single"/>
          <w:lang w:val="en-US" w:eastAsia="zh-CN"/>
        </w:rPr>
        <w:t>《中华人民共和国标准设计招标文件》（2017年版）</w:t>
      </w:r>
      <w:r>
        <w:rPr>
          <w:rFonts w:hint="eastAsia" w:ascii="Times New Roman" w:hAnsi="Times New Roman" w:cs="Times New Roman"/>
          <w:color w:val="000000"/>
          <w:highlight w:val="none"/>
          <w:lang w:val="en-US" w:eastAsia="zh-CN"/>
        </w:rPr>
        <w:t>。</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yellow"/>
          <w:lang w:val="en-US" w:eastAsia="zh-CN"/>
        </w:rPr>
      </w:pPr>
      <w:r>
        <w:rPr>
          <w:rFonts w:hint="default" w:asciiTheme="majorEastAsia" w:hAnsiTheme="majorEastAsia" w:eastAsiaTheme="majorEastAsia" w:cstheme="majorEastAsia"/>
          <w:b/>
          <w:bCs/>
          <w:color w:val="auto"/>
          <w:sz w:val="32"/>
          <w:szCs w:val="32"/>
          <w:highlight w:val="none"/>
          <w:lang w:val="en-US" w:eastAsia="zh-CN"/>
        </w:rPr>
        <w:t>第三章 评标办法</w:t>
      </w:r>
      <w:r>
        <w:rPr>
          <w:rFonts w:hint="eastAsia" w:asciiTheme="majorEastAsia" w:hAnsiTheme="majorEastAsia" w:eastAsiaTheme="majorEastAsia" w:cstheme="majorEastAsia"/>
          <w:b/>
          <w:bCs/>
          <w:color w:val="auto"/>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评标办法</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中标候选人排序方法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i w:val="0"/>
                <w:iCs w:val="0"/>
                <w:color w:val="auto"/>
                <w:kern w:val="0"/>
                <w:sz w:val="24"/>
                <w:szCs w:val="24"/>
                <w:highlight w:val="none"/>
                <w:u w:val="none"/>
              </w:rPr>
              <w:t>综合评分相等时，以投标报价低的优先；投标报价也相等的，以策略、文案、设计三项得分之和高的优先；如果策略、文案、设计三项得分之和也相等，由招标人或其授权的评标委员会自行确定（一般宜采用投票制，少数服从多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投标函及投标函附录</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val="en-US" w:eastAsia="zh-CN"/>
              </w:rPr>
              <w:t>或其委托代理人签字或加盖单位章。由法定代表人签字的，应附法定代表人身份证明，由代理人签字的，应附授权委托书，身份证明或授权委托书应符合第六章“投标文件格式”的规定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提交符合招标文件要求的联合体协议书，明确各方承担连带责任，并明确联合体牵头人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备选投标方案</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除招标文件明确允许提交备选投标方案外，投标人不得提交备选投标方案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r>
              <w:rPr>
                <w:rFonts w:hint="eastAsia" w:ascii="Times New Roman" w:hAnsi="Times New Roman" w:cs="Times New Roman"/>
                <w:kern w:val="0"/>
                <w:sz w:val="24"/>
                <w:szCs w:val="24"/>
                <w:highlight w:val="none"/>
                <w:lang w:val="en-US" w:eastAsia="zh-CN"/>
              </w:rPr>
              <w:t>和组织机构代码证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符合第二章“投标人组织”第3.5.1项规定，</w:t>
            </w:r>
            <w:r>
              <w:rPr>
                <w:rFonts w:hint="default" w:ascii="Times New Roman" w:hAnsi="Times New Roman" w:cs="Times New Roman" w:eastAsiaTheme="minorEastAsia"/>
                <w:kern w:val="0"/>
                <w:sz w:val="24"/>
                <w:szCs w:val="24"/>
                <w:highlight w:val="none"/>
              </w:rPr>
              <w:t>具备有效的营业执照</w:t>
            </w:r>
            <w:r>
              <w:rPr>
                <w:rFonts w:hint="eastAsia" w:ascii="Times New Roman" w:hAnsi="Times New Roman" w:cs="Times New Roman"/>
                <w:kern w:val="0"/>
                <w:sz w:val="24"/>
                <w:szCs w:val="24"/>
                <w:highlight w:val="none"/>
                <w:lang w:val="en-US" w:eastAsia="zh-CN"/>
              </w:rPr>
              <w:t>和组织机构代码证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项目负责人</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其他主要人员</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第3.2款</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服务期限</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第1.3.4项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质量标准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权力义务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符合第二章“投标人须知”第1.12.1项规定和第四章“合同条款及格式”中的实质性要求和条件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服务方案</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符合第五章“发包人要求”中的实质性要求和条件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bookmarkStart w:id="16" w:name="_Toc247085747"/>
            <w:bookmarkStart w:id="17" w:name="_Toc246996232"/>
            <w:bookmarkStart w:id="18" w:name="_Toc296602477"/>
            <w:bookmarkStart w:id="19" w:name="_Toc246996975"/>
            <w:bookmarkStart w:id="20" w:name="_Toc179632607"/>
            <w:bookmarkStart w:id="21" w:name="_Toc152042366"/>
            <w:bookmarkStart w:id="22" w:name="_Toc144974556"/>
            <w:bookmarkStart w:id="23" w:name="_Toc152045589"/>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策略部分：</w:t>
            </w:r>
            <w:r>
              <w:rPr>
                <w:rFonts w:hint="eastAsia" w:ascii="Times New Roman" w:hAnsi="Times New Roman" w:cs="Times New Roman"/>
                <w:color w:val="auto"/>
                <w:kern w:val="0"/>
                <w:sz w:val="24"/>
                <w:szCs w:val="24"/>
                <w:highlight w:val="none"/>
                <w:u w:val="single"/>
                <w:lang w:val="en-US" w:eastAsia="zh-CN"/>
              </w:rPr>
              <w:t>20</w:t>
            </w:r>
            <w:r>
              <w:rPr>
                <w:rFonts w:hint="eastAsia" w:ascii="Times New Roman" w:hAnsi="Times New Roman" w:cs="Times New Roman"/>
                <w:color w:val="auto"/>
                <w:kern w:val="0"/>
                <w:sz w:val="24"/>
                <w:szCs w:val="24"/>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文案部分：</w:t>
            </w:r>
            <w:r>
              <w:rPr>
                <w:rFonts w:hint="eastAsia" w:ascii="Times New Roman" w:hAnsi="Times New Roman" w:cs="Times New Roman"/>
                <w:color w:val="auto"/>
                <w:kern w:val="0"/>
                <w:sz w:val="24"/>
                <w:szCs w:val="24"/>
                <w:highlight w:val="none"/>
                <w:u w:val="single"/>
                <w:lang w:val="en-US" w:eastAsia="zh-CN"/>
              </w:rPr>
              <w:t>15</w:t>
            </w:r>
            <w:r>
              <w:rPr>
                <w:rFonts w:hint="eastAsia" w:ascii="Times New Roman" w:hAnsi="Times New Roman" w:cs="Times New Roman"/>
                <w:color w:val="auto"/>
                <w:kern w:val="0"/>
                <w:sz w:val="24"/>
                <w:szCs w:val="24"/>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设计部分：</w:t>
            </w:r>
            <w:r>
              <w:rPr>
                <w:rFonts w:hint="eastAsia" w:ascii="Times New Roman" w:hAnsi="Times New Roman" w:cs="Times New Roman"/>
                <w:color w:val="auto"/>
                <w:kern w:val="0"/>
                <w:sz w:val="24"/>
                <w:szCs w:val="24"/>
                <w:highlight w:val="none"/>
                <w:u w:val="single"/>
                <w:lang w:val="en-US" w:eastAsia="zh-CN"/>
              </w:rPr>
              <w:t>15</w:t>
            </w:r>
            <w:r>
              <w:rPr>
                <w:rFonts w:hint="eastAsia" w:ascii="Times New Roman" w:hAnsi="Times New Roman" w:cs="Times New Roman"/>
                <w:color w:val="auto"/>
                <w:kern w:val="0"/>
                <w:sz w:val="24"/>
                <w:szCs w:val="24"/>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服务团队部分：</w:t>
            </w:r>
            <w:r>
              <w:rPr>
                <w:rFonts w:hint="eastAsia" w:ascii="Times New Roman" w:hAnsi="Times New Roman" w:cs="Times New Roman"/>
                <w:color w:val="auto"/>
                <w:kern w:val="0"/>
                <w:sz w:val="24"/>
                <w:szCs w:val="24"/>
                <w:highlight w:val="none"/>
                <w:u w:val="single"/>
                <w:lang w:val="en-US" w:eastAsia="zh-CN"/>
              </w:rPr>
              <w:t>10</w:t>
            </w:r>
            <w:r>
              <w:rPr>
                <w:rFonts w:hint="eastAsia" w:ascii="Times New Roman" w:hAnsi="Times New Roman" w:cs="Times New Roman"/>
                <w:color w:val="auto"/>
                <w:kern w:val="0"/>
                <w:sz w:val="24"/>
                <w:szCs w:val="24"/>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投标报价：</w:t>
            </w:r>
            <w:r>
              <w:rPr>
                <w:rFonts w:hint="eastAsia" w:ascii="Times New Roman" w:hAnsi="Times New Roman" w:cs="Times New Roman"/>
                <w:color w:val="auto"/>
                <w:kern w:val="0"/>
                <w:sz w:val="24"/>
                <w:szCs w:val="24"/>
                <w:highlight w:val="none"/>
                <w:u w:val="single"/>
                <w:lang w:val="en-US" w:eastAsia="zh-CN"/>
              </w:rPr>
              <w:t>40</w:t>
            </w:r>
            <w:r>
              <w:rPr>
                <w:rFonts w:hint="eastAsia" w:ascii="Times New Roman" w:hAnsi="Times New Roman" w:cs="Times New Roman"/>
                <w:color w:val="auto"/>
                <w:kern w:val="0"/>
                <w:sz w:val="24"/>
                <w:szCs w:val="24"/>
                <w:highlight w:val="none"/>
                <w:lang w:val="en-US" w:eastAsia="zh-CN"/>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以所有通过初步评审的投标人的投标报价算数平均数作为评标基准价。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详见2.2.4（5）投标报价评分标准。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策略</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rPr>
            </w:pPr>
            <w:r>
              <w:rPr>
                <w:rFonts w:hint="default" w:ascii="Times New Roman" w:hAnsi="Times New Roman" w:cs="Times New Roman" w:eastAsiaTheme="minorEastAsia"/>
                <w:i w:val="0"/>
                <w:iCs w:val="0"/>
                <w:color w:val="auto"/>
                <w:kern w:val="0"/>
                <w:sz w:val="24"/>
                <w:szCs w:val="24"/>
                <w:highlight w:val="none"/>
                <w:u w:val="none"/>
                <w:lang w:val="en-US" w:eastAsia="zh-CN"/>
              </w:rPr>
              <w:t>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rPr>
            </w:pPr>
            <w:r>
              <w:rPr>
                <w:rFonts w:hint="default" w:ascii="Times New Roman" w:hAnsi="Times New Roman" w:cs="Times New Roman" w:eastAsiaTheme="minorEastAsia"/>
                <w:i w:val="0"/>
                <w:iCs w:val="0"/>
                <w:color w:val="auto"/>
                <w:kern w:val="0"/>
                <w:sz w:val="24"/>
                <w:szCs w:val="24"/>
                <w:highlight w:val="none"/>
                <w:u w:val="none"/>
                <w:lang w:val="en-US" w:eastAsia="zh-CN"/>
              </w:rPr>
              <w:t>（</w:t>
            </w:r>
            <w:r>
              <w:rPr>
                <w:rFonts w:hint="eastAsia" w:ascii="Times New Roman" w:hAnsi="Times New Roman" w:cs="Times New Roman"/>
                <w:i w:val="0"/>
                <w:iCs w:val="0"/>
                <w:color w:val="auto"/>
                <w:kern w:val="0"/>
                <w:sz w:val="24"/>
                <w:szCs w:val="24"/>
                <w:highlight w:val="none"/>
                <w:u w:val="none"/>
                <w:lang w:val="en-US" w:eastAsia="zh-CN"/>
              </w:rPr>
              <w:t>20</w:t>
            </w:r>
            <w:r>
              <w:rPr>
                <w:rFonts w:hint="default" w:ascii="Times New Roman" w:hAnsi="Times New Roman" w:cs="Times New Roman" w:eastAsiaTheme="minorEastAsia"/>
                <w:i w:val="0"/>
                <w:iCs w:val="0"/>
                <w:color w:val="auto"/>
                <w:kern w:val="0"/>
                <w:sz w:val="24"/>
                <w:szCs w:val="24"/>
                <w:highlight w:val="none"/>
                <w:u w:val="non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策略</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rPr>
            </w:pPr>
            <w:r>
              <w:rPr>
                <w:rFonts w:hint="default" w:ascii="Times New Roman" w:hAnsi="Times New Roman" w:cs="Times New Roman" w:eastAsiaTheme="minorEastAsia"/>
                <w:i w:val="0"/>
                <w:iCs w:val="0"/>
                <w:color w:val="auto"/>
                <w:kern w:val="0"/>
                <w:sz w:val="24"/>
                <w:szCs w:val="24"/>
                <w:highlight w:val="none"/>
                <w:u w:val="none"/>
                <w:lang w:val="en-US" w:eastAsia="zh-CN"/>
              </w:rPr>
              <w:t>（</w:t>
            </w:r>
            <w:r>
              <w:rPr>
                <w:rFonts w:hint="eastAsia" w:ascii="Times New Roman" w:hAnsi="Times New Roman" w:cs="Times New Roman"/>
                <w:i w:val="0"/>
                <w:iCs w:val="0"/>
                <w:color w:val="auto"/>
                <w:kern w:val="0"/>
                <w:sz w:val="24"/>
                <w:szCs w:val="24"/>
                <w:highlight w:val="none"/>
                <w:u w:val="none"/>
                <w:lang w:val="en-US" w:eastAsia="zh-CN"/>
              </w:rPr>
              <w:t>20</w:t>
            </w:r>
            <w:r>
              <w:rPr>
                <w:rFonts w:hint="default" w:ascii="Times New Roman" w:hAnsi="Times New Roman" w:cs="Times New Roman" w:eastAsiaTheme="minorEastAsia"/>
                <w:i w:val="0"/>
                <w:iCs w:val="0"/>
                <w:color w:val="auto"/>
                <w:kern w:val="0"/>
                <w:sz w:val="24"/>
                <w:szCs w:val="24"/>
                <w:highlight w:val="none"/>
                <w:u w:val="non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1.项目市场定位及客户认知（4分）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本项满分4分，评委酌情给分。优得3—4分，良得2—3分，一般得1—2分，差得0分。</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2.品牌的价值（4分）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本项满分4分，评委酌情给分。优得3—4分，良得2—3分，一般得1—2分，差得0分。</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3.项目卖点整合、目标客户分析（4分）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本项满分4分，评委酌情给分。优得3—4分，良得2—3分，一般得1—2分，差得0分。</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4.项目定位、形象定位（4分）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本项满分4分，评委酌情给分。优得3—4分，良得2—3分，一般得1—2分，差得0分。</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5.文案、设计（4分）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本项满分4分，评委酌情给分。优得3—4分，良得2—3分，一般得1—2分，差得0分。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文案</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rPr>
            </w:pPr>
            <w:r>
              <w:rPr>
                <w:rFonts w:hint="default" w:ascii="Times New Roman" w:hAnsi="Times New Roman" w:cs="Times New Roman" w:eastAsiaTheme="minorEastAsia"/>
                <w:i w:val="0"/>
                <w:iCs w:val="0"/>
                <w:color w:val="auto"/>
                <w:kern w:val="0"/>
                <w:sz w:val="24"/>
                <w:szCs w:val="24"/>
                <w:highlight w:val="none"/>
                <w:u w:val="none"/>
                <w:lang w:val="en-US" w:eastAsia="zh-CN"/>
              </w:rPr>
              <w:t>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rPr>
            </w:pPr>
            <w:r>
              <w:rPr>
                <w:rFonts w:hint="default" w:ascii="Times New Roman" w:hAnsi="Times New Roman" w:cs="Times New Roman" w:eastAsiaTheme="minorEastAsia"/>
                <w:i w:val="0"/>
                <w:iCs w:val="0"/>
                <w:color w:val="auto"/>
                <w:kern w:val="0"/>
                <w:sz w:val="24"/>
                <w:szCs w:val="24"/>
                <w:highlight w:val="none"/>
                <w:u w:val="none"/>
                <w:lang w:val="en-US" w:eastAsia="zh-CN"/>
              </w:rPr>
              <w:t>（</w:t>
            </w:r>
            <w:r>
              <w:rPr>
                <w:rFonts w:hint="eastAsia" w:ascii="Times New Roman" w:hAnsi="Times New Roman" w:cs="Times New Roman"/>
                <w:i w:val="0"/>
                <w:iCs w:val="0"/>
                <w:color w:val="auto"/>
                <w:kern w:val="0"/>
                <w:sz w:val="24"/>
                <w:szCs w:val="24"/>
                <w:highlight w:val="none"/>
                <w:u w:val="none"/>
                <w:lang w:val="en-US" w:eastAsia="zh-CN"/>
              </w:rPr>
              <w:t>15</w:t>
            </w:r>
            <w:r>
              <w:rPr>
                <w:rFonts w:hint="default" w:ascii="Times New Roman" w:hAnsi="Times New Roman" w:cs="Times New Roman" w:eastAsiaTheme="minorEastAsia"/>
                <w:i w:val="0"/>
                <w:iCs w:val="0"/>
                <w:color w:val="auto"/>
                <w:kern w:val="0"/>
                <w:sz w:val="24"/>
                <w:szCs w:val="24"/>
                <w:highlight w:val="none"/>
                <w:u w:val="non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文案</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rPr>
            </w:pPr>
            <w:r>
              <w:rPr>
                <w:rFonts w:hint="default" w:ascii="Times New Roman" w:hAnsi="Times New Roman" w:cs="Times New Roman" w:eastAsiaTheme="minorEastAsia"/>
                <w:i w:val="0"/>
                <w:iCs w:val="0"/>
                <w:color w:val="auto"/>
                <w:kern w:val="0"/>
                <w:sz w:val="24"/>
                <w:szCs w:val="24"/>
                <w:highlight w:val="none"/>
                <w:u w:val="none"/>
                <w:lang w:val="en-US" w:eastAsia="zh-CN"/>
              </w:rPr>
              <w:t>（</w:t>
            </w:r>
            <w:r>
              <w:rPr>
                <w:rFonts w:hint="eastAsia" w:ascii="Times New Roman" w:hAnsi="Times New Roman" w:cs="Times New Roman"/>
                <w:i w:val="0"/>
                <w:iCs w:val="0"/>
                <w:color w:val="auto"/>
                <w:kern w:val="0"/>
                <w:sz w:val="24"/>
                <w:szCs w:val="24"/>
                <w:highlight w:val="none"/>
                <w:u w:val="none"/>
                <w:lang w:val="en-US" w:eastAsia="zh-CN"/>
              </w:rPr>
              <w:t>15</w:t>
            </w:r>
            <w:r>
              <w:rPr>
                <w:rFonts w:hint="default" w:ascii="Times New Roman" w:hAnsi="Times New Roman" w:cs="Times New Roman" w:eastAsiaTheme="minorEastAsia"/>
                <w:i w:val="0"/>
                <w:iCs w:val="0"/>
                <w:color w:val="auto"/>
                <w:kern w:val="0"/>
                <w:sz w:val="24"/>
                <w:szCs w:val="24"/>
                <w:highlight w:val="none"/>
                <w:u w:val="non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1.项目主分案名体系规划、广告总精神（5分）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本项满分5分，评委酌情给分。优得4—5分，良得2—4分，一般得1—2分，差得0分。</w:t>
            </w:r>
          </w:p>
          <w:p>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2.阶段性诉求点及推广主语（5分）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本项满分5分，评委酌情给分。优得4—5分，良得2—4分，一般得1—2分，差得0分。</w:t>
            </w:r>
          </w:p>
          <w:p>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3.软文：板块价值炒作及品牌造势（5分）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本项满分5分，评委酌情给分。优得4—5分，良得2—4分，一般得1—2分，差得0分。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设计</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rPr>
            </w:pPr>
            <w:r>
              <w:rPr>
                <w:rFonts w:hint="default" w:ascii="Times New Roman" w:hAnsi="Times New Roman" w:cs="Times New Roman" w:eastAsiaTheme="minorEastAsia"/>
                <w:i w:val="0"/>
                <w:iCs w:val="0"/>
                <w:color w:val="auto"/>
                <w:kern w:val="0"/>
                <w:sz w:val="24"/>
                <w:szCs w:val="24"/>
                <w:highlight w:val="none"/>
                <w:u w:val="none"/>
                <w:lang w:val="en-US" w:eastAsia="zh-CN"/>
              </w:rPr>
              <w:t>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default" w:ascii="Times New Roman" w:hAnsi="Times New Roman" w:cs="Times New Roman" w:eastAsiaTheme="minorEastAsia"/>
                <w:i w:val="0"/>
                <w:iCs w:val="0"/>
                <w:color w:val="auto"/>
                <w:kern w:val="0"/>
                <w:sz w:val="24"/>
                <w:szCs w:val="24"/>
                <w:highlight w:val="none"/>
                <w:u w:val="none"/>
                <w:lang w:val="en-US" w:eastAsia="zh-CN"/>
              </w:rPr>
              <w:t>（</w:t>
            </w:r>
            <w:r>
              <w:rPr>
                <w:rFonts w:hint="eastAsia" w:ascii="Times New Roman" w:hAnsi="Times New Roman" w:cs="Times New Roman"/>
                <w:i w:val="0"/>
                <w:iCs w:val="0"/>
                <w:color w:val="auto"/>
                <w:kern w:val="0"/>
                <w:sz w:val="24"/>
                <w:szCs w:val="24"/>
                <w:highlight w:val="none"/>
                <w:u w:val="none"/>
                <w:lang w:val="en-US" w:eastAsia="zh-CN"/>
              </w:rPr>
              <w:t>15</w:t>
            </w:r>
            <w:r>
              <w:rPr>
                <w:rFonts w:hint="default" w:ascii="Times New Roman" w:hAnsi="Times New Roman" w:cs="Times New Roman" w:eastAsiaTheme="minorEastAsia"/>
                <w:i w:val="0"/>
                <w:iCs w:val="0"/>
                <w:color w:val="auto"/>
                <w:kern w:val="0"/>
                <w:sz w:val="24"/>
                <w:szCs w:val="24"/>
                <w:highlight w:val="none"/>
                <w:u w:val="non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设计</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default" w:ascii="Times New Roman" w:hAnsi="Times New Roman" w:cs="Times New Roman" w:eastAsiaTheme="minorEastAsia"/>
                <w:i w:val="0"/>
                <w:iCs w:val="0"/>
                <w:color w:val="auto"/>
                <w:kern w:val="0"/>
                <w:sz w:val="24"/>
                <w:szCs w:val="24"/>
                <w:highlight w:val="none"/>
                <w:u w:val="none"/>
                <w:lang w:val="en-US" w:eastAsia="zh-CN"/>
              </w:rPr>
              <w:t>（</w:t>
            </w:r>
            <w:r>
              <w:rPr>
                <w:rFonts w:hint="eastAsia" w:ascii="Times New Roman" w:hAnsi="Times New Roman" w:cs="Times New Roman"/>
                <w:i w:val="0"/>
                <w:iCs w:val="0"/>
                <w:color w:val="auto"/>
                <w:kern w:val="0"/>
                <w:sz w:val="24"/>
                <w:szCs w:val="24"/>
                <w:highlight w:val="none"/>
                <w:u w:val="none"/>
                <w:lang w:val="en-US" w:eastAsia="zh-CN"/>
              </w:rPr>
              <w:t>15</w:t>
            </w:r>
            <w:r>
              <w:rPr>
                <w:rFonts w:hint="default" w:ascii="Times New Roman" w:hAnsi="Times New Roman" w:cs="Times New Roman" w:eastAsiaTheme="minorEastAsia"/>
                <w:i w:val="0"/>
                <w:iCs w:val="0"/>
                <w:color w:val="auto"/>
                <w:kern w:val="0"/>
                <w:sz w:val="24"/>
                <w:szCs w:val="24"/>
                <w:highlight w:val="none"/>
                <w:u w:val="non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1.LOGO、VI系统、手提袋、精神堡垒等（8分）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eastAsia="楷体_GB2312"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本项满分8分，评委酌情给分。优得6—8分，良得3—6分，一般得1—3分，差得0分。</w:t>
            </w:r>
          </w:p>
          <w:p>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2.平面设计（7分）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本项满分7分，评委酌情给分。优得5—7分，良得3—5分，一般得1—3分，差得0分。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综合操盘经验评分标准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（10分）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综合操盘经验</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（10分）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在符合招标公告投标人资格要求的基础上，投标人每额外提供1个类似项目业绩，得4分，本项满分10分，多分不计。</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eastAsia="楷体_GB2312" w:cs="Times New Roman"/>
                <w:kern w:val="0"/>
                <w:sz w:val="24"/>
                <w:szCs w:val="24"/>
                <w:highlight w:val="none"/>
                <w:lang w:val="en-US" w:eastAsia="zh-CN"/>
              </w:rPr>
            </w:pPr>
            <w:r>
              <w:rPr>
                <w:rFonts w:hint="eastAsia" w:ascii="Times New Roman" w:hAnsi="Times New Roman" w:eastAsia="楷体_GB2312" w:cs="Times New Roman"/>
                <w:color w:val="auto"/>
                <w:kern w:val="0"/>
                <w:sz w:val="24"/>
                <w:szCs w:val="24"/>
                <w:highlight w:val="none"/>
                <w:lang w:val="en-US" w:eastAsia="zh-CN"/>
              </w:rPr>
              <w:t>注：类似项目业绩是指投标人自2018年1月1日至今承担过的大型住宅房地产广告策划业绩，业绩时间以合同签订时间为准。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投标报价评分标准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（40分）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偏差率</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（40分）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取所有通过初步评审的投标人的投标报价的算数平均数作为评标基准价。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投标人投标报价与评标基准价相比，投标报价比评标基准价每高（大于）1%扣1分，每低（小于）1%扣0.5分，不足1%的部分按线性插值法计算得分。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本项满分40分。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若评标委员会认定该投标人投标报价低于其成本价或不以中标为目的的投标报价的，可以否决其投标。</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eastAsia="楷体_GB2312" w:cs="Times New Roman"/>
                <w:kern w:val="0"/>
                <w:sz w:val="24"/>
                <w:szCs w:val="24"/>
                <w:highlight w:val="none"/>
                <w:lang w:val="en-US" w:eastAsia="zh-CN"/>
              </w:rPr>
            </w:pPr>
            <w:r>
              <w:rPr>
                <w:rFonts w:hint="eastAsia" w:ascii="Times New Roman" w:hAnsi="Times New Roman" w:eastAsia="楷体_GB2312" w:cs="Times New Roman"/>
                <w:kern w:val="0"/>
                <w:sz w:val="24"/>
                <w:szCs w:val="24"/>
                <w:highlight w:val="none"/>
                <w:lang w:val="en-US" w:eastAsia="zh-CN"/>
              </w:rPr>
              <w:t>注：保留得分小数点后两位，第三位四舍五入。</w:t>
            </w: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lang w:val="en-US" w:eastAsia="zh-CN"/>
        </w:rPr>
      </w:pPr>
      <w:r>
        <w:rPr>
          <w:rFonts w:hint="default" w:ascii="Times New Roman" w:hAnsi="Times New Roman" w:cs="Times New Roman"/>
          <w:b/>
          <w:bCs/>
          <w:lang w:val="en-US" w:eastAsia="zh-CN"/>
        </w:rPr>
        <w:t>说明：</w:t>
      </w:r>
      <w:r>
        <w:rPr>
          <w:rFonts w:hint="default" w:ascii="Times New Roman" w:hAnsi="Times New Roman" w:cs="Times New Roman"/>
          <w:lang w:val="en-US" w:eastAsia="zh-CN"/>
        </w:rPr>
        <w:t>评分区间一律按左闭右开计算</w:t>
      </w:r>
      <w:r>
        <w:rPr>
          <w:rFonts w:hint="eastAsia" w:ascii="Times New Roman" w:hAnsi="Times New Roman" w:cs="Times New Roman"/>
          <w:lang w:val="en-US" w:eastAsia="zh-CN"/>
        </w:rPr>
        <w:t>，评分保留2位小数。</w:t>
      </w:r>
    </w:p>
    <w:p>
      <w:pPr>
        <w:rPr>
          <w:rFonts w:hint="default" w:ascii="Times New Roman" w:hAnsi="Times New Roman" w:cs="Times New Roman"/>
          <w:color w:val="auto"/>
          <w:sz w:val="21"/>
          <w:szCs w:val="21"/>
          <w:highlight w:val="none"/>
          <w:u w:val="none"/>
          <w:lang w:val="en-US" w:eastAsia="zh-CN"/>
        </w:rPr>
      </w:pPr>
      <w:r>
        <w:rPr>
          <w:rFonts w:hint="default" w:ascii="Times New Roman" w:hAnsi="Times New Roman" w:cs="Times New Roman"/>
          <w:color w:val="auto"/>
          <w:sz w:val="21"/>
          <w:szCs w:val="21"/>
          <w:highlight w:val="none"/>
          <w:u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综合评分相等时，以投标报价低的优先；投标报价也相等的，以策略、文案、设计三项得分之和高的优先；如果策略、文案、设计三项得分之和也相等，由招标人或其授权的评标委员会自行确定（一般宜采用投票制，少数服从多数）。</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24" w:name="_Toc247085748"/>
      <w:bookmarkStart w:id="25" w:name="_Toc246996233"/>
      <w:bookmarkStart w:id="26" w:name="_Toc152045590"/>
      <w:bookmarkStart w:id="27" w:name="_Toc144974557"/>
      <w:bookmarkStart w:id="28" w:name="_Toc152042367"/>
      <w:bookmarkStart w:id="29" w:name="_Toc179632608"/>
      <w:bookmarkStart w:id="30" w:name="_Toc246996976"/>
      <w:bookmarkStart w:id="31" w:name="_Toc296602478"/>
      <w:r>
        <w:rPr>
          <w:rFonts w:hint="default" w:ascii="Times New Roman" w:hAnsi="Times New Roman" w:cs="Times New Roman" w:eastAsiaTheme="minorEastAsia"/>
          <w:b/>
          <w:bCs/>
          <w:kern w:val="0"/>
          <w:sz w:val="28"/>
          <w:szCs w:val="28"/>
          <w:highlight w:val="none"/>
        </w:rPr>
        <w:t>2. 评审标准</w:t>
      </w:r>
      <w:bookmarkEnd w:id="24"/>
      <w:bookmarkEnd w:id="25"/>
      <w:bookmarkEnd w:id="26"/>
      <w:bookmarkEnd w:id="27"/>
      <w:bookmarkEnd w:id="28"/>
      <w:bookmarkEnd w:id="29"/>
      <w:bookmarkEnd w:id="30"/>
      <w:bookmarkEnd w:id="31"/>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2" w:name="_Toc179632609"/>
      <w:bookmarkStart w:id="33" w:name="_Toc247085749"/>
      <w:bookmarkStart w:id="34" w:name="_Toc152042368"/>
      <w:bookmarkStart w:id="35" w:name="_Toc152045591"/>
      <w:bookmarkStart w:id="36" w:name="_Toc296602479"/>
      <w:bookmarkStart w:id="37" w:name="_Toc246996977"/>
      <w:bookmarkStart w:id="38" w:name="_Toc144974558"/>
      <w:bookmarkStart w:id="39" w:name="_Toc246996234"/>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2"/>
      <w:bookmarkEnd w:id="33"/>
      <w:bookmarkEnd w:id="34"/>
      <w:bookmarkEnd w:id="35"/>
      <w:bookmarkEnd w:id="36"/>
      <w:bookmarkEnd w:id="37"/>
      <w:bookmarkEnd w:id="38"/>
      <w:bookmarkEnd w:id="3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40" w:name="_Toc179632611"/>
      <w:bookmarkStart w:id="41" w:name="_Toc246996236"/>
      <w:bookmarkStart w:id="42" w:name="_Toc246996979"/>
      <w:bookmarkStart w:id="43" w:name="_Toc144974560"/>
      <w:bookmarkStart w:id="44" w:name="_Toc152045593"/>
      <w:bookmarkStart w:id="45" w:name="_Toc247085751"/>
      <w:bookmarkStart w:id="46" w:name="_Toc296602481"/>
      <w:bookmarkStart w:id="47" w:name="_Toc152042370"/>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策略部分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r>
        <w:rPr>
          <w:rFonts w:hint="eastAsia" w:ascii="Times New Roman" w:hAnsi="Times New Roman" w:cs="Times New Roman"/>
          <w:kern w:val="0"/>
          <w:sz w:val="24"/>
          <w:szCs w:val="24"/>
          <w:highlight w:val="none"/>
          <w:lang w:val="en-US" w:eastAsia="zh-CN"/>
        </w:rPr>
        <w:t>文案部分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设计部分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服务团队部分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投标报价</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策略部分评分标准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r>
        <w:rPr>
          <w:rFonts w:hint="eastAsia" w:ascii="Times New Roman" w:hAnsi="Times New Roman" w:cs="Times New Roman"/>
          <w:kern w:val="0"/>
          <w:sz w:val="24"/>
          <w:szCs w:val="24"/>
          <w:highlight w:val="none"/>
          <w:lang w:val="en-US" w:eastAsia="zh-CN"/>
        </w:rPr>
        <w:t>文案部分评分标准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设计部分评分标准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服务团队部分评分标准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投标报价评分标准</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40"/>
      <w:bookmarkEnd w:id="41"/>
      <w:bookmarkEnd w:id="42"/>
      <w:bookmarkEnd w:id="43"/>
      <w:bookmarkEnd w:id="44"/>
      <w:bookmarkEnd w:id="45"/>
      <w:bookmarkEnd w:id="46"/>
      <w:bookmarkEnd w:id="47"/>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8" w:name="_Toc296602482"/>
      <w:bookmarkStart w:id="49" w:name="_Toc144974561"/>
      <w:bookmarkStart w:id="50" w:name="_Toc152042371"/>
      <w:bookmarkStart w:id="51" w:name="_Toc179632612"/>
      <w:bookmarkStart w:id="52" w:name="_Toc247085752"/>
      <w:bookmarkStart w:id="53" w:name="_Toc246996980"/>
      <w:bookmarkStart w:id="54" w:name="_Toc152045594"/>
      <w:bookmarkStart w:id="55" w:name="_Toc246996237"/>
      <w:r>
        <w:rPr>
          <w:rFonts w:hint="default" w:ascii="Times New Roman" w:hAnsi="Times New Roman" w:cs="Times New Roman" w:eastAsiaTheme="minorEastAsia"/>
          <w:b/>
          <w:bCs/>
          <w:kern w:val="0"/>
          <w:sz w:val="28"/>
          <w:szCs w:val="28"/>
          <w:highlight w:val="none"/>
        </w:rPr>
        <w:t>3.1 初步评审</w:t>
      </w:r>
      <w:bookmarkEnd w:id="48"/>
      <w:bookmarkEnd w:id="49"/>
      <w:bookmarkEnd w:id="50"/>
      <w:bookmarkEnd w:id="51"/>
      <w:bookmarkEnd w:id="52"/>
      <w:bookmarkEnd w:id="53"/>
      <w:bookmarkEnd w:id="54"/>
      <w:bookmarkEnd w:id="55"/>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规定的有关证明和证件的原件，</w:t>
      </w:r>
      <w:r>
        <w:rPr>
          <w:rFonts w:hint="default" w:ascii="Times New Roman" w:hAnsi="Times New Roman" w:cs="Times New Roman" w:eastAsiaTheme="minorEastAsia"/>
          <w:kern w:val="0"/>
          <w:sz w:val="24"/>
          <w:szCs w:val="24"/>
          <w:highlight w:val="none"/>
        </w:rPr>
        <w:t>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投标文件没有对招标文件的实质性要求和条件作出响应，或者对招标文件的偏差超出招标文件规定的偏差范围或最高项数；</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（2）有串通投标、弄虚作假、行贿等违法行为。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w:t>
      </w:r>
      <w:r>
        <w:rPr>
          <w:rFonts w:hint="eastAsia" w:ascii="Times New Roman" w:hAnsi="Times New Roman" w:cs="Times New Roman"/>
          <w:kern w:val="0"/>
          <w:sz w:val="24"/>
          <w:szCs w:val="24"/>
          <w:highlight w:val="none"/>
          <w:lang w:val="en-US" w:eastAsia="zh-CN"/>
        </w:rPr>
        <w:t>及其他错误的，评标委员会按以下原则要求投标人对投标报价进行修正，并要求投标人书面澄清确认。投标人拒不澄清确认的，评标委员会应当否决其投标：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（2）总价金额与单价金额不一致的，以单价金额为准，但单价金额小数点有明显错误的除外。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56" w:name="_Toc246996981"/>
      <w:bookmarkStart w:id="57" w:name="_Toc296602483"/>
      <w:bookmarkStart w:id="58" w:name="_Toc246996238"/>
      <w:bookmarkStart w:id="59" w:name="_Toc247085753"/>
      <w:bookmarkStart w:id="60" w:name="_Toc152045595"/>
      <w:bookmarkStart w:id="61" w:name="_Toc144974562"/>
      <w:bookmarkStart w:id="62" w:name="_Toc179632613"/>
      <w:bookmarkStart w:id="63" w:name="_Toc152042372"/>
      <w:r>
        <w:rPr>
          <w:rFonts w:hint="default" w:ascii="Times New Roman" w:hAnsi="Times New Roman" w:cs="Times New Roman" w:eastAsiaTheme="minorEastAsia"/>
          <w:b/>
          <w:bCs/>
          <w:kern w:val="0"/>
          <w:sz w:val="28"/>
          <w:szCs w:val="28"/>
          <w:highlight w:val="none"/>
        </w:rPr>
        <w:t>3.2 详细评审</w:t>
      </w:r>
      <w:bookmarkEnd w:id="56"/>
      <w:bookmarkEnd w:id="57"/>
      <w:bookmarkEnd w:id="58"/>
      <w:bookmarkEnd w:id="59"/>
      <w:bookmarkEnd w:id="60"/>
      <w:bookmarkEnd w:id="61"/>
      <w:bookmarkEnd w:id="62"/>
      <w:bookmarkEnd w:id="63"/>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64" w:name="_Toc152042373"/>
      <w:bookmarkStart w:id="65" w:name="_Toc144974563"/>
      <w:bookmarkStart w:id="66" w:name="_Toc246996239"/>
      <w:bookmarkStart w:id="67" w:name="_Toc152045596"/>
      <w:bookmarkStart w:id="68" w:name="_Toc246996982"/>
      <w:bookmarkStart w:id="69" w:name="_Toc247085754"/>
      <w:bookmarkStart w:id="70" w:name="_Toc179632614"/>
      <w:bookmarkStart w:id="71" w:name="_Toc296602484"/>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（1）按本章</w:t>
      </w:r>
      <w:r>
        <w:rPr>
          <w:rFonts w:hint="eastAsia" w:ascii="Times New Roman" w:hAnsi="Times New Roman" w:cs="Times New Roman"/>
          <w:kern w:val="0"/>
          <w:sz w:val="24"/>
          <w:szCs w:val="24"/>
          <w:highlight w:val="none"/>
          <w:lang w:val="en-US" w:eastAsia="zh-CN"/>
        </w:rPr>
        <w:t>第2.2.4（1）目规定的评审因素和分值对策略部分计算出得分A；</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）按本章</w:t>
      </w:r>
      <w:r>
        <w:rPr>
          <w:rFonts w:hint="eastAsia" w:ascii="Times New Roman" w:hAnsi="Times New Roman" w:cs="Times New Roman"/>
          <w:kern w:val="0"/>
          <w:sz w:val="24"/>
          <w:szCs w:val="24"/>
          <w:highlight w:val="none"/>
          <w:lang w:val="en-US" w:eastAsia="zh-CN"/>
        </w:rPr>
        <w:t>第2.2.4（2）目规定的评审因素和分值对文案部分计算出得分B；</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）按本章</w:t>
      </w:r>
      <w:r>
        <w:rPr>
          <w:rFonts w:hint="eastAsia" w:ascii="Times New Roman" w:hAnsi="Times New Roman" w:cs="Times New Roman"/>
          <w:kern w:val="0"/>
          <w:sz w:val="24"/>
          <w:szCs w:val="24"/>
          <w:highlight w:val="none"/>
          <w:lang w:val="en-US" w:eastAsia="zh-CN"/>
        </w:rPr>
        <w:t>第2.2.4（3）目规定的评审因素和分值对设计部分计算出得分C；</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eastAsiaTheme="minorEastAsia"/>
          <w:kern w:val="0"/>
          <w:sz w:val="24"/>
          <w:szCs w:val="24"/>
          <w:highlight w:val="none"/>
        </w:rPr>
        <w:t>按本章</w:t>
      </w:r>
      <w:r>
        <w:rPr>
          <w:rFonts w:hint="eastAsia" w:ascii="Times New Roman" w:hAnsi="Times New Roman" w:cs="Times New Roman"/>
          <w:kern w:val="0"/>
          <w:sz w:val="24"/>
          <w:szCs w:val="24"/>
          <w:highlight w:val="none"/>
          <w:lang w:val="en-US" w:eastAsia="zh-CN"/>
        </w:rPr>
        <w:t>第2.2.4（4）目规定的评审因素和分值对服务团队部分计算出得分D；</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）按本章</w:t>
      </w:r>
      <w:r>
        <w:rPr>
          <w:rFonts w:hint="eastAsia" w:ascii="Times New Roman" w:hAnsi="Times New Roman" w:cs="Times New Roman"/>
          <w:kern w:val="0"/>
          <w:sz w:val="24"/>
          <w:szCs w:val="24"/>
          <w:highlight w:val="none"/>
          <w:lang w:val="en-US" w:eastAsia="zh-CN"/>
        </w:rPr>
        <w:t>第2.2.4（5）目规定的评审因素和分值对投标报价计算出得分E。</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3.2.2 评分分值计算保留小数点后两位，小数点后第三位</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四舍五入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D</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E</w:t>
      </w:r>
      <w:r>
        <w:rPr>
          <w:rFonts w:hint="default"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使得其投标报价可能低于其个别成本的，应当要求该投标人作出书面说明并提供相应的证明材料。投标人不能合理说明或者不能提供相应证明材料的，评标委员会应当</w:t>
      </w:r>
      <w:r>
        <w:rPr>
          <w:rFonts w:hint="default" w:ascii="Times New Roman" w:hAnsi="Times New Roman" w:cs="Times New Roman" w:eastAsiaTheme="minorEastAsia"/>
          <w:kern w:val="0"/>
          <w:sz w:val="24"/>
          <w:szCs w:val="24"/>
          <w:highlight w:val="none"/>
        </w:rPr>
        <w:t>认定该投标人以低于成本报价竞标，</w:t>
      </w:r>
      <w:r>
        <w:rPr>
          <w:rFonts w:hint="eastAsia" w:ascii="Times New Roman" w:hAnsi="Times New Roman" w:cs="Times New Roman"/>
          <w:kern w:val="0"/>
          <w:sz w:val="24"/>
          <w:szCs w:val="24"/>
          <w:highlight w:val="none"/>
          <w:lang w:val="en-US" w:eastAsia="zh-CN"/>
        </w:rPr>
        <w:t>并</w:t>
      </w:r>
      <w:r>
        <w:rPr>
          <w:rFonts w:hint="default" w:ascii="Times New Roman" w:hAnsi="Times New Roman" w:cs="Times New Roman" w:eastAsiaTheme="minorEastAsia"/>
          <w:kern w:val="0"/>
          <w:sz w:val="24"/>
          <w:szCs w:val="24"/>
          <w:highlight w:val="none"/>
        </w:rPr>
        <w:t>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64"/>
      <w:bookmarkEnd w:id="65"/>
      <w:bookmarkEnd w:id="66"/>
      <w:bookmarkEnd w:id="67"/>
      <w:bookmarkEnd w:id="68"/>
      <w:bookmarkEnd w:id="69"/>
      <w:bookmarkEnd w:id="70"/>
      <w:bookmarkEnd w:id="71"/>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投标文件中含义不明确、对同类问题表述不一致或者有明显文字和计算错误的内容作必要的澄清、说明或补正。澄清、说明或补正应以书面方式进行。评标委员会不接受投标人主动提出的澄清、说明或补正。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超出投标文件的范围且不得改变投标文件的实质性内容，并构成投标文件的组成部分。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72" w:name="_Toc152045597"/>
      <w:bookmarkStart w:id="73" w:name="_Toc179632615"/>
      <w:bookmarkStart w:id="74" w:name="_Toc144974564"/>
      <w:bookmarkStart w:id="75" w:name="_Toc152042374"/>
      <w:bookmarkStart w:id="76" w:name="_Toc246996983"/>
      <w:bookmarkStart w:id="77" w:name="_Toc296602485"/>
      <w:bookmarkStart w:id="78" w:name="_Toc247085755"/>
      <w:bookmarkStart w:id="79" w:name="_Toc246996240"/>
      <w:r>
        <w:rPr>
          <w:rFonts w:hint="default" w:ascii="Times New Roman" w:hAnsi="Times New Roman" w:cs="Times New Roman" w:eastAsiaTheme="minorEastAsia"/>
          <w:b/>
          <w:bCs/>
          <w:kern w:val="0"/>
          <w:sz w:val="28"/>
          <w:szCs w:val="28"/>
          <w:highlight w:val="none"/>
        </w:rPr>
        <w:t>3.4 评标结果</w:t>
      </w:r>
      <w:bookmarkEnd w:id="72"/>
      <w:bookmarkEnd w:id="73"/>
      <w:bookmarkEnd w:id="74"/>
      <w:bookmarkEnd w:id="75"/>
      <w:bookmarkEnd w:id="76"/>
      <w:bookmarkEnd w:id="77"/>
      <w:bookmarkEnd w:id="78"/>
      <w:bookmarkEnd w:id="7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3.4.1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前附表授权直接确定中标人外，评标委员会按照得分由高到低的顺序推荐中标候选人</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并标明排序。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3.4.2 评标委员会完成评标后，应当向招标人提交书面评标报告</w:t>
      </w:r>
      <w:r>
        <w:rPr>
          <w:rFonts w:hint="eastAsia" w:ascii="Times New Roman" w:hAnsi="Times New Roman" w:cs="Times New Roman"/>
          <w:kern w:val="0"/>
          <w:sz w:val="24"/>
          <w:szCs w:val="24"/>
          <w:highlight w:val="none"/>
          <w:lang w:val="en-US" w:eastAsia="zh-CN"/>
        </w:rPr>
        <w:t>和中标候选人名单。</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亳州通恒置业有限公司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中标人应于每月初5个工作日内，派专人与招标人核算上月实际服务期限，核实无误后，按实际服务期限，据实结算。</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计算公式：结算价款=中标价×（实际服务期限/30）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处罚措施</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招标人依据招标文件第五章发包人要求“附件：广告公司月度服务评价表”，对中标人进行月度考核。</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如中标人月度考核得分低于70分，则招标人从其当月结算价款中扣除1万元作为罚金。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其他要求</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1.中标人为履行本合同约定而编制的成果文件，其著作权归属于招标人所有。未经招标人书面同意，中标人不得为了本合同以外的目的而复制或者以其他方式使用上述文件或将之提供给任何第三方。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2.合同期间，如遇项目推广周期发生改变，招标人可提前7天书面通知中标人暂停工作，暂停工作的时间不计入合同期限，合同期限相应顺延。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暂停工作期间，招标人不予支付任何费用。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如需重新启动工作，招标人应提前15天通知中标人。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3.合同期间，招标人有单方面解除合同的权利。如需解除合同，招标人应提前15天通知中标人，且不承担任何违约责任。</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b/>
          <w:bCs/>
          <w:kern w:val="0"/>
          <w:sz w:val="24"/>
          <w:szCs w:val="24"/>
          <w:highlight w:val="none"/>
          <w:shd w:val="clear" w:color="auto" w:fill="auto"/>
          <w:vertAlign w:val="baseline"/>
          <w:lang w:val="en-US" w:eastAsia="zh-CN"/>
        </w:rPr>
        <w:t>说明：</w:t>
      </w:r>
      <w:r>
        <w:rPr>
          <w:rFonts w:hint="eastAsia" w:ascii="Times New Roman" w:hAnsi="Times New Roman" w:cs="Times New Roman"/>
          <w:kern w:val="0"/>
          <w:sz w:val="24"/>
          <w:szCs w:val="24"/>
          <w:highlight w:val="none"/>
          <w:shd w:val="clear" w:color="auto" w:fill="auto"/>
          <w:vertAlign w:val="baseline"/>
          <w:lang w:val="en-US" w:eastAsia="zh-CN"/>
        </w:rPr>
        <w:t>具体合同内容及格式</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r>
        <w:rPr>
          <w:rFonts w:hint="eastAsia" w:ascii="Times New Roman" w:hAnsi="Times New Roman" w:cs="Times New Roman"/>
          <w:kern w:val="0"/>
          <w:sz w:val="24"/>
          <w:szCs w:val="24"/>
          <w:highlight w:val="none"/>
          <w:shd w:val="clear" w:color="auto" w:fill="auto"/>
          <w:vertAlign w:val="baseline"/>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发包人要求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bookmarkEnd w:id="16"/>
    <w:bookmarkEnd w:id="17"/>
    <w:bookmarkEnd w:id="18"/>
    <w:bookmarkEnd w:id="19"/>
    <w:bookmarkEnd w:id="20"/>
    <w:bookmarkEnd w:id="21"/>
    <w:bookmarkEnd w:id="22"/>
    <w:bookmarkEnd w:id="23"/>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发包人要求包括但不限于以下内容：</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一、项目概况</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亳州市2021-13地块</w:t>
      </w:r>
      <w:r>
        <w:rPr>
          <w:rFonts w:hint="eastAsia" w:ascii="Times New Roman" w:hAnsi="Times New Roman" w:cs="Times New Roman"/>
          <w:kern w:val="0"/>
          <w:sz w:val="24"/>
          <w:szCs w:val="24"/>
          <w:highlight w:val="none"/>
          <w:lang w:val="en-US" w:eastAsia="zh-CN"/>
        </w:rPr>
        <w:t>建设项目位于利辛路北、华佗大道西、庄周路东，占地面积134680.3平方米，土地用途为商住（商服不大于5%），规划指标要求容积率不大于2.0，建筑密度不大于25%，绿地率不小于35%。</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二、广告策划范围及内容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为招标人提供2021-13地块建设项目的整合传播营销策划思路、阶段性具体操作方案、媒体组合策略、各种传播方式的创意、撰文与设计、本项目有关的品牌宣传等工作，具体工作内容包括但不限于：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1.品牌推广</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提交本项目有关的品牌推广方案，建立品牌识别系统，要求简单独特、持续恒定、联想感知。</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2.营销策划</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（1）销售策略</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提供满足本项目销售节点及销售任务的策略、计划和建议。</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（2）推广策略</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项目案名及演绎，主体定位、推广思路的建议。根据前期项目整体形象、风格的定位与表现，规划项目计划销售年度的相关内容。项目总精神、形象演绎、广告Slogan、项目价值分析及卖点提炼、竞争环境分析、主题的提炼推广策略与活动策略、对广告投放渠道的建议（报纸、杂志、路牌及其他渠道），提供项目宣传推广的总体策划思路及具体广告操作方案，提交本项目整体推广建议书，包括项目核心概念、分阶段推广重点、推广操作方式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（3）广告推广</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提供项目年度创意策划及相关广告设计服务。项目推广中各阶段的媒介策略、各种媒体组合拟定和媒体执行日程、具体发布计划、媒介预算建议、重要平面广告设计、电视（或电台）广告的创意及撰文、节点刷屏海报、按招标人要求提供各种软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（4）项目宣传推广过程中各种宣传品的设计和制作品质监控。</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（5）户外广告选址及设计，包括工地围墙看板、灯箱、横幅、引导旗、高炮等位置的广告设计。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（6）项目各类相关社会公共活动的策划、把关、设计并对活动效果进行分析和总结。主要形成相应的新闻和口碑效应并保持与外界良好的沟通。</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（7）广告策划方须为招标人提供对双方合作有利的第三方资源，如文字记者、摄影记者、房地产研究专纪及外协单位等，负责公关、促销活动的设计建议及具体跟进落实。</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（8）售楼部、样板间通道等室内外展板设计及布展、把关。</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3.设计、制作本项目VI管理手册，并监控制作至成品。围挡、精神堡垒，示范区展示等相关物料。项目VI管理手册中相关内容如销售案场导示系统等制作方案及监控。</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为招标人提供包括但不限于新媒体、抖音、微信等运营服务，除文案撰写及配图外，需对微信公众号进行基础搭建（包括菜单搭建与开发、基础功能维护、基础功能完善等），每月须提供1次抖音和微信小程序技术开发及微信公众号运营数据分析。</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5.其他与本项目营销相关的策划及设计工作。</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三、广告策划人员要求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广告策划方须为招标人成立专门的广告策划小组，人员组织架构应清晰合理。为本项目组建的广告策划小组要求人员稳定，未经招标人同意，广告策划方不得随意更换。若招标人认为小组成员工作不达标或对其服务不满意，有权要求广告策划方在10个工作日内予以调换人员，调换后的人员，须经招标人审核同意，且不得低于被调换人员的资质和业绩。</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四、成果文件要求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主要成果文件交稿形式、工作时限要求如下：</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835"/>
        <w:gridCol w:w="1701"/>
        <w:gridCol w:w="1984"/>
        <w:gridCol w:w="11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eastAsia" w:ascii="Times New Roman" w:hAnsi="Times New Roman" w:cs="Times New Roman" w:eastAsiaTheme="minorEastAsia"/>
                <w:b/>
                <w:bCs/>
                <w:sz w:val="24"/>
                <w:szCs w:val="24"/>
                <w:lang w:val="en-US" w:eastAsia="zh-CN"/>
              </w:rPr>
            </w:pPr>
            <w:r>
              <w:rPr>
                <w:rFonts w:hint="eastAsia" w:ascii="Times New Roman" w:hAnsi="Times New Roman" w:cs="Times New Roman"/>
                <w:b/>
                <w:bCs/>
                <w:sz w:val="24"/>
                <w:szCs w:val="24"/>
                <w:lang w:val="en-US" w:eastAsia="zh-CN"/>
              </w:rPr>
              <w:t>序号</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default" w:ascii="Times New Roman" w:hAnsi="Times New Roman" w:cs="Times New Roman" w:eastAsiaTheme="minorEastAsia"/>
                <w:b/>
                <w:bCs/>
                <w:sz w:val="24"/>
                <w:szCs w:val="24"/>
              </w:rPr>
            </w:pPr>
            <w:r>
              <w:rPr>
                <w:rFonts w:hint="default" w:ascii="Times New Roman" w:hAnsi="Times New Roman" w:cs="Times New Roman" w:eastAsiaTheme="minorEastAsia"/>
                <w:b/>
                <w:bCs/>
                <w:sz w:val="24"/>
                <w:szCs w:val="24"/>
              </w:rPr>
              <w:t>项目</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default" w:ascii="Times New Roman" w:hAnsi="Times New Roman" w:cs="Times New Roman" w:eastAsiaTheme="minorEastAsia"/>
                <w:b/>
                <w:bCs/>
                <w:sz w:val="24"/>
                <w:szCs w:val="24"/>
              </w:rPr>
            </w:pPr>
            <w:r>
              <w:rPr>
                <w:rFonts w:hint="default" w:ascii="Times New Roman" w:hAnsi="Times New Roman" w:cs="Times New Roman" w:eastAsiaTheme="minorEastAsia"/>
                <w:b/>
                <w:bCs/>
                <w:sz w:val="24"/>
                <w:szCs w:val="24"/>
              </w:rPr>
              <w:t>服务内容</w:t>
            </w:r>
          </w:p>
        </w:tc>
        <w:tc>
          <w:tcPr>
            <w:tcW w:w="1984"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default" w:ascii="Times New Roman" w:hAnsi="Times New Roman" w:cs="Times New Roman" w:eastAsiaTheme="minorEastAsia"/>
                <w:b/>
                <w:bCs/>
                <w:sz w:val="24"/>
                <w:szCs w:val="24"/>
                <w:lang w:val="en-US" w:eastAsia="zh-CN"/>
              </w:rPr>
            </w:pPr>
            <w:r>
              <w:rPr>
                <w:rFonts w:hint="default" w:ascii="Times New Roman" w:hAnsi="Times New Roman" w:cs="Times New Roman"/>
                <w:b/>
                <w:bCs/>
                <w:sz w:val="24"/>
                <w:szCs w:val="24"/>
                <w:lang w:val="en-US" w:eastAsia="zh-CN"/>
              </w:rPr>
              <w:t>工作时限</w:t>
            </w:r>
          </w:p>
        </w:tc>
        <w:tc>
          <w:tcPr>
            <w:tcW w:w="1151"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default" w:ascii="Times New Roman" w:hAnsi="Times New Roman" w:cs="Times New Roman" w:eastAsiaTheme="minorEastAsia"/>
                <w:b/>
                <w:bCs/>
                <w:sz w:val="24"/>
                <w:szCs w:val="24"/>
              </w:rPr>
            </w:pPr>
            <w:r>
              <w:rPr>
                <w:rFonts w:hint="default" w:ascii="Times New Roman" w:hAnsi="Times New Roman" w:cs="Times New Roman" w:eastAsiaTheme="minorEastAsia"/>
                <w:b/>
                <w:bCs/>
                <w:sz w:val="24"/>
                <w:szCs w:val="24"/>
              </w:rPr>
              <w:t>最终</w:t>
            </w:r>
          </w:p>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default" w:ascii="Times New Roman" w:hAnsi="Times New Roman" w:cs="Times New Roman" w:eastAsiaTheme="minorEastAsia"/>
                <w:b/>
                <w:bCs/>
                <w:sz w:val="24"/>
                <w:szCs w:val="24"/>
              </w:rPr>
            </w:pPr>
            <w:r>
              <w:rPr>
                <w:rFonts w:hint="default" w:ascii="Times New Roman" w:hAnsi="Times New Roman" w:cs="Times New Roman" w:eastAsiaTheme="minorEastAsia"/>
                <w:b/>
                <w:bCs/>
                <w:sz w:val="24"/>
                <w:szCs w:val="24"/>
              </w:rPr>
              <w:t>交稿</w:t>
            </w:r>
          </w:p>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default" w:ascii="Times New Roman" w:hAnsi="Times New Roman" w:cs="Times New Roman" w:eastAsiaTheme="minorEastAsia"/>
                <w:b/>
                <w:bCs/>
                <w:sz w:val="24"/>
                <w:szCs w:val="24"/>
              </w:rPr>
            </w:pPr>
            <w:r>
              <w:rPr>
                <w:rFonts w:hint="default" w:ascii="Times New Roman" w:hAnsi="Times New Roman" w:cs="Times New Roman" w:eastAsiaTheme="minorEastAsia"/>
                <w:b/>
                <w:bCs/>
                <w:sz w:val="24"/>
                <w:szCs w:val="24"/>
              </w:rPr>
              <w:t>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eastAsia" w:ascii="Times New Roman" w:hAnsi="Times New Roman" w:cs="Times New Roman" w:eastAsiaTheme="minorEastAsia"/>
                <w:sz w:val="24"/>
                <w:szCs w:val="24"/>
                <w:lang w:val="en-US" w:eastAsia="zh-CN"/>
              </w:rPr>
            </w:pPr>
            <w:r>
              <w:rPr>
                <w:rFonts w:hint="eastAsia" w:ascii="Times New Roman" w:hAnsi="Times New Roman" w:cs="Times New Roman"/>
                <w:sz w:val="24"/>
                <w:szCs w:val="24"/>
                <w:lang w:val="en-US" w:eastAsia="zh-CN"/>
              </w:rPr>
              <w:t>1</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专项策划提案、</w:t>
            </w:r>
          </w:p>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阶段策略提报类</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策划、创意</w:t>
            </w:r>
          </w:p>
        </w:tc>
        <w:tc>
          <w:tcPr>
            <w:tcW w:w="1984"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eastAsia"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rPr>
              <w:t>8-15个工作日</w:t>
            </w:r>
          </w:p>
        </w:tc>
        <w:tc>
          <w:tcPr>
            <w:tcW w:w="1151"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文本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eastAsia" w:ascii="Times New Roman" w:hAnsi="Times New Roman" w:cs="Times New Roman" w:eastAsiaTheme="minorEastAsia"/>
                <w:sz w:val="24"/>
                <w:szCs w:val="24"/>
                <w:lang w:val="en-US" w:eastAsia="zh-CN"/>
              </w:rPr>
            </w:pPr>
            <w:r>
              <w:rPr>
                <w:rFonts w:hint="eastAsia" w:ascii="Times New Roman" w:hAnsi="Times New Roman" w:cs="Times New Roman"/>
                <w:sz w:val="24"/>
                <w:szCs w:val="24"/>
                <w:lang w:val="en-US" w:eastAsia="zh-CN"/>
              </w:rPr>
              <w:t>2</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报刊软性文字、网络、</w:t>
            </w:r>
          </w:p>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微信等软文、广告类</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撰写文案</w:t>
            </w:r>
          </w:p>
        </w:tc>
        <w:tc>
          <w:tcPr>
            <w:tcW w:w="1984"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eastAsia" w:ascii="Times New Roman" w:hAnsi="Times New Roman" w:cs="Times New Roman"/>
                <w:sz w:val="24"/>
                <w:szCs w:val="24"/>
                <w:lang w:val="en-US" w:eastAsia="zh-CN"/>
              </w:rPr>
            </w:pPr>
            <w:r>
              <w:rPr>
                <w:rFonts w:hint="default" w:ascii="Times New Roman" w:hAnsi="Times New Roman" w:cs="Times New Roman" w:eastAsiaTheme="minorEastAsia"/>
                <w:sz w:val="24"/>
                <w:szCs w:val="24"/>
              </w:rPr>
              <w:t>3000字以内</w:t>
            </w:r>
            <w:r>
              <w:rPr>
                <w:rFonts w:hint="eastAsia" w:ascii="Times New Roman" w:hAnsi="Times New Roman" w:cs="Times New Roman"/>
                <w:sz w:val="24"/>
                <w:szCs w:val="24"/>
                <w:lang w:val="en-US" w:eastAsia="zh-CN"/>
              </w:rPr>
              <w:t>的，</w:t>
            </w:r>
          </w:p>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eastAsia" w:ascii="Times New Roman" w:hAnsi="Times New Roman" w:cs="Times New Roman"/>
                <w:sz w:val="24"/>
                <w:szCs w:val="24"/>
                <w:lang w:eastAsia="zh-CN"/>
              </w:rPr>
            </w:pPr>
            <w:r>
              <w:rPr>
                <w:rFonts w:hint="default" w:ascii="Times New Roman" w:hAnsi="Times New Roman" w:cs="Times New Roman" w:eastAsiaTheme="minorEastAsia"/>
                <w:sz w:val="24"/>
                <w:szCs w:val="24"/>
              </w:rPr>
              <w:t>2-3个工作日</w:t>
            </w:r>
            <w:r>
              <w:rPr>
                <w:rFonts w:hint="eastAsia" w:ascii="Times New Roman" w:hAnsi="Times New Roman" w:cs="Times New Roman"/>
                <w:sz w:val="24"/>
                <w:szCs w:val="24"/>
                <w:lang w:eastAsia="zh-CN"/>
              </w:rPr>
              <w:t>；</w:t>
            </w:r>
          </w:p>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eastAsia" w:ascii="Times New Roman" w:hAnsi="Times New Roman" w:cs="Times New Roman"/>
                <w:sz w:val="24"/>
                <w:szCs w:val="24"/>
                <w:lang w:val="en-US" w:eastAsia="zh-CN"/>
              </w:rPr>
            </w:pPr>
            <w:r>
              <w:rPr>
                <w:rFonts w:hint="default" w:ascii="Times New Roman" w:hAnsi="Times New Roman" w:cs="Times New Roman" w:eastAsiaTheme="minorEastAsia"/>
                <w:sz w:val="24"/>
                <w:szCs w:val="24"/>
              </w:rPr>
              <w:t>3000字以上</w:t>
            </w:r>
            <w:r>
              <w:rPr>
                <w:rFonts w:hint="eastAsia" w:ascii="Times New Roman" w:hAnsi="Times New Roman" w:cs="Times New Roman"/>
                <w:sz w:val="24"/>
                <w:szCs w:val="24"/>
                <w:lang w:val="en-US" w:eastAsia="zh-CN"/>
              </w:rPr>
              <w:t>的，</w:t>
            </w:r>
          </w:p>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eastAsia" w:ascii="Times New Roman" w:hAnsi="Times New Roman" w:cs="Times New Roman" w:eastAsiaTheme="minorEastAsia"/>
                <w:sz w:val="24"/>
                <w:szCs w:val="24"/>
                <w:lang w:eastAsia="zh-CN"/>
              </w:rPr>
            </w:pPr>
            <w:r>
              <w:rPr>
                <w:rFonts w:hint="default" w:ascii="Times New Roman" w:hAnsi="Times New Roman" w:cs="Times New Roman" w:eastAsiaTheme="minorEastAsia"/>
                <w:sz w:val="24"/>
                <w:szCs w:val="24"/>
              </w:rPr>
              <w:t>3-5个工作日</w:t>
            </w:r>
            <w:r>
              <w:rPr>
                <w:rFonts w:hint="eastAsia" w:ascii="Times New Roman" w:hAnsi="Times New Roman" w:cs="Times New Roman"/>
                <w:sz w:val="24"/>
                <w:szCs w:val="24"/>
                <w:lang w:eastAsia="zh-CN"/>
              </w:rPr>
              <w:t>。</w:t>
            </w:r>
          </w:p>
        </w:tc>
        <w:tc>
          <w:tcPr>
            <w:tcW w:w="1151"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文本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eastAsia" w:ascii="Times New Roman" w:hAnsi="Times New Roman" w:cs="Times New Roman" w:eastAsiaTheme="minorEastAsia"/>
                <w:sz w:val="24"/>
                <w:szCs w:val="24"/>
                <w:lang w:val="en-US" w:eastAsia="zh-CN"/>
              </w:rPr>
            </w:pPr>
            <w:r>
              <w:rPr>
                <w:rFonts w:hint="eastAsia" w:ascii="Times New Roman" w:hAnsi="Times New Roman" w:cs="Times New Roman"/>
                <w:sz w:val="24"/>
                <w:szCs w:val="24"/>
                <w:lang w:val="en-US" w:eastAsia="zh-CN"/>
              </w:rPr>
              <w:t>3</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与产品相关配套的包装类</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创意、平面设计</w:t>
            </w:r>
          </w:p>
        </w:tc>
        <w:tc>
          <w:tcPr>
            <w:tcW w:w="1984"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3-5个工作日</w:t>
            </w:r>
          </w:p>
        </w:tc>
        <w:tc>
          <w:tcPr>
            <w:tcW w:w="1151"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电子稿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eastAsia" w:ascii="Times New Roman" w:hAnsi="Times New Roman" w:cs="Times New Roman" w:eastAsiaTheme="minorEastAsia"/>
                <w:sz w:val="24"/>
                <w:szCs w:val="24"/>
                <w:lang w:val="en-US" w:eastAsia="zh-CN"/>
              </w:rPr>
            </w:pPr>
            <w:r>
              <w:rPr>
                <w:rFonts w:hint="eastAsia" w:ascii="Times New Roman" w:hAnsi="Times New Roman" w:cs="Times New Roman"/>
                <w:sz w:val="24"/>
                <w:szCs w:val="24"/>
                <w:lang w:val="en-US" w:eastAsia="zh-CN"/>
              </w:rPr>
              <w:t>4</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影视、广播广告</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创意、撰写文案</w:t>
            </w:r>
          </w:p>
        </w:tc>
        <w:tc>
          <w:tcPr>
            <w:tcW w:w="1984"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eastAsia"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rPr>
              <w:t>7个工作日</w:t>
            </w:r>
            <w:r>
              <w:rPr>
                <w:rFonts w:hint="eastAsia" w:ascii="Times New Roman" w:hAnsi="Times New Roman" w:cs="Times New Roman"/>
                <w:sz w:val="24"/>
                <w:szCs w:val="24"/>
                <w:lang w:val="en-US" w:eastAsia="zh-CN"/>
              </w:rPr>
              <w:t>内</w:t>
            </w:r>
          </w:p>
        </w:tc>
        <w:tc>
          <w:tcPr>
            <w:tcW w:w="1151"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文本及</w:t>
            </w:r>
          </w:p>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故事版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eastAsia" w:ascii="Times New Roman" w:hAnsi="Times New Roman" w:cs="Times New Roman" w:eastAsiaTheme="minorEastAsia"/>
                <w:sz w:val="24"/>
                <w:szCs w:val="24"/>
                <w:lang w:val="en-US" w:eastAsia="zh-CN"/>
              </w:rPr>
            </w:pPr>
            <w:r>
              <w:rPr>
                <w:rFonts w:hint="eastAsia" w:ascii="Times New Roman" w:hAnsi="Times New Roman" w:cs="Times New Roman"/>
                <w:sz w:val="24"/>
                <w:szCs w:val="24"/>
                <w:lang w:val="en-US" w:eastAsia="zh-CN"/>
              </w:rPr>
              <w:t>5</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楼书、宣传品类</w:t>
            </w:r>
          </w:p>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单张、折页、海报</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文案撰写</w:t>
            </w:r>
            <w:r>
              <w:rPr>
                <w:rFonts w:hint="eastAsia" w:ascii="Times New Roman" w:hAnsi="Times New Roman" w:cs="Times New Roman"/>
                <w:sz w:val="24"/>
                <w:szCs w:val="24"/>
                <w:lang w:eastAsia="zh-CN"/>
              </w:rPr>
              <w:t>、</w:t>
            </w:r>
            <w:r>
              <w:rPr>
                <w:rFonts w:hint="default" w:ascii="Times New Roman" w:hAnsi="Times New Roman" w:cs="Times New Roman" w:eastAsiaTheme="minorEastAsia"/>
                <w:sz w:val="24"/>
                <w:szCs w:val="24"/>
              </w:rPr>
              <w:t>平面设计</w:t>
            </w:r>
          </w:p>
        </w:tc>
        <w:tc>
          <w:tcPr>
            <w:tcW w:w="1984"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eastAsia" w:ascii="Times New Roman" w:hAnsi="Times New Roman" w:cs="Times New Roman"/>
                <w:sz w:val="24"/>
                <w:szCs w:val="24"/>
                <w:lang w:eastAsia="zh-CN"/>
              </w:rPr>
            </w:pPr>
            <w:r>
              <w:rPr>
                <w:rFonts w:hint="default" w:ascii="Times New Roman" w:hAnsi="Times New Roman" w:cs="Times New Roman" w:eastAsiaTheme="minorEastAsia"/>
                <w:sz w:val="24"/>
                <w:szCs w:val="24"/>
              </w:rPr>
              <w:t>2-8个工作日</w:t>
            </w:r>
            <w:r>
              <w:rPr>
                <w:rFonts w:hint="eastAsia" w:ascii="Times New Roman" w:hAnsi="Times New Roman" w:cs="Times New Roman"/>
                <w:sz w:val="24"/>
                <w:szCs w:val="24"/>
                <w:lang w:eastAsia="zh-CN"/>
              </w:rPr>
              <w:t>；</w:t>
            </w:r>
          </w:p>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default" w:ascii="Times New Roman" w:hAnsi="Times New Roman" w:cs="Times New Roman" w:eastAsiaTheme="minorEastAsia"/>
                <w:sz w:val="24"/>
                <w:szCs w:val="24"/>
                <w:lang w:val="en-US" w:eastAsia="zh-CN"/>
              </w:rPr>
            </w:pPr>
            <w:r>
              <w:rPr>
                <w:rFonts w:hint="eastAsia" w:ascii="Times New Roman" w:hAnsi="Times New Roman" w:cs="Times New Roman"/>
                <w:sz w:val="24"/>
                <w:szCs w:val="24"/>
                <w:lang w:val="en-US" w:eastAsia="zh-CN"/>
              </w:rPr>
              <w:t>如</w:t>
            </w:r>
            <w:r>
              <w:rPr>
                <w:rFonts w:hint="default" w:ascii="Times New Roman" w:hAnsi="Times New Roman" w:cs="Times New Roman" w:eastAsiaTheme="minorEastAsia"/>
                <w:sz w:val="24"/>
                <w:szCs w:val="24"/>
              </w:rPr>
              <w:t>内容较多，双方另行约定</w:t>
            </w:r>
            <w:r>
              <w:rPr>
                <w:rFonts w:hint="eastAsia" w:ascii="Times New Roman" w:hAnsi="Times New Roman" w:cs="Times New Roman"/>
                <w:sz w:val="24"/>
                <w:szCs w:val="24"/>
                <w:lang w:val="en-US" w:eastAsia="zh-CN"/>
              </w:rPr>
              <w:t>时限。</w:t>
            </w:r>
          </w:p>
        </w:tc>
        <w:tc>
          <w:tcPr>
            <w:tcW w:w="1151"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电子稿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eastAsia" w:ascii="Times New Roman" w:hAnsi="Times New Roman" w:cs="Times New Roman" w:eastAsiaTheme="minorEastAsia"/>
                <w:sz w:val="24"/>
                <w:szCs w:val="24"/>
                <w:lang w:val="en-US" w:eastAsia="zh-CN"/>
              </w:rPr>
            </w:pPr>
            <w:r>
              <w:rPr>
                <w:rFonts w:hint="eastAsia" w:ascii="Times New Roman" w:hAnsi="Times New Roman" w:cs="Times New Roman"/>
                <w:sz w:val="24"/>
                <w:szCs w:val="24"/>
                <w:lang w:val="en-US" w:eastAsia="zh-CN"/>
              </w:rPr>
              <w:t>6</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户外广告或围墙</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创意、文案撰写、平面设计</w:t>
            </w:r>
          </w:p>
        </w:tc>
        <w:tc>
          <w:tcPr>
            <w:tcW w:w="1984"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eastAsia"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rPr>
              <w:t>3个工作日</w:t>
            </w:r>
            <w:r>
              <w:rPr>
                <w:rFonts w:hint="eastAsia" w:ascii="Times New Roman" w:hAnsi="Times New Roman" w:cs="Times New Roman"/>
                <w:sz w:val="24"/>
                <w:szCs w:val="24"/>
                <w:lang w:val="en-US" w:eastAsia="zh-CN"/>
              </w:rPr>
              <w:t>内</w:t>
            </w:r>
          </w:p>
        </w:tc>
        <w:tc>
          <w:tcPr>
            <w:tcW w:w="1151"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电子稿</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五、其他要求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项目重要节点期间，包括但不限于品牌发布会、产品发布会、展示区开放、项目开盘、开盘后持续推广策略等，广告策划方不得以假期为由推迟相应的工作内容，广告策划小组应照常推进工作安排。如需广告策划方驻场的，招标人另行通知。</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项目日常工作期间，广告策划方须安排假期值班人员，以备配合临时工作等事项。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附件：广告公司月度服务评价表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p>
    <w:p>
      <w:pPr>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default" w:ascii="Times New Roman" w:hAnsi="Times New Roman" w:cs="Times New Roman"/>
          <w:b/>
          <w:bCs/>
          <w:i w:val="0"/>
          <w:iCs w:val="0"/>
          <w:kern w:val="0"/>
          <w:sz w:val="24"/>
          <w:szCs w:val="24"/>
          <w:highlight w:val="none"/>
          <w:lang w:val="en-US" w:eastAsia="zh-CN"/>
        </w:rPr>
      </w:pPr>
      <w:r>
        <w:rPr>
          <w:rFonts w:hint="eastAsia" w:ascii="Times New Roman" w:hAnsi="Times New Roman" w:cs="Times New Roman"/>
          <w:b/>
          <w:bCs/>
          <w:i w:val="0"/>
          <w:iCs w:val="0"/>
          <w:kern w:val="0"/>
          <w:sz w:val="24"/>
          <w:szCs w:val="24"/>
          <w:highlight w:val="none"/>
          <w:lang w:val="en-US" w:eastAsia="zh-CN"/>
        </w:rPr>
        <w:t>附件</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bCs/>
          <w:i w:val="0"/>
          <w:iCs w:val="0"/>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bCs/>
          <w:i w:val="0"/>
          <w:iCs w:val="0"/>
          <w:kern w:val="0"/>
          <w:sz w:val="24"/>
          <w:szCs w:val="24"/>
          <w:highlight w:val="none"/>
          <w:lang w:val="en-US" w:eastAsia="zh-CN"/>
        </w:rPr>
      </w:pPr>
      <w:r>
        <w:rPr>
          <w:rFonts w:hint="eastAsia" w:ascii="Times New Roman" w:hAnsi="Times New Roman" w:cs="Times New Roman"/>
          <w:b/>
          <w:bCs/>
          <w:i w:val="0"/>
          <w:iCs w:val="0"/>
          <w:kern w:val="0"/>
          <w:sz w:val="24"/>
          <w:szCs w:val="24"/>
          <w:highlight w:val="none"/>
          <w:lang w:val="en-US" w:eastAsia="zh-CN"/>
        </w:rPr>
        <w:t>广告公司月度服务评价表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p>
    <w:tbl>
      <w:tblPr>
        <w:tblStyle w:val="16"/>
        <w:tblW w:w="4999" w:type="pct"/>
        <w:jc w:val="center"/>
        <w:tblLayout w:type="autofit"/>
        <w:tblCellMar>
          <w:top w:w="0" w:type="dxa"/>
          <w:left w:w="108" w:type="dxa"/>
          <w:bottom w:w="0" w:type="dxa"/>
          <w:right w:w="108" w:type="dxa"/>
        </w:tblCellMar>
      </w:tblPr>
      <w:tblGrid>
        <w:gridCol w:w="1402"/>
        <w:gridCol w:w="3695"/>
        <w:gridCol w:w="1761"/>
        <w:gridCol w:w="830"/>
        <w:gridCol w:w="832"/>
      </w:tblGrid>
      <w:tr>
        <w:tblPrEx>
          <w:tblCellMar>
            <w:top w:w="0" w:type="dxa"/>
            <w:left w:w="108" w:type="dxa"/>
            <w:bottom w:w="0" w:type="dxa"/>
            <w:right w:w="108" w:type="dxa"/>
          </w:tblCellMar>
        </w:tblPrEx>
        <w:trPr>
          <w:trHeight w:val="567" w:hRule="atLeast"/>
          <w:jc w:val="center"/>
        </w:trPr>
        <w:tc>
          <w:tcPr>
            <w:tcW w:w="2991"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r>
              <w:rPr>
                <w:rFonts w:hint="default" w:ascii="Times New Roman" w:hAnsi="Times New Roman" w:cs="Times New Roman" w:eastAsiaTheme="minorEastAsia"/>
                <w:b w:val="0"/>
                <w:bCs/>
                <w:kern w:val="0"/>
                <w:sz w:val="24"/>
                <w:szCs w:val="24"/>
              </w:rPr>
              <w:t>广告公司名称</w:t>
            </w:r>
          </w:p>
        </w:tc>
        <w:tc>
          <w:tcPr>
            <w:tcW w:w="2008" w:type="pct"/>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r>
      <w:tr>
        <w:tblPrEx>
          <w:tblCellMar>
            <w:top w:w="0" w:type="dxa"/>
            <w:left w:w="108" w:type="dxa"/>
            <w:bottom w:w="0" w:type="dxa"/>
            <w:right w:w="108" w:type="dxa"/>
          </w:tblCellMar>
        </w:tblPrEx>
        <w:trPr>
          <w:trHeight w:val="567" w:hRule="atLeast"/>
          <w:jc w:val="center"/>
        </w:trPr>
        <w:tc>
          <w:tcPr>
            <w:tcW w:w="2991" w:type="pct"/>
            <w:gridSpan w:val="2"/>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r>
              <w:rPr>
                <w:rFonts w:hint="default" w:ascii="Times New Roman" w:hAnsi="Times New Roman" w:cs="Times New Roman" w:eastAsiaTheme="minorEastAsia"/>
                <w:b w:val="0"/>
                <w:bCs/>
                <w:kern w:val="0"/>
                <w:sz w:val="24"/>
                <w:szCs w:val="24"/>
              </w:rPr>
              <w:t>评分项目</w:t>
            </w:r>
          </w:p>
        </w:tc>
        <w:tc>
          <w:tcPr>
            <w:tcW w:w="1033" w:type="pct"/>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r>
              <w:rPr>
                <w:rFonts w:hint="default" w:ascii="Times New Roman" w:hAnsi="Times New Roman" w:cs="Times New Roman" w:eastAsiaTheme="minorEastAsia"/>
                <w:b w:val="0"/>
                <w:bCs/>
                <w:kern w:val="0"/>
                <w:sz w:val="24"/>
                <w:szCs w:val="24"/>
              </w:rPr>
              <w:t>评分标准</w:t>
            </w:r>
          </w:p>
        </w:tc>
        <w:tc>
          <w:tcPr>
            <w:tcW w:w="975"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r>
              <w:rPr>
                <w:rFonts w:hint="default" w:ascii="Times New Roman" w:hAnsi="Times New Roman" w:cs="Times New Roman" w:eastAsiaTheme="minorEastAsia"/>
                <w:b w:val="0"/>
                <w:bCs/>
                <w:kern w:val="0"/>
                <w:sz w:val="24"/>
                <w:szCs w:val="24"/>
              </w:rPr>
              <w:t>评分</w:t>
            </w:r>
          </w:p>
        </w:tc>
      </w:tr>
      <w:tr>
        <w:tblPrEx>
          <w:tblCellMar>
            <w:top w:w="0" w:type="dxa"/>
            <w:left w:w="108" w:type="dxa"/>
            <w:bottom w:w="0" w:type="dxa"/>
            <w:right w:w="108" w:type="dxa"/>
          </w:tblCellMar>
        </w:tblPrEx>
        <w:trPr>
          <w:trHeight w:val="567" w:hRule="atLeast"/>
          <w:jc w:val="center"/>
        </w:trPr>
        <w:tc>
          <w:tcPr>
            <w:tcW w:w="2991" w:type="pct"/>
            <w:gridSpan w:val="2"/>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default" w:ascii="Times New Roman" w:hAnsi="Times New Roman" w:cs="Times New Roman" w:eastAsiaTheme="minorEastAsia"/>
                <w:b w:val="0"/>
                <w:bCs/>
                <w:kern w:val="0"/>
                <w:sz w:val="24"/>
                <w:szCs w:val="24"/>
              </w:rPr>
            </w:pPr>
          </w:p>
        </w:tc>
        <w:tc>
          <w:tcPr>
            <w:tcW w:w="1033" w:type="pct"/>
            <w:vMerge w:val="continue"/>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c>
          <w:tcPr>
            <w:tcW w:w="48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r>
              <w:rPr>
                <w:rFonts w:hint="default" w:ascii="Times New Roman" w:hAnsi="Times New Roman" w:cs="Times New Roman" w:eastAsiaTheme="minorEastAsia"/>
                <w:b w:val="0"/>
                <w:bCs/>
                <w:kern w:val="0"/>
                <w:sz w:val="24"/>
                <w:szCs w:val="24"/>
              </w:rPr>
              <w:t>策划</w:t>
            </w:r>
          </w:p>
        </w:tc>
        <w:tc>
          <w:tcPr>
            <w:tcW w:w="48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r>
              <w:rPr>
                <w:rFonts w:hint="default" w:ascii="Times New Roman" w:hAnsi="Times New Roman" w:cs="Times New Roman" w:eastAsiaTheme="minorEastAsia"/>
                <w:b w:val="0"/>
                <w:bCs/>
                <w:kern w:val="0"/>
                <w:sz w:val="24"/>
                <w:szCs w:val="24"/>
              </w:rPr>
              <w:t>营销</w:t>
            </w:r>
          </w:p>
        </w:tc>
      </w:tr>
      <w:tr>
        <w:tblPrEx>
          <w:tblCellMar>
            <w:top w:w="0" w:type="dxa"/>
            <w:left w:w="108" w:type="dxa"/>
            <w:bottom w:w="0" w:type="dxa"/>
            <w:right w:w="108" w:type="dxa"/>
          </w:tblCellMar>
        </w:tblPrEx>
        <w:trPr>
          <w:trHeight w:val="567" w:hRule="atLeast"/>
          <w:jc w:val="center"/>
        </w:trPr>
        <w:tc>
          <w:tcPr>
            <w:tcW w:w="823" w:type="pct"/>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r>
              <w:rPr>
                <w:rFonts w:hint="default" w:ascii="Times New Roman" w:hAnsi="Times New Roman" w:cs="Times New Roman" w:eastAsiaTheme="minorEastAsia"/>
                <w:b w:val="0"/>
                <w:bCs/>
                <w:kern w:val="0"/>
                <w:sz w:val="24"/>
                <w:szCs w:val="24"/>
              </w:rPr>
              <w:t>专业能力</w:t>
            </w:r>
          </w:p>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c>
          <w:tcPr>
            <w:tcW w:w="216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r>
              <w:rPr>
                <w:rFonts w:hint="default" w:ascii="Times New Roman" w:hAnsi="Times New Roman" w:cs="Times New Roman" w:eastAsiaTheme="minorEastAsia"/>
                <w:b w:val="0"/>
                <w:bCs/>
                <w:kern w:val="0"/>
                <w:sz w:val="24"/>
                <w:szCs w:val="24"/>
              </w:rPr>
              <w:t>基本策略</w:t>
            </w:r>
          </w:p>
        </w:tc>
        <w:tc>
          <w:tcPr>
            <w:tcW w:w="1033" w:type="pct"/>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r>
              <w:rPr>
                <w:rFonts w:hint="default" w:ascii="Times New Roman" w:hAnsi="Times New Roman" w:cs="Times New Roman" w:eastAsiaTheme="minorEastAsia"/>
                <w:b w:val="0"/>
                <w:bCs/>
                <w:kern w:val="0"/>
                <w:sz w:val="24"/>
                <w:szCs w:val="24"/>
              </w:rPr>
              <w:t>满意</w:t>
            </w:r>
          </w:p>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r>
              <w:rPr>
                <w:rFonts w:hint="default" w:ascii="Times New Roman" w:hAnsi="Times New Roman" w:cs="Times New Roman" w:eastAsiaTheme="minorEastAsia"/>
                <w:b w:val="0"/>
                <w:bCs/>
                <w:kern w:val="0"/>
                <w:sz w:val="24"/>
                <w:szCs w:val="24"/>
              </w:rPr>
              <w:t>（10-8分）</w:t>
            </w:r>
          </w:p>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r>
              <w:rPr>
                <w:rFonts w:hint="default" w:ascii="Times New Roman" w:hAnsi="Times New Roman" w:cs="Times New Roman" w:eastAsiaTheme="minorEastAsia"/>
                <w:b w:val="0"/>
                <w:bCs/>
                <w:kern w:val="0"/>
                <w:sz w:val="24"/>
                <w:szCs w:val="24"/>
              </w:rPr>
              <w:t>一般</w:t>
            </w:r>
          </w:p>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r>
              <w:rPr>
                <w:rFonts w:hint="default" w:ascii="Times New Roman" w:hAnsi="Times New Roman" w:cs="Times New Roman" w:eastAsiaTheme="minorEastAsia"/>
                <w:b w:val="0"/>
                <w:bCs/>
                <w:kern w:val="0"/>
                <w:sz w:val="24"/>
                <w:szCs w:val="24"/>
              </w:rPr>
              <w:t>（7-5分）</w:t>
            </w:r>
          </w:p>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r>
              <w:rPr>
                <w:rFonts w:hint="default" w:ascii="Times New Roman" w:hAnsi="Times New Roman" w:cs="Times New Roman" w:eastAsiaTheme="minorEastAsia"/>
                <w:b w:val="0"/>
                <w:bCs/>
                <w:kern w:val="0"/>
                <w:sz w:val="24"/>
                <w:szCs w:val="24"/>
              </w:rPr>
              <w:t>不满意</w:t>
            </w:r>
          </w:p>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r>
              <w:rPr>
                <w:rFonts w:hint="default" w:ascii="Times New Roman" w:hAnsi="Times New Roman" w:cs="Times New Roman" w:eastAsiaTheme="minorEastAsia"/>
                <w:b w:val="0"/>
                <w:bCs/>
                <w:kern w:val="0"/>
                <w:sz w:val="24"/>
                <w:szCs w:val="24"/>
              </w:rPr>
              <w:t>（4-0分）</w:t>
            </w:r>
          </w:p>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c>
          <w:tcPr>
            <w:tcW w:w="48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c>
          <w:tcPr>
            <w:tcW w:w="48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r>
      <w:tr>
        <w:tblPrEx>
          <w:tblCellMar>
            <w:top w:w="0" w:type="dxa"/>
            <w:left w:w="108" w:type="dxa"/>
            <w:bottom w:w="0" w:type="dxa"/>
            <w:right w:w="108" w:type="dxa"/>
          </w:tblCellMar>
        </w:tblPrEx>
        <w:trPr>
          <w:trHeight w:val="567" w:hRule="atLeast"/>
          <w:jc w:val="center"/>
        </w:trPr>
        <w:tc>
          <w:tcPr>
            <w:tcW w:w="823"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c>
          <w:tcPr>
            <w:tcW w:w="216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r>
              <w:rPr>
                <w:rFonts w:hint="default" w:ascii="Times New Roman" w:hAnsi="Times New Roman" w:cs="Times New Roman" w:eastAsiaTheme="minorEastAsia"/>
                <w:b w:val="0"/>
                <w:bCs/>
                <w:kern w:val="0"/>
                <w:sz w:val="24"/>
                <w:szCs w:val="24"/>
              </w:rPr>
              <w:t>核心诉求</w:t>
            </w:r>
          </w:p>
        </w:tc>
        <w:tc>
          <w:tcPr>
            <w:tcW w:w="1033"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c>
          <w:tcPr>
            <w:tcW w:w="48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c>
          <w:tcPr>
            <w:tcW w:w="48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r>
      <w:tr>
        <w:tblPrEx>
          <w:tblCellMar>
            <w:top w:w="0" w:type="dxa"/>
            <w:left w:w="108" w:type="dxa"/>
            <w:bottom w:w="0" w:type="dxa"/>
            <w:right w:w="108" w:type="dxa"/>
          </w:tblCellMar>
        </w:tblPrEx>
        <w:trPr>
          <w:trHeight w:val="567" w:hRule="atLeast"/>
          <w:jc w:val="center"/>
        </w:trPr>
        <w:tc>
          <w:tcPr>
            <w:tcW w:w="823"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c>
          <w:tcPr>
            <w:tcW w:w="216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r>
              <w:rPr>
                <w:rFonts w:hint="default" w:ascii="Times New Roman" w:hAnsi="Times New Roman" w:cs="Times New Roman" w:eastAsiaTheme="minorEastAsia"/>
                <w:b w:val="0"/>
                <w:bCs/>
                <w:kern w:val="0"/>
                <w:sz w:val="24"/>
                <w:szCs w:val="24"/>
              </w:rPr>
              <w:t>平面设计</w:t>
            </w:r>
          </w:p>
        </w:tc>
        <w:tc>
          <w:tcPr>
            <w:tcW w:w="1033"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c>
          <w:tcPr>
            <w:tcW w:w="48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c>
          <w:tcPr>
            <w:tcW w:w="48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r>
      <w:tr>
        <w:tblPrEx>
          <w:tblCellMar>
            <w:top w:w="0" w:type="dxa"/>
            <w:left w:w="108" w:type="dxa"/>
            <w:bottom w:w="0" w:type="dxa"/>
            <w:right w:w="108" w:type="dxa"/>
          </w:tblCellMar>
        </w:tblPrEx>
        <w:trPr>
          <w:trHeight w:val="567" w:hRule="atLeast"/>
          <w:jc w:val="center"/>
        </w:trPr>
        <w:tc>
          <w:tcPr>
            <w:tcW w:w="823"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c>
          <w:tcPr>
            <w:tcW w:w="216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r>
              <w:rPr>
                <w:rFonts w:hint="default" w:ascii="Times New Roman" w:hAnsi="Times New Roman" w:cs="Times New Roman" w:eastAsiaTheme="minorEastAsia"/>
                <w:b w:val="0"/>
                <w:bCs/>
                <w:kern w:val="0"/>
                <w:sz w:val="24"/>
                <w:szCs w:val="24"/>
              </w:rPr>
              <w:t>文案创作</w:t>
            </w:r>
          </w:p>
        </w:tc>
        <w:tc>
          <w:tcPr>
            <w:tcW w:w="1033"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c>
          <w:tcPr>
            <w:tcW w:w="48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c>
          <w:tcPr>
            <w:tcW w:w="48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r>
      <w:tr>
        <w:tblPrEx>
          <w:tblCellMar>
            <w:top w:w="0" w:type="dxa"/>
            <w:left w:w="108" w:type="dxa"/>
            <w:bottom w:w="0" w:type="dxa"/>
            <w:right w:w="108" w:type="dxa"/>
          </w:tblCellMar>
        </w:tblPrEx>
        <w:trPr>
          <w:trHeight w:val="567" w:hRule="atLeast"/>
          <w:jc w:val="center"/>
        </w:trPr>
        <w:tc>
          <w:tcPr>
            <w:tcW w:w="823"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c>
          <w:tcPr>
            <w:tcW w:w="216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r>
              <w:rPr>
                <w:rFonts w:hint="default" w:ascii="Times New Roman" w:hAnsi="Times New Roman" w:cs="Times New Roman" w:eastAsiaTheme="minorEastAsia"/>
                <w:b w:val="0"/>
                <w:bCs/>
                <w:kern w:val="0"/>
                <w:sz w:val="24"/>
                <w:szCs w:val="24"/>
              </w:rPr>
              <w:t>活动策划</w:t>
            </w:r>
          </w:p>
        </w:tc>
        <w:tc>
          <w:tcPr>
            <w:tcW w:w="1033"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c>
          <w:tcPr>
            <w:tcW w:w="48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c>
          <w:tcPr>
            <w:tcW w:w="48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r>
      <w:tr>
        <w:tblPrEx>
          <w:tblCellMar>
            <w:top w:w="0" w:type="dxa"/>
            <w:left w:w="108" w:type="dxa"/>
            <w:bottom w:w="0" w:type="dxa"/>
            <w:right w:w="108" w:type="dxa"/>
          </w:tblCellMar>
        </w:tblPrEx>
        <w:trPr>
          <w:trHeight w:val="567" w:hRule="atLeast"/>
          <w:jc w:val="center"/>
        </w:trPr>
        <w:tc>
          <w:tcPr>
            <w:tcW w:w="823"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c>
          <w:tcPr>
            <w:tcW w:w="216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r>
              <w:rPr>
                <w:rFonts w:hint="default" w:ascii="Times New Roman" w:hAnsi="Times New Roman" w:cs="Times New Roman" w:eastAsiaTheme="minorEastAsia"/>
                <w:b w:val="0"/>
                <w:bCs/>
                <w:kern w:val="0"/>
                <w:sz w:val="24"/>
                <w:szCs w:val="24"/>
              </w:rPr>
              <w:t>制作监督</w:t>
            </w:r>
          </w:p>
        </w:tc>
        <w:tc>
          <w:tcPr>
            <w:tcW w:w="1033"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c>
          <w:tcPr>
            <w:tcW w:w="48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c>
          <w:tcPr>
            <w:tcW w:w="48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r>
      <w:tr>
        <w:tblPrEx>
          <w:tblCellMar>
            <w:top w:w="0" w:type="dxa"/>
            <w:left w:w="108" w:type="dxa"/>
            <w:bottom w:w="0" w:type="dxa"/>
            <w:right w:w="108" w:type="dxa"/>
          </w:tblCellMar>
        </w:tblPrEx>
        <w:trPr>
          <w:trHeight w:val="567" w:hRule="atLeast"/>
          <w:jc w:val="center"/>
        </w:trPr>
        <w:tc>
          <w:tcPr>
            <w:tcW w:w="823"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c>
          <w:tcPr>
            <w:tcW w:w="216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lang w:val="en-US" w:eastAsia="zh-CN"/>
              </w:rPr>
            </w:pPr>
            <w:r>
              <w:rPr>
                <w:rFonts w:hint="eastAsia" w:ascii="Times New Roman" w:hAnsi="Times New Roman" w:cs="Times New Roman"/>
                <w:b w:val="0"/>
                <w:bCs/>
                <w:kern w:val="0"/>
                <w:sz w:val="24"/>
                <w:szCs w:val="24"/>
                <w:lang w:val="en-US" w:eastAsia="zh-CN"/>
              </w:rPr>
              <w:t>整合能力</w:t>
            </w:r>
          </w:p>
        </w:tc>
        <w:tc>
          <w:tcPr>
            <w:tcW w:w="1033"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c>
          <w:tcPr>
            <w:tcW w:w="48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c>
          <w:tcPr>
            <w:tcW w:w="48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r>
      <w:tr>
        <w:tblPrEx>
          <w:tblCellMar>
            <w:top w:w="0" w:type="dxa"/>
            <w:left w:w="108" w:type="dxa"/>
            <w:bottom w:w="0" w:type="dxa"/>
            <w:right w:w="108" w:type="dxa"/>
          </w:tblCellMar>
        </w:tblPrEx>
        <w:trPr>
          <w:trHeight w:val="567" w:hRule="atLeast"/>
          <w:jc w:val="center"/>
        </w:trPr>
        <w:tc>
          <w:tcPr>
            <w:tcW w:w="823"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c>
          <w:tcPr>
            <w:tcW w:w="216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r>
              <w:rPr>
                <w:rFonts w:hint="default" w:ascii="Times New Roman" w:hAnsi="Times New Roman" w:cs="Times New Roman" w:eastAsiaTheme="minorEastAsia"/>
                <w:b w:val="0"/>
                <w:bCs/>
                <w:kern w:val="0"/>
                <w:sz w:val="24"/>
                <w:szCs w:val="24"/>
              </w:rPr>
              <w:t>媒介服务</w:t>
            </w:r>
          </w:p>
        </w:tc>
        <w:tc>
          <w:tcPr>
            <w:tcW w:w="1033"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c>
          <w:tcPr>
            <w:tcW w:w="48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c>
          <w:tcPr>
            <w:tcW w:w="48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r>
      <w:tr>
        <w:tblPrEx>
          <w:tblCellMar>
            <w:top w:w="0" w:type="dxa"/>
            <w:left w:w="108" w:type="dxa"/>
            <w:bottom w:w="0" w:type="dxa"/>
            <w:right w:w="108" w:type="dxa"/>
          </w:tblCellMar>
        </w:tblPrEx>
        <w:trPr>
          <w:trHeight w:val="567" w:hRule="atLeast"/>
          <w:jc w:val="center"/>
        </w:trPr>
        <w:tc>
          <w:tcPr>
            <w:tcW w:w="823" w:type="pct"/>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r>
              <w:rPr>
                <w:rFonts w:hint="default" w:ascii="Times New Roman" w:hAnsi="Times New Roman" w:cs="Times New Roman" w:eastAsiaTheme="minorEastAsia"/>
                <w:b w:val="0"/>
                <w:bCs/>
                <w:kern w:val="0"/>
                <w:sz w:val="24"/>
                <w:szCs w:val="24"/>
              </w:rPr>
              <w:t>服务态度</w:t>
            </w:r>
          </w:p>
        </w:tc>
        <w:tc>
          <w:tcPr>
            <w:tcW w:w="216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r>
              <w:rPr>
                <w:rFonts w:hint="default" w:ascii="Times New Roman" w:hAnsi="Times New Roman" w:cs="Times New Roman" w:eastAsiaTheme="minorEastAsia"/>
                <w:b w:val="0"/>
                <w:bCs/>
                <w:kern w:val="0"/>
                <w:sz w:val="24"/>
                <w:szCs w:val="24"/>
              </w:rPr>
              <w:t>案组人员工作与沟通实效性</w:t>
            </w:r>
          </w:p>
        </w:tc>
        <w:tc>
          <w:tcPr>
            <w:tcW w:w="1033"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c>
          <w:tcPr>
            <w:tcW w:w="48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c>
          <w:tcPr>
            <w:tcW w:w="48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r>
      <w:tr>
        <w:tblPrEx>
          <w:tblCellMar>
            <w:top w:w="0" w:type="dxa"/>
            <w:left w:w="108" w:type="dxa"/>
            <w:bottom w:w="0" w:type="dxa"/>
            <w:right w:w="108" w:type="dxa"/>
          </w:tblCellMar>
        </w:tblPrEx>
        <w:trPr>
          <w:trHeight w:val="567" w:hRule="atLeast"/>
          <w:jc w:val="center"/>
        </w:trPr>
        <w:tc>
          <w:tcPr>
            <w:tcW w:w="823"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c>
          <w:tcPr>
            <w:tcW w:w="216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r>
              <w:rPr>
                <w:rFonts w:hint="default" w:ascii="Times New Roman" w:hAnsi="Times New Roman" w:cs="Times New Roman" w:eastAsiaTheme="minorEastAsia"/>
                <w:b w:val="0"/>
                <w:bCs/>
                <w:kern w:val="0"/>
                <w:sz w:val="24"/>
                <w:szCs w:val="24"/>
              </w:rPr>
              <w:t>案组人员团队稳定度</w:t>
            </w:r>
          </w:p>
        </w:tc>
        <w:tc>
          <w:tcPr>
            <w:tcW w:w="1033"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c>
          <w:tcPr>
            <w:tcW w:w="48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c>
          <w:tcPr>
            <w:tcW w:w="48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r>
      <w:tr>
        <w:tblPrEx>
          <w:tblCellMar>
            <w:top w:w="0" w:type="dxa"/>
            <w:left w:w="108" w:type="dxa"/>
            <w:bottom w:w="0" w:type="dxa"/>
            <w:right w:w="108" w:type="dxa"/>
          </w:tblCellMar>
        </w:tblPrEx>
        <w:trPr>
          <w:trHeight w:val="567" w:hRule="atLeast"/>
          <w:jc w:val="center"/>
        </w:trPr>
        <w:tc>
          <w:tcPr>
            <w:tcW w:w="4024" w:type="pct"/>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r>
              <w:rPr>
                <w:rFonts w:hint="default" w:ascii="Times New Roman" w:hAnsi="Times New Roman" w:cs="Times New Roman" w:eastAsiaTheme="minorEastAsia"/>
                <w:b w:val="0"/>
                <w:bCs/>
                <w:kern w:val="0"/>
                <w:sz w:val="24"/>
                <w:szCs w:val="24"/>
              </w:rPr>
              <w:t>小计</w:t>
            </w:r>
          </w:p>
        </w:tc>
        <w:tc>
          <w:tcPr>
            <w:tcW w:w="48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c>
          <w:tcPr>
            <w:tcW w:w="48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r>
      <w:tr>
        <w:tblPrEx>
          <w:tblCellMar>
            <w:top w:w="0" w:type="dxa"/>
            <w:left w:w="108" w:type="dxa"/>
            <w:bottom w:w="0" w:type="dxa"/>
            <w:right w:w="108" w:type="dxa"/>
          </w:tblCellMar>
        </w:tblPrEx>
        <w:trPr>
          <w:trHeight w:val="567" w:hRule="atLeast"/>
          <w:jc w:val="center"/>
        </w:trPr>
        <w:tc>
          <w:tcPr>
            <w:tcW w:w="4024" w:type="pct"/>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r>
              <w:rPr>
                <w:rFonts w:hint="default" w:ascii="Times New Roman" w:hAnsi="Times New Roman" w:cs="Times New Roman" w:eastAsiaTheme="minorEastAsia"/>
                <w:b w:val="0"/>
                <w:bCs/>
                <w:kern w:val="0"/>
                <w:sz w:val="24"/>
                <w:szCs w:val="24"/>
              </w:rPr>
              <w:t>评委权重</w:t>
            </w:r>
          </w:p>
        </w:tc>
        <w:tc>
          <w:tcPr>
            <w:tcW w:w="48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r>
              <w:rPr>
                <w:rFonts w:hint="default" w:ascii="Times New Roman" w:hAnsi="Times New Roman" w:cs="Times New Roman" w:eastAsiaTheme="minorEastAsia"/>
                <w:b w:val="0"/>
                <w:bCs/>
                <w:kern w:val="0"/>
                <w:sz w:val="24"/>
                <w:szCs w:val="24"/>
              </w:rPr>
              <w:t>50%</w:t>
            </w:r>
          </w:p>
        </w:tc>
        <w:tc>
          <w:tcPr>
            <w:tcW w:w="48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r>
              <w:rPr>
                <w:rFonts w:hint="default" w:ascii="Times New Roman" w:hAnsi="Times New Roman" w:cs="Times New Roman" w:eastAsiaTheme="minorEastAsia"/>
                <w:b w:val="0"/>
                <w:bCs/>
                <w:kern w:val="0"/>
                <w:sz w:val="24"/>
                <w:szCs w:val="24"/>
              </w:rPr>
              <w:t>50％</w:t>
            </w:r>
          </w:p>
        </w:tc>
      </w:tr>
      <w:tr>
        <w:tblPrEx>
          <w:tblCellMar>
            <w:top w:w="0" w:type="dxa"/>
            <w:left w:w="108" w:type="dxa"/>
            <w:bottom w:w="0" w:type="dxa"/>
            <w:right w:w="108" w:type="dxa"/>
          </w:tblCellMar>
        </w:tblPrEx>
        <w:trPr>
          <w:trHeight w:val="567" w:hRule="atLeast"/>
          <w:jc w:val="center"/>
        </w:trPr>
        <w:tc>
          <w:tcPr>
            <w:tcW w:w="4024" w:type="pct"/>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r>
              <w:rPr>
                <w:rFonts w:hint="default" w:ascii="Times New Roman" w:hAnsi="Times New Roman" w:cs="Times New Roman" w:eastAsiaTheme="minorEastAsia"/>
                <w:b w:val="0"/>
                <w:bCs/>
                <w:kern w:val="0"/>
                <w:sz w:val="24"/>
                <w:szCs w:val="24"/>
              </w:rPr>
              <w:t>加权得分</w:t>
            </w:r>
          </w:p>
        </w:tc>
        <w:tc>
          <w:tcPr>
            <w:tcW w:w="48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c>
          <w:tcPr>
            <w:tcW w:w="48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r>
      <w:tr>
        <w:tblPrEx>
          <w:tblCellMar>
            <w:top w:w="0" w:type="dxa"/>
            <w:left w:w="108" w:type="dxa"/>
            <w:bottom w:w="0" w:type="dxa"/>
            <w:right w:w="108" w:type="dxa"/>
          </w:tblCellMar>
        </w:tblPrEx>
        <w:trPr>
          <w:trHeight w:val="567" w:hRule="atLeast"/>
          <w:jc w:val="center"/>
        </w:trPr>
        <w:tc>
          <w:tcPr>
            <w:tcW w:w="4024" w:type="pct"/>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r>
              <w:rPr>
                <w:rFonts w:hint="default" w:ascii="Times New Roman" w:hAnsi="Times New Roman" w:cs="Times New Roman" w:eastAsiaTheme="minorEastAsia"/>
                <w:b w:val="0"/>
                <w:bCs/>
                <w:kern w:val="0"/>
                <w:sz w:val="24"/>
                <w:szCs w:val="24"/>
              </w:rPr>
              <w:t>总分</w:t>
            </w:r>
          </w:p>
        </w:tc>
        <w:tc>
          <w:tcPr>
            <w:tcW w:w="975"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r>
      <w:tr>
        <w:tblPrEx>
          <w:tblCellMar>
            <w:top w:w="0" w:type="dxa"/>
            <w:left w:w="108" w:type="dxa"/>
            <w:bottom w:w="0" w:type="dxa"/>
            <w:right w:w="108" w:type="dxa"/>
          </w:tblCellMar>
        </w:tblPrEx>
        <w:trPr>
          <w:trHeight w:val="567" w:hRule="atLeast"/>
          <w:jc w:val="center"/>
        </w:trPr>
        <w:tc>
          <w:tcPr>
            <w:tcW w:w="4024" w:type="pct"/>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r>
              <w:rPr>
                <w:rFonts w:hint="default" w:ascii="Times New Roman" w:hAnsi="Times New Roman" w:cs="Times New Roman" w:eastAsiaTheme="minorEastAsia"/>
                <w:b w:val="0"/>
                <w:bCs/>
                <w:kern w:val="0"/>
                <w:sz w:val="24"/>
                <w:szCs w:val="24"/>
              </w:rPr>
              <w:t>总体评价</w:t>
            </w:r>
          </w:p>
        </w:tc>
        <w:tc>
          <w:tcPr>
            <w:tcW w:w="975"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r>
    </w:tbl>
    <w:p>
      <w:pPr>
        <w:rPr>
          <w:rFonts w:hint="default" w:ascii="Times New Roman" w:hAnsi="Times New Roman" w:cs="Times New Roman" w:eastAsiaTheme="majorEastAsia"/>
          <w:b/>
          <w:bCs/>
          <w:sz w:val="32"/>
          <w:szCs w:val="32"/>
          <w:highlight w:val="none"/>
          <w:lang w:val="en-US" w:eastAsia="zh-CN"/>
        </w:rPr>
      </w:pPr>
    </w:p>
    <w:p>
      <w:pPr>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21</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80" w:name="_Toc144974856"/>
      <w:bookmarkStart w:id="81" w:name="_Toc247527827"/>
      <w:bookmarkStart w:id="82" w:name="_Toc247514246"/>
      <w:bookmarkStart w:id="83" w:name="_Toc300835209"/>
      <w:bookmarkStart w:id="84" w:name="_Toc152045787"/>
      <w:bookmarkStart w:id="85" w:name="_Toc152042576"/>
      <w:r>
        <w:rPr>
          <w:rFonts w:hint="default" w:ascii="Times New Roman" w:hAnsi="Times New Roman" w:cs="Times New Roman"/>
        </w:rPr>
        <w:t>目    录</w:t>
      </w:r>
      <w:bookmarkEnd w:id="80"/>
      <w:bookmarkEnd w:id="81"/>
      <w:bookmarkEnd w:id="82"/>
      <w:bookmarkEnd w:id="83"/>
      <w:bookmarkEnd w:id="84"/>
      <w:bookmarkEnd w:id="85"/>
    </w:p>
    <w:p>
      <w:pPr>
        <w:spacing w:line="540" w:lineRule="exact"/>
        <w:rPr>
          <w:rFonts w:hint="default" w:ascii="Times New Roman" w:hAnsi="Times New Roman" w:cs="Times New Roman"/>
        </w:rPr>
      </w:pP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一、投标函</w:t>
      </w:r>
      <w:r>
        <w:rPr>
          <w:rFonts w:hint="eastAsia" w:ascii="Times New Roman" w:hAnsi="Times New Roman" w:cs="Times New Roman"/>
          <w:highlight w:val="none"/>
          <w:lang w:val="en-US" w:eastAsia="zh-CN"/>
        </w:rPr>
        <w:t>及投标函附录</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val="en-US" w:eastAsia="zh-CN"/>
        </w:rPr>
        <w:t>身份证明（适用于无委托代理人的情况）</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适用于有委托代理人的情况</w:t>
      </w:r>
      <w:r>
        <w:rPr>
          <w:rFonts w:hint="eastAsia" w:ascii="Times New Roman" w:hAnsi="Times New Roman" w:cs="Times New Roman"/>
          <w:highlight w:val="none"/>
          <w:lang w:eastAsia="zh-CN"/>
        </w:rPr>
        <w:t>）</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四、设计费用清单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五、资格审查资料</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六、服务方案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lang w:val="en-US" w:eastAsia="zh-CN"/>
        </w:rPr>
      </w:pPr>
      <w:bookmarkStart w:id="86" w:name="_Toc247527828"/>
      <w:bookmarkStart w:id="87" w:name="_Toc144974857"/>
      <w:bookmarkStart w:id="88" w:name="_Toc152042577"/>
      <w:bookmarkStart w:id="89" w:name="_Toc247514247"/>
      <w:bookmarkStart w:id="90" w:name="_Toc152045788"/>
      <w:bookmarkStart w:id="91" w:name="_Toc300835210"/>
      <w:r>
        <w:rPr>
          <w:rFonts w:hint="default" w:ascii="Times New Roman" w:hAnsi="Times New Roman" w:cs="Times New Roman"/>
        </w:rPr>
        <w:t>一、投标函</w:t>
      </w:r>
      <w:bookmarkEnd w:id="86"/>
      <w:bookmarkEnd w:id="87"/>
      <w:bookmarkEnd w:id="88"/>
      <w:bookmarkEnd w:id="89"/>
      <w:bookmarkEnd w:id="90"/>
      <w:bookmarkEnd w:id="91"/>
      <w:r>
        <w:rPr>
          <w:rFonts w:hint="eastAsia" w:ascii="Times New Roman" w:hAnsi="Times New Roman" w:cs="Times New Roman"/>
          <w:lang w:val="en-US" w:eastAsia="zh-CN"/>
        </w:rPr>
        <w:t>及投标函附录</w:t>
      </w:r>
    </w:p>
    <w:p>
      <w:pPr>
        <w:spacing w:line="440" w:lineRule="exact"/>
        <w:rPr>
          <w:rFonts w:hint="default" w:ascii="Times New Roman" w:hAnsi="Times New Roman" w:cs="Times New Roman" w:eastAsiaTheme="minorEastAsia"/>
          <w:sz w:val="20"/>
          <w:szCs w:val="20"/>
          <w:lang w:val="en-US" w:eastAsia="zh-CN"/>
        </w:rPr>
      </w:pP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一</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w:t>
      </w:r>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招标项目招标文件的全部内容，愿意以人民币（大写）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每月</w:t>
      </w:r>
      <w:r>
        <w:rPr>
          <w:rFonts w:hint="eastAsia" w:ascii="Times New Roman" w:hAnsi="Times New Roman" w:cs="Times New Roman"/>
          <w:szCs w:val="21"/>
          <w:u w:val="none"/>
          <w:lang w:eastAsia="zh-CN"/>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/月</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的投标总报价（其中，增值税税率为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），服务期限：</w:t>
      </w:r>
      <w:r>
        <w:rPr>
          <w:rFonts w:hint="default" w:ascii="Times New Roman" w:hAnsi="Times New Roman" w:cs="Times New Roman"/>
          <w:szCs w:val="21"/>
          <w:u w:val="single"/>
        </w:rPr>
        <w:t>自合同签订之日起6个月</w:t>
      </w:r>
      <w:r>
        <w:rPr>
          <w:rFonts w:hint="eastAsia" w:ascii="Times New Roman" w:hAnsi="Times New Roman" w:cs="Times New Roman"/>
          <w:szCs w:val="21"/>
          <w:u w:val="none"/>
          <w:lang w:val="en-US" w:eastAsia="zh-CN"/>
        </w:rPr>
        <w:t>，质量标准：</w:t>
      </w:r>
      <w:r>
        <w:rPr>
          <w:rFonts w:hint="eastAsia" w:ascii="Times New Roman" w:hAnsi="Times New Roman" w:cs="Times New Roman"/>
          <w:szCs w:val="21"/>
          <w:u w:val="single"/>
          <w:lang w:val="en-US" w:eastAsia="zh-CN"/>
        </w:rPr>
        <w:t>成果文件须符合国家、地方、行业现行相关规范合格标准，符合招标文件第五章发包人要求</w:t>
      </w:r>
      <w:r>
        <w:rPr>
          <w:rFonts w:hint="eastAsia" w:ascii="Times New Roman" w:hAnsi="Times New Roman" w:cs="Times New Roman"/>
          <w:szCs w:val="21"/>
          <w:u w:val="none"/>
          <w:lang w:val="en-US" w:eastAsia="zh-CN"/>
        </w:rPr>
        <w:t>，按合同约定完成</w:t>
      </w:r>
      <w:r>
        <w:rPr>
          <w:rFonts w:hint="eastAsia" w:ascii="Times New Roman" w:hAnsi="Times New Roman" w:cs="Times New Roman"/>
          <w:szCs w:val="21"/>
          <w:u w:val="single"/>
          <w:lang w:val="en-US" w:eastAsia="zh-CN"/>
        </w:rPr>
        <w:t>广告策划</w:t>
      </w:r>
      <w:r>
        <w:rPr>
          <w:rFonts w:hint="eastAsia" w:ascii="Times New Roman" w:hAnsi="Times New Roman" w:cs="Times New Roman"/>
          <w:szCs w:val="21"/>
          <w:u w:val="none"/>
          <w:lang w:val="en-US" w:eastAsia="zh-CN"/>
        </w:rPr>
        <w:t>工作。</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（1）投标函及投标函附录；（2）法定代表人身份证明或授权委托书；（3）投标保证金；（4）设计费用清单；（5）资格审查资料；（6）服务方案；（7）其他资料；.......</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3.我方承诺在招标文件规定的投标有效期内不撤销投标文件。</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4.如我方中标，我方承诺：</w:t>
      </w:r>
    </w:p>
    <w:p>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2310" w:firstLineChars="1100"/>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（签字）</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rPr>
          <w:rFonts w:hint="default" w:ascii="Times New Roman" w:hAnsi="Times New Roman" w:cs="Times New Roman"/>
          <w:szCs w:val="21"/>
        </w:rPr>
      </w:pPr>
      <w:r>
        <w:rPr>
          <w:rFonts w:hint="default" w:ascii="Times New Roman" w:hAnsi="Times New Roman" w:cs="Times New Roman"/>
          <w:szCs w:val="21"/>
        </w:rPr>
        <w:br w:type="page"/>
      </w:r>
    </w:p>
    <w:p>
      <w:pPr>
        <w:spacing w:line="440" w:lineRule="exact"/>
        <w:rPr>
          <w:rFonts w:hint="default" w:ascii="黑体" w:hAnsi="黑体" w:eastAsia="黑体" w:cs="黑体"/>
          <w:b w:val="0"/>
          <w:bCs w:val="0"/>
          <w:sz w:val="28"/>
          <w:szCs w:val="28"/>
          <w:lang w:val="en-US" w:eastAsia="zh-CN"/>
        </w:rPr>
      </w:pP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二</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投标函附录</w:t>
      </w:r>
    </w:p>
    <w:p>
      <w:pPr>
        <w:spacing w:line="440" w:lineRule="exact"/>
        <w:rPr>
          <w:rFonts w:hint="eastAsia" w:ascii="Times New Roman" w:hAnsi="Times New Roman" w:cs="Times New Roman" w:eastAsiaTheme="minorEastAsia"/>
          <w:sz w:val="20"/>
          <w:szCs w:val="20"/>
          <w:lang w:eastAsia="zh-CN"/>
        </w:rPr>
      </w:pP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984"/>
        <w:gridCol w:w="3702"/>
        <w:gridCol w:w="1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序号</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条款名称</w:t>
            </w:r>
          </w:p>
        </w:tc>
        <w:tc>
          <w:tcPr>
            <w:tcW w:w="3702"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约定内容</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1</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项目负责人</w:t>
            </w:r>
          </w:p>
        </w:tc>
        <w:tc>
          <w:tcPr>
            <w:tcW w:w="3702" w:type="dxa"/>
            <w:vAlign w:val="center"/>
          </w:tcPr>
          <w:p>
            <w:pPr>
              <w:spacing w:line="440" w:lineRule="exact"/>
              <w:jc w:val="both"/>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姓名：</w:t>
            </w:r>
          </w:p>
          <w:p>
            <w:pPr>
              <w:spacing w:line="440" w:lineRule="exact"/>
              <w:jc w:val="both"/>
              <w:rPr>
                <w:rFonts w:hint="default"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身份证号：</w:t>
            </w:r>
          </w:p>
        </w:tc>
        <w:tc>
          <w:tcPr>
            <w:tcW w:w="1984"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2</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投标有效期</w:t>
            </w:r>
          </w:p>
        </w:tc>
        <w:tc>
          <w:tcPr>
            <w:tcW w:w="3702" w:type="dxa"/>
            <w:vAlign w:val="center"/>
          </w:tcPr>
          <w:p>
            <w:pPr>
              <w:spacing w:line="440" w:lineRule="exact"/>
              <w:jc w:val="both"/>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自投标截止之日起</w:t>
            </w:r>
            <w:r>
              <w:rPr>
                <w:rFonts w:hint="eastAsia" w:ascii="Times New Roman" w:hAnsi="Times New Roman" w:cs="Times New Roman"/>
                <w:sz w:val="20"/>
                <w:szCs w:val="20"/>
                <w:u w:val="single"/>
                <w:vertAlign w:val="baseline"/>
                <w:lang w:val="en-US" w:eastAsia="zh-CN"/>
              </w:rPr>
              <w:t>90</w:t>
            </w:r>
            <w:r>
              <w:rPr>
                <w:rFonts w:hint="eastAsia" w:ascii="Times New Roman" w:hAnsi="Times New Roman" w:cs="Times New Roman"/>
                <w:sz w:val="20"/>
                <w:szCs w:val="20"/>
                <w:vertAlign w:val="baseline"/>
                <w:lang w:val="en-US" w:eastAsia="zh-CN"/>
              </w:rPr>
              <w:t>天</w:t>
            </w:r>
          </w:p>
        </w:tc>
        <w:tc>
          <w:tcPr>
            <w:tcW w:w="1984"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bl>
    <w:p>
      <w:pPr>
        <w:spacing w:line="440" w:lineRule="exact"/>
        <w:rPr>
          <w:rFonts w:hint="eastAsia" w:ascii="Times New Roman" w:hAnsi="Times New Roman" w:cs="Times New Roman" w:eastAsiaTheme="minorEastAsia"/>
          <w:sz w:val="20"/>
          <w:szCs w:val="20"/>
          <w:lang w:eastAsia="zh-CN"/>
        </w:rPr>
      </w:pPr>
    </w:p>
    <w:p>
      <w:pPr>
        <w:spacing w:line="440" w:lineRule="exact"/>
        <w:rPr>
          <w:rFonts w:hint="eastAsia" w:ascii="Times New Roman" w:hAnsi="Times New Roman" w:cs="Times New Roman" w:eastAsiaTheme="minorEastAsia"/>
          <w:sz w:val="20"/>
          <w:szCs w:val="20"/>
          <w:lang w:eastAsia="zh-CN"/>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（签字）</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eastAsia" w:ascii="Times New Roman" w:hAnsi="Times New Roman" w:cs="Times New Roman" w:eastAsiaTheme="minorEastAsia"/>
          <w:sz w:val="20"/>
          <w:szCs w:val="20"/>
          <w:lang w:eastAsia="zh-CN"/>
        </w:rPr>
      </w:pPr>
    </w:p>
    <w:p>
      <w:pPr>
        <w:spacing w:line="440" w:lineRule="exact"/>
        <w:rPr>
          <w:rFonts w:hint="default" w:ascii="Times New Roman" w:hAnsi="Times New Roman" w:cs="Times New Roman"/>
          <w:szCs w:val="21"/>
        </w:rPr>
      </w:pPr>
    </w:p>
    <w:p>
      <w:pPr>
        <w:rPr>
          <w:rFonts w:hint="default" w:ascii="Times New Roman" w:hAnsi="Times New Roman" w:cs="Times New Roman"/>
        </w:rPr>
      </w:pPr>
      <w:bookmarkStart w:id="92" w:name="_Toc152045791"/>
      <w:bookmarkStart w:id="93" w:name="_Toc152042580"/>
      <w:bookmarkStart w:id="94" w:name="_Toc144974860"/>
      <w:bookmarkStart w:id="95" w:name="_Toc300835213"/>
      <w:bookmarkStart w:id="96" w:name="_Toc247514283"/>
      <w:bookmarkStart w:id="97" w:name="_Toc247527831"/>
      <w:r>
        <w:rPr>
          <w:rFonts w:hint="default" w:ascii="Times New Roman" w:hAnsi="Times New Roman" w:cs="Times New Roman"/>
        </w:rPr>
        <w:br w:type="page"/>
      </w:r>
    </w:p>
    <w:p>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92"/>
      <w:bookmarkEnd w:id="93"/>
      <w:bookmarkEnd w:id="94"/>
      <w:bookmarkEnd w:id="95"/>
      <w:bookmarkEnd w:id="96"/>
      <w:bookmarkEnd w:id="97"/>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98" w:name="_Toc300835214"/>
      <w:bookmarkStart w:id="99" w:name="_Toc247527832"/>
      <w:bookmarkStart w:id="100" w:name="_Toc247514284"/>
      <w:bookmarkStart w:id="101" w:name="_Toc144974861"/>
      <w:bookmarkStart w:id="102" w:name="_Toc152045792"/>
      <w:bookmarkStart w:id="103" w:name="_Toc152042581"/>
      <w:r>
        <w:rPr>
          <w:rFonts w:hint="default" w:ascii="Times New Roman" w:hAnsi="Times New Roman" w:cs="Times New Roman"/>
        </w:rPr>
        <w:t>二、授权委托书</w:t>
      </w:r>
      <w:bookmarkEnd w:id="98"/>
      <w:bookmarkEnd w:id="99"/>
      <w:bookmarkEnd w:id="100"/>
      <w:bookmarkEnd w:id="101"/>
      <w:bookmarkEnd w:id="102"/>
      <w:bookmarkEnd w:id="103"/>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确认、递交、撤回、修改招标项目投标文件、签订合同和处理有关事宜，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pPr>
        <w:spacing w:line="440" w:lineRule="exact"/>
        <w:ind w:firstLine="420" w:firstLineChars="200"/>
        <w:rPr>
          <w:rFonts w:hint="eastAsia" w:ascii="Times New Roman" w:hAnsi="Times New Roman" w:cs="Times New Roman"/>
          <w:szCs w:val="21"/>
          <w:lang w:val="en-US" w:eastAsia="zh-CN"/>
        </w:rPr>
      </w:pP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注：本授权委托书需由投标人加盖单位公章并由其法定代表人和委托代理人签字。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投</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标</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或签章</w:t>
      </w:r>
      <w:r>
        <w:rPr>
          <w:rFonts w:hint="default" w:ascii="Times New Roman" w:hAnsi="Times New Roman" w:cs="Times New Roman"/>
          <w:szCs w:val="21"/>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highlight w:val="none"/>
        </w:rPr>
      </w:pPr>
      <w:bookmarkStart w:id="104" w:name="_Toc152042583"/>
      <w:bookmarkStart w:id="105" w:name="_Toc247514286"/>
      <w:bookmarkStart w:id="106" w:name="_Toc247527834"/>
      <w:bookmarkStart w:id="107" w:name="_Toc300835216"/>
      <w:bookmarkStart w:id="108" w:name="_Toc152045794"/>
      <w:bookmarkStart w:id="109" w:name="_Toc144974862"/>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104"/>
      <w:bookmarkEnd w:id="105"/>
      <w:bookmarkEnd w:id="106"/>
      <w:bookmarkEnd w:id="107"/>
      <w:bookmarkEnd w:id="108"/>
      <w:bookmarkEnd w:id="109"/>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110"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overflowPunct/>
        <w:topLinePunct w:val="0"/>
        <w:autoSpaceDE/>
        <w:autoSpaceDN/>
        <w:bidi w:val="0"/>
        <w:adjustRightInd/>
        <w:spacing w:line="440" w:lineRule="exact"/>
        <w:ind w:firstLine="482" w:firstLineChars="200"/>
        <w:textAlignment w:val="auto"/>
        <w:rPr>
          <w:rFonts w:hint="eastAsia" w:ascii="Times New Roman" w:hAnsi="Times New Roman" w:eastAsiaTheme="minorEastAsia"/>
          <w:szCs w:val="21"/>
          <w:highlight w:val="yellow"/>
          <w:lang w:eastAsia="zh-CN"/>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r>
        <w:rPr>
          <w:rFonts w:hint="eastAsia" w:ascii="Times New Roman" w:hAnsi="Times New Roman" w:cs="Times New Roman"/>
          <w:color w:val="000000"/>
          <w:kern w:val="0"/>
          <w:sz w:val="24"/>
          <w:szCs w:val="24"/>
          <w:highlight w:val="none"/>
          <w:lang w:eastAsia="zh-CN"/>
        </w:rPr>
        <w:t>。</w:t>
      </w:r>
    </w:p>
    <w:p>
      <w:pPr>
        <w:spacing w:line="440" w:lineRule="exact"/>
        <w:rPr>
          <w:rFonts w:hint="default" w:ascii="Times New Roman" w:hAnsi="Times New Roman" w:cs="Times New Roman"/>
          <w:b/>
          <w:bCs/>
        </w:rPr>
      </w:pPr>
    </w:p>
    <w:bookmarkEnd w:id="110"/>
    <w:p>
      <w:pPr>
        <w:rPr>
          <w:rFonts w:hint="default" w:ascii="Times New Roman" w:hAnsi="Times New Roman" w:cs="Times New Roman"/>
        </w:rPr>
      </w:pPr>
      <w:bookmarkStart w:id="111" w:name="_Toc152045795"/>
      <w:bookmarkStart w:id="112" w:name="_Toc247514287"/>
      <w:bookmarkStart w:id="113" w:name="_Toc247527835"/>
      <w:bookmarkStart w:id="114" w:name="_Toc144974863"/>
      <w:bookmarkStart w:id="115" w:name="_Toc152042584"/>
      <w:bookmarkStart w:id="116" w:name="_Toc300835218"/>
      <w:r>
        <w:rPr>
          <w:rFonts w:hint="default" w:ascii="Times New Roman" w:hAnsi="Times New Roman" w:cs="Times New Roman"/>
        </w:rPr>
        <w:br w:type="page"/>
      </w:r>
    </w:p>
    <w:p>
      <w:pPr>
        <w:pStyle w:val="3"/>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w:t>
      </w:r>
      <w:r>
        <w:rPr>
          <w:rFonts w:hint="default" w:ascii="Times New Roman" w:hAnsi="Times New Roman" w:cs="Times New Roman"/>
          <w:highlight w:val="none"/>
        </w:rPr>
        <w:t>、</w:t>
      </w:r>
      <w:bookmarkEnd w:id="111"/>
      <w:bookmarkEnd w:id="112"/>
      <w:bookmarkEnd w:id="113"/>
      <w:bookmarkEnd w:id="114"/>
      <w:bookmarkEnd w:id="115"/>
      <w:bookmarkEnd w:id="116"/>
      <w:r>
        <w:rPr>
          <w:rFonts w:hint="eastAsia" w:ascii="Times New Roman" w:hAnsi="Times New Roman" w:cs="Times New Roman"/>
          <w:highlight w:val="none"/>
          <w:lang w:val="en-US" w:eastAsia="zh-CN"/>
        </w:rPr>
        <w:t>服务费用清单</w:t>
      </w: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1.服务费用清单说明</w:t>
      </w:r>
    </w:p>
    <w:p>
      <w:pPr>
        <w:rPr>
          <w:rFonts w:hint="eastAsia" w:ascii="Times New Roman" w:hAnsi="Times New Roman" w:cs="Times New Roman"/>
          <w:lang w:val="en-US" w:eastAsia="zh-CN"/>
        </w:rPr>
      </w:pPr>
    </w:p>
    <w:p>
      <w:pPr>
        <w:ind w:firstLine="420" w:firstLineChars="200"/>
        <w:rPr>
          <w:rFonts w:hint="default" w:ascii="Times New Roman" w:hAnsi="Times New Roman" w:cs="Times New Roman"/>
          <w:lang w:val="en-US" w:eastAsia="zh-CN"/>
        </w:rPr>
      </w:pPr>
      <w:r>
        <w:rPr>
          <w:rFonts w:hint="eastAsia" w:ascii="Times New Roman" w:hAnsi="Times New Roman" w:cs="Times New Roman"/>
          <w:lang w:val="en-US" w:eastAsia="zh-CN"/>
        </w:rPr>
        <w:t>2.服务费用清单</w:t>
      </w:r>
    </w:p>
    <w:p>
      <w:pPr>
        <w:rPr>
          <w:rFonts w:hint="default" w:ascii="Times New Roman" w:hAnsi="Times New Roman" w:cs="Times New Roman"/>
          <w:lang w:val="en-US" w:eastAsia="zh-CN"/>
        </w:rPr>
      </w:pPr>
    </w:p>
    <w:p>
      <w:pPr>
        <w:jc w:val="right"/>
        <w:rPr>
          <w:rFonts w:hint="default" w:ascii="Times New Roman" w:hAnsi="Times New Roman" w:cs="Times New Roman"/>
          <w:lang w:val="en-US" w:eastAsia="zh-CN"/>
        </w:rPr>
      </w:pPr>
      <w:r>
        <w:rPr>
          <w:rFonts w:hint="eastAsia" w:ascii="Times New Roman" w:hAnsi="Times New Roman" w:cs="Times New Roman"/>
          <w:lang w:val="en-US" w:eastAsia="zh-CN"/>
        </w:rPr>
        <w:t>单位：人民币元</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268"/>
        <w:gridCol w:w="2268"/>
        <w:gridCol w:w="1134"/>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bookmarkStart w:id="117" w:name="_Toc152042585"/>
            <w:bookmarkStart w:id="118" w:name="_Toc144974864"/>
            <w:bookmarkStart w:id="119" w:name="_Toc300835221"/>
            <w:bookmarkStart w:id="120" w:name="_Toc247527836"/>
            <w:bookmarkStart w:id="121" w:name="_Toc152045796"/>
            <w:bookmarkStart w:id="122" w:name="_Toc247514288"/>
            <w:r>
              <w:rPr>
                <w:rFonts w:hint="eastAsia" w:ascii="Times New Roman" w:hAnsi="Times New Roman" w:cs="Times New Roman"/>
                <w:b/>
                <w:bCs/>
                <w:vertAlign w:val="baseline"/>
                <w:lang w:val="en-US" w:eastAsia="zh-CN"/>
              </w:rPr>
              <w:t>序号</w:t>
            </w:r>
          </w:p>
        </w:tc>
        <w:tc>
          <w:tcPr>
            <w:tcW w:w="2268"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服务费用分项名称</w:t>
            </w:r>
          </w:p>
        </w:tc>
        <w:tc>
          <w:tcPr>
            <w:tcW w:w="2268"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计算依据、过程和公式</w:t>
            </w:r>
          </w:p>
        </w:tc>
        <w:tc>
          <w:tcPr>
            <w:tcW w:w="1134"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金额（元）</w:t>
            </w:r>
          </w:p>
        </w:tc>
        <w:tc>
          <w:tcPr>
            <w:tcW w:w="2001"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5386" w:type="dxa"/>
            <w:gridSpan w:val="3"/>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b/>
                <w:bCs/>
                <w:vertAlign w:val="baseline"/>
                <w:lang w:val="en-US" w:eastAsia="zh-CN"/>
              </w:rPr>
              <w:t>合计报价</w:t>
            </w: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注：投标人可根据行业具体情况对本表格式进行调整。</w:t>
      </w:r>
    </w:p>
    <w:p>
      <w:pPr>
        <w:rPr>
          <w:rFonts w:hint="default" w:ascii="Times New Roman" w:hAnsi="Times New Roman" w:cs="Times New Roman"/>
        </w:rPr>
      </w:pPr>
      <w:r>
        <w:rPr>
          <w:rFonts w:hint="default" w:ascii="Times New Roman" w:hAnsi="Times New Roman" w:cs="Times New Roman"/>
        </w:rPr>
        <w:br w:type="page"/>
      </w:r>
    </w:p>
    <w:bookmarkEnd w:id="117"/>
    <w:bookmarkEnd w:id="118"/>
    <w:bookmarkEnd w:id="119"/>
    <w:bookmarkEnd w:id="120"/>
    <w:bookmarkEnd w:id="121"/>
    <w:bookmarkEnd w:id="122"/>
    <w:p>
      <w:pPr>
        <w:pStyle w:val="3"/>
        <w:jc w:val="center"/>
        <w:rPr>
          <w:rFonts w:hint="eastAsia"/>
          <w:highlight w:val="none"/>
        </w:rPr>
      </w:pPr>
      <w:bookmarkStart w:id="123" w:name="_Toc144974876"/>
      <w:bookmarkStart w:id="124" w:name="_Toc144974871"/>
      <w:bookmarkStart w:id="125" w:name="_Toc246997112"/>
      <w:bookmarkStart w:id="126" w:name="_Toc296602614"/>
      <w:bookmarkStart w:id="127" w:name="_Toc152042597"/>
      <w:bookmarkStart w:id="128" w:name="_Toc247085887"/>
      <w:bookmarkStart w:id="129" w:name="_Toc152045803"/>
      <w:bookmarkStart w:id="130" w:name="_Toc246996369"/>
      <w:bookmarkStart w:id="131" w:name="_Toc179632823"/>
      <w:bookmarkStart w:id="132" w:name="_Toc300835224"/>
      <w:bookmarkStart w:id="133" w:name="_Toc152042592"/>
      <w:bookmarkStart w:id="134" w:name="_Toc247514300"/>
      <w:bookmarkStart w:id="135" w:name="_Toc152045808"/>
      <w:bookmarkStart w:id="136" w:name="_Toc247527848"/>
      <w:r>
        <w:rPr>
          <w:rFonts w:hint="eastAsia"/>
          <w:highlight w:val="none"/>
          <w:lang w:val="en-US" w:eastAsia="zh-CN"/>
        </w:rPr>
        <w:t>五</w:t>
      </w:r>
      <w:r>
        <w:rPr>
          <w:highlight w:val="none"/>
        </w:rPr>
        <w:t>、资格审查资料</w:t>
      </w:r>
    </w:p>
    <w:p>
      <w:pPr>
        <w:pStyle w:val="4"/>
        <w:jc w:val="both"/>
        <w:rPr>
          <w:rFonts w:hint="eastAsia"/>
        </w:rPr>
      </w:pPr>
      <w:r>
        <w:t>（一）基本情况表</w:t>
      </w:r>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1"/>
        <w:gridCol w:w="1134"/>
        <w:gridCol w:w="1134"/>
        <w:gridCol w:w="1134"/>
        <w:gridCol w:w="567"/>
        <w:gridCol w:w="567"/>
        <w:gridCol w:w="1134"/>
        <w:gridCol w:w="115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投标人名称</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注册地址</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邮政编码</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联系人</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  话</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传  真</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网  址</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eastAsiaTheme="minorEastAsia"/>
                <w:szCs w:val="21"/>
                <w:lang w:val="en-US" w:eastAsia="zh-CN"/>
              </w:rPr>
            </w:pPr>
            <w:r>
              <w:rPr>
                <w:rFonts w:hint="eastAsia"/>
                <w:szCs w:val="21"/>
                <w:lang w:val="en-US" w:eastAsia="zh-CN"/>
              </w:rPr>
              <w:t>法定代表人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eastAsiaTheme="minorEastAsia"/>
                <w:szCs w:val="21"/>
                <w:lang w:val="en-US" w:eastAsia="zh-CN"/>
              </w:rPr>
            </w:pPr>
            <w:r>
              <w:rPr>
                <w:rFonts w:hint="eastAsia"/>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技术负责人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企业资质证书</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质量管理体系证书（如有）</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eastAsia"/>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营业执照号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3419"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left"/>
              <w:textAlignment w:val="auto"/>
              <w:rPr>
                <w:rFonts w:hint="default"/>
                <w:szCs w:val="21"/>
                <w:lang w:val="en-US" w:eastAsia="zh-CN"/>
              </w:rPr>
            </w:pPr>
            <w:r>
              <w:rPr>
                <w:rFonts w:hint="eastAsia"/>
                <w:szCs w:val="21"/>
                <w:lang w:val="en-US" w:eastAsia="zh-CN"/>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注册资本</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其中</w:t>
            </w: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高级职称人员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成立日期</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中级职称人员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开户银行</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技术人员数量</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银行账户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各类注册人员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经营范围</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投标人关联企业情况（包括但不限于与投标人法定代表人为同一人或者存在控股、管理关系的不同单位）</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备注</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注：</w:t>
      </w:r>
      <w:r>
        <w:rPr>
          <w:rFonts w:hint="default" w:ascii="Times New Roman" w:hAnsi="Times New Roman" w:cs="Times New Roman"/>
          <w:lang w:val="en-US" w:eastAsia="zh-CN"/>
        </w:rPr>
        <w:t>投标人应根据投标人须知</w:t>
      </w:r>
      <w:r>
        <w:rPr>
          <w:rFonts w:hint="default" w:ascii="Times New Roman" w:hAnsi="Times New Roman" w:cs="Times New Roman"/>
          <w:highlight w:val="none"/>
          <w:lang w:val="en-US" w:eastAsia="zh-CN"/>
        </w:rPr>
        <w:t>第3.5.1项的要求在</w:t>
      </w:r>
      <w:r>
        <w:rPr>
          <w:rFonts w:hint="default" w:ascii="Times New Roman" w:hAnsi="Times New Roman" w:cs="Times New Roman"/>
          <w:lang w:val="en-US" w:eastAsia="zh-CN"/>
        </w:rPr>
        <w:t>本表后附相关证明材料</w:t>
      </w:r>
      <w:r>
        <w:rPr>
          <w:rFonts w:hint="eastAsia" w:ascii="Times New Roman" w:hAnsi="Times New Roman" w:cs="Times New Roman"/>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附：3.5.1 “投标人基本情况表”应附投标人营业执照和组织机构代码证的复印件（按照“三证合一”或“五证合一”登记制度进行登记的，可仅提供营业执照复印件）、投标人资质证书副本（如有）等材料的复印件。</w:t>
      </w:r>
    </w:p>
    <w:p>
      <w:pPr>
        <w:rPr>
          <w:rFonts w:hint="eastAsia"/>
        </w:rPr>
      </w:pPr>
      <w:r>
        <w:rPr>
          <w:rFonts w:hint="eastAsia"/>
        </w:rPr>
        <w:br w:type="page"/>
      </w:r>
    </w:p>
    <w:p>
      <w:pPr>
        <w:pStyle w:val="4"/>
        <w:jc w:val="both"/>
        <w:rPr>
          <w:rFonts w:hint="default" w:eastAsiaTheme="minorEastAsia"/>
          <w:lang w:val="en-US" w:eastAsia="zh-CN"/>
        </w:rPr>
      </w:pPr>
      <w:r>
        <w:t>（</w:t>
      </w:r>
      <w:r>
        <w:rPr>
          <w:rFonts w:hint="eastAsia"/>
          <w:lang w:val="en-US" w:eastAsia="zh-CN"/>
        </w:rPr>
        <w:t>二</w:t>
      </w:r>
      <w:r>
        <w:t>）</w:t>
      </w:r>
      <w:r>
        <w:rPr>
          <w:rFonts w:hint="eastAsia"/>
          <w:lang w:val="en-US" w:eastAsia="zh-CN"/>
        </w:rPr>
        <w:t>近年财务状况表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投标人应根据投标人须知第3.5.2项的要求在本表后附相关证明材料。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附：3.5.2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（三）近年完成的类似项目情况表</w:t>
      </w:r>
    </w:p>
    <w:p>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项目所在地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发包人地址</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服务期限</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服务内容</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描述</w:t>
            </w:r>
          </w:p>
        </w:tc>
        <w:tc>
          <w:tcPr>
            <w:tcW w:w="6253" w:type="dxa"/>
            <w:noWrap w:val="0"/>
            <w:vAlign w:val="top"/>
          </w:tcPr>
          <w:p>
            <w:pPr>
              <w:topLinePunct/>
              <w:spacing w:line="440" w:lineRule="exact"/>
              <w:ind w:firstLine="420" w:firstLineChars="200"/>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项目描述应包括但不限于项目名称、项目占地面积、建筑面积、结构型式、广告策划方案的主要内容、合同完成时间、发包人评价等。</w:t>
            </w: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注：投标人应根据投标人须知第3.5.3项的要求在本表后附相关证明材料；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附：3.5.3 “近年完成的类似项目情况表”应附中标通知书或合同协议书或发包人出具的证明文件；具体时间要求见投标人须知前附表，每张表格只填写一个项目，并标明序号。</w:t>
      </w: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正在服务和新承接的</w:t>
      </w:r>
      <w:r>
        <w:rPr>
          <w:rFonts w:hint="default" w:ascii="Times New Roman" w:hAnsi="Times New Roman" w:cs="Times New Roman"/>
        </w:rPr>
        <w:t>项目情况表</w:t>
      </w:r>
    </w:p>
    <w:p>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项目所在地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发包人地址</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rPr>
            </w:pPr>
            <w:r>
              <w:rPr>
                <w:rFonts w:hint="eastAsia" w:ascii="Times New Roman" w:hAnsi="Times New Roman" w:cs="Times New Roman"/>
                <w:szCs w:val="21"/>
                <w:lang w:val="en-US" w:eastAsia="zh-CN"/>
              </w:rPr>
              <w:t>签约合同价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服务期限</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服务内容</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描述</w:t>
            </w:r>
          </w:p>
        </w:tc>
        <w:tc>
          <w:tcPr>
            <w:tcW w:w="6253" w:type="dxa"/>
            <w:noWrap w:val="0"/>
            <w:vAlign w:val="top"/>
          </w:tcPr>
          <w:p>
            <w:pPr>
              <w:topLinePunct/>
              <w:spacing w:line="440" w:lineRule="exact"/>
              <w:ind w:firstLine="420" w:firstLineChars="200"/>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项目描述应包括但不限于项目名称、项目占地面积、建筑面积、结构型式、广告策划方案的主要内容、合同完成时间、发包人评价等。</w:t>
            </w: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注：投标人应根据投标人须知第3.5.</w:t>
      </w:r>
      <w:r>
        <w:rPr>
          <w:rFonts w:hint="eastAsia" w:ascii="Times New Roman" w:hAnsi="Times New Roman" w:cs="Times New Roman"/>
          <w:highlight w:val="none"/>
          <w:lang w:val="en-US" w:eastAsia="zh-CN"/>
        </w:rPr>
        <w:t>4</w:t>
      </w:r>
      <w:r>
        <w:rPr>
          <w:rFonts w:hint="default" w:ascii="Times New Roman" w:hAnsi="Times New Roman" w:cs="Times New Roman"/>
          <w:highlight w:val="none"/>
          <w:lang w:val="en-US" w:eastAsia="zh-CN"/>
        </w:rPr>
        <w:t>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附：3.5.4 “正在服务和新承接的项目情况表”应附中标通知书或合同协议书复印件；每张表格只填写一个项目，并标明序号。</w:t>
      </w:r>
    </w:p>
    <w:p>
      <w:pPr>
        <w:rPr>
          <w:rFonts w:hint="default" w:ascii="Times New Roman" w:hAnsi="Times New Roman" w:cs="Times New Roman"/>
        </w:rPr>
      </w:pPr>
      <w:r>
        <w:rPr>
          <w:rFonts w:hint="default" w:ascii="Times New Roman" w:hAnsi="Times New Roman" w:cs="Times New Roman"/>
        </w:rPr>
        <w:br w:type="page"/>
      </w:r>
    </w:p>
    <w:p>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）近年发生的诉讼及仲裁情况</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Theme="minorEastAsia"/>
          <w:lang w:val="en-US" w:eastAsia="zh-CN"/>
        </w:rPr>
      </w:pPr>
      <w:r>
        <w:rPr>
          <w:rFonts w:ascii="Times New Roman" w:hAnsi="Times New Roman"/>
        </w:rPr>
        <w:t>注：</w:t>
      </w:r>
      <w:r>
        <w:rPr>
          <w:rFonts w:hint="eastAsia" w:ascii="Times New Roman" w:hAnsi="Times New Roman"/>
          <w:lang w:val="en-US" w:eastAsia="zh-CN"/>
        </w:rPr>
        <w:t>投标人应根据投标人须知第3.5.5项的要求附相关证明材料。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highlight w:val="none"/>
        </w:rPr>
      </w:pPr>
      <w:r>
        <w:rPr>
          <w:rFonts w:hint="eastAsia" w:ascii="Times New Roman" w:hAnsi="Times New Roman"/>
          <w:highlight w:val="none"/>
          <w:lang w:val="en-US" w:eastAsia="zh-CN"/>
        </w:rPr>
        <w:t>附：3.5.5 “近年</w:t>
      </w:r>
      <w:r>
        <w:rPr>
          <w:rFonts w:hint="eastAsia" w:ascii="Times New Roman" w:hAnsi="Times New Roman" w:cs="Times New Roman"/>
          <w:highlight w:val="none"/>
          <w:lang w:val="en-US" w:eastAsia="zh-CN"/>
        </w:rPr>
        <w:t>发生</w:t>
      </w:r>
      <w:r>
        <w:rPr>
          <w:rFonts w:hint="eastAsia" w:ascii="Times New Roman" w:hAnsi="Times New Roman"/>
          <w:highlight w:val="none"/>
          <w:lang w:val="en-US" w:eastAsia="zh-CN"/>
        </w:rPr>
        <w:t>的诉讼及仲裁情况”应说明投标人败诉的</w:t>
      </w:r>
      <w:r>
        <w:rPr>
          <w:rFonts w:hint="eastAsia" w:ascii="Times New Roman" w:hAnsi="Times New Roman"/>
          <w:highlight w:val="none"/>
          <w:u w:val="single"/>
          <w:lang w:val="en-US" w:eastAsia="zh-CN"/>
        </w:rPr>
        <w:t>服务合同</w:t>
      </w:r>
      <w:r>
        <w:rPr>
          <w:rFonts w:hint="eastAsia" w:ascii="Times New Roman" w:hAnsi="Times New Roman"/>
          <w:highlight w:val="none"/>
          <w:lang w:val="en-US" w:eastAsia="zh-CN"/>
        </w:rPr>
        <w:t>的相关情况，并附法院或仲裁机构作出的判决、裁决等有关法律文书复印件，具体时间要求见投标人须知前附表。</w:t>
      </w:r>
    </w:p>
    <w:p>
      <w:pPr>
        <w:rPr>
          <w:rFonts w:hint="eastAsia"/>
        </w:rPr>
      </w:pPr>
      <w:r>
        <w:rPr>
          <w:rFonts w:hint="eastAsia"/>
        </w:rPr>
        <w:br w:type="page"/>
      </w:r>
    </w:p>
    <w:p>
      <w:pPr>
        <w:pStyle w:val="4"/>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（六）拟委任的主要人员汇总表</w:t>
      </w:r>
    </w:p>
    <w:tbl>
      <w:tblPr>
        <w:tblStyle w:val="17"/>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3"/>
        <w:gridCol w:w="1614"/>
        <w:gridCol w:w="794"/>
        <w:gridCol w:w="794"/>
        <w:gridCol w:w="794"/>
        <w:gridCol w:w="1341"/>
        <w:gridCol w:w="794"/>
        <w:gridCol w:w="804"/>
        <w:gridCol w:w="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序号</w:t>
            </w:r>
          </w:p>
        </w:tc>
        <w:tc>
          <w:tcPr>
            <w:tcW w:w="948"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本项目任职</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姓名</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职称</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专业</w:t>
            </w:r>
          </w:p>
        </w:tc>
        <w:tc>
          <w:tcPr>
            <w:tcW w:w="1725" w:type="pct"/>
            <w:gridSpan w:val="3"/>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执业或职业资格证明</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证明名称</w:t>
            </w: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级别</w:t>
            </w: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证号</w:t>
            </w: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highlight w:val="none"/>
          <w:lang w:val="en-US" w:eastAsia="zh-CN"/>
        </w:rPr>
      </w:pPr>
      <w:r>
        <w:rPr>
          <w:rFonts w:hint="eastAsia" w:ascii="Times New Roman" w:hAnsi="Times New Roman"/>
          <w:highlight w:val="none"/>
          <w:lang w:val="en-US" w:eastAsia="zh-CN"/>
        </w:rPr>
        <w:t>附：3.5.6 “拟委任的主要人员汇总表”应填报满足第二章投标人须知第1.4.1项规定的项目负责人和其他主要人员的相关信息。</w:t>
      </w:r>
    </w:p>
    <w:p>
      <w:pPr>
        <w:pStyle w:val="4"/>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（七）主要人员简历表</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1134"/>
        <w:gridCol w:w="1134"/>
        <w:gridCol w:w="1134"/>
        <w:gridCol w:w="1701"/>
        <w:gridCol w:w="22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姓名</w:t>
            </w:r>
          </w:p>
        </w:tc>
        <w:tc>
          <w:tcPr>
            <w:tcW w:w="1134" w:type="dxa"/>
            <w:vAlign w:val="center"/>
          </w:tcPr>
          <w:p>
            <w:pPr>
              <w:jc w:val="center"/>
              <w:rPr>
                <w:rFonts w:hint="eastAsia"/>
                <w:i w:val="0"/>
                <w:iCs w:val="0"/>
                <w:color w:val="auto"/>
                <w:u w:val="none"/>
                <w:vertAlign w:val="baseline"/>
                <w:lang w:val="en-US" w:eastAsia="zh-CN"/>
              </w:rPr>
            </w:pPr>
          </w:p>
        </w:tc>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年龄</w:t>
            </w:r>
          </w:p>
        </w:tc>
        <w:tc>
          <w:tcPr>
            <w:tcW w:w="1134" w:type="dxa"/>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执业资格证书（或上岗证书）名称</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职称</w:t>
            </w:r>
          </w:p>
        </w:tc>
        <w:tc>
          <w:tcPr>
            <w:tcW w:w="1134" w:type="dxa"/>
            <w:vAlign w:val="center"/>
          </w:tcPr>
          <w:p>
            <w:pPr>
              <w:jc w:val="center"/>
              <w:rPr>
                <w:rFonts w:hint="eastAsia"/>
                <w:i w:val="0"/>
                <w:iCs w:val="0"/>
                <w:color w:val="auto"/>
                <w:u w:val="none"/>
                <w:vertAlign w:val="baseline"/>
                <w:lang w:val="en-US" w:eastAsia="zh-CN"/>
              </w:rPr>
            </w:pPr>
          </w:p>
        </w:tc>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学历</w:t>
            </w:r>
          </w:p>
        </w:tc>
        <w:tc>
          <w:tcPr>
            <w:tcW w:w="1134" w:type="dxa"/>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拟在本项目任职</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工作年限</w:t>
            </w: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r>
              <w:rPr>
                <w:rFonts w:hint="eastAsia"/>
                <w:i w:val="0"/>
                <w:iCs w:val="0"/>
                <w:color w:val="auto"/>
                <w:u w:val="none"/>
                <w:vertAlign w:val="baseline"/>
                <w:lang w:val="en-US" w:eastAsia="zh-CN"/>
              </w:rPr>
              <w:t>从事相关</w:t>
            </w:r>
          </w:p>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工作年限</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毕业学校</w:t>
            </w:r>
          </w:p>
        </w:tc>
        <w:tc>
          <w:tcPr>
            <w:tcW w:w="7388" w:type="dxa"/>
            <w:gridSpan w:val="5"/>
            <w:vAlign w:val="center"/>
          </w:tcPr>
          <w:p>
            <w:pPr>
              <w:jc w:val="both"/>
              <w:rPr>
                <w:rFonts w:hint="default"/>
                <w:i w:val="0"/>
                <w:iCs w:val="0"/>
                <w:color w:val="auto"/>
                <w:u w:val="none"/>
                <w:vertAlign w:val="baseline"/>
                <w:lang w:val="en-US" w:eastAsia="zh-CN"/>
              </w:rPr>
            </w:pP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年毕业于</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学校</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6"/>
            <w:vAlign w:val="center"/>
          </w:tcPr>
          <w:p>
            <w:pPr>
              <w:jc w:val="both"/>
              <w:rPr>
                <w:rFonts w:hint="eastAsia"/>
                <w:i w:val="0"/>
                <w:iCs w:val="0"/>
                <w:color w:val="auto"/>
                <w:u w:val="none"/>
                <w:vertAlign w:val="baseline"/>
                <w:lang w:val="en-US" w:eastAsia="zh-CN"/>
              </w:rPr>
            </w:pPr>
            <w:r>
              <w:rPr>
                <w:rFonts w:hint="eastAsia"/>
                <w:i w:val="0"/>
                <w:iCs w:val="0"/>
                <w:color w:val="auto"/>
                <w:u w:val="none"/>
                <w:vertAlign w:val="baseline"/>
                <w:lang w:val="en-US" w:eastAsia="zh-CN"/>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时间</w:t>
            </w:r>
          </w:p>
        </w:tc>
        <w:tc>
          <w:tcPr>
            <w:tcW w:w="3402" w:type="dxa"/>
            <w:gridSpan w:val="3"/>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参加过的类似项目</w:t>
            </w: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担任职称</w:t>
            </w:r>
          </w:p>
        </w:tc>
        <w:tc>
          <w:tcPr>
            <w:tcW w:w="2285"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default" w:ascii="Times New Roman" w:hAnsi="Times New Roman" w:eastAsia="宋体" w:cs="Times New Roman"/>
          <w:i w:val="0"/>
          <w:iCs w:val="0"/>
          <w:color w:val="auto"/>
          <w:u w:val="none"/>
          <w:lang w:val="en-US" w:eastAsia="zh-CN"/>
        </w:rPr>
        <w:t>注：投标人应根据投标人须知第3.5.6项的要求在本表后附相关证明材料。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eastAsia" w:ascii="Times New Roman" w:hAnsi="Times New Roman" w:eastAsia="宋体" w:cs="Times New Roman"/>
          <w:i w:val="0"/>
          <w:iCs w:val="0"/>
          <w:color w:val="auto"/>
          <w:u w:val="none"/>
          <w:lang w:val="en-US" w:eastAsia="zh-CN"/>
        </w:rPr>
        <w:t>附：3.5.6 “主要人员简历表”中项目负责人应附身份证、学历证、职称证、执业资格证书和</w:t>
      </w:r>
      <w:r>
        <w:rPr>
          <w:rFonts w:hint="eastAsia" w:ascii="Times New Roman" w:hAnsi="Times New Roman" w:eastAsia="宋体" w:cs="Times New Roman"/>
          <w:i w:val="0"/>
          <w:iCs w:val="0"/>
          <w:color w:val="FF0000"/>
          <w:highlight w:val="none"/>
          <w:u w:val="single"/>
          <w:lang w:val="en-US" w:eastAsia="zh-CN"/>
        </w:rPr>
        <w:t>2020年6月以来任意连续3个月</w:t>
      </w:r>
      <w:r>
        <w:rPr>
          <w:rFonts w:hint="eastAsia" w:ascii="Times New Roman" w:hAnsi="Times New Roman" w:eastAsia="宋体" w:cs="Times New Roman"/>
          <w:i w:val="0"/>
          <w:iCs w:val="0"/>
          <w:color w:val="auto"/>
          <w:u w:val="none"/>
          <w:lang w:val="en-US" w:eastAsia="zh-CN"/>
        </w:rPr>
        <w:t>的社保缴费证明复印件，管理过的项目业绩须附合同协议书复印件；其他主要人员应附身份证、学历证、职称证、有关证书和</w:t>
      </w:r>
      <w:r>
        <w:rPr>
          <w:rFonts w:hint="eastAsia" w:ascii="Times New Roman" w:hAnsi="Times New Roman" w:eastAsia="宋体" w:cs="Times New Roman"/>
          <w:i w:val="0"/>
          <w:iCs w:val="0"/>
          <w:color w:val="FF0000"/>
          <w:highlight w:val="none"/>
          <w:u w:val="single"/>
          <w:lang w:val="en-US" w:eastAsia="zh-CN"/>
        </w:rPr>
        <w:t>2020年6月以来任意连续3个月</w:t>
      </w:r>
      <w:r>
        <w:rPr>
          <w:rFonts w:hint="eastAsia" w:ascii="Times New Roman" w:hAnsi="Times New Roman" w:eastAsia="宋体" w:cs="Times New Roman"/>
          <w:i w:val="0"/>
          <w:iCs w:val="0"/>
          <w:color w:val="auto"/>
          <w:u w:val="none"/>
          <w:lang w:val="en-US" w:eastAsia="zh-CN"/>
        </w:rPr>
        <w:t>社保缴费证明复印件。</w:t>
      </w:r>
    </w:p>
    <w:p>
      <w:pPr>
        <w:rPr>
          <w:rFonts w:hint="eastAsia"/>
          <w:i/>
          <w:iCs/>
          <w:color w:val="FF0000"/>
          <w:u w:val="single"/>
          <w:lang w:val="en-US" w:eastAsia="zh-CN"/>
        </w:rPr>
      </w:pPr>
      <w:r>
        <w:rPr>
          <w:rFonts w:hint="eastAsia"/>
          <w:i/>
          <w:iCs/>
          <w:color w:val="FF0000"/>
          <w:u w:val="single"/>
          <w:lang w:val="en-US" w:eastAsia="zh-CN"/>
        </w:rPr>
        <w:br w:type="page"/>
      </w:r>
    </w:p>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p>
      <w:pPr>
        <w:pStyle w:val="3"/>
        <w:jc w:val="center"/>
        <w:rPr>
          <w:rFonts w:hint="default" w:eastAsia="黑体"/>
          <w:highlight w:val="none"/>
          <w:lang w:val="en-US" w:eastAsia="zh-CN"/>
        </w:rPr>
      </w:pPr>
      <w:r>
        <w:rPr>
          <w:rFonts w:hint="eastAsia"/>
          <w:highlight w:val="none"/>
          <w:lang w:val="en-US" w:eastAsia="zh-CN"/>
        </w:rPr>
        <w:t>六</w:t>
      </w:r>
      <w:r>
        <w:rPr>
          <w:highlight w:val="none"/>
        </w:rPr>
        <w:t>、</w:t>
      </w:r>
      <w:r>
        <w:rPr>
          <w:rFonts w:hint="eastAsia"/>
          <w:highlight w:val="none"/>
          <w:lang w:val="en-US" w:eastAsia="zh-CN"/>
        </w:rPr>
        <w:t>服务方案</w:t>
      </w:r>
    </w:p>
    <w:p>
      <w:pPr>
        <w:keepNext w:val="0"/>
        <w:keepLines w:val="0"/>
        <w:pageBreakBefore w:val="0"/>
        <w:widowControl w:val="0"/>
        <w:kinsoku/>
        <w:wordWrap/>
        <w:overflowPunct/>
        <w:topLinePunct w:val="0"/>
        <w:autoSpaceDE/>
        <w:autoSpaceDN/>
        <w:bidi w:val="0"/>
        <w:adjustRightInd/>
        <w:snapToGrid/>
        <w:spacing w:line="440" w:lineRule="exact"/>
        <w:ind w:firstLine="422" w:firstLineChars="200"/>
        <w:textAlignment w:val="auto"/>
        <w:rPr>
          <w:rFonts w:hint="default" w:ascii="Times New Roman" w:hAnsi="Times New Roman" w:cs="Times New Roman"/>
          <w:b/>
          <w:bCs/>
          <w:highlight w:val="none"/>
          <w:lang w:val="en-US" w:eastAsia="zh-CN"/>
        </w:rPr>
      </w:pPr>
      <w:r>
        <w:rPr>
          <w:rFonts w:hint="eastAsia" w:ascii="Times New Roman" w:hAnsi="Times New Roman" w:cs="Times New Roman"/>
          <w:b/>
          <w:bCs/>
          <w:highlight w:val="none"/>
          <w:lang w:val="en-US" w:eastAsia="zh-CN"/>
        </w:rPr>
        <w:t>服务方案格式参考如下，投标人可根据行业特点及具体情况进行调整：</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一、项目概况；</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二、服务范围、服务内容；</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三、工作依据、工作目标；</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四、机构设置（框图）、岗位职责；</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五、服务说明和服务方案；</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六、拟投入的主要人员；</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七、质量、进度、保密等保证措施；</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八、安全保证措施；</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九、工作重点、难点分析</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十、对本项目的合理化建议。</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p>
    <w:p>
      <w:pPr>
        <w:pStyle w:val="3"/>
        <w:jc w:val="center"/>
        <w:rPr>
          <w:rFonts w:hint="default" w:ascii="Times New Roman" w:hAnsi="Times New Roman" w:cs="Times New Roman"/>
        </w:rPr>
      </w:pPr>
      <w:r>
        <w:rPr>
          <w:rFonts w:hint="default" w:ascii="Times New Roman" w:hAnsi="Times New Roman" w:cs="Times New Roman"/>
        </w:rPr>
        <w:br w:type="page"/>
      </w:r>
      <w:bookmarkStart w:id="137" w:name="_Toc271821942"/>
      <w:bookmarkStart w:id="138" w:name="_Toc300835233"/>
      <w:r>
        <w:rPr>
          <w:rFonts w:hint="eastAsia" w:ascii="Times New Roman" w:hAnsi="Times New Roman" w:cs="Times New Roman"/>
          <w:lang w:val="en-US" w:eastAsia="zh-CN"/>
        </w:rPr>
        <w:t>七</w:t>
      </w:r>
      <w:r>
        <w:rPr>
          <w:rFonts w:hint="default" w:ascii="Times New Roman" w:hAnsi="Times New Roman" w:cs="Times New Roman"/>
        </w:rPr>
        <w:t>、其他资料</w:t>
      </w:r>
      <w:bookmarkEnd w:id="137"/>
      <w:bookmarkEnd w:id="138"/>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仿宋_GB2312" w:cs="Times New Roman"/>
          <w:b w:val="0"/>
          <w:bCs w:val="0"/>
          <w:kern w:val="0"/>
          <w:sz w:val="28"/>
          <w:szCs w:val="28"/>
          <w:highlight w:val="none"/>
          <w:vertAlign w:val="baseline"/>
          <w:lang w:val="en-US" w:eastAsia="zh-CN" w:bidi="ar-SA"/>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96BD7"/>
    <w:rsid w:val="000A4B92"/>
    <w:rsid w:val="001F62C8"/>
    <w:rsid w:val="002609D3"/>
    <w:rsid w:val="002C069E"/>
    <w:rsid w:val="002C27B7"/>
    <w:rsid w:val="0040224D"/>
    <w:rsid w:val="005B3F61"/>
    <w:rsid w:val="00733B0B"/>
    <w:rsid w:val="00746178"/>
    <w:rsid w:val="00764376"/>
    <w:rsid w:val="00796B76"/>
    <w:rsid w:val="00850CC0"/>
    <w:rsid w:val="008A465F"/>
    <w:rsid w:val="00B00F2F"/>
    <w:rsid w:val="00B07197"/>
    <w:rsid w:val="00B7173A"/>
    <w:rsid w:val="00C81162"/>
    <w:rsid w:val="00CE4249"/>
    <w:rsid w:val="00F77036"/>
    <w:rsid w:val="00FA7E7A"/>
    <w:rsid w:val="00FC5EA1"/>
    <w:rsid w:val="00FF308E"/>
    <w:rsid w:val="011E6004"/>
    <w:rsid w:val="01265F82"/>
    <w:rsid w:val="0145105E"/>
    <w:rsid w:val="01477ECF"/>
    <w:rsid w:val="015366DE"/>
    <w:rsid w:val="015D6DEE"/>
    <w:rsid w:val="01776822"/>
    <w:rsid w:val="017C04D7"/>
    <w:rsid w:val="017D6531"/>
    <w:rsid w:val="01891D75"/>
    <w:rsid w:val="019846E3"/>
    <w:rsid w:val="019A0D37"/>
    <w:rsid w:val="019F6B16"/>
    <w:rsid w:val="01A96F88"/>
    <w:rsid w:val="01AC09B9"/>
    <w:rsid w:val="01B734D5"/>
    <w:rsid w:val="01BC6192"/>
    <w:rsid w:val="01CB0CDF"/>
    <w:rsid w:val="01CD2334"/>
    <w:rsid w:val="01E140D3"/>
    <w:rsid w:val="01F16263"/>
    <w:rsid w:val="01FB5FA7"/>
    <w:rsid w:val="01FC6C8A"/>
    <w:rsid w:val="02016132"/>
    <w:rsid w:val="021323E7"/>
    <w:rsid w:val="021D348F"/>
    <w:rsid w:val="02562B11"/>
    <w:rsid w:val="026E5FAB"/>
    <w:rsid w:val="028E0BA6"/>
    <w:rsid w:val="02921EEB"/>
    <w:rsid w:val="02983D41"/>
    <w:rsid w:val="029B73B6"/>
    <w:rsid w:val="02A31129"/>
    <w:rsid w:val="02A46690"/>
    <w:rsid w:val="02AC508C"/>
    <w:rsid w:val="02BE075F"/>
    <w:rsid w:val="02C62A0C"/>
    <w:rsid w:val="02D15F15"/>
    <w:rsid w:val="02E85A11"/>
    <w:rsid w:val="02F4317E"/>
    <w:rsid w:val="03067649"/>
    <w:rsid w:val="0324584F"/>
    <w:rsid w:val="032652C7"/>
    <w:rsid w:val="0327280A"/>
    <w:rsid w:val="033964DC"/>
    <w:rsid w:val="0344745D"/>
    <w:rsid w:val="035021B2"/>
    <w:rsid w:val="035103B6"/>
    <w:rsid w:val="035A6997"/>
    <w:rsid w:val="03696450"/>
    <w:rsid w:val="03737C8E"/>
    <w:rsid w:val="038E65F9"/>
    <w:rsid w:val="03B06424"/>
    <w:rsid w:val="03B16CFB"/>
    <w:rsid w:val="03BD28F2"/>
    <w:rsid w:val="03C10800"/>
    <w:rsid w:val="03C96DCC"/>
    <w:rsid w:val="03D76A54"/>
    <w:rsid w:val="03F661CB"/>
    <w:rsid w:val="03FB71CD"/>
    <w:rsid w:val="040C579E"/>
    <w:rsid w:val="04127BBC"/>
    <w:rsid w:val="0414641F"/>
    <w:rsid w:val="041515CF"/>
    <w:rsid w:val="04210376"/>
    <w:rsid w:val="04212D24"/>
    <w:rsid w:val="042C575E"/>
    <w:rsid w:val="043175D2"/>
    <w:rsid w:val="04382327"/>
    <w:rsid w:val="043A6EF6"/>
    <w:rsid w:val="043F4B9B"/>
    <w:rsid w:val="043F5557"/>
    <w:rsid w:val="044363A4"/>
    <w:rsid w:val="046528EE"/>
    <w:rsid w:val="047422EC"/>
    <w:rsid w:val="047473E0"/>
    <w:rsid w:val="04786991"/>
    <w:rsid w:val="04806F13"/>
    <w:rsid w:val="04885B47"/>
    <w:rsid w:val="04A33316"/>
    <w:rsid w:val="04A52387"/>
    <w:rsid w:val="04B54547"/>
    <w:rsid w:val="04CD15E8"/>
    <w:rsid w:val="04CF4810"/>
    <w:rsid w:val="04D36D79"/>
    <w:rsid w:val="04D63FDF"/>
    <w:rsid w:val="04DC341B"/>
    <w:rsid w:val="04EB08D2"/>
    <w:rsid w:val="04EC7DA2"/>
    <w:rsid w:val="050252F6"/>
    <w:rsid w:val="051B12F6"/>
    <w:rsid w:val="054D04ED"/>
    <w:rsid w:val="055625ED"/>
    <w:rsid w:val="056553DC"/>
    <w:rsid w:val="0572490A"/>
    <w:rsid w:val="057E3D65"/>
    <w:rsid w:val="058253F2"/>
    <w:rsid w:val="05872EB9"/>
    <w:rsid w:val="05933026"/>
    <w:rsid w:val="05B47B0A"/>
    <w:rsid w:val="05BA17C0"/>
    <w:rsid w:val="05C166EB"/>
    <w:rsid w:val="05D9116E"/>
    <w:rsid w:val="05DF0447"/>
    <w:rsid w:val="05EC50A2"/>
    <w:rsid w:val="05FA76CD"/>
    <w:rsid w:val="060B41C8"/>
    <w:rsid w:val="060C7EF1"/>
    <w:rsid w:val="061C4B78"/>
    <w:rsid w:val="061F0438"/>
    <w:rsid w:val="0623163B"/>
    <w:rsid w:val="06256505"/>
    <w:rsid w:val="06292F58"/>
    <w:rsid w:val="063F4D83"/>
    <w:rsid w:val="064A364D"/>
    <w:rsid w:val="064B59D4"/>
    <w:rsid w:val="06501BB5"/>
    <w:rsid w:val="06624967"/>
    <w:rsid w:val="06626753"/>
    <w:rsid w:val="066620F9"/>
    <w:rsid w:val="06714440"/>
    <w:rsid w:val="067240CC"/>
    <w:rsid w:val="0675297E"/>
    <w:rsid w:val="0678324B"/>
    <w:rsid w:val="067D3128"/>
    <w:rsid w:val="06866D3C"/>
    <w:rsid w:val="06972E4E"/>
    <w:rsid w:val="069A3AC9"/>
    <w:rsid w:val="06A31B6E"/>
    <w:rsid w:val="06A51B4A"/>
    <w:rsid w:val="06A602CF"/>
    <w:rsid w:val="06A848F7"/>
    <w:rsid w:val="06B86823"/>
    <w:rsid w:val="06BF2153"/>
    <w:rsid w:val="06D375E0"/>
    <w:rsid w:val="06D9502E"/>
    <w:rsid w:val="06E329B2"/>
    <w:rsid w:val="06EB4F76"/>
    <w:rsid w:val="06ED1728"/>
    <w:rsid w:val="06F81D74"/>
    <w:rsid w:val="06F945C3"/>
    <w:rsid w:val="07341382"/>
    <w:rsid w:val="07351836"/>
    <w:rsid w:val="074267A8"/>
    <w:rsid w:val="074A7C93"/>
    <w:rsid w:val="07511E6E"/>
    <w:rsid w:val="07666E00"/>
    <w:rsid w:val="07723470"/>
    <w:rsid w:val="077B19B3"/>
    <w:rsid w:val="07803B85"/>
    <w:rsid w:val="078A5688"/>
    <w:rsid w:val="07962EAB"/>
    <w:rsid w:val="07972327"/>
    <w:rsid w:val="07A526A3"/>
    <w:rsid w:val="07A85930"/>
    <w:rsid w:val="07EE56D8"/>
    <w:rsid w:val="07FC7F9B"/>
    <w:rsid w:val="08135436"/>
    <w:rsid w:val="08135F8A"/>
    <w:rsid w:val="081A64E8"/>
    <w:rsid w:val="081A78AB"/>
    <w:rsid w:val="083726B7"/>
    <w:rsid w:val="0838660F"/>
    <w:rsid w:val="08392EBA"/>
    <w:rsid w:val="0844736D"/>
    <w:rsid w:val="08554A0D"/>
    <w:rsid w:val="08563EE1"/>
    <w:rsid w:val="08633C94"/>
    <w:rsid w:val="086D3DA1"/>
    <w:rsid w:val="08774BE1"/>
    <w:rsid w:val="087C0267"/>
    <w:rsid w:val="088F5820"/>
    <w:rsid w:val="08903F11"/>
    <w:rsid w:val="08932D8F"/>
    <w:rsid w:val="08B42C1D"/>
    <w:rsid w:val="08BF001C"/>
    <w:rsid w:val="08ED571D"/>
    <w:rsid w:val="08F30303"/>
    <w:rsid w:val="090347F9"/>
    <w:rsid w:val="09094C02"/>
    <w:rsid w:val="090B4E95"/>
    <w:rsid w:val="09176975"/>
    <w:rsid w:val="0922447E"/>
    <w:rsid w:val="09285EF9"/>
    <w:rsid w:val="092D0C4C"/>
    <w:rsid w:val="09402156"/>
    <w:rsid w:val="094319EC"/>
    <w:rsid w:val="09553317"/>
    <w:rsid w:val="095B2DC5"/>
    <w:rsid w:val="095C220F"/>
    <w:rsid w:val="095C3083"/>
    <w:rsid w:val="096213E6"/>
    <w:rsid w:val="09633229"/>
    <w:rsid w:val="09641BD1"/>
    <w:rsid w:val="096637B6"/>
    <w:rsid w:val="0967298A"/>
    <w:rsid w:val="09817F0F"/>
    <w:rsid w:val="099B4112"/>
    <w:rsid w:val="09A4167C"/>
    <w:rsid w:val="09A71C3D"/>
    <w:rsid w:val="09AF2C22"/>
    <w:rsid w:val="09B32D8C"/>
    <w:rsid w:val="09B45CC6"/>
    <w:rsid w:val="09B9167B"/>
    <w:rsid w:val="09C37FE6"/>
    <w:rsid w:val="09CB20E0"/>
    <w:rsid w:val="09D236A1"/>
    <w:rsid w:val="09DB25D9"/>
    <w:rsid w:val="09DF226A"/>
    <w:rsid w:val="09EC69D2"/>
    <w:rsid w:val="09F24E69"/>
    <w:rsid w:val="09F55A47"/>
    <w:rsid w:val="09F61499"/>
    <w:rsid w:val="09F80B72"/>
    <w:rsid w:val="0A074254"/>
    <w:rsid w:val="0A0D1983"/>
    <w:rsid w:val="0A3B332D"/>
    <w:rsid w:val="0A3F6135"/>
    <w:rsid w:val="0A4A4D09"/>
    <w:rsid w:val="0A4D21A5"/>
    <w:rsid w:val="0A500304"/>
    <w:rsid w:val="0A5234C1"/>
    <w:rsid w:val="0A544005"/>
    <w:rsid w:val="0A605FF5"/>
    <w:rsid w:val="0A704DEE"/>
    <w:rsid w:val="0A8B5261"/>
    <w:rsid w:val="0A8E5075"/>
    <w:rsid w:val="0A9001DC"/>
    <w:rsid w:val="0A9022CF"/>
    <w:rsid w:val="0A99152D"/>
    <w:rsid w:val="0A9F1087"/>
    <w:rsid w:val="0AA913FB"/>
    <w:rsid w:val="0AAE6B76"/>
    <w:rsid w:val="0AB37F43"/>
    <w:rsid w:val="0AB930A2"/>
    <w:rsid w:val="0AD9199A"/>
    <w:rsid w:val="0ADD0DF0"/>
    <w:rsid w:val="0AE12CD3"/>
    <w:rsid w:val="0AE31424"/>
    <w:rsid w:val="0AE617F3"/>
    <w:rsid w:val="0AEB40E8"/>
    <w:rsid w:val="0B2810DB"/>
    <w:rsid w:val="0B2E135C"/>
    <w:rsid w:val="0B416906"/>
    <w:rsid w:val="0B44058A"/>
    <w:rsid w:val="0B5D1C2A"/>
    <w:rsid w:val="0B683A4F"/>
    <w:rsid w:val="0B685C3C"/>
    <w:rsid w:val="0B7202E7"/>
    <w:rsid w:val="0B725051"/>
    <w:rsid w:val="0B8C63AF"/>
    <w:rsid w:val="0B991D46"/>
    <w:rsid w:val="0B9E2A8E"/>
    <w:rsid w:val="0B9F686D"/>
    <w:rsid w:val="0BB82A2B"/>
    <w:rsid w:val="0BC817F0"/>
    <w:rsid w:val="0BE71E62"/>
    <w:rsid w:val="0C110CA2"/>
    <w:rsid w:val="0C175AC8"/>
    <w:rsid w:val="0C364F9E"/>
    <w:rsid w:val="0C773477"/>
    <w:rsid w:val="0C905D65"/>
    <w:rsid w:val="0C9F113B"/>
    <w:rsid w:val="0CAF0053"/>
    <w:rsid w:val="0CD3448B"/>
    <w:rsid w:val="0CD42B77"/>
    <w:rsid w:val="0CF072F3"/>
    <w:rsid w:val="0D0C3D32"/>
    <w:rsid w:val="0D2466BD"/>
    <w:rsid w:val="0D3575AB"/>
    <w:rsid w:val="0D3A1668"/>
    <w:rsid w:val="0D4120AF"/>
    <w:rsid w:val="0D447FB8"/>
    <w:rsid w:val="0D4965D9"/>
    <w:rsid w:val="0D4A67B7"/>
    <w:rsid w:val="0D5C2246"/>
    <w:rsid w:val="0D5C46C4"/>
    <w:rsid w:val="0D66752B"/>
    <w:rsid w:val="0D6A3C45"/>
    <w:rsid w:val="0D6B611E"/>
    <w:rsid w:val="0D7E1788"/>
    <w:rsid w:val="0D7F3B4D"/>
    <w:rsid w:val="0D84383E"/>
    <w:rsid w:val="0D887338"/>
    <w:rsid w:val="0DA13B17"/>
    <w:rsid w:val="0DA277FF"/>
    <w:rsid w:val="0DB8057F"/>
    <w:rsid w:val="0DC57869"/>
    <w:rsid w:val="0DD331D8"/>
    <w:rsid w:val="0DDB677F"/>
    <w:rsid w:val="0DE90B73"/>
    <w:rsid w:val="0DF043C6"/>
    <w:rsid w:val="0E05197A"/>
    <w:rsid w:val="0E093A81"/>
    <w:rsid w:val="0E1060AD"/>
    <w:rsid w:val="0E1201C4"/>
    <w:rsid w:val="0E3C08A3"/>
    <w:rsid w:val="0E493D37"/>
    <w:rsid w:val="0E525503"/>
    <w:rsid w:val="0E5C46C9"/>
    <w:rsid w:val="0E5E6C82"/>
    <w:rsid w:val="0E626142"/>
    <w:rsid w:val="0E6D2ED0"/>
    <w:rsid w:val="0E6D3EE4"/>
    <w:rsid w:val="0E73304D"/>
    <w:rsid w:val="0E766E25"/>
    <w:rsid w:val="0E8168AC"/>
    <w:rsid w:val="0E92031F"/>
    <w:rsid w:val="0E9601D9"/>
    <w:rsid w:val="0EB07759"/>
    <w:rsid w:val="0EBD5C4C"/>
    <w:rsid w:val="0ED9692D"/>
    <w:rsid w:val="0EDF4D5E"/>
    <w:rsid w:val="0EF860F0"/>
    <w:rsid w:val="0F00127D"/>
    <w:rsid w:val="0F024085"/>
    <w:rsid w:val="0F1438EF"/>
    <w:rsid w:val="0F3D265E"/>
    <w:rsid w:val="0F463825"/>
    <w:rsid w:val="0F4B0F6A"/>
    <w:rsid w:val="0F575798"/>
    <w:rsid w:val="0F5F0514"/>
    <w:rsid w:val="0F5F5CB1"/>
    <w:rsid w:val="0F670A63"/>
    <w:rsid w:val="0F6D192D"/>
    <w:rsid w:val="0F6E4AA0"/>
    <w:rsid w:val="0F886069"/>
    <w:rsid w:val="0F8C7EF5"/>
    <w:rsid w:val="0F945C31"/>
    <w:rsid w:val="0F954878"/>
    <w:rsid w:val="0F9C512D"/>
    <w:rsid w:val="0FA819A2"/>
    <w:rsid w:val="0FB13C95"/>
    <w:rsid w:val="0FBB5204"/>
    <w:rsid w:val="0FCA08C0"/>
    <w:rsid w:val="0FCA14B6"/>
    <w:rsid w:val="0FD065A5"/>
    <w:rsid w:val="0FE059B7"/>
    <w:rsid w:val="0FE3156C"/>
    <w:rsid w:val="0FE42DE8"/>
    <w:rsid w:val="0FEA0147"/>
    <w:rsid w:val="0FEF7844"/>
    <w:rsid w:val="0FF072CE"/>
    <w:rsid w:val="0FF67BB1"/>
    <w:rsid w:val="100220BE"/>
    <w:rsid w:val="10025B65"/>
    <w:rsid w:val="101038A7"/>
    <w:rsid w:val="101E2D38"/>
    <w:rsid w:val="102A3008"/>
    <w:rsid w:val="10446D2F"/>
    <w:rsid w:val="104957CA"/>
    <w:rsid w:val="104A797E"/>
    <w:rsid w:val="104D6EF3"/>
    <w:rsid w:val="1069417C"/>
    <w:rsid w:val="106C1E4B"/>
    <w:rsid w:val="10754F51"/>
    <w:rsid w:val="1079104A"/>
    <w:rsid w:val="108A23D3"/>
    <w:rsid w:val="108E687D"/>
    <w:rsid w:val="1095135B"/>
    <w:rsid w:val="10AF7305"/>
    <w:rsid w:val="10CF5152"/>
    <w:rsid w:val="10D35E97"/>
    <w:rsid w:val="10E65AA9"/>
    <w:rsid w:val="10F47DFE"/>
    <w:rsid w:val="11114551"/>
    <w:rsid w:val="112269D1"/>
    <w:rsid w:val="11356135"/>
    <w:rsid w:val="11537004"/>
    <w:rsid w:val="115D1849"/>
    <w:rsid w:val="11800917"/>
    <w:rsid w:val="118955AD"/>
    <w:rsid w:val="11970BCB"/>
    <w:rsid w:val="1197226B"/>
    <w:rsid w:val="119E5143"/>
    <w:rsid w:val="11A23351"/>
    <w:rsid w:val="11AA0839"/>
    <w:rsid w:val="11BD1BCA"/>
    <w:rsid w:val="11BD5F4B"/>
    <w:rsid w:val="11C42470"/>
    <w:rsid w:val="11C71895"/>
    <w:rsid w:val="11CD444A"/>
    <w:rsid w:val="11E2334D"/>
    <w:rsid w:val="11E42782"/>
    <w:rsid w:val="11EA25BA"/>
    <w:rsid w:val="11FC3F3B"/>
    <w:rsid w:val="11FD41F5"/>
    <w:rsid w:val="11FE456B"/>
    <w:rsid w:val="120A72E0"/>
    <w:rsid w:val="12262DDA"/>
    <w:rsid w:val="12292E18"/>
    <w:rsid w:val="123F1A00"/>
    <w:rsid w:val="124D3BAD"/>
    <w:rsid w:val="12535B93"/>
    <w:rsid w:val="125A52C4"/>
    <w:rsid w:val="12655D96"/>
    <w:rsid w:val="126E70A7"/>
    <w:rsid w:val="12871BA1"/>
    <w:rsid w:val="128E3C38"/>
    <w:rsid w:val="12981122"/>
    <w:rsid w:val="129E250A"/>
    <w:rsid w:val="12BF2922"/>
    <w:rsid w:val="12C942C8"/>
    <w:rsid w:val="12D50370"/>
    <w:rsid w:val="12DC5F5E"/>
    <w:rsid w:val="12DC7F8C"/>
    <w:rsid w:val="12E2251E"/>
    <w:rsid w:val="12E82A0B"/>
    <w:rsid w:val="13027FAE"/>
    <w:rsid w:val="131873D2"/>
    <w:rsid w:val="131C5459"/>
    <w:rsid w:val="13212B64"/>
    <w:rsid w:val="13237A9A"/>
    <w:rsid w:val="13253C3A"/>
    <w:rsid w:val="13274F9C"/>
    <w:rsid w:val="13365EBF"/>
    <w:rsid w:val="13417410"/>
    <w:rsid w:val="134A448A"/>
    <w:rsid w:val="134C5D75"/>
    <w:rsid w:val="134F4267"/>
    <w:rsid w:val="134F7EA7"/>
    <w:rsid w:val="135107A8"/>
    <w:rsid w:val="13593CA5"/>
    <w:rsid w:val="135A2C11"/>
    <w:rsid w:val="136066CF"/>
    <w:rsid w:val="13657E31"/>
    <w:rsid w:val="136C3340"/>
    <w:rsid w:val="1387094F"/>
    <w:rsid w:val="138D74CD"/>
    <w:rsid w:val="139C08EB"/>
    <w:rsid w:val="13A41DAE"/>
    <w:rsid w:val="13AF64FC"/>
    <w:rsid w:val="13AF7657"/>
    <w:rsid w:val="13C25262"/>
    <w:rsid w:val="13D0213F"/>
    <w:rsid w:val="13D35238"/>
    <w:rsid w:val="13D81B1F"/>
    <w:rsid w:val="13ED6E9B"/>
    <w:rsid w:val="14061B66"/>
    <w:rsid w:val="140E6906"/>
    <w:rsid w:val="142B5FE2"/>
    <w:rsid w:val="142C3159"/>
    <w:rsid w:val="14334C51"/>
    <w:rsid w:val="14542872"/>
    <w:rsid w:val="147E2423"/>
    <w:rsid w:val="1487273A"/>
    <w:rsid w:val="148C28CB"/>
    <w:rsid w:val="14944440"/>
    <w:rsid w:val="14A059A0"/>
    <w:rsid w:val="14B87DF7"/>
    <w:rsid w:val="14B97B05"/>
    <w:rsid w:val="14CD31B9"/>
    <w:rsid w:val="14D32567"/>
    <w:rsid w:val="14DA6BBE"/>
    <w:rsid w:val="14E67563"/>
    <w:rsid w:val="14EE304A"/>
    <w:rsid w:val="15021B62"/>
    <w:rsid w:val="150A21BA"/>
    <w:rsid w:val="151779D1"/>
    <w:rsid w:val="151B2EFC"/>
    <w:rsid w:val="1522437E"/>
    <w:rsid w:val="15283931"/>
    <w:rsid w:val="153608A7"/>
    <w:rsid w:val="15382F40"/>
    <w:rsid w:val="154F1076"/>
    <w:rsid w:val="15593D90"/>
    <w:rsid w:val="15631036"/>
    <w:rsid w:val="158374C1"/>
    <w:rsid w:val="15883F0F"/>
    <w:rsid w:val="159D2DF0"/>
    <w:rsid w:val="15A62ECC"/>
    <w:rsid w:val="15B14179"/>
    <w:rsid w:val="15BB515A"/>
    <w:rsid w:val="15C516BD"/>
    <w:rsid w:val="15E14ACE"/>
    <w:rsid w:val="15E30544"/>
    <w:rsid w:val="15EA1C06"/>
    <w:rsid w:val="163972DF"/>
    <w:rsid w:val="166266B1"/>
    <w:rsid w:val="16636D0F"/>
    <w:rsid w:val="16664D45"/>
    <w:rsid w:val="166A29CC"/>
    <w:rsid w:val="16822D4F"/>
    <w:rsid w:val="168E157D"/>
    <w:rsid w:val="16A67EDC"/>
    <w:rsid w:val="16AE5D39"/>
    <w:rsid w:val="16C724D4"/>
    <w:rsid w:val="16D411E7"/>
    <w:rsid w:val="170756D4"/>
    <w:rsid w:val="170F4587"/>
    <w:rsid w:val="171C6910"/>
    <w:rsid w:val="17286409"/>
    <w:rsid w:val="172C7D14"/>
    <w:rsid w:val="17452741"/>
    <w:rsid w:val="176115DC"/>
    <w:rsid w:val="176D7525"/>
    <w:rsid w:val="17824660"/>
    <w:rsid w:val="178948A0"/>
    <w:rsid w:val="178D4F75"/>
    <w:rsid w:val="178F2FF8"/>
    <w:rsid w:val="179121FE"/>
    <w:rsid w:val="17915931"/>
    <w:rsid w:val="17A95D2F"/>
    <w:rsid w:val="17AE37BE"/>
    <w:rsid w:val="17B406A7"/>
    <w:rsid w:val="17BB073A"/>
    <w:rsid w:val="17C24576"/>
    <w:rsid w:val="17C41ABF"/>
    <w:rsid w:val="17E9387C"/>
    <w:rsid w:val="18116B1D"/>
    <w:rsid w:val="18175D56"/>
    <w:rsid w:val="181C44F7"/>
    <w:rsid w:val="18276B10"/>
    <w:rsid w:val="18341AA2"/>
    <w:rsid w:val="18396FF2"/>
    <w:rsid w:val="183C0E63"/>
    <w:rsid w:val="1866537E"/>
    <w:rsid w:val="187964F0"/>
    <w:rsid w:val="189B5F22"/>
    <w:rsid w:val="18A70256"/>
    <w:rsid w:val="18A944F8"/>
    <w:rsid w:val="18B117A1"/>
    <w:rsid w:val="18B30663"/>
    <w:rsid w:val="18B73074"/>
    <w:rsid w:val="18C5114B"/>
    <w:rsid w:val="18CA061B"/>
    <w:rsid w:val="18DA76F1"/>
    <w:rsid w:val="18DC597B"/>
    <w:rsid w:val="18E4164E"/>
    <w:rsid w:val="18E54122"/>
    <w:rsid w:val="19034C2D"/>
    <w:rsid w:val="1916127C"/>
    <w:rsid w:val="193D465D"/>
    <w:rsid w:val="193D4E12"/>
    <w:rsid w:val="195419D3"/>
    <w:rsid w:val="19605E78"/>
    <w:rsid w:val="196C4606"/>
    <w:rsid w:val="196C6238"/>
    <w:rsid w:val="19746D28"/>
    <w:rsid w:val="197C46C1"/>
    <w:rsid w:val="198A59D6"/>
    <w:rsid w:val="19A73D74"/>
    <w:rsid w:val="19AA5416"/>
    <w:rsid w:val="19B10C29"/>
    <w:rsid w:val="19B47ADC"/>
    <w:rsid w:val="19CE7FF6"/>
    <w:rsid w:val="19D03EAF"/>
    <w:rsid w:val="19D70C6D"/>
    <w:rsid w:val="19E2271F"/>
    <w:rsid w:val="19ED4AB6"/>
    <w:rsid w:val="19F3086D"/>
    <w:rsid w:val="19FF6399"/>
    <w:rsid w:val="1A075570"/>
    <w:rsid w:val="1A0873EE"/>
    <w:rsid w:val="1A097330"/>
    <w:rsid w:val="1A1C623A"/>
    <w:rsid w:val="1A222A0A"/>
    <w:rsid w:val="1A270D5F"/>
    <w:rsid w:val="1A2820C6"/>
    <w:rsid w:val="1A341AC0"/>
    <w:rsid w:val="1A4D4CED"/>
    <w:rsid w:val="1A735AEC"/>
    <w:rsid w:val="1A744BB1"/>
    <w:rsid w:val="1A761035"/>
    <w:rsid w:val="1A797469"/>
    <w:rsid w:val="1A8850B8"/>
    <w:rsid w:val="1AAB4E9C"/>
    <w:rsid w:val="1ADB0B95"/>
    <w:rsid w:val="1AEC3C17"/>
    <w:rsid w:val="1AF80851"/>
    <w:rsid w:val="1AF92C34"/>
    <w:rsid w:val="1B0361BC"/>
    <w:rsid w:val="1B0D61D2"/>
    <w:rsid w:val="1B262D26"/>
    <w:rsid w:val="1B2670F4"/>
    <w:rsid w:val="1B2D1E19"/>
    <w:rsid w:val="1B2D7FD6"/>
    <w:rsid w:val="1B374A35"/>
    <w:rsid w:val="1B3A5220"/>
    <w:rsid w:val="1B3B258E"/>
    <w:rsid w:val="1B432501"/>
    <w:rsid w:val="1B652C95"/>
    <w:rsid w:val="1B70155F"/>
    <w:rsid w:val="1B723039"/>
    <w:rsid w:val="1B7700FA"/>
    <w:rsid w:val="1B894EBC"/>
    <w:rsid w:val="1B8C1172"/>
    <w:rsid w:val="1B9269B7"/>
    <w:rsid w:val="1BB12BB2"/>
    <w:rsid w:val="1BCE49E9"/>
    <w:rsid w:val="1BD12722"/>
    <w:rsid w:val="1BD15865"/>
    <w:rsid w:val="1BDF24E0"/>
    <w:rsid w:val="1BE276B7"/>
    <w:rsid w:val="1BE90199"/>
    <w:rsid w:val="1BF17355"/>
    <w:rsid w:val="1BFE7E24"/>
    <w:rsid w:val="1C100B6A"/>
    <w:rsid w:val="1C2075D6"/>
    <w:rsid w:val="1C2B6CB4"/>
    <w:rsid w:val="1C2F15C4"/>
    <w:rsid w:val="1C3774BA"/>
    <w:rsid w:val="1C4C1274"/>
    <w:rsid w:val="1C5D4617"/>
    <w:rsid w:val="1C5D5F8B"/>
    <w:rsid w:val="1C637E71"/>
    <w:rsid w:val="1C6E241C"/>
    <w:rsid w:val="1C781F1C"/>
    <w:rsid w:val="1C7A099F"/>
    <w:rsid w:val="1C855634"/>
    <w:rsid w:val="1C9B2C88"/>
    <w:rsid w:val="1C9C2788"/>
    <w:rsid w:val="1CA83FE4"/>
    <w:rsid w:val="1CB07DF9"/>
    <w:rsid w:val="1CC3681B"/>
    <w:rsid w:val="1CC7761E"/>
    <w:rsid w:val="1CD143D0"/>
    <w:rsid w:val="1CE330DA"/>
    <w:rsid w:val="1CF251D3"/>
    <w:rsid w:val="1CFF3217"/>
    <w:rsid w:val="1D0C3E62"/>
    <w:rsid w:val="1D1D0D81"/>
    <w:rsid w:val="1D271412"/>
    <w:rsid w:val="1D576A44"/>
    <w:rsid w:val="1D5835F0"/>
    <w:rsid w:val="1D5D4990"/>
    <w:rsid w:val="1D6539B3"/>
    <w:rsid w:val="1D8C5045"/>
    <w:rsid w:val="1D9244F8"/>
    <w:rsid w:val="1D931CEA"/>
    <w:rsid w:val="1D9C5084"/>
    <w:rsid w:val="1DA0794B"/>
    <w:rsid w:val="1DB64AE5"/>
    <w:rsid w:val="1DB82722"/>
    <w:rsid w:val="1DC177D9"/>
    <w:rsid w:val="1DD1343B"/>
    <w:rsid w:val="1DD222FF"/>
    <w:rsid w:val="1DD94BEF"/>
    <w:rsid w:val="1DDE608F"/>
    <w:rsid w:val="1E021573"/>
    <w:rsid w:val="1E1A236E"/>
    <w:rsid w:val="1E225BB3"/>
    <w:rsid w:val="1E2A6113"/>
    <w:rsid w:val="1E2D212B"/>
    <w:rsid w:val="1E2E1737"/>
    <w:rsid w:val="1E2E6E13"/>
    <w:rsid w:val="1E32182A"/>
    <w:rsid w:val="1E5A61EE"/>
    <w:rsid w:val="1E713E2F"/>
    <w:rsid w:val="1E882116"/>
    <w:rsid w:val="1E927A94"/>
    <w:rsid w:val="1E991501"/>
    <w:rsid w:val="1EA573D8"/>
    <w:rsid w:val="1EB0513B"/>
    <w:rsid w:val="1EB4327E"/>
    <w:rsid w:val="1EB72F76"/>
    <w:rsid w:val="1EBC7943"/>
    <w:rsid w:val="1ED45036"/>
    <w:rsid w:val="1EDC61DD"/>
    <w:rsid w:val="1EE36B2C"/>
    <w:rsid w:val="1EEA786F"/>
    <w:rsid w:val="1EF15394"/>
    <w:rsid w:val="1EF342CB"/>
    <w:rsid w:val="1EF62481"/>
    <w:rsid w:val="1F020A44"/>
    <w:rsid w:val="1F041BC7"/>
    <w:rsid w:val="1F127B09"/>
    <w:rsid w:val="1F16394E"/>
    <w:rsid w:val="1F2354C8"/>
    <w:rsid w:val="1F36160E"/>
    <w:rsid w:val="1F3920FB"/>
    <w:rsid w:val="1F4544BF"/>
    <w:rsid w:val="1F560579"/>
    <w:rsid w:val="1F5D00BF"/>
    <w:rsid w:val="1F640255"/>
    <w:rsid w:val="1F671677"/>
    <w:rsid w:val="1F722047"/>
    <w:rsid w:val="1F904945"/>
    <w:rsid w:val="1F9E44D6"/>
    <w:rsid w:val="1FA32D78"/>
    <w:rsid w:val="1FAA6A2E"/>
    <w:rsid w:val="1FC11059"/>
    <w:rsid w:val="1FD608B1"/>
    <w:rsid w:val="1FE570E2"/>
    <w:rsid w:val="1FE7673E"/>
    <w:rsid w:val="200218B6"/>
    <w:rsid w:val="200E38F2"/>
    <w:rsid w:val="201E585F"/>
    <w:rsid w:val="20207229"/>
    <w:rsid w:val="20410B17"/>
    <w:rsid w:val="2049266D"/>
    <w:rsid w:val="20534B67"/>
    <w:rsid w:val="2054187A"/>
    <w:rsid w:val="20557DC5"/>
    <w:rsid w:val="205A5C16"/>
    <w:rsid w:val="205B7D6A"/>
    <w:rsid w:val="207C33EE"/>
    <w:rsid w:val="2081342E"/>
    <w:rsid w:val="208962FC"/>
    <w:rsid w:val="209740BF"/>
    <w:rsid w:val="2099242E"/>
    <w:rsid w:val="20AA1E5D"/>
    <w:rsid w:val="20AE5E99"/>
    <w:rsid w:val="20B0411F"/>
    <w:rsid w:val="20B25974"/>
    <w:rsid w:val="20D658C9"/>
    <w:rsid w:val="20D95B5B"/>
    <w:rsid w:val="20DC2416"/>
    <w:rsid w:val="20E43C38"/>
    <w:rsid w:val="20EA6CF6"/>
    <w:rsid w:val="20F22231"/>
    <w:rsid w:val="20FF6C87"/>
    <w:rsid w:val="21015C26"/>
    <w:rsid w:val="210D46F4"/>
    <w:rsid w:val="210D5036"/>
    <w:rsid w:val="21121083"/>
    <w:rsid w:val="211518DD"/>
    <w:rsid w:val="21196429"/>
    <w:rsid w:val="212B2F31"/>
    <w:rsid w:val="21307761"/>
    <w:rsid w:val="21327DB2"/>
    <w:rsid w:val="213A0D63"/>
    <w:rsid w:val="213D6756"/>
    <w:rsid w:val="213D7BD8"/>
    <w:rsid w:val="214C4EC5"/>
    <w:rsid w:val="21502326"/>
    <w:rsid w:val="2153567F"/>
    <w:rsid w:val="217422B6"/>
    <w:rsid w:val="218830DB"/>
    <w:rsid w:val="2188758A"/>
    <w:rsid w:val="21927CFA"/>
    <w:rsid w:val="21A61686"/>
    <w:rsid w:val="21AE0FC0"/>
    <w:rsid w:val="21BC2CB4"/>
    <w:rsid w:val="21C13A32"/>
    <w:rsid w:val="21D660F7"/>
    <w:rsid w:val="21DA0654"/>
    <w:rsid w:val="21EE31A8"/>
    <w:rsid w:val="21F3174D"/>
    <w:rsid w:val="220940EA"/>
    <w:rsid w:val="220A4BCF"/>
    <w:rsid w:val="22127266"/>
    <w:rsid w:val="221E15AC"/>
    <w:rsid w:val="22225038"/>
    <w:rsid w:val="22270787"/>
    <w:rsid w:val="222A3752"/>
    <w:rsid w:val="223659AD"/>
    <w:rsid w:val="224D73DD"/>
    <w:rsid w:val="224E5BF6"/>
    <w:rsid w:val="224F02C6"/>
    <w:rsid w:val="22592601"/>
    <w:rsid w:val="225F6B03"/>
    <w:rsid w:val="226D7B83"/>
    <w:rsid w:val="227D333D"/>
    <w:rsid w:val="22805079"/>
    <w:rsid w:val="22830B8E"/>
    <w:rsid w:val="22881D30"/>
    <w:rsid w:val="2290672C"/>
    <w:rsid w:val="2293123C"/>
    <w:rsid w:val="22A570EC"/>
    <w:rsid w:val="22A80FFA"/>
    <w:rsid w:val="22B70712"/>
    <w:rsid w:val="22C10E81"/>
    <w:rsid w:val="22D43243"/>
    <w:rsid w:val="22D704E6"/>
    <w:rsid w:val="22E75573"/>
    <w:rsid w:val="22ED5BB2"/>
    <w:rsid w:val="23146AE4"/>
    <w:rsid w:val="232E56FD"/>
    <w:rsid w:val="2330187C"/>
    <w:rsid w:val="233F5F96"/>
    <w:rsid w:val="235A5A61"/>
    <w:rsid w:val="235B2F11"/>
    <w:rsid w:val="235F4D23"/>
    <w:rsid w:val="236D4028"/>
    <w:rsid w:val="236F3431"/>
    <w:rsid w:val="237A75E1"/>
    <w:rsid w:val="238A4DFC"/>
    <w:rsid w:val="238D6946"/>
    <w:rsid w:val="23B04AEE"/>
    <w:rsid w:val="23B449C4"/>
    <w:rsid w:val="23CA7A4D"/>
    <w:rsid w:val="23DD21F3"/>
    <w:rsid w:val="23DF7B34"/>
    <w:rsid w:val="240C05DA"/>
    <w:rsid w:val="24226CC5"/>
    <w:rsid w:val="24312A4A"/>
    <w:rsid w:val="244A5E9A"/>
    <w:rsid w:val="244C4BB8"/>
    <w:rsid w:val="24691193"/>
    <w:rsid w:val="246C3A46"/>
    <w:rsid w:val="247152E7"/>
    <w:rsid w:val="24881DAE"/>
    <w:rsid w:val="24BC7675"/>
    <w:rsid w:val="24C57933"/>
    <w:rsid w:val="24E04616"/>
    <w:rsid w:val="24FC0DBA"/>
    <w:rsid w:val="24FF4342"/>
    <w:rsid w:val="24FF7718"/>
    <w:rsid w:val="251A7612"/>
    <w:rsid w:val="25237A22"/>
    <w:rsid w:val="25285AE1"/>
    <w:rsid w:val="252E0774"/>
    <w:rsid w:val="2544462C"/>
    <w:rsid w:val="25481BCE"/>
    <w:rsid w:val="254E3439"/>
    <w:rsid w:val="255453E5"/>
    <w:rsid w:val="255D36DD"/>
    <w:rsid w:val="25812F8D"/>
    <w:rsid w:val="25814DB7"/>
    <w:rsid w:val="25824959"/>
    <w:rsid w:val="25987A23"/>
    <w:rsid w:val="259D3936"/>
    <w:rsid w:val="259E2C83"/>
    <w:rsid w:val="25A0070B"/>
    <w:rsid w:val="25B460CA"/>
    <w:rsid w:val="25BC46FF"/>
    <w:rsid w:val="25C00CC8"/>
    <w:rsid w:val="25C517A2"/>
    <w:rsid w:val="25E62BDF"/>
    <w:rsid w:val="25F5789E"/>
    <w:rsid w:val="25FD6A72"/>
    <w:rsid w:val="2608561B"/>
    <w:rsid w:val="26196938"/>
    <w:rsid w:val="26261861"/>
    <w:rsid w:val="26382AAC"/>
    <w:rsid w:val="26405FF8"/>
    <w:rsid w:val="26410311"/>
    <w:rsid w:val="26506FAD"/>
    <w:rsid w:val="26617429"/>
    <w:rsid w:val="26645CEF"/>
    <w:rsid w:val="26656277"/>
    <w:rsid w:val="26663117"/>
    <w:rsid w:val="2673017F"/>
    <w:rsid w:val="267771CA"/>
    <w:rsid w:val="26807144"/>
    <w:rsid w:val="268A362E"/>
    <w:rsid w:val="269560EE"/>
    <w:rsid w:val="26AF686C"/>
    <w:rsid w:val="26BD6F5F"/>
    <w:rsid w:val="26CA60FC"/>
    <w:rsid w:val="26D16018"/>
    <w:rsid w:val="26D85E7A"/>
    <w:rsid w:val="26DB3228"/>
    <w:rsid w:val="26DF6074"/>
    <w:rsid w:val="26E05716"/>
    <w:rsid w:val="26FA6F48"/>
    <w:rsid w:val="26FE679C"/>
    <w:rsid w:val="271E59B6"/>
    <w:rsid w:val="272C11C0"/>
    <w:rsid w:val="27301EDB"/>
    <w:rsid w:val="27385772"/>
    <w:rsid w:val="27453115"/>
    <w:rsid w:val="274F6B1E"/>
    <w:rsid w:val="27547EE4"/>
    <w:rsid w:val="276C029F"/>
    <w:rsid w:val="27867E0A"/>
    <w:rsid w:val="27912807"/>
    <w:rsid w:val="2792515D"/>
    <w:rsid w:val="27982DD4"/>
    <w:rsid w:val="27A1656E"/>
    <w:rsid w:val="27B2212B"/>
    <w:rsid w:val="27CC67E7"/>
    <w:rsid w:val="27D96892"/>
    <w:rsid w:val="27DD09CE"/>
    <w:rsid w:val="27E20FE5"/>
    <w:rsid w:val="27EC553C"/>
    <w:rsid w:val="280C4BFC"/>
    <w:rsid w:val="2813394B"/>
    <w:rsid w:val="281C1F63"/>
    <w:rsid w:val="281C54D8"/>
    <w:rsid w:val="2832749A"/>
    <w:rsid w:val="283610D5"/>
    <w:rsid w:val="285F5293"/>
    <w:rsid w:val="28622D71"/>
    <w:rsid w:val="286E69FD"/>
    <w:rsid w:val="28705AEC"/>
    <w:rsid w:val="2874076E"/>
    <w:rsid w:val="28921104"/>
    <w:rsid w:val="289524E1"/>
    <w:rsid w:val="28C56178"/>
    <w:rsid w:val="28D42521"/>
    <w:rsid w:val="28D51A0C"/>
    <w:rsid w:val="28DE24EF"/>
    <w:rsid w:val="28DF0877"/>
    <w:rsid w:val="28E349BC"/>
    <w:rsid w:val="28FA546B"/>
    <w:rsid w:val="28FE025E"/>
    <w:rsid w:val="291D70F7"/>
    <w:rsid w:val="29245F1A"/>
    <w:rsid w:val="29290073"/>
    <w:rsid w:val="29366359"/>
    <w:rsid w:val="29456427"/>
    <w:rsid w:val="294820D8"/>
    <w:rsid w:val="29492412"/>
    <w:rsid w:val="29586D7A"/>
    <w:rsid w:val="29772B51"/>
    <w:rsid w:val="29791894"/>
    <w:rsid w:val="2981202B"/>
    <w:rsid w:val="29840124"/>
    <w:rsid w:val="2984235F"/>
    <w:rsid w:val="29844E30"/>
    <w:rsid w:val="299400E6"/>
    <w:rsid w:val="29967FD2"/>
    <w:rsid w:val="29972080"/>
    <w:rsid w:val="29A055D0"/>
    <w:rsid w:val="29A52D8F"/>
    <w:rsid w:val="29B76175"/>
    <w:rsid w:val="29B9118A"/>
    <w:rsid w:val="29C56C3A"/>
    <w:rsid w:val="29C5793C"/>
    <w:rsid w:val="29D21D69"/>
    <w:rsid w:val="29D85278"/>
    <w:rsid w:val="29E1380C"/>
    <w:rsid w:val="29E16B08"/>
    <w:rsid w:val="29E85046"/>
    <w:rsid w:val="2A017BFD"/>
    <w:rsid w:val="2A0A71F8"/>
    <w:rsid w:val="2A4913A2"/>
    <w:rsid w:val="2A555F6F"/>
    <w:rsid w:val="2A5C5810"/>
    <w:rsid w:val="2A606125"/>
    <w:rsid w:val="2A651A82"/>
    <w:rsid w:val="2A6D7B04"/>
    <w:rsid w:val="2A9154D8"/>
    <w:rsid w:val="2AA04C57"/>
    <w:rsid w:val="2AAF4FD6"/>
    <w:rsid w:val="2AD750C3"/>
    <w:rsid w:val="2AE77D08"/>
    <w:rsid w:val="2AEA3011"/>
    <w:rsid w:val="2AEB73AD"/>
    <w:rsid w:val="2AF315E7"/>
    <w:rsid w:val="2B0014BF"/>
    <w:rsid w:val="2B1C0596"/>
    <w:rsid w:val="2B200903"/>
    <w:rsid w:val="2B252D72"/>
    <w:rsid w:val="2B3E0375"/>
    <w:rsid w:val="2B492499"/>
    <w:rsid w:val="2B6438CC"/>
    <w:rsid w:val="2B652A8D"/>
    <w:rsid w:val="2B6A2F63"/>
    <w:rsid w:val="2B6C55DB"/>
    <w:rsid w:val="2B75494F"/>
    <w:rsid w:val="2B7F70AE"/>
    <w:rsid w:val="2B885372"/>
    <w:rsid w:val="2B8A2FFD"/>
    <w:rsid w:val="2B8D5640"/>
    <w:rsid w:val="2B8E3DDE"/>
    <w:rsid w:val="2BA46A0B"/>
    <w:rsid w:val="2BBA2DA3"/>
    <w:rsid w:val="2BD90E44"/>
    <w:rsid w:val="2BDE1B83"/>
    <w:rsid w:val="2BF4029C"/>
    <w:rsid w:val="2C183D71"/>
    <w:rsid w:val="2C1C6937"/>
    <w:rsid w:val="2C202757"/>
    <w:rsid w:val="2C270D43"/>
    <w:rsid w:val="2C562B1A"/>
    <w:rsid w:val="2C6436A6"/>
    <w:rsid w:val="2C7A2A8F"/>
    <w:rsid w:val="2C8D731E"/>
    <w:rsid w:val="2C9023A5"/>
    <w:rsid w:val="2C937549"/>
    <w:rsid w:val="2C9D6A04"/>
    <w:rsid w:val="2CB62598"/>
    <w:rsid w:val="2CBC136A"/>
    <w:rsid w:val="2CC57724"/>
    <w:rsid w:val="2CCD3F07"/>
    <w:rsid w:val="2CF46243"/>
    <w:rsid w:val="2CFB48FA"/>
    <w:rsid w:val="2CFE607B"/>
    <w:rsid w:val="2D095409"/>
    <w:rsid w:val="2D096D16"/>
    <w:rsid w:val="2D185752"/>
    <w:rsid w:val="2D204FAE"/>
    <w:rsid w:val="2D213A27"/>
    <w:rsid w:val="2D3A3199"/>
    <w:rsid w:val="2D3B27F8"/>
    <w:rsid w:val="2D443FDB"/>
    <w:rsid w:val="2D4B38E7"/>
    <w:rsid w:val="2D5470D9"/>
    <w:rsid w:val="2D551303"/>
    <w:rsid w:val="2D6844C6"/>
    <w:rsid w:val="2D772574"/>
    <w:rsid w:val="2D7E63CF"/>
    <w:rsid w:val="2D893900"/>
    <w:rsid w:val="2D8D31B7"/>
    <w:rsid w:val="2D8D5835"/>
    <w:rsid w:val="2DA54623"/>
    <w:rsid w:val="2DAB1C25"/>
    <w:rsid w:val="2DCC12FC"/>
    <w:rsid w:val="2DCD34B4"/>
    <w:rsid w:val="2DD66E3A"/>
    <w:rsid w:val="2DE54D24"/>
    <w:rsid w:val="2DEC5FDC"/>
    <w:rsid w:val="2DF17D73"/>
    <w:rsid w:val="2E0825A5"/>
    <w:rsid w:val="2E127CEC"/>
    <w:rsid w:val="2E1C3BFA"/>
    <w:rsid w:val="2E322064"/>
    <w:rsid w:val="2E614DCE"/>
    <w:rsid w:val="2E652B8E"/>
    <w:rsid w:val="2E66167A"/>
    <w:rsid w:val="2E687A2E"/>
    <w:rsid w:val="2E6C7EF1"/>
    <w:rsid w:val="2E6D69DB"/>
    <w:rsid w:val="2E6F6584"/>
    <w:rsid w:val="2E7823B0"/>
    <w:rsid w:val="2E9168AD"/>
    <w:rsid w:val="2E933BCE"/>
    <w:rsid w:val="2E9C6490"/>
    <w:rsid w:val="2EA40069"/>
    <w:rsid w:val="2EAA3B87"/>
    <w:rsid w:val="2EB66E96"/>
    <w:rsid w:val="2EBC23A0"/>
    <w:rsid w:val="2EF532F9"/>
    <w:rsid w:val="2EF545DC"/>
    <w:rsid w:val="2EF6054E"/>
    <w:rsid w:val="2EFA0191"/>
    <w:rsid w:val="2EFC22DC"/>
    <w:rsid w:val="2F08785B"/>
    <w:rsid w:val="2F100467"/>
    <w:rsid w:val="2F336E4F"/>
    <w:rsid w:val="2F3D3E78"/>
    <w:rsid w:val="2F436846"/>
    <w:rsid w:val="2F4556CE"/>
    <w:rsid w:val="2F5B184C"/>
    <w:rsid w:val="2F6F3C93"/>
    <w:rsid w:val="2F716E21"/>
    <w:rsid w:val="2F754A27"/>
    <w:rsid w:val="2F7A423F"/>
    <w:rsid w:val="2F8349FB"/>
    <w:rsid w:val="2F967046"/>
    <w:rsid w:val="2FA32A00"/>
    <w:rsid w:val="2FB1448A"/>
    <w:rsid w:val="2FC802AE"/>
    <w:rsid w:val="2FD03CC2"/>
    <w:rsid w:val="2FD11635"/>
    <w:rsid w:val="2FDC4B15"/>
    <w:rsid w:val="2FDF786F"/>
    <w:rsid w:val="2FFA6D56"/>
    <w:rsid w:val="30027B6C"/>
    <w:rsid w:val="30030176"/>
    <w:rsid w:val="301C41BF"/>
    <w:rsid w:val="303048F7"/>
    <w:rsid w:val="30323D63"/>
    <w:rsid w:val="303474C0"/>
    <w:rsid w:val="30350DA4"/>
    <w:rsid w:val="303C233C"/>
    <w:rsid w:val="30411EAD"/>
    <w:rsid w:val="30536BCF"/>
    <w:rsid w:val="305C41A9"/>
    <w:rsid w:val="30665422"/>
    <w:rsid w:val="30820205"/>
    <w:rsid w:val="308665CC"/>
    <w:rsid w:val="308E41B5"/>
    <w:rsid w:val="30952C59"/>
    <w:rsid w:val="30955958"/>
    <w:rsid w:val="30975EA4"/>
    <w:rsid w:val="30B34C1F"/>
    <w:rsid w:val="30EE0209"/>
    <w:rsid w:val="30FF4D69"/>
    <w:rsid w:val="31031D74"/>
    <w:rsid w:val="3108103A"/>
    <w:rsid w:val="3113559B"/>
    <w:rsid w:val="311978DB"/>
    <w:rsid w:val="311C5E6A"/>
    <w:rsid w:val="312421F6"/>
    <w:rsid w:val="3127420C"/>
    <w:rsid w:val="31277147"/>
    <w:rsid w:val="31477BEB"/>
    <w:rsid w:val="315523B1"/>
    <w:rsid w:val="315F79F9"/>
    <w:rsid w:val="316F4055"/>
    <w:rsid w:val="31807ACD"/>
    <w:rsid w:val="318173F5"/>
    <w:rsid w:val="318318AF"/>
    <w:rsid w:val="318E2BCE"/>
    <w:rsid w:val="3192189F"/>
    <w:rsid w:val="3198056E"/>
    <w:rsid w:val="31C83EB4"/>
    <w:rsid w:val="31C97505"/>
    <w:rsid w:val="31CD31BF"/>
    <w:rsid w:val="31DD064B"/>
    <w:rsid w:val="31E10F55"/>
    <w:rsid w:val="31EA5D85"/>
    <w:rsid w:val="31EF3571"/>
    <w:rsid w:val="31FF2C2B"/>
    <w:rsid w:val="32017C4A"/>
    <w:rsid w:val="32054C39"/>
    <w:rsid w:val="320B7F80"/>
    <w:rsid w:val="32107212"/>
    <w:rsid w:val="3219008D"/>
    <w:rsid w:val="321D798F"/>
    <w:rsid w:val="32203C87"/>
    <w:rsid w:val="32215AE9"/>
    <w:rsid w:val="32215B79"/>
    <w:rsid w:val="322241F2"/>
    <w:rsid w:val="3229379D"/>
    <w:rsid w:val="32294133"/>
    <w:rsid w:val="322D5AFA"/>
    <w:rsid w:val="3236742B"/>
    <w:rsid w:val="32375861"/>
    <w:rsid w:val="323D3EDB"/>
    <w:rsid w:val="32514C44"/>
    <w:rsid w:val="328916BE"/>
    <w:rsid w:val="32974C7A"/>
    <w:rsid w:val="32B865E1"/>
    <w:rsid w:val="32BB4ABE"/>
    <w:rsid w:val="32C8549C"/>
    <w:rsid w:val="32CA16D9"/>
    <w:rsid w:val="32D33E51"/>
    <w:rsid w:val="32D34F70"/>
    <w:rsid w:val="32DB36D4"/>
    <w:rsid w:val="32E83928"/>
    <w:rsid w:val="32F45590"/>
    <w:rsid w:val="331337B2"/>
    <w:rsid w:val="33227B1F"/>
    <w:rsid w:val="333C5EC4"/>
    <w:rsid w:val="337120CB"/>
    <w:rsid w:val="33773188"/>
    <w:rsid w:val="337E77C9"/>
    <w:rsid w:val="338B4D67"/>
    <w:rsid w:val="338F53C2"/>
    <w:rsid w:val="33925662"/>
    <w:rsid w:val="339B7AA1"/>
    <w:rsid w:val="339C5609"/>
    <w:rsid w:val="33A51FC1"/>
    <w:rsid w:val="33B72334"/>
    <w:rsid w:val="33B7637D"/>
    <w:rsid w:val="33BD5FB4"/>
    <w:rsid w:val="33C20566"/>
    <w:rsid w:val="33C45055"/>
    <w:rsid w:val="33D4661F"/>
    <w:rsid w:val="33DB2AA4"/>
    <w:rsid w:val="33ED39C2"/>
    <w:rsid w:val="33F16CCB"/>
    <w:rsid w:val="33F2572E"/>
    <w:rsid w:val="340A31F3"/>
    <w:rsid w:val="340F56DE"/>
    <w:rsid w:val="3425597D"/>
    <w:rsid w:val="342802EC"/>
    <w:rsid w:val="342A5DF5"/>
    <w:rsid w:val="344851FD"/>
    <w:rsid w:val="34553518"/>
    <w:rsid w:val="34645BE6"/>
    <w:rsid w:val="34767BE8"/>
    <w:rsid w:val="34900F0B"/>
    <w:rsid w:val="349B5E0E"/>
    <w:rsid w:val="34A176C9"/>
    <w:rsid w:val="34A432B6"/>
    <w:rsid w:val="34AA020B"/>
    <w:rsid w:val="34B057BD"/>
    <w:rsid w:val="34BB5388"/>
    <w:rsid w:val="34BC17DA"/>
    <w:rsid w:val="34C47973"/>
    <w:rsid w:val="34C860D0"/>
    <w:rsid w:val="34D015E3"/>
    <w:rsid w:val="34DD7A9E"/>
    <w:rsid w:val="34E81276"/>
    <w:rsid w:val="34EB3E0C"/>
    <w:rsid w:val="34EC3ED5"/>
    <w:rsid w:val="34ED3DC3"/>
    <w:rsid w:val="34F85DA8"/>
    <w:rsid w:val="3509398E"/>
    <w:rsid w:val="352B4855"/>
    <w:rsid w:val="353178AD"/>
    <w:rsid w:val="353A14F3"/>
    <w:rsid w:val="35447EDF"/>
    <w:rsid w:val="35463030"/>
    <w:rsid w:val="3547266B"/>
    <w:rsid w:val="354B62D7"/>
    <w:rsid w:val="35507AD6"/>
    <w:rsid w:val="3554479E"/>
    <w:rsid w:val="355620A6"/>
    <w:rsid w:val="35562720"/>
    <w:rsid w:val="357105FB"/>
    <w:rsid w:val="35715B74"/>
    <w:rsid w:val="357A69BB"/>
    <w:rsid w:val="357D63E5"/>
    <w:rsid w:val="357F00D0"/>
    <w:rsid w:val="35894506"/>
    <w:rsid w:val="358B7232"/>
    <w:rsid w:val="35A377DB"/>
    <w:rsid w:val="35C44A8D"/>
    <w:rsid w:val="35E7387F"/>
    <w:rsid w:val="35E81F7A"/>
    <w:rsid w:val="35F52BF3"/>
    <w:rsid w:val="35FA6E49"/>
    <w:rsid w:val="35FE6C4E"/>
    <w:rsid w:val="36041802"/>
    <w:rsid w:val="360530D8"/>
    <w:rsid w:val="3605698A"/>
    <w:rsid w:val="36162F1C"/>
    <w:rsid w:val="363277D2"/>
    <w:rsid w:val="36361B1F"/>
    <w:rsid w:val="3654712C"/>
    <w:rsid w:val="366244D5"/>
    <w:rsid w:val="367C249E"/>
    <w:rsid w:val="368F357B"/>
    <w:rsid w:val="36A82C1D"/>
    <w:rsid w:val="36B34449"/>
    <w:rsid w:val="36B91ADD"/>
    <w:rsid w:val="36C342D9"/>
    <w:rsid w:val="36C3654A"/>
    <w:rsid w:val="36E54DB4"/>
    <w:rsid w:val="36E611B4"/>
    <w:rsid w:val="36E831A7"/>
    <w:rsid w:val="36EE39A2"/>
    <w:rsid w:val="36F40A0E"/>
    <w:rsid w:val="370F2E93"/>
    <w:rsid w:val="370F32ED"/>
    <w:rsid w:val="37223E78"/>
    <w:rsid w:val="372303B9"/>
    <w:rsid w:val="374E35E0"/>
    <w:rsid w:val="37560CC6"/>
    <w:rsid w:val="376E331C"/>
    <w:rsid w:val="378D0CEB"/>
    <w:rsid w:val="379A026D"/>
    <w:rsid w:val="37A2207E"/>
    <w:rsid w:val="37A2434F"/>
    <w:rsid w:val="37A96F98"/>
    <w:rsid w:val="37BE493A"/>
    <w:rsid w:val="37E0252B"/>
    <w:rsid w:val="37ED32C0"/>
    <w:rsid w:val="37ED6D6E"/>
    <w:rsid w:val="380C3B20"/>
    <w:rsid w:val="3811299F"/>
    <w:rsid w:val="3813029C"/>
    <w:rsid w:val="38422CE2"/>
    <w:rsid w:val="38464281"/>
    <w:rsid w:val="384F0A3E"/>
    <w:rsid w:val="385438E8"/>
    <w:rsid w:val="386E21B0"/>
    <w:rsid w:val="3879737F"/>
    <w:rsid w:val="38AE496C"/>
    <w:rsid w:val="38B54D45"/>
    <w:rsid w:val="38B7072B"/>
    <w:rsid w:val="38D242CD"/>
    <w:rsid w:val="38DC6FB6"/>
    <w:rsid w:val="39021924"/>
    <w:rsid w:val="391762C0"/>
    <w:rsid w:val="39324B9F"/>
    <w:rsid w:val="393316B2"/>
    <w:rsid w:val="393958EC"/>
    <w:rsid w:val="393E0C7A"/>
    <w:rsid w:val="39470BCD"/>
    <w:rsid w:val="395A4090"/>
    <w:rsid w:val="39821F75"/>
    <w:rsid w:val="398B5520"/>
    <w:rsid w:val="398C3DB7"/>
    <w:rsid w:val="39A27A80"/>
    <w:rsid w:val="39A54F6F"/>
    <w:rsid w:val="39AB6275"/>
    <w:rsid w:val="39B63539"/>
    <w:rsid w:val="39C52E4C"/>
    <w:rsid w:val="39E17621"/>
    <w:rsid w:val="39F227B1"/>
    <w:rsid w:val="3A151290"/>
    <w:rsid w:val="3A201663"/>
    <w:rsid w:val="3A292038"/>
    <w:rsid w:val="3A4D07E7"/>
    <w:rsid w:val="3A524E6B"/>
    <w:rsid w:val="3A5E4DE2"/>
    <w:rsid w:val="3A63511E"/>
    <w:rsid w:val="3A656D44"/>
    <w:rsid w:val="3A7164C9"/>
    <w:rsid w:val="3A762A49"/>
    <w:rsid w:val="3A826354"/>
    <w:rsid w:val="3A9D28F5"/>
    <w:rsid w:val="3AA21B83"/>
    <w:rsid w:val="3AB53AE3"/>
    <w:rsid w:val="3AB80239"/>
    <w:rsid w:val="3ABA012D"/>
    <w:rsid w:val="3ACD0EA1"/>
    <w:rsid w:val="3ACD43C9"/>
    <w:rsid w:val="3AFF2C64"/>
    <w:rsid w:val="3B1E4609"/>
    <w:rsid w:val="3B2125FB"/>
    <w:rsid w:val="3B2B107F"/>
    <w:rsid w:val="3B2F69DB"/>
    <w:rsid w:val="3B5E1380"/>
    <w:rsid w:val="3B79226F"/>
    <w:rsid w:val="3B8B34BF"/>
    <w:rsid w:val="3B904834"/>
    <w:rsid w:val="3B932344"/>
    <w:rsid w:val="3B963B4D"/>
    <w:rsid w:val="3B9B2E63"/>
    <w:rsid w:val="3B9D20F5"/>
    <w:rsid w:val="3BB33F88"/>
    <w:rsid w:val="3BD81B44"/>
    <w:rsid w:val="3BD91520"/>
    <w:rsid w:val="3BD93153"/>
    <w:rsid w:val="3BDA6996"/>
    <w:rsid w:val="3BF15E34"/>
    <w:rsid w:val="3C0A3047"/>
    <w:rsid w:val="3C2E50FB"/>
    <w:rsid w:val="3C37637A"/>
    <w:rsid w:val="3C4A12AD"/>
    <w:rsid w:val="3C5125FC"/>
    <w:rsid w:val="3C5D4C2E"/>
    <w:rsid w:val="3C690ECB"/>
    <w:rsid w:val="3C6D45E2"/>
    <w:rsid w:val="3C7A7072"/>
    <w:rsid w:val="3C860AC6"/>
    <w:rsid w:val="3C8B02A4"/>
    <w:rsid w:val="3C953A7D"/>
    <w:rsid w:val="3C960BC8"/>
    <w:rsid w:val="3C9848A1"/>
    <w:rsid w:val="3C9B05BB"/>
    <w:rsid w:val="3CA509B7"/>
    <w:rsid w:val="3CA509D1"/>
    <w:rsid w:val="3CB43F0C"/>
    <w:rsid w:val="3CD537E6"/>
    <w:rsid w:val="3CD93879"/>
    <w:rsid w:val="3CE728EF"/>
    <w:rsid w:val="3CE93C13"/>
    <w:rsid w:val="3D2571D3"/>
    <w:rsid w:val="3D29787E"/>
    <w:rsid w:val="3D3074C1"/>
    <w:rsid w:val="3D317B2F"/>
    <w:rsid w:val="3D4B33D2"/>
    <w:rsid w:val="3D5D0A53"/>
    <w:rsid w:val="3D7A2818"/>
    <w:rsid w:val="3D7D2F47"/>
    <w:rsid w:val="3D8106EA"/>
    <w:rsid w:val="3D834DF8"/>
    <w:rsid w:val="3DA115B9"/>
    <w:rsid w:val="3DA352B1"/>
    <w:rsid w:val="3DBA258D"/>
    <w:rsid w:val="3DBA61E7"/>
    <w:rsid w:val="3DBD544C"/>
    <w:rsid w:val="3DBE59FA"/>
    <w:rsid w:val="3DBF6E87"/>
    <w:rsid w:val="3DCC59CC"/>
    <w:rsid w:val="3DD3396F"/>
    <w:rsid w:val="3DD55956"/>
    <w:rsid w:val="3DD61616"/>
    <w:rsid w:val="3DE046DB"/>
    <w:rsid w:val="3DE23C90"/>
    <w:rsid w:val="3DF7051E"/>
    <w:rsid w:val="3DFC4E1B"/>
    <w:rsid w:val="3E100FFC"/>
    <w:rsid w:val="3E127062"/>
    <w:rsid w:val="3E156F67"/>
    <w:rsid w:val="3E1D4BD2"/>
    <w:rsid w:val="3E201534"/>
    <w:rsid w:val="3E216B4D"/>
    <w:rsid w:val="3E4E3A85"/>
    <w:rsid w:val="3E58620C"/>
    <w:rsid w:val="3E5E7A6F"/>
    <w:rsid w:val="3E651EE9"/>
    <w:rsid w:val="3E70638E"/>
    <w:rsid w:val="3E784A78"/>
    <w:rsid w:val="3E8554F5"/>
    <w:rsid w:val="3EA51CD6"/>
    <w:rsid w:val="3EAE3E2C"/>
    <w:rsid w:val="3EB43B31"/>
    <w:rsid w:val="3EB65E71"/>
    <w:rsid w:val="3EC33032"/>
    <w:rsid w:val="3EC61DB3"/>
    <w:rsid w:val="3ECA2B53"/>
    <w:rsid w:val="3ED9587D"/>
    <w:rsid w:val="3EF62661"/>
    <w:rsid w:val="3F1C56E6"/>
    <w:rsid w:val="3F256A16"/>
    <w:rsid w:val="3F3668C7"/>
    <w:rsid w:val="3F3C595E"/>
    <w:rsid w:val="3F42509A"/>
    <w:rsid w:val="3F5565A1"/>
    <w:rsid w:val="3F59346C"/>
    <w:rsid w:val="3F5E3FC7"/>
    <w:rsid w:val="3F657308"/>
    <w:rsid w:val="3F7856B5"/>
    <w:rsid w:val="3F7970EE"/>
    <w:rsid w:val="3F8003ED"/>
    <w:rsid w:val="3FA94649"/>
    <w:rsid w:val="3FB55F3F"/>
    <w:rsid w:val="3FBC79BD"/>
    <w:rsid w:val="3FC519F7"/>
    <w:rsid w:val="3FD0326B"/>
    <w:rsid w:val="3FD34D1A"/>
    <w:rsid w:val="3FED63B1"/>
    <w:rsid w:val="3FEF1AEF"/>
    <w:rsid w:val="3FF01019"/>
    <w:rsid w:val="40031733"/>
    <w:rsid w:val="40076D3D"/>
    <w:rsid w:val="400A2138"/>
    <w:rsid w:val="401F65F0"/>
    <w:rsid w:val="40296E71"/>
    <w:rsid w:val="40342736"/>
    <w:rsid w:val="404470DB"/>
    <w:rsid w:val="404C2292"/>
    <w:rsid w:val="405435BD"/>
    <w:rsid w:val="405D572D"/>
    <w:rsid w:val="405F4973"/>
    <w:rsid w:val="4071679F"/>
    <w:rsid w:val="407E7B1F"/>
    <w:rsid w:val="408D1EA0"/>
    <w:rsid w:val="408E2DBF"/>
    <w:rsid w:val="40982E53"/>
    <w:rsid w:val="409D2A1A"/>
    <w:rsid w:val="40A354EF"/>
    <w:rsid w:val="40A752D1"/>
    <w:rsid w:val="40B21FB5"/>
    <w:rsid w:val="40B95E2E"/>
    <w:rsid w:val="40C17F9E"/>
    <w:rsid w:val="40C43B66"/>
    <w:rsid w:val="40D01AC5"/>
    <w:rsid w:val="40E247F7"/>
    <w:rsid w:val="40E66AF1"/>
    <w:rsid w:val="40EE5966"/>
    <w:rsid w:val="40EF0A63"/>
    <w:rsid w:val="40FA444D"/>
    <w:rsid w:val="40FE6AE6"/>
    <w:rsid w:val="41097827"/>
    <w:rsid w:val="410F1967"/>
    <w:rsid w:val="412F59F8"/>
    <w:rsid w:val="41335FC7"/>
    <w:rsid w:val="414240CA"/>
    <w:rsid w:val="415978C8"/>
    <w:rsid w:val="415C1B4D"/>
    <w:rsid w:val="415E02D9"/>
    <w:rsid w:val="417843F2"/>
    <w:rsid w:val="418A1799"/>
    <w:rsid w:val="41962EB0"/>
    <w:rsid w:val="41A61C3F"/>
    <w:rsid w:val="41B17185"/>
    <w:rsid w:val="41F05895"/>
    <w:rsid w:val="420155A5"/>
    <w:rsid w:val="420C70DA"/>
    <w:rsid w:val="42160B59"/>
    <w:rsid w:val="4226611D"/>
    <w:rsid w:val="42370B89"/>
    <w:rsid w:val="4252208C"/>
    <w:rsid w:val="42524C08"/>
    <w:rsid w:val="425402BB"/>
    <w:rsid w:val="42564ADA"/>
    <w:rsid w:val="425C471A"/>
    <w:rsid w:val="425C4890"/>
    <w:rsid w:val="42651FF6"/>
    <w:rsid w:val="427456AF"/>
    <w:rsid w:val="42747A95"/>
    <w:rsid w:val="427E52C8"/>
    <w:rsid w:val="42841878"/>
    <w:rsid w:val="4299542A"/>
    <w:rsid w:val="429A1379"/>
    <w:rsid w:val="429E1B22"/>
    <w:rsid w:val="42A17EB5"/>
    <w:rsid w:val="42A3428D"/>
    <w:rsid w:val="42FA6BD0"/>
    <w:rsid w:val="42FB4E01"/>
    <w:rsid w:val="4301585B"/>
    <w:rsid w:val="43017026"/>
    <w:rsid w:val="43067C6F"/>
    <w:rsid w:val="430A6E09"/>
    <w:rsid w:val="43145EC4"/>
    <w:rsid w:val="43177F8E"/>
    <w:rsid w:val="43183E1C"/>
    <w:rsid w:val="431B31A4"/>
    <w:rsid w:val="43325808"/>
    <w:rsid w:val="433E1CAF"/>
    <w:rsid w:val="43412297"/>
    <w:rsid w:val="43413ED4"/>
    <w:rsid w:val="43594499"/>
    <w:rsid w:val="43636C3F"/>
    <w:rsid w:val="4364610B"/>
    <w:rsid w:val="436E5353"/>
    <w:rsid w:val="438073DF"/>
    <w:rsid w:val="43823B03"/>
    <w:rsid w:val="438903A1"/>
    <w:rsid w:val="439D6340"/>
    <w:rsid w:val="43AE4585"/>
    <w:rsid w:val="43ED157C"/>
    <w:rsid w:val="43F94FC9"/>
    <w:rsid w:val="43FD7280"/>
    <w:rsid w:val="440915E3"/>
    <w:rsid w:val="44116ECE"/>
    <w:rsid w:val="441532B2"/>
    <w:rsid w:val="4416068C"/>
    <w:rsid w:val="441C5686"/>
    <w:rsid w:val="441D4489"/>
    <w:rsid w:val="441E55BD"/>
    <w:rsid w:val="44210030"/>
    <w:rsid w:val="442C59F4"/>
    <w:rsid w:val="442C5CE7"/>
    <w:rsid w:val="442F2679"/>
    <w:rsid w:val="443D4BB3"/>
    <w:rsid w:val="443F7EE3"/>
    <w:rsid w:val="44477A7A"/>
    <w:rsid w:val="445A5900"/>
    <w:rsid w:val="44620AD6"/>
    <w:rsid w:val="44711AA3"/>
    <w:rsid w:val="448F2EF2"/>
    <w:rsid w:val="44A72CB4"/>
    <w:rsid w:val="44D243AA"/>
    <w:rsid w:val="44D82DAD"/>
    <w:rsid w:val="44DC0CFE"/>
    <w:rsid w:val="44DC4FCA"/>
    <w:rsid w:val="44E15547"/>
    <w:rsid w:val="44EA12B2"/>
    <w:rsid w:val="44EE00E1"/>
    <w:rsid w:val="44FD1C6D"/>
    <w:rsid w:val="45051DF1"/>
    <w:rsid w:val="450D6ADD"/>
    <w:rsid w:val="451231AD"/>
    <w:rsid w:val="453E4B66"/>
    <w:rsid w:val="453F207E"/>
    <w:rsid w:val="454276A8"/>
    <w:rsid w:val="45465AD9"/>
    <w:rsid w:val="45517B8C"/>
    <w:rsid w:val="4577723A"/>
    <w:rsid w:val="457A6C83"/>
    <w:rsid w:val="45951B1A"/>
    <w:rsid w:val="45A31600"/>
    <w:rsid w:val="45E526C2"/>
    <w:rsid w:val="45EF4AA8"/>
    <w:rsid w:val="45EF5694"/>
    <w:rsid w:val="45F32D75"/>
    <w:rsid w:val="45F86B49"/>
    <w:rsid w:val="45FE4441"/>
    <w:rsid w:val="460934CE"/>
    <w:rsid w:val="460E6F64"/>
    <w:rsid w:val="461A7582"/>
    <w:rsid w:val="461F685B"/>
    <w:rsid w:val="46325B00"/>
    <w:rsid w:val="463A35BA"/>
    <w:rsid w:val="464478D6"/>
    <w:rsid w:val="46537026"/>
    <w:rsid w:val="46594972"/>
    <w:rsid w:val="46666A6B"/>
    <w:rsid w:val="46763AFA"/>
    <w:rsid w:val="46780627"/>
    <w:rsid w:val="469438D3"/>
    <w:rsid w:val="46974EA3"/>
    <w:rsid w:val="46A86AC5"/>
    <w:rsid w:val="46AF0ACC"/>
    <w:rsid w:val="46CD2EA3"/>
    <w:rsid w:val="46E3153B"/>
    <w:rsid w:val="46E33C2A"/>
    <w:rsid w:val="46EB5C2E"/>
    <w:rsid w:val="46FD4E10"/>
    <w:rsid w:val="47191F43"/>
    <w:rsid w:val="471B210D"/>
    <w:rsid w:val="47202ED1"/>
    <w:rsid w:val="472752D8"/>
    <w:rsid w:val="47330BB1"/>
    <w:rsid w:val="474340E1"/>
    <w:rsid w:val="4754737E"/>
    <w:rsid w:val="47622DD8"/>
    <w:rsid w:val="476B3223"/>
    <w:rsid w:val="476E1BD6"/>
    <w:rsid w:val="476E5DEA"/>
    <w:rsid w:val="47914A33"/>
    <w:rsid w:val="4795206D"/>
    <w:rsid w:val="479B0044"/>
    <w:rsid w:val="479C10BC"/>
    <w:rsid w:val="47A4380D"/>
    <w:rsid w:val="47A6297A"/>
    <w:rsid w:val="47A762A3"/>
    <w:rsid w:val="47B35BF8"/>
    <w:rsid w:val="47B74637"/>
    <w:rsid w:val="47C041C7"/>
    <w:rsid w:val="47CB4E60"/>
    <w:rsid w:val="47CD1E0C"/>
    <w:rsid w:val="47D964DB"/>
    <w:rsid w:val="47E80862"/>
    <w:rsid w:val="47EE38F1"/>
    <w:rsid w:val="47FC33A5"/>
    <w:rsid w:val="48012A31"/>
    <w:rsid w:val="481C30AE"/>
    <w:rsid w:val="481D4366"/>
    <w:rsid w:val="4845350C"/>
    <w:rsid w:val="48561B07"/>
    <w:rsid w:val="485803F1"/>
    <w:rsid w:val="485E2E16"/>
    <w:rsid w:val="4865215C"/>
    <w:rsid w:val="486942C4"/>
    <w:rsid w:val="487B552A"/>
    <w:rsid w:val="48842F37"/>
    <w:rsid w:val="488D1FD6"/>
    <w:rsid w:val="48996690"/>
    <w:rsid w:val="489D751F"/>
    <w:rsid w:val="48A6278A"/>
    <w:rsid w:val="48AB0368"/>
    <w:rsid w:val="48B05292"/>
    <w:rsid w:val="48B33700"/>
    <w:rsid w:val="48B971DC"/>
    <w:rsid w:val="48CE2BF3"/>
    <w:rsid w:val="48D4605A"/>
    <w:rsid w:val="48EF6487"/>
    <w:rsid w:val="48F556EA"/>
    <w:rsid w:val="490010B1"/>
    <w:rsid w:val="491946D3"/>
    <w:rsid w:val="4924047E"/>
    <w:rsid w:val="4924100D"/>
    <w:rsid w:val="49276380"/>
    <w:rsid w:val="4948117F"/>
    <w:rsid w:val="494B0B0D"/>
    <w:rsid w:val="497E20AD"/>
    <w:rsid w:val="49820EB7"/>
    <w:rsid w:val="498C0E72"/>
    <w:rsid w:val="49920053"/>
    <w:rsid w:val="499416E9"/>
    <w:rsid w:val="499B7FDA"/>
    <w:rsid w:val="49A503F7"/>
    <w:rsid w:val="49A637DE"/>
    <w:rsid w:val="49A63EAD"/>
    <w:rsid w:val="49B4166E"/>
    <w:rsid w:val="49BA2C9E"/>
    <w:rsid w:val="49C42ED0"/>
    <w:rsid w:val="49C51673"/>
    <w:rsid w:val="49D51633"/>
    <w:rsid w:val="49D86805"/>
    <w:rsid w:val="49F72310"/>
    <w:rsid w:val="49FD2EE4"/>
    <w:rsid w:val="4A0B4FDE"/>
    <w:rsid w:val="4A0E4738"/>
    <w:rsid w:val="4A343D11"/>
    <w:rsid w:val="4A44591C"/>
    <w:rsid w:val="4A497D35"/>
    <w:rsid w:val="4A8A37D8"/>
    <w:rsid w:val="4A8A64F2"/>
    <w:rsid w:val="4A8B4AB2"/>
    <w:rsid w:val="4ABE300E"/>
    <w:rsid w:val="4AC30904"/>
    <w:rsid w:val="4AD1058E"/>
    <w:rsid w:val="4AD24DB9"/>
    <w:rsid w:val="4AD9595B"/>
    <w:rsid w:val="4AE97387"/>
    <w:rsid w:val="4AF6154C"/>
    <w:rsid w:val="4AF93EAE"/>
    <w:rsid w:val="4B311212"/>
    <w:rsid w:val="4B373C21"/>
    <w:rsid w:val="4B3E6720"/>
    <w:rsid w:val="4B43535A"/>
    <w:rsid w:val="4B4657C3"/>
    <w:rsid w:val="4B476348"/>
    <w:rsid w:val="4B4E66A7"/>
    <w:rsid w:val="4B58574A"/>
    <w:rsid w:val="4B625BF7"/>
    <w:rsid w:val="4B643100"/>
    <w:rsid w:val="4B743367"/>
    <w:rsid w:val="4B753465"/>
    <w:rsid w:val="4B770921"/>
    <w:rsid w:val="4B7E5905"/>
    <w:rsid w:val="4B7F01A8"/>
    <w:rsid w:val="4B916EFB"/>
    <w:rsid w:val="4BB21AF4"/>
    <w:rsid w:val="4BB54107"/>
    <w:rsid w:val="4BB67EEE"/>
    <w:rsid w:val="4BBA7466"/>
    <w:rsid w:val="4BC471E7"/>
    <w:rsid w:val="4BD13DC6"/>
    <w:rsid w:val="4BD17814"/>
    <w:rsid w:val="4BDC5109"/>
    <w:rsid w:val="4BE84FA7"/>
    <w:rsid w:val="4BEB6BB7"/>
    <w:rsid w:val="4BF70C92"/>
    <w:rsid w:val="4BFD0513"/>
    <w:rsid w:val="4C005E77"/>
    <w:rsid w:val="4C1440C1"/>
    <w:rsid w:val="4C1A02C6"/>
    <w:rsid w:val="4C2B76C1"/>
    <w:rsid w:val="4C3B40FC"/>
    <w:rsid w:val="4C5419A1"/>
    <w:rsid w:val="4C5429A3"/>
    <w:rsid w:val="4C6359CC"/>
    <w:rsid w:val="4C645A11"/>
    <w:rsid w:val="4C72089C"/>
    <w:rsid w:val="4C737123"/>
    <w:rsid w:val="4C87254B"/>
    <w:rsid w:val="4C8B3377"/>
    <w:rsid w:val="4CA3114C"/>
    <w:rsid w:val="4CB95137"/>
    <w:rsid w:val="4CC37EEC"/>
    <w:rsid w:val="4CDE4416"/>
    <w:rsid w:val="4CE85842"/>
    <w:rsid w:val="4D017726"/>
    <w:rsid w:val="4D082D34"/>
    <w:rsid w:val="4D18687A"/>
    <w:rsid w:val="4D1C2C8C"/>
    <w:rsid w:val="4D1E77BE"/>
    <w:rsid w:val="4D245FC5"/>
    <w:rsid w:val="4D2B3B2C"/>
    <w:rsid w:val="4D8051B1"/>
    <w:rsid w:val="4DA943B0"/>
    <w:rsid w:val="4DB75561"/>
    <w:rsid w:val="4DC515BB"/>
    <w:rsid w:val="4DCB5984"/>
    <w:rsid w:val="4DD64458"/>
    <w:rsid w:val="4DDD243C"/>
    <w:rsid w:val="4DEC5891"/>
    <w:rsid w:val="4DF21B22"/>
    <w:rsid w:val="4E135BFA"/>
    <w:rsid w:val="4E1B2DDB"/>
    <w:rsid w:val="4E1F235E"/>
    <w:rsid w:val="4E213391"/>
    <w:rsid w:val="4E250E8C"/>
    <w:rsid w:val="4E3240E0"/>
    <w:rsid w:val="4E355E12"/>
    <w:rsid w:val="4E386CE7"/>
    <w:rsid w:val="4E5D7C3A"/>
    <w:rsid w:val="4E7928F9"/>
    <w:rsid w:val="4E7C0B27"/>
    <w:rsid w:val="4E8C1A75"/>
    <w:rsid w:val="4E8D762E"/>
    <w:rsid w:val="4E951F2F"/>
    <w:rsid w:val="4E9B1112"/>
    <w:rsid w:val="4E9B7163"/>
    <w:rsid w:val="4E9D2FDD"/>
    <w:rsid w:val="4EA06365"/>
    <w:rsid w:val="4EB626CF"/>
    <w:rsid w:val="4EBD3915"/>
    <w:rsid w:val="4ECA75BC"/>
    <w:rsid w:val="4ECD54B1"/>
    <w:rsid w:val="4ED4046B"/>
    <w:rsid w:val="4EDF4B15"/>
    <w:rsid w:val="4EEA782A"/>
    <w:rsid w:val="4EF43B16"/>
    <w:rsid w:val="4EF64D1E"/>
    <w:rsid w:val="4F135FF8"/>
    <w:rsid w:val="4F1646F3"/>
    <w:rsid w:val="4F1929E5"/>
    <w:rsid w:val="4F1E3B69"/>
    <w:rsid w:val="4F290416"/>
    <w:rsid w:val="4F2B6C13"/>
    <w:rsid w:val="4F3153D3"/>
    <w:rsid w:val="4F5F3ED1"/>
    <w:rsid w:val="4F6E4CB2"/>
    <w:rsid w:val="4F804E7C"/>
    <w:rsid w:val="4F842F34"/>
    <w:rsid w:val="4F85516A"/>
    <w:rsid w:val="4F944D8F"/>
    <w:rsid w:val="4FCA5221"/>
    <w:rsid w:val="4FE03DE3"/>
    <w:rsid w:val="4FEA7FBD"/>
    <w:rsid w:val="4FED0FB9"/>
    <w:rsid w:val="4FFC5D0B"/>
    <w:rsid w:val="501D7CCE"/>
    <w:rsid w:val="50245208"/>
    <w:rsid w:val="50315512"/>
    <w:rsid w:val="504430D6"/>
    <w:rsid w:val="50474896"/>
    <w:rsid w:val="505F23BC"/>
    <w:rsid w:val="505F4513"/>
    <w:rsid w:val="50697ABC"/>
    <w:rsid w:val="507410D2"/>
    <w:rsid w:val="509B702F"/>
    <w:rsid w:val="509C0AC4"/>
    <w:rsid w:val="50A4392E"/>
    <w:rsid w:val="50A97681"/>
    <w:rsid w:val="50AE3B94"/>
    <w:rsid w:val="50AF7418"/>
    <w:rsid w:val="50B02AF0"/>
    <w:rsid w:val="50B0422B"/>
    <w:rsid w:val="50C600F2"/>
    <w:rsid w:val="50C93813"/>
    <w:rsid w:val="50D03252"/>
    <w:rsid w:val="50E93575"/>
    <w:rsid w:val="50F04D4E"/>
    <w:rsid w:val="50F41527"/>
    <w:rsid w:val="50F57385"/>
    <w:rsid w:val="50F6016F"/>
    <w:rsid w:val="50FB1FB9"/>
    <w:rsid w:val="51132FF4"/>
    <w:rsid w:val="51151213"/>
    <w:rsid w:val="51297F73"/>
    <w:rsid w:val="513225F9"/>
    <w:rsid w:val="513F5114"/>
    <w:rsid w:val="51440384"/>
    <w:rsid w:val="5146769D"/>
    <w:rsid w:val="51567BE2"/>
    <w:rsid w:val="51590B27"/>
    <w:rsid w:val="515E6A1B"/>
    <w:rsid w:val="5169073B"/>
    <w:rsid w:val="516B705C"/>
    <w:rsid w:val="5177537A"/>
    <w:rsid w:val="51826626"/>
    <w:rsid w:val="518806E3"/>
    <w:rsid w:val="51A1217B"/>
    <w:rsid w:val="51A47CAD"/>
    <w:rsid w:val="51B6464D"/>
    <w:rsid w:val="51BC2004"/>
    <w:rsid w:val="51C462A1"/>
    <w:rsid w:val="51C5215C"/>
    <w:rsid w:val="51CB0C5C"/>
    <w:rsid w:val="51CB74F6"/>
    <w:rsid w:val="51D03F6F"/>
    <w:rsid w:val="51D13948"/>
    <w:rsid w:val="51EB5979"/>
    <w:rsid w:val="52046C00"/>
    <w:rsid w:val="520B66FC"/>
    <w:rsid w:val="52160A43"/>
    <w:rsid w:val="521A0101"/>
    <w:rsid w:val="52241967"/>
    <w:rsid w:val="522B06FD"/>
    <w:rsid w:val="522D1CB6"/>
    <w:rsid w:val="52382896"/>
    <w:rsid w:val="52437814"/>
    <w:rsid w:val="52444C58"/>
    <w:rsid w:val="52463B41"/>
    <w:rsid w:val="5263075C"/>
    <w:rsid w:val="52660A26"/>
    <w:rsid w:val="52712F73"/>
    <w:rsid w:val="52717995"/>
    <w:rsid w:val="528315FB"/>
    <w:rsid w:val="52990759"/>
    <w:rsid w:val="52A01177"/>
    <w:rsid w:val="52B87033"/>
    <w:rsid w:val="52BE5917"/>
    <w:rsid w:val="52CF23AC"/>
    <w:rsid w:val="52D22288"/>
    <w:rsid w:val="52D63FD3"/>
    <w:rsid w:val="52DC0353"/>
    <w:rsid w:val="52ED3633"/>
    <w:rsid w:val="53172097"/>
    <w:rsid w:val="531B72EC"/>
    <w:rsid w:val="531E35FC"/>
    <w:rsid w:val="531E3DBA"/>
    <w:rsid w:val="532B1547"/>
    <w:rsid w:val="532C2C22"/>
    <w:rsid w:val="533E6E17"/>
    <w:rsid w:val="534044A8"/>
    <w:rsid w:val="5343182D"/>
    <w:rsid w:val="53552E21"/>
    <w:rsid w:val="536C4A63"/>
    <w:rsid w:val="539B26A9"/>
    <w:rsid w:val="539C4C50"/>
    <w:rsid w:val="53A201DA"/>
    <w:rsid w:val="53A86633"/>
    <w:rsid w:val="53AF4DD6"/>
    <w:rsid w:val="53B22D34"/>
    <w:rsid w:val="53B6236C"/>
    <w:rsid w:val="53B704F6"/>
    <w:rsid w:val="53BD6F30"/>
    <w:rsid w:val="53DE553F"/>
    <w:rsid w:val="53FC5A1A"/>
    <w:rsid w:val="54017416"/>
    <w:rsid w:val="540540F5"/>
    <w:rsid w:val="540C4C6E"/>
    <w:rsid w:val="54107D40"/>
    <w:rsid w:val="542913B3"/>
    <w:rsid w:val="54355530"/>
    <w:rsid w:val="543F18BA"/>
    <w:rsid w:val="54747751"/>
    <w:rsid w:val="548659DA"/>
    <w:rsid w:val="54883400"/>
    <w:rsid w:val="54930B49"/>
    <w:rsid w:val="54932F58"/>
    <w:rsid w:val="549B63DD"/>
    <w:rsid w:val="54A81CB5"/>
    <w:rsid w:val="54BD0985"/>
    <w:rsid w:val="54C41B11"/>
    <w:rsid w:val="54CC32C5"/>
    <w:rsid w:val="54F859EA"/>
    <w:rsid w:val="54FF1FBE"/>
    <w:rsid w:val="550E49C6"/>
    <w:rsid w:val="551B0C30"/>
    <w:rsid w:val="5525118D"/>
    <w:rsid w:val="552E6032"/>
    <w:rsid w:val="555C1243"/>
    <w:rsid w:val="55632353"/>
    <w:rsid w:val="55A47D96"/>
    <w:rsid w:val="55C94049"/>
    <w:rsid w:val="55DA287E"/>
    <w:rsid w:val="55DD1819"/>
    <w:rsid w:val="55EE6DAD"/>
    <w:rsid w:val="56073162"/>
    <w:rsid w:val="5609127C"/>
    <w:rsid w:val="560F5CEA"/>
    <w:rsid w:val="561A1AAB"/>
    <w:rsid w:val="56243B92"/>
    <w:rsid w:val="563D619D"/>
    <w:rsid w:val="56413F2B"/>
    <w:rsid w:val="56537C47"/>
    <w:rsid w:val="566F71B4"/>
    <w:rsid w:val="568043DC"/>
    <w:rsid w:val="56A010C0"/>
    <w:rsid w:val="56A060CF"/>
    <w:rsid w:val="56AA3F63"/>
    <w:rsid w:val="56AF65AD"/>
    <w:rsid w:val="56B16590"/>
    <w:rsid w:val="56B96B8E"/>
    <w:rsid w:val="56C747B5"/>
    <w:rsid w:val="56CC4101"/>
    <w:rsid w:val="56D42684"/>
    <w:rsid w:val="56D53135"/>
    <w:rsid w:val="56D83E33"/>
    <w:rsid w:val="56DD2471"/>
    <w:rsid w:val="56FD66BE"/>
    <w:rsid w:val="57181EE6"/>
    <w:rsid w:val="57210A6D"/>
    <w:rsid w:val="573400E8"/>
    <w:rsid w:val="5744214A"/>
    <w:rsid w:val="574B480A"/>
    <w:rsid w:val="57501AFE"/>
    <w:rsid w:val="57527252"/>
    <w:rsid w:val="57543081"/>
    <w:rsid w:val="577B68EA"/>
    <w:rsid w:val="5789649C"/>
    <w:rsid w:val="57A373F0"/>
    <w:rsid w:val="57B12989"/>
    <w:rsid w:val="57C31CF0"/>
    <w:rsid w:val="57C83C57"/>
    <w:rsid w:val="57CF7F96"/>
    <w:rsid w:val="57E225F6"/>
    <w:rsid w:val="57E633B4"/>
    <w:rsid w:val="57EC2A0C"/>
    <w:rsid w:val="57F05231"/>
    <w:rsid w:val="57F637B3"/>
    <w:rsid w:val="57FA04F9"/>
    <w:rsid w:val="57FB2FB4"/>
    <w:rsid w:val="581B487A"/>
    <w:rsid w:val="581C6534"/>
    <w:rsid w:val="582014EC"/>
    <w:rsid w:val="582028C2"/>
    <w:rsid w:val="582908A2"/>
    <w:rsid w:val="583D07DD"/>
    <w:rsid w:val="584B6239"/>
    <w:rsid w:val="585011BC"/>
    <w:rsid w:val="585F1862"/>
    <w:rsid w:val="58620D26"/>
    <w:rsid w:val="58622549"/>
    <w:rsid w:val="58706FB1"/>
    <w:rsid w:val="587C5983"/>
    <w:rsid w:val="587F30BB"/>
    <w:rsid w:val="589B5B2C"/>
    <w:rsid w:val="58AE77D0"/>
    <w:rsid w:val="58C13117"/>
    <w:rsid w:val="58D30971"/>
    <w:rsid w:val="58E8415E"/>
    <w:rsid w:val="58FF1A45"/>
    <w:rsid w:val="59073E9A"/>
    <w:rsid w:val="59092BF1"/>
    <w:rsid w:val="591C580B"/>
    <w:rsid w:val="5926497A"/>
    <w:rsid w:val="59307D3E"/>
    <w:rsid w:val="594F0E6D"/>
    <w:rsid w:val="595D3E12"/>
    <w:rsid w:val="596B5ED3"/>
    <w:rsid w:val="598446C5"/>
    <w:rsid w:val="59961EFB"/>
    <w:rsid w:val="59987F3C"/>
    <w:rsid w:val="59A11353"/>
    <w:rsid w:val="59B73771"/>
    <w:rsid w:val="59CF0329"/>
    <w:rsid w:val="59D67135"/>
    <w:rsid w:val="5A0336C4"/>
    <w:rsid w:val="5A1D0D82"/>
    <w:rsid w:val="5A20315B"/>
    <w:rsid w:val="5A36472F"/>
    <w:rsid w:val="5A3B004E"/>
    <w:rsid w:val="5A5827FE"/>
    <w:rsid w:val="5A70211C"/>
    <w:rsid w:val="5A970C62"/>
    <w:rsid w:val="5A9B6F49"/>
    <w:rsid w:val="5AA452E6"/>
    <w:rsid w:val="5AAB2A29"/>
    <w:rsid w:val="5AAB3211"/>
    <w:rsid w:val="5AAC7307"/>
    <w:rsid w:val="5AAF4352"/>
    <w:rsid w:val="5AB86388"/>
    <w:rsid w:val="5AD07CB2"/>
    <w:rsid w:val="5ADB2A9F"/>
    <w:rsid w:val="5AE244D3"/>
    <w:rsid w:val="5AE37CAA"/>
    <w:rsid w:val="5AEF1DC1"/>
    <w:rsid w:val="5AF001BB"/>
    <w:rsid w:val="5AF9020E"/>
    <w:rsid w:val="5B3A7E78"/>
    <w:rsid w:val="5B3D442E"/>
    <w:rsid w:val="5B412C22"/>
    <w:rsid w:val="5B4B2EB1"/>
    <w:rsid w:val="5B5544BB"/>
    <w:rsid w:val="5B570332"/>
    <w:rsid w:val="5B5B31AB"/>
    <w:rsid w:val="5B5F0395"/>
    <w:rsid w:val="5B6110B7"/>
    <w:rsid w:val="5B6300A3"/>
    <w:rsid w:val="5B6C0ED6"/>
    <w:rsid w:val="5B713C90"/>
    <w:rsid w:val="5B790B4E"/>
    <w:rsid w:val="5B7A2400"/>
    <w:rsid w:val="5B9B626D"/>
    <w:rsid w:val="5BCF3C34"/>
    <w:rsid w:val="5BD32897"/>
    <w:rsid w:val="5BF50A44"/>
    <w:rsid w:val="5C034868"/>
    <w:rsid w:val="5C295CCC"/>
    <w:rsid w:val="5C2B2A98"/>
    <w:rsid w:val="5C345941"/>
    <w:rsid w:val="5C381A3A"/>
    <w:rsid w:val="5C405E62"/>
    <w:rsid w:val="5C466502"/>
    <w:rsid w:val="5C5C135C"/>
    <w:rsid w:val="5C787FE3"/>
    <w:rsid w:val="5C872DAA"/>
    <w:rsid w:val="5C8809AC"/>
    <w:rsid w:val="5C894745"/>
    <w:rsid w:val="5C9746FF"/>
    <w:rsid w:val="5C974816"/>
    <w:rsid w:val="5CA97228"/>
    <w:rsid w:val="5CBA57BD"/>
    <w:rsid w:val="5CC5471C"/>
    <w:rsid w:val="5CCE52E4"/>
    <w:rsid w:val="5CDC5386"/>
    <w:rsid w:val="5CDD7E2B"/>
    <w:rsid w:val="5CE127AC"/>
    <w:rsid w:val="5CEE7B85"/>
    <w:rsid w:val="5CF6455E"/>
    <w:rsid w:val="5CF73D69"/>
    <w:rsid w:val="5D187C36"/>
    <w:rsid w:val="5D1975F4"/>
    <w:rsid w:val="5D202057"/>
    <w:rsid w:val="5D2F3202"/>
    <w:rsid w:val="5D453058"/>
    <w:rsid w:val="5D4700C2"/>
    <w:rsid w:val="5D4B13B2"/>
    <w:rsid w:val="5D606E10"/>
    <w:rsid w:val="5D661860"/>
    <w:rsid w:val="5D6C4615"/>
    <w:rsid w:val="5D6F6550"/>
    <w:rsid w:val="5D7603B3"/>
    <w:rsid w:val="5D7C5A81"/>
    <w:rsid w:val="5D8B4DF9"/>
    <w:rsid w:val="5D951781"/>
    <w:rsid w:val="5DB43A14"/>
    <w:rsid w:val="5DB80337"/>
    <w:rsid w:val="5DD31E8F"/>
    <w:rsid w:val="5DDF2196"/>
    <w:rsid w:val="5DE853F9"/>
    <w:rsid w:val="5DF704AE"/>
    <w:rsid w:val="5DF954B7"/>
    <w:rsid w:val="5DFD1F51"/>
    <w:rsid w:val="5DFF05CD"/>
    <w:rsid w:val="5E1672C2"/>
    <w:rsid w:val="5E1B6033"/>
    <w:rsid w:val="5E2612F9"/>
    <w:rsid w:val="5E2A7510"/>
    <w:rsid w:val="5E366CB5"/>
    <w:rsid w:val="5E534129"/>
    <w:rsid w:val="5E5B1464"/>
    <w:rsid w:val="5E66797C"/>
    <w:rsid w:val="5E6E3C24"/>
    <w:rsid w:val="5E7214D7"/>
    <w:rsid w:val="5E7255BD"/>
    <w:rsid w:val="5E735B91"/>
    <w:rsid w:val="5E8E438D"/>
    <w:rsid w:val="5E937CCC"/>
    <w:rsid w:val="5ECD4059"/>
    <w:rsid w:val="5EDD6931"/>
    <w:rsid w:val="5EDF337C"/>
    <w:rsid w:val="5EE03971"/>
    <w:rsid w:val="5EF83794"/>
    <w:rsid w:val="5F0173CC"/>
    <w:rsid w:val="5F073560"/>
    <w:rsid w:val="5F1A1A93"/>
    <w:rsid w:val="5F212DE2"/>
    <w:rsid w:val="5F287F7E"/>
    <w:rsid w:val="5F475677"/>
    <w:rsid w:val="5F484198"/>
    <w:rsid w:val="5F4B2C70"/>
    <w:rsid w:val="5F567498"/>
    <w:rsid w:val="5F8420E2"/>
    <w:rsid w:val="5F851A99"/>
    <w:rsid w:val="5F865198"/>
    <w:rsid w:val="5F887220"/>
    <w:rsid w:val="5F9022AB"/>
    <w:rsid w:val="5FB537C3"/>
    <w:rsid w:val="5FB81E56"/>
    <w:rsid w:val="5FBC1FE2"/>
    <w:rsid w:val="5FCC4D82"/>
    <w:rsid w:val="5FD85FDC"/>
    <w:rsid w:val="5FE725FA"/>
    <w:rsid w:val="5FEB78D3"/>
    <w:rsid w:val="5FEC00EE"/>
    <w:rsid w:val="5FF70F57"/>
    <w:rsid w:val="600458FB"/>
    <w:rsid w:val="600878DD"/>
    <w:rsid w:val="600951D4"/>
    <w:rsid w:val="600A4B4D"/>
    <w:rsid w:val="601015A4"/>
    <w:rsid w:val="6010358A"/>
    <w:rsid w:val="601A25EF"/>
    <w:rsid w:val="60250EC1"/>
    <w:rsid w:val="603E1F21"/>
    <w:rsid w:val="603E7832"/>
    <w:rsid w:val="6044067F"/>
    <w:rsid w:val="60546D44"/>
    <w:rsid w:val="60564383"/>
    <w:rsid w:val="605C6D51"/>
    <w:rsid w:val="607427E7"/>
    <w:rsid w:val="60793AF7"/>
    <w:rsid w:val="6099592B"/>
    <w:rsid w:val="60A13AB9"/>
    <w:rsid w:val="60A7744C"/>
    <w:rsid w:val="60C603C2"/>
    <w:rsid w:val="60CF04AB"/>
    <w:rsid w:val="60DB5486"/>
    <w:rsid w:val="60E82C1A"/>
    <w:rsid w:val="60EC0541"/>
    <w:rsid w:val="60ED408E"/>
    <w:rsid w:val="60F6028F"/>
    <w:rsid w:val="60FD245E"/>
    <w:rsid w:val="60FF2E22"/>
    <w:rsid w:val="61023605"/>
    <w:rsid w:val="61033EA8"/>
    <w:rsid w:val="61041F36"/>
    <w:rsid w:val="610A1613"/>
    <w:rsid w:val="6117702C"/>
    <w:rsid w:val="61251167"/>
    <w:rsid w:val="612F1395"/>
    <w:rsid w:val="612F661C"/>
    <w:rsid w:val="61432D9E"/>
    <w:rsid w:val="61656F66"/>
    <w:rsid w:val="61665017"/>
    <w:rsid w:val="61683AEB"/>
    <w:rsid w:val="61737A70"/>
    <w:rsid w:val="617D144B"/>
    <w:rsid w:val="61855138"/>
    <w:rsid w:val="618A70BC"/>
    <w:rsid w:val="618B76C7"/>
    <w:rsid w:val="61963F6D"/>
    <w:rsid w:val="61BD1F9D"/>
    <w:rsid w:val="61D27428"/>
    <w:rsid w:val="61D45501"/>
    <w:rsid w:val="61E072C3"/>
    <w:rsid w:val="61EA093B"/>
    <w:rsid w:val="61F010A8"/>
    <w:rsid w:val="61F511E0"/>
    <w:rsid w:val="61FD6D62"/>
    <w:rsid w:val="61FE2EA1"/>
    <w:rsid w:val="62024DB4"/>
    <w:rsid w:val="62117D72"/>
    <w:rsid w:val="62142622"/>
    <w:rsid w:val="62210A89"/>
    <w:rsid w:val="62285DB7"/>
    <w:rsid w:val="62297B7B"/>
    <w:rsid w:val="623613F4"/>
    <w:rsid w:val="62367ED8"/>
    <w:rsid w:val="62621800"/>
    <w:rsid w:val="626857C6"/>
    <w:rsid w:val="627C01A8"/>
    <w:rsid w:val="62923991"/>
    <w:rsid w:val="62BB078B"/>
    <w:rsid w:val="62C8685E"/>
    <w:rsid w:val="62D347D3"/>
    <w:rsid w:val="62F20D03"/>
    <w:rsid w:val="62F26EC0"/>
    <w:rsid w:val="62F75B83"/>
    <w:rsid w:val="62FA13EE"/>
    <w:rsid w:val="62FD65F4"/>
    <w:rsid w:val="63095375"/>
    <w:rsid w:val="630E4188"/>
    <w:rsid w:val="6312135F"/>
    <w:rsid w:val="63152F31"/>
    <w:rsid w:val="631F7C03"/>
    <w:rsid w:val="632A3D0D"/>
    <w:rsid w:val="632A76EA"/>
    <w:rsid w:val="633443AB"/>
    <w:rsid w:val="634161B6"/>
    <w:rsid w:val="634924E6"/>
    <w:rsid w:val="635222C3"/>
    <w:rsid w:val="636D17E8"/>
    <w:rsid w:val="638857E1"/>
    <w:rsid w:val="63964A9A"/>
    <w:rsid w:val="63A445C5"/>
    <w:rsid w:val="63AB78F4"/>
    <w:rsid w:val="63B51224"/>
    <w:rsid w:val="63C642C7"/>
    <w:rsid w:val="63C85688"/>
    <w:rsid w:val="63CD5666"/>
    <w:rsid w:val="63D01EF3"/>
    <w:rsid w:val="63D2038C"/>
    <w:rsid w:val="63E631E1"/>
    <w:rsid w:val="63E72800"/>
    <w:rsid w:val="63F66CE6"/>
    <w:rsid w:val="640E7E19"/>
    <w:rsid w:val="64477F3F"/>
    <w:rsid w:val="64745DFC"/>
    <w:rsid w:val="647527CB"/>
    <w:rsid w:val="64815114"/>
    <w:rsid w:val="648A0F84"/>
    <w:rsid w:val="648E4974"/>
    <w:rsid w:val="648F4377"/>
    <w:rsid w:val="64921E7A"/>
    <w:rsid w:val="649E65A7"/>
    <w:rsid w:val="64A9027D"/>
    <w:rsid w:val="64AE4937"/>
    <w:rsid w:val="64B70C4D"/>
    <w:rsid w:val="64C530D0"/>
    <w:rsid w:val="64C92A8D"/>
    <w:rsid w:val="64D14920"/>
    <w:rsid w:val="64DC22D2"/>
    <w:rsid w:val="64EA382F"/>
    <w:rsid w:val="64ED3306"/>
    <w:rsid w:val="6511603A"/>
    <w:rsid w:val="652763A9"/>
    <w:rsid w:val="653B0F51"/>
    <w:rsid w:val="65431C28"/>
    <w:rsid w:val="65434194"/>
    <w:rsid w:val="65477730"/>
    <w:rsid w:val="654912E0"/>
    <w:rsid w:val="655007CD"/>
    <w:rsid w:val="656A4332"/>
    <w:rsid w:val="65715D8E"/>
    <w:rsid w:val="65733372"/>
    <w:rsid w:val="65744876"/>
    <w:rsid w:val="657845AE"/>
    <w:rsid w:val="658A29C5"/>
    <w:rsid w:val="658C4C45"/>
    <w:rsid w:val="658F60B1"/>
    <w:rsid w:val="65991D3E"/>
    <w:rsid w:val="659E280B"/>
    <w:rsid w:val="65A44341"/>
    <w:rsid w:val="65A95292"/>
    <w:rsid w:val="65B74A52"/>
    <w:rsid w:val="65B87761"/>
    <w:rsid w:val="65BD55BD"/>
    <w:rsid w:val="65C53449"/>
    <w:rsid w:val="65DA55D1"/>
    <w:rsid w:val="65DE269B"/>
    <w:rsid w:val="65E72587"/>
    <w:rsid w:val="65F27286"/>
    <w:rsid w:val="6602655A"/>
    <w:rsid w:val="66037BA1"/>
    <w:rsid w:val="66054E88"/>
    <w:rsid w:val="660D45C7"/>
    <w:rsid w:val="66125273"/>
    <w:rsid w:val="661E771B"/>
    <w:rsid w:val="66280ABB"/>
    <w:rsid w:val="663B7082"/>
    <w:rsid w:val="665C299B"/>
    <w:rsid w:val="666717B3"/>
    <w:rsid w:val="6668032B"/>
    <w:rsid w:val="667C4290"/>
    <w:rsid w:val="668569A3"/>
    <w:rsid w:val="668E7332"/>
    <w:rsid w:val="669C13AC"/>
    <w:rsid w:val="66B12F54"/>
    <w:rsid w:val="66B1624D"/>
    <w:rsid w:val="66B173CB"/>
    <w:rsid w:val="66C95898"/>
    <w:rsid w:val="66D15019"/>
    <w:rsid w:val="66DC2CB9"/>
    <w:rsid w:val="66EB023B"/>
    <w:rsid w:val="66F8201A"/>
    <w:rsid w:val="66FF1E1B"/>
    <w:rsid w:val="671C5A04"/>
    <w:rsid w:val="67246142"/>
    <w:rsid w:val="67301B4C"/>
    <w:rsid w:val="6734528A"/>
    <w:rsid w:val="673F01D2"/>
    <w:rsid w:val="676777C3"/>
    <w:rsid w:val="676A389B"/>
    <w:rsid w:val="676A4CD5"/>
    <w:rsid w:val="677D4B8A"/>
    <w:rsid w:val="67802ACE"/>
    <w:rsid w:val="67804B33"/>
    <w:rsid w:val="678C4018"/>
    <w:rsid w:val="67BA3CAD"/>
    <w:rsid w:val="67C132E8"/>
    <w:rsid w:val="67C40A09"/>
    <w:rsid w:val="67D020A7"/>
    <w:rsid w:val="67D600B8"/>
    <w:rsid w:val="67D64151"/>
    <w:rsid w:val="67E4087E"/>
    <w:rsid w:val="6821192D"/>
    <w:rsid w:val="682A50A4"/>
    <w:rsid w:val="68337E89"/>
    <w:rsid w:val="68337EE8"/>
    <w:rsid w:val="683A6C76"/>
    <w:rsid w:val="6842321A"/>
    <w:rsid w:val="684675EC"/>
    <w:rsid w:val="68537052"/>
    <w:rsid w:val="68556FC7"/>
    <w:rsid w:val="685C5B46"/>
    <w:rsid w:val="686B3945"/>
    <w:rsid w:val="6876746A"/>
    <w:rsid w:val="688C0656"/>
    <w:rsid w:val="68981E7C"/>
    <w:rsid w:val="689B166D"/>
    <w:rsid w:val="68A328F2"/>
    <w:rsid w:val="68A477EF"/>
    <w:rsid w:val="68AE1735"/>
    <w:rsid w:val="68B037E5"/>
    <w:rsid w:val="68B72950"/>
    <w:rsid w:val="68B93736"/>
    <w:rsid w:val="68D10AC8"/>
    <w:rsid w:val="68D60630"/>
    <w:rsid w:val="68ED7332"/>
    <w:rsid w:val="68F8555D"/>
    <w:rsid w:val="68FE0DB6"/>
    <w:rsid w:val="691D712E"/>
    <w:rsid w:val="69214FE0"/>
    <w:rsid w:val="6953070F"/>
    <w:rsid w:val="69657D32"/>
    <w:rsid w:val="697E1E2B"/>
    <w:rsid w:val="697E7396"/>
    <w:rsid w:val="6983176F"/>
    <w:rsid w:val="69975871"/>
    <w:rsid w:val="69A009FE"/>
    <w:rsid w:val="69A729C5"/>
    <w:rsid w:val="69BF206E"/>
    <w:rsid w:val="69C308D8"/>
    <w:rsid w:val="69CA255F"/>
    <w:rsid w:val="69CA755B"/>
    <w:rsid w:val="69CD3B8D"/>
    <w:rsid w:val="69D10E05"/>
    <w:rsid w:val="69E45CA2"/>
    <w:rsid w:val="69E46DF1"/>
    <w:rsid w:val="69E8174D"/>
    <w:rsid w:val="69EA3CED"/>
    <w:rsid w:val="69EB7655"/>
    <w:rsid w:val="69F66247"/>
    <w:rsid w:val="69F86AAF"/>
    <w:rsid w:val="6A09023E"/>
    <w:rsid w:val="6A1F6154"/>
    <w:rsid w:val="6A2746CC"/>
    <w:rsid w:val="6A332D95"/>
    <w:rsid w:val="6A444A47"/>
    <w:rsid w:val="6A4F7CF0"/>
    <w:rsid w:val="6A5517EC"/>
    <w:rsid w:val="6A694BA1"/>
    <w:rsid w:val="6A734205"/>
    <w:rsid w:val="6A750C16"/>
    <w:rsid w:val="6AA02A00"/>
    <w:rsid w:val="6AA56FC6"/>
    <w:rsid w:val="6AB51195"/>
    <w:rsid w:val="6ABC3292"/>
    <w:rsid w:val="6AC04F0B"/>
    <w:rsid w:val="6AD34458"/>
    <w:rsid w:val="6ADC23D5"/>
    <w:rsid w:val="6ADC4801"/>
    <w:rsid w:val="6ADF25FC"/>
    <w:rsid w:val="6AF9720B"/>
    <w:rsid w:val="6AFA1E66"/>
    <w:rsid w:val="6AFE12C2"/>
    <w:rsid w:val="6AFF22DC"/>
    <w:rsid w:val="6B020CD0"/>
    <w:rsid w:val="6B0547F9"/>
    <w:rsid w:val="6B0B4870"/>
    <w:rsid w:val="6B1148AC"/>
    <w:rsid w:val="6B3632FE"/>
    <w:rsid w:val="6B3E0351"/>
    <w:rsid w:val="6B42449D"/>
    <w:rsid w:val="6B4A5562"/>
    <w:rsid w:val="6B565807"/>
    <w:rsid w:val="6B6548BE"/>
    <w:rsid w:val="6B6947A4"/>
    <w:rsid w:val="6B7A369F"/>
    <w:rsid w:val="6B942656"/>
    <w:rsid w:val="6BAC2823"/>
    <w:rsid w:val="6BB17CCF"/>
    <w:rsid w:val="6BBB682B"/>
    <w:rsid w:val="6BBD5024"/>
    <w:rsid w:val="6BD25DF8"/>
    <w:rsid w:val="6BEB455F"/>
    <w:rsid w:val="6BEB45CC"/>
    <w:rsid w:val="6BF37DF1"/>
    <w:rsid w:val="6BFA3189"/>
    <w:rsid w:val="6C0B4C1B"/>
    <w:rsid w:val="6C3468D1"/>
    <w:rsid w:val="6C3C5607"/>
    <w:rsid w:val="6C546532"/>
    <w:rsid w:val="6C562F8A"/>
    <w:rsid w:val="6C630CE9"/>
    <w:rsid w:val="6C714746"/>
    <w:rsid w:val="6C8A28F0"/>
    <w:rsid w:val="6C914CAA"/>
    <w:rsid w:val="6C9A6912"/>
    <w:rsid w:val="6CC17B62"/>
    <w:rsid w:val="6CEC0F34"/>
    <w:rsid w:val="6CEF01FA"/>
    <w:rsid w:val="6CF73CA4"/>
    <w:rsid w:val="6D005FF7"/>
    <w:rsid w:val="6D05105B"/>
    <w:rsid w:val="6D055E78"/>
    <w:rsid w:val="6D17316C"/>
    <w:rsid w:val="6D1D68D4"/>
    <w:rsid w:val="6D207FCD"/>
    <w:rsid w:val="6D2112FB"/>
    <w:rsid w:val="6D222330"/>
    <w:rsid w:val="6D280C36"/>
    <w:rsid w:val="6D286C4C"/>
    <w:rsid w:val="6D2B534E"/>
    <w:rsid w:val="6D2B5B01"/>
    <w:rsid w:val="6D381497"/>
    <w:rsid w:val="6D4F3914"/>
    <w:rsid w:val="6D6A2DB3"/>
    <w:rsid w:val="6D6A69AA"/>
    <w:rsid w:val="6D79127B"/>
    <w:rsid w:val="6D7A53AB"/>
    <w:rsid w:val="6D7C7BFF"/>
    <w:rsid w:val="6D832281"/>
    <w:rsid w:val="6D993D94"/>
    <w:rsid w:val="6DA910BB"/>
    <w:rsid w:val="6DB6586E"/>
    <w:rsid w:val="6DC237AE"/>
    <w:rsid w:val="6DC57185"/>
    <w:rsid w:val="6DE27BDD"/>
    <w:rsid w:val="6DEA260D"/>
    <w:rsid w:val="6DF91502"/>
    <w:rsid w:val="6DFA2CF4"/>
    <w:rsid w:val="6E01482E"/>
    <w:rsid w:val="6E0D1941"/>
    <w:rsid w:val="6E18292B"/>
    <w:rsid w:val="6E2013CD"/>
    <w:rsid w:val="6E28061C"/>
    <w:rsid w:val="6E3107FB"/>
    <w:rsid w:val="6E3E50B4"/>
    <w:rsid w:val="6E402C35"/>
    <w:rsid w:val="6E403BCF"/>
    <w:rsid w:val="6E424CF7"/>
    <w:rsid w:val="6E4510A9"/>
    <w:rsid w:val="6E96703D"/>
    <w:rsid w:val="6E984122"/>
    <w:rsid w:val="6EC4761A"/>
    <w:rsid w:val="6ED26905"/>
    <w:rsid w:val="6EE20566"/>
    <w:rsid w:val="6EE32670"/>
    <w:rsid w:val="6EEB6DD8"/>
    <w:rsid w:val="6EF513F6"/>
    <w:rsid w:val="6EF55455"/>
    <w:rsid w:val="6F166BCE"/>
    <w:rsid w:val="6F1D0027"/>
    <w:rsid w:val="6F1F0771"/>
    <w:rsid w:val="6F290684"/>
    <w:rsid w:val="6F3669E2"/>
    <w:rsid w:val="6F3A0437"/>
    <w:rsid w:val="6F452492"/>
    <w:rsid w:val="6F4B64FF"/>
    <w:rsid w:val="6F4E1ABB"/>
    <w:rsid w:val="6F65489B"/>
    <w:rsid w:val="6F6F66FF"/>
    <w:rsid w:val="6F7227E7"/>
    <w:rsid w:val="6F7869AA"/>
    <w:rsid w:val="6F7F24B7"/>
    <w:rsid w:val="6F86274A"/>
    <w:rsid w:val="6F886A39"/>
    <w:rsid w:val="6F8A6B50"/>
    <w:rsid w:val="6F9964D8"/>
    <w:rsid w:val="6F9E35B3"/>
    <w:rsid w:val="6F9E4E98"/>
    <w:rsid w:val="6FB1313E"/>
    <w:rsid w:val="6FB536E7"/>
    <w:rsid w:val="6FC169C6"/>
    <w:rsid w:val="6FC24AD0"/>
    <w:rsid w:val="6FEF1ED2"/>
    <w:rsid w:val="700148B1"/>
    <w:rsid w:val="700708F2"/>
    <w:rsid w:val="701637CE"/>
    <w:rsid w:val="70192A9F"/>
    <w:rsid w:val="70262445"/>
    <w:rsid w:val="704865AC"/>
    <w:rsid w:val="70575662"/>
    <w:rsid w:val="7068342F"/>
    <w:rsid w:val="706B1A4B"/>
    <w:rsid w:val="70796EB7"/>
    <w:rsid w:val="70891E2B"/>
    <w:rsid w:val="709304FC"/>
    <w:rsid w:val="70B21D55"/>
    <w:rsid w:val="70BA4068"/>
    <w:rsid w:val="70D77F1A"/>
    <w:rsid w:val="70D80040"/>
    <w:rsid w:val="70E96559"/>
    <w:rsid w:val="70F06D61"/>
    <w:rsid w:val="70F36F46"/>
    <w:rsid w:val="70FC142B"/>
    <w:rsid w:val="71156D9D"/>
    <w:rsid w:val="71231B23"/>
    <w:rsid w:val="71343C14"/>
    <w:rsid w:val="713B214A"/>
    <w:rsid w:val="714633CE"/>
    <w:rsid w:val="716241B1"/>
    <w:rsid w:val="716E1428"/>
    <w:rsid w:val="7178159F"/>
    <w:rsid w:val="718621EE"/>
    <w:rsid w:val="71894FD2"/>
    <w:rsid w:val="719B2361"/>
    <w:rsid w:val="71A00EEF"/>
    <w:rsid w:val="71A3311F"/>
    <w:rsid w:val="71AA4E1C"/>
    <w:rsid w:val="71AD3A74"/>
    <w:rsid w:val="71E810EE"/>
    <w:rsid w:val="71F8619A"/>
    <w:rsid w:val="72005730"/>
    <w:rsid w:val="72280301"/>
    <w:rsid w:val="7231753D"/>
    <w:rsid w:val="72386C6E"/>
    <w:rsid w:val="723A3057"/>
    <w:rsid w:val="72400885"/>
    <w:rsid w:val="724551B5"/>
    <w:rsid w:val="724B6026"/>
    <w:rsid w:val="725273EA"/>
    <w:rsid w:val="725B1897"/>
    <w:rsid w:val="725F5B3C"/>
    <w:rsid w:val="72603689"/>
    <w:rsid w:val="726C47BC"/>
    <w:rsid w:val="72CD216D"/>
    <w:rsid w:val="72CD2240"/>
    <w:rsid w:val="72CD4296"/>
    <w:rsid w:val="72CD58C3"/>
    <w:rsid w:val="72DC19E2"/>
    <w:rsid w:val="72DC648D"/>
    <w:rsid w:val="72E07EEA"/>
    <w:rsid w:val="72E420AF"/>
    <w:rsid w:val="72E530D5"/>
    <w:rsid w:val="72EC4E12"/>
    <w:rsid w:val="72EF2AE7"/>
    <w:rsid w:val="73373DED"/>
    <w:rsid w:val="73391B68"/>
    <w:rsid w:val="733B2119"/>
    <w:rsid w:val="733F7A24"/>
    <w:rsid w:val="735C44F0"/>
    <w:rsid w:val="736A01CD"/>
    <w:rsid w:val="736B4D35"/>
    <w:rsid w:val="737010AC"/>
    <w:rsid w:val="73741988"/>
    <w:rsid w:val="73742A01"/>
    <w:rsid w:val="7375590C"/>
    <w:rsid w:val="73814929"/>
    <w:rsid w:val="738858FE"/>
    <w:rsid w:val="7391289C"/>
    <w:rsid w:val="7393399F"/>
    <w:rsid w:val="73984022"/>
    <w:rsid w:val="73A84BF1"/>
    <w:rsid w:val="73B45570"/>
    <w:rsid w:val="73C11347"/>
    <w:rsid w:val="73E2421D"/>
    <w:rsid w:val="74000D97"/>
    <w:rsid w:val="741E426C"/>
    <w:rsid w:val="742D3750"/>
    <w:rsid w:val="74310474"/>
    <w:rsid w:val="74694C3B"/>
    <w:rsid w:val="746A6AAD"/>
    <w:rsid w:val="746D246B"/>
    <w:rsid w:val="747A4FBC"/>
    <w:rsid w:val="747C002A"/>
    <w:rsid w:val="748B466B"/>
    <w:rsid w:val="74CC4EFB"/>
    <w:rsid w:val="74D469D0"/>
    <w:rsid w:val="74D94903"/>
    <w:rsid w:val="74DC7834"/>
    <w:rsid w:val="74E271F1"/>
    <w:rsid w:val="74EE4239"/>
    <w:rsid w:val="74F914E4"/>
    <w:rsid w:val="75197F39"/>
    <w:rsid w:val="75326EC3"/>
    <w:rsid w:val="754D60F6"/>
    <w:rsid w:val="7551327B"/>
    <w:rsid w:val="755D51F1"/>
    <w:rsid w:val="755F3E02"/>
    <w:rsid w:val="755F782E"/>
    <w:rsid w:val="75701583"/>
    <w:rsid w:val="7573343A"/>
    <w:rsid w:val="757A5DAF"/>
    <w:rsid w:val="757F1016"/>
    <w:rsid w:val="758C2EBE"/>
    <w:rsid w:val="75A16A9F"/>
    <w:rsid w:val="75BC6CCF"/>
    <w:rsid w:val="75D61B06"/>
    <w:rsid w:val="75D636FA"/>
    <w:rsid w:val="75E27D49"/>
    <w:rsid w:val="75EA771F"/>
    <w:rsid w:val="75FE7567"/>
    <w:rsid w:val="761867BE"/>
    <w:rsid w:val="76365AD0"/>
    <w:rsid w:val="763E44C0"/>
    <w:rsid w:val="76433653"/>
    <w:rsid w:val="7648216B"/>
    <w:rsid w:val="765D57EA"/>
    <w:rsid w:val="7688585F"/>
    <w:rsid w:val="76933A35"/>
    <w:rsid w:val="76AE1756"/>
    <w:rsid w:val="76B81114"/>
    <w:rsid w:val="76BE3027"/>
    <w:rsid w:val="76CA616D"/>
    <w:rsid w:val="76DF0E9A"/>
    <w:rsid w:val="76ED7180"/>
    <w:rsid w:val="76F54CF0"/>
    <w:rsid w:val="76FD5906"/>
    <w:rsid w:val="77072866"/>
    <w:rsid w:val="770B684E"/>
    <w:rsid w:val="771D50F3"/>
    <w:rsid w:val="771F1990"/>
    <w:rsid w:val="77204CB1"/>
    <w:rsid w:val="77272726"/>
    <w:rsid w:val="77432F5D"/>
    <w:rsid w:val="775C70FA"/>
    <w:rsid w:val="77676DD8"/>
    <w:rsid w:val="776D12D7"/>
    <w:rsid w:val="777C1603"/>
    <w:rsid w:val="77986676"/>
    <w:rsid w:val="77A06E49"/>
    <w:rsid w:val="77A14CDE"/>
    <w:rsid w:val="77AA2F7D"/>
    <w:rsid w:val="77C96BD3"/>
    <w:rsid w:val="77D60033"/>
    <w:rsid w:val="77D800C3"/>
    <w:rsid w:val="77E50D75"/>
    <w:rsid w:val="77F547E0"/>
    <w:rsid w:val="77F8286E"/>
    <w:rsid w:val="78266CE5"/>
    <w:rsid w:val="7827421F"/>
    <w:rsid w:val="782B4A23"/>
    <w:rsid w:val="782F340C"/>
    <w:rsid w:val="78302F8F"/>
    <w:rsid w:val="784117AB"/>
    <w:rsid w:val="78510397"/>
    <w:rsid w:val="78542CE7"/>
    <w:rsid w:val="78552936"/>
    <w:rsid w:val="785D1E8E"/>
    <w:rsid w:val="78731F0E"/>
    <w:rsid w:val="787429FA"/>
    <w:rsid w:val="78754CBA"/>
    <w:rsid w:val="78805EAB"/>
    <w:rsid w:val="78881BFC"/>
    <w:rsid w:val="78962FA5"/>
    <w:rsid w:val="78A43903"/>
    <w:rsid w:val="78C148AC"/>
    <w:rsid w:val="78CA1FEE"/>
    <w:rsid w:val="78CB3FEB"/>
    <w:rsid w:val="7926485A"/>
    <w:rsid w:val="793B5CE2"/>
    <w:rsid w:val="795C411F"/>
    <w:rsid w:val="796057A7"/>
    <w:rsid w:val="7966323A"/>
    <w:rsid w:val="796834B3"/>
    <w:rsid w:val="797B3C8A"/>
    <w:rsid w:val="797F45FC"/>
    <w:rsid w:val="798304E0"/>
    <w:rsid w:val="79830C32"/>
    <w:rsid w:val="79970647"/>
    <w:rsid w:val="79A11C25"/>
    <w:rsid w:val="79B847D4"/>
    <w:rsid w:val="79CE7F1F"/>
    <w:rsid w:val="79D9682C"/>
    <w:rsid w:val="79DB75C0"/>
    <w:rsid w:val="79E37881"/>
    <w:rsid w:val="79E4486C"/>
    <w:rsid w:val="79EA2E0E"/>
    <w:rsid w:val="79ED08FA"/>
    <w:rsid w:val="79F501D1"/>
    <w:rsid w:val="79FC00C4"/>
    <w:rsid w:val="79FC2BF8"/>
    <w:rsid w:val="7A0610D0"/>
    <w:rsid w:val="7A067AFA"/>
    <w:rsid w:val="7A0C585A"/>
    <w:rsid w:val="7A2578FD"/>
    <w:rsid w:val="7A2C7450"/>
    <w:rsid w:val="7A326B5A"/>
    <w:rsid w:val="7A535A35"/>
    <w:rsid w:val="7A553725"/>
    <w:rsid w:val="7A604F43"/>
    <w:rsid w:val="7A616D0A"/>
    <w:rsid w:val="7A783A23"/>
    <w:rsid w:val="7A7F2C76"/>
    <w:rsid w:val="7A8F5500"/>
    <w:rsid w:val="7AA7447C"/>
    <w:rsid w:val="7AAC462A"/>
    <w:rsid w:val="7AD14E20"/>
    <w:rsid w:val="7AD85F47"/>
    <w:rsid w:val="7AF84FA0"/>
    <w:rsid w:val="7AF909C6"/>
    <w:rsid w:val="7B1F3681"/>
    <w:rsid w:val="7B2F3B08"/>
    <w:rsid w:val="7B6F1BD0"/>
    <w:rsid w:val="7B732126"/>
    <w:rsid w:val="7B755C15"/>
    <w:rsid w:val="7B7B20CE"/>
    <w:rsid w:val="7B8E1216"/>
    <w:rsid w:val="7B9A1345"/>
    <w:rsid w:val="7B9F4805"/>
    <w:rsid w:val="7BA226FD"/>
    <w:rsid w:val="7BB20B69"/>
    <w:rsid w:val="7BB819E3"/>
    <w:rsid w:val="7BC51755"/>
    <w:rsid w:val="7BC67AB6"/>
    <w:rsid w:val="7BCA6C86"/>
    <w:rsid w:val="7BE7412D"/>
    <w:rsid w:val="7BF4232A"/>
    <w:rsid w:val="7BFA4E58"/>
    <w:rsid w:val="7BFC24E5"/>
    <w:rsid w:val="7C044DA1"/>
    <w:rsid w:val="7C0B3159"/>
    <w:rsid w:val="7C132D64"/>
    <w:rsid w:val="7C27612C"/>
    <w:rsid w:val="7C3F76F0"/>
    <w:rsid w:val="7CA33449"/>
    <w:rsid w:val="7CA45FF7"/>
    <w:rsid w:val="7CC61907"/>
    <w:rsid w:val="7CE0350C"/>
    <w:rsid w:val="7CE16426"/>
    <w:rsid w:val="7D0A0BA4"/>
    <w:rsid w:val="7D107AF3"/>
    <w:rsid w:val="7D28386F"/>
    <w:rsid w:val="7D4253C7"/>
    <w:rsid w:val="7D4C5341"/>
    <w:rsid w:val="7D4E5EE6"/>
    <w:rsid w:val="7D800310"/>
    <w:rsid w:val="7D8901AD"/>
    <w:rsid w:val="7D8E577D"/>
    <w:rsid w:val="7D8F2C22"/>
    <w:rsid w:val="7D90536C"/>
    <w:rsid w:val="7D9A426A"/>
    <w:rsid w:val="7D9A7FCD"/>
    <w:rsid w:val="7DD17FD1"/>
    <w:rsid w:val="7DE70AC3"/>
    <w:rsid w:val="7DF245FC"/>
    <w:rsid w:val="7E006F08"/>
    <w:rsid w:val="7E3101B4"/>
    <w:rsid w:val="7E3172CD"/>
    <w:rsid w:val="7E333E03"/>
    <w:rsid w:val="7E391FE6"/>
    <w:rsid w:val="7E4D1B3B"/>
    <w:rsid w:val="7E4D6F6B"/>
    <w:rsid w:val="7E750D96"/>
    <w:rsid w:val="7E7A6F17"/>
    <w:rsid w:val="7E7D152D"/>
    <w:rsid w:val="7E841A66"/>
    <w:rsid w:val="7E876C73"/>
    <w:rsid w:val="7E916762"/>
    <w:rsid w:val="7E9E6093"/>
    <w:rsid w:val="7EA916FD"/>
    <w:rsid w:val="7EBF6723"/>
    <w:rsid w:val="7ED011E0"/>
    <w:rsid w:val="7ED6731D"/>
    <w:rsid w:val="7EE53C64"/>
    <w:rsid w:val="7EEA29E2"/>
    <w:rsid w:val="7F294316"/>
    <w:rsid w:val="7F461975"/>
    <w:rsid w:val="7F541580"/>
    <w:rsid w:val="7F590594"/>
    <w:rsid w:val="7F667225"/>
    <w:rsid w:val="7F844A6E"/>
    <w:rsid w:val="7F887A65"/>
    <w:rsid w:val="7F9E05E2"/>
    <w:rsid w:val="7FA27C81"/>
    <w:rsid w:val="7FAA1C29"/>
    <w:rsid w:val="7FAC4830"/>
    <w:rsid w:val="7FB659E5"/>
    <w:rsid w:val="7FB7407D"/>
    <w:rsid w:val="7FE57792"/>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paragraph" w:styleId="15">
    <w:name w:val="Body Text First Indent 2"/>
    <w:basedOn w:val="8"/>
    <w:next w:val="1"/>
    <w:qFormat/>
    <w:uiPriority w:val="0"/>
    <w:pPr>
      <w:ind w:firstLine="420"/>
    </w:pPr>
    <w:rPr>
      <w:rFonts w:eastAsia="宋体"/>
      <w:sz w:val="24"/>
    </w:r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56</Pages>
  <Words>17851</Words>
  <Characters>33751</Characters>
  <Lines>0</Lines>
  <Paragraphs>0</Paragraphs>
  <TotalTime>6</TotalTime>
  <ScaleCrop>false</ScaleCrop>
  <LinksUpToDate>false</LinksUpToDate>
  <CharactersWithSpaces>35017</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宅喵</cp:lastModifiedBy>
  <cp:lastPrinted>2021-05-26T06:47:00Z</cp:lastPrinted>
  <dcterms:modified xsi:type="dcterms:W3CDTF">2021-07-07T02:14:33Z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383E715DF5C8458393E4A773507A30AF</vt:lpwstr>
  </property>
</Properties>
</file>