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before="0" w:after="0" w:line="360" w:lineRule="auto"/>
        <w:jc w:val="center"/>
        <w:rPr>
          <w:rFonts w:ascii="Times New Roman" w:hAnsi="Times New Roman"/>
          <w:b w:val="0"/>
          <w:bCs w:val="0"/>
          <w:color w:val="000000" w:themeColor="text1"/>
          <w:sz w:val="36"/>
          <w:szCs w:val="36"/>
          <w:highlight w:val="none"/>
          <w14:textFill>
            <w14:solidFill>
              <w14:schemeClr w14:val="tx1"/>
            </w14:solidFill>
          </w14:textFill>
        </w:rPr>
      </w:pPr>
      <w:bookmarkStart w:id="0" w:name="_Toc12810_WPSOffice_Level1"/>
      <w:bookmarkStart w:id="1" w:name="_Toc25299"/>
      <w:bookmarkStart w:id="2" w:name="_Toc8069_WPSOffice_Level1"/>
      <w:r>
        <w:rPr>
          <w:rFonts w:ascii="Times New Roman" w:hAnsi="Times New Roman"/>
          <w:b w:val="0"/>
          <w:bCs w:val="0"/>
          <w:color w:val="000000" w:themeColor="text1"/>
          <w:sz w:val="36"/>
          <w:szCs w:val="36"/>
          <w:highlight w:val="none"/>
          <w14:textFill>
            <w14:solidFill>
              <w14:schemeClr w14:val="tx1"/>
            </w14:solidFill>
          </w14:textFill>
        </w:rPr>
        <w:t>第三章 评标办法（综合评估法</w:t>
      </w:r>
      <w:bookmarkEnd w:id="0"/>
      <w:bookmarkEnd w:id="1"/>
      <w:bookmarkEnd w:id="2"/>
      <w:r>
        <w:rPr>
          <w:rFonts w:ascii="Times New Roman" w:hAnsi="Times New Roman"/>
          <w:b w:val="0"/>
          <w:bCs w:val="0"/>
          <w:color w:val="000000" w:themeColor="text1"/>
          <w:sz w:val="36"/>
          <w:szCs w:val="36"/>
          <w:highlight w:val="none"/>
          <w14:textFill>
            <w14:solidFill>
              <w14:schemeClr w14:val="tx1"/>
            </w14:solidFill>
          </w14:textFill>
        </w:rPr>
        <w:t>）</w:t>
      </w:r>
    </w:p>
    <w:p>
      <w:pPr>
        <w:pStyle w:val="4"/>
        <w:spacing w:before="0" w:after="0" w:line="360" w:lineRule="auto"/>
        <w:jc w:val="center"/>
        <w:rPr>
          <w:rFonts w:ascii="Times New Roman" w:hAnsi="Times New Roman"/>
          <w:b w:val="0"/>
          <w:bCs w:val="0"/>
          <w:color w:val="000000"/>
          <w:sz w:val="28"/>
          <w:szCs w:val="28"/>
          <w:highlight w:val="none"/>
        </w:rPr>
      </w:pPr>
      <w:r>
        <w:rPr>
          <w:rFonts w:ascii="Times New Roman" w:hAnsi="Times New Roman"/>
          <w:b w:val="0"/>
          <w:bCs w:val="0"/>
          <w:color w:val="000000"/>
          <w:sz w:val="28"/>
          <w:szCs w:val="28"/>
          <w:highlight w:val="none"/>
        </w:rPr>
        <w:t>评标办法前附表</w:t>
      </w:r>
    </w:p>
    <w:tbl>
      <w:tblPr>
        <w:tblStyle w:val="6"/>
        <w:tblW w:w="9071" w:type="dxa"/>
        <w:jc w:val="center"/>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Layout w:type="fixed"/>
        <w:tblCellMar>
          <w:top w:w="0" w:type="dxa"/>
          <w:left w:w="108" w:type="dxa"/>
          <w:bottom w:w="0" w:type="dxa"/>
          <w:right w:w="108" w:type="dxa"/>
        </w:tblCellMar>
      </w:tblPr>
      <w:tblGrid>
        <w:gridCol w:w="1072"/>
        <w:gridCol w:w="6"/>
        <w:gridCol w:w="1163"/>
        <w:gridCol w:w="6830"/>
      </w:tblGrid>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454" w:hRule="atLeast"/>
          <w:tblHeader/>
          <w:jc w:val="center"/>
        </w:trPr>
        <w:tc>
          <w:tcPr>
            <w:tcW w:w="2241" w:type="dxa"/>
            <w:gridSpan w:val="3"/>
            <w:tcBorders>
              <w:tl2br w:val="nil"/>
              <w:tr2bl w:val="nil"/>
            </w:tcBorders>
            <w:vAlign w:val="center"/>
          </w:tcPr>
          <w:p>
            <w:pPr>
              <w:jc w:val="center"/>
              <w:rPr>
                <w:rFonts w:ascii="宋体" w:hAnsi="宋体" w:cs="宋体"/>
                <w:color w:val="000000"/>
                <w:szCs w:val="21"/>
                <w:highlight w:val="none"/>
              </w:rPr>
            </w:pPr>
            <w:r>
              <w:rPr>
                <w:rFonts w:hint="eastAsia" w:ascii="宋体" w:hAnsi="宋体" w:cs="宋体"/>
                <w:color w:val="000000"/>
                <w:szCs w:val="21"/>
                <w:highlight w:val="none"/>
              </w:rPr>
              <w:t>条款号</w:t>
            </w:r>
          </w:p>
        </w:tc>
        <w:tc>
          <w:tcPr>
            <w:tcW w:w="6830" w:type="dxa"/>
            <w:tcBorders>
              <w:tl2br w:val="nil"/>
              <w:tr2bl w:val="nil"/>
            </w:tcBorders>
            <w:vAlign w:val="center"/>
          </w:tcPr>
          <w:p>
            <w:pPr>
              <w:jc w:val="center"/>
              <w:rPr>
                <w:rFonts w:ascii="宋体" w:hAnsi="宋体" w:cs="宋体"/>
                <w:color w:val="000000"/>
                <w:szCs w:val="21"/>
                <w:highlight w:val="none"/>
              </w:rPr>
            </w:pPr>
            <w:r>
              <w:rPr>
                <w:rFonts w:hint="eastAsia" w:ascii="宋体" w:hAnsi="宋体" w:cs="宋体"/>
                <w:color w:val="000000"/>
                <w:szCs w:val="21"/>
                <w:highlight w:val="none"/>
              </w:rPr>
              <w:t>评审因素与评审标准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076" w:hRule="atLeast"/>
          <w:jc w:val="center"/>
        </w:trPr>
        <w:tc>
          <w:tcPr>
            <w:tcW w:w="1072" w:type="dxa"/>
            <w:tcBorders>
              <w:tl2br w:val="nil"/>
              <w:tr2bl w:val="nil"/>
            </w:tcBorders>
            <w:vAlign w:val="center"/>
          </w:tcPr>
          <w:p>
            <w:pPr>
              <w:spacing w:line="400" w:lineRule="atLeast"/>
              <w:jc w:val="center"/>
              <w:rPr>
                <w:rFonts w:ascii="宋体" w:hAnsi="宋体" w:cs="宋体"/>
                <w:color w:val="000000"/>
                <w:szCs w:val="21"/>
                <w:highlight w:val="none"/>
              </w:rPr>
            </w:pPr>
            <w:r>
              <w:rPr>
                <w:rFonts w:hint="eastAsia" w:ascii="宋体" w:hAnsi="宋体" w:cs="宋体"/>
                <w:color w:val="000000"/>
                <w:szCs w:val="21"/>
                <w:highlight w:val="none"/>
              </w:rPr>
              <w:t>1</w:t>
            </w:r>
          </w:p>
        </w:tc>
        <w:tc>
          <w:tcPr>
            <w:tcW w:w="1169" w:type="dxa"/>
            <w:gridSpan w:val="2"/>
            <w:tcBorders>
              <w:tl2br w:val="nil"/>
              <w:tr2bl w:val="nil"/>
            </w:tcBorders>
            <w:vAlign w:val="center"/>
          </w:tcPr>
          <w:p>
            <w:pPr>
              <w:spacing w:line="400" w:lineRule="atLeast"/>
              <w:jc w:val="center"/>
              <w:rPr>
                <w:rFonts w:ascii="宋体" w:hAnsi="宋体" w:cs="宋体"/>
                <w:color w:val="000000"/>
                <w:szCs w:val="21"/>
                <w:highlight w:val="none"/>
              </w:rPr>
            </w:pPr>
            <w:r>
              <w:rPr>
                <w:rFonts w:hint="eastAsia" w:ascii="宋体" w:hAnsi="宋体" w:cs="宋体"/>
                <w:color w:val="000000"/>
                <w:szCs w:val="21"/>
                <w:highlight w:val="none"/>
              </w:rPr>
              <w:t>评标方法</w:t>
            </w:r>
          </w:p>
        </w:tc>
        <w:tc>
          <w:tcPr>
            <w:tcW w:w="6830" w:type="dxa"/>
            <w:tcBorders>
              <w:tl2br w:val="nil"/>
              <w:tr2bl w:val="nil"/>
            </w:tcBorders>
            <w:vAlign w:val="center"/>
          </w:tcPr>
          <w:p>
            <w:pPr>
              <w:ind w:firstLine="420" w:firstLineChars="200"/>
              <w:rPr>
                <w:rFonts w:ascii="宋体" w:hAnsi="宋体" w:cs="宋体"/>
                <w:color w:val="000000"/>
                <w:szCs w:val="21"/>
                <w:highlight w:val="none"/>
              </w:rPr>
            </w:pPr>
            <w:r>
              <w:rPr>
                <w:rFonts w:hint="eastAsia" w:ascii="宋体" w:hAnsi="宋体" w:cs="宋体"/>
                <w:color w:val="000000"/>
                <w:szCs w:val="21"/>
                <w:highlight w:val="none"/>
              </w:rPr>
              <w:t>评标委员会按得分由高到低顺序推荐中标候选人，得分相等时，评标委员会依次按照以下优先顺序推荐中标候选人：</w:t>
            </w:r>
          </w:p>
          <w:p>
            <w:pPr>
              <w:ind w:firstLine="420" w:firstLineChars="200"/>
              <w:rPr>
                <w:rFonts w:ascii="宋体" w:hAnsi="宋体" w:cs="宋体"/>
                <w:color w:val="000000"/>
                <w:szCs w:val="21"/>
                <w:highlight w:val="none"/>
              </w:rPr>
            </w:pPr>
            <w:r>
              <w:rPr>
                <w:rFonts w:hint="eastAsia" w:ascii="宋体" w:hAnsi="宋体" w:cs="宋体"/>
                <w:color w:val="000000"/>
                <w:szCs w:val="21"/>
                <w:highlight w:val="none"/>
              </w:rPr>
              <w:t>（1）评标价低的投标人优先；</w:t>
            </w:r>
          </w:p>
          <w:p>
            <w:pPr>
              <w:ind w:firstLine="420" w:firstLineChars="200"/>
              <w:rPr>
                <w:rFonts w:ascii="宋体" w:hAnsi="宋体" w:cs="宋体"/>
                <w:color w:val="000000"/>
                <w:szCs w:val="21"/>
                <w:highlight w:val="none"/>
              </w:rPr>
            </w:pPr>
            <w:r>
              <w:rPr>
                <w:rFonts w:hint="eastAsia" w:ascii="宋体" w:hAnsi="宋体" w:cs="宋体"/>
                <w:color w:val="000000"/>
                <w:szCs w:val="21"/>
                <w:highlight w:val="none"/>
              </w:rPr>
              <w:t>（2）商务和技术得分较高的投标人优先；</w:t>
            </w:r>
          </w:p>
          <w:p>
            <w:pPr>
              <w:ind w:firstLine="420" w:firstLineChars="200"/>
              <w:rPr>
                <w:rFonts w:ascii="宋体" w:hAnsi="宋体" w:cs="宋体"/>
                <w:color w:val="000000"/>
                <w:szCs w:val="21"/>
                <w:highlight w:val="none"/>
              </w:rPr>
            </w:pPr>
            <w:r>
              <w:rPr>
                <w:rFonts w:hint="eastAsia" w:ascii="宋体" w:hAnsi="宋体" w:cs="宋体"/>
                <w:color w:val="000000"/>
                <w:szCs w:val="21"/>
                <w:highlight w:val="none"/>
              </w:rPr>
              <w:t>（3）投标文件提供的业绩数量多的投标人优先；</w:t>
            </w:r>
          </w:p>
          <w:p>
            <w:pPr>
              <w:ind w:firstLine="420" w:firstLineChars="200"/>
              <w:rPr>
                <w:rFonts w:ascii="宋体" w:hAnsi="宋体" w:cs="宋体"/>
                <w:color w:val="000000"/>
                <w:szCs w:val="21"/>
                <w:highlight w:val="none"/>
              </w:rPr>
            </w:pPr>
            <w:r>
              <w:rPr>
                <w:rFonts w:hint="eastAsia" w:ascii="宋体" w:hAnsi="宋体" w:cs="宋体"/>
                <w:color w:val="000000"/>
                <w:szCs w:val="21"/>
                <w:highlight w:val="none"/>
              </w:rPr>
              <w:t>（4）投标文件提供的业绩累计合同金额大的投标人优先。</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90" w:hRule="atLeast"/>
          <w:jc w:val="center"/>
        </w:trPr>
        <w:tc>
          <w:tcPr>
            <w:tcW w:w="1072" w:type="dxa"/>
            <w:tcBorders>
              <w:tl2br w:val="nil"/>
              <w:tr2bl w:val="nil"/>
            </w:tcBorders>
            <w:vAlign w:val="center"/>
          </w:tcPr>
          <w:p>
            <w:pPr>
              <w:spacing w:line="400" w:lineRule="atLeast"/>
              <w:jc w:val="center"/>
              <w:rPr>
                <w:rFonts w:ascii="宋体" w:hAnsi="宋体" w:cs="宋体"/>
                <w:color w:val="000000"/>
                <w:szCs w:val="21"/>
                <w:highlight w:val="none"/>
              </w:rPr>
            </w:pPr>
            <w:r>
              <w:rPr>
                <w:rFonts w:hint="eastAsia" w:ascii="宋体" w:hAnsi="宋体" w:cs="宋体"/>
                <w:color w:val="000000"/>
                <w:szCs w:val="21"/>
                <w:highlight w:val="none"/>
              </w:rPr>
              <w:t>2.1.1</w:t>
            </w:r>
          </w:p>
          <w:p>
            <w:pPr>
              <w:spacing w:line="400" w:lineRule="atLeast"/>
              <w:jc w:val="center"/>
              <w:rPr>
                <w:rFonts w:ascii="宋体" w:hAnsi="宋体" w:cs="宋体"/>
                <w:color w:val="000000"/>
                <w:szCs w:val="21"/>
                <w:highlight w:val="none"/>
              </w:rPr>
            </w:pPr>
            <w:r>
              <w:rPr>
                <w:rFonts w:hint="eastAsia" w:ascii="宋体" w:hAnsi="宋体" w:cs="宋体"/>
                <w:color w:val="000000"/>
                <w:szCs w:val="21"/>
                <w:highlight w:val="none"/>
              </w:rPr>
              <w:t>2.1.3</w:t>
            </w:r>
          </w:p>
        </w:tc>
        <w:tc>
          <w:tcPr>
            <w:tcW w:w="1169" w:type="dxa"/>
            <w:gridSpan w:val="2"/>
            <w:tcBorders>
              <w:tl2br w:val="nil"/>
              <w:tr2bl w:val="nil"/>
            </w:tcBorders>
            <w:vAlign w:val="center"/>
          </w:tcPr>
          <w:p>
            <w:pPr>
              <w:spacing w:line="400" w:lineRule="atLeast"/>
              <w:jc w:val="center"/>
              <w:rPr>
                <w:rFonts w:ascii="宋体" w:hAnsi="宋体" w:cs="宋体"/>
                <w:color w:val="000000"/>
                <w:szCs w:val="21"/>
                <w:highlight w:val="none"/>
              </w:rPr>
            </w:pPr>
            <w:r>
              <w:rPr>
                <w:rFonts w:hint="eastAsia" w:ascii="宋体" w:hAnsi="宋体" w:cs="宋体"/>
                <w:color w:val="000000"/>
                <w:szCs w:val="21"/>
                <w:highlight w:val="none"/>
              </w:rPr>
              <w:t>形式评审与响应性评审标准</w:t>
            </w:r>
          </w:p>
        </w:tc>
        <w:tc>
          <w:tcPr>
            <w:tcW w:w="6830" w:type="dxa"/>
            <w:tcBorders>
              <w:tl2br w:val="nil"/>
              <w:tr2bl w:val="nil"/>
            </w:tcBorders>
            <w:vAlign w:val="center"/>
          </w:tcPr>
          <w:p>
            <w:pPr>
              <w:adjustRightInd w:val="0"/>
              <w:rPr>
                <w:rFonts w:ascii="宋体" w:hAnsi="宋体" w:cs="宋体"/>
                <w:color w:val="000000"/>
                <w:szCs w:val="21"/>
                <w:highlight w:val="none"/>
              </w:rPr>
            </w:pPr>
            <w:r>
              <w:rPr>
                <w:rFonts w:hint="eastAsia" w:ascii="宋体" w:hAnsi="宋体" w:cs="宋体"/>
                <w:color w:val="000000"/>
                <w:szCs w:val="21"/>
                <w:highlight w:val="none"/>
              </w:rPr>
              <w:t>第一个信封（商务及技术文件）评审标准：</w:t>
            </w:r>
          </w:p>
          <w:p>
            <w:pPr>
              <w:adjustRightInd w:val="0"/>
              <w:rPr>
                <w:rFonts w:ascii="宋体" w:hAnsi="宋体" w:cs="宋体"/>
                <w:color w:val="000000"/>
                <w:szCs w:val="21"/>
                <w:highlight w:val="none"/>
              </w:rPr>
            </w:pPr>
            <w:r>
              <w:rPr>
                <w:rFonts w:hint="eastAsia" w:ascii="宋体" w:hAnsi="宋体" w:cs="宋体"/>
                <w:color w:val="000000"/>
                <w:szCs w:val="21"/>
                <w:highlight w:val="none"/>
              </w:rPr>
              <w:t>（1）投标文件按照招标文件规定的格式、内容填写，字迹清晰可辨：</w:t>
            </w:r>
          </w:p>
          <w:p>
            <w:pPr>
              <w:adjustRightInd w:val="0"/>
              <w:rPr>
                <w:rFonts w:ascii="宋体" w:hAnsi="宋体" w:cs="宋体"/>
                <w:color w:val="000000"/>
                <w:szCs w:val="21"/>
                <w:highlight w:val="none"/>
              </w:rPr>
            </w:pPr>
            <w:r>
              <w:rPr>
                <w:rFonts w:hint="eastAsia" w:ascii="宋体" w:hAnsi="宋体" w:cs="宋体"/>
                <w:color w:val="000000"/>
                <w:szCs w:val="21"/>
                <w:highlight w:val="none"/>
              </w:rPr>
              <w:t>a.投标函按招标文件规定填报了招标人名称、项目名称、标段号、补遗书编号（如有）、服务期限、工程质量要求及安全目标；</w:t>
            </w:r>
          </w:p>
          <w:p>
            <w:pPr>
              <w:adjustRightInd w:val="0"/>
              <w:rPr>
                <w:rFonts w:ascii="宋体" w:hAnsi="宋体" w:cs="宋体"/>
                <w:color w:val="000000"/>
                <w:szCs w:val="21"/>
                <w:highlight w:val="none"/>
              </w:rPr>
            </w:pPr>
            <w:r>
              <w:rPr>
                <w:rFonts w:hint="eastAsia" w:ascii="宋体" w:hAnsi="宋体" w:cs="宋体"/>
                <w:color w:val="000000"/>
                <w:szCs w:val="21"/>
                <w:highlight w:val="none"/>
              </w:rPr>
              <w:t>b.投标文件组成齐全完整，内容均按规定填写。</w:t>
            </w:r>
          </w:p>
          <w:p>
            <w:pPr>
              <w:adjustRightInd w:val="0"/>
              <w:rPr>
                <w:rFonts w:ascii="宋体" w:hAnsi="宋体" w:cs="宋体"/>
                <w:color w:val="000000"/>
                <w:szCs w:val="21"/>
                <w:highlight w:val="none"/>
              </w:rPr>
            </w:pPr>
            <w:r>
              <w:rPr>
                <w:rFonts w:hint="eastAsia" w:ascii="宋体" w:hAnsi="宋体" w:cs="宋体"/>
                <w:color w:val="000000"/>
                <w:szCs w:val="21"/>
                <w:highlight w:val="none"/>
              </w:rPr>
              <w:t>（2）投标文件上法定代表人或其授权代理人的签字、投标人的单位章盖章齐全，符合招标文件规定。</w:t>
            </w:r>
          </w:p>
          <w:p>
            <w:pPr>
              <w:adjustRightInd w:val="0"/>
              <w:rPr>
                <w:rFonts w:ascii="宋体" w:hAnsi="宋体" w:cs="宋体"/>
                <w:color w:val="000000"/>
                <w:szCs w:val="21"/>
                <w:highlight w:val="none"/>
              </w:rPr>
            </w:pPr>
            <w:r>
              <w:rPr>
                <w:rFonts w:hint="eastAsia" w:ascii="宋体" w:hAnsi="宋体" w:cs="宋体"/>
                <w:color w:val="000000"/>
                <w:szCs w:val="21"/>
                <w:highlight w:val="none"/>
              </w:rPr>
              <w:t>（3）投标人按照招标文件的规定提供了投标保证金：</w:t>
            </w:r>
          </w:p>
          <w:p>
            <w:pPr>
              <w:adjustRightInd w:val="0"/>
              <w:rPr>
                <w:rFonts w:ascii="宋体" w:hAnsi="宋体" w:cs="宋体"/>
                <w:color w:val="000000"/>
                <w:szCs w:val="21"/>
                <w:highlight w:val="none"/>
              </w:rPr>
            </w:pPr>
            <w:r>
              <w:rPr>
                <w:rFonts w:hint="eastAsia" w:ascii="宋体" w:hAnsi="宋体" w:cs="宋体"/>
                <w:color w:val="000000"/>
                <w:szCs w:val="21"/>
                <w:highlight w:val="none"/>
              </w:rPr>
              <w:t>a.投标保证金金额符合招标文件规定的金额，且投标保证金有效期不少于投标有效期；</w:t>
            </w:r>
          </w:p>
          <w:p>
            <w:pPr>
              <w:adjustRightInd w:val="0"/>
              <w:rPr>
                <w:rFonts w:ascii="宋体" w:hAnsi="宋体" w:cs="宋体"/>
                <w:color w:val="000000"/>
                <w:szCs w:val="21"/>
                <w:highlight w:val="none"/>
              </w:rPr>
            </w:pPr>
            <w:r>
              <w:rPr>
                <w:rFonts w:hint="eastAsia" w:ascii="宋体" w:hAnsi="宋体" w:cs="宋体"/>
                <w:color w:val="000000"/>
                <w:szCs w:val="21"/>
                <w:highlight w:val="none"/>
              </w:rPr>
              <w:t>b.若投标保证金采用现金或支票形式提交，投标人应在递交投标文件截止时间之前，将投标保证金由投标人的基本账户转入并到达招标文件指定账户；</w:t>
            </w:r>
          </w:p>
          <w:p>
            <w:pPr>
              <w:adjustRightInd w:val="0"/>
              <w:rPr>
                <w:rFonts w:ascii="宋体" w:hAnsi="宋体" w:cs="宋体"/>
                <w:color w:val="000000"/>
                <w:szCs w:val="21"/>
                <w:highlight w:val="none"/>
              </w:rPr>
            </w:pPr>
            <w:r>
              <w:rPr>
                <w:rFonts w:hint="eastAsia" w:ascii="宋体" w:hAnsi="宋体" w:cs="宋体"/>
                <w:color w:val="000000"/>
                <w:szCs w:val="21"/>
                <w:highlight w:val="none"/>
              </w:rPr>
              <w:t>c.若投标保证金采用银行保函形式提交，银行保函的格式、开具保函的银行均满足招标文件要求，且银行保函原件装订在投标文件的正本之中。</w:t>
            </w:r>
          </w:p>
          <w:p>
            <w:pPr>
              <w:adjustRightInd w:val="0"/>
              <w:rPr>
                <w:rFonts w:ascii="宋体" w:hAnsi="宋体" w:cs="宋体"/>
                <w:color w:val="000000"/>
                <w:szCs w:val="21"/>
                <w:highlight w:val="none"/>
              </w:rPr>
            </w:pPr>
            <w:r>
              <w:rPr>
                <w:rFonts w:hint="eastAsia" w:ascii="宋体" w:hAnsi="宋体" w:cs="宋体"/>
                <w:color w:val="000000"/>
                <w:szCs w:val="21"/>
                <w:highlight w:val="none"/>
              </w:rPr>
              <w:t>（4）投标人法定代表人授权委托代理人签署投标文件的，须提交授权委托书，且授权人和被授权人均在授权委托书上签名。</w:t>
            </w:r>
          </w:p>
          <w:p>
            <w:pPr>
              <w:adjustRightInd w:val="0"/>
              <w:rPr>
                <w:rFonts w:ascii="宋体" w:hAnsi="宋体" w:cs="宋体"/>
                <w:color w:val="000000"/>
                <w:szCs w:val="21"/>
                <w:highlight w:val="none"/>
              </w:rPr>
            </w:pPr>
            <w:r>
              <w:rPr>
                <w:rFonts w:hint="eastAsia" w:ascii="宋体" w:hAnsi="宋体" w:cs="宋体"/>
                <w:color w:val="000000"/>
                <w:szCs w:val="21"/>
                <w:highlight w:val="none"/>
              </w:rPr>
              <w:t>（5）投标人法定代表人亲自签署投标文件的，提供了法定代表人身份证明，且法定代表人在法定代表人身份证明上签名。</w:t>
            </w:r>
          </w:p>
          <w:p>
            <w:pPr>
              <w:adjustRightInd w:val="0"/>
              <w:rPr>
                <w:rFonts w:ascii="宋体" w:hAnsi="宋体" w:cs="宋体"/>
                <w:color w:val="000000"/>
                <w:szCs w:val="21"/>
                <w:highlight w:val="none"/>
              </w:rPr>
            </w:pPr>
            <w:r>
              <w:rPr>
                <w:rFonts w:hint="eastAsia" w:ascii="宋体" w:hAnsi="宋体" w:cs="宋体"/>
                <w:color w:val="000000"/>
                <w:szCs w:val="21"/>
                <w:highlight w:val="none"/>
              </w:rPr>
              <w:t>（6）投标人未以联合体形式参加投标。</w:t>
            </w:r>
          </w:p>
          <w:p>
            <w:pPr>
              <w:adjustRightInd w:val="0"/>
              <w:rPr>
                <w:rFonts w:ascii="宋体" w:hAnsi="宋体" w:cs="宋体"/>
                <w:color w:val="000000"/>
                <w:szCs w:val="21"/>
                <w:highlight w:val="none"/>
              </w:rPr>
            </w:pPr>
            <w:r>
              <w:rPr>
                <w:rFonts w:hint="eastAsia" w:ascii="宋体" w:hAnsi="宋体" w:cs="宋体"/>
                <w:color w:val="000000"/>
                <w:szCs w:val="21"/>
                <w:highlight w:val="none"/>
              </w:rPr>
              <w:t>（7）同一投标人未提交两个及以上不同的投标文件。</w:t>
            </w:r>
          </w:p>
          <w:p>
            <w:pPr>
              <w:adjustRightInd w:val="0"/>
              <w:rPr>
                <w:rFonts w:ascii="宋体" w:hAnsi="宋体" w:cs="宋体"/>
                <w:color w:val="000000"/>
                <w:szCs w:val="21"/>
                <w:highlight w:val="none"/>
              </w:rPr>
            </w:pPr>
            <w:r>
              <w:rPr>
                <w:rFonts w:hint="eastAsia" w:ascii="宋体" w:hAnsi="宋体" w:cs="宋体"/>
                <w:color w:val="000000"/>
                <w:szCs w:val="21"/>
                <w:highlight w:val="none"/>
              </w:rPr>
              <w:t>（8）投标文件中未出现有关投标报价的内容。</w:t>
            </w:r>
          </w:p>
          <w:p>
            <w:pPr>
              <w:adjustRightInd w:val="0"/>
              <w:rPr>
                <w:rFonts w:ascii="宋体" w:hAnsi="宋体" w:cs="宋体"/>
                <w:color w:val="000000"/>
                <w:szCs w:val="21"/>
                <w:highlight w:val="none"/>
              </w:rPr>
            </w:pPr>
            <w:r>
              <w:rPr>
                <w:rFonts w:hint="eastAsia" w:ascii="宋体" w:hAnsi="宋体" w:cs="宋体"/>
                <w:color w:val="000000"/>
                <w:szCs w:val="21"/>
                <w:highlight w:val="none"/>
              </w:rPr>
              <w:t>（9）投标文件载明的招标项目完成期限符合招标文件规定。</w:t>
            </w:r>
          </w:p>
          <w:p>
            <w:pPr>
              <w:adjustRightInd w:val="0"/>
              <w:rPr>
                <w:rFonts w:ascii="宋体" w:hAnsi="宋体" w:cs="宋体"/>
                <w:color w:val="000000"/>
                <w:szCs w:val="21"/>
                <w:highlight w:val="none"/>
              </w:rPr>
            </w:pPr>
            <w:r>
              <w:rPr>
                <w:rFonts w:hint="eastAsia" w:ascii="宋体" w:hAnsi="宋体" w:cs="宋体"/>
                <w:color w:val="000000"/>
                <w:szCs w:val="21"/>
                <w:highlight w:val="none"/>
              </w:rPr>
              <w:t>（10）投标文件对招标文件的实质性要求和条件作出响应。</w:t>
            </w:r>
          </w:p>
          <w:p>
            <w:pPr>
              <w:adjustRightInd w:val="0"/>
              <w:rPr>
                <w:rFonts w:ascii="宋体" w:hAnsi="宋体" w:cs="宋体"/>
                <w:color w:val="000000"/>
                <w:szCs w:val="21"/>
                <w:highlight w:val="none"/>
              </w:rPr>
            </w:pPr>
            <w:r>
              <w:rPr>
                <w:rFonts w:hint="eastAsia" w:ascii="宋体" w:hAnsi="宋体" w:cs="宋体"/>
                <w:color w:val="000000"/>
                <w:szCs w:val="21"/>
                <w:highlight w:val="none"/>
              </w:rPr>
              <w:t>（11）权利义务符合招标文件规定：</w:t>
            </w:r>
          </w:p>
          <w:p>
            <w:pPr>
              <w:adjustRightInd w:val="0"/>
              <w:rPr>
                <w:rFonts w:ascii="宋体" w:hAnsi="宋体" w:cs="宋体"/>
                <w:color w:val="000000"/>
                <w:szCs w:val="21"/>
                <w:highlight w:val="none"/>
              </w:rPr>
            </w:pPr>
            <w:r>
              <w:rPr>
                <w:rFonts w:hint="eastAsia" w:ascii="宋体" w:hAnsi="宋体" w:cs="宋体"/>
                <w:color w:val="000000"/>
                <w:szCs w:val="21"/>
                <w:highlight w:val="none"/>
              </w:rPr>
              <w:t>a.投标人应接受招标文件规定的风险划分原则，未提出新的风险划分办法；</w:t>
            </w:r>
          </w:p>
          <w:p>
            <w:pPr>
              <w:adjustRightInd w:val="0"/>
              <w:rPr>
                <w:rFonts w:ascii="宋体" w:hAnsi="宋体" w:cs="宋体"/>
                <w:color w:val="000000"/>
                <w:szCs w:val="21"/>
                <w:highlight w:val="none"/>
              </w:rPr>
            </w:pPr>
            <w:r>
              <w:rPr>
                <w:rFonts w:hint="eastAsia" w:ascii="宋体" w:hAnsi="宋体" w:cs="宋体"/>
                <w:color w:val="000000"/>
                <w:szCs w:val="21"/>
                <w:highlight w:val="none"/>
              </w:rPr>
              <w:t>b.投标人未增加委托人的责任范围，或减少投标人义务；</w:t>
            </w:r>
          </w:p>
          <w:p>
            <w:pPr>
              <w:adjustRightInd w:val="0"/>
              <w:rPr>
                <w:rFonts w:ascii="宋体" w:hAnsi="宋体" w:cs="宋体"/>
                <w:color w:val="000000"/>
                <w:szCs w:val="21"/>
                <w:highlight w:val="none"/>
              </w:rPr>
            </w:pPr>
            <w:r>
              <w:rPr>
                <w:rFonts w:hint="eastAsia" w:ascii="宋体" w:hAnsi="宋体" w:cs="宋体"/>
                <w:color w:val="000000"/>
                <w:szCs w:val="21"/>
                <w:highlight w:val="none"/>
              </w:rPr>
              <w:t>c.投标人未提出不同的支付办法；</w:t>
            </w:r>
          </w:p>
          <w:p>
            <w:pPr>
              <w:adjustRightInd w:val="0"/>
              <w:rPr>
                <w:rFonts w:ascii="宋体" w:hAnsi="宋体" w:cs="宋体"/>
                <w:color w:val="000000"/>
                <w:szCs w:val="21"/>
                <w:highlight w:val="none"/>
              </w:rPr>
            </w:pPr>
            <w:r>
              <w:rPr>
                <w:rFonts w:hint="eastAsia" w:ascii="宋体" w:hAnsi="宋体" w:cs="宋体"/>
                <w:color w:val="000000"/>
                <w:szCs w:val="21"/>
                <w:highlight w:val="none"/>
              </w:rPr>
              <w:t>d.投标人对合同纠纷、事故处理办法未提出异议；</w:t>
            </w:r>
          </w:p>
          <w:p>
            <w:pPr>
              <w:adjustRightInd w:val="0"/>
              <w:rPr>
                <w:rFonts w:ascii="宋体" w:hAnsi="宋体" w:cs="宋体"/>
                <w:color w:val="000000"/>
                <w:szCs w:val="21"/>
                <w:highlight w:val="none"/>
              </w:rPr>
            </w:pPr>
            <w:r>
              <w:rPr>
                <w:rFonts w:hint="eastAsia" w:ascii="宋体" w:hAnsi="宋体" w:cs="宋体"/>
                <w:color w:val="000000"/>
                <w:szCs w:val="21"/>
                <w:highlight w:val="none"/>
              </w:rPr>
              <w:t>e.投标人在投标活动中无欺诈行为；</w:t>
            </w:r>
          </w:p>
          <w:p>
            <w:pPr>
              <w:adjustRightInd w:val="0"/>
              <w:rPr>
                <w:rFonts w:ascii="宋体" w:hAnsi="宋体" w:cs="宋体"/>
                <w:color w:val="000000"/>
                <w:szCs w:val="21"/>
                <w:highlight w:val="none"/>
              </w:rPr>
            </w:pPr>
            <w:r>
              <w:rPr>
                <w:rFonts w:hint="eastAsia" w:ascii="宋体" w:hAnsi="宋体" w:cs="宋体"/>
                <w:color w:val="000000"/>
                <w:szCs w:val="21"/>
                <w:highlight w:val="none"/>
              </w:rPr>
              <w:t>f.投标人未对合同条款有重要保留。</w:t>
            </w:r>
          </w:p>
          <w:p>
            <w:pPr>
              <w:adjustRightInd w:val="0"/>
              <w:rPr>
                <w:rFonts w:ascii="宋体" w:hAnsi="宋体" w:cs="宋体"/>
                <w:color w:val="000000"/>
                <w:szCs w:val="21"/>
                <w:highlight w:val="none"/>
              </w:rPr>
            </w:pPr>
            <w:r>
              <w:rPr>
                <w:rFonts w:hint="eastAsia" w:ascii="宋体" w:hAnsi="宋体" w:cs="宋体"/>
                <w:color w:val="000000"/>
                <w:szCs w:val="21"/>
                <w:highlight w:val="none"/>
              </w:rPr>
              <w:t>（12）投标文件正、副本份数和标记符合招标文件第二章“投标人须知”第3.7.4项规定。</w:t>
            </w:r>
          </w:p>
          <w:p>
            <w:pPr>
              <w:adjustRightInd w:val="0"/>
              <w:rPr>
                <w:rFonts w:ascii="宋体" w:hAnsi="宋体" w:cs="宋体"/>
                <w:color w:val="000000"/>
                <w:szCs w:val="21"/>
                <w:highlight w:val="none"/>
              </w:rPr>
            </w:pPr>
            <w:r>
              <w:rPr>
                <w:rFonts w:hint="eastAsia" w:ascii="宋体" w:hAnsi="宋体" w:cs="宋体"/>
                <w:color w:val="000000"/>
                <w:szCs w:val="21"/>
                <w:highlight w:val="none"/>
              </w:rPr>
              <w:t>（13）投标文件未附有招标人不能接受的条件。</w:t>
            </w:r>
          </w:p>
          <w:p>
            <w:pPr>
              <w:adjustRightInd w:val="0"/>
              <w:rPr>
                <w:rFonts w:ascii="宋体" w:hAnsi="宋体" w:cs="宋体"/>
                <w:color w:val="000000"/>
                <w:szCs w:val="21"/>
                <w:highlight w:val="none"/>
              </w:rPr>
            </w:pPr>
            <w:r>
              <w:rPr>
                <w:rFonts w:hint="eastAsia" w:ascii="宋体" w:hAnsi="宋体" w:cs="宋体"/>
                <w:color w:val="000000"/>
                <w:szCs w:val="21"/>
                <w:highlight w:val="none"/>
              </w:rPr>
              <w:t>第二个信封（报价文件）评审标准：</w:t>
            </w:r>
          </w:p>
          <w:p>
            <w:pPr>
              <w:adjustRightInd w:val="0"/>
              <w:rPr>
                <w:rFonts w:ascii="宋体" w:hAnsi="宋体" w:cs="宋体"/>
                <w:color w:val="000000"/>
                <w:szCs w:val="21"/>
                <w:highlight w:val="none"/>
              </w:rPr>
            </w:pPr>
            <w:r>
              <w:rPr>
                <w:rFonts w:hint="eastAsia" w:ascii="宋体" w:hAnsi="宋体" w:cs="宋体"/>
                <w:color w:val="000000"/>
                <w:szCs w:val="21"/>
                <w:highlight w:val="none"/>
              </w:rPr>
              <w:t>（1）报价文件按照招标文件规定的格式、内容填写，字迹清晰可辨：</w:t>
            </w:r>
          </w:p>
          <w:p>
            <w:pPr>
              <w:adjustRightInd w:val="0"/>
              <w:ind w:firstLine="420" w:firstLineChars="200"/>
              <w:rPr>
                <w:rFonts w:ascii="宋体" w:hAnsi="宋体" w:cs="宋体"/>
                <w:color w:val="000000"/>
                <w:szCs w:val="21"/>
                <w:highlight w:val="none"/>
              </w:rPr>
            </w:pPr>
            <w:r>
              <w:rPr>
                <w:rFonts w:hint="eastAsia" w:ascii="宋体" w:hAnsi="宋体" w:cs="宋体"/>
                <w:color w:val="000000"/>
                <w:szCs w:val="21"/>
                <w:highlight w:val="none"/>
              </w:rPr>
              <w:t>a.投标函按招标文件规定填报了招标人名称、项目名称、标段号、补遗书编号（如有）、投标价（包括大写金额和小写金额）；</w:t>
            </w:r>
          </w:p>
          <w:p>
            <w:pPr>
              <w:adjustRightInd w:val="0"/>
              <w:ind w:firstLine="420" w:firstLineChars="200"/>
              <w:rPr>
                <w:rFonts w:ascii="宋体" w:hAnsi="宋体" w:cs="宋体"/>
                <w:color w:val="000000"/>
                <w:szCs w:val="21"/>
                <w:highlight w:val="none"/>
              </w:rPr>
            </w:pPr>
            <w:r>
              <w:rPr>
                <w:rFonts w:hint="eastAsia" w:ascii="宋体" w:hAnsi="宋体" w:cs="宋体"/>
                <w:color w:val="000000"/>
                <w:szCs w:val="21"/>
                <w:highlight w:val="none"/>
              </w:rPr>
              <w:t>b.报价清单说明文字与招标文件规定一致，未进行实质性修改和删减；</w:t>
            </w:r>
          </w:p>
          <w:p>
            <w:pPr>
              <w:adjustRightInd w:val="0"/>
              <w:ind w:firstLine="420" w:firstLineChars="200"/>
              <w:rPr>
                <w:rFonts w:ascii="宋体" w:hAnsi="宋体" w:cs="宋体"/>
                <w:color w:val="000000"/>
                <w:szCs w:val="21"/>
                <w:highlight w:val="none"/>
              </w:rPr>
            </w:pPr>
            <w:r>
              <w:rPr>
                <w:rFonts w:hint="eastAsia" w:ascii="宋体" w:hAnsi="宋体" w:cs="宋体"/>
                <w:color w:val="000000"/>
                <w:szCs w:val="21"/>
                <w:highlight w:val="none"/>
              </w:rPr>
              <w:t>c.投标文件组成齐全完整，内容均按规定填写。</w:t>
            </w:r>
          </w:p>
          <w:p>
            <w:pPr>
              <w:adjustRightInd w:val="0"/>
              <w:rPr>
                <w:rFonts w:ascii="宋体" w:hAnsi="宋体" w:cs="宋体"/>
                <w:color w:val="000000"/>
                <w:szCs w:val="21"/>
                <w:highlight w:val="none"/>
              </w:rPr>
            </w:pPr>
            <w:r>
              <w:rPr>
                <w:rFonts w:hint="eastAsia" w:ascii="宋体" w:hAnsi="宋体" w:cs="宋体"/>
                <w:color w:val="000000"/>
                <w:szCs w:val="21"/>
                <w:highlight w:val="none"/>
              </w:rPr>
              <w:t>（2）报价文件上法定代表人或其授权代理人的签字、投标人的单位章盖章齐全，符合招标文件规定。</w:t>
            </w:r>
          </w:p>
          <w:p>
            <w:pPr>
              <w:adjustRightInd w:val="0"/>
              <w:rPr>
                <w:rFonts w:ascii="宋体" w:hAnsi="宋体" w:cs="宋体"/>
                <w:color w:val="000000"/>
                <w:szCs w:val="21"/>
                <w:highlight w:val="none"/>
              </w:rPr>
            </w:pPr>
            <w:r>
              <w:rPr>
                <w:rFonts w:hint="eastAsia" w:ascii="宋体" w:hAnsi="宋体" w:cs="宋体"/>
                <w:color w:val="000000"/>
                <w:szCs w:val="21"/>
                <w:highlight w:val="none"/>
              </w:rPr>
              <w:t>（3）投标报价未超过招标文件设定的最高投标限价。</w:t>
            </w:r>
          </w:p>
          <w:p>
            <w:pPr>
              <w:adjustRightInd w:val="0"/>
              <w:rPr>
                <w:rFonts w:ascii="宋体" w:hAnsi="宋体" w:cs="宋体"/>
                <w:color w:val="000000"/>
                <w:szCs w:val="21"/>
                <w:highlight w:val="none"/>
              </w:rPr>
            </w:pPr>
            <w:r>
              <w:rPr>
                <w:rFonts w:hint="eastAsia" w:ascii="宋体" w:hAnsi="宋体" w:cs="宋体"/>
                <w:color w:val="000000"/>
                <w:szCs w:val="21"/>
                <w:highlight w:val="none"/>
              </w:rPr>
              <w:t>（4）投标报价的大写金额能够确定具体数值。</w:t>
            </w:r>
          </w:p>
          <w:p>
            <w:pPr>
              <w:adjustRightInd w:val="0"/>
              <w:rPr>
                <w:rFonts w:ascii="宋体" w:hAnsi="宋体" w:cs="宋体"/>
                <w:color w:val="000000"/>
                <w:szCs w:val="21"/>
                <w:highlight w:val="none"/>
              </w:rPr>
            </w:pPr>
            <w:r>
              <w:rPr>
                <w:rFonts w:hint="eastAsia" w:ascii="宋体" w:hAnsi="宋体" w:cs="宋体"/>
                <w:color w:val="000000"/>
                <w:szCs w:val="21"/>
                <w:highlight w:val="none"/>
              </w:rPr>
              <w:t>（5）同一投标人未提交两个以上不同的投标报价。</w:t>
            </w:r>
          </w:p>
          <w:p>
            <w:pPr>
              <w:adjustRightInd w:val="0"/>
              <w:rPr>
                <w:rFonts w:ascii="宋体" w:hAnsi="宋体" w:cs="宋体"/>
                <w:color w:val="000000"/>
                <w:szCs w:val="21"/>
                <w:highlight w:val="none"/>
              </w:rPr>
            </w:pPr>
            <w:r>
              <w:rPr>
                <w:rFonts w:hint="eastAsia" w:ascii="宋体" w:hAnsi="宋体" w:cs="宋体"/>
                <w:color w:val="000000"/>
                <w:szCs w:val="21"/>
                <w:highlight w:val="none"/>
              </w:rPr>
              <w:t>（6）投标文件正、副本份数和标记符合招标文件第二章“投标人须知”第3.7.4项规定。</w:t>
            </w:r>
          </w:p>
          <w:p>
            <w:pPr>
              <w:adjustRightInd w:val="0"/>
              <w:rPr>
                <w:rFonts w:ascii="宋体" w:hAnsi="宋体" w:cs="宋体"/>
                <w:color w:val="000000"/>
                <w:szCs w:val="21"/>
                <w:highlight w:val="none"/>
              </w:rPr>
            </w:pPr>
            <w:r>
              <w:rPr>
                <w:rFonts w:hint="eastAsia" w:ascii="宋体" w:hAnsi="宋体" w:cs="宋体"/>
                <w:color w:val="000000"/>
                <w:szCs w:val="21"/>
                <w:highlight w:val="none"/>
              </w:rPr>
              <w:t>（7）未附有招标人不能接受的条件。</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720" w:hRule="atLeast"/>
          <w:jc w:val="center"/>
        </w:trPr>
        <w:tc>
          <w:tcPr>
            <w:tcW w:w="1072" w:type="dxa"/>
            <w:tcBorders>
              <w:tl2br w:val="nil"/>
              <w:tr2bl w:val="nil"/>
            </w:tcBorders>
            <w:vAlign w:val="center"/>
          </w:tcPr>
          <w:p>
            <w:pPr>
              <w:spacing w:line="400" w:lineRule="atLeast"/>
              <w:jc w:val="center"/>
              <w:rPr>
                <w:rFonts w:ascii="宋体" w:hAnsi="宋体" w:cs="宋体"/>
                <w:color w:val="000000"/>
                <w:szCs w:val="21"/>
                <w:highlight w:val="none"/>
              </w:rPr>
            </w:pPr>
            <w:r>
              <w:rPr>
                <w:rFonts w:hint="eastAsia" w:ascii="宋体" w:hAnsi="宋体" w:cs="宋体"/>
                <w:color w:val="000000"/>
                <w:szCs w:val="21"/>
                <w:highlight w:val="none"/>
              </w:rPr>
              <w:t>2.1.2</w:t>
            </w:r>
          </w:p>
        </w:tc>
        <w:tc>
          <w:tcPr>
            <w:tcW w:w="1169" w:type="dxa"/>
            <w:gridSpan w:val="2"/>
            <w:tcBorders>
              <w:tl2br w:val="nil"/>
              <w:tr2bl w:val="nil"/>
            </w:tcBorders>
            <w:vAlign w:val="center"/>
          </w:tcPr>
          <w:p>
            <w:pPr>
              <w:spacing w:line="400" w:lineRule="atLeast"/>
              <w:jc w:val="center"/>
              <w:rPr>
                <w:rFonts w:ascii="宋体" w:hAnsi="宋体" w:cs="宋体"/>
                <w:color w:val="000000"/>
                <w:szCs w:val="21"/>
                <w:highlight w:val="none"/>
              </w:rPr>
            </w:pPr>
            <w:r>
              <w:rPr>
                <w:rFonts w:hint="eastAsia" w:ascii="宋体" w:hAnsi="宋体" w:cs="宋体"/>
                <w:color w:val="000000"/>
                <w:szCs w:val="21"/>
                <w:highlight w:val="none"/>
              </w:rPr>
              <w:t>资格评审标准</w:t>
            </w:r>
          </w:p>
        </w:tc>
        <w:tc>
          <w:tcPr>
            <w:tcW w:w="6830" w:type="dxa"/>
            <w:tcBorders>
              <w:tl2br w:val="nil"/>
              <w:tr2bl w:val="nil"/>
            </w:tcBorders>
            <w:vAlign w:val="center"/>
          </w:tcPr>
          <w:p>
            <w:pPr>
              <w:adjustRightInd w:val="0"/>
              <w:rPr>
                <w:rFonts w:ascii="宋体" w:hAnsi="宋体" w:cs="宋体"/>
                <w:color w:val="000000"/>
                <w:szCs w:val="21"/>
                <w:highlight w:val="none"/>
              </w:rPr>
            </w:pPr>
            <w:r>
              <w:rPr>
                <w:rFonts w:hint="eastAsia" w:ascii="宋体" w:hAnsi="宋体" w:cs="宋体"/>
                <w:color w:val="000000"/>
                <w:szCs w:val="21"/>
                <w:highlight w:val="none"/>
              </w:rPr>
              <w:t>（1）投标人具备有效的营业执照、组织机构代码证、资质证书和基本账户开户许可证；</w:t>
            </w:r>
          </w:p>
          <w:p>
            <w:pPr>
              <w:adjustRightInd w:val="0"/>
              <w:rPr>
                <w:rFonts w:ascii="宋体" w:hAnsi="宋体" w:cs="宋体"/>
                <w:color w:val="000000"/>
                <w:szCs w:val="21"/>
                <w:highlight w:val="none"/>
              </w:rPr>
            </w:pPr>
            <w:r>
              <w:rPr>
                <w:rFonts w:hint="eastAsia" w:ascii="宋体" w:hAnsi="宋体" w:cs="宋体"/>
                <w:color w:val="000000"/>
                <w:szCs w:val="21"/>
                <w:highlight w:val="none"/>
              </w:rPr>
              <w:t>（2）投标人的资质等级符合招标文件规定；</w:t>
            </w:r>
          </w:p>
          <w:p>
            <w:pPr>
              <w:adjustRightInd w:val="0"/>
              <w:rPr>
                <w:rFonts w:ascii="宋体" w:hAnsi="宋体" w:cs="宋体"/>
                <w:color w:val="000000"/>
                <w:szCs w:val="21"/>
                <w:highlight w:val="none"/>
              </w:rPr>
            </w:pPr>
            <w:r>
              <w:rPr>
                <w:rFonts w:hint="eastAsia" w:ascii="宋体" w:hAnsi="宋体" w:cs="宋体"/>
                <w:color w:val="000000"/>
                <w:szCs w:val="21"/>
                <w:highlight w:val="none"/>
              </w:rPr>
              <w:t>（3）投标人的类似项目业绩符合招标文件规定；</w:t>
            </w:r>
          </w:p>
          <w:p>
            <w:pPr>
              <w:adjustRightInd w:val="0"/>
              <w:rPr>
                <w:rFonts w:ascii="宋体" w:hAnsi="宋体" w:cs="宋体"/>
                <w:color w:val="000000"/>
                <w:szCs w:val="21"/>
                <w:highlight w:val="none"/>
              </w:rPr>
            </w:pPr>
            <w:r>
              <w:rPr>
                <w:rFonts w:hint="eastAsia" w:ascii="宋体" w:hAnsi="宋体" w:cs="宋体"/>
                <w:color w:val="000000"/>
                <w:szCs w:val="21"/>
                <w:highlight w:val="none"/>
              </w:rPr>
              <w:t>（4）投标人的信誉符合招标文件规定；</w:t>
            </w:r>
          </w:p>
          <w:p>
            <w:pPr>
              <w:adjustRightInd w:val="0"/>
              <w:rPr>
                <w:rFonts w:ascii="宋体" w:hAnsi="宋体" w:cs="宋体"/>
                <w:color w:val="000000"/>
                <w:szCs w:val="21"/>
                <w:highlight w:val="none"/>
              </w:rPr>
            </w:pPr>
            <w:r>
              <w:rPr>
                <w:rFonts w:hint="eastAsia" w:ascii="宋体" w:hAnsi="宋体" w:cs="宋体"/>
                <w:color w:val="000000"/>
                <w:szCs w:val="21"/>
                <w:highlight w:val="none"/>
              </w:rPr>
              <w:t>（5）投标人的主要人员资格符合招标文件规定；</w:t>
            </w:r>
          </w:p>
          <w:p>
            <w:pPr>
              <w:adjustRightInd w:val="0"/>
              <w:rPr>
                <w:rFonts w:ascii="宋体" w:hAnsi="宋体" w:cs="宋体"/>
                <w:color w:val="000000"/>
                <w:szCs w:val="21"/>
                <w:highlight w:val="none"/>
              </w:rPr>
            </w:pPr>
            <w:r>
              <w:rPr>
                <w:rFonts w:hint="eastAsia" w:ascii="宋体" w:hAnsi="宋体" w:cs="宋体"/>
                <w:color w:val="000000"/>
                <w:szCs w:val="21"/>
                <w:highlight w:val="none"/>
              </w:rPr>
              <w:t>（6）投标人不存在第二章“投标人须知”第 1.4.3项或第 1.4.4项规定的任何一种情形；</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2294" w:hRule="atLeast"/>
          <w:jc w:val="center"/>
        </w:trPr>
        <w:tc>
          <w:tcPr>
            <w:tcW w:w="1078" w:type="dxa"/>
            <w:gridSpan w:val="2"/>
            <w:tcBorders>
              <w:tl2br w:val="nil"/>
              <w:tr2bl w:val="nil"/>
            </w:tcBorders>
            <w:vAlign w:val="center"/>
          </w:tcPr>
          <w:p>
            <w:pPr>
              <w:spacing w:line="288" w:lineRule="auto"/>
              <w:jc w:val="center"/>
              <w:rPr>
                <w:rFonts w:ascii="宋体" w:hAnsi="宋体" w:cs="宋体"/>
                <w:color w:val="000000"/>
                <w:szCs w:val="21"/>
                <w:highlight w:val="none"/>
              </w:rPr>
            </w:pPr>
            <w:r>
              <w:rPr>
                <w:rFonts w:hint="eastAsia" w:ascii="宋体" w:hAnsi="宋体" w:cs="宋体"/>
                <w:color w:val="000000"/>
                <w:szCs w:val="21"/>
                <w:highlight w:val="none"/>
              </w:rPr>
              <w:t>2.2.1</w:t>
            </w:r>
          </w:p>
        </w:tc>
        <w:tc>
          <w:tcPr>
            <w:tcW w:w="1163" w:type="dxa"/>
            <w:tcBorders>
              <w:tl2br w:val="nil"/>
              <w:tr2bl w:val="nil"/>
            </w:tcBorders>
            <w:vAlign w:val="center"/>
          </w:tcPr>
          <w:p>
            <w:pPr>
              <w:adjustRightInd w:val="0"/>
              <w:snapToGrid w:val="0"/>
              <w:jc w:val="center"/>
              <w:rPr>
                <w:rFonts w:ascii="宋体" w:hAnsi="宋体" w:cs="宋体"/>
                <w:color w:val="000000"/>
                <w:szCs w:val="21"/>
                <w:highlight w:val="none"/>
              </w:rPr>
            </w:pPr>
            <w:r>
              <w:rPr>
                <w:rFonts w:hint="eastAsia" w:ascii="宋体" w:hAnsi="宋体" w:cs="宋体"/>
                <w:color w:val="000000"/>
                <w:szCs w:val="21"/>
                <w:highlight w:val="none"/>
              </w:rPr>
              <w:t>分值构成</w:t>
            </w:r>
          </w:p>
          <w:p>
            <w:pPr>
              <w:adjustRightInd w:val="0"/>
              <w:snapToGrid w:val="0"/>
              <w:jc w:val="center"/>
              <w:rPr>
                <w:rFonts w:ascii="宋体" w:hAnsi="宋体" w:cs="宋体"/>
                <w:color w:val="000000"/>
                <w:szCs w:val="21"/>
                <w:highlight w:val="none"/>
              </w:rPr>
            </w:pPr>
            <w:r>
              <w:rPr>
                <w:rFonts w:hint="eastAsia" w:ascii="宋体" w:hAnsi="宋体" w:cs="宋体"/>
                <w:color w:val="000000"/>
                <w:szCs w:val="21"/>
                <w:highlight w:val="none"/>
              </w:rPr>
              <w:t>（总分100分）</w:t>
            </w:r>
          </w:p>
        </w:tc>
        <w:tc>
          <w:tcPr>
            <w:tcW w:w="6830" w:type="dxa"/>
            <w:tcBorders>
              <w:tl2br w:val="nil"/>
              <w:tr2bl w:val="nil"/>
            </w:tcBorders>
            <w:vAlign w:val="center"/>
          </w:tcPr>
          <w:p>
            <w:pPr>
              <w:rPr>
                <w:rFonts w:ascii="宋体" w:hAnsi="宋体" w:cs="宋体"/>
                <w:color w:val="000000"/>
                <w:szCs w:val="21"/>
                <w:highlight w:val="none"/>
              </w:rPr>
            </w:pPr>
            <w:r>
              <w:rPr>
                <w:rFonts w:hint="eastAsia" w:ascii="宋体" w:hAnsi="宋体" w:cs="宋体"/>
                <w:color w:val="000000"/>
                <w:szCs w:val="21"/>
                <w:highlight w:val="none"/>
              </w:rPr>
              <w:t>第一个信封（商务及技术文件）评分分值构成：</w:t>
            </w:r>
          </w:p>
          <w:p>
            <w:pPr>
              <w:snapToGrid w:val="0"/>
              <w:spacing w:line="312" w:lineRule="auto"/>
              <w:rPr>
                <w:rFonts w:ascii="宋体" w:hAnsi="宋体" w:cs="宋体"/>
                <w:color w:val="000000"/>
                <w:szCs w:val="21"/>
                <w:highlight w:val="none"/>
              </w:rPr>
            </w:pPr>
            <w:r>
              <w:rPr>
                <w:rFonts w:hint="eastAsia" w:ascii="宋体" w:hAnsi="宋体" w:cs="宋体"/>
                <w:color w:val="000000"/>
                <w:szCs w:val="21"/>
                <w:highlight w:val="none"/>
              </w:rPr>
              <w:t>技术建议书：</w:t>
            </w:r>
            <w:r>
              <w:rPr>
                <w:rFonts w:hint="eastAsia" w:ascii="宋体" w:hAnsi="宋体" w:cs="宋体"/>
                <w:color w:val="000000"/>
                <w:szCs w:val="21"/>
                <w:highlight w:val="none"/>
                <w:u w:val="single"/>
              </w:rPr>
              <w:t>30</w:t>
            </w:r>
            <w:r>
              <w:rPr>
                <w:rFonts w:hint="eastAsia" w:ascii="宋体" w:hAnsi="宋体" w:cs="宋体"/>
                <w:color w:val="000000"/>
                <w:szCs w:val="21"/>
                <w:highlight w:val="none"/>
              </w:rPr>
              <w:t>分</w:t>
            </w:r>
          </w:p>
          <w:p>
            <w:pPr>
              <w:snapToGrid w:val="0"/>
              <w:spacing w:line="312" w:lineRule="auto"/>
              <w:rPr>
                <w:rFonts w:ascii="宋体" w:hAnsi="宋体" w:cs="宋体"/>
                <w:color w:val="000000"/>
                <w:szCs w:val="21"/>
                <w:highlight w:val="none"/>
              </w:rPr>
            </w:pPr>
            <w:r>
              <w:rPr>
                <w:rFonts w:hint="eastAsia" w:ascii="宋体" w:hAnsi="宋体" w:cs="宋体"/>
                <w:color w:val="000000"/>
                <w:szCs w:val="21"/>
                <w:highlight w:val="none"/>
              </w:rPr>
              <w:t>业绩：</w:t>
            </w:r>
            <w:r>
              <w:rPr>
                <w:rFonts w:hint="eastAsia" w:ascii="宋体" w:hAnsi="宋体" w:cs="宋体"/>
                <w:color w:val="000000"/>
                <w:szCs w:val="21"/>
                <w:highlight w:val="none"/>
                <w:u w:val="single"/>
              </w:rPr>
              <w:t>30</w:t>
            </w:r>
            <w:r>
              <w:rPr>
                <w:rFonts w:hint="eastAsia" w:ascii="宋体" w:hAnsi="宋体" w:cs="宋体"/>
                <w:color w:val="000000"/>
                <w:szCs w:val="21"/>
                <w:highlight w:val="none"/>
              </w:rPr>
              <w:t>分</w:t>
            </w:r>
          </w:p>
          <w:p>
            <w:pPr>
              <w:rPr>
                <w:rFonts w:ascii="宋体" w:hAnsi="宋体" w:cs="宋体"/>
                <w:color w:val="000000"/>
                <w:szCs w:val="21"/>
                <w:highlight w:val="none"/>
              </w:rPr>
            </w:pPr>
            <w:r>
              <w:rPr>
                <w:rFonts w:hint="eastAsia" w:ascii="宋体" w:hAnsi="宋体" w:cs="宋体"/>
                <w:color w:val="000000"/>
                <w:szCs w:val="21"/>
                <w:highlight w:val="none"/>
              </w:rPr>
              <w:t>第二个信封（报价文件）评分分值构成：</w:t>
            </w:r>
          </w:p>
          <w:p>
            <w:pPr>
              <w:spacing w:line="288" w:lineRule="auto"/>
              <w:rPr>
                <w:rFonts w:ascii="宋体" w:hAnsi="宋体" w:cs="宋体"/>
                <w:color w:val="000000"/>
                <w:szCs w:val="21"/>
                <w:highlight w:val="none"/>
              </w:rPr>
            </w:pPr>
            <w:r>
              <w:rPr>
                <w:rFonts w:hint="eastAsia" w:ascii="宋体" w:hAnsi="宋体" w:cs="宋体"/>
                <w:color w:val="000000"/>
                <w:szCs w:val="21"/>
                <w:highlight w:val="none"/>
              </w:rPr>
              <w:t>评标价：</w:t>
            </w:r>
            <w:r>
              <w:rPr>
                <w:rFonts w:hint="eastAsia" w:ascii="宋体" w:hAnsi="宋体" w:cs="宋体"/>
                <w:color w:val="000000"/>
                <w:szCs w:val="21"/>
                <w:highlight w:val="none"/>
                <w:u w:val="single"/>
              </w:rPr>
              <w:t>40</w:t>
            </w:r>
            <w:r>
              <w:rPr>
                <w:rFonts w:hint="eastAsia" w:ascii="宋体" w:hAnsi="宋体" w:cs="宋体"/>
                <w:color w:val="000000"/>
                <w:szCs w:val="21"/>
                <w:highlight w:val="none"/>
              </w:rPr>
              <w:t>分</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1892" w:hRule="atLeast"/>
          <w:jc w:val="center"/>
        </w:trPr>
        <w:tc>
          <w:tcPr>
            <w:tcW w:w="1078" w:type="dxa"/>
            <w:gridSpan w:val="2"/>
            <w:tcBorders>
              <w:tl2br w:val="nil"/>
              <w:tr2bl w:val="nil"/>
            </w:tcBorders>
            <w:vAlign w:val="center"/>
          </w:tcPr>
          <w:p>
            <w:pPr>
              <w:spacing w:line="400" w:lineRule="atLeast"/>
              <w:jc w:val="center"/>
              <w:rPr>
                <w:rFonts w:ascii="宋体" w:hAnsi="宋体" w:cs="宋体"/>
                <w:color w:val="000000"/>
                <w:szCs w:val="21"/>
                <w:highlight w:val="none"/>
              </w:rPr>
            </w:pPr>
            <w:r>
              <w:rPr>
                <w:rFonts w:hint="eastAsia" w:ascii="宋体" w:hAnsi="宋体" w:cs="宋体"/>
                <w:color w:val="000000"/>
                <w:szCs w:val="21"/>
                <w:highlight w:val="none"/>
              </w:rPr>
              <w:t>2.2.2</w:t>
            </w:r>
          </w:p>
        </w:tc>
        <w:tc>
          <w:tcPr>
            <w:tcW w:w="1163" w:type="dxa"/>
            <w:tcBorders>
              <w:tl2br w:val="nil"/>
              <w:tr2bl w:val="nil"/>
            </w:tcBorders>
            <w:vAlign w:val="center"/>
          </w:tcPr>
          <w:p>
            <w:pPr>
              <w:adjustRightInd w:val="0"/>
              <w:snapToGrid w:val="0"/>
              <w:jc w:val="center"/>
              <w:rPr>
                <w:rFonts w:ascii="宋体" w:hAnsi="宋体" w:cs="宋体"/>
                <w:color w:val="000000"/>
                <w:szCs w:val="21"/>
                <w:highlight w:val="none"/>
              </w:rPr>
            </w:pPr>
            <w:r>
              <w:rPr>
                <w:rFonts w:hint="eastAsia" w:ascii="宋体" w:hAnsi="宋体" w:cs="宋体"/>
                <w:color w:val="000000"/>
                <w:szCs w:val="21"/>
                <w:highlight w:val="none"/>
              </w:rPr>
              <w:t>评标基准价</w:t>
            </w:r>
          </w:p>
          <w:p>
            <w:pPr>
              <w:adjustRightInd w:val="0"/>
              <w:snapToGrid w:val="0"/>
              <w:jc w:val="center"/>
              <w:rPr>
                <w:rFonts w:ascii="宋体" w:hAnsi="宋体" w:cs="宋体"/>
                <w:color w:val="000000"/>
                <w:szCs w:val="21"/>
                <w:highlight w:val="none"/>
              </w:rPr>
            </w:pPr>
            <w:r>
              <w:rPr>
                <w:rFonts w:hint="eastAsia" w:ascii="宋体" w:hAnsi="宋体" w:cs="宋体"/>
                <w:color w:val="000000"/>
                <w:szCs w:val="21"/>
                <w:highlight w:val="none"/>
              </w:rPr>
              <w:t>计算方法</w:t>
            </w:r>
          </w:p>
        </w:tc>
        <w:tc>
          <w:tcPr>
            <w:tcW w:w="6830" w:type="dxa"/>
            <w:tcBorders>
              <w:tl2br w:val="nil"/>
              <w:tr2bl w:val="nil"/>
            </w:tcBorders>
            <w:vAlign w:val="center"/>
          </w:tcPr>
          <w:p>
            <w:pPr>
              <w:spacing w:line="276" w:lineRule="auto"/>
              <w:ind w:left="113" w:right="113" w:firstLine="210" w:firstLineChars="100"/>
              <w:rPr>
                <w:rFonts w:ascii="宋体" w:hAnsi="宋体" w:cs="宋体"/>
                <w:color w:val="000000"/>
                <w:szCs w:val="21"/>
                <w:highlight w:val="none"/>
              </w:rPr>
            </w:pPr>
            <w:r>
              <w:rPr>
                <w:rFonts w:hint="eastAsia" w:ascii="宋体" w:hAnsi="宋体" w:cs="宋体"/>
                <w:color w:val="000000"/>
                <w:szCs w:val="21"/>
                <w:highlight w:val="none"/>
              </w:rPr>
              <w:t>评标基准价的计算：</w:t>
            </w:r>
          </w:p>
          <w:p>
            <w:pPr>
              <w:spacing w:line="276" w:lineRule="auto"/>
              <w:ind w:left="113" w:right="113" w:firstLine="210" w:firstLineChars="100"/>
              <w:rPr>
                <w:rFonts w:ascii="宋体" w:hAnsi="宋体" w:cs="宋体"/>
                <w:color w:val="000000"/>
                <w:szCs w:val="21"/>
                <w:highlight w:val="none"/>
              </w:rPr>
            </w:pPr>
            <w:r>
              <w:rPr>
                <w:rFonts w:hint="eastAsia" w:ascii="宋体" w:hAnsi="宋体" w:cs="宋体"/>
                <w:color w:val="000000"/>
                <w:szCs w:val="21"/>
                <w:highlight w:val="none"/>
              </w:rPr>
              <w:t>（1）评标价的确定：</w:t>
            </w:r>
          </w:p>
          <w:p>
            <w:pPr>
              <w:spacing w:line="276" w:lineRule="auto"/>
              <w:ind w:left="113" w:right="113" w:firstLine="210" w:firstLineChars="100"/>
              <w:rPr>
                <w:rFonts w:ascii="宋体" w:hAnsi="宋体" w:cs="宋体"/>
                <w:color w:val="000000"/>
                <w:szCs w:val="21"/>
                <w:highlight w:val="none"/>
              </w:rPr>
            </w:pPr>
            <w:r>
              <w:rPr>
                <w:rFonts w:hint="eastAsia" w:ascii="宋体" w:hAnsi="宋体" w:cs="宋体"/>
                <w:color w:val="000000"/>
                <w:szCs w:val="21"/>
                <w:highlight w:val="none"/>
              </w:rPr>
              <w:t>评标价=投标函文字报价</w:t>
            </w:r>
          </w:p>
          <w:p>
            <w:pPr>
              <w:spacing w:line="276" w:lineRule="auto"/>
              <w:ind w:left="113" w:right="113" w:firstLine="210" w:firstLineChars="100"/>
              <w:rPr>
                <w:rFonts w:ascii="宋体" w:hAnsi="宋体" w:cs="宋体"/>
                <w:color w:val="000000"/>
                <w:szCs w:val="21"/>
                <w:highlight w:val="none"/>
              </w:rPr>
            </w:pPr>
            <w:r>
              <w:rPr>
                <w:rFonts w:hint="eastAsia" w:ascii="宋体" w:hAnsi="宋体" w:cs="宋体"/>
                <w:color w:val="000000"/>
                <w:szCs w:val="21"/>
                <w:highlight w:val="none"/>
              </w:rPr>
              <w:t>（2）评标基准价的确定：</w:t>
            </w:r>
          </w:p>
          <w:p>
            <w:pPr>
              <w:spacing w:line="276" w:lineRule="auto"/>
              <w:ind w:left="113" w:right="113" w:firstLine="210" w:firstLineChars="100"/>
              <w:rPr>
                <w:rFonts w:ascii="宋体" w:hAnsi="宋体" w:cs="宋体"/>
                <w:color w:val="000000"/>
                <w:szCs w:val="21"/>
                <w:highlight w:val="none"/>
              </w:rPr>
            </w:pPr>
            <w:r>
              <w:rPr>
                <w:rFonts w:hint="eastAsia" w:ascii="宋体" w:hAnsi="宋体" w:cs="宋体"/>
                <w:color w:val="000000"/>
                <w:szCs w:val="21"/>
                <w:highlight w:val="none"/>
              </w:rPr>
              <w:t>评标基准价等于所有通过第二个信封（报价文件）评审的投标人的评标价的算术平均值。</w:t>
            </w:r>
          </w:p>
        </w:tc>
      </w:tr>
      <w:tr>
        <w:tblPrEx>
          <w:tblBorders>
            <w:top w:val="single" w:color="000000" w:sz="12" w:space="0"/>
            <w:left w:val="single" w:color="000000" w:sz="12" w:space="0"/>
            <w:bottom w:val="single" w:color="000000" w:sz="12" w:space="0"/>
            <w:right w:val="single" w:color="000000" w:sz="12" w:space="0"/>
            <w:insideH w:val="single" w:color="000000" w:sz="4" w:space="0"/>
            <w:insideV w:val="single" w:color="000000" w:sz="4" w:space="0"/>
          </w:tblBorders>
          <w:tblCellMar>
            <w:top w:w="0" w:type="dxa"/>
            <w:left w:w="108" w:type="dxa"/>
            <w:bottom w:w="0" w:type="dxa"/>
            <w:right w:w="108" w:type="dxa"/>
          </w:tblCellMar>
        </w:tblPrEx>
        <w:trPr>
          <w:trHeight w:val="600" w:hRule="atLeast"/>
          <w:jc w:val="center"/>
        </w:trPr>
        <w:tc>
          <w:tcPr>
            <w:tcW w:w="1078" w:type="dxa"/>
            <w:gridSpan w:val="2"/>
            <w:tcBorders>
              <w:tl2br w:val="nil"/>
              <w:tr2bl w:val="nil"/>
            </w:tcBorders>
            <w:vAlign w:val="center"/>
          </w:tcPr>
          <w:p>
            <w:pPr>
              <w:snapToGrid w:val="0"/>
              <w:spacing w:line="312" w:lineRule="auto"/>
              <w:jc w:val="center"/>
              <w:rPr>
                <w:rFonts w:ascii="宋体" w:hAnsi="宋体" w:cs="宋体"/>
                <w:color w:val="000000"/>
                <w:szCs w:val="21"/>
                <w:highlight w:val="none"/>
              </w:rPr>
            </w:pPr>
            <w:r>
              <w:rPr>
                <w:rFonts w:hint="eastAsia" w:ascii="宋体" w:hAnsi="宋体" w:cs="宋体"/>
                <w:color w:val="000000"/>
                <w:szCs w:val="21"/>
                <w:highlight w:val="none"/>
              </w:rPr>
              <w:t>2.2.3</w:t>
            </w:r>
          </w:p>
        </w:tc>
        <w:tc>
          <w:tcPr>
            <w:tcW w:w="1163" w:type="dxa"/>
            <w:tcBorders>
              <w:tl2br w:val="nil"/>
              <w:tr2bl w:val="nil"/>
            </w:tcBorders>
            <w:vAlign w:val="center"/>
          </w:tcPr>
          <w:p>
            <w:pPr>
              <w:adjustRightInd w:val="0"/>
              <w:snapToGrid w:val="0"/>
              <w:jc w:val="center"/>
              <w:rPr>
                <w:rFonts w:ascii="宋体" w:hAnsi="宋体" w:cs="宋体"/>
                <w:color w:val="000000"/>
                <w:szCs w:val="21"/>
                <w:highlight w:val="none"/>
              </w:rPr>
            </w:pPr>
            <w:r>
              <w:rPr>
                <w:rFonts w:hint="eastAsia" w:ascii="宋体" w:hAnsi="宋体" w:cs="宋体"/>
                <w:color w:val="000000"/>
                <w:szCs w:val="21"/>
                <w:highlight w:val="none"/>
              </w:rPr>
              <w:t>评标价的偏差率计算公式</w:t>
            </w:r>
          </w:p>
        </w:tc>
        <w:tc>
          <w:tcPr>
            <w:tcW w:w="6830" w:type="dxa"/>
            <w:tcBorders>
              <w:tl2br w:val="nil"/>
              <w:tr2bl w:val="nil"/>
            </w:tcBorders>
            <w:vAlign w:val="center"/>
          </w:tcPr>
          <w:p>
            <w:pPr>
              <w:snapToGrid w:val="0"/>
              <w:spacing w:line="312" w:lineRule="auto"/>
              <w:rPr>
                <w:rFonts w:ascii="宋体" w:hAnsi="宋体" w:cs="宋体"/>
                <w:color w:val="000000"/>
                <w:szCs w:val="21"/>
                <w:highlight w:val="none"/>
              </w:rPr>
            </w:pPr>
            <w:r>
              <w:rPr>
                <w:rFonts w:hint="eastAsia" w:ascii="宋体" w:hAnsi="宋体" w:cs="宋体"/>
                <w:color w:val="000000"/>
                <w:szCs w:val="21"/>
                <w:highlight w:val="none"/>
              </w:rPr>
              <w:t>偏差率=（评标价-评标基准价）/评标基准价*100%</w:t>
            </w:r>
          </w:p>
        </w:tc>
      </w:tr>
    </w:tbl>
    <w:p>
      <w:pPr>
        <w:spacing w:line="400" w:lineRule="atLeast"/>
        <w:rPr>
          <w:rFonts w:eastAsia="黑体"/>
          <w:color w:val="000000"/>
          <w:sz w:val="30"/>
          <w:szCs w:val="30"/>
          <w:highlight w:val="none"/>
        </w:rPr>
      </w:pPr>
      <w:r>
        <w:rPr>
          <w:rFonts w:eastAsia="黑体"/>
          <w:color w:val="000000"/>
          <w:sz w:val="30"/>
          <w:szCs w:val="30"/>
          <w:highlight w:val="none"/>
        </w:rPr>
        <w:br w:type="page"/>
      </w:r>
    </w:p>
    <w:tbl>
      <w:tblPr>
        <w:tblStyle w:val="6"/>
        <w:tblW w:w="9071"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953"/>
        <w:gridCol w:w="12"/>
        <w:gridCol w:w="709"/>
        <w:gridCol w:w="425"/>
        <w:gridCol w:w="709"/>
        <w:gridCol w:w="28"/>
        <w:gridCol w:w="993"/>
        <w:gridCol w:w="992"/>
        <w:gridCol w:w="4250"/>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455" w:hRule="atLeast"/>
          <w:tblHeader/>
          <w:jc w:val="center"/>
        </w:trPr>
        <w:tc>
          <w:tcPr>
            <w:tcW w:w="4821" w:type="dxa"/>
            <w:gridSpan w:val="8"/>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评分因素与权重分值</w:t>
            </w:r>
          </w:p>
        </w:tc>
        <w:tc>
          <w:tcPr>
            <w:tcW w:w="4250" w:type="dxa"/>
            <w:vMerge w:val="restart"/>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评分标准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844" w:hRule="atLeast"/>
          <w:tblHeader/>
          <w:jc w:val="center"/>
        </w:trPr>
        <w:tc>
          <w:tcPr>
            <w:tcW w:w="953" w:type="dxa"/>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条款号</w:t>
            </w:r>
          </w:p>
        </w:tc>
        <w:tc>
          <w:tcPr>
            <w:tcW w:w="1146" w:type="dxa"/>
            <w:gridSpan w:val="3"/>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评分因素</w:t>
            </w:r>
          </w:p>
        </w:tc>
        <w:tc>
          <w:tcPr>
            <w:tcW w:w="737" w:type="dxa"/>
            <w:gridSpan w:val="2"/>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评分因素</w:t>
            </w:r>
          </w:p>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权重分值</w:t>
            </w:r>
          </w:p>
        </w:tc>
        <w:tc>
          <w:tcPr>
            <w:tcW w:w="993" w:type="dxa"/>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各评分因素细分项</w:t>
            </w:r>
          </w:p>
        </w:tc>
        <w:tc>
          <w:tcPr>
            <w:tcW w:w="992" w:type="dxa"/>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分值</w:t>
            </w:r>
          </w:p>
        </w:tc>
        <w:tc>
          <w:tcPr>
            <w:tcW w:w="4250" w:type="dxa"/>
            <w:vMerge w:val="continue"/>
            <w:vAlign w:val="center"/>
          </w:tcPr>
          <w:p>
            <w:pPr>
              <w:spacing w:line="276" w:lineRule="auto"/>
              <w:jc w:val="center"/>
              <w:rPr>
                <w:rFonts w:ascii="宋体" w:hAnsi="宋体" w:cs="宋体"/>
                <w:bCs/>
                <w:color w:val="000000"/>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953" w:type="dxa"/>
            <w:vMerge w:val="restart"/>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2.2.4（1）</w:t>
            </w:r>
          </w:p>
        </w:tc>
        <w:tc>
          <w:tcPr>
            <w:tcW w:w="1146" w:type="dxa"/>
            <w:gridSpan w:val="3"/>
            <w:vMerge w:val="restart"/>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技术建议书</w:t>
            </w:r>
          </w:p>
        </w:tc>
        <w:tc>
          <w:tcPr>
            <w:tcW w:w="737" w:type="dxa"/>
            <w:gridSpan w:val="2"/>
            <w:vMerge w:val="restart"/>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u w:val="single"/>
              </w:rPr>
              <w:t>30</w:t>
            </w:r>
            <w:r>
              <w:rPr>
                <w:rFonts w:hint="eastAsia" w:ascii="宋体" w:hAnsi="宋体" w:cs="宋体"/>
                <w:bCs/>
                <w:color w:val="000000"/>
                <w:szCs w:val="21"/>
                <w:highlight w:val="none"/>
              </w:rPr>
              <w:t>分</w:t>
            </w:r>
          </w:p>
        </w:tc>
        <w:tc>
          <w:tcPr>
            <w:tcW w:w="993" w:type="dxa"/>
            <w:vAlign w:val="center"/>
          </w:tcPr>
          <w:p>
            <w:pPr>
              <w:widowControl/>
              <w:adjustRightInd w:val="0"/>
              <w:snapToGrid w:val="0"/>
              <w:jc w:val="center"/>
              <w:rPr>
                <w:rFonts w:ascii="宋体" w:hAnsi="宋体" w:cs="宋体"/>
                <w:bCs/>
                <w:color w:val="000000"/>
                <w:szCs w:val="21"/>
                <w:highlight w:val="none"/>
              </w:rPr>
            </w:pPr>
            <w:r>
              <w:rPr>
                <w:rFonts w:hint="eastAsia"/>
                <w:bCs/>
                <w:kern w:val="0"/>
                <w:szCs w:val="21"/>
                <w:highlight w:val="none"/>
              </w:rPr>
              <w:t>实施方案和措施</w:t>
            </w:r>
          </w:p>
        </w:tc>
        <w:tc>
          <w:tcPr>
            <w:tcW w:w="992" w:type="dxa"/>
            <w:vAlign w:val="center"/>
          </w:tcPr>
          <w:p>
            <w:pPr>
              <w:snapToGrid w:val="0"/>
              <w:spacing w:line="240" w:lineRule="atLeast"/>
              <w:jc w:val="center"/>
              <w:rPr>
                <w:rFonts w:ascii="宋体" w:hAnsi="宋体" w:cs="宋体"/>
                <w:bCs/>
                <w:color w:val="000000"/>
                <w:szCs w:val="21"/>
                <w:highlight w:val="none"/>
              </w:rPr>
            </w:pPr>
            <w:r>
              <w:rPr>
                <w:rFonts w:hint="eastAsia" w:ascii="宋体" w:hAnsi="宋体" w:cs="宋体"/>
                <w:bCs/>
                <w:color w:val="000000"/>
                <w:szCs w:val="21"/>
                <w:highlight w:val="none"/>
              </w:rPr>
              <w:t>10分</w:t>
            </w:r>
          </w:p>
        </w:tc>
        <w:tc>
          <w:tcPr>
            <w:tcW w:w="4250" w:type="dxa"/>
            <w:vAlign w:val="center"/>
          </w:tcPr>
          <w:p>
            <w:pPr>
              <w:widowControl/>
              <w:adjustRightInd w:val="0"/>
              <w:snapToGrid w:val="0"/>
              <w:jc w:val="left"/>
              <w:rPr>
                <w:rFonts w:ascii="宋体" w:hAnsi="宋体" w:cs="宋体"/>
                <w:bCs/>
                <w:color w:val="000000"/>
                <w:szCs w:val="21"/>
                <w:highlight w:val="none"/>
              </w:rPr>
            </w:pPr>
            <w:r>
              <w:rPr>
                <w:rFonts w:hint="eastAsia"/>
                <w:bCs/>
                <w:kern w:val="0"/>
                <w:szCs w:val="21"/>
                <w:highlight w:val="none"/>
              </w:rPr>
              <w:t>满足基本需要的得6分；根据内容的完整性、人员配置合理性、评估工作程序可行性，酌情加 0～4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24" w:hRule="atLeast"/>
          <w:jc w:val="center"/>
        </w:trPr>
        <w:tc>
          <w:tcPr>
            <w:tcW w:w="953" w:type="dxa"/>
            <w:vMerge w:val="continue"/>
            <w:vAlign w:val="center"/>
          </w:tcPr>
          <w:p>
            <w:pPr>
              <w:spacing w:line="276" w:lineRule="auto"/>
              <w:jc w:val="center"/>
              <w:rPr>
                <w:rFonts w:ascii="宋体" w:hAnsi="宋体" w:cs="宋体"/>
                <w:bCs/>
                <w:color w:val="000000"/>
                <w:szCs w:val="21"/>
                <w:highlight w:val="none"/>
              </w:rPr>
            </w:pPr>
          </w:p>
        </w:tc>
        <w:tc>
          <w:tcPr>
            <w:tcW w:w="1146" w:type="dxa"/>
            <w:gridSpan w:val="3"/>
            <w:vMerge w:val="continue"/>
            <w:vAlign w:val="center"/>
          </w:tcPr>
          <w:p>
            <w:pPr>
              <w:spacing w:line="276" w:lineRule="auto"/>
              <w:jc w:val="center"/>
              <w:rPr>
                <w:rFonts w:ascii="宋体" w:hAnsi="宋体" w:cs="宋体"/>
                <w:bCs/>
                <w:color w:val="000000"/>
                <w:szCs w:val="21"/>
                <w:highlight w:val="none"/>
              </w:rPr>
            </w:pPr>
          </w:p>
        </w:tc>
        <w:tc>
          <w:tcPr>
            <w:tcW w:w="737" w:type="dxa"/>
            <w:gridSpan w:val="2"/>
            <w:vMerge w:val="continue"/>
            <w:vAlign w:val="center"/>
          </w:tcPr>
          <w:p>
            <w:pPr>
              <w:spacing w:line="276" w:lineRule="auto"/>
              <w:jc w:val="center"/>
              <w:rPr>
                <w:rFonts w:ascii="宋体" w:hAnsi="宋体" w:cs="宋体"/>
                <w:bCs/>
                <w:color w:val="000000"/>
                <w:szCs w:val="21"/>
                <w:highlight w:val="none"/>
                <w:u w:val="single"/>
              </w:rPr>
            </w:pPr>
          </w:p>
        </w:tc>
        <w:tc>
          <w:tcPr>
            <w:tcW w:w="993" w:type="dxa"/>
            <w:vAlign w:val="center"/>
          </w:tcPr>
          <w:p>
            <w:pPr>
              <w:widowControl/>
              <w:adjustRightInd w:val="0"/>
              <w:snapToGrid w:val="0"/>
              <w:jc w:val="center"/>
              <w:rPr>
                <w:bCs/>
                <w:kern w:val="0"/>
                <w:szCs w:val="21"/>
                <w:highlight w:val="none"/>
              </w:rPr>
            </w:pPr>
            <w:r>
              <w:rPr>
                <w:rFonts w:hint="eastAsia"/>
                <w:bCs/>
                <w:kern w:val="0"/>
                <w:szCs w:val="21"/>
                <w:highlight w:val="none"/>
              </w:rPr>
              <w:t>本项目</w:t>
            </w:r>
          </w:p>
          <w:p>
            <w:pPr>
              <w:widowControl/>
              <w:adjustRightInd w:val="0"/>
              <w:snapToGrid w:val="0"/>
              <w:jc w:val="center"/>
              <w:rPr>
                <w:bCs/>
                <w:kern w:val="0"/>
                <w:szCs w:val="21"/>
                <w:highlight w:val="none"/>
              </w:rPr>
            </w:pPr>
            <w:r>
              <w:rPr>
                <w:rFonts w:hint="eastAsia"/>
                <w:bCs/>
                <w:kern w:val="0"/>
                <w:szCs w:val="21"/>
                <w:highlight w:val="none"/>
              </w:rPr>
              <w:t>工作的重点</w:t>
            </w:r>
          </w:p>
          <w:p>
            <w:pPr>
              <w:widowControl/>
              <w:adjustRightInd w:val="0"/>
              <w:snapToGrid w:val="0"/>
              <w:jc w:val="center"/>
              <w:rPr>
                <w:rFonts w:ascii="宋体" w:hAnsi="宋体" w:cs="宋体"/>
                <w:bCs/>
                <w:color w:val="000000"/>
                <w:szCs w:val="21"/>
                <w:highlight w:val="none"/>
              </w:rPr>
            </w:pPr>
            <w:r>
              <w:rPr>
                <w:rFonts w:hint="eastAsia"/>
                <w:bCs/>
                <w:kern w:val="0"/>
                <w:szCs w:val="21"/>
                <w:highlight w:val="none"/>
              </w:rPr>
              <w:t>与难点分析</w:t>
            </w:r>
          </w:p>
        </w:tc>
        <w:tc>
          <w:tcPr>
            <w:tcW w:w="992" w:type="dxa"/>
            <w:vAlign w:val="center"/>
          </w:tcPr>
          <w:p>
            <w:pPr>
              <w:snapToGrid w:val="0"/>
              <w:spacing w:line="240" w:lineRule="atLeast"/>
              <w:jc w:val="center"/>
              <w:rPr>
                <w:rFonts w:ascii="宋体" w:hAnsi="宋体" w:cs="宋体"/>
                <w:bCs/>
                <w:color w:val="000000"/>
                <w:szCs w:val="21"/>
                <w:highlight w:val="none"/>
              </w:rPr>
            </w:pPr>
            <w:r>
              <w:rPr>
                <w:rFonts w:hint="eastAsia" w:ascii="宋体" w:hAnsi="宋体" w:cs="宋体"/>
                <w:bCs/>
                <w:color w:val="000000"/>
                <w:szCs w:val="21"/>
                <w:highlight w:val="none"/>
              </w:rPr>
              <w:t>10分</w:t>
            </w:r>
          </w:p>
        </w:tc>
        <w:tc>
          <w:tcPr>
            <w:tcW w:w="4250" w:type="dxa"/>
            <w:vAlign w:val="center"/>
          </w:tcPr>
          <w:p>
            <w:pPr>
              <w:widowControl/>
              <w:adjustRightInd w:val="0"/>
              <w:snapToGrid w:val="0"/>
              <w:jc w:val="left"/>
              <w:rPr>
                <w:rFonts w:ascii="宋体" w:hAnsi="宋体" w:cs="宋体"/>
                <w:bCs/>
                <w:color w:val="000000"/>
                <w:szCs w:val="21"/>
                <w:highlight w:val="none"/>
              </w:rPr>
            </w:pPr>
            <w:r>
              <w:rPr>
                <w:rFonts w:hint="eastAsia"/>
                <w:bCs/>
                <w:kern w:val="0"/>
                <w:szCs w:val="21"/>
                <w:highlight w:val="none"/>
              </w:rPr>
              <w:t>有对本项目重点、难点分析内容，得 6分；能结合高速公路建设项目的具体情况有针对性进行重点及难点分析，并编制可行、详尽的实施方案，酌情加 0～4分。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272" w:hRule="atLeast"/>
          <w:jc w:val="center"/>
        </w:trPr>
        <w:tc>
          <w:tcPr>
            <w:tcW w:w="953" w:type="dxa"/>
            <w:vMerge w:val="continue"/>
            <w:vAlign w:val="center"/>
          </w:tcPr>
          <w:p>
            <w:pPr>
              <w:spacing w:line="276" w:lineRule="auto"/>
              <w:jc w:val="center"/>
              <w:rPr>
                <w:rFonts w:ascii="宋体" w:hAnsi="宋体" w:cs="宋体"/>
                <w:bCs/>
                <w:color w:val="000000"/>
                <w:szCs w:val="21"/>
                <w:highlight w:val="none"/>
              </w:rPr>
            </w:pPr>
          </w:p>
        </w:tc>
        <w:tc>
          <w:tcPr>
            <w:tcW w:w="1146" w:type="dxa"/>
            <w:gridSpan w:val="3"/>
            <w:vMerge w:val="continue"/>
            <w:vAlign w:val="center"/>
          </w:tcPr>
          <w:p>
            <w:pPr>
              <w:spacing w:line="276" w:lineRule="auto"/>
              <w:jc w:val="center"/>
              <w:rPr>
                <w:rFonts w:ascii="宋体" w:hAnsi="宋体" w:cs="宋体"/>
                <w:bCs/>
                <w:color w:val="000000"/>
                <w:szCs w:val="21"/>
                <w:highlight w:val="none"/>
              </w:rPr>
            </w:pPr>
          </w:p>
        </w:tc>
        <w:tc>
          <w:tcPr>
            <w:tcW w:w="737" w:type="dxa"/>
            <w:gridSpan w:val="2"/>
            <w:vMerge w:val="continue"/>
            <w:vAlign w:val="center"/>
          </w:tcPr>
          <w:p>
            <w:pPr>
              <w:spacing w:line="276" w:lineRule="auto"/>
              <w:jc w:val="center"/>
              <w:rPr>
                <w:rFonts w:ascii="宋体" w:hAnsi="宋体" w:cs="宋体"/>
                <w:bCs/>
                <w:color w:val="000000"/>
                <w:szCs w:val="21"/>
                <w:highlight w:val="none"/>
              </w:rPr>
            </w:pPr>
          </w:p>
        </w:tc>
        <w:tc>
          <w:tcPr>
            <w:tcW w:w="993" w:type="dxa"/>
            <w:vAlign w:val="center"/>
          </w:tcPr>
          <w:p>
            <w:pPr>
              <w:widowControl/>
              <w:adjustRightInd w:val="0"/>
              <w:snapToGrid w:val="0"/>
              <w:jc w:val="center"/>
              <w:rPr>
                <w:bCs/>
                <w:kern w:val="0"/>
                <w:szCs w:val="21"/>
                <w:highlight w:val="none"/>
              </w:rPr>
            </w:pPr>
            <w:r>
              <w:rPr>
                <w:rFonts w:hint="eastAsia"/>
                <w:bCs/>
                <w:kern w:val="0"/>
                <w:szCs w:val="21"/>
                <w:highlight w:val="none"/>
              </w:rPr>
              <w:t>对本项目的</w:t>
            </w:r>
          </w:p>
          <w:p>
            <w:pPr>
              <w:widowControl/>
              <w:adjustRightInd w:val="0"/>
              <w:snapToGrid w:val="0"/>
              <w:jc w:val="center"/>
              <w:rPr>
                <w:rFonts w:ascii="宋体" w:hAnsi="宋体" w:cs="宋体"/>
                <w:bCs/>
                <w:color w:val="000000"/>
                <w:szCs w:val="21"/>
                <w:highlight w:val="none"/>
              </w:rPr>
            </w:pPr>
            <w:r>
              <w:rPr>
                <w:rFonts w:hint="eastAsia"/>
                <w:bCs/>
                <w:kern w:val="0"/>
                <w:szCs w:val="21"/>
                <w:highlight w:val="none"/>
              </w:rPr>
              <w:t>建议</w:t>
            </w:r>
          </w:p>
        </w:tc>
        <w:tc>
          <w:tcPr>
            <w:tcW w:w="992" w:type="dxa"/>
            <w:vAlign w:val="center"/>
          </w:tcPr>
          <w:p>
            <w:pPr>
              <w:snapToGrid w:val="0"/>
              <w:spacing w:line="240" w:lineRule="atLeast"/>
              <w:jc w:val="center"/>
              <w:rPr>
                <w:rFonts w:ascii="宋体" w:hAnsi="宋体" w:cs="宋体"/>
                <w:bCs/>
                <w:color w:val="000000"/>
                <w:szCs w:val="21"/>
                <w:highlight w:val="none"/>
              </w:rPr>
            </w:pPr>
            <w:r>
              <w:rPr>
                <w:rFonts w:hint="eastAsia" w:ascii="宋体" w:hAnsi="宋体" w:cs="宋体"/>
                <w:bCs/>
                <w:color w:val="000000"/>
                <w:szCs w:val="21"/>
                <w:highlight w:val="none"/>
              </w:rPr>
              <w:t>10分</w:t>
            </w:r>
          </w:p>
        </w:tc>
        <w:tc>
          <w:tcPr>
            <w:tcW w:w="4250" w:type="dxa"/>
            <w:vAlign w:val="center"/>
          </w:tcPr>
          <w:p>
            <w:pPr>
              <w:widowControl/>
              <w:adjustRightInd w:val="0"/>
              <w:snapToGrid w:val="0"/>
              <w:jc w:val="left"/>
              <w:rPr>
                <w:rFonts w:ascii="宋体" w:hAnsi="宋体" w:cs="宋体"/>
                <w:bCs/>
                <w:color w:val="000000"/>
                <w:szCs w:val="21"/>
                <w:highlight w:val="none"/>
              </w:rPr>
            </w:pPr>
            <w:r>
              <w:rPr>
                <w:rFonts w:hint="eastAsia"/>
                <w:bCs/>
                <w:kern w:val="0"/>
                <w:szCs w:val="21"/>
                <w:highlight w:val="none"/>
              </w:rPr>
              <w:t>有对本项目的建议内容，得 6分；建议具有合理可行，能体现本项目特点，酌情加 0～4 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042" w:hRule="atLeast"/>
          <w:jc w:val="center"/>
        </w:trPr>
        <w:tc>
          <w:tcPr>
            <w:tcW w:w="965" w:type="dxa"/>
            <w:gridSpan w:val="2"/>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2.2.4（3）</w:t>
            </w:r>
          </w:p>
        </w:tc>
        <w:tc>
          <w:tcPr>
            <w:tcW w:w="709" w:type="dxa"/>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评标价</w:t>
            </w:r>
          </w:p>
        </w:tc>
        <w:tc>
          <w:tcPr>
            <w:tcW w:w="1134" w:type="dxa"/>
            <w:gridSpan w:val="2"/>
            <w:vAlign w:val="center"/>
          </w:tcPr>
          <w:p>
            <w:pPr>
              <w:spacing w:line="276" w:lineRule="auto"/>
              <w:jc w:val="center"/>
              <w:rPr>
                <w:rFonts w:ascii="宋体" w:hAnsi="宋体" w:cs="宋体"/>
                <w:bCs/>
                <w:color w:val="000000"/>
                <w:szCs w:val="21"/>
                <w:highlight w:val="none"/>
                <w:u w:val="single"/>
              </w:rPr>
            </w:pPr>
            <w:r>
              <w:rPr>
                <w:rFonts w:hint="eastAsia" w:ascii="宋体" w:hAnsi="宋体" w:cs="宋体"/>
                <w:bCs/>
                <w:color w:val="000000"/>
                <w:szCs w:val="21"/>
                <w:highlight w:val="none"/>
                <w:u w:val="single"/>
              </w:rPr>
              <w:t>40</w:t>
            </w:r>
            <w:r>
              <w:rPr>
                <w:rFonts w:hint="eastAsia" w:ascii="宋体" w:hAnsi="宋体" w:cs="宋体"/>
                <w:bCs/>
                <w:color w:val="000000"/>
                <w:szCs w:val="21"/>
                <w:highlight w:val="none"/>
              </w:rPr>
              <w:t>分</w:t>
            </w:r>
          </w:p>
        </w:tc>
        <w:tc>
          <w:tcPr>
            <w:tcW w:w="6263" w:type="dxa"/>
            <w:gridSpan w:val="4"/>
            <w:vAlign w:val="center"/>
          </w:tcPr>
          <w:p>
            <w:pPr>
              <w:spacing w:line="276" w:lineRule="auto"/>
              <w:ind w:firstLine="420" w:firstLineChars="200"/>
              <w:rPr>
                <w:rFonts w:ascii="宋体" w:hAnsi="宋体" w:cs="宋体"/>
                <w:bCs/>
                <w:color w:val="000000"/>
                <w:szCs w:val="21"/>
                <w:highlight w:val="none"/>
              </w:rPr>
            </w:pPr>
            <w:r>
              <w:rPr>
                <w:rFonts w:hint="eastAsia" w:ascii="宋体" w:hAnsi="宋体" w:cs="宋体"/>
                <w:bCs/>
                <w:color w:val="000000"/>
                <w:szCs w:val="21"/>
                <w:highlight w:val="none"/>
              </w:rPr>
              <w:t>当投标报价等于评标基准价时得满分40分，每高于评标基准价一个百分点扣1分，每低于评标基准价一个百 分点扣0.5分，保留2位小数，扣完为止。公式表示如下：</w:t>
            </w:r>
          </w:p>
          <w:p>
            <w:pPr>
              <w:spacing w:line="276" w:lineRule="auto"/>
              <w:ind w:firstLine="420" w:firstLineChars="200"/>
              <w:rPr>
                <w:rFonts w:ascii="宋体" w:hAnsi="宋体" w:cs="宋体"/>
                <w:bCs/>
                <w:color w:val="000000"/>
                <w:szCs w:val="21"/>
                <w:highlight w:val="none"/>
              </w:rPr>
            </w:pPr>
            <w:r>
              <w:rPr>
                <w:rFonts w:hint="eastAsia" w:ascii="宋体" w:hAnsi="宋体" w:cs="宋体"/>
                <w:bCs/>
                <w:color w:val="000000"/>
                <w:szCs w:val="21"/>
                <w:highlight w:val="none"/>
              </w:rPr>
              <w:t>1、投标报价高于评标基准价的得分=40-（投标报价-评标基准价）/评标基准价*100*1</w:t>
            </w:r>
          </w:p>
          <w:p>
            <w:pPr>
              <w:spacing w:line="276" w:lineRule="auto"/>
              <w:ind w:firstLine="420" w:firstLineChars="200"/>
              <w:jc w:val="left"/>
              <w:rPr>
                <w:rFonts w:ascii="宋体" w:hAnsi="宋体" w:cs="宋体"/>
                <w:bCs/>
                <w:color w:val="000000"/>
                <w:szCs w:val="21"/>
                <w:highlight w:val="none"/>
              </w:rPr>
            </w:pPr>
            <w:r>
              <w:rPr>
                <w:rFonts w:hint="eastAsia" w:ascii="宋体" w:hAnsi="宋体" w:cs="宋体"/>
                <w:bCs/>
                <w:color w:val="000000"/>
                <w:szCs w:val="21"/>
                <w:highlight w:val="none"/>
              </w:rPr>
              <w:t>2、投标报价低于评标基准价的得分=40-（评标基准价-投标报价）/评标基准价*100*0.5</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358" w:hRule="atLeast"/>
          <w:jc w:val="center"/>
        </w:trPr>
        <w:tc>
          <w:tcPr>
            <w:tcW w:w="965" w:type="dxa"/>
            <w:gridSpan w:val="2"/>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2.2.4（4）</w:t>
            </w:r>
          </w:p>
        </w:tc>
        <w:tc>
          <w:tcPr>
            <w:tcW w:w="709" w:type="dxa"/>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其他因素</w:t>
            </w:r>
          </w:p>
        </w:tc>
        <w:tc>
          <w:tcPr>
            <w:tcW w:w="425" w:type="dxa"/>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rPr>
              <w:t>业绩</w:t>
            </w:r>
          </w:p>
        </w:tc>
        <w:tc>
          <w:tcPr>
            <w:tcW w:w="709" w:type="dxa"/>
            <w:vAlign w:val="center"/>
          </w:tcPr>
          <w:p>
            <w:pPr>
              <w:spacing w:line="276" w:lineRule="auto"/>
              <w:jc w:val="center"/>
              <w:rPr>
                <w:rFonts w:ascii="宋体" w:hAnsi="宋体" w:cs="宋体"/>
                <w:bCs/>
                <w:color w:val="000000"/>
                <w:szCs w:val="21"/>
                <w:highlight w:val="none"/>
              </w:rPr>
            </w:pPr>
            <w:r>
              <w:rPr>
                <w:rFonts w:hint="eastAsia" w:ascii="宋体" w:hAnsi="宋体" w:cs="宋体"/>
                <w:bCs/>
                <w:color w:val="000000"/>
                <w:szCs w:val="21"/>
                <w:highlight w:val="none"/>
                <w:u w:val="single"/>
              </w:rPr>
              <w:t>30</w:t>
            </w:r>
            <w:r>
              <w:rPr>
                <w:rFonts w:hint="eastAsia" w:ascii="宋体" w:hAnsi="宋体" w:cs="宋体"/>
                <w:bCs/>
                <w:color w:val="000000"/>
                <w:szCs w:val="21"/>
                <w:highlight w:val="none"/>
              </w:rPr>
              <w:t>分</w:t>
            </w:r>
          </w:p>
        </w:tc>
        <w:tc>
          <w:tcPr>
            <w:tcW w:w="6263" w:type="dxa"/>
            <w:gridSpan w:val="4"/>
            <w:vAlign w:val="center"/>
          </w:tcPr>
          <w:p>
            <w:pPr>
              <w:snapToGrid w:val="0"/>
              <w:rPr>
                <w:rFonts w:ascii="宋体" w:hAnsi="宋体" w:cs="宋体"/>
                <w:bCs/>
                <w:color w:val="000000"/>
                <w:szCs w:val="21"/>
                <w:highlight w:val="none"/>
              </w:rPr>
            </w:pPr>
            <w:r>
              <w:rPr>
                <w:rFonts w:hint="eastAsia" w:ascii="宋体" w:hAnsi="宋体" w:cs="宋体"/>
                <w:bCs/>
                <w:color w:val="000000"/>
                <w:szCs w:val="21"/>
                <w:highlight w:val="none"/>
              </w:rPr>
              <w:t>一、满足招标文件最低要求得18分。</w:t>
            </w:r>
          </w:p>
          <w:p>
            <w:pPr>
              <w:pStyle w:val="5"/>
              <w:snapToGrid w:val="0"/>
              <w:rPr>
                <w:rFonts w:ascii="宋体" w:hAnsi="宋体" w:cs="宋体"/>
                <w:bCs/>
                <w:color w:val="000000"/>
                <w:szCs w:val="21"/>
                <w:highlight w:val="none"/>
              </w:rPr>
            </w:pPr>
            <w:r>
              <w:rPr>
                <w:rFonts w:hint="eastAsia" w:ascii="宋体" w:hAnsi="宋体" w:cs="宋体"/>
                <w:bCs/>
                <w:color w:val="000000"/>
                <w:szCs w:val="21"/>
                <w:highlight w:val="none"/>
              </w:rPr>
              <w:t>二、2016年1月1日至投标截止时间，每增加 1 个符合资格审查最低要求的业绩加6分，最多加12分。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104" w:hRule="atLeast"/>
          <w:jc w:val="center"/>
        </w:trPr>
        <w:tc>
          <w:tcPr>
            <w:tcW w:w="9071" w:type="dxa"/>
            <w:gridSpan w:val="9"/>
            <w:vAlign w:val="center"/>
          </w:tcPr>
          <w:p>
            <w:pPr>
              <w:spacing w:line="276" w:lineRule="auto"/>
              <w:ind w:left="113" w:right="113" w:firstLine="210" w:firstLineChars="100"/>
              <w:rPr>
                <w:rFonts w:ascii="宋体" w:hAnsi="宋体" w:cs="宋体"/>
                <w:bCs/>
                <w:color w:val="000000"/>
                <w:szCs w:val="21"/>
                <w:highlight w:val="none"/>
              </w:rPr>
            </w:pPr>
            <w:r>
              <w:rPr>
                <w:rFonts w:hint="eastAsia" w:ascii="宋体" w:hAnsi="宋体" w:cs="宋体"/>
                <w:bCs/>
                <w:color w:val="000000"/>
                <w:szCs w:val="21"/>
                <w:highlight w:val="none"/>
              </w:rPr>
              <w:t>需要补充的其他内容：/</w:t>
            </w:r>
          </w:p>
        </w:tc>
      </w:tr>
    </w:tbl>
    <w:p>
      <w:pPr>
        <w:spacing w:line="400" w:lineRule="atLeast"/>
        <w:rPr>
          <w:rFonts w:eastAsia="黑体"/>
          <w:color w:val="000000"/>
          <w:sz w:val="30"/>
          <w:szCs w:val="30"/>
          <w:highlight w:val="none"/>
        </w:rPr>
      </w:pPr>
    </w:p>
    <w:p>
      <w:pPr>
        <w:spacing w:line="400" w:lineRule="atLeast"/>
        <w:rPr>
          <w:b/>
          <w:bCs/>
          <w:color w:val="000000"/>
          <w:highlight w:val="none"/>
        </w:rPr>
      </w:pPr>
    </w:p>
    <w:p>
      <w:pPr>
        <w:spacing w:line="400" w:lineRule="atLeast"/>
        <w:rPr>
          <w:rFonts w:eastAsia="黑体"/>
          <w:color w:val="000000" w:themeColor="text1"/>
          <w:sz w:val="24"/>
          <w:highlight w:val="none"/>
          <w14:textFill>
            <w14:solidFill>
              <w14:schemeClr w14:val="tx1"/>
            </w14:solidFill>
          </w14:textFill>
        </w:rPr>
      </w:pPr>
      <w:r>
        <w:rPr>
          <w:b/>
          <w:bCs/>
          <w:color w:val="000000"/>
          <w:highlight w:val="none"/>
        </w:rPr>
        <w:br w:type="page"/>
      </w:r>
      <w:bookmarkStart w:id="3" w:name="_Toc28448"/>
      <w:bookmarkStart w:id="4" w:name="_Toc8399"/>
      <w:bookmarkStart w:id="5" w:name="_Toc19146"/>
      <w:r>
        <w:rPr>
          <w:rFonts w:eastAsia="黑体"/>
          <w:color w:val="000000" w:themeColor="text1"/>
          <w:kern w:val="0"/>
          <w:sz w:val="28"/>
          <w:szCs w:val="28"/>
          <w:highlight w:val="none"/>
          <w14:textFill>
            <w14:solidFill>
              <w14:schemeClr w14:val="tx1"/>
            </w14:solidFill>
          </w14:textFill>
        </w:rPr>
        <w:t>1.评标方法</w:t>
      </w:r>
      <w:bookmarkEnd w:id="3"/>
      <w:bookmarkEnd w:id="4"/>
      <w:bookmarkEnd w:id="5"/>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本次评标采用综合评估法。评标委员会对满足招标文件实质性要求的投标文件，按照本章第2.2款规定的评分标准进行打分，并按得分由高到低顺序推荐中标候选人，或根据招标人授权直接确定中标人，但投标报价低于其成本的除外。综合评分相等时，评标委员会应按照评标办法前附表规定的优先次序推荐中标候选人或确定中标人。</w:t>
      </w:r>
    </w:p>
    <w:p>
      <w:pPr>
        <w:widowControl/>
        <w:numPr>
          <w:ilvl w:val="0"/>
          <w:numId w:val="1"/>
        </w:numPr>
        <w:spacing w:line="312" w:lineRule="auto"/>
        <w:jc w:val="left"/>
        <w:outlineLvl w:val="1"/>
        <w:rPr>
          <w:rFonts w:eastAsia="黑体"/>
          <w:color w:val="000000" w:themeColor="text1"/>
          <w:kern w:val="0"/>
          <w:sz w:val="28"/>
          <w:szCs w:val="28"/>
          <w:highlight w:val="none"/>
          <w14:textFill>
            <w14:solidFill>
              <w14:schemeClr w14:val="tx1"/>
            </w14:solidFill>
          </w14:textFill>
        </w:rPr>
      </w:pPr>
      <w:bookmarkStart w:id="6" w:name="_Toc7016"/>
      <w:bookmarkStart w:id="7" w:name="_Toc13275"/>
      <w:bookmarkStart w:id="8" w:name="_Toc1825"/>
      <w:bookmarkStart w:id="9" w:name="_Toc32106"/>
      <w:r>
        <w:rPr>
          <w:rFonts w:eastAsia="黑体"/>
          <w:color w:val="000000" w:themeColor="text1"/>
          <w:kern w:val="0"/>
          <w:sz w:val="28"/>
          <w:szCs w:val="28"/>
          <w:highlight w:val="none"/>
          <w14:textFill>
            <w14:solidFill>
              <w14:schemeClr w14:val="tx1"/>
            </w14:solidFill>
          </w14:textFill>
        </w:rPr>
        <w:t>评审标准</w:t>
      </w:r>
      <w:bookmarkEnd w:id="6"/>
      <w:bookmarkEnd w:id="7"/>
      <w:bookmarkEnd w:id="8"/>
      <w:bookmarkEnd w:id="9"/>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10" w:name="_Toc22607"/>
      <w:bookmarkStart w:id="11" w:name="_Toc13809"/>
      <w:bookmarkStart w:id="12" w:name="_Toc15565"/>
      <w:bookmarkStart w:id="13" w:name="_Toc13869"/>
      <w:r>
        <w:rPr>
          <w:rFonts w:eastAsia="黑体"/>
          <w:color w:val="000000" w:themeColor="text1"/>
          <w:kern w:val="0"/>
          <w:sz w:val="24"/>
          <w:highlight w:val="none"/>
          <w14:textFill>
            <w14:solidFill>
              <w14:schemeClr w14:val="tx1"/>
            </w14:solidFill>
          </w14:textFill>
        </w:rPr>
        <w:t>2.1初步评审标准</w:t>
      </w:r>
      <w:bookmarkEnd w:id="10"/>
      <w:bookmarkEnd w:id="11"/>
      <w:bookmarkEnd w:id="12"/>
      <w:bookmarkEnd w:id="13"/>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2.1.1 形式评审标准：见评标办法前附表。</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2.1.2 资格评审标准：见评标办法前附表（适用于未进行资格预审的）。</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2.1.3 响应性评审标准：见评标办法前附表。</w:t>
      </w:r>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14" w:name="_Toc9611"/>
      <w:bookmarkStart w:id="15" w:name="_Toc2160"/>
      <w:bookmarkStart w:id="16" w:name="_Toc4176"/>
      <w:bookmarkStart w:id="17" w:name="_Toc31880"/>
      <w:r>
        <w:rPr>
          <w:rFonts w:eastAsia="黑体"/>
          <w:color w:val="000000" w:themeColor="text1"/>
          <w:kern w:val="0"/>
          <w:sz w:val="24"/>
          <w:highlight w:val="none"/>
          <w14:textFill>
            <w14:solidFill>
              <w14:schemeClr w14:val="tx1"/>
            </w14:solidFill>
          </w14:textFill>
        </w:rPr>
        <w:t>2.2分值构成与评分标准</w:t>
      </w:r>
      <w:bookmarkEnd w:id="14"/>
      <w:bookmarkEnd w:id="15"/>
      <w:bookmarkEnd w:id="16"/>
      <w:bookmarkEnd w:id="17"/>
    </w:p>
    <w:p>
      <w:pPr>
        <w:widowControl/>
        <w:spacing w:line="312" w:lineRule="auto"/>
        <w:ind w:firstLine="480" w:firstLineChars="200"/>
        <w:jc w:val="left"/>
        <w:rPr>
          <w:rFonts w:eastAsia="黑体"/>
          <w:color w:val="000000" w:themeColor="text1"/>
          <w:sz w:val="24"/>
          <w:highlight w:val="none"/>
          <w14:textFill>
            <w14:solidFill>
              <w14:schemeClr w14:val="tx1"/>
            </w14:solidFill>
          </w14:textFill>
        </w:rPr>
      </w:pPr>
      <w:r>
        <w:rPr>
          <w:rFonts w:eastAsia="黑体"/>
          <w:color w:val="000000" w:themeColor="text1"/>
          <w:sz w:val="24"/>
          <w:highlight w:val="none"/>
          <w14:textFill>
            <w14:solidFill>
              <w14:schemeClr w14:val="tx1"/>
            </w14:solidFill>
          </w14:textFill>
        </w:rPr>
        <w:t>2.2.1 分值构成</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（1）技术建议书：见评标办法前附表；</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（2）主要人员：见评标办法前附表；</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（3）评标价：见评标办法前附表；</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（4）其他评分因素：见评标办法前附表。</w:t>
      </w:r>
    </w:p>
    <w:p>
      <w:pPr>
        <w:widowControl/>
        <w:spacing w:line="312" w:lineRule="auto"/>
        <w:ind w:firstLine="480" w:firstLineChars="200"/>
        <w:jc w:val="left"/>
        <w:rPr>
          <w:rFonts w:eastAsia="黑体"/>
          <w:color w:val="000000" w:themeColor="text1"/>
          <w:sz w:val="24"/>
          <w:highlight w:val="none"/>
          <w14:textFill>
            <w14:solidFill>
              <w14:schemeClr w14:val="tx1"/>
            </w14:solidFill>
          </w14:textFill>
        </w:rPr>
      </w:pPr>
      <w:r>
        <w:rPr>
          <w:rFonts w:eastAsia="黑体"/>
          <w:color w:val="000000" w:themeColor="text1"/>
          <w:sz w:val="24"/>
          <w:highlight w:val="none"/>
          <w14:textFill>
            <w14:solidFill>
              <w14:schemeClr w14:val="tx1"/>
            </w14:solidFill>
          </w14:textFill>
        </w:rPr>
        <w:t>2.2. 2评标基准价计算</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评标基准价计算方法：见评标办法前附表。</w:t>
      </w:r>
    </w:p>
    <w:p>
      <w:pPr>
        <w:widowControl/>
        <w:spacing w:line="312" w:lineRule="auto"/>
        <w:ind w:firstLine="480" w:firstLineChars="200"/>
        <w:jc w:val="left"/>
        <w:rPr>
          <w:rFonts w:eastAsia="黑体"/>
          <w:color w:val="000000" w:themeColor="text1"/>
          <w:sz w:val="24"/>
          <w:highlight w:val="none"/>
          <w14:textFill>
            <w14:solidFill>
              <w14:schemeClr w14:val="tx1"/>
            </w14:solidFill>
          </w14:textFill>
        </w:rPr>
      </w:pPr>
      <w:r>
        <w:rPr>
          <w:rFonts w:eastAsia="黑体"/>
          <w:color w:val="000000" w:themeColor="text1"/>
          <w:sz w:val="24"/>
          <w:highlight w:val="none"/>
          <w14:textFill>
            <w14:solidFill>
              <w14:schemeClr w14:val="tx1"/>
            </w14:solidFill>
          </w14:textFill>
        </w:rPr>
        <w:t>2.2.3 评标价的偏差率计算</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评标价的偏差率计算公式：见评标办法前附表。</w:t>
      </w:r>
    </w:p>
    <w:p>
      <w:pPr>
        <w:widowControl/>
        <w:spacing w:line="312" w:lineRule="auto"/>
        <w:ind w:firstLine="480" w:firstLineChars="200"/>
        <w:jc w:val="left"/>
        <w:rPr>
          <w:rFonts w:eastAsia="黑体"/>
          <w:color w:val="000000" w:themeColor="text1"/>
          <w:sz w:val="24"/>
          <w:highlight w:val="none"/>
          <w14:textFill>
            <w14:solidFill>
              <w14:schemeClr w14:val="tx1"/>
            </w14:solidFill>
          </w14:textFill>
        </w:rPr>
      </w:pPr>
      <w:r>
        <w:rPr>
          <w:rFonts w:eastAsia="黑体"/>
          <w:color w:val="000000" w:themeColor="text1"/>
          <w:sz w:val="24"/>
          <w:highlight w:val="none"/>
          <w14:textFill>
            <w14:solidFill>
              <w14:schemeClr w14:val="tx1"/>
            </w14:solidFill>
          </w14:textFill>
        </w:rPr>
        <w:t>2.2.4 评分标准</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（1）技术建议书评分标准：见评标办法前附表；</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（2）主要人员评分标准：见评标办法前附表；</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（3）评标价评分标准：见评标办法前附表；</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（4）其他因素评分标准：见评标办法前附表。</w:t>
      </w:r>
    </w:p>
    <w:p>
      <w:pPr>
        <w:widowControl/>
        <w:spacing w:line="312" w:lineRule="auto"/>
        <w:jc w:val="left"/>
        <w:outlineLvl w:val="1"/>
        <w:rPr>
          <w:rFonts w:eastAsia="黑体"/>
          <w:color w:val="000000" w:themeColor="text1"/>
          <w:sz w:val="28"/>
          <w:szCs w:val="28"/>
          <w:highlight w:val="none"/>
          <w14:textFill>
            <w14:solidFill>
              <w14:schemeClr w14:val="tx1"/>
            </w14:solidFill>
          </w14:textFill>
        </w:rPr>
      </w:pPr>
      <w:bookmarkStart w:id="18" w:name="_Toc20802"/>
      <w:bookmarkStart w:id="19" w:name="_Toc11013"/>
      <w:bookmarkStart w:id="20" w:name="_Toc8992"/>
      <w:bookmarkStart w:id="21" w:name="_Toc12432"/>
      <w:r>
        <w:rPr>
          <w:rFonts w:eastAsia="黑体"/>
          <w:color w:val="000000" w:themeColor="text1"/>
          <w:sz w:val="28"/>
          <w:szCs w:val="28"/>
          <w:highlight w:val="none"/>
          <w14:textFill>
            <w14:solidFill>
              <w14:schemeClr w14:val="tx1"/>
            </w14:solidFill>
          </w14:textFill>
        </w:rPr>
        <w:t>3.评标程序</w:t>
      </w:r>
      <w:bookmarkEnd w:id="18"/>
      <w:bookmarkEnd w:id="19"/>
      <w:bookmarkEnd w:id="20"/>
      <w:bookmarkEnd w:id="21"/>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22" w:name="_Toc14941"/>
      <w:bookmarkStart w:id="23" w:name="_Toc22616"/>
      <w:bookmarkStart w:id="24" w:name="_Toc20980"/>
      <w:bookmarkStart w:id="25" w:name="_Toc20378"/>
      <w:r>
        <w:rPr>
          <w:rFonts w:eastAsia="黑体"/>
          <w:color w:val="000000" w:themeColor="text1"/>
          <w:kern w:val="0"/>
          <w:sz w:val="24"/>
          <w:highlight w:val="none"/>
          <w14:textFill>
            <w14:solidFill>
              <w14:schemeClr w14:val="tx1"/>
            </w14:solidFill>
          </w14:textFill>
        </w:rPr>
        <w:t>3.1第一个信封初步评审</w:t>
      </w:r>
      <w:bookmarkEnd w:id="22"/>
      <w:bookmarkEnd w:id="23"/>
      <w:bookmarkEnd w:id="24"/>
      <w:bookmarkEnd w:id="25"/>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3.1.1 评标委员会可以要求投标人提交第二章</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投标人须知</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第3.5.1项至第3.5.5项规定的有关证明和证件的原件，以便核验。评标委员会依据本章第2.1款规定的标准对投标文件第一个信封（商务及技术文件）进行初步评审。有一项不符合评审标准的，评标委员会应否决其投标。（适用于未进行资格预审的）</w:t>
      </w:r>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26" w:name="_Toc446"/>
      <w:bookmarkStart w:id="27" w:name="_Toc12255"/>
      <w:bookmarkStart w:id="28" w:name="_Toc5878"/>
      <w:bookmarkStart w:id="29" w:name="_Toc5916"/>
      <w:r>
        <w:rPr>
          <w:rFonts w:eastAsia="黑体"/>
          <w:color w:val="000000" w:themeColor="text1"/>
          <w:kern w:val="0"/>
          <w:sz w:val="24"/>
          <w:highlight w:val="none"/>
          <w14:textFill>
            <w14:solidFill>
              <w14:schemeClr w14:val="tx1"/>
            </w14:solidFill>
          </w14:textFill>
        </w:rPr>
        <w:t>3.2 第一个信封详细评审</w:t>
      </w:r>
      <w:bookmarkEnd w:id="26"/>
      <w:bookmarkEnd w:id="27"/>
      <w:bookmarkEnd w:id="28"/>
      <w:bookmarkEnd w:id="29"/>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3.2.1 评标委员会按本章第2.2款规定的量化因素和分值进行打分，并计算出各投标人的商务和技术得分。</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（1）按本章第2.2.4项（1）目规定的评审因素和分值对技术建议书部分计算出得分A；</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（2）按本章第2.2.4项（2）目规定的评审因素和分值对主要人员部分计算出得分B；</w:t>
      </w:r>
    </w:p>
    <w:p>
      <w:pPr>
        <w:widowControl/>
        <w:spacing w:line="312" w:lineRule="auto"/>
        <w:ind w:left="458" w:leftChars="218"/>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（3）按本章第2.2.4项（4）目规定的评审因素和分值对其他部分计算出得分D。</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3.2.2 投标人的商务和技术得分分值计算保留小数点后两位，小数点后第三位</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四舍五入</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3.2.3 投标人的商务和技术得分=A+B+D。</w:t>
      </w:r>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30" w:name="_Toc29803"/>
      <w:bookmarkStart w:id="31" w:name="_Toc32010"/>
      <w:bookmarkStart w:id="32" w:name="_Toc29582"/>
      <w:bookmarkStart w:id="33" w:name="_Toc9469"/>
      <w:r>
        <w:rPr>
          <w:rFonts w:eastAsia="黑体"/>
          <w:color w:val="000000" w:themeColor="text1"/>
          <w:kern w:val="0"/>
          <w:sz w:val="24"/>
          <w:highlight w:val="none"/>
          <w14:textFill>
            <w14:solidFill>
              <w14:schemeClr w14:val="tx1"/>
            </w14:solidFill>
          </w14:textFill>
        </w:rPr>
        <w:t>3.3 第二个信封开标</w:t>
      </w:r>
      <w:bookmarkEnd w:id="30"/>
      <w:bookmarkEnd w:id="31"/>
      <w:bookmarkEnd w:id="32"/>
      <w:bookmarkEnd w:id="33"/>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第一个信封（商务及技术文件）评审结束后，招标人将按照第二章</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投标人须知</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第5.1款规定的时间和地点对通过投标文件第一个信封（商务及技术文件）评审的投标文件第二个信封（报价文件）进行开标。</w:t>
      </w:r>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34" w:name="_Toc4434"/>
      <w:bookmarkStart w:id="35" w:name="_Toc25888"/>
      <w:bookmarkStart w:id="36" w:name="_Toc435"/>
      <w:bookmarkStart w:id="37" w:name="_Toc27827"/>
      <w:r>
        <w:rPr>
          <w:rFonts w:eastAsia="黑体"/>
          <w:color w:val="000000" w:themeColor="text1"/>
          <w:kern w:val="0"/>
          <w:sz w:val="24"/>
          <w:highlight w:val="none"/>
          <w14:textFill>
            <w14:solidFill>
              <w14:schemeClr w14:val="tx1"/>
            </w14:solidFill>
          </w14:textFill>
        </w:rPr>
        <w:t>3.4 第二个信封初步评审</w:t>
      </w:r>
      <w:bookmarkEnd w:id="34"/>
      <w:bookmarkEnd w:id="35"/>
      <w:bookmarkEnd w:id="36"/>
      <w:bookmarkEnd w:id="37"/>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3.4.1 评标委员会依据本章第2.1.1项、第2.1.3项规定的评审标准对投标文件第二个信封（报价文件）进行初步评审。有一项不符合评审标准的，评标委员会应否决其投标。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3.4.2 投标报价有算术错误的，评标委员会按以下原则对投标报价进行修正，修正的价格经投标人书面确认后具有约束力。投标人不接受修正价格的，评标委员会应否决其投标。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（1）投标文件中的大写金额与小写金额不一致的，以大写金额为准；</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（2）总价金额与依据单价计算出的结果不致的，以单价金额为准修正总价，但单价金额小数点有明显错误的除外；</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（3）当单价与数量相乘不等于合价时，以单价计算为准，如果单价有明显的小数点位置差错，应以标出的合价为准，同时对单价予以修正；</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（4）当各子目的合价累计不等于总价时，应以各子目合价累计数为准，修正总价。</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3.4.3 修正后的最终投标报价若超过最高投标限价（如有），评标委员会应否决其投标。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3.4.4 修正后的最终投标报价仅作为签订合同的一个依据，不参与评标价得分的计算。</w:t>
      </w:r>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38" w:name="_Toc29948"/>
      <w:bookmarkStart w:id="39" w:name="_Toc16500"/>
      <w:bookmarkStart w:id="40" w:name="_Toc22335"/>
      <w:bookmarkStart w:id="41" w:name="_Toc7100"/>
      <w:r>
        <w:rPr>
          <w:rFonts w:eastAsia="黑体"/>
          <w:color w:val="000000" w:themeColor="text1"/>
          <w:kern w:val="0"/>
          <w:sz w:val="24"/>
          <w:highlight w:val="none"/>
          <w14:textFill>
            <w14:solidFill>
              <w14:schemeClr w14:val="tx1"/>
            </w14:solidFill>
          </w14:textFill>
        </w:rPr>
        <w:t>3.5 第二个信封详细评审</w:t>
      </w:r>
      <w:bookmarkEnd w:id="38"/>
      <w:bookmarkEnd w:id="39"/>
      <w:bookmarkEnd w:id="40"/>
      <w:bookmarkEnd w:id="41"/>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3.5.1 评标委员会按本章第2.2.4项（3）目规定的评审因素和分值对评标价计算出得分C。评标价得分分值计算保留小数点后两位，小数点后第三位</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四舍五入</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3.5.2 投标人综合得分=投标人的商务和技术得分+C。</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3.5.3 评标委员会发现投标人的报价明显低于其他投标报价，使得其投标报价可能低于其个别成本的，应要求该投标人作出书面说明并提供相应的证明材料。投标人不能合埋说明或不能提供相应证明材料的，评标委员会应认定该投标人以低于成本报价竞标，并否决其投标。</w:t>
      </w:r>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42" w:name="_Toc8834"/>
      <w:bookmarkStart w:id="43" w:name="_Toc21083"/>
      <w:bookmarkStart w:id="44" w:name="_Toc3508"/>
      <w:bookmarkStart w:id="45" w:name="_Toc14909"/>
      <w:r>
        <w:rPr>
          <w:rFonts w:eastAsia="黑体"/>
          <w:color w:val="000000" w:themeColor="text1"/>
          <w:kern w:val="0"/>
          <w:sz w:val="24"/>
          <w:highlight w:val="none"/>
          <w14:textFill>
            <w14:solidFill>
              <w14:schemeClr w14:val="tx1"/>
            </w14:solidFill>
          </w14:textFill>
        </w:rPr>
        <w:t>3.6 投标文件相关信息的核查</w:t>
      </w:r>
      <w:bookmarkEnd w:id="42"/>
      <w:bookmarkEnd w:id="43"/>
      <w:bookmarkEnd w:id="44"/>
      <w:bookmarkEnd w:id="45"/>
    </w:p>
    <w:p>
      <w:pPr>
        <w:widowControl/>
        <w:spacing w:line="312" w:lineRule="auto"/>
        <w:ind w:firstLine="482" w:firstLineChars="200"/>
        <w:jc w:val="left"/>
        <w:rPr>
          <w:b/>
          <w:bCs/>
          <w:color w:val="000000" w:themeColor="text1"/>
          <w:sz w:val="24"/>
          <w:highlight w:val="none"/>
          <w14:textFill>
            <w14:solidFill>
              <w14:schemeClr w14:val="tx1"/>
            </w14:solidFill>
          </w14:textFill>
        </w:rPr>
      </w:pPr>
      <w:r>
        <w:rPr>
          <w:b/>
          <w:bCs/>
          <w:color w:val="000000" w:themeColor="text1"/>
          <w:sz w:val="24"/>
          <w:highlight w:val="none"/>
          <w14:textFill>
            <w14:solidFill>
              <w14:schemeClr w14:val="tx1"/>
            </w14:solidFill>
          </w14:textFill>
        </w:rPr>
        <w:t xml:space="preserve">3.6.1 </w:t>
      </w:r>
      <w:r>
        <w:rPr>
          <w:rFonts w:hint="eastAsia"/>
          <w:b/>
          <w:bCs/>
          <w:color w:val="000000" w:themeColor="text1"/>
          <w:sz w:val="24"/>
          <w:highlight w:val="none"/>
          <w14:textFill>
            <w14:solidFill>
              <w14:schemeClr w14:val="tx1"/>
            </w14:solidFill>
          </w14:textFill>
        </w:rPr>
        <w:t>在评标过程中，评标委员会应对投标人的资质、主要人员资历、信用等级等信息进行核实。若投标文件载明的信息实际信息不符，使得投标人的资格条件不符合招标文件规定的，评标委员会应否决其投标。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3.6.2 评标委员会应对在评标过程中发现的投标人与投标人之间、投标人与招标人之间存在的串通投标的情形进行评审和认定。投标人存在串通投标、弄虚作假、行贿等违法行为的，评标委员会应否决其投标。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（1）有下列情形之一的，属于投标人相互串通投标：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a. 投标人之间协商投标报价等投标文件的实质性内容；</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b. 投标人之间约定中标人；</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c. 投标人之间约定部分投标人放弃投标或中标；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d. 属于同一集团、协会、商会等组织成员的投标人按照该组织要求协同投标；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e. 投标人之间为谋取中标或排斥特定投标人而采取的其他联合行动。</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（2）有下列情形之一的，视为投标人相互串通投标：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a. 不同投标人的投标文件由同一单位或个人编制；</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b. 不同投标人委托同一单位或个人办理投标事宜；</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c. 不同投标人的投标文件载明的项目管理成员为同一人；</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d. 不同投标人的投标文件异常一致或投标报价呈规律性差异；</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e. 不同投标人的投标文件相互混装；</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f. 不同投标人的投标保证金从同一单位或个人的账户转出。</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（3）有下列情形之一的，属于招标人与投标人串通投标：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a. 招标人在开标前开启投标文件并将有关信息泄露给其他投标人；</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b. 招标人直接或间接向投标人泄露标底、评标委员会成员等信息；</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c. 招标人明示或暗示投标人压低或抬高投标报价；</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d. 招标人授意投标人撤换、修改投标文件；</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e. 招标人明示或暗示投标人为特定投标人中标提供方便；</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f. 招标人与投标人为谋求特定投标人中标而采取的其他串通行为。</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（4）投标人有下列情形之一的，属于弄虚作假的行为：</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a. 使用通过受让或租借等方式获取的资格、资质证书投标；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b. 使用伪造、变造的许可证件；</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c. 提供虚假的业绩；</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d. 提供虚假的</w:t>
      </w:r>
      <w:r>
        <w:rPr>
          <w:rFonts w:hint="eastAsia"/>
          <w:color w:val="000000" w:themeColor="text1"/>
          <w:kern w:val="0"/>
          <w:sz w:val="24"/>
          <w:highlight w:val="none"/>
          <w14:textFill>
            <w14:solidFill>
              <w14:schemeClr w14:val="tx1"/>
            </w14:solidFill>
          </w14:textFill>
        </w:rPr>
        <w:t>项目负责人</w:t>
      </w:r>
      <w:r>
        <w:rPr>
          <w:color w:val="000000" w:themeColor="text1"/>
          <w:sz w:val="24"/>
          <w:highlight w:val="none"/>
          <w14:textFill>
            <w14:solidFill>
              <w14:schemeClr w14:val="tx1"/>
            </w14:solidFill>
          </w14:textFill>
        </w:rPr>
        <w:t>或</w:t>
      </w:r>
      <w:r>
        <w:rPr>
          <w:rFonts w:hint="eastAsia"/>
          <w:color w:val="000000" w:themeColor="text1"/>
          <w:sz w:val="24"/>
          <w:highlight w:val="none"/>
          <w14:textFill>
            <w14:solidFill>
              <w14:schemeClr w14:val="tx1"/>
            </w14:solidFill>
          </w14:textFill>
        </w:rPr>
        <w:t>其他</w:t>
      </w:r>
      <w:r>
        <w:rPr>
          <w:color w:val="000000" w:themeColor="text1"/>
          <w:sz w:val="24"/>
          <w:highlight w:val="none"/>
          <w14:textFill>
            <w14:solidFill>
              <w14:schemeClr w14:val="tx1"/>
            </w14:solidFill>
          </w14:textFill>
        </w:rPr>
        <w:t>人员简历、劳动关系证明；</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e. 提供虚假的信用状况:f.其他弄虚作假的行为。</w:t>
      </w:r>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46" w:name="_Toc8766"/>
      <w:bookmarkStart w:id="47" w:name="_Toc27096"/>
      <w:bookmarkStart w:id="48" w:name="_Toc12506"/>
      <w:bookmarkStart w:id="49" w:name="_Toc4829"/>
      <w:r>
        <w:rPr>
          <w:rFonts w:eastAsia="黑体"/>
          <w:color w:val="000000" w:themeColor="text1"/>
          <w:kern w:val="0"/>
          <w:sz w:val="24"/>
          <w:highlight w:val="none"/>
          <w14:textFill>
            <w14:solidFill>
              <w14:schemeClr w14:val="tx1"/>
            </w14:solidFill>
          </w14:textFill>
        </w:rPr>
        <w:t>3.7 投标文件的澄清和说明</w:t>
      </w:r>
      <w:bookmarkEnd w:id="46"/>
      <w:bookmarkEnd w:id="47"/>
      <w:bookmarkEnd w:id="48"/>
      <w:bookmarkEnd w:id="49"/>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3.7.1 在评标过程中，评标委员会可以书面形式要求投标人对投标文件中含义个明确的内容、明显文字或计算错误进行书面澄清或说明。评标委员会不接受投标人主动提出的澄清、说明。投标人不按评标委员会要求澄清或说明的，评标委员会应否决其投标。</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3.7.2 澄清和说明不得超出投标文件的范围或改变投标文件的实质性内容（算术性错误的修正除外）。投标人的书面澄清、说明属于投标文件的组成部分。</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3.7.3 评标委员会不得暗示或诱导投标人作出澄清、说明，对投标人提交的澄清、说明有疑问的，可以要求投标人进一步澄清或说明，直至满足评标委员会的要求。</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3.7.4 凡超出招标文件规定的或给委任人带来未曾要求的利益的变化、偏差或其他因素在评标时不予考虑。</w:t>
      </w:r>
    </w:p>
    <w:p>
      <w:pPr>
        <w:widowControl/>
        <w:spacing w:line="312" w:lineRule="auto"/>
        <w:jc w:val="left"/>
        <w:outlineLvl w:val="2"/>
        <w:rPr>
          <w:rFonts w:eastAsia="黑体"/>
          <w:color w:val="000000" w:themeColor="text1"/>
          <w:kern w:val="0"/>
          <w:sz w:val="24"/>
          <w:highlight w:val="none"/>
          <w14:textFill>
            <w14:solidFill>
              <w14:schemeClr w14:val="tx1"/>
            </w14:solidFill>
          </w14:textFill>
        </w:rPr>
      </w:pPr>
      <w:bookmarkStart w:id="50" w:name="_Toc20811"/>
      <w:bookmarkStart w:id="51" w:name="_Toc28773"/>
      <w:bookmarkStart w:id="52" w:name="_Toc14284"/>
      <w:bookmarkStart w:id="53" w:name="_Toc25695"/>
      <w:r>
        <w:rPr>
          <w:rFonts w:eastAsia="黑体"/>
          <w:color w:val="000000" w:themeColor="text1"/>
          <w:kern w:val="0"/>
          <w:sz w:val="24"/>
          <w:highlight w:val="none"/>
          <w14:textFill>
            <w14:solidFill>
              <w14:schemeClr w14:val="tx1"/>
            </w14:solidFill>
          </w14:textFill>
        </w:rPr>
        <w:t>3.8 不得否决投标的情形</w:t>
      </w:r>
      <w:bookmarkEnd w:id="50"/>
      <w:bookmarkEnd w:id="51"/>
      <w:bookmarkEnd w:id="52"/>
      <w:bookmarkEnd w:id="53"/>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投标文件存在第.二章</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投标人须知</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第1.12.3项所列情形的，均视为细微偏差，评标委员会不得否决投标人的投标，应按照第二章</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投标人须知</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第1.12.4项规定的原则处理。</w:t>
      </w:r>
    </w:p>
    <w:p>
      <w:pPr>
        <w:widowControl/>
        <w:spacing w:line="312" w:lineRule="auto"/>
        <w:ind w:left="480" w:hanging="480" w:hangingChars="200"/>
        <w:jc w:val="left"/>
        <w:outlineLvl w:val="2"/>
        <w:rPr>
          <w:rFonts w:eastAsia="黑体"/>
          <w:color w:val="000000" w:themeColor="text1"/>
          <w:kern w:val="0"/>
          <w:sz w:val="24"/>
          <w:highlight w:val="none"/>
          <w14:textFill>
            <w14:solidFill>
              <w14:schemeClr w14:val="tx1"/>
            </w14:solidFill>
          </w14:textFill>
        </w:rPr>
      </w:pPr>
      <w:bookmarkStart w:id="54" w:name="_Toc6592"/>
      <w:bookmarkStart w:id="55" w:name="_Toc32039"/>
      <w:bookmarkStart w:id="56" w:name="_Toc12642"/>
      <w:bookmarkStart w:id="57" w:name="_Toc28625"/>
      <w:r>
        <w:rPr>
          <w:rFonts w:eastAsia="黑体"/>
          <w:color w:val="000000" w:themeColor="text1"/>
          <w:kern w:val="0"/>
          <w:sz w:val="24"/>
          <w:highlight w:val="none"/>
          <w14:textFill>
            <w14:solidFill>
              <w14:schemeClr w14:val="tx1"/>
            </w14:solidFill>
          </w14:textFill>
        </w:rPr>
        <w:t>3.9 评标结果</w:t>
      </w:r>
      <w:bookmarkEnd w:id="54"/>
      <w:bookmarkEnd w:id="55"/>
      <w:bookmarkEnd w:id="56"/>
      <w:bookmarkEnd w:id="57"/>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3.9.1 除第二章</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投标人须知</w:t>
      </w:r>
      <w:r>
        <w:rPr>
          <w:rFonts w:hint="eastAsia"/>
          <w:color w:val="000000" w:themeColor="text1"/>
          <w:sz w:val="24"/>
          <w:highlight w:val="none"/>
          <w14:textFill>
            <w14:solidFill>
              <w14:schemeClr w14:val="tx1"/>
            </w14:solidFill>
          </w14:textFill>
        </w:rPr>
        <w:t>”</w:t>
      </w:r>
      <w:r>
        <w:rPr>
          <w:color w:val="000000" w:themeColor="text1"/>
          <w:sz w:val="24"/>
          <w:highlight w:val="none"/>
          <w14:textFill>
            <w14:solidFill>
              <w14:schemeClr w14:val="tx1"/>
            </w14:solidFill>
          </w14:textFill>
        </w:rPr>
        <w:t>前附表授权直接确定中标人外，评标委员会按照得分由高到低的顺序推荐中标候选人，并标明排序。</w:t>
      </w:r>
    </w:p>
    <w:p>
      <w:pPr>
        <w:widowControl/>
        <w:spacing w:line="312" w:lineRule="auto"/>
        <w:ind w:firstLine="480" w:firstLineChars="200"/>
        <w:jc w:val="left"/>
        <w:rPr>
          <w:color w:val="000000" w:themeColor="text1"/>
          <w:sz w:val="24"/>
          <w:highlight w:val="none"/>
          <w14:textFill>
            <w14:solidFill>
              <w14:schemeClr w14:val="tx1"/>
            </w14:solidFill>
          </w14:textFill>
        </w:rPr>
      </w:pPr>
      <w:r>
        <w:rPr>
          <w:color w:val="000000" w:themeColor="text1"/>
          <w:sz w:val="24"/>
          <w:highlight w:val="none"/>
          <w14:textFill>
            <w14:solidFill>
              <w14:schemeClr w14:val="tx1"/>
            </w14:solidFill>
          </w14:textFill>
        </w:rPr>
        <w:t>3.9.2 评标委员会完成评标后，应向招标人提交书面评标报告。</w:t>
      </w:r>
    </w:p>
    <w:p>
      <w:bookmarkStart w:id="58" w:name="_GoBack"/>
      <w:bookmarkEnd w:id="58"/>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83C6C08"/>
    <w:multiLevelType w:val="singleLevel"/>
    <w:tmpl w:val="283C6C08"/>
    <w:lvl w:ilvl="0" w:tentative="0">
      <w:start w:val="1"/>
      <w:numFmt w:val="decimal"/>
      <w:suff w:val="space"/>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51F17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99"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2"/>
    <w:basedOn w:val="1"/>
    <w:next w:val="1"/>
    <w:qFormat/>
    <w:uiPriority w:val="0"/>
    <w:pPr>
      <w:keepNext/>
      <w:keepLines/>
      <w:spacing w:before="260" w:after="260" w:line="416" w:lineRule="auto"/>
      <w:outlineLvl w:val="1"/>
    </w:pPr>
    <w:rPr>
      <w:rFonts w:ascii="Arial" w:hAnsi="Arial" w:eastAsia="黑体"/>
      <w:b/>
      <w:bCs/>
      <w:kern w:val="0"/>
      <w:sz w:val="32"/>
      <w:szCs w:val="32"/>
    </w:rPr>
  </w:style>
  <w:style w:type="character" w:default="1" w:styleId="7">
    <w:name w:val="Default Paragraph Font"/>
    <w:semiHidden/>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First Indent 2"/>
    <w:basedOn w:val="3"/>
    <w:next w:val="1"/>
    <w:qFormat/>
    <w:uiPriority w:val="0"/>
    <w:pPr>
      <w:ind w:firstLine="420" w:firstLineChars="200"/>
    </w:pPr>
  </w:style>
  <w:style w:type="paragraph" w:styleId="3">
    <w:name w:val="Body Text Indent"/>
    <w:basedOn w:val="1"/>
    <w:qFormat/>
    <w:uiPriority w:val="0"/>
    <w:pPr>
      <w:spacing w:after="120"/>
      <w:ind w:left="420" w:leftChars="200"/>
    </w:pPr>
  </w:style>
  <w:style w:type="paragraph" w:styleId="5">
    <w:name w:val="Body Text"/>
    <w:basedOn w:val="1"/>
    <w:qFormat/>
    <w:uiPriority w:val="99"/>
    <w:pPr>
      <w:spacing w:after="120"/>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2021-06-04T10:04:12Z</dcterms:created>
  <dc:creator>Administrator</dc:creator>
  <cp:lastModifiedBy>NTKO</cp:lastModifiedBy>
  <dcterms:modified xsi:type="dcterms:W3CDTF">2021-06-04T10:04:33Z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92A42BD8298C448DA4BB0E3506EF2914</vt:lpwstr>
  </property>
</Properties>
</file>