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谯城区标识标牌生产制造项目塔吊起重机专业分包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谯城区标识标牌生产制造项目塔吊起重机专业分包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246996166"/>
      <w:bookmarkStart w:id="3" w:name="_Toc247085680"/>
      <w:bookmarkStart w:id="4" w:name="_Toc152042295"/>
      <w:bookmarkStart w:id="5" w:name="_Toc296602410"/>
      <w:bookmarkStart w:id="6" w:name="_Toc144974487"/>
      <w:bookmarkStart w:id="7" w:name="_Toc15204551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910"/>
      <w:bookmarkStart w:id="9" w:name="_Toc152045520"/>
      <w:bookmarkStart w:id="10" w:name="_Toc246996167"/>
      <w:bookmarkStart w:id="11" w:name="_Toc179632537"/>
      <w:bookmarkStart w:id="12" w:name="_Toc152042296"/>
      <w:bookmarkStart w:id="13" w:name="_Toc144974488"/>
      <w:bookmarkStart w:id="14" w:name="_Toc296602411"/>
      <w:bookmarkStart w:id="15" w:name="_Toc24708568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谯城区标识标牌生产制造项目塔吊起重机专业分包</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BZJK-2021-32号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谯城区标识标牌生产制造项目塔吊起重机专业分包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（一）建设地点：项目位于亳州市大杨镇309收费站北侧、S309省道东侧。</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谯城区标识标牌生产制造项目塔式起重机专业分包。总承包合同及施工图纸范围内所表明的吊运工程（钢筋、模板、钢管、扣件等材料的吊运），所租用塔机租赁费、进出场安装费包括安装、拆除、塔司、检测、报验、安全和维修保养，及工程量清单、设计变更、业主要求增加、工程联系单等要求的工作内容</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（三）计划工期：自签订合同之日起120个日历天。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人民币（大写）：壹拾贰万元整，（小写）：120000元。报价包含塔吊租赁费用：2.5万元/月/台（含塔司费用，不含税）；进出场、维修保养及安装、拆卸费用：2.0万元/台（不含税）。报价人报价超出限价的按无效报价处理；投标报价应包括为完成各阶段工作内容以及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（六）设备要求：选用设备型号规格为：QTZ 型 80t·m，总图图号为：XGT6010-6S1的全新机型，现场</w:t>
      </w:r>
      <w:bookmarkStart w:id="158" w:name="_GoBack"/>
      <w:bookmarkEnd w:id="158"/>
      <w:r>
        <w:rPr>
          <w:rFonts w:hint="eastAsia" w:ascii="Times New Roman" w:hAnsi="Times New Roman" w:eastAsia="仿宋_GB2312" w:cs="Times New Roman"/>
          <w:sz w:val="28"/>
          <w:szCs w:val="28"/>
          <w:highlight w:val="none"/>
          <w:lang w:val="en-US" w:eastAsia="zh-CN"/>
        </w:rPr>
        <w:t>塔吊基础已完善，投标前需确认机型与现场预埋件配套，否则产生的费用由投标方承担。所有租赁设备的产权为乙方所拥有，要求设备性能良好，安全装置齐全有效，能保证施工需要。</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（二）投标人须具有起重设备安装工程专业承包叁级及以上资质。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（三）投标人须提供2019年-2020年任意1年的企业财务状况。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（四）参加本次采购活动前三年内，在经营活动中没有重大违法违规记录。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（五）业绩要求：投标人须提供2018年1月至今至少1项合同金额不低于12万元的起重设备安装工程业绩。以合同签订时间为准，投标人须提供业绩合同复印件，加盖单位公章并装订入投标文件中。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（七）投标人如在以往承接招标人项目过程中被记入“黑名单”，不得参加本次招标投标活动。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6 月10日9时00分。投标文件递交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贰仟肆佰元整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2400元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032号保证金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提供2019年-2020年任意1年经审计的财务报告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谯城区标识标牌生产制造项目塔吊起重机专业分包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BZJK-2021-32号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入库</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144974556"/>
      <w:bookmarkStart w:id="17" w:name="_Toc247085747"/>
      <w:bookmarkStart w:id="18" w:name="_Toc152042366"/>
      <w:bookmarkStart w:id="19" w:name="_Toc246996232"/>
      <w:bookmarkStart w:id="20" w:name="_Toc152045589"/>
      <w:bookmarkStart w:id="21" w:name="_Toc296602477"/>
      <w:bookmarkStart w:id="22" w:name="_Toc246996975"/>
      <w:bookmarkStart w:id="23" w:name="_Toc179632607"/>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296602478"/>
      <w:bookmarkStart w:id="26" w:name="_Toc152042367"/>
      <w:bookmarkStart w:id="27" w:name="_Toc144974557"/>
      <w:bookmarkStart w:id="28" w:name="_Toc246996976"/>
      <w:bookmarkStart w:id="29" w:name="_Toc152045590"/>
      <w:bookmarkStart w:id="30" w:name="_Toc179632608"/>
      <w:bookmarkStart w:id="31" w:name="_Toc24708574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246996234"/>
      <w:bookmarkStart w:id="34" w:name="_Toc152042368"/>
      <w:bookmarkStart w:id="35" w:name="_Toc296602479"/>
      <w:bookmarkStart w:id="36" w:name="_Toc179632609"/>
      <w:bookmarkStart w:id="37" w:name="_Toc152045591"/>
      <w:bookmarkStart w:id="38" w:name="_Toc144974558"/>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152045593"/>
      <w:bookmarkStart w:id="41" w:name="_Toc246996979"/>
      <w:bookmarkStart w:id="42" w:name="_Toc152042370"/>
      <w:bookmarkStart w:id="43" w:name="_Toc246996236"/>
      <w:bookmarkStart w:id="44" w:name="_Toc144974560"/>
      <w:bookmarkStart w:id="45" w:name="_Toc296602481"/>
      <w:bookmarkStart w:id="46" w:name="_Toc179632611"/>
      <w:bookmarkStart w:id="47" w:name="_Toc24708575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52042371"/>
      <w:bookmarkStart w:id="50" w:name="_Toc246996237"/>
      <w:bookmarkStart w:id="51" w:name="_Toc152045594"/>
      <w:bookmarkStart w:id="52" w:name="_Toc296602482"/>
      <w:bookmarkStart w:id="53" w:name="_Toc179632612"/>
      <w:bookmarkStart w:id="54" w:name="_Toc144974561"/>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296602484"/>
      <w:bookmarkStart w:id="58" w:name="_Toc152042373"/>
      <w:bookmarkStart w:id="59" w:name="_Toc246996982"/>
      <w:bookmarkStart w:id="60" w:name="_Toc152045596"/>
      <w:bookmarkStart w:id="61" w:name="_Toc246996239"/>
      <w:bookmarkStart w:id="62" w:name="_Toc247085754"/>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152042374"/>
      <w:bookmarkStart w:id="66" w:name="_Toc144974564"/>
      <w:bookmarkStart w:id="67" w:name="_Toc152045597"/>
      <w:bookmarkStart w:id="68" w:name="_Toc296602485"/>
      <w:bookmarkStart w:id="69" w:name="_Toc246996240"/>
      <w:bookmarkStart w:id="70" w:name="_Toc246996983"/>
      <w:bookmarkStart w:id="71" w:name="_Toc24708575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按月支付月度进度款的70%，退场后三个月内剩余结算款一次性支付完成。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投标单位应详细了解施工现场情况，现场塔吊基础已完善，投标前需确认机型与现场预埋件配套，否则产生的费用由投标方承担。投标人塔吊应符合国家及地方相关监管部门要求并验收通过。发布中标通知书前，根据需要对拟中标人进行资格、履约能力进行考察，重点考察有关投标文件中的承诺能否落实。经考察合格者发中标通知书。签订固定总价合同（合同工期暂定四个月，具体以实际租赁时间结算。租赁期限自塔吊调试结束后开始计算）。塔司持特种工证上岗。维保单位具有相应的资质。</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247514246"/>
      <w:bookmarkStart w:id="73" w:name="_Toc152045787"/>
      <w:bookmarkStart w:id="74" w:name="_Toc152042576"/>
      <w:bookmarkStart w:id="75" w:name="_Toc144974856"/>
      <w:bookmarkStart w:id="76" w:name="_Toc300835209"/>
      <w:bookmarkStart w:id="77" w:name="_Toc247527827"/>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300835210"/>
      <w:bookmarkStart w:id="79" w:name="_Toc152042577"/>
      <w:bookmarkStart w:id="80" w:name="_Toc247527828"/>
      <w:bookmarkStart w:id="81" w:name="_Toc152045788"/>
      <w:bookmarkStart w:id="82" w:name="_Toc247514247"/>
      <w:bookmarkStart w:id="83" w:name="_Toc144974857"/>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招标文件的全部内容，愿意以人民币（不含税）大写：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（1）投标函及投标函附录；（2）法定代表人身份证明或授权委托书；（3）投标保证金；（4）资格审查资料；（5）承诺书；（6）服务方案；（7）其他资料；.....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300835213"/>
      <w:bookmarkStart w:id="85" w:name="_Toc152045791"/>
      <w:bookmarkStart w:id="86" w:name="_Toc144974860"/>
      <w:bookmarkStart w:id="87" w:name="_Toc247527831"/>
      <w:bookmarkStart w:id="88" w:name="_Toc247514283"/>
      <w:bookmarkStart w:id="89" w:name="_Toc152042580"/>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highlight w:val="none"/>
        </w:rPr>
      </w:pPr>
      <w:bookmarkStart w:id="90" w:name="_Toc246996358"/>
      <w:bookmarkStart w:id="91" w:name="_Toc247085876"/>
      <w:bookmarkStart w:id="92" w:name="_Toc246997101"/>
      <w:bookmarkStart w:id="93" w:name="_Toc152045790"/>
      <w:bookmarkStart w:id="94" w:name="_Toc296602604"/>
      <w:bookmarkStart w:id="95" w:name="_Toc179632810"/>
      <w:bookmarkStart w:id="96" w:name="_Toc144974859"/>
      <w:bookmarkStart w:id="97" w:name="_Toc152042579"/>
      <w:r>
        <w:rPr>
          <w:rFonts w:hint="default" w:ascii="Times New Roman" w:hAnsi="Times New Roman" w:cs="Times New Roman"/>
          <w:highlight w:val="none"/>
        </w:rPr>
        <w:t>（二）投标函附录</w:t>
      </w:r>
      <w:bookmarkEnd w:id="90"/>
      <w:bookmarkEnd w:id="91"/>
      <w:bookmarkEnd w:id="92"/>
      <w:bookmarkEnd w:id="93"/>
      <w:bookmarkEnd w:id="94"/>
      <w:bookmarkEnd w:id="95"/>
      <w:bookmarkEnd w:id="96"/>
      <w:bookmarkEnd w:id="97"/>
    </w:p>
    <w:tbl>
      <w:tblPr>
        <w:tblStyle w:val="17"/>
        <w:tblW w:w="889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1075"/>
        <w:gridCol w:w="1025"/>
        <w:gridCol w:w="1238"/>
        <w:gridCol w:w="1712"/>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工作名称</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单位</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数量</w:t>
            </w:r>
          </w:p>
        </w:tc>
        <w:tc>
          <w:tcPr>
            <w:tcW w:w="1238"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单价</w:t>
            </w: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总价（元）</w:t>
            </w: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塔吊租赁费用</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月</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4</w:t>
            </w:r>
          </w:p>
        </w:tc>
        <w:tc>
          <w:tcPr>
            <w:tcW w:w="12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进出场、维修保养及安装、拆卸费用</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项</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1</w:t>
            </w:r>
          </w:p>
        </w:tc>
        <w:tc>
          <w:tcPr>
            <w:tcW w:w="12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295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总价合计</w:t>
            </w:r>
          </w:p>
        </w:tc>
        <w:tc>
          <w:tcPr>
            <w:tcW w:w="5050" w:type="dxa"/>
            <w:gridSpan w:val="4"/>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bl>
    <w:p>
      <w:pPr>
        <w:spacing w:line="440" w:lineRule="exact"/>
        <w:ind w:firstLine="420" w:firstLineChars="200"/>
        <w:rPr>
          <w:rFonts w:hint="eastAsia" w:asciiTheme="minorEastAsia" w:hAnsiTheme="minorEastAsia" w:eastAsiaTheme="minorEastAsia" w:cstheme="minorEastAsia"/>
          <w:sz w:val="20"/>
          <w:szCs w:val="20"/>
          <w:highlight w:val="none"/>
          <w:lang w:val="en-US" w:eastAsia="zh-CN"/>
        </w:rPr>
      </w:pPr>
      <w:r>
        <w:rPr>
          <w:rFonts w:hint="default" w:ascii="Times New Roman" w:hAnsi="Times New Roman" w:cs="Times New Roman"/>
          <w:szCs w:val="21"/>
          <w:highlight w:val="none"/>
          <w:lang w:val="en-US" w:eastAsia="zh-CN"/>
        </w:rPr>
        <w:t>注：</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3"/>
        <w:jc w:val="center"/>
        <w:rPr>
          <w:rFonts w:hint="default" w:ascii="Times New Roman" w:hAnsi="Times New Roman" w:cs="Times New Roman"/>
        </w:rPr>
      </w:pPr>
    </w:p>
    <w:p>
      <w:pPr>
        <w:rPr>
          <w:rFonts w:hint="default" w:ascii="Times New Roman" w:hAnsi="Times New Roman" w:cs="Times New Roman"/>
        </w:rPr>
      </w:pPr>
    </w:p>
    <w:p>
      <w:pPr>
        <w:keepNext/>
        <w:keepLines/>
        <w:pageBreakBefore w:val="0"/>
        <w:widowControl/>
        <w:kinsoku/>
        <w:wordWrap/>
        <w:overflowPunct/>
        <w:topLinePunct w:val="0"/>
        <w:autoSpaceDE/>
        <w:autoSpaceDN/>
        <w:bidi w:val="0"/>
        <w:adjustRightInd/>
        <w:snapToGrid/>
        <w:textAlignment w:val="auto"/>
        <w:rPr>
          <w:rFonts w:hint="default" w:ascii="Times New Roman" w:hAnsi="Times New Roman" w:cs="Times New Roman"/>
        </w:rPr>
      </w:pPr>
    </w:p>
    <w:p>
      <w:pPr>
        <w:pStyle w:val="3"/>
        <w:jc w:val="center"/>
        <w:rPr>
          <w:rFonts w:hint="default" w:ascii="Times New Roman" w:hAnsi="Times New Roman" w:cs="Times New Roman"/>
        </w:rPr>
      </w:pPr>
    </w:p>
    <w:p>
      <w:pPr>
        <w:rPr>
          <w:rFonts w:hint="default"/>
        </w:rPr>
      </w:pPr>
    </w:p>
    <w:p>
      <w:pPr>
        <w:pStyle w:val="3"/>
        <w:jc w:val="cente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300835214"/>
      <w:bookmarkStart w:id="99" w:name="_Toc152042581"/>
      <w:bookmarkStart w:id="100" w:name="_Toc144974861"/>
      <w:bookmarkStart w:id="101" w:name="_Toc247527832"/>
      <w:bookmarkStart w:id="102" w:name="_Toc247514284"/>
      <w:bookmarkStart w:id="103" w:name="_Toc152045792"/>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52042583"/>
      <w:bookmarkStart w:id="105" w:name="_Toc247514286"/>
      <w:bookmarkStart w:id="106" w:name="_Toc247527834"/>
      <w:bookmarkStart w:id="107" w:name="_Toc300835216"/>
      <w:bookmarkStart w:id="108" w:name="_Toc152045794"/>
      <w:bookmarkStart w:id="109"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eastAsia="黑体" w:cs="Times New Roman"/>
          <w:szCs w:val="21"/>
        </w:rPr>
      </w:pPr>
      <w:bookmarkStart w:id="111" w:name="_Toc300835223"/>
      <w:r>
        <w:rPr>
          <w:sz w:val="20"/>
        </w:rPr>
        <w:br w:type="page"/>
      </w:r>
    </w:p>
    <w:p>
      <w:pPr>
        <w:rPr>
          <w:rFonts w:hint="default" w:ascii="Times New Roman" w:hAnsi="Times New Roman" w:cs="Times New Roman"/>
          <w:szCs w:val="21"/>
        </w:rPr>
      </w:pPr>
    </w:p>
    <w:bookmarkEnd w:id="111"/>
    <w:p>
      <w:pPr>
        <w:pStyle w:val="3"/>
        <w:jc w:val="center"/>
        <w:rPr>
          <w:rFonts w:hint="eastAsia"/>
          <w:highlight w:val="none"/>
        </w:rPr>
      </w:pPr>
      <w:bookmarkStart w:id="112" w:name="_Toc300835224"/>
      <w:bookmarkStart w:id="113" w:name="_Toc144974876"/>
      <w:bookmarkStart w:id="114" w:name="_Toc152042597"/>
      <w:bookmarkStart w:id="115" w:name="_Toc179632823"/>
      <w:bookmarkStart w:id="116" w:name="_Toc144974871"/>
      <w:bookmarkStart w:id="117" w:name="_Toc152042592"/>
      <w:bookmarkStart w:id="118" w:name="_Toc296602614"/>
      <w:bookmarkStart w:id="119" w:name="_Toc246997112"/>
      <w:bookmarkStart w:id="120" w:name="_Toc247527848"/>
      <w:bookmarkStart w:id="121" w:name="_Toc152045808"/>
      <w:bookmarkStart w:id="122" w:name="_Toc247514300"/>
      <w:bookmarkStart w:id="123" w:name="_Toc246996369"/>
      <w:bookmarkStart w:id="124" w:name="_Toc152045803"/>
      <w:bookmarkStart w:id="125" w:name="_Toc247085887"/>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16" w:lineRule="auto"/>
        <w:ind w:left="136" w:leftChars="0"/>
        <w:textAlignment w:val="auto"/>
        <w:rPr>
          <w:rFonts w:hint="eastAsia" w:ascii="Times New Roman" w:hAnsi="Times New Roman"/>
          <w:highlight w:val="none"/>
        </w:rPr>
      </w:pPr>
    </w:p>
    <w:p>
      <w:pPr>
        <w:pStyle w:val="4"/>
        <w:numPr>
          <w:ilvl w:val="0"/>
          <w:numId w:val="0"/>
        </w:num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Pr>
        <w:pStyle w:val="4"/>
        <w:ind w:firstLine="137"/>
        <w:rPr>
          <w:rFonts w:ascii="Times New Roman" w:hAnsi="Times New Roman"/>
          <w:highlight w:val="none"/>
        </w:rPr>
      </w:pPr>
      <w:bookmarkStart w:id="126" w:name="_Toc384308388"/>
      <w:bookmarkStart w:id="127" w:name="_Toc370676438"/>
      <w:bookmarkStart w:id="128" w:name="_Toc361508766"/>
      <w:bookmarkStart w:id="129" w:name="_Toc492300538"/>
      <w:bookmarkStart w:id="130" w:name="_Toc359594247"/>
      <w:bookmarkStart w:id="131" w:name="_Toc300835226"/>
      <w:bookmarkStart w:id="132" w:name="_Toc152045810"/>
      <w:bookmarkStart w:id="133" w:name="_Toc152042599"/>
      <w:bookmarkStart w:id="134" w:name="_Toc247514302"/>
      <w:bookmarkStart w:id="135" w:name="_Toc144974878"/>
      <w:bookmarkStart w:id="136" w:name="_Toc247527850"/>
      <w:bookmarkStart w:id="137" w:name="_Toc247514303"/>
      <w:bookmarkStart w:id="138" w:name="_Toc152042600"/>
      <w:bookmarkStart w:id="139" w:name="_Toc152045811"/>
      <w:bookmarkStart w:id="140" w:name="_Toc247527851"/>
      <w:bookmarkStart w:id="141" w:name="_Toc144974879"/>
      <w:bookmarkStart w:id="142" w:name="_Toc482188667"/>
      <w:bookmarkStart w:id="143" w:name="_Toc492300540"/>
      <w:r>
        <w:rPr>
          <w:rFonts w:hint="eastAsia" w:ascii="Times New Roman" w:hAnsi="Times New Roman"/>
          <w:highlight w:val="none"/>
        </w:rPr>
        <w:t>（五）正在履行和新承接的项目情况表</w:t>
      </w:r>
      <w:bookmarkEnd w:id="126"/>
      <w:bookmarkEnd w:id="127"/>
      <w:bookmarkEnd w:id="128"/>
      <w:bookmarkEnd w:id="129"/>
      <w:bookmarkEnd w:id="130"/>
      <w:bookmarkEnd w:id="131"/>
      <w:bookmarkEnd w:id="132"/>
      <w:bookmarkEnd w:id="133"/>
      <w:bookmarkEnd w:id="134"/>
      <w:bookmarkEnd w:id="135"/>
      <w:bookmarkEnd w:id="136"/>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37"/>
      <w:bookmarkEnd w:id="138"/>
      <w:bookmarkEnd w:id="139"/>
      <w:bookmarkEnd w:id="140"/>
      <w:bookmarkEnd w:id="141"/>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（六）拟委任的主要人员汇总表</w:t>
      </w:r>
      <w:bookmarkEnd w:id="142"/>
      <w:bookmarkEnd w:id="143"/>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44" w:name="_Toc144974873"/>
      <w:bookmarkStart w:id="145" w:name="_Toc152045805"/>
      <w:bookmarkStart w:id="146" w:name="_Toc179632825"/>
      <w:bookmarkStart w:id="147" w:name="_Toc152042594"/>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8" w:name="_Toc359594249"/>
      <w:bookmarkStart w:id="149" w:name="_Toc385943079"/>
      <w:bookmarkStart w:id="150" w:name="_Toc384308390"/>
      <w:bookmarkStart w:id="151" w:name="_Toc482188668"/>
      <w:bookmarkStart w:id="152" w:name="_Toc492300541"/>
      <w:bookmarkStart w:id="153" w:name="_Toc370676440"/>
      <w:bookmarkStart w:id="154" w:name="_Toc391394125"/>
      <w:bookmarkStart w:id="155" w:name="_Toc300835232"/>
      <w:r>
        <w:rPr>
          <w:rFonts w:hint="eastAsia" w:ascii="Times New Roman" w:hAnsi="Times New Roman"/>
          <w:highlight w:val="none"/>
        </w:rPr>
        <w:t>（七）主要人员简历表</w:t>
      </w:r>
      <w:bookmarkEnd w:id="144"/>
      <w:bookmarkEnd w:id="145"/>
      <w:bookmarkEnd w:id="146"/>
      <w:bookmarkEnd w:id="147"/>
      <w:bookmarkEnd w:id="148"/>
      <w:bookmarkEnd w:id="149"/>
      <w:bookmarkEnd w:id="150"/>
      <w:bookmarkEnd w:id="151"/>
      <w:bookmarkEnd w:id="152"/>
      <w:bookmarkEnd w:id="153"/>
      <w:bookmarkEnd w:id="154"/>
      <w:bookmarkEnd w:id="155"/>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六、服务方案</w:t>
      </w:r>
    </w:p>
    <w:p>
      <w:pPr>
        <w:pStyle w:val="3"/>
        <w:jc w:val="center"/>
        <w:rPr>
          <w:rFonts w:hint="eastAsia" w:ascii="Times New Roman" w:hAnsi="Times New Roman" w:cs="Times New Roman"/>
          <w:lang w:val="en-US" w:eastAsia="zh-CN"/>
        </w:rPr>
      </w:pPr>
      <w:bookmarkStart w:id="156" w:name="_Toc300835233"/>
      <w:bookmarkStart w:id="157" w:name="_Toc271821942"/>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56"/>
      <w:bookmarkEnd w:id="157"/>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442B"/>
    <w:rsid w:val="00733B0B"/>
    <w:rsid w:val="00764376"/>
    <w:rsid w:val="00796B76"/>
    <w:rsid w:val="00850CC0"/>
    <w:rsid w:val="00B00F2F"/>
    <w:rsid w:val="00C81162"/>
    <w:rsid w:val="00EA2010"/>
    <w:rsid w:val="00FF308E"/>
    <w:rsid w:val="011E6004"/>
    <w:rsid w:val="0145105E"/>
    <w:rsid w:val="015366DE"/>
    <w:rsid w:val="017D6531"/>
    <w:rsid w:val="019846E3"/>
    <w:rsid w:val="01A72110"/>
    <w:rsid w:val="01CB0CDF"/>
    <w:rsid w:val="01CD2334"/>
    <w:rsid w:val="01E140D3"/>
    <w:rsid w:val="01F16263"/>
    <w:rsid w:val="02016132"/>
    <w:rsid w:val="021323E7"/>
    <w:rsid w:val="021D348F"/>
    <w:rsid w:val="02671826"/>
    <w:rsid w:val="02685DEE"/>
    <w:rsid w:val="026E5FAB"/>
    <w:rsid w:val="02983D41"/>
    <w:rsid w:val="02A31129"/>
    <w:rsid w:val="02A46690"/>
    <w:rsid w:val="02AC508C"/>
    <w:rsid w:val="02BE075F"/>
    <w:rsid w:val="02D34827"/>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B065B"/>
    <w:rsid w:val="04CD15E8"/>
    <w:rsid w:val="04CF4810"/>
    <w:rsid w:val="04D36D79"/>
    <w:rsid w:val="04D63FDF"/>
    <w:rsid w:val="04EB08D2"/>
    <w:rsid w:val="04EC7DA2"/>
    <w:rsid w:val="050252F6"/>
    <w:rsid w:val="055625ED"/>
    <w:rsid w:val="05597C6C"/>
    <w:rsid w:val="0572490A"/>
    <w:rsid w:val="057E3D65"/>
    <w:rsid w:val="058253F2"/>
    <w:rsid w:val="05872EB9"/>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6025B4"/>
    <w:rsid w:val="0A704DEE"/>
    <w:rsid w:val="0A815ECE"/>
    <w:rsid w:val="0A8B5261"/>
    <w:rsid w:val="0A8E5075"/>
    <w:rsid w:val="0A8F11AF"/>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773477"/>
    <w:rsid w:val="0C905D65"/>
    <w:rsid w:val="0C9F113B"/>
    <w:rsid w:val="0CB445DA"/>
    <w:rsid w:val="0CD24CDF"/>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04681"/>
    <w:rsid w:val="0DB8057F"/>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55D96"/>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8A737A"/>
    <w:rsid w:val="139C08EB"/>
    <w:rsid w:val="13A41DAE"/>
    <w:rsid w:val="13C25262"/>
    <w:rsid w:val="13D35238"/>
    <w:rsid w:val="13D81B1F"/>
    <w:rsid w:val="13ED6E9B"/>
    <w:rsid w:val="14061B66"/>
    <w:rsid w:val="141647CA"/>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AC6A86"/>
    <w:rsid w:val="15B14179"/>
    <w:rsid w:val="15BB515A"/>
    <w:rsid w:val="15C516BD"/>
    <w:rsid w:val="15FF55AE"/>
    <w:rsid w:val="161B2B1F"/>
    <w:rsid w:val="166266B1"/>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1D49FC"/>
    <w:rsid w:val="192D7F6B"/>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4D1525"/>
    <w:rsid w:val="1B652C95"/>
    <w:rsid w:val="1B70155F"/>
    <w:rsid w:val="1B723039"/>
    <w:rsid w:val="1B765C75"/>
    <w:rsid w:val="1B7700FA"/>
    <w:rsid w:val="1B894EBC"/>
    <w:rsid w:val="1B8C1172"/>
    <w:rsid w:val="1B9269B7"/>
    <w:rsid w:val="1BB12BB2"/>
    <w:rsid w:val="1BCE49E9"/>
    <w:rsid w:val="1BD12722"/>
    <w:rsid w:val="1BD15865"/>
    <w:rsid w:val="1BE90199"/>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F251D3"/>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F5F96"/>
    <w:rsid w:val="235F4D23"/>
    <w:rsid w:val="23657029"/>
    <w:rsid w:val="236D4028"/>
    <w:rsid w:val="23745640"/>
    <w:rsid w:val="237A75E1"/>
    <w:rsid w:val="238A4DFC"/>
    <w:rsid w:val="23991905"/>
    <w:rsid w:val="23C053DE"/>
    <w:rsid w:val="23DF7B34"/>
    <w:rsid w:val="240C05DA"/>
    <w:rsid w:val="24226CC5"/>
    <w:rsid w:val="24312A4A"/>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5E1827"/>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51726"/>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F34DAF"/>
    <w:rsid w:val="2AF47ACC"/>
    <w:rsid w:val="2B0B000F"/>
    <w:rsid w:val="2B0F2542"/>
    <w:rsid w:val="2B252D72"/>
    <w:rsid w:val="2B3E0375"/>
    <w:rsid w:val="2B492499"/>
    <w:rsid w:val="2B652A8D"/>
    <w:rsid w:val="2B6A2F63"/>
    <w:rsid w:val="2B6C55DB"/>
    <w:rsid w:val="2B6F7B9E"/>
    <w:rsid w:val="2B8D5640"/>
    <w:rsid w:val="2B9D66CE"/>
    <w:rsid w:val="2BF4029C"/>
    <w:rsid w:val="2C1C6937"/>
    <w:rsid w:val="2C202757"/>
    <w:rsid w:val="2C270D43"/>
    <w:rsid w:val="2C4F70EB"/>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FA0191"/>
    <w:rsid w:val="2EFC22DC"/>
    <w:rsid w:val="2F436846"/>
    <w:rsid w:val="2F4556CE"/>
    <w:rsid w:val="2F551B53"/>
    <w:rsid w:val="2F6E0AF5"/>
    <w:rsid w:val="2F6F3C93"/>
    <w:rsid w:val="2F754A27"/>
    <w:rsid w:val="2F7A423F"/>
    <w:rsid w:val="2F996B3F"/>
    <w:rsid w:val="2FB1448A"/>
    <w:rsid w:val="2FC802AE"/>
    <w:rsid w:val="2FCE27B3"/>
    <w:rsid w:val="2FD11635"/>
    <w:rsid w:val="30027B6C"/>
    <w:rsid w:val="301C41BF"/>
    <w:rsid w:val="303048F7"/>
    <w:rsid w:val="303474C0"/>
    <w:rsid w:val="303C233C"/>
    <w:rsid w:val="305C41A9"/>
    <w:rsid w:val="30820205"/>
    <w:rsid w:val="30874DF5"/>
    <w:rsid w:val="308E41B5"/>
    <w:rsid w:val="30952C59"/>
    <w:rsid w:val="30ED6705"/>
    <w:rsid w:val="30EE0209"/>
    <w:rsid w:val="30F35FAB"/>
    <w:rsid w:val="30FF4D69"/>
    <w:rsid w:val="3113559B"/>
    <w:rsid w:val="311978DB"/>
    <w:rsid w:val="312421F6"/>
    <w:rsid w:val="3127420C"/>
    <w:rsid w:val="31277147"/>
    <w:rsid w:val="31477BEB"/>
    <w:rsid w:val="315523B1"/>
    <w:rsid w:val="315F79F9"/>
    <w:rsid w:val="31612206"/>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04F20"/>
    <w:rsid w:val="32974C7A"/>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92722"/>
    <w:rsid w:val="357A36D1"/>
    <w:rsid w:val="357D63E5"/>
    <w:rsid w:val="357F00D0"/>
    <w:rsid w:val="35894506"/>
    <w:rsid w:val="35A377DB"/>
    <w:rsid w:val="35A52977"/>
    <w:rsid w:val="35CA3B9C"/>
    <w:rsid w:val="35E7387F"/>
    <w:rsid w:val="35E81F7A"/>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15289E"/>
    <w:rsid w:val="37306225"/>
    <w:rsid w:val="374E35E0"/>
    <w:rsid w:val="37560CC6"/>
    <w:rsid w:val="378D0CEB"/>
    <w:rsid w:val="379A026D"/>
    <w:rsid w:val="37A2207E"/>
    <w:rsid w:val="37A2434F"/>
    <w:rsid w:val="37B83A48"/>
    <w:rsid w:val="37E22DB7"/>
    <w:rsid w:val="37ED32C0"/>
    <w:rsid w:val="37ED6D6E"/>
    <w:rsid w:val="37F25985"/>
    <w:rsid w:val="38041E33"/>
    <w:rsid w:val="380C3B20"/>
    <w:rsid w:val="381054E1"/>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857D35"/>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D73573"/>
    <w:rsid w:val="3DF7051E"/>
    <w:rsid w:val="3DFC4E1B"/>
    <w:rsid w:val="3E100FFC"/>
    <w:rsid w:val="3E201534"/>
    <w:rsid w:val="3E216B4D"/>
    <w:rsid w:val="3E3026F8"/>
    <w:rsid w:val="3E4E3A85"/>
    <w:rsid w:val="3E626750"/>
    <w:rsid w:val="3E651EE9"/>
    <w:rsid w:val="3E784A78"/>
    <w:rsid w:val="3E8554F5"/>
    <w:rsid w:val="3E8770E8"/>
    <w:rsid w:val="3EB65E71"/>
    <w:rsid w:val="3EC33032"/>
    <w:rsid w:val="3EC61DB3"/>
    <w:rsid w:val="3EF612F1"/>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457BB"/>
    <w:rsid w:val="44FD1C6D"/>
    <w:rsid w:val="453E4B66"/>
    <w:rsid w:val="453F207E"/>
    <w:rsid w:val="454276A8"/>
    <w:rsid w:val="45465AD9"/>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DDC763D"/>
    <w:rsid w:val="4DE97AA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B12989"/>
    <w:rsid w:val="57C83C57"/>
    <w:rsid w:val="57CF7F96"/>
    <w:rsid w:val="57D11041"/>
    <w:rsid w:val="57EC2A0C"/>
    <w:rsid w:val="57FB2FB4"/>
    <w:rsid w:val="582014EC"/>
    <w:rsid w:val="582028C2"/>
    <w:rsid w:val="582908A2"/>
    <w:rsid w:val="583D07DD"/>
    <w:rsid w:val="585F1862"/>
    <w:rsid w:val="58620D26"/>
    <w:rsid w:val="58706FB1"/>
    <w:rsid w:val="58752A0C"/>
    <w:rsid w:val="587C5983"/>
    <w:rsid w:val="58AE77D0"/>
    <w:rsid w:val="58E8415E"/>
    <w:rsid w:val="58FF1A45"/>
    <w:rsid w:val="591C580B"/>
    <w:rsid w:val="5926497A"/>
    <w:rsid w:val="592974F2"/>
    <w:rsid w:val="595035A8"/>
    <w:rsid w:val="595D3E12"/>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F83794"/>
    <w:rsid w:val="5F0173CC"/>
    <w:rsid w:val="5F0A2EA9"/>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6857C6"/>
    <w:rsid w:val="62923991"/>
    <w:rsid w:val="62D365E3"/>
    <w:rsid w:val="62E954FE"/>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36D0"/>
    <w:rsid w:val="63F66CE6"/>
    <w:rsid w:val="640E7E19"/>
    <w:rsid w:val="647527CB"/>
    <w:rsid w:val="648A0F84"/>
    <w:rsid w:val="648E4974"/>
    <w:rsid w:val="648F4377"/>
    <w:rsid w:val="649E65A7"/>
    <w:rsid w:val="64B70C4D"/>
    <w:rsid w:val="64CF58F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5FE44F4"/>
    <w:rsid w:val="6602655A"/>
    <w:rsid w:val="66037BA1"/>
    <w:rsid w:val="660D45C7"/>
    <w:rsid w:val="66280ABB"/>
    <w:rsid w:val="66425D39"/>
    <w:rsid w:val="666717B3"/>
    <w:rsid w:val="6668032B"/>
    <w:rsid w:val="667C4290"/>
    <w:rsid w:val="669956C7"/>
    <w:rsid w:val="669C13AC"/>
    <w:rsid w:val="66C95898"/>
    <w:rsid w:val="66CC3675"/>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592B"/>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7D1DE7"/>
    <w:rsid w:val="6E96703D"/>
    <w:rsid w:val="6E984122"/>
    <w:rsid w:val="6EAE5373"/>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262445"/>
    <w:rsid w:val="70575662"/>
    <w:rsid w:val="70796EB7"/>
    <w:rsid w:val="70891E2B"/>
    <w:rsid w:val="709304FC"/>
    <w:rsid w:val="70B21D55"/>
    <w:rsid w:val="70B36AB9"/>
    <w:rsid w:val="70BA4068"/>
    <w:rsid w:val="70F06D61"/>
    <w:rsid w:val="70F36F46"/>
    <w:rsid w:val="70FC142B"/>
    <w:rsid w:val="71231B23"/>
    <w:rsid w:val="713B214A"/>
    <w:rsid w:val="7144108E"/>
    <w:rsid w:val="714633CE"/>
    <w:rsid w:val="714F18B3"/>
    <w:rsid w:val="71541186"/>
    <w:rsid w:val="718621EE"/>
    <w:rsid w:val="71894FD2"/>
    <w:rsid w:val="71A3311F"/>
    <w:rsid w:val="71AA4E1C"/>
    <w:rsid w:val="71CE6716"/>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B466B"/>
    <w:rsid w:val="74A35CDF"/>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4F2243"/>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C4DAA"/>
    <w:rsid w:val="797F45FC"/>
    <w:rsid w:val="79830C32"/>
    <w:rsid w:val="79970647"/>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F84FA0"/>
    <w:rsid w:val="7AF909C6"/>
    <w:rsid w:val="7B002C8C"/>
    <w:rsid w:val="7B1F3681"/>
    <w:rsid w:val="7B3D723C"/>
    <w:rsid w:val="7B617ADD"/>
    <w:rsid w:val="7B6F1BD0"/>
    <w:rsid w:val="7B732126"/>
    <w:rsid w:val="7B755C15"/>
    <w:rsid w:val="7B7B20CE"/>
    <w:rsid w:val="7B8E1216"/>
    <w:rsid w:val="7B9A1345"/>
    <w:rsid w:val="7BA226FD"/>
    <w:rsid w:val="7BB819E3"/>
    <w:rsid w:val="7BC51755"/>
    <w:rsid w:val="7BC67AB6"/>
    <w:rsid w:val="7BCA6C86"/>
    <w:rsid w:val="7BFF5917"/>
    <w:rsid w:val="7C044DA1"/>
    <w:rsid w:val="7C132D64"/>
    <w:rsid w:val="7C2805DF"/>
    <w:rsid w:val="7CA33449"/>
    <w:rsid w:val="7CBB7A1A"/>
    <w:rsid w:val="7CBD54CE"/>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8</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2021-06-03T10:53:27Z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