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44"/>
          <w:szCs w:val="44"/>
          <w:highlight w:val="none"/>
          <w:shd w:val="clear" w:color="auto" w:fill="auto"/>
          <w:lang w:val="en-US" w:eastAsia="zh-CN"/>
        </w:rPr>
      </w:pPr>
      <w:r>
        <w:rPr>
          <w:rFonts w:hint="eastAsia" w:ascii="Times New Roman" w:hAnsi="Times New Roman" w:eastAsia="黑体" w:cs="Times New Roman"/>
          <w:kern w:val="0"/>
          <w:sz w:val="44"/>
          <w:szCs w:val="44"/>
          <w:highlight w:val="none"/>
          <w:u w:val="single"/>
          <w:shd w:val="clear" w:color="auto" w:fill="auto"/>
          <w:lang w:val="en-US" w:eastAsia="zh-CN"/>
        </w:rPr>
        <w:t>亳州市2021-13地块工程勘察项目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BZJK-2021- 026号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亳州通恒置业有限公司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二〇二一年五月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亳州市2021-13地块工程勘察项目</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7085680"/>
      <w:bookmarkStart w:id="1" w:name="_Toc152042295"/>
      <w:bookmarkStart w:id="2" w:name="_Toc144974487"/>
      <w:bookmarkStart w:id="3" w:name="_Toc152045519"/>
      <w:bookmarkStart w:id="4" w:name="_Toc179632536"/>
      <w:bookmarkStart w:id="5" w:name="_Toc296602410"/>
      <w:bookmarkStart w:id="6" w:name="_Toc246996909"/>
      <w:bookmarkStart w:id="7" w:name="_Toc246996166"/>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u w:val="none"/>
          <w:lang w:val="en-US" w:eastAsia="zh-CN"/>
        </w:rPr>
      </w:pPr>
      <w:bookmarkStart w:id="8" w:name="_Toc152042296"/>
      <w:bookmarkStart w:id="9" w:name="_Toc152045520"/>
      <w:bookmarkStart w:id="10" w:name="_Toc296602411"/>
      <w:bookmarkStart w:id="11" w:name="_Toc247085681"/>
      <w:bookmarkStart w:id="12" w:name="_Toc144974488"/>
      <w:bookmarkStart w:id="13" w:name="_Toc179632537"/>
      <w:bookmarkStart w:id="14" w:name="_Toc246996910"/>
      <w:bookmarkStart w:id="15" w:name="_Toc246996167"/>
      <w:r>
        <w:rPr>
          <w:rFonts w:hint="eastAsia" w:ascii="Times New Roman" w:hAnsi="Times New Roman" w:eastAsia="仿宋_GB2312" w:cs="Times New Roman"/>
          <w:sz w:val="28"/>
          <w:szCs w:val="28"/>
          <w:highlight w:val="none"/>
          <w:lang w:val="en-US" w:eastAsia="zh-CN"/>
        </w:rPr>
        <w:t>本招标项目</w:t>
      </w:r>
      <w:r>
        <w:rPr>
          <w:rFonts w:hint="eastAsia" w:ascii="Times New Roman" w:hAnsi="Times New Roman" w:eastAsia="仿宋_GB2312" w:cs="Times New Roman"/>
          <w:sz w:val="28"/>
          <w:szCs w:val="28"/>
          <w:highlight w:val="none"/>
          <w:u w:val="single"/>
          <w:lang w:val="en-US" w:eastAsia="zh-CN"/>
        </w:rPr>
        <w:t>亳州市2021-13地块工程勘察项目</w:t>
      </w:r>
      <w:r>
        <w:rPr>
          <w:rFonts w:hint="eastAsia" w:ascii="Times New Roman" w:hAnsi="Times New Roman" w:eastAsia="仿宋_GB2312" w:cs="Times New Roman"/>
          <w:sz w:val="28"/>
          <w:szCs w:val="28"/>
          <w:highlight w:val="none"/>
          <w:u w:val="none"/>
          <w:lang w:val="en-US" w:eastAsia="zh-CN"/>
        </w:rPr>
        <w:t>，项目编号为：</w:t>
      </w:r>
      <w:r>
        <w:rPr>
          <w:rFonts w:hint="eastAsia" w:ascii="Times New Roman" w:hAnsi="Times New Roman" w:eastAsia="仿宋_GB2312" w:cs="Times New Roman"/>
          <w:sz w:val="28"/>
          <w:szCs w:val="28"/>
          <w:highlight w:val="none"/>
          <w:u w:val="single"/>
          <w:lang w:val="en-US" w:eastAsia="zh-CN"/>
        </w:rPr>
        <w:t>BZJK-2021-026号</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 xml:space="preserve">亳州通恒置业有限公司 </w:t>
      </w:r>
      <w:r>
        <w:rPr>
          <w:rFonts w:hint="eastAsia" w:ascii="Times New Roman" w:hAnsi="Times New Roman" w:eastAsia="仿宋_GB2312" w:cs="Times New Roman"/>
          <w:sz w:val="28"/>
          <w:szCs w:val="28"/>
          <w:highlight w:val="none"/>
          <w:lang w:val="en-US" w:eastAsia="zh-CN"/>
        </w:rPr>
        <w:t>，招标项目资金来自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 xml:space="preserve"> 100% </w:t>
      </w:r>
      <w:r>
        <w:rPr>
          <w:rFonts w:hint="eastAsia" w:ascii="Times New Roman" w:hAnsi="Times New Roman" w:eastAsia="黑体" w:cs="Times New Roman"/>
          <w:sz w:val="28"/>
          <w:szCs w:val="28"/>
          <w:highlight w:val="none"/>
          <w:u w:val="none"/>
          <w:lang w:val="en-US" w:eastAsia="zh-CN"/>
        </w:rPr>
        <w:t>。</w:t>
      </w:r>
      <w:r>
        <w:rPr>
          <w:rFonts w:hint="eastAsia" w:ascii="Times New Roman" w:hAnsi="Times New Roman" w:eastAsia="仿宋_GB2312" w:cs="Times New Roman"/>
          <w:sz w:val="28"/>
          <w:szCs w:val="28"/>
          <w:highlight w:val="none"/>
          <w:lang w:val="en-US" w:eastAsia="zh-CN"/>
        </w:rPr>
        <w:t>该项目已具备招标条件，现对</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亳州市2021-13地块工程勘察项目</w:t>
      </w:r>
      <w:r>
        <w:rPr>
          <w:rFonts w:hint="eastAsia" w:ascii="Times New Roman" w:hAnsi="Times New Roman" w:eastAsia="仿宋_GB2312" w:cs="Times New Roman"/>
          <w:sz w:val="28"/>
          <w:szCs w:val="28"/>
          <w:highlight w:val="none"/>
          <w:u w:val="none"/>
          <w:lang w:val="en-US" w:eastAsia="zh-CN"/>
        </w:rPr>
        <w:t>进行公开招标。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位于利辛路以北，华佗大道以西，庄周路以东。地块土地性质为商住用地（商服比例不大于5%），占地面积约134680.3平方米（合202.021亩）。规划容积率不大于2.0，建筑密度不大于25%，绿地率不小于35%，符合亳州市规划设计条件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（二）招标范围：本项目包括工程勘察（初勘、详勘）、测量（初测、定测）、基坑监测及沉降观测等施工阶段、竣工验收阶段的勘察服务及后续与相关单位的配合服务。</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（三）质量标准：符合国家、地方及行业现行法规、规范合格标准，满足招标人及政府主管部门的有关要求，勘察成果必须通过审查。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（四）服务期限：工程勘察服务周期为40日历天(合同签订后40日历天内完成，向业主提交地勘成果资料)，其他工作以招标人书面通知为准。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（五）最高投标限价（含税）：人民币（大写）</w:t>
      </w:r>
      <w:r>
        <w:rPr>
          <w:rFonts w:hint="eastAsia" w:ascii="Times New Roman" w:hAnsi="Times New Roman" w:eastAsia="仿宋_GB2312" w:cs="Times New Roman"/>
          <w:sz w:val="28"/>
          <w:szCs w:val="28"/>
          <w:highlight w:val="none"/>
          <w:u w:val="single"/>
          <w:lang w:val="en-US" w:eastAsia="zh-CN"/>
        </w:rPr>
        <w:t>柒拾陆万元整</w:t>
      </w:r>
      <w:r>
        <w:rPr>
          <w:rFonts w:hint="eastAsia" w:ascii="Times New Roman" w:hAnsi="Times New Roman" w:eastAsia="仿宋_GB2312" w:cs="Times New Roman"/>
          <w:sz w:val="28"/>
          <w:szCs w:val="28"/>
          <w:highlight w:val="none"/>
          <w:u w:val="none"/>
          <w:lang w:val="en-US" w:eastAsia="zh-CN"/>
        </w:rPr>
        <w:t>，（小写）</w:t>
      </w:r>
      <w:r>
        <w:rPr>
          <w:rFonts w:hint="eastAsia" w:ascii="Times New Roman" w:hAnsi="Times New Roman" w:eastAsia="仿宋_GB2312" w:cs="Times New Roman"/>
          <w:sz w:val="28"/>
          <w:szCs w:val="28"/>
          <w:highlight w:val="none"/>
          <w:u w:val="single"/>
          <w:lang w:val="en-US" w:eastAsia="zh-CN"/>
        </w:rPr>
        <w:t xml:space="preserve"> 760000.00元 </w:t>
      </w:r>
      <w:r>
        <w:rPr>
          <w:rFonts w:hint="eastAsia" w:ascii="Times New Roman" w:hAnsi="Times New Roman" w:eastAsia="仿宋_GB2312" w:cs="Times New Roman"/>
          <w:sz w:val="28"/>
          <w:szCs w:val="28"/>
          <w:highlight w:val="none"/>
          <w:lang w:val="en-US" w:eastAsia="zh-CN"/>
        </w:rPr>
        <w:t>。投标报价超出限价或明显低于成本价的，按无效投标处理。投标报价应包含完成本项目的全部费用，其他未尽事宜应统一考虑在报价内，具体以实际结算为准。</w:t>
      </w:r>
    </w:p>
    <w:p>
      <w:pPr>
        <w:wordWrap w:val="0"/>
        <w:spacing w:line="480" w:lineRule="exact"/>
        <w:ind w:firstLine="560" w:firstLineChars="200"/>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（六）标段划分：一个标段。</w:t>
      </w:r>
    </w:p>
    <w:p>
      <w:pPr>
        <w:wordWrap w:val="0"/>
        <w:spacing w:line="480" w:lineRule="exact"/>
        <w:ind w:firstLine="560" w:firstLineChars="200"/>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（七）其他要求：</w:t>
      </w:r>
    </w:p>
    <w:p>
      <w:pPr>
        <w:wordWrap w:val="0"/>
        <w:spacing w:line="480" w:lineRule="exact"/>
        <w:ind w:firstLine="560" w:firstLineChars="200"/>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1.投标人根据国家有关标准规范结合本工程特点和现场考察，自行计算工作量报价并承担相应的风险。最终报价由投标人根据自身的经营决策、企业实力和市场行情自主确定。</w:t>
      </w:r>
    </w:p>
    <w:p>
      <w:pPr>
        <w:wordWrap w:val="0"/>
        <w:spacing w:line="480" w:lineRule="exact"/>
        <w:ind w:firstLine="560" w:firstLineChars="200"/>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投标人的投标报价应包括勘察及相关服务工作的人员工资、劳保、医疗、福利、津贴、保险、差旅费、青苗补偿费、资料费以及勘察单位的管理费、税金、利润、地勘报告第三方专业机构审查费、地勘报告及其他工作成果评审专家费用等，其他未尽事宜应统一考虑在报价内，招标人不再另行支付任何费用。</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投标人应满足下列资格条件要求：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（一）具备独立承担民事责任的能力，具备有效的营业执照。</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二</w:t>
      </w:r>
      <w:r>
        <w:rPr>
          <w:rFonts w:hint="default" w:ascii="Times New Roman" w:hAnsi="Times New Roman" w:eastAsia="仿宋_GB2312" w:cs="Times New Roman"/>
          <w:sz w:val="28"/>
          <w:szCs w:val="28"/>
          <w:highlight w:val="none"/>
          <w:lang w:val="en-US" w:eastAsia="zh-CN"/>
        </w:rPr>
        <w:t>）具备建设行政主管部门颁发的工程勘察综合类甲级资质或工程勘察（岩土工程、工程测量）专业甲级。</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三</w:t>
      </w:r>
      <w:r>
        <w:rPr>
          <w:rFonts w:hint="default" w:ascii="Times New Roman" w:hAnsi="Times New Roman" w:eastAsia="仿宋_GB2312" w:cs="Times New Roman"/>
          <w:sz w:val="28"/>
          <w:szCs w:val="28"/>
          <w:highlight w:val="none"/>
          <w:lang w:val="en-US" w:eastAsia="zh-CN"/>
        </w:rPr>
        <w:t>）企业业绩要求：提供201</w:t>
      </w:r>
      <w:r>
        <w:rPr>
          <w:rFonts w:hint="eastAsia" w:ascii="Times New Roman" w:hAnsi="Times New Roman" w:eastAsia="仿宋_GB2312" w:cs="Times New Roman"/>
          <w:sz w:val="28"/>
          <w:szCs w:val="28"/>
          <w:highlight w:val="none"/>
          <w:lang w:val="en-US" w:eastAsia="zh-CN"/>
        </w:rPr>
        <w:t>8</w:t>
      </w:r>
      <w:r>
        <w:rPr>
          <w:rFonts w:hint="default" w:ascii="Times New Roman" w:hAnsi="Times New Roman" w:eastAsia="仿宋_GB2312" w:cs="Times New Roman"/>
          <w:sz w:val="28"/>
          <w:szCs w:val="28"/>
          <w:highlight w:val="none"/>
          <w:lang w:val="en-US" w:eastAsia="zh-CN"/>
        </w:rPr>
        <w:t>年1月1日至今企业类似项目业绩至少1个，企业类似项目业绩是指投标人承担过总建筑面积在300000平方米及以上的建筑工程勘察业绩。业绩以合同签订时间为准，加盖投标人公章放入投标文件中。</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四</w:t>
      </w:r>
      <w:r>
        <w:rPr>
          <w:rFonts w:hint="default" w:ascii="Times New Roman" w:hAnsi="Times New Roman" w:eastAsia="仿宋_GB2312" w:cs="Times New Roman"/>
          <w:sz w:val="28"/>
          <w:szCs w:val="28"/>
          <w:highlight w:val="none"/>
          <w:lang w:val="en-US" w:eastAsia="zh-CN"/>
        </w:rPr>
        <w:t>）投标人拟派项目负责人须具有</w:t>
      </w:r>
      <w:r>
        <w:rPr>
          <w:rFonts w:hint="eastAsia" w:ascii="Times New Roman" w:hAnsi="Times New Roman" w:eastAsia="仿宋_GB2312" w:cs="Times New Roman"/>
          <w:sz w:val="28"/>
          <w:szCs w:val="28"/>
          <w:highlight w:val="none"/>
          <w:lang w:val="en-US" w:eastAsia="zh-CN"/>
        </w:rPr>
        <w:t>建筑工程专业</w:t>
      </w:r>
      <w:r>
        <w:rPr>
          <w:rFonts w:hint="default" w:ascii="Times New Roman" w:hAnsi="Times New Roman" w:eastAsia="仿宋_GB2312" w:cs="Times New Roman"/>
          <w:sz w:val="28"/>
          <w:szCs w:val="28"/>
          <w:highlight w:val="none"/>
          <w:lang w:val="en-US" w:eastAsia="zh-CN"/>
        </w:rPr>
        <w:t>高级工程师及以上职称，并担任过总建筑面积在300000平方米及以上的建筑工程勘察项目负责人</w:t>
      </w:r>
      <w:r>
        <w:rPr>
          <w:rFonts w:hint="eastAsia" w:ascii="Times New Roman" w:hAnsi="Times New Roman" w:eastAsia="仿宋_GB2312" w:cs="Times New Roman"/>
          <w:sz w:val="28"/>
          <w:szCs w:val="28"/>
          <w:highlight w:val="none"/>
          <w:lang w:val="en-US" w:eastAsia="zh-CN"/>
        </w:rPr>
        <w:t>（须提供项目负责人业绩，</w:t>
      </w:r>
      <w:r>
        <w:rPr>
          <w:rFonts w:hint="default" w:ascii="Times New Roman" w:hAnsi="Times New Roman" w:eastAsia="仿宋_GB2312" w:cs="Times New Roman"/>
          <w:sz w:val="28"/>
          <w:szCs w:val="28"/>
          <w:highlight w:val="none"/>
          <w:lang w:val="en-US" w:eastAsia="zh-CN"/>
        </w:rPr>
        <w:t>业绩以合同签订时间为准，加盖投标人公章放入投标文件中</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。投标人中标后不得随意更换项目负责人。</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（五）投标人如在以往承接招标人项目过程中被记入“黑名单”，或被信用中国网站记入“失信被执行人”的，不得参加本次招标投标活动（须提供信用中国网站查询结果截图）。</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lang w:val="en-US" w:eastAsia="zh-CN"/>
        </w:rPr>
        <w:t>2021年6月 4 日9时00分</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亳州通恒置业有限公司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才工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17756789753</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亳州通恒置业有限公司</w:t>
      </w: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none"/>
          <w:lang w:val="en-US" w:eastAsia="zh-CN"/>
        </w:rPr>
        <w:t>2021年5月27日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工程项目名称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lang w:val="en-US" w:eastAsia="zh-CN"/>
              </w:rPr>
              <w:t>详见第一章招标公告</w:t>
            </w: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服务地点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imes New Roman" w:hAnsi="Times New Roman" w:cs="Times New Roman"/>
                <w:sz w:val="21"/>
                <w:szCs w:val="21"/>
                <w:highlight w:val="none"/>
                <w:lang w:val="en-US" w:eastAsia="zh-CN"/>
              </w:rPr>
              <w:t>允许</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auto"/>
                <w:sz w:val="21"/>
                <w:szCs w:val="21"/>
                <w:highlight w:val="none"/>
                <w:lang w:val="en-US" w:eastAsia="zh-CN"/>
              </w:rPr>
              <w:t>对分包人的资质要求：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时间：距投标截止时间止3日（非依法必须招标的项目）前，投标人应仔细阅读和检查招标文件的全部内容。如发现缺页或附件不全，应及时向招标人提出，以便补齐。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招标文件的澄清在亳州交通投资控股集团有限公司官网（www.bzjkjt.com）上的发布时间，视为投标人确认收到招标文件澄清的时间。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在亳州交通投资控股集团有限公司官网（www.bzjkjt.com）上的发布时间，视为投标人确认收到招标文件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人民币（大写）</w:t>
            </w:r>
            <w:r>
              <w:rPr>
                <w:rFonts w:hint="eastAsia" w:ascii="Times New Roman" w:hAnsi="Times New Roman" w:cs="Times New Roman"/>
                <w:szCs w:val="21"/>
                <w:highlight w:val="none"/>
                <w:u w:val="single"/>
                <w:lang w:val="en-US" w:eastAsia="zh-CN"/>
              </w:rPr>
              <w:t xml:space="preserve"> 壹万元整 </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ind w:firstLine="630" w:firstLineChars="3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 xml:space="preserve"> 10000元 </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iCs/>
                <w:color w:val="FF0000"/>
                <w:szCs w:val="21"/>
                <w:highlight w:val="none"/>
                <w:u w:val="single"/>
                <w:lang w:val="en-US" w:eastAsia="zh-CN"/>
              </w:rPr>
              <w:t>BZJK-2021-   026号保证金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在10</w:t>
            </w:r>
            <w:r>
              <w:rPr>
                <w:rFonts w:hint="default" w:ascii="Times New Roman" w:hAnsi="Times New Roman" w:cs="Times New Roman"/>
                <w:szCs w:val="21"/>
                <w:highlight w:val="none"/>
              </w:rPr>
              <w:t>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有，具体要求：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szCs w:val="21"/>
                <w:highlight w:val="none"/>
                <w:lang w:val="en-US" w:eastAsia="zh-CN"/>
              </w:rPr>
            </w:pPr>
            <w:r>
              <w:rPr>
                <w:rFonts w:hint="eastAsia" w:ascii="Times New Roman" w:hAnsi="Times New Roman"/>
                <w:highlight w:val="none"/>
                <w:shd w:val="clear" w:fill="FFFF00"/>
                <w:lang w:eastAsia="zh-CN"/>
              </w:rPr>
              <w:t>社保证明要求为</w:t>
            </w:r>
            <w:r>
              <w:rPr>
                <w:rFonts w:hint="eastAsia" w:ascii="Times New Roman" w:hAnsi="Times New Roman"/>
                <w:highlight w:val="none"/>
                <w:shd w:val="clear" w:fill="FFFF00"/>
              </w:rPr>
              <w:t>由本单位为其缴纳的至少连续</w:t>
            </w:r>
            <w:r>
              <w:rPr>
                <w:rFonts w:hint="eastAsia" w:ascii="Times New Roman" w:hAnsi="Times New Roman"/>
                <w:highlight w:val="none"/>
                <w:shd w:val="clear" w:fill="FFFF00"/>
                <w:lang w:val="en-US" w:eastAsia="zh-CN"/>
              </w:rPr>
              <w:t>3</w:t>
            </w:r>
            <w:r>
              <w:rPr>
                <w:rFonts w:hint="eastAsia" w:ascii="Times New Roman" w:hAnsi="Times New Roman"/>
                <w:highlight w:val="none"/>
                <w:shd w:val="clear" w:fill="FFFF00"/>
              </w:rPr>
              <w:t>个月的社保证明（由当地社保主管部门出具的20</w:t>
            </w:r>
            <w:r>
              <w:rPr>
                <w:rFonts w:hint="eastAsia" w:ascii="Times New Roman" w:hAnsi="Times New Roman"/>
                <w:highlight w:val="none"/>
                <w:shd w:val="clear" w:fill="FFFF00"/>
                <w:lang w:val="en-US" w:eastAsia="zh-CN"/>
              </w:rPr>
              <w:t>20</w:t>
            </w:r>
            <w:r>
              <w:rPr>
                <w:rFonts w:hint="eastAsia" w:ascii="Times New Roman" w:hAnsi="Times New Roman"/>
                <w:highlight w:val="none"/>
                <w:shd w:val="clear" w:fill="FFFF00"/>
              </w:rPr>
              <w:t>年</w:t>
            </w:r>
            <w:r>
              <w:rPr>
                <w:rFonts w:hint="eastAsia" w:ascii="Times New Roman" w:hAnsi="Times New Roman"/>
                <w:highlight w:val="none"/>
                <w:shd w:val="clear" w:fill="FFFF00"/>
                <w:lang w:val="en-US" w:eastAsia="zh-CN"/>
              </w:rPr>
              <w:t>10</w:t>
            </w:r>
            <w:r>
              <w:rPr>
                <w:rFonts w:hint="eastAsia" w:ascii="Times New Roman" w:hAnsi="Times New Roman"/>
                <w:highlight w:val="none"/>
                <w:shd w:val="clear" w:fill="FFFF00"/>
              </w:rPr>
              <w:t>月1日以来的有效社保证明）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shd w:val="clear" w:fill="FFFF00"/>
                <w:lang w:val="en-US" w:eastAsia="zh-CN"/>
              </w:rPr>
              <w:t>不要求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需要，分册装订要求：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招标人：</w:t>
            </w:r>
            <w:r>
              <w:rPr>
                <w:rFonts w:hint="eastAsia" w:ascii="Times New Roman" w:hAnsi="Times New Roman" w:cs="Times New Roman"/>
                <w:szCs w:val="21"/>
                <w:highlight w:val="none"/>
                <w:u w:val="single"/>
                <w:lang w:val="en-US" w:eastAsia="zh-CN"/>
              </w:rPr>
              <w:t>亳州通恒置业有限公司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开标地址：</w:t>
            </w:r>
            <w:r>
              <w:rPr>
                <w:rFonts w:hint="eastAsia" w:ascii="Times New Roman" w:hAnsi="Times New Roman" w:cs="Times New Roman"/>
                <w:szCs w:val="21"/>
                <w:highlight w:val="none"/>
                <w:u w:val="singl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亳州市2021-13地块工程勘察项目 </w:t>
            </w:r>
            <w:r>
              <w:rPr>
                <w:rFonts w:hint="eastAsia" w:ascii="Times New Roman" w:hAnsi="Times New Roman" w:cs="Times New Roman"/>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招标项目编号：BZJK-2021- 026号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6</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4</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6</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4</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r>
              <w:rPr>
                <w:rFonts w:hint="default" w:ascii="Times New Roman" w:hAnsi="Times New Roman" w:cs="Times New Roman"/>
                <w:szCs w:val="21"/>
                <w:highlight w:val="none"/>
              </w:rPr>
              <w:t>的形式：中标后，投标保证金自动转为履约保证金，履约保证金不足部分由中标人在收到中标通知书</w:t>
            </w:r>
            <w:r>
              <w:rPr>
                <w:rFonts w:hint="eastAsia" w:ascii="Times New Roman" w:hAnsi="Times New Roman" w:cs="Times New Roman"/>
                <w:szCs w:val="21"/>
                <w:highlight w:val="none"/>
                <w:lang w:val="en-US" w:eastAsia="zh-CN"/>
              </w:rPr>
              <w:t>后</w:t>
            </w: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r>
              <w:rPr>
                <w:rFonts w:hint="default" w:ascii="Times New Roman" w:hAnsi="Times New Roman" w:cs="Times New Roman"/>
                <w:szCs w:val="21"/>
                <w:highlight w:val="none"/>
              </w:rPr>
              <w:t>的金额：</w:t>
            </w:r>
            <w:r>
              <w:rPr>
                <w:rFonts w:hint="eastAsia" w:ascii="Times New Roman" w:hAnsi="Times New Roman" w:cs="Times New Roman"/>
                <w:b/>
                <w:bCs/>
                <w:color w:val="auto"/>
                <w:szCs w:val="21"/>
                <w:highlight w:val="none"/>
                <w:lang w:val="en-US" w:eastAsia="zh-CN"/>
              </w:rPr>
              <w:t>10%</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合同期满</w:t>
            </w:r>
            <w:r>
              <w:rPr>
                <w:rFonts w:hint="eastAsia" w:ascii="Times New Roman" w:hAnsi="Times New Roman" w:cs="Times New Roman"/>
                <w:szCs w:val="21"/>
                <w:highlight w:val="none"/>
                <w:lang w:eastAsia="zh-CN"/>
              </w:rPr>
              <w:t>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黑体" w:hAnsi="黑体" w:eastAsia="黑体" w:cs="黑体"/>
          <w:color w:val="000000"/>
          <w:highlight w:val="none"/>
        </w:rPr>
        <w:t>说明：</w:t>
      </w:r>
      <w:r>
        <w:rPr>
          <w:rFonts w:hint="default" w:ascii="Times New Roman" w:hAnsi="Times New Roman" w:cs="Times New Roman"/>
          <w:szCs w:val="21"/>
          <w:highlight w:val="none"/>
        </w:rPr>
        <w:t>招标文件相关内容与投标须知前附表不一致的，以投标须知前附表为准。</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1334"/>
        <w:gridCol w:w="1714"/>
        <w:gridCol w:w="46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18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6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33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6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1334"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6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签字盖章</w:t>
            </w:r>
          </w:p>
        </w:tc>
        <w:tc>
          <w:tcPr>
            <w:tcW w:w="46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Times New Roman" w:hAnsi="Times New Roman" w:cs="Times New Roman"/>
                <w:kern w:val="0"/>
                <w:sz w:val="24"/>
                <w:szCs w:val="24"/>
                <w:highlight w:val="none"/>
                <w:lang w:val="en-US" w:eastAsia="zh-CN"/>
              </w:rPr>
              <w:t>符合第二章“投标人须知”第3.7.3项规定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6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五</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1334"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6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71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6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71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6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71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项目负责人要求</w:t>
            </w:r>
          </w:p>
        </w:tc>
        <w:tc>
          <w:tcPr>
            <w:tcW w:w="46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71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6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1334"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6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w:t>
            </w:r>
          </w:p>
        </w:tc>
        <w:tc>
          <w:tcPr>
            <w:tcW w:w="46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质量要求</w:t>
            </w:r>
          </w:p>
        </w:tc>
        <w:tc>
          <w:tcPr>
            <w:tcW w:w="46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符合第二章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投标人须知</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6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6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权力义务</w:t>
            </w:r>
          </w:p>
        </w:tc>
        <w:tc>
          <w:tcPr>
            <w:tcW w:w="46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6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kern w:val="0"/>
                <w:sz w:val="24"/>
                <w:szCs w:val="24"/>
                <w:highlight w:val="none"/>
                <w:lang w:val="en-US" w:eastAsia="zh-CN"/>
              </w:rPr>
              <w:t>第二章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投标人须知</w:t>
            </w:r>
            <w:r>
              <w:rPr>
                <w:rFonts w:hint="eastAsia" w:ascii="Times New Roman" w:hAnsi="Times New Roman" w:cs="Times New Roman"/>
                <w:kern w:val="0"/>
                <w:sz w:val="24"/>
                <w:szCs w:val="24"/>
                <w:highlight w:val="none"/>
                <w:lang w:val="en-US" w:eastAsia="zh-CN"/>
              </w:rPr>
              <w:t>”第1.4.1项</w:t>
            </w:r>
            <w:r>
              <w:rPr>
                <w:rFonts w:hint="default"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18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16" w:name="_Toc247085747"/>
            <w:bookmarkStart w:id="17" w:name="_Toc179632607"/>
            <w:bookmarkStart w:id="18" w:name="_Toc296602477"/>
            <w:bookmarkStart w:id="19" w:name="_Toc152042366"/>
            <w:bookmarkStart w:id="20" w:name="_Toc144974556"/>
            <w:bookmarkStart w:id="21" w:name="_Toc246996232"/>
            <w:bookmarkStart w:id="22" w:name="_Toc246996975"/>
            <w:bookmarkStart w:id="23" w:name="_Toc152045589"/>
            <w:r>
              <w:rPr>
                <w:rFonts w:hint="default" w:ascii="Times New Roman" w:hAnsi="Times New Roman" w:cs="Times New Roman"/>
                <w:b/>
                <w:bCs/>
                <w:kern w:val="0"/>
                <w:sz w:val="24"/>
                <w:szCs w:val="24"/>
                <w:highlight w:val="none"/>
                <w:lang w:val="en-US" w:eastAsia="zh-CN"/>
              </w:rPr>
              <w:t>条款号</w:t>
            </w:r>
          </w:p>
        </w:tc>
        <w:tc>
          <w:tcPr>
            <w:tcW w:w="1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6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304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6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商务部分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30</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勘察方案部分：</w:t>
            </w:r>
            <w:r>
              <w:rPr>
                <w:rFonts w:hint="eastAsia" w:ascii="Times New Roman" w:hAnsi="Times New Roman" w:cs="Times New Roman"/>
                <w:i w:val="0"/>
                <w:iCs w:val="0"/>
                <w:color w:val="auto"/>
                <w:kern w:val="0"/>
                <w:sz w:val="24"/>
                <w:szCs w:val="24"/>
                <w:highlight w:val="none"/>
                <w:u w:val="single"/>
                <w:lang w:val="en-US" w:eastAsia="zh-CN"/>
              </w:rPr>
              <w:t>40</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30</w:t>
            </w:r>
            <w:r>
              <w:rPr>
                <w:rFonts w:hint="default" w:ascii="Times New Roman" w:hAnsi="Times New Roman" w:cs="Times New Roman" w:eastAsiaTheme="minorEastAsia"/>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304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6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以通过初步评审的投标人的最低投标报价作为评标基准价。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18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6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334"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商务评分标准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 xml:space="preserve">30 </w:t>
            </w:r>
            <w:r>
              <w:rPr>
                <w:rFonts w:hint="default" w:ascii="Times New Roman" w:hAnsi="Times New Roman" w:cs="Times New Roman"/>
                <w:kern w:val="0"/>
                <w:sz w:val="24"/>
                <w:szCs w:val="24"/>
                <w:highlight w:val="none"/>
                <w:lang w:val="en-US" w:eastAsia="zh-CN"/>
              </w:rPr>
              <w:t>分）</w:t>
            </w:r>
          </w:p>
        </w:tc>
        <w:tc>
          <w:tcPr>
            <w:tcW w:w="1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企业信用</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10</w:t>
            </w:r>
            <w:r>
              <w:rPr>
                <w:rFonts w:hint="default" w:ascii="Times New Roman" w:hAnsi="Times New Roman" w:cs="Times New Roman"/>
                <w:kern w:val="0"/>
                <w:sz w:val="24"/>
                <w:szCs w:val="24"/>
                <w:highlight w:val="none"/>
                <w:lang w:val="en-US" w:eastAsia="zh-CN"/>
              </w:rPr>
              <w:t>分）</w:t>
            </w:r>
          </w:p>
        </w:tc>
        <w:tc>
          <w:tcPr>
            <w:tcW w:w="46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企业奖项：2016年 1 月 1 日以来，获得全国优秀工程勘察奖的，每具有 1 项得 5 分；获得各省（自治区、直辖市）优秀工程勘察</w:t>
            </w:r>
            <w:bookmarkStart w:id="174" w:name="_GoBack"/>
            <w:bookmarkEnd w:id="174"/>
            <w:r>
              <w:rPr>
                <w:rFonts w:hint="eastAsia" w:ascii="Times New Roman" w:hAnsi="Times New Roman" w:cs="Times New Roman"/>
                <w:kern w:val="0"/>
                <w:sz w:val="24"/>
                <w:szCs w:val="24"/>
                <w:highlight w:val="none"/>
                <w:lang w:val="en-US" w:eastAsia="zh-CN"/>
              </w:rPr>
              <w:t>奖的，每具有 1 项得 3 分。获奖情况以投标人荣获的奖励证书（或表彰文件）时间为准；同一项目获得多个奖项的，仅按最高级别加分；本项最多得5分。</w:t>
            </w:r>
          </w:p>
          <w:p>
            <w:pPr>
              <w:keepNext w:val="0"/>
              <w:keepLines w:val="0"/>
              <w:pageBreakBefore w:val="0"/>
              <w:widowControl w:val="0"/>
              <w:numPr>
                <w:ilvl w:val="0"/>
                <w:numId w:val="1"/>
              </w:numPr>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 xml:space="preserve">拟派项目负责人具有正高级职称得 </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 xml:space="preserve"> 分，有注册土木工程师（</w:t>
            </w:r>
            <w:r>
              <w:rPr>
                <w:rFonts w:hint="eastAsia" w:ascii="Times New Roman" w:hAnsi="Times New Roman" w:cs="Times New Roman"/>
                <w:kern w:val="0"/>
                <w:sz w:val="24"/>
                <w:szCs w:val="24"/>
                <w:highlight w:val="none"/>
                <w:lang w:val="en-US" w:eastAsia="zh-CN"/>
              </w:rPr>
              <w:t>岩土专业</w:t>
            </w:r>
            <w:r>
              <w:rPr>
                <w:rFonts w:hint="default" w:ascii="Times New Roman" w:hAnsi="Times New Roman" w:cs="Times New Roman"/>
                <w:kern w:val="0"/>
                <w:sz w:val="24"/>
                <w:szCs w:val="24"/>
                <w:highlight w:val="none"/>
                <w:lang w:val="en-US" w:eastAsia="zh-CN"/>
              </w:rPr>
              <w:t xml:space="preserve">）执业资格证书得 </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 xml:space="preserve"> 分；本项最多得</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334"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项目负责人业绩（5分）</w:t>
            </w:r>
          </w:p>
        </w:tc>
        <w:tc>
          <w:tcPr>
            <w:tcW w:w="46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除门槛业绩外，项目负责人每额外提供1 项类似业绩得 3 分，每参与 1 项类似项目业绩得 1分；累计不超过 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334"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15</w:t>
            </w:r>
            <w:r>
              <w:rPr>
                <w:rFonts w:hint="default" w:ascii="Times New Roman" w:hAnsi="Times New Roman" w:cs="Times New Roman"/>
                <w:kern w:val="0"/>
                <w:sz w:val="24"/>
                <w:szCs w:val="24"/>
                <w:highlight w:val="none"/>
                <w:lang w:val="en-US" w:eastAsia="zh-CN"/>
              </w:rPr>
              <w:t>分）</w:t>
            </w:r>
          </w:p>
        </w:tc>
        <w:tc>
          <w:tcPr>
            <w:tcW w:w="46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宋体" w:hAnsi="宋体" w:cs="宋体" w:eastAsiaTheme="minorEastAsia"/>
                <w:bCs/>
                <w:color w:val="000000"/>
                <w:kern w:val="0"/>
                <w:sz w:val="24"/>
                <w:szCs w:val="24"/>
                <w:lang w:val="en-US" w:eastAsia="zh-CN" w:bidi="ar"/>
              </w:rPr>
            </w:pPr>
            <w:r>
              <w:rPr>
                <w:rFonts w:hint="eastAsia" w:ascii="Times New Roman" w:hAnsi="Times New Roman" w:cs="Times New Roman"/>
                <w:kern w:val="0"/>
                <w:sz w:val="24"/>
                <w:szCs w:val="24"/>
                <w:highlight w:val="none"/>
                <w:lang w:val="en-US" w:eastAsia="zh-CN"/>
              </w:rPr>
              <w:t>2018 年 1 月 1 日至开标之日，在满足门槛业绩基础上，投标人每额外提供一项类似</w:t>
            </w:r>
            <w:r>
              <w:rPr>
                <w:rFonts w:hint="default" w:ascii="Times New Roman" w:hAnsi="Times New Roman" w:cs="Times New Roman"/>
                <w:kern w:val="0"/>
                <w:sz w:val="24"/>
                <w:szCs w:val="24"/>
                <w:highlight w:val="none"/>
                <w:lang w:val="en-US" w:eastAsia="zh-CN"/>
              </w:rPr>
              <w:t>业绩</w:t>
            </w:r>
            <w:r>
              <w:rPr>
                <w:rFonts w:hint="eastAsia" w:ascii="Times New Roman" w:hAnsi="Times New Roman" w:cs="Times New Roman"/>
                <w:kern w:val="0"/>
                <w:sz w:val="24"/>
                <w:szCs w:val="24"/>
                <w:highlight w:val="none"/>
                <w:lang w:val="en-US" w:eastAsia="zh-CN"/>
              </w:rPr>
              <w:t>，得5分</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cs="Times New Roman"/>
                <w:kern w:val="0"/>
                <w:sz w:val="24"/>
                <w:szCs w:val="24"/>
                <w:highlight w:val="none"/>
                <w:lang w:val="en-US" w:eastAsia="zh-CN"/>
              </w:rPr>
              <w:t>此项满分15分。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1334"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勘察方案评分标准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 xml:space="preserve"> 40</w:t>
            </w:r>
            <w:r>
              <w:rPr>
                <w:rFonts w:hint="default" w:ascii="Times New Roman" w:hAnsi="Times New Roman" w:cs="Times New Roman"/>
                <w:kern w:val="0"/>
                <w:sz w:val="24"/>
                <w:szCs w:val="24"/>
                <w:highlight w:val="none"/>
                <w:lang w:val="en-US" w:eastAsia="zh-CN"/>
              </w:rPr>
              <w:t>分）</w:t>
            </w:r>
          </w:p>
        </w:tc>
        <w:tc>
          <w:tcPr>
            <w:tcW w:w="1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kern w:val="0"/>
                <w:sz w:val="24"/>
                <w:szCs w:val="24"/>
                <w:highlight w:val="none"/>
                <w:lang w:val="en-US" w:eastAsia="zh-CN"/>
              </w:rPr>
            </w:pPr>
            <w:r>
              <w:rPr>
                <w:rFonts w:hint="eastAsia"/>
                <w:spacing w:val="-9"/>
                <w:sz w:val="24"/>
              </w:rPr>
              <w:t>现场服务计划和承诺</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分）</w:t>
            </w:r>
          </w:p>
        </w:tc>
        <w:tc>
          <w:tcPr>
            <w:tcW w:w="46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spacing w:val="-9"/>
                <w:sz w:val="24"/>
                <w:lang w:val="en-US" w:eastAsia="zh-CN"/>
              </w:rPr>
              <w:t>勘察工作</w:t>
            </w:r>
            <w:r>
              <w:rPr>
                <w:spacing w:val="-9"/>
                <w:sz w:val="24"/>
              </w:rPr>
              <w:t>计划合理、承诺满足</w:t>
            </w:r>
            <w:r>
              <w:rPr>
                <w:rFonts w:hint="eastAsia"/>
                <w:spacing w:val="-9"/>
                <w:sz w:val="24"/>
                <w:lang w:val="en-US" w:eastAsia="zh-CN"/>
              </w:rPr>
              <w:t>招标人</w:t>
            </w:r>
            <w:r>
              <w:rPr>
                <w:spacing w:val="-9"/>
                <w:sz w:val="24"/>
              </w:rPr>
              <w:t xml:space="preserve">要求得 </w:t>
            </w:r>
            <w:r>
              <w:rPr>
                <w:rFonts w:hint="eastAsia"/>
                <w:spacing w:val="-9"/>
                <w:sz w:val="24"/>
                <w:lang w:val="en-US" w:eastAsia="zh-CN"/>
              </w:rPr>
              <w:t>4-5</w:t>
            </w:r>
            <w:r>
              <w:rPr>
                <w:spacing w:val="-9"/>
                <w:sz w:val="24"/>
              </w:rPr>
              <w:t xml:space="preserve"> 分</w:t>
            </w:r>
            <w:r>
              <w:rPr>
                <w:rFonts w:hint="eastAsia"/>
                <w:spacing w:val="-9"/>
                <w:sz w:val="24"/>
                <w:lang w:eastAsia="zh-CN"/>
              </w:rPr>
              <w:t>，</w:t>
            </w:r>
            <w:r>
              <w:rPr>
                <w:rFonts w:hint="eastAsia"/>
                <w:spacing w:val="-9"/>
                <w:sz w:val="24"/>
                <w:lang w:val="en-US" w:eastAsia="zh-CN"/>
              </w:rPr>
              <w:t>一般的2-4分，没有不得分</w:t>
            </w:r>
            <w:r>
              <w:rPr>
                <w:rFonts w:hint="eastAsia" w:ascii="Times New Roman" w:hAnsi="Times New Roman" w:cs="Times New Roman"/>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334"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设计机构设置和岗位职责</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8</w:t>
            </w:r>
            <w:r>
              <w:rPr>
                <w:rFonts w:hint="default" w:ascii="Times New Roman" w:hAnsi="Times New Roman" w:cs="Times New Roman"/>
                <w:kern w:val="0"/>
                <w:sz w:val="24"/>
                <w:szCs w:val="24"/>
                <w:highlight w:val="none"/>
                <w:lang w:val="en-US" w:eastAsia="zh-CN"/>
              </w:rPr>
              <w:t>分）</w:t>
            </w:r>
          </w:p>
        </w:tc>
        <w:tc>
          <w:tcPr>
            <w:tcW w:w="46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机构设置全面清晰，岗位职责明确合理，监管措施、合理可行， 且满足国家规范及地市标准要求，相关现场勘察服务方案及人员组织安排符合本项目实施要求得 5-8分，一般得3-5分，没有不得分。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334"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勘查工作大纲（5分）</w:t>
            </w:r>
          </w:p>
        </w:tc>
        <w:tc>
          <w:tcPr>
            <w:tcW w:w="46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对本项目理解和建设条件认识的基础上提出的工作大纲合理得4- 5 分，一般得2-4分，没有不得分。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334"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71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整体规划勘察</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思路（5分）</w:t>
            </w:r>
          </w:p>
        </w:tc>
        <w:tc>
          <w:tcPr>
            <w:tcW w:w="462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投标人整体勘察思路清晰，工作思路符合项目要求得 4‐5分，一般得2-4分，没有不得分。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334"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71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勘察工作重点、难点分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析（5分）</w:t>
            </w:r>
          </w:p>
        </w:tc>
        <w:tc>
          <w:tcPr>
            <w:tcW w:w="462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对于本项目勘察工作重难点分析深刻、得当的得4- 5分，一般得2-4分，没有不得分。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334"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71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安全、保密等保证措施</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（3分）</w:t>
            </w:r>
          </w:p>
        </w:tc>
        <w:tc>
          <w:tcPr>
            <w:tcW w:w="462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保证措施可行得2- 3分，一般得1-2分，没有不得分。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334"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71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质量内控制度（ 4分） </w:t>
            </w:r>
          </w:p>
        </w:tc>
        <w:tc>
          <w:tcPr>
            <w:tcW w:w="462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勘察质量控制有效可行且有针对性的得3-4分，一般得1-3分，没有不得分。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334"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71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勘察进度保</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证措施（5分）</w:t>
            </w:r>
          </w:p>
        </w:tc>
        <w:tc>
          <w:tcPr>
            <w:tcW w:w="462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措施合理，满足工程勘察需要，且勘察进度计划安排合理得4- 5分，一般得2-4分，没有不得分。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133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 xml:space="preserve"> 30 </w:t>
            </w:r>
            <w:r>
              <w:rPr>
                <w:rFonts w:hint="default" w:ascii="Times New Roman" w:hAnsi="Times New Roman" w:cs="Times New Roman"/>
                <w:kern w:val="0"/>
                <w:sz w:val="24"/>
                <w:szCs w:val="24"/>
                <w:highlight w:val="none"/>
                <w:lang w:val="en-US" w:eastAsia="zh-CN"/>
              </w:rPr>
              <w:t>分）</w:t>
            </w:r>
          </w:p>
        </w:tc>
        <w:tc>
          <w:tcPr>
            <w:tcW w:w="1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p>
        </w:tc>
        <w:tc>
          <w:tcPr>
            <w:tcW w:w="46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进入综合评审的最低评标价为评标基准价，其价格分为满分。其他投标人价格分按以下公式计算：</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价格分=（评标基准价／评标价）×30 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若评标委员会认定该投标报价低于明显成本价的，可以否决其投标。</w:t>
            </w:r>
          </w:p>
        </w:tc>
      </w:tr>
    </w:tbl>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说明：</w:t>
      </w:r>
      <w:r>
        <w:rPr>
          <w:rFonts w:hint="default" w:ascii="Times New Roman" w:hAnsi="Times New Roman" w:cs="Times New Roman"/>
          <w:kern w:val="0"/>
          <w:sz w:val="24"/>
          <w:szCs w:val="24"/>
          <w:highlight w:val="none"/>
          <w:lang w:val="en-US" w:eastAsia="zh-CN"/>
        </w:rPr>
        <w:t>评分区间一律按左闭右开计算</w:t>
      </w:r>
      <w:r>
        <w:rPr>
          <w:rFonts w:hint="eastAsia" w:ascii="Times New Roman" w:hAnsi="Times New Roman" w:cs="Times New Roman"/>
          <w:kern w:val="0"/>
          <w:sz w:val="24"/>
          <w:szCs w:val="24"/>
          <w:highlight w:val="none"/>
          <w:lang w:val="en-US" w:eastAsia="zh-CN"/>
        </w:rPr>
        <w:t>，评分保留2位小数。</w:t>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明显低于其成本的除外。综合评分相等时，以投标报价低的优先；投标报价也相等的，按照评标办法前附表的规定确定中标候选人排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246996976"/>
      <w:bookmarkStart w:id="25" w:name="_Toc152045590"/>
      <w:bookmarkStart w:id="26" w:name="_Toc144974557"/>
      <w:bookmarkStart w:id="27" w:name="_Toc247085748"/>
      <w:bookmarkStart w:id="28" w:name="_Toc152042367"/>
      <w:bookmarkStart w:id="29" w:name="_Toc179632608"/>
      <w:bookmarkStart w:id="30" w:name="_Toc246996233"/>
      <w:bookmarkStart w:id="31" w:name="_Toc296602478"/>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52045591"/>
      <w:bookmarkStart w:id="33" w:name="_Toc144974558"/>
      <w:bookmarkStart w:id="34" w:name="_Toc296602479"/>
      <w:bookmarkStart w:id="35" w:name="_Toc152042368"/>
      <w:bookmarkStart w:id="36" w:name="_Toc247085749"/>
      <w:bookmarkStart w:id="37" w:name="_Toc246996234"/>
      <w:bookmarkStart w:id="38" w:name="_Toc246996977"/>
      <w:bookmarkStart w:id="39" w:name="_Toc17963260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296602481"/>
      <w:bookmarkStart w:id="41" w:name="_Toc246996236"/>
      <w:bookmarkStart w:id="42" w:name="_Toc152042370"/>
      <w:bookmarkStart w:id="43" w:name="_Toc247085751"/>
      <w:bookmarkStart w:id="44" w:name="_Toc152045593"/>
      <w:bookmarkStart w:id="45" w:name="_Toc246996979"/>
      <w:bookmarkStart w:id="46" w:name="_Toc179632611"/>
      <w:bookmarkStart w:id="47" w:name="_Toc14497456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eastAsiaTheme="minorEastAsia"/>
          <w:kern w:val="0"/>
          <w:sz w:val="24"/>
          <w:szCs w:val="24"/>
          <w:highlight w:val="none"/>
          <w:lang w:val="en-US" w:eastAsia="zh-CN"/>
        </w:rPr>
        <w:t>商务部分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勘察方案</w:t>
      </w:r>
      <w:r>
        <w:rPr>
          <w:rFonts w:hint="eastAsia" w:ascii="Times New Roman" w:hAnsi="Times New Roman" w:cs="Times New Roman" w:eastAsiaTheme="minorEastAsia"/>
          <w:kern w:val="0"/>
          <w:sz w:val="24"/>
          <w:szCs w:val="24"/>
          <w:highlight w:val="none"/>
          <w:lang w:val="en-US" w:eastAsia="zh-CN"/>
        </w:rPr>
        <w:t>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eastAsiaTheme="minorEastAsia"/>
          <w:kern w:val="0"/>
          <w:sz w:val="24"/>
          <w:szCs w:val="24"/>
          <w:highlight w:val="none"/>
          <w:lang w:val="en-US" w:eastAsia="zh-CN"/>
        </w:rPr>
        <w:t>商务部分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勘察方案部分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79632612"/>
      <w:bookmarkStart w:id="49" w:name="_Toc247085752"/>
      <w:bookmarkStart w:id="50" w:name="_Toc246996980"/>
      <w:bookmarkStart w:id="51" w:name="_Toc152042371"/>
      <w:bookmarkStart w:id="52" w:name="_Toc246996237"/>
      <w:bookmarkStart w:id="53" w:name="_Toc296602482"/>
      <w:bookmarkStart w:id="54" w:name="_Toc152045594"/>
      <w:bookmarkStart w:id="55" w:name="_Toc144974561"/>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（2）未按照招标文件要求递交投标保证金的；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（3）未按照招标文件规定要求签署、盖章的；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（4）不具备招标文件中规定资格要求的；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（5）若允许联合体投标，投标人以联合投标、但未附联合体投标协议的；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（6）投标报价超出本项目预算金额（控制价）的；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（7）在资格性、符合性检查评审中，评标委员会认定投标人的投标不符合评标办法前附表中规定的任何一项评审标准的；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（8）未按招标文件规定的格式填写、内容不完整以至影响投标文件评审且不符合招标文件错误修正条件的或关键字迹模糊、无法辩认的；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（9）投标人递交两份或多份内容不同的投标文件，或在一份投标文件中对同一招标项目报有两个或多个报价，且未声明哪一个有效，按招标文件规定提交投标替代方案的除外；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（10）未按照招标文件要求进行承诺的；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（11）投标人有串通投标、弄虚作假、行贿等违法行为的；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（12）不符合法律、法规和招标文件中规定的其他实质性要求的。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3.1.3废标：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在招标采购中，出现下列情形之一的，应予废标：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）符合条件的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或者对招标文件作实质响应的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不足三家的；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）出现影响采购公正的违法、违规行为的；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）投标人的报价均超过了采购预算，</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人不能支付的；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）因重大变故，</w:t>
      </w:r>
      <w:r>
        <w:rPr>
          <w:rFonts w:hint="eastAsia" w:ascii="Times New Roman" w:hAnsi="Times New Roman" w:cs="Times New Roman"/>
          <w:kern w:val="0"/>
          <w:sz w:val="24"/>
          <w:szCs w:val="24"/>
          <w:highlight w:val="none"/>
          <w:lang w:val="en-US" w:eastAsia="zh-CN"/>
        </w:rPr>
        <w:t>招标工作</w:t>
      </w:r>
      <w:r>
        <w:rPr>
          <w:rFonts w:hint="default" w:ascii="Times New Roman" w:hAnsi="Times New Roman" w:cs="Times New Roman"/>
          <w:kern w:val="0"/>
          <w:sz w:val="24"/>
          <w:szCs w:val="24"/>
          <w:highlight w:val="none"/>
          <w:lang w:val="en-US" w:eastAsia="zh-CN"/>
        </w:rPr>
        <w:t>取消的。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废标后，</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应当将废标理由通知所有投标人。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（3）投标报价为各分项报价金额之和，投标报价与分项报价的合价不一致的，应以各分项合价累计数为准，修正投标报价；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52042372"/>
      <w:bookmarkStart w:id="57" w:name="_Toc179632613"/>
      <w:bookmarkStart w:id="58" w:name="_Toc144974562"/>
      <w:bookmarkStart w:id="59" w:name="_Toc152045595"/>
      <w:bookmarkStart w:id="60" w:name="_Toc246996981"/>
      <w:bookmarkStart w:id="61" w:name="_Toc296602483"/>
      <w:bookmarkStart w:id="62" w:name="_Toc246996238"/>
      <w:bookmarkStart w:id="63" w:name="_Toc247085753"/>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179632614"/>
      <w:bookmarkStart w:id="65" w:name="_Toc246996982"/>
      <w:bookmarkStart w:id="66" w:name="_Toc246996239"/>
      <w:bookmarkStart w:id="67" w:name="_Toc152045596"/>
      <w:bookmarkStart w:id="68" w:name="_Toc144974563"/>
      <w:bookmarkStart w:id="69" w:name="_Toc296602484"/>
      <w:bookmarkStart w:id="70" w:name="_Toc247085754"/>
      <w:bookmarkStart w:id="71" w:name="_Toc152042373"/>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第2.2.3（1）目规定的评审因素和分值对商务部分计算出得分A；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第2.2.3（2）目规定的评审因素和分值对勘察方案部分计算出得分B；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第2.2.3（3）目规定的评审因素和分值对投标报价计算出得分C。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使得其投标报价可能低于其个别成本的，应当要求该投标人作出书面说明并提供相应的证明材料。投标人不能合理说明或者不能提供相应证明材料的，评标委员会应当</w:t>
      </w:r>
      <w:r>
        <w:rPr>
          <w:rFonts w:hint="default" w:ascii="Times New Roman" w:hAnsi="Times New Roman" w:cs="Times New Roman" w:eastAsiaTheme="minorEastAsia"/>
          <w:kern w:val="0"/>
          <w:sz w:val="24"/>
          <w:szCs w:val="24"/>
          <w:highlight w:val="none"/>
        </w:rPr>
        <w:t>认定该投标人以低于成本报价竞标，</w:t>
      </w:r>
      <w:r>
        <w:rPr>
          <w:rFonts w:hint="eastAsia" w:ascii="Times New Roman" w:hAnsi="Times New Roman" w:cs="Times New Roman"/>
          <w:kern w:val="0"/>
          <w:sz w:val="24"/>
          <w:szCs w:val="24"/>
          <w:highlight w:val="none"/>
          <w:lang w:val="en-US" w:eastAsia="zh-CN"/>
        </w:rPr>
        <w:t>并</w:t>
      </w:r>
      <w:r>
        <w:rPr>
          <w:rFonts w:hint="default" w:ascii="Times New Roman" w:hAnsi="Times New Roman" w:cs="Times New Roman" w:eastAsiaTheme="minorEastAsia"/>
          <w:kern w:val="0"/>
          <w:sz w:val="24"/>
          <w:szCs w:val="24"/>
          <w:highlight w:val="none"/>
        </w:rPr>
        <w:t>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2" w:name="_Toc152042374"/>
      <w:bookmarkStart w:id="73" w:name="_Toc179632615"/>
      <w:bookmarkStart w:id="74" w:name="_Toc152045597"/>
      <w:bookmarkStart w:id="75" w:name="_Toc144974564"/>
      <w:bookmarkStart w:id="76" w:name="_Toc246996240"/>
      <w:bookmarkStart w:id="77" w:name="_Toc296602485"/>
      <w:bookmarkStart w:id="78" w:name="_Toc247085755"/>
      <w:bookmarkStart w:id="79" w:name="_Toc246996983"/>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3.4.2 评标委员会完成评标后，应当向招标人提交书面评标报告</w:t>
      </w:r>
      <w:r>
        <w:rPr>
          <w:rFonts w:hint="eastAsia" w:ascii="Times New Roman" w:hAnsi="Times New Roman" w:cs="Times New Roman"/>
          <w:kern w:val="0"/>
          <w:sz w:val="24"/>
          <w:szCs w:val="24"/>
          <w:highlight w:val="none"/>
          <w:lang w:val="en-US" w:eastAsia="zh-CN"/>
        </w:rPr>
        <w:t>和中标候选人名单。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numPr>
          <w:ilvl w:val="0"/>
          <w:numId w:val="2"/>
        </w:numPr>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合同条款及格式</w:t>
      </w:r>
    </w:p>
    <w:tbl>
      <w:tblPr>
        <w:tblStyle w:val="17"/>
        <w:tblW w:w="0" w:type="auto"/>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9"/>
        <w:gridCol w:w="2576"/>
        <w:gridCol w:w="3825"/>
        <w:gridCol w:w="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9"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仿宋_GB2312" w:cs="Times New Roman"/>
                <w:sz w:val="21"/>
                <w:szCs w:val="21"/>
                <w:vertAlign w:val="baseline"/>
                <w:lang w:val="en-US" w:eastAsia="zh-CN"/>
              </w:rPr>
            </w:pPr>
            <w:r>
              <w:rPr>
                <w:rFonts w:hint="eastAsia" w:ascii="Times New Roman" w:hAnsi="Times New Roman" w:eastAsia="仿宋_GB2312" w:cs="Times New Roman"/>
                <w:sz w:val="21"/>
                <w:szCs w:val="21"/>
                <w:vertAlign w:val="baseline"/>
                <w:lang w:val="en-US" w:eastAsia="zh-CN"/>
              </w:rPr>
              <w:t>工作名称</w:t>
            </w:r>
          </w:p>
        </w:tc>
        <w:tc>
          <w:tcPr>
            <w:tcW w:w="2576" w:type="dxa"/>
          </w:tcPr>
          <w:p>
            <w:pPr>
              <w:keepNext w:val="0"/>
              <w:keepLines w:val="0"/>
              <w:pageBreakBefore w:val="0"/>
              <w:widowControl w:val="0"/>
              <w:kinsoku/>
              <w:wordWrap/>
              <w:overflowPunct/>
              <w:topLinePunct w:val="0"/>
              <w:autoSpaceDE/>
              <w:autoSpaceDN/>
              <w:bidi w:val="0"/>
              <w:adjustRightInd/>
              <w:snapToGrid/>
              <w:spacing w:line="520" w:lineRule="exact"/>
              <w:ind w:firstLine="210" w:firstLineChars="100"/>
              <w:jc w:val="center"/>
              <w:textAlignment w:val="auto"/>
              <w:rPr>
                <w:rFonts w:hint="eastAsia" w:ascii="Times New Roman" w:hAnsi="Times New Roman" w:eastAsia="仿宋_GB2312" w:cs="Times New Roman"/>
                <w:sz w:val="21"/>
                <w:szCs w:val="21"/>
                <w:vertAlign w:val="baseline"/>
                <w:lang w:val="en-US" w:eastAsia="zh-CN"/>
              </w:rPr>
            </w:pPr>
            <w:r>
              <w:rPr>
                <w:rFonts w:hint="eastAsia" w:ascii="Times New Roman" w:hAnsi="Times New Roman" w:eastAsia="仿宋_GB2312" w:cs="Times New Roman"/>
                <w:sz w:val="21"/>
                <w:szCs w:val="21"/>
                <w:vertAlign w:val="baseline"/>
                <w:lang w:val="en-US" w:eastAsia="zh-CN"/>
              </w:rPr>
              <w:t>费用计算方式</w:t>
            </w:r>
          </w:p>
        </w:tc>
        <w:tc>
          <w:tcPr>
            <w:tcW w:w="3825" w:type="dxa"/>
          </w:tcPr>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imes New Roman" w:hAnsi="Times New Roman" w:eastAsia="仿宋_GB2312" w:cs="Times New Roman"/>
                <w:sz w:val="21"/>
                <w:szCs w:val="21"/>
                <w:vertAlign w:val="baseline"/>
                <w:lang w:val="en-US" w:eastAsia="zh-CN"/>
              </w:rPr>
            </w:pPr>
            <w:r>
              <w:rPr>
                <w:rFonts w:hint="eastAsia" w:ascii="Times New Roman" w:hAnsi="Times New Roman" w:eastAsia="仿宋_GB2312" w:cs="Times New Roman"/>
                <w:sz w:val="21"/>
                <w:szCs w:val="21"/>
                <w:vertAlign w:val="baseline"/>
                <w:lang w:val="en-US" w:eastAsia="zh-CN"/>
              </w:rPr>
              <w:t>付款方式</w:t>
            </w:r>
          </w:p>
        </w:tc>
        <w:tc>
          <w:tcPr>
            <w:tcW w:w="477"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仿宋_GB2312" w:cs="Times New Roman"/>
                <w:sz w:val="21"/>
                <w:szCs w:val="21"/>
                <w:vertAlign w:val="baseline"/>
                <w:lang w:val="en-US" w:eastAsia="zh-CN"/>
              </w:rPr>
            </w:pPr>
            <w:r>
              <w:rPr>
                <w:rFonts w:hint="eastAsia" w:ascii="Times New Roman" w:hAnsi="Times New Roman" w:eastAsia="仿宋_GB2312" w:cs="Times New Roman"/>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9" w:type="dxa"/>
          </w:tcPr>
          <w:p>
            <w:pPr>
              <w:keepNext w:val="0"/>
              <w:keepLines w:val="0"/>
              <w:pageBreakBefore w:val="0"/>
              <w:widowControl w:val="0"/>
              <w:kinsoku/>
              <w:wordWrap/>
              <w:overflowPunct/>
              <w:topLinePunct w:val="0"/>
              <w:autoSpaceDE/>
              <w:autoSpaceDN/>
              <w:bidi w:val="0"/>
              <w:adjustRightInd/>
              <w:snapToGrid/>
              <w:spacing w:line="520" w:lineRule="exact"/>
              <w:ind w:firstLine="630" w:firstLineChars="300"/>
              <w:textAlignment w:val="auto"/>
              <w:rPr>
                <w:rFonts w:hint="eastAsia" w:ascii="Times New Roman" w:hAnsi="Times New Roman" w:eastAsia="仿宋_GB2312" w:cs="Times New Roman"/>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30" w:firstLineChars="300"/>
              <w:textAlignment w:val="auto"/>
              <w:rPr>
                <w:rFonts w:hint="eastAsia" w:ascii="Times New Roman" w:hAnsi="Times New Roman" w:eastAsia="仿宋_GB2312" w:cs="Times New Roman"/>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仿宋_GB2312" w:cs="Times New Roman"/>
                <w:sz w:val="21"/>
                <w:szCs w:val="21"/>
                <w:vertAlign w:val="baseline"/>
                <w:lang w:val="en-US" w:eastAsia="zh-CN"/>
              </w:rPr>
            </w:pPr>
            <w:r>
              <w:rPr>
                <w:rFonts w:hint="eastAsia" w:ascii="Times New Roman" w:hAnsi="Times New Roman" w:eastAsia="仿宋_GB2312" w:cs="Times New Roman"/>
                <w:sz w:val="21"/>
                <w:szCs w:val="21"/>
                <w:vertAlign w:val="baseline"/>
                <w:lang w:val="en-US" w:eastAsia="zh-CN"/>
              </w:rPr>
              <w:t>勘察</w:t>
            </w:r>
          </w:p>
        </w:tc>
        <w:tc>
          <w:tcPr>
            <w:tcW w:w="2576" w:type="dxa"/>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Times New Roman" w:hAnsi="Times New Roman" w:eastAsia="仿宋_GB2312" w:cs="Times New Roman"/>
                <w:sz w:val="21"/>
                <w:szCs w:val="21"/>
                <w:vertAlign w:val="baseline"/>
                <w:lang w:val="en-US" w:eastAsia="zh-CN"/>
              </w:rPr>
            </w:pPr>
            <w:r>
              <w:rPr>
                <w:rFonts w:hint="eastAsia" w:ascii="Times New Roman" w:hAnsi="Times New Roman" w:eastAsia="仿宋_GB2312" w:cs="Times New Roman"/>
                <w:sz w:val="21"/>
                <w:szCs w:val="21"/>
                <w:vertAlign w:val="baseline"/>
                <w:lang w:val="en-US" w:eastAsia="zh-CN"/>
              </w:rPr>
              <w:t>综合单价包干，按单价报价，建筑面积约31万平米。（方格网测量工作费用已包含在该项总价中，不再另行支付）</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1"/>
                <w:szCs w:val="21"/>
                <w:vertAlign w:val="baseline"/>
                <w:lang w:val="en-US" w:eastAsia="zh-CN"/>
              </w:rPr>
            </w:pPr>
          </w:p>
        </w:tc>
        <w:tc>
          <w:tcPr>
            <w:tcW w:w="3825"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1"/>
                <w:szCs w:val="21"/>
                <w:vertAlign w:val="baseline"/>
                <w:lang w:val="en-US" w:eastAsia="zh-CN"/>
              </w:rPr>
            </w:pPr>
            <w:r>
              <w:rPr>
                <w:rFonts w:hint="eastAsia" w:ascii="Times New Roman" w:hAnsi="Times New Roman" w:eastAsia="仿宋_GB2312" w:cs="Times New Roman"/>
                <w:sz w:val="21"/>
                <w:szCs w:val="21"/>
                <w:vertAlign w:val="baseline"/>
                <w:lang w:val="en-US" w:eastAsia="zh-CN"/>
              </w:rPr>
              <w:t>进场后10个工作日内支付至该工作合同款项的10%；勘察报告完成并审查合格后15个工作日内支付该工作合同款项的70%；工程验收合格后15个工作日内一次性支付该工作合同款项余款。</w:t>
            </w:r>
          </w:p>
        </w:tc>
        <w:tc>
          <w:tcPr>
            <w:tcW w:w="477"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仿宋_GB2312"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9" w:type="dxa"/>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Times New Roman" w:hAnsi="Times New Roman" w:eastAsia="仿宋_GB2312" w:cs="Times New Roman"/>
                <w:sz w:val="21"/>
                <w:szCs w:val="21"/>
                <w:vertAlign w:val="baseline"/>
                <w:lang w:val="en-US" w:eastAsia="zh-CN"/>
              </w:rPr>
            </w:pPr>
            <w:r>
              <w:rPr>
                <w:rFonts w:hint="eastAsia" w:ascii="Times New Roman" w:hAnsi="Times New Roman" w:eastAsia="仿宋_GB2312" w:cs="Times New Roman"/>
                <w:sz w:val="21"/>
                <w:szCs w:val="21"/>
                <w:vertAlign w:val="baseline"/>
                <w:lang w:val="en-US" w:eastAsia="zh-CN"/>
              </w:rPr>
              <w:t>基坑监测及沉降观测</w:t>
            </w:r>
          </w:p>
        </w:tc>
        <w:tc>
          <w:tcPr>
            <w:tcW w:w="2576" w:type="dxa"/>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Times New Roman" w:hAnsi="Times New Roman" w:eastAsia="仿宋_GB2312" w:cs="Times New Roman"/>
                <w:sz w:val="21"/>
                <w:szCs w:val="21"/>
                <w:vertAlign w:val="baseline"/>
                <w:lang w:val="en-US" w:eastAsia="zh-CN"/>
              </w:rPr>
            </w:pPr>
            <w:r>
              <w:rPr>
                <w:rFonts w:hint="eastAsia" w:ascii="Times New Roman" w:hAnsi="Times New Roman" w:eastAsia="仿宋_GB2312" w:cs="Times New Roman"/>
                <w:sz w:val="21"/>
                <w:szCs w:val="21"/>
                <w:vertAlign w:val="baseline"/>
                <w:lang w:val="en-US" w:eastAsia="zh-CN"/>
              </w:rPr>
              <w:t>一次性包干</w:t>
            </w:r>
          </w:p>
        </w:tc>
        <w:tc>
          <w:tcPr>
            <w:tcW w:w="3825"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1"/>
                <w:szCs w:val="21"/>
                <w:vertAlign w:val="baseline"/>
                <w:lang w:val="en-US" w:eastAsia="zh-CN"/>
              </w:rPr>
            </w:pPr>
            <w:r>
              <w:rPr>
                <w:rFonts w:hint="eastAsia" w:ascii="Times New Roman" w:hAnsi="Times New Roman" w:eastAsia="仿宋_GB2312" w:cs="Times New Roman"/>
                <w:sz w:val="21"/>
                <w:szCs w:val="21"/>
                <w:vertAlign w:val="baseline"/>
                <w:lang w:val="en-US" w:eastAsia="zh-CN"/>
              </w:rPr>
              <w:t>提交本工程全部完整的观测报告，经发包人确认符合相关规定后10个工作日内支付对应基坑检测款项的70%；分期竣工验收前提交合格的沉降观测成果，经发包人确认至竣工验收时止的工程量后10个工作日内支付对应沉降观测款项的70%；全部竣工验收后提交至沉降稳定时数据并经相关部门认可后15个工作日内，一次性结清该部分余款。</w:t>
            </w:r>
          </w:p>
        </w:tc>
        <w:tc>
          <w:tcPr>
            <w:tcW w:w="477"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仿宋_GB2312"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1549" w:type="dxa"/>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Times New Roman" w:hAnsi="Times New Roman" w:eastAsia="仿宋_GB2312" w:cs="Times New Roman"/>
                <w:sz w:val="21"/>
                <w:szCs w:val="21"/>
                <w:vertAlign w:val="baseline"/>
                <w:lang w:val="en-US" w:eastAsia="zh-CN"/>
              </w:rPr>
            </w:pPr>
            <w:r>
              <w:rPr>
                <w:rFonts w:hint="eastAsia" w:ascii="Times New Roman" w:hAnsi="Times New Roman" w:eastAsia="仿宋_GB2312" w:cs="Times New Roman"/>
                <w:sz w:val="21"/>
                <w:szCs w:val="21"/>
                <w:vertAlign w:val="baseline"/>
                <w:lang w:val="en-US" w:eastAsia="zh-CN"/>
              </w:rPr>
              <w:t>其他工作及后续与相关单位的配合服务</w:t>
            </w:r>
          </w:p>
        </w:tc>
        <w:tc>
          <w:tcPr>
            <w:tcW w:w="2576" w:type="dxa"/>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Times New Roman" w:hAnsi="Times New Roman" w:eastAsia="仿宋_GB2312" w:cs="Times New Roman"/>
                <w:sz w:val="21"/>
                <w:szCs w:val="21"/>
                <w:vertAlign w:val="baseline"/>
                <w:lang w:val="en-US" w:eastAsia="zh-CN"/>
              </w:rPr>
            </w:pPr>
            <w:r>
              <w:rPr>
                <w:rFonts w:hint="eastAsia" w:ascii="Times New Roman" w:hAnsi="Times New Roman" w:eastAsia="仿宋_GB2312" w:cs="Times New Roman"/>
                <w:sz w:val="21"/>
                <w:szCs w:val="21"/>
                <w:vertAlign w:val="baseline"/>
                <w:lang w:val="en-US" w:eastAsia="zh-CN"/>
              </w:rPr>
              <w:t>一次性包干</w:t>
            </w:r>
          </w:p>
        </w:tc>
        <w:tc>
          <w:tcPr>
            <w:tcW w:w="3825"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1"/>
                <w:szCs w:val="21"/>
                <w:vertAlign w:val="baseline"/>
                <w:lang w:val="en-US" w:eastAsia="zh-CN"/>
              </w:rPr>
            </w:pPr>
            <w:r>
              <w:rPr>
                <w:rFonts w:hint="eastAsia" w:ascii="Times New Roman" w:hAnsi="Times New Roman" w:eastAsia="仿宋_GB2312" w:cs="Times New Roman"/>
                <w:sz w:val="21"/>
                <w:szCs w:val="21"/>
                <w:vertAlign w:val="baseline"/>
                <w:lang w:val="en-US" w:eastAsia="zh-CN"/>
              </w:rPr>
              <w:t>全部建筑主体封顶后10个工作日内支付该部分工作款项的70%；工程竣工验收合格后15个工作日内一次性结清该部分余款。</w:t>
            </w:r>
          </w:p>
        </w:tc>
        <w:tc>
          <w:tcPr>
            <w:tcW w:w="477"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仿宋_GB2312" w:cs="Times New Roman"/>
                <w:sz w:val="21"/>
                <w:szCs w:val="21"/>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b/>
          <w:bCs/>
          <w:sz w:val="24"/>
          <w:szCs w:val="24"/>
          <w:highlight w:val="none"/>
          <w:lang w:val="en-US" w:eastAsia="zh-CN"/>
        </w:rPr>
      </w:pPr>
      <w:r>
        <w:rPr>
          <w:rFonts w:hint="eastAsia" w:ascii="Times New Roman" w:hAnsi="Times New Roman" w:eastAsia="仿宋_GB2312" w:cs="Times New Roman"/>
          <w:sz w:val="24"/>
          <w:szCs w:val="24"/>
          <w:lang w:val="en-US" w:eastAsia="zh-CN"/>
        </w:rPr>
        <w:t>说明：合同条款</w:t>
      </w:r>
      <w:r>
        <w:rPr>
          <w:rFonts w:hint="default" w:ascii="Times New Roman" w:hAnsi="Times New Roman" w:eastAsia="仿宋_GB2312" w:cs="Times New Roman"/>
          <w:sz w:val="24"/>
          <w:szCs w:val="24"/>
          <w:lang w:val="en-US" w:eastAsia="zh-CN"/>
        </w:rPr>
        <w:t>由</w:t>
      </w:r>
      <w:r>
        <w:rPr>
          <w:rFonts w:hint="eastAsia" w:ascii="Times New Roman" w:hAnsi="Times New Roman" w:eastAsia="仿宋_GB2312" w:cs="Times New Roman"/>
          <w:sz w:val="24"/>
          <w:szCs w:val="24"/>
          <w:lang w:val="en-US" w:eastAsia="zh-CN"/>
        </w:rPr>
        <w:t>招标</w:t>
      </w:r>
      <w:r>
        <w:rPr>
          <w:rFonts w:hint="default" w:ascii="Times New Roman" w:hAnsi="Times New Roman" w:eastAsia="仿宋_GB2312" w:cs="Times New Roman"/>
          <w:sz w:val="24"/>
          <w:szCs w:val="24"/>
          <w:lang w:val="en-US" w:eastAsia="zh-CN"/>
        </w:rPr>
        <w:t>人与</w:t>
      </w:r>
      <w:r>
        <w:rPr>
          <w:rFonts w:hint="eastAsia" w:ascii="Times New Roman" w:hAnsi="Times New Roman" w:eastAsia="仿宋_GB2312" w:cs="Times New Roman"/>
          <w:sz w:val="24"/>
          <w:szCs w:val="24"/>
          <w:lang w:val="en-US" w:eastAsia="zh-CN"/>
        </w:rPr>
        <w:t>中标单</w:t>
      </w:r>
      <w:r>
        <w:rPr>
          <w:rFonts w:hint="default" w:ascii="Times New Roman" w:hAnsi="Times New Roman" w:eastAsia="仿宋_GB2312" w:cs="Times New Roman"/>
          <w:sz w:val="24"/>
          <w:szCs w:val="24"/>
          <w:lang w:val="en-US" w:eastAsia="zh-CN"/>
        </w:rPr>
        <w:t>位在不违背</w:t>
      </w:r>
      <w:r>
        <w:rPr>
          <w:rFonts w:hint="eastAsia" w:ascii="Times New Roman" w:hAnsi="Times New Roman" w:eastAsia="仿宋_GB2312" w:cs="Times New Roman"/>
          <w:sz w:val="24"/>
          <w:szCs w:val="24"/>
          <w:lang w:val="en-US" w:eastAsia="zh-CN"/>
        </w:rPr>
        <w:t>招标文件</w:t>
      </w:r>
      <w:r>
        <w:rPr>
          <w:rFonts w:hint="default" w:ascii="Times New Roman" w:hAnsi="Times New Roman" w:eastAsia="仿宋_GB2312" w:cs="Times New Roman"/>
          <w:sz w:val="24"/>
          <w:szCs w:val="24"/>
          <w:lang w:val="en-US" w:eastAsia="zh-CN"/>
        </w:rPr>
        <w:t>内容和</w:t>
      </w:r>
      <w:r>
        <w:rPr>
          <w:rFonts w:hint="eastAsia" w:ascii="Times New Roman" w:hAnsi="Times New Roman" w:eastAsia="仿宋_GB2312" w:cs="Times New Roman"/>
          <w:sz w:val="24"/>
          <w:szCs w:val="24"/>
          <w:lang w:val="en-US" w:eastAsia="zh-CN"/>
        </w:rPr>
        <w:t>投标</w:t>
      </w:r>
      <w:r>
        <w:rPr>
          <w:rFonts w:hint="default" w:ascii="Times New Roman" w:hAnsi="Times New Roman" w:eastAsia="仿宋_GB2312" w:cs="Times New Roman"/>
          <w:sz w:val="24"/>
          <w:szCs w:val="24"/>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五</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80" w:name="_Toc152042576"/>
      <w:bookmarkStart w:id="81" w:name="_Toc152045787"/>
      <w:bookmarkStart w:id="82" w:name="_Toc247514246"/>
      <w:bookmarkStart w:id="83" w:name="_Toc144974856"/>
      <w:bookmarkStart w:id="84" w:name="_Toc300835209"/>
      <w:bookmarkStart w:id="85" w:name="_Toc247527827"/>
      <w:r>
        <w:rPr>
          <w:rFonts w:hint="default" w:ascii="Times New Roman" w:hAnsi="Times New Roman" w:cs="Times New Roman"/>
        </w:rPr>
        <w:t>目    录</w:t>
      </w:r>
      <w:bookmarkEnd w:id="80"/>
      <w:bookmarkEnd w:id="81"/>
      <w:bookmarkEnd w:id="82"/>
      <w:bookmarkEnd w:id="83"/>
      <w:bookmarkEnd w:id="84"/>
      <w:bookmarkEnd w:id="85"/>
    </w:p>
    <w:p>
      <w:pPr>
        <w:spacing w:line="540" w:lineRule="exact"/>
        <w:rPr>
          <w:rFonts w:hint="default" w:ascii="Times New Roman" w:hAnsi="Times New Roman" w:cs="Times New Roman"/>
        </w:rPr>
      </w:pPr>
    </w:p>
    <w:p>
      <w:pPr>
        <w:spacing w:line="540" w:lineRule="exact"/>
        <w:rPr>
          <w:rFonts w:hint="eastAsia" w:ascii="Times New Roman" w:hAnsi="Times New Roman" w:cs="Times New Roman" w:eastAsiaTheme="minorEastAsia"/>
          <w:highlight w:val="none"/>
          <w:lang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五、承诺书</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六、勘察方服务方案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numPr>
          <w:ilvl w:val="0"/>
          <w:numId w:val="3"/>
        </w:numPr>
        <w:jc w:val="center"/>
        <w:rPr>
          <w:rFonts w:hint="default" w:ascii="Times New Roman" w:hAnsi="Times New Roman" w:cs="Times New Roman"/>
        </w:rPr>
      </w:pPr>
      <w:bookmarkStart w:id="86" w:name="_Toc247514247"/>
      <w:bookmarkStart w:id="87" w:name="_Toc247527828"/>
      <w:bookmarkStart w:id="88" w:name="_Toc152045788"/>
      <w:bookmarkStart w:id="89" w:name="_Toc300835210"/>
      <w:bookmarkStart w:id="90" w:name="_Toc152042577"/>
      <w:bookmarkStart w:id="91" w:name="_Toc144974857"/>
      <w:r>
        <w:rPr>
          <w:rFonts w:hint="default" w:ascii="Times New Roman" w:hAnsi="Times New Roman" w:cs="Times New Roman"/>
        </w:rPr>
        <w:t>投标函</w:t>
      </w:r>
      <w:bookmarkEnd w:id="86"/>
      <w:bookmarkEnd w:id="87"/>
      <w:bookmarkEnd w:id="88"/>
      <w:bookmarkEnd w:id="89"/>
      <w:bookmarkEnd w:id="90"/>
      <w:bookmarkEnd w:id="91"/>
      <w:r>
        <w:rPr>
          <w:rFonts w:hint="default" w:ascii="Times New Roman" w:hAnsi="Times New Roman" w:cs="Times New Roman"/>
        </w:rPr>
        <w:t>及投标函附录</w:t>
      </w:r>
    </w:p>
    <w:p>
      <w:pPr>
        <w:pStyle w:val="4"/>
        <w:jc w:val="center"/>
        <w:rPr>
          <w:rFonts w:hint="default" w:ascii="Times New Roman" w:hAnsi="Times New Roman" w:cs="Times New Roman"/>
          <w:sz w:val="20"/>
          <w:szCs w:val="20"/>
        </w:rPr>
      </w:pPr>
      <w:bookmarkStart w:id="92" w:name="_Toc144974858"/>
      <w:bookmarkStart w:id="93" w:name="_Toc247085875"/>
      <w:bookmarkStart w:id="94" w:name="_Toc152045789"/>
      <w:bookmarkStart w:id="95" w:name="_Toc179632809"/>
      <w:bookmarkStart w:id="96" w:name="_Toc296602603"/>
      <w:bookmarkStart w:id="97" w:name="_Toc246997100"/>
      <w:bookmarkStart w:id="98" w:name="_Toc152042578"/>
      <w:bookmarkStart w:id="99" w:name="_Toc246996357"/>
      <w:r>
        <w:rPr>
          <w:rFonts w:hint="default" w:ascii="Times New Roman" w:hAnsi="Times New Roman" w:cs="Times New Roman"/>
          <w:highlight w:val="none"/>
        </w:rPr>
        <w:t>（一）投标函</w:t>
      </w:r>
      <w:bookmarkEnd w:id="92"/>
      <w:bookmarkEnd w:id="93"/>
      <w:bookmarkEnd w:id="94"/>
      <w:bookmarkEnd w:id="95"/>
      <w:bookmarkEnd w:id="96"/>
      <w:bookmarkEnd w:id="97"/>
      <w:bookmarkEnd w:id="98"/>
      <w:bookmarkEnd w:id="99"/>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招标文件的全部内容，愿意以人民币（大写）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）提供本项目所需的全部</w:t>
      </w:r>
      <w:r>
        <w:rPr>
          <w:rFonts w:hint="eastAsia" w:ascii="Times New Roman" w:hAnsi="Times New Roman" w:cs="Times New Roman"/>
          <w:szCs w:val="21"/>
          <w:u w:val="none"/>
          <w:lang w:val="en-US" w:eastAsia="zh-CN"/>
        </w:rPr>
        <w:t>勘察工作及相关服务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（1）投标函；（2）法定代表人身份证明或授权委托书；（3）投标保证金；（4）资格审查资料；（5）承诺书；（6）勘察服务方案；（7）其他资料；.....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rPr>
      </w:pPr>
      <w:r>
        <w:rPr>
          <w:rFonts w:hint="default" w:ascii="Times New Roman" w:hAnsi="Times New Roman" w:cs="Times New Roman"/>
        </w:rPr>
        <w:t>7.我方完全理解贵中心不一定将合同授予最低报价的投标人。</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8.</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100" w:name="_Toc152045791"/>
      <w:bookmarkStart w:id="101" w:name="_Toc247514283"/>
      <w:bookmarkStart w:id="102" w:name="_Toc247527831"/>
      <w:bookmarkStart w:id="103" w:name="_Toc152042580"/>
      <w:bookmarkStart w:id="104" w:name="_Toc144974860"/>
      <w:bookmarkStart w:id="105" w:name="_Toc300835213"/>
    </w:p>
    <w:p>
      <w:pPr>
        <w:numPr>
          <w:ilvl w:val="0"/>
          <w:numId w:val="0"/>
        </w:numPr>
        <w:rPr>
          <w:rFonts w:hint="eastAsia" w:ascii="Times New Roman" w:hAnsi="Times New Roman" w:cs="Times New Roman"/>
          <w:lang w:eastAsia="zh-CN"/>
        </w:rPr>
      </w:pPr>
    </w:p>
    <w:p>
      <w:pPr>
        <w:pStyle w:val="4"/>
        <w:jc w:val="center"/>
        <w:rPr>
          <w:rFonts w:hint="default" w:ascii="Times New Roman" w:hAnsi="Times New Roman" w:eastAsia="黑体" w:cs="Times New Roman"/>
          <w:sz w:val="20"/>
          <w:szCs w:val="20"/>
          <w:highlight w:val="none"/>
        </w:rPr>
      </w:pPr>
      <w:r>
        <w:rPr>
          <w:rFonts w:hint="default" w:ascii="Times New Roman" w:hAnsi="Times New Roman" w:cs="Times New Roman"/>
        </w:rPr>
        <w:br w:type="page"/>
      </w:r>
      <w:bookmarkStart w:id="106" w:name="_Toc247085876"/>
      <w:bookmarkStart w:id="107" w:name="_Toc246996358"/>
      <w:bookmarkStart w:id="108" w:name="_Toc152042579"/>
      <w:bookmarkStart w:id="109" w:name="_Toc152045790"/>
      <w:bookmarkStart w:id="110" w:name="_Toc246997101"/>
      <w:bookmarkStart w:id="111" w:name="_Toc179632810"/>
      <w:bookmarkStart w:id="112" w:name="_Toc144974859"/>
      <w:bookmarkStart w:id="113" w:name="_Toc296602604"/>
      <w:r>
        <w:rPr>
          <w:rFonts w:hint="default" w:ascii="Times New Roman" w:hAnsi="Times New Roman" w:cs="Times New Roman"/>
          <w:highlight w:val="none"/>
        </w:rPr>
        <w:t>（二）投标函附录</w:t>
      </w:r>
      <w:bookmarkEnd w:id="106"/>
      <w:bookmarkEnd w:id="107"/>
      <w:bookmarkEnd w:id="108"/>
      <w:bookmarkEnd w:id="109"/>
      <w:bookmarkEnd w:id="110"/>
      <w:bookmarkEnd w:id="111"/>
      <w:bookmarkEnd w:id="112"/>
      <w:bookmarkEnd w:id="113"/>
    </w:p>
    <w:tbl>
      <w:tblPr>
        <w:tblStyle w:val="17"/>
        <w:tblW w:w="0" w:type="auto"/>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3"/>
        <w:gridCol w:w="1147"/>
        <w:gridCol w:w="1275"/>
        <w:gridCol w:w="1575"/>
        <w:gridCol w:w="1979"/>
        <w:gridCol w:w="1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3" w:type="dxa"/>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工作名称</w:t>
            </w:r>
          </w:p>
        </w:tc>
        <w:tc>
          <w:tcPr>
            <w:tcW w:w="1147" w:type="dxa"/>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单位</w:t>
            </w:r>
          </w:p>
        </w:tc>
        <w:tc>
          <w:tcPr>
            <w:tcW w:w="1275" w:type="dxa"/>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工程量</w:t>
            </w:r>
          </w:p>
        </w:tc>
        <w:tc>
          <w:tcPr>
            <w:tcW w:w="1575" w:type="dxa"/>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单价（元/平米）</w:t>
            </w:r>
          </w:p>
        </w:tc>
        <w:tc>
          <w:tcPr>
            <w:tcW w:w="1979" w:type="dxa"/>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总价（元）</w:t>
            </w:r>
          </w:p>
        </w:tc>
        <w:tc>
          <w:tcPr>
            <w:tcW w:w="1147" w:type="dxa"/>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0" w:hRule="atLeast"/>
        </w:trPr>
        <w:tc>
          <w:tcPr>
            <w:tcW w:w="1303" w:type="dxa"/>
          </w:tcPr>
          <w:p>
            <w:pPr>
              <w:spacing w:line="440" w:lineRule="exact"/>
              <w:jc w:val="center"/>
              <w:rPr>
                <w:rFonts w:hint="eastAsia" w:ascii="Times New Roman" w:hAnsi="Times New Roman" w:cs="Times New Roman"/>
                <w:b w:val="0"/>
                <w:bCs/>
                <w:szCs w:val="21"/>
                <w:highlight w:val="none"/>
                <w:lang w:val="en-US" w:eastAsia="zh-CN"/>
              </w:rPr>
            </w:pPr>
          </w:p>
          <w:p>
            <w:pPr>
              <w:spacing w:line="440" w:lineRule="exact"/>
              <w:jc w:val="center"/>
              <w:rPr>
                <w:rFonts w:hint="eastAsia" w:ascii="Times New Roman" w:hAnsi="Times New Roman" w:cs="Times New Roman"/>
                <w:b w:val="0"/>
                <w:bCs/>
                <w:szCs w:val="21"/>
                <w:highlight w:val="none"/>
                <w:lang w:val="en-US" w:eastAsia="zh-CN"/>
              </w:rPr>
            </w:pPr>
          </w:p>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勘察</w:t>
            </w:r>
          </w:p>
        </w:tc>
        <w:tc>
          <w:tcPr>
            <w:tcW w:w="1147" w:type="dxa"/>
          </w:tcPr>
          <w:p>
            <w:pPr>
              <w:spacing w:line="440" w:lineRule="exact"/>
              <w:jc w:val="center"/>
              <w:rPr>
                <w:rFonts w:hint="eastAsia" w:ascii="Times New Roman" w:hAnsi="Times New Roman" w:cs="Times New Roman"/>
                <w:b w:val="0"/>
                <w:bCs/>
                <w:szCs w:val="21"/>
                <w:highlight w:val="none"/>
                <w:lang w:val="en-US" w:eastAsia="zh-CN"/>
              </w:rPr>
            </w:pPr>
          </w:p>
          <w:p>
            <w:pPr>
              <w:spacing w:line="440" w:lineRule="exact"/>
              <w:jc w:val="center"/>
              <w:rPr>
                <w:rFonts w:hint="eastAsia" w:ascii="Times New Roman" w:hAnsi="Times New Roman" w:cs="Times New Roman"/>
                <w:b w:val="0"/>
                <w:bCs/>
                <w:szCs w:val="21"/>
                <w:highlight w:val="none"/>
                <w:lang w:val="en-US" w:eastAsia="zh-CN"/>
              </w:rPr>
            </w:pPr>
          </w:p>
          <w:p>
            <w:pPr>
              <w:spacing w:line="440" w:lineRule="exact"/>
              <w:jc w:val="center"/>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平方米</w:t>
            </w:r>
          </w:p>
        </w:tc>
        <w:tc>
          <w:tcPr>
            <w:tcW w:w="1275" w:type="dxa"/>
          </w:tcPr>
          <w:p>
            <w:pPr>
              <w:spacing w:line="440" w:lineRule="exact"/>
              <w:jc w:val="both"/>
              <w:rPr>
                <w:rFonts w:hint="eastAsia" w:ascii="Times New Roman" w:hAnsi="Times New Roman" w:cs="Times New Roman"/>
                <w:b w:val="0"/>
                <w:bCs/>
                <w:szCs w:val="21"/>
                <w:highlight w:val="none"/>
                <w:lang w:val="en-US" w:eastAsia="zh-CN"/>
              </w:rPr>
            </w:pPr>
          </w:p>
          <w:p>
            <w:pPr>
              <w:spacing w:line="440" w:lineRule="exact"/>
              <w:jc w:val="both"/>
              <w:rPr>
                <w:rFonts w:hint="eastAsia" w:ascii="Times New Roman" w:hAnsi="Times New Roman" w:cs="Times New Roman"/>
                <w:b w:val="0"/>
                <w:bCs/>
                <w:szCs w:val="21"/>
                <w:highlight w:val="none"/>
                <w:lang w:val="en-US" w:eastAsia="zh-CN"/>
              </w:rPr>
            </w:pPr>
          </w:p>
          <w:p>
            <w:pPr>
              <w:spacing w:line="440" w:lineRule="exact"/>
              <w:ind w:firstLine="210" w:firstLineChars="100"/>
              <w:jc w:val="both"/>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310000</w:t>
            </w:r>
          </w:p>
        </w:tc>
        <w:tc>
          <w:tcPr>
            <w:tcW w:w="1575" w:type="dxa"/>
          </w:tcPr>
          <w:p>
            <w:pPr>
              <w:spacing w:line="440" w:lineRule="exact"/>
              <w:jc w:val="center"/>
              <w:rPr>
                <w:rFonts w:hint="default" w:ascii="Times New Roman" w:hAnsi="Times New Roman" w:cs="Times New Roman"/>
                <w:b w:val="0"/>
                <w:bCs/>
                <w:szCs w:val="21"/>
                <w:highlight w:val="none"/>
                <w:lang w:val="en-US" w:eastAsia="zh-CN"/>
              </w:rPr>
            </w:pPr>
          </w:p>
        </w:tc>
        <w:tc>
          <w:tcPr>
            <w:tcW w:w="1979" w:type="dxa"/>
          </w:tcPr>
          <w:p>
            <w:pPr>
              <w:spacing w:line="440" w:lineRule="exact"/>
              <w:jc w:val="center"/>
              <w:rPr>
                <w:rFonts w:hint="default" w:ascii="Times New Roman" w:hAnsi="Times New Roman" w:cs="Times New Roman"/>
                <w:b w:val="0"/>
                <w:bCs/>
                <w:szCs w:val="21"/>
                <w:highlight w:val="none"/>
                <w:lang w:val="en-US" w:eastAsia="zh-CN"/>
              </w:rPr>
            </w:pPr>
          </w:p>
        </w:tc>
        <w:tc>
          <w:tcPr>
            <w:tcW w:w="1147" w:type="dxa"/>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3" w:type="dxa"/>
            <w:vMerge w:val="restart"/>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基坑监测及沉降观测</w:t>
            </w:r>
          </w:p>
        </w:tc>
        <w:tc>
          <w:tcPr>
            <w:tcW w:w="1147" w:type="dxa"/>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项</w:t>
            </w:r>
          </w:p>
        </w:tc>
        <w:tc>
          <w:tcPr>
            <w:tcW w:w="1275" w:type="dxa"/>
          </w:tcPr>
          <w:p>
            <w:pPr>
              <w:spacing w:line="440" w:lineRule="exact"/>
              <w:jc w:val="center"/>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1</w:t>
            </w:r>
          </w:p>
        </w:tc>
        <w:tc>
          <w:tcPr>
            <w:tcW w:w="1575" w:type="dxa"/>
          </w:tcPr>
          <w:p>
            <w:pPr>
              <w:spacing w:line="440" w:lineRule="exact"/>
              <w:jc w:val="center"/>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w:t>
            </w:r>
          </w:p>
        </w:tc>
        <w:tc>
          <w:tcPr>
            <w:tcW w:w="1979" w:type="dxa"/>
          </w:tcPr>
          <w:p>
            <w:pPr>
              <w:spacing w:line="440" w:lineRule="exact"/>
              <w:jc w:val="center"/>
              <w:rPr>
                <w:rFonts w:hint="default" w:ascii="Times New Roman" w:hAnsi="Times New Roman" w:cs="Times New Roman"/>
                <w:b w:val="0"/>
                <w:bCs/>
                <w:szCs w:val="21"/>
                <w:highlight w:val="none"/>
                <w:lang w:val="en-US" w:eastAsia="zh-CN"/>
              </w:rPr>
            </w:pPr>
          </w:p>
        </w:tc>
        <w:tc>
          <w:tcPr>
            <w:tcW w:w="1147" w:type="dxa"/>
            <w:vMerge w:val="restart"/>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3" w:type="dxa"/>
            <w:vMerge w:val="continue"/>
          </w:tcPr>
          <w:p>
            <w:pPr>
              <w:spacing w:line="440" w:lineRule="exact"/>
              <w:jc w:val="center"/>
              <w:rPr>
                <w:rFonts w:hint="eastAsia" w:ascii="Times New Roman" w:hAnsi="Times New Roman" w:cs="Times New Roman"/>
                <w:b w:val="0"/>
                <w:bCs/>
                <w:szCs w:val="21"/>
                <w:highlight w:val="none"/>
                <w:lang w:val="en-US" w:eastAsia="zh-CN"/>
              </w:rPr>
            </w:pPr>
          </w:p>
        </w:tc>
        <w:tc>
          <w:tcPr>
            <w:tcW w:w="1147" w:type="dxa"/>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项</w:t>
            </w:r>
          </w:p>
        </w:tc>
        <w:tc>
          <w:tcPr>
            <w:tcW w:w="1275" w:type="dxa"/>
          </w:tcPr>
          <w:p>
            <w:pPr>
              <w:spacing w:line="440" w:lineRule="exact"/>
              <w:jc w:val="center"/>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1</w:t>
            </w:r>
          </w:p>
        </w:tc>
        <w:tc>
          <w:tcPr>
            <w:tcW w:w="1575" w:type="dxa"/>
          </w:tcPr>
          <w:p>
            <w:pPr>
              <w:spacing w:line="440" w:lineRule="exact"/>
              <w:jc w:val="center"/>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w:t>
            </w:r>
          </w:p>
        </w:tc>
        <w:tc>
          <w:tcPr>
            <w:tcW w:w="1979" w:type="dxa"/>
          </w:tcPr>
          <w:p>
            <w:pPr>
              <w:spacing w:line="440" w:lineRule="exact"/>
              <w:jc w:val="center"/>
              <w:rPr>
                <w:rFonts w:hint="default" w:ascii="Times New Roman" w:hAnsi="Times New Roman" w:cs="Times New Roman"/>
                <w:b w:val="0"/>
                <w:bCs/>
                <w:szCs w:val="21"/>
                <w:highlight w:val="none"/>
                <w:lang w:val="en-US" w:eastAsia="zh-CN"/>
              </w:rPr>
            </w:pPr>
          </w:p>
        </w:tc>
        <w:tc>
          <w:tcPr>
            <w:tcW w:w="1147" w:type="dxa"/>
            <w:vMerge w:val="continue"/>
          </w:tcPr>
          <w:p>
            <w:pPr>
              <w:spacing w:line="440" w:lineRule="exact"/>
              <w:jc w:val="center"/>
              <w:rPr>
                <w:rFonts w:hint="eastAsia" w:ascii="Times New Roman" w:hAnsi="Times New Roman" w:cs="Times New Roman"/>
                <w:b w:val="0"/>
                <w:bCs/>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1303" w:type="dxa"/>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其他工作及后续与相关单位的配合服务</w:t>
            </w:r>
          </w:p>
        </w:tc>
        <w:tc>
          <w:tcPr>
            <w:tcW w:w="1147" w:type="dxa"/>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项</w:t>
            </w:r>
          </w:p>
        </w:tc>
        <w:tc>
          <w:tcPr>
            <w:tcW w:w="1275" w:type="dxa"/>
          </w:tcPr>
          <w:p>
            <w:pPr>
              <w:spacing w:line="440" w:lineRule="exact"/>
              <w:jc w:val="center"/>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1</w:t>
            </w:r>
          </w:p>
        </w:tc>
        <w:tc>
          <w:tcPr>
            <w:tcW w:w="1575" w:type="dxa"/>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w:t>
            </w:r>
          </w:p>
        </w:tc>
        <w:tc>
          <w:tcPr>
            <w:tcW w:w="1979" w:type="dxa"/>
          </w:tcPr>
          <w:p>
            <w:pPr>
              <w:spacing w:line="440" w:lineRule="exact"/>
              <w:jc w:val="center"/>
              <w:rPr>
                <w:rFonts w:hint="default" w:ascii="Times New Roman" w:hAnsi="Times New Roman" w:cs="Times New Roman"/>
                <w:b w:val="0"/>
                <w:bCs/>
                <w:szCs w:val="21"/>
                <w:highlight w:val="none"/>
                <w:lang w:val="en-US" w:eastAsia="zh-CN"/>
              </w:rPr>
            </w:pPr>
          </w:p>
        </w:tc>
        <w:tc>
          <w:tcPr>
            <w:tcW w:w="1147" w:type="dxa"/>
          </w:tcPr>
          <w:p>
            <w:pPr>
              <w:spacing w:line="440" w:lineRule="exact"/>
              <w:jc w:val="center"/>
              <w:rPr>
                <w:rFonts w:hint="eastAsia" w:ascii="Times New Roman" w:hAnsi="Times New Roman" w:cs="Times New Roman"/>
                <w:b w:val="0"/>
                <w:bCs/>
                <w:szCs w:val="21"/>
                <w:highlight w:val="none"/>
                <w:lang w:val="en-US" w:eastAsia="zh-CN"/>
              </w:rPr>
            </w:pPr>
          </w:p>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1303" w:type="dxa"/>
          </w:tcPr>
          <w:p>
            <w:pPr>
              <w:spacing w:line="440" w:lineRule="exact"/>
              <w:jc w:val="center"/>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合计</w:t>
            </w:r>
          </w:p>
        </w:tc>
        <w:tc>
          <w:tcPr>
            <w:tcW w:w="1147" w:type="dxa"/>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元</w:t>
            </w:r>
          </w:p>
        </w:tc>
        <w:tc>
          <w:tcPr>
            <w:tcW w:w="1275" w:type="dxa"/>
          </w:tcPr>
          <w:p>
            <w:pPr>
              <w:spacing w:line="440" w:lineRule="exact"/>
              <w:jc w:val="center"/>
              <w:rPr>
                <w:rFonts w:hint="eastAsia" w:ascii="Times New Roman" w:hAnsi="Times New Roman" w:cs="Times New Roman"/>
                <w:b w:val="0"/>
                <w:bCs/>
                <w:szCs w:val="21"/>
                <w:highlight w:val="none"/>
                <w:lang w:val="en-US" w:eastAsia="zh-CN"/>
              </w:rPr>
            </w:pPr>
          </w:p>
        </w:tc>
        <w:tc>
          <w:tcPr>
            <w:tcW w:w="1575" w:type="dxa"/>
          </w:tcPr>
          <w:p>
            <w:pPr>
              <w:spacing w:line="440" w:lineRule="exact"/>
              <w:jc w:val="center"/>
              <w:rPr>
                <w:rFonts w:hint="eastAsia" w:ascii="Times New Roman" w:hAnsi="Times New Roman" w:cs="Times New Roman"/>
                <w:b w:val="0"/>
                <w:bCs/>
                <w:szCs w:val="21"/>
                <w:highlight w:val="none"/>
                <w:lang w:val="en-US" w:eastAsia="zh-CN"/>
              </w:rPr>
            </w:pPr>
          </w:p>
        </w:tc>
        <w:tc>
          <w:tcPr>
            <w:tcW w:w="1979" w:type="dxa"/>
          </w:tcPr>
          <w:p>
            <w:pPr>
              <w:spacing w:line="440" w:lineRule="exact"/>
              <w:jc w:val="center"/>
              <w:rPr>
                <w:rFonts w:hint="default" w:ascii="Times New Roman" w:hAnsi="Times New Roman" w:cs="Times New Roman"/>
                <w:b w:val="0"/>
                <w:bCs/>
                <w:szCs w:val="21"/>
                <w:highlight w:val="none"/>
                <w:lang w:val="en-US" w:eastAsia="zh-CN"/>
              </w:rPr>
            </w:pPr>
          </w:p>
        </w:tc>
        <w:tc>
          <w:tcPr>
            <w:tcW w:w="1147" w:type="dxa"/>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含税</w:t>
            </w: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注：</w:t>
      </w:r>
      <w:r>
        <w:rPr>
          <w:rFonts w:hint="eastAsia" w:ascii="Times New Roman" w:hAnsi="Times New Roman" w:cs="Times New Roman"/>
          <w:szCs w:val="21"/>
          <w:highlight w:val="none"/>
          <w:lang w:val="en-US" w:eastAsia="zh-CN"/>
        </w:rPr>
        <w:t>1.勘察按综合单价包干，按单价报价，总建筑面积约31万平米。（方格网测量工作费用已包含在该项总价中，不再另行支付），具体以实际建筑面积结算；</w:t>
      </w:r>
    </w:p>
    <w:p>
      <w:pPr>
        <w:keepNext w:val="0"/>
        <w:keepLines w:val="0"/>
        <w:pageBreakBefore w:val="0"/>
        <w:widowControl w:val="0"/>
        <w:kinsoku/>
        <w:wordWrap/>
        <w:overflowPunct/>
        <w:topLinePunct w:val="0"/>
        <w:autoSpaceDE/>
        <w:autoSpaceDN/>
        <w:bidi w:val="0"/>
        <w:adjustRightInd/>
        <w:snapToGrid/>
        <w:spacing w:line="440" w:lineRule="exact"/>
        <w:ind w:firstLine="840" w:firstLineChars="400"/>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2.基坑监测及沉降观测、其他工作及后续与相关单位的配合服务按一次包干。</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default" w:ascii="Times New Roman" w:hAnsi="Times New Roman" w:cs="Times New Roman"/>
          <w:szCs w:val="21"/>
          <w:highlight w:val="none"/>
          <w:lang w:val="en-US" w:eastAsia="zh-CN"/>
        </w:rPr>
      </w:pPr>
    </w:p>
    <w:p>
      <w:pPr>
        <w:spacing w:line="440" w:lineRule="exact"/>
        <w:ind w:firstLine="400" w:firstLineChars="200"/>
        <w:rPr>
          <w:rFonts w:hint="eastAsia" w:asciiTheme="minorEastAsia" w:hAnsiTheme="minorEastAsia" w:eastAsiaTheme="minorEastAsia" w:cstheme="minorEastAsia"/>
          <w:sz w:val="20"/>
          <w:szCs w:val="20"/>
          <w:highlight w:val="none"/>
          <w:lang w:val="en-US" w:eastAsia="zh-CN"/>
        </w:rPr>
      </w:pPr>
    </w:p>
    <w:p>
      <w:pPr>
        <w:spacing w:line="440" w:lineRule="exact"/>
        <w:ind w:firstLine="400" w:firstLineChars="200"/>
        <w:rPr>
          <w:rFonts w:hint="eastAsia" w:asciiTheme="minorEastAsia" w:hAnsiTheme="minorEastAsia" w:eastAsiaTheme="minorEastAsia" w:cstheme="minorEastAsia"/>
          <w:sz w:val="20"/>
          <w:szCs w:val="20"/>
          <w:highlight w:val="none"/>
          <w:lang w:val="en-US" w:eastAsia="zh-CN"/>
        </w:rPr>
      </w:pP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5040" w:firstLineChars="24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numPr>
          <w:ilvl w:val="0"/>
          <w:numId w:val="0"/>
        </w:numPr>
        <w:rPr>
          <w:rFonts w:hint="default" w:ascii="Times New Roman" w:hAnsi="Times New Roman" w:cs="Times New Roman"/>
        </w:rPr>
      </w:pPr>
    </w:p>
    <w:p>
      <w:pPr>
        <w:numPr>
          <w:ilvl w:val="0"/>
          <w:numId w:val="0"/>
        </w:numPr>
        <w:rPr>
          <w:rFonts w:hint="default" w:ascii="Times New Roman" w:hAnsi="Times New Roman" w:cs="Times New Roman"/>
        </w:rPr>
      </w:pPr>
    </w:p>
    <w:p>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100"/>
      <w:bookmarkEnd w:id="101"/>
      <w:bookmarkEnd w:id="102"/>
      <w:bookmarkEnd w:id="103"/>
      <w:bookmarkEnd w:id="104"/>
      <w:bookmarkEnd w:id="10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114" w:name="_Toc152045792"/>
      <w:bookmarkStart w:id="115" w:name="_Toc300835214"/>
      <w:bookmarkStart w:id="116" w:name="_Toc152042581"/>
      <w:bookmarkStart w:id="117" w:name="_Toc144974861"/>
      <w:bookmarkStart w:id="118" w:name="_Toc247514284"/>
      <w:bookmarkStart w:id="119" w:name="_Toc247527832"/>
      <w:r>
        <w:rPr>
          <w:rFonts w:hint="default" w:ascii="Times New Roman" w:hAnsi="Times New Roman" w:cs="Times New Roman"/>
        </w:rPr>
        <w:t>二、授权委托书</w:t>
      </w:r>
      <w:bookmarkEnd w:id="114"/>
      <w:bookmarkEnd w:id="115"/>
      <w:bookmarkEnd w:id="116"/>
      <w:bookmarkEnd w:id="117"/>
      <w:bookmarkEnd w:id="118"/>
      <w:bookmarkEnd w:id="119"/>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eastAsia" w:ascii="Times New Roman" w:hAnsi="Times New Roman" w:cs="Times New Roman"/>
          <w:szCs w:val="21"/>
          <w:lang w:val="en-US" w:eastAsia="zh-CN"/>
        </w:rPr>
      </w:pPr>
    </w:p>
    <w:p>
      <w:pPr>
        <w:spacing w:line="400" w:lineRule="exact"/>
        <w:rPr>
          <w:rFonts w:hint="eastAsia" w:ascii="Times New Roman" w:hAnsi="Times New Roman" w:cs="Times New Roman"/>
          <w:szCs w:val="21"/>
          <w:lang w:val="en-US" w:eastAsia="zh-CN"/>
        </w:rPr>
      </w:pPr>
    </w:p>
    <w:p>
      <w:pPr>
        <w:spacing w:line="400" w:lineRule="exact"/>
        <w:rPr>
          <w:rFonts w:hint="eastAsia" w:ascii="Times New Roman" w:hAnsi="Times New Roman" w:cs="Times New Roman"/>
          <w:szCs w:val="21"/>
          <w:lang w:val="en-US" w:eastAsia="zh-CN"/>
        </w:rPr>
      </w:pPr>
    </w:p>
    <w:p>
      <w:pPr>
        <w:spacing w:line="400" w:lineRule="exact"/>
        <w:rPr>
          <w:rFonts w:hint="default" w:ascii="Times New Roman" w:hAnsi="Times New Roman" w:cs="Times New Roman"/>
        </w:rPr>
      </w:pPr>
      <w:r>
        <w:rPr>
          <w:rFonts w:hint="eastAsia" w:ascii="Times New Roman" w:hAnsi="Times New Roman" w:cs="Times New Roman"/>
          <w:szCs w:val="21"/>
          <w:lang w:val="en-US" w:eastAsia="zh-CN"/>
        </w:rPr>
        <w:t>注：</w:t>
      </w:r>
      <w:r>
        <w:rPr>
          <w:rFonts w:hint="default" w:ascii="Times New Roman" w:hAnsi="Times New Roman" w:cs="Times New Roman"/>
          <w:szCs w:val="21"/>
        </w:rPr>
        <w:t>法定代表人参加投标活动并签署文件的不需要授权委托书，只需提供法定代表人身份证明；非法定代表人参加投标活动及签署文件的除提供法定代表人身份证明外还须提供授权委托书。</w:t>
      </w: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120" w:name="_Toc247514286"/>
      <w:bookmarkStart w:id="121" w:name="_Toc300835216"/>
      <w:bookmarkStart w:id="122" w:name="_Toc152045794"/>
      <w:bookmarkStart w:id="123" w:name="_Toc247527834"/>
      <w:bookmarkStart w:id="124" w:name="_Toc152042583"/>
      <w:bookmarkStart w:id="125" w:name="_Toc144974862"/>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120"/>
      <w:bookmarkEnd w:id="121"/>
      <w:bookmarkEnd w:id="122"/>
      <w:bookmarkEnd w:id="123"/>
      <w:bookmarkEnd w:id="124"/>
      <w:bookmarkEnd w:id="125"/>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26"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26"/>
    <w:p>
      <w:pPr>
        <w:rPr>
          <w:rFonts w:hint="default" w:ascii="Times New Roman" w:hAnsi="Times New Roman" w:eastAsia="黑体" w:cs="Times New Roman"/>
          <w:szCs w:val="21"/>
        </w:rPr>
      </w:pPr>
      <w:bookmarkStart w:id="127" w:name="_Toc300835223"/>
      <w:r>
        <w:rPr>
          <w:sz w:val="20"/>
        </w:rPr>
        <w:br w:type="page"/>
      </w:r>
    </w:p>
    <w:p>
      <w:pPr>
        <w:rPr>
          <w:rFonts w:hint="default" w:ascii="Times New Roman" w:hAnsi="Times New Roman" w:cs="Times New Roman"/>
          <w:szCs w:val="21"/>
        </w:rPr>
      </w:pPr>
    </w:p>
    <w:bookmarkEnd w:id="127"/>
    <w:p>
      <w:pPr>
        <w:pStyle w:val="3"/>
        <w:jc w:val="center"/>
        <w:rPr>
          <w:rFonts w:hint="eastAsia"/>
          <w:highlight w:val="none"/>
        </w:rPr>
      </w:pPr>
      <w:bookmarkStart w:id="128" w:name="_Toc152045808"/>
      <w:bookmarkStart w:id="129" w:name="_Toc247527848"/>
      <w:bookmarkStart w:id="130" w:name="_Toc247514300"/>
      <w:bookmarkStart w:id="131" w:name="_Toc144974876"/>
      <w:bookmarkStart w:id="132" w:name="_Toc152045803"/>
      <w:bookmarkStart w:id="133" w:name="_Toc152042592"/>
      <w:bookmarkStart w:id="134" w:name="_Toc152042597"/>
      <w:bookmarkStart w:id="135" w:name="_Toc247085887"/>
      <w:bookmarkStart w:id="136" w:name="_Toc296602614"/>
      <w:bookmarkStart w:id="137" w:name="_Toc246996369"/>
      <w:bookmarkStart w:id="138" w:name="_Toc179632823"/>
      <w:bookmarkStart w:id="139" w:name="_Toc144974871"/>
      <w:bookmarkStart w:id="140" w:name="_Toc246997112"/>
      <w:bookmarkStart w:id="141" w:name="_Toc300835224"/>
      <w:r>
        <w:rPr>
          <w:rFonts w:hint="eastAsia"/>
          <w:highlight w:val="none"/>
          <w:lang w:val="en-US" w:eastAsia="zh-CN"/>
        </w:rPr>
        <w:t>四</w:t>
      </w:r>
      <w:r>
        <w:rPr>
          <w:highlight w:val="none"/>
        </w:rPr>
        <w:t>、资格审查资料</w:t>
      </w:r>
    </w:p>
    <w:p>
      <w:pPr>
        <w:pStyle w:val="4"/>
        <w:jc w:val="both"/>
        <w:rPr>
          <w:rFonts w:hint="eastAsia"/>
        </w:rPr>
      </w:pPr>
      <w: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45"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注：1.投标人应根据投标人须知要求在本表后附相关证明材料；2.</w:t>
      </w:r>
      <w:r>
        <w:rPr>
          <w:rFonts w:hint="eastAsia" w:ascii="Times New Roman" w:hAnsi="Times New Roman" w:cs="Times New Roman"/>
          <w:lang w:val="en-US" w:eastAsia="zh-CN"/>
        </w:rPr>
        <w:t>如果投标人须知对投标人的资质提出了要求，投标人应根据投标人须知要求在本表后附相关资质证书复印件。</w:t>
      </w:r>
    </w:p>
    <w:p>
      <w:pPr>
        <w:rPr>
          <w:rFonts w:hint="default" w:ascii="Times New Roman" w:hAnsi="Times New Roman" w:cs="Times New Roman"/>
          <w:lang w:val="en-US" w:eastAsia="zh-CN"/>
        </w:rPr>
      </w:pPr>
    </w:p>
    <w:p>
      <w:pPr>
        <w:rPr>
          <w:rFonts w:hint="eastAsia" w:ascii="Times New Roman" w:hAnsi="Times New Roman"/>
          <w:highlight w:val="none"/>
        </w:rPr>
      </w:pPr>
      <w:r>
        <w:rPr>
          <w:rFonts w:hint="eastAsia"/>
        </w:rPr>
        <w:br w:type="page"/>
      </w:r>
    </w:p>
    <w:p>
      <w:pPr>
        <w:pStyle w:val="4"/>
        <w:ind w:firstLine="137"/>
        <w:rPr>
          <w:rFonts w:hint="eastAsia" w:ascii="Times New Roman" w:hAnsi="Times New Roman" w:eastAsiaTheme="minorEastAsia"/>
          <w:highlight w:val="none"/>
          <w:lang w:eastAsia="zh-CN"/>
        </w:rPr>
      </w:pPr>
      <w:r>
        <w:rPr>
          <w:rFonts w:hint="eastAsia" w:ascii="Times New Roman" w:hAnsi="Times New Roman"/>
          <w:highlight w:val="none"/>
        </w:rPr>
        <w:t>（二）近年财务状况表</w:t>
      </w:r>
    </w:p>
    <w:p>
      <w:pPr>
        <w:topLinePunct/>
        <w:spacing w:line="440" w:lineRule="exact"/>
        <w:ind w:firstLine="420" w:firstLineChars="200"/>
        <w:rPr>
          <w:rFonts w:hint="eastAsia" w:ascii="Times New Roman" w:hAnsi="Times New Roman"/>
          <w:color w:val="000000"/>
          <w:highlight w:val="none"/>
        </w:rPr>
      </w:pPr>
      <w:r>
        <w:rPr>
          <w:rFonts w:hint="eastAsia" w:ascii="Times New Roman" w:hAnsi="Times New Roman"/>
          <w:color w:val="000000"/>
          <w:highlight w:val="none"/>
          <w:lang w:val="en-US" w:eastAsia="zh-CN"/>
        </w:rPr>
        <w:t>1.</w:t>
      </w:r>
      <w:r>
        <w:rPr>
          <w:rFonts w:hint="eastAsia" w:ascii="Times New Roman" w:hAnsi="Times New Roman"/>
          <w:color w:val="000000"/>
          <w:highlight w:val="none"/>
        </w:rPr>
        <w:t>“近年财务状况表”应附经会计师事务所或审计机构审计的财务会计报表，包括资产</w:t>
      </w:r>
      <w:r>
        <w:rPr>
          <w:rFonts w:hint="eastAsia" w:ascii="Times New Roman" w:hAnsi="Times New Roman"/>
          <w:color w:val="000000"/>
          <w:highlight w:val="none"/>
          <w:lang w:val="en-US" w:eastAsia="zh-CN"/>
        </w:rPr>
        <w:t>负</w:t>
      </w:r>
      <w:r>
        <w:rPr>
          <w:rFonts w:hint="eastAsia" w:ascii="Times New Roman" w:hAnsi="Times New Roman"/>
          <w:color w:val="000000"/>
          <w:highlight w:val="none"/>
        </w:rPr>
        <w:t>债表、现金流量表、利润表和财务情况说明书的复印件，具体年份要求见投标人须知前附表。投标人的成立时间少于投标人须知前附表规定年份的，应提供成立以来的财务状况表。</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16" w:lineRule="auto"/>
        <w:ind w:left="136" w:leftChars="0"/>
        <w:textAlignment w:val="auto"/>
        <w:rPr>
          <w:rFonts w:hint="eastAsia" w:ascii="Times New Roman" w:hAnsi="Times New Roman"/>
          <w:highlight w:val="none"/>
        </w:rPr>
      </w:pPr>
    </w:p>
    <w:p>
      <w:pPr>
        <w:pStyle w:val="4"/>
        <w:numPr>
          <w:ilvl w:val="0"/>
          <w:numId w:val="0"/>
        </w:num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pStyle w:val="4"/>
        <w:numPr>
          <w:ilvl w:val="0"/>
          <w:numId w:val="0"/>
        </w:numPr>
        <w:rPr>
          <w:rFonts w:ascii="Times New Roman" w:hAnsi="Times New Roman"/>
          <w:highlight w:val="none"/>
        </w:rPr>
      </w:pPr>
      <w:r>
        <w:rPr>
          <w:rFonts w:hint="eastAsia" w:ascii="Times New Roman" w:hAnsi="Times New Roman"/>
          <w:highlight w:val="none"/>
        </w:rPr>
        <w:t>（</w:t>
      </w:r>
      <w:r>
        <w:rPr>
          <w:rFonts w:hint="eastAsia" w:ascii="Times New Roman" w:hAnsi="Times New Roman"/>
          <w:highlight w:val="none"/>
          <w:lang w:val="en-US" w:eastAsia="zh-CN"/>
        </w:rPr>
        <w:t>三</w:t>
      </w:r>
      <w:r>
        <w:rPr>
          <w:rFonts w:hint="eastAsia" w:ascii="Times New Roman" w:hAnsi="Times New Roman"/>
          <w:highlight w:val="none"/>
        </w:rPr>
        <w:t>）近年完成的类似项目</w:t>
      </w:r>
      <w:r>
        <w:rPr>
          <w:rFonts w:hint="eastAsia" w:ascii="Times New Roman" w:hAnsi="Times New Roman"/>
          <w:highlight w:val="none"/>
          <w:lang w:val="en-US" w:eastAsia="zh-CN"/>
        </w:rPr>
        <w:t>汇总</w:t>
      </w:r>
      <w:r>
        <w:rPr>
          <w:rFonts w:hint="eastAsia" w:ascii="Times New Roman" w:hAnsi="Times New Roman"/>
          <w:highlight w:val="none"/>
        </w:rPr>
        <w:t>表</w:t>
      </w:r>
    </w:p>
    <w:tbl>
      <w:tblPr>
        <w:tblStyle w:val="16"/>
        <w:tblW w:w="91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2751"/>
        <w:gridCol w:w="1949"/>
        <w:gridCol w:w="1489"/>
        <w:gridCol w:w="1144"/>
        <w:gridCol w:w="1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项目名称</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项目名称</w:t>
            </w: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r>
              <w:rPr>
                <w:rFonts w:hint="eastAsia" w:ascii="Times New Roman" w:hAnsi="Times New Roman"/>
                <w:highlight w:val="none"/>
                <w:lang w:val="en-US" w:eastAsia="zh-CN"/>
              </w:rPr>
              <w:t>对方单位</w:t>
            </w: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合同签订时间</w:t>
            </w: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合同金额</w:t>
            </w: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1</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2</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3</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bl>
    <w:p>
      <w:pPr>
        <w:topLinePunct/>
        <w:spacing w:line="440" w:lineRule="exact"/>
        <w:jc w:val="left"/>
        <w:rPr>
          <w:rFonts w:hint="eastAsia" w:ascii="Times New Roman" w:hAnsi="Times New Roman"/>
          <w:highlight w:val="none"/>
          <w:lang w:val="en-US"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pStyle w:val="4"/>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0"/>
        <w:gridCol w:w="6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072"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项目所在地</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450"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对方单位名称</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对方单位联系人及电话</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072"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072"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eastAsia"/>
        </w:rPr>
      </w:pPr>
      <w:r>
        <w:rPr>
          <w:rFonts w:hint="eastAsia"/>
        </w:rPr>
        <w:br w:type="page"/>
      </w:r>
    </w:p>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p>
      <w:pPr>
        <w:pStyle w:val="4"/>
        <w:ind w:firstLine="137"/>
        <w:rPr>
          <w:rFonts w:ascii="Times New Roman" w:hAnsi="Times New Roman"/>
          <w:highlight w:val="none"/>
        </w:rPr>
      </w:pPr>
      <w:bookmarkStart w:id="142" w:name="_Toc359594247"/>
      <w:bookmarkStart w:id="143" w:name="_Toc300835226"/>
      <w:bookmarkStart w:id="144" w:name="_Toc152042599"/>
      <w:bookmarkStart w:id="145" w:name="_Toc144974878"/>
      <w:bookmarkStart w:id="146" w:name="_Toc152045810"/>
      <w:bookmarkStart w:id="147" w:name="_Toc361508766"/>
      <w:bookmarkStart w:id="148" w:name="_Toc492300538"/>
      <w:bookmarkStart w:id="149" w:name="_Toc247527850"/>
      <w:bookmarkStart w:id="150" w:name="_Toc384308388"/>
      <w:bookmarkStart w:id="151" w:name="_Toc247514302"/>
      <w:bookmarkStart w:id="152" w:name="_Toc370676438"/>
      <w:bookmarkStart w:id="153" w:name="_Toc247514303"/>
      <w:bookmarkStart w:id="154" w:name="_Toc144974879"/>
      <w:bookmarkStart w:id="155" w:name="_Toc152042600"/>
      <w:bookmarkStart w:id="156" w:name="_Toc152045811"/>
      <w:bookmarkStart w:id="157" w:name="_Toc247527851"/>
      <w:bookmarkStart w:id="158" w:name="_Toc482188667"/>
      <w:bookmarkStart w:id="159" w:name="_Toc492300540"/>
      <w:r>
        <w:rPr>
          <w:rFonts w:hint="eastAsia" w:ascii="Times New Roman" w:hAnsi="Times New Roman"/>
          <w:highlight w:val="none"/>
        </w:rPr>
        <w:t>（五）正在履行和新承接的项目情况表</w:t>
      </w:r>
      <w:bookmarkEnd w:id="142"/>
      <w:bookmarkEnd w:id="143"/>
      <w:bookmarkEnd w:id="144"/>
      <w:bookmarkEnd w:id="145"/>
      <w:bookmarkEnd w:id="146"/>
      <w:bookmarkEnd w:id="147"/>
      <w:bookmarkEnd w:id="148"/>
      <w:bookmarkEnd w:id="149"/>
      <w:bookmarkEnd w:id="150"/>
      <w:bookmarkEnd w:id="151"/>
      <w:bookmarkEnd w:id="152"/>
    </w:p>
    <w:tbl>
      <w:tblPr>
        <w:tblStyle w:val="1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服务</w:t>
            </w:r>
            <w:r>
              <w:rPr>
                <w:rFonts w:ascii="Times New Roman" w:hAnsi="Times New Roman"/>
                <w:szCs w:val="21"/>
                <w:highlight w:val="none"/>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bookmarkEnd w:id="153"/>
      <w:bookmarkEnd w:id="154"/>
      <w:bookmarkEnd w:id="155"/>
      <w:bookmarkEnd w:id="156"/>
      <w:bookmarkEnd w:id="157"/>
    </w:tbl>
    <w:p>
      <w:pPr>
        <w:topLinePunct/>
        <w:spacing w:line="440" w:lineRule="exact"/>
        <w:jc w:val="left"/>
        <w:rPr>
          <w:rFonts w:hint="eastAsia" w:ascii="Times New Roman" w:hAnsi="Times New Roman"/>
          <w:szCs w:val="21"/>
          <w:highlight w:val="none"/>
        </w:rPr>
      </w:pPr>
      <w:r>
        <w:rPr>
          <w:rFonts w:ascii="Times New Roman" w:hAnsi="Times New Roman"/>
          <w:szCs w:val="21"/>
          <w:highlight w:val="none"/>
        </w:rPr>
        <w:t>注：</w:t>
      </w:r>
      <w:r>
        <w:rPr>
          <w:rFonts w:hint="eastAsia" w:ascii="Times New Roman" w:hAnsi="Times New Roman"/>
          <w:szCs w:val="21"/>
          <w:highlight w:val="none"/>
        </w:rPr>
        <w:t>“正在履行和新承接的项目情况表”应附中标通知书或合同协议书的复印件或扫描件</w:t>
      </w:r>
      <w:r>
        <w:rPr>
          <w:rFonts w:hint="eastAsia" w:ascii="Times New Roman" w:hAnsi="Times New Roman"/>
          <w:szCs w:val="21"/>
          <w:highlight w:val="none"/>
          <w:lang w:eastAsia="zh-CN"/>
        </w:rPr>
        <w:t>，并加盖投标人公章</w:t>
      </w:r>
      <w:r>
        <w:rPr>
          <w:rFonts w:hint="eastAsia" w:ascii="Times New Roman" w:hAnsi="Times New Roman"/>
          <w:szCs w:val="21"/>
          <w:highlight w:val="none"/>
        </w:rPr>
        <w:t>。每张表格只填写一个项目，并标明序号。</w:t>
      </w: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pStyle w:val="4"/>
        <w:ind w:firstLine="137"/>
        <w:rPr>
          <w:rFonts w:hint="eastAsia" w:ascii="Times New Roman" w:hAnsi="Times New Roman"/>
          <w:highlight w:val="none"/>
        </w:rPr>
      </w:pPr>
      <w:r>
        <w:rPr>
          <w:rFonts w:hint="eastAsia" w:ascii="Times New Roman" w:hAnsi="Times New Roman"/>
          <w:highlight w:val="none"/>
        </w:rPr>
        <w:t>（六）拟委任的主要人员汇总表</w:t>
      </w:r>
      <w:bookmarkEnd w:id="158"/>
      <w:bookmarkEnd w:id="159"/>
    </w:p>
    <w:tbl>
      <w:tblPr>
        <w:tblStyle w:val="16"/>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序号</w:t>
            </w:r>
          </w:p>
        </w:tc>
        <w:tc>
          <w:tcPr>
            <w:tcW w:w="1275"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本项目任职</w:t>
            </w:r>
          </w:p>
        </w:tc>
        <w:tc>
          <w:tcPr>
            <w:tcW w:w="992"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姓名</w:t>
            </w:r>
          </w:p>
        </w:tc>
        <w:tc>
          <w:tcPr>
            <w:tcW w:w="603"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职称</w:t>
            </w:r>
          </w:p>
        </w:tc>
        <w:tc>
          <w:tcPr>
            <w:tcW w:w="488"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专业</w:t>
            </w:r>
          </w:p>
        </w:tc>
        <w:tc>
          <w:tcPr>
            <w:tcW w:w="2714"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执业或职业资格证明</w:t>
            </w:r>
          </w:p>
        </w:tc>
        <w:tc>
          <w:tcPr>
            <w:tcW w:w="1656"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highlight w:val="none"/>
              </w:rPr>
            </w:pPr>
          </w:p>
        </w:tc>
        <w:tc>
          <w:tcPr>
            <w:tcW w:w="1275" w:type="dxa"/>
            <w:vMerge w:val="continue"/>
          </w:tcPr>
          <w:p>
            <w:pPr>
              <w:rPr>
                <w:rFonts w:ascii="Times New Roman" w:hAnsi="Times New Roman"/>
                <w:highlight w:val="none"/>
              </w:rPr>
            </w:pPr>
          </w:p>
        </w:tc>
        <w:tc>
          <w:tcPr>
            <w:tcW w:w="992" w:type="dxa"/>
            <w:vMerge w:val="continue"/>
            <w:vAlign w:val="center"/>
          </w:tcPr>
          <w:p>
            <w:pPr>
              <w:rPr>
                <w:rFonts w:ascii="Times New Roman" w:hAnsi="Times New Roman"/>
                <w:highlight w:val="none"/>
              </w:rPr>
            </w:pPr>
          </w:p>
        </w:tc>
        <w:tc>
          <w:tcPr>
            <w:tcW w:w="603" w:type="dxa"/>
            <w:vMerge w:val="continue"/>
            <w:vAlign w:val="center"/>
          </w:tcPr>
          <w:p>
            <w:pPr>
              <w:rPr>
                <w:rFonts w:ascii="Times New Roman" w:hAnsi="Times New Roman"/>
                <w:highlight w:val="none"/>
              </w:rPr>
            </w:pPr>
          </w:p>
        </w:tc>
        <w:tc>
          <w:tcPr>
            <w:tcW w:w="488" w:type="dxa"/>
            <w:vMerge w:val="continue"/>
            <w:vAlign w:val="center"/>
          </w:tcPr>
          <w:p>
            <w:pPr>
              <w:spacing w:line="440" w:lineRule="exact"/>
              <w:jc w:val="center"/>
              <w:rPr>
                <w:rFonts w:ascii="Times New Roman" w:hAnsi="Times New Roman"/>
                <w:highlight w:val="none"/>
              </w:rPr>
            </w:pPr>
          </w:p>
        </w:tc>
        <w:tc>
          <w:tcPr>
            <w:tcW w:w="1134"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证书名称</w:t>
            </w:r>
          </w:p>
        </w:tc>
        <w:tc>
          <w:tcPr>
            <w:tcW w:w="709"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级别</w:t>
            </w:r>
          </w:p>
        </w:tc>
        <w:tc>
          <w:tcPr>
            <w:tcW w:w="87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证号</w:t>
            </w: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vAlign w:val="center"/>
          </w:tcPr>
          <w:p>
            <w:pPr>
              <w:spacing w:line="440" w:lineRule="exact"/>
              <w:jc w:val="center"/>
              <w:rPr>
                <w:rFonts w:ascii="Times New Roman" w:hAnsi="Times New Roman"/>
                <w:highlight w:val="none"/>
              </w:rPr>
            </w:pPr>
          </w:p>
        </w:tc>
        <w:tc>
          <w:tcPr>
            <w:tcW w:w="603" w:type="dxa"/>
            <w:vAlign w:val="center"/>
          </w:tcPr>
          <w:p>
            <w:pPr>
              <w:spacing w:line="440" w:lineRule="exact"/>
              <w:jc w:val="center"/>
              <w:rPr>
                <w:rFonts w:ascii="Times New Roman" w:hAnsi="Times New Roman"/>
                <w:highlight w:val="none"/>
              </w:rPr>
            </w:pPr>
          </w:p>
        </w:tc>
        <w:tc>
          <w:tcPr>
            <w:tcW w:w="488" w:type="dxa"/>
            <w:vAlign w:val="center"/>
          </w:tcPr>
          <w:p>
            <w:pPr>
              <w:spacing w:line="440" w:lineRule="exact"/>
              <w:jc w:val="center"/>
              <w:rPr>
                <w:rFonts w:ascii="Times New Roman" w:hAnsi="Times New Roman"/>
                <w:highlight w:val="none"/>
              </w:rPr>
            </w:pPr>
          </w:p>
        </w:tc>
        <w:tc>
          <w:tcPr>
            <w:tcW w:w="1134" w:type="dxa"/>
            <w:vAlign w:val="center"/>
          </w:tcPr>
          <w:p>
            <w:pPr>
              <w:spacing w:line="440" w:lineRule="exact"/>
              <w:jc w:val="center"/>
              <w:rPr>
                <w:rFonts w:ascii="Times New Roman" w:hAnsi="Times New Roman"/>
                <w:highlight w:val="none"/>
              </w:rPr>
            </w:pPr>
          </w:p>
        </w:tc>
        <w:tc>
          <w:tcPr>
            <w:tcW w:w="709" w:type="dxa"/>
            <w:vAlign w:val="center"/>
          </w:tcPr>
          <w:p>
            <w:pPr>
              <w:spacing w:line="440" w:lineRule="exact"/>
              <w:jc w:val="center"/>
              <w:rPr>
                <w:rFonts w:ascii="Times New Roman" w:hAnsi="Times New Roman"/>
                <w:highlight w:val="none"/>
              </w:rPr>
            </w:pPr>
          </w:p>
        </w:tc>
        <w:tc>
          <w:tcPr>
            <w:tcW w:w="871" w:type="dxa"/>
            <w:vAlign w:val="center"/>
          </w:tcPr>
          <w:p>
            <w:pPr>
              <w:spacing w:line="440" w:lineRule="exact"/>
              <w:jc w:val="center"/>
              <w:rPr>
                <w:rFonts w:ascii="Times New Roman" w:hAnsi="Times New Roman"/>
                <w:highlight w:val="none"/>
              </w:rPr>
            </w:pP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bl>
    <w:p>
      <w:pPr>
        <w:spacing w:line="440" w:lineRule="exact"/>
        <w:rPr>
          <w:rFonts w:ascii="Times New Roman" w:hAnsi="Times New Roman"/>
          <w:highlight w:val="none"/>
        </w:rPr>
      </w:pPr>
      <w:r>
        <w:rPr>
          <w:rFonts w:hint="eastAsia" w:ascii="Times New Roman" w:hAnsi="Times New Roman"/>
          <w:highlight w:val="none"/>
        </w:rPr>
        <w:t>注：“拟委任的主要人员汇总表”应填报满足招标文件规定的项目负责人和其他主要人员</w:t>
      </w:r>
      <w:r>
        <w:rPr>
          <w:rFonts w:hint="eastAsia" w:ascii="Times New Roman" w:hAnsi="Times New Roman"/>
          <w:highlight w:val="none"/>
          <w:lang w:eastAsia="zh-CN"/>
        </w:rPr>
        <w:t>（专业</w:t>
      </w:r>
      <w:r>
        <w:rPr>
          <w:rFonts w:hint="eastAsia" w:ascii="Times New Roman" w:hAnsi="Times New Roman"/>
          <w:highlight w:val="none"/>
          <w:lang w:val="en-US" w:eastAsia="zh-CN"/>
        </w:rPr>
        <w:t>勘察</w:t>
      </w:r>
      <w:r>
        <w:rPr>
          <w:rFonts w:hint="eastAsia" w:ascii="Times New Roman" w:hAnsi="Times New Roman"/>
          <w:highlight w:val="none"/>
          <w:lang w:eastAsia="zh-CN"/>
        </w:rPr>
        <w:t>人员）</w:t>
      </w:r>
      <w:r>
        <w:rPr>
          <w:rFonts w:hint="eastAsia" w:ascii="Times New Roman" w:hAnsi="Times New Roman"/>
          <w:highlight w:val="none"/>
        </w:rPr>
        <w:t>的相关信息。</w:t>
      </w:r>
    </w:p>
    <w:p>
      <w:pPr>
        <w:spacing w:line="440" w:lineRule="exact"/>
        <w:rPr>
          <w:rFonts w:ascii="Times New Roman" w:hAnsi="Times New Roman"/>
          <w:highlight w:val="none"/>
        </w:rPr>
      </w:pPr>
      <w:r>
        <w:rPr>
          <w:rFonts w:ascii="Times New Roman" w:hAnsi="Times New Roman"/>
          <w:highlight w:val="none"/>
        </w:rPr>
        <w:br w:type="page"/>
      </w:r>
      <w:bookmarkStart w:id="160" w:name="_Toc179632825"/>
      <w:bookmarkStart w:id="161" w:name="_Toc144974873"/>
      <w:bookmarkStart w:id="162" w:name="_Toc152042594"/>
      <w:bookmarkStart w:id="163" w:name="_Toc152045805"/>
    </w:p>
    <w:p>
      <w:pPr>
        <w:pStyle w:val="4"/>
        <w:ind w:firstLine="137"/>
        <w:rPr>
          <w:rFonts w:ascii="Times New Roman" w:hAnsi="Times New Roman"/>
          <w:highlight w:val="none"/>
        </w:rPr>
      </w:pPr>
      <w:bookmarkStart w:id="164" w:name="_Toc370676440"/>
      <w:bookmarkStart w:id="165" w:name="_Toc385943079"/>
      <w:bookmarkStart w:id="166" w:name="_Toc300835232"/>
      <w:bookmarkStart w:id="167" w:name="_Toc492300541"/>
      <w:bookmarkStart w:id="168" w:name="_Toc482188668"/>
      <w:bookmarkStart w:id="169" w:name="_Toc391394125"/>
      <w:bookmarkStart w:id="170" w:name="_Toc359594249"/>
      <w:bookmarkStart w:id="171" w:name="_Toc384308390"/>
      <w:r>
        <w:rPr>
          <w:rFonts w:hint="eastAsia" w:ascii="Times New Roman" w:hAnsi="Times New Roman"/>
          <w:highlight w:val="none"/>
        </w:rPr>
        <w:t>（七）主要人员简历表</w:t>
      </w:r>
      <w:bookmarkEnd w:id="160"/>
      <w:bookmarkEnd w:id="161"/>
      <w:bookmarkEnd w:id="162"/>
      <w:bookmarkEnd w:id="163"/>
      <w:bookmarkEnd w:id="164"/>
      <w:bookmarkEnd w:id="165"/>
      <w:bookmarkEnd w:id="166"/>
      <w:bookmarkEnd w:id="167"/>
      <w:bookmarkEnd w:id="168"/>
      <w:bookmarkEnd w:id="169"/>
      <w:bookmarkEnd w:id="170"/>
      <w:bookmarkEnd w:id="171"/>
    </w:p>
    <w:p>
      <w:pPr>
        <w:topLinePunct/>
        <w:spacing w:line="440" w:lineRule="exact"/>
        <w:jc w:val="center"/>
        <w:rPr>
          <w:rFonts w:ascii="Times New Roman" w:hAnsi="Times New Roman"/>
          <w:sz w:val="23"/>
          <w:highlight w:val="none"/>
        </w:rPr>
      </w:pPr>
      <w:r>
        <w:rPr>
          <w:rFonts w:hint="eastAsia" w:ascii="Times New Roman" w:hAnsi="Times New Roman"/>
          <w:highlight w:val="none"/>
        </w:rPr>
        <w:t xml:space="preserve"> </w:t>
      </w:r>
    </w:p>
    <w:tbl>
      <w:tblPr>
        <w:tblStyle w:val="1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姓</w:t>
            </w:r>
            <w:r>
              <w:rPr>
                <w:rFonts w:ascii="Times New Roman" w:hAnsi="Times New Roman"/>
                <w:highlight w:val="none"/>
              </w:rPr>
              <w:t xml:space="preserve">  </w:t>
            </w:r>
            <w:r>
              <w:rPr>
                <w:rFonts w:hint="eastAsia" w:ascii="Times New Roman" w:hAnsi="Times New Roman"/>
                <w:highlight w:val="none"/>
              </w:rPr>
              <w:t>名</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年龄</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执业资格证书（或上岗证书）名称</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职</w:t>
            </w:r>
            <w:r>
              <w:rPr>
                <w:rFonts w:ascii="Times New Roman" w:hAnsi="Times New Roman"/>
                <w:highlight w:val="none"/>
              </w:rPr>
              <w:t xml:space="preserve">  </w:t>
            </w:r>
            <w:r>
              <w:rPr>
                <w:rFonts w:hint="eastAsia" w:ascii="Times New Roman" w:hAnsi="Times New Roman"/>
                <w:highlight w:val="none"/>
              </w:rPr>
              <w:t>称</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学历</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拟在本项目任职</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工作年限</w:t>
            </w:r>
          </w:p>
        </w:tc>
        <w:tc>
          <w:tcPr>
            <w:tcW w:w="3071" w:type="dxa"/>
            <w:gridSpan w:val="4"/>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从事行业工作年限</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highlight w:val="none"/>
              </w:rPr>
            </w:pPr>
            <w:r>
              <w:rPr>
                <w:rFonts w:hint="eastAsia" w:ascii="Times New Roman" w:hAnsi="Times New Roman"/>
                <w:highlight w:val="none"/>
              </w:rPr>
              <w:t>年毕业于</w:t>
            </w:r>
            <w:r>
              <w:rPr>
                <w:rFonts w:ascii="Times New Roman" w:hAnsi="Times New Roman"/>
                <w:highlight w:val="none"/>
              </w:rPr>
              <w:t xml:space="preserve">            </w:t>
            </w:r>
            <w:r>
              <w:rPr>
                <w:rFonts w:hint="eastAsia" w:ascii="Times New Roman" w:hAnsi="Times New Roman"/>
                <w:highlight w:val="none"/>
              </w:rPr>
              <w:t>学校</w:t>
            </w:r>
            <w:r>
              <w:rPr>
                <w:rFonts w:ascii="Times New Roman" w:hAnsi="Times New Roman"/>
                <w:highlight w:val="none"/>
              </w:rPr>
              <w:t xml:space="preserve">        </w:t>
            </w:r>
            <w:r>
              <w:rPr>
                <w:rFonts w:hint="eastAsia" w:ascii="Times New Roman" w:hAnsi="Times New Roman"/>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highlight w:val="none"/>
              </w:rPr>
            </w:pPr>
            <w:r>
              <w:rPr>
                <w:rFonts w:hint="eastAsia" w:ascii="Times New Roman" w:hAnsi="Times New Roman"/>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时</w:t>
            </w:r>
            <w:r>
              <w:rPr>
                <w:rFonts w:ascii="Times New Roman" w:hAnsi="Times New Roman"/>
                <w:highlight w:val="none"/>
              </w:rPr>
              <w:t xml:space="preserve">  </w:t>
            </w:r>
            <w:r>
              <w:rPr>
                <w:rFonts w:hint="eastAsia" w:ascii="Times New Roman" w:hAnsi="Times New Roman"/>
                <w:highlight w:val="none"/>
              </w:rPr>
              <w:t>间</w:t>
            </w:r>
          </w:p>
        </w:tc>
        <w:tc>
          <w:tcPr>
            <w:tcW w:w="3420" w:type="dxa"/>
            <w:gridSpan w:val="4"/>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参加过的类似项目</w:t>
            </w:r>
          </w:p>
        </w:tc>
        <w:tc>
          <w:tcPr>
            <w:tcW w:w="126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担任职务</w:t>
            </w:r>
          </w:p>
        </w:tc>
        <w:tc>
          <w:tcPr>
            <w:tcW w:w="2297"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bl>
    <w:p>
      <w:pPr>
        <w:spacing w:before="100" w:beforeAutospacing="1" w:after="100" w:afterAutospacing="1" w:line="440" w:lineRule="exact"/>
        <w:jc w:val="left"/>
        <w:rPr>
          <w:rFonts w:hint="eastAsia" w:ascii="Times New Roman" w:hAnsi="Times New Roman"/>
          <w:highlight w:val="none"/>
        </w:rPr>
      </w:pPr>
      <w:r>
        <w:rPr>
          <w:rFonts w:hint="eastAsia" w:ascii="Times New Roman" w:hAnsi="Times New Roman"/>
          <w:highlight w:val="none"/>
        </w:rPr>
        <w:t>注：“主要人员简历表”中项目负责人应附身份证、学历证、职称证和社保缴费证明复印件，管理过的项目业绩须附合同协议书复印件；其他主要人员应附身份证、学历证、职称证、社保缴费证明复印件</w:t>
      </w:r>
      <w:r>
        <w:rPr>
          <w:rFonts w:hint="eastAsia" w:ascii="Times New Roman" w:hAnsi="Times New Roman"/>
          <w:highlight w:val="none"/>
          <w:lang w:eastAsia="zh-CN"/>
        </w:rPr>
        <w:t>，所有证明材料要求加盖投标人公章</w:t>
      </w:r>
      <w:r>
        <w:rPr>
          <w:rFonts w:hint="eastAsia" w:ascii="Times New Roman" w:hAnsi="Times New Roman"/>
          <w:highlight w:val="none"/>
        </w:rPr>
        <w:t>。</w:t>
      </w:r>
      <w:r>
        <w:rPr>
          <w:rFonts w:hint="eastAsia" w:ascii="Times New Roman" w:hAnsi="Times New Roman"/>
          <w:highlight w:val="none"/>
          <w:lang w:eastAsia="zh-CN"/>
        </w:rPr>
        <w:t>社保证明要求为</w:t>
      </w:r>
      <w:r>
        <w:rPr>
          <w:rFonts w:hint="eastAsia" w:ascii="Times New Roman" w:hAnsi="Times New Roman"/>
          <w:highlight w:val="none"/>
        </w:rPr>
        <w:t>由本单位为其缴纳的至少连续</w:t>
      </w:r>
      <w:r>
        <w:rPr>
          <w:rFonts w:hint="eastAsia" w:ascii="Times New Roman" w:hAnsi="Times New Roman"/>
          <w:highlight w:val="none"/>
          <w:lang w:val="en-US" w:eastAsia="zh-CN"/>
        </w:rPr>
        <w:t>3</w:t>
      </w:r>
      <w:r>
        <w:rPr>
          <w:rFonts w:hint="eastAsia" w:ascii="Times New Roman" w:hAnsi="Times New Roman"/>
          <w:highlight w:val="none"/>
        </w:rPr>
        <w:t>个月的社保证明（由当地社保主管部门出具的20</w:t>
      </w:r>
      <w:r>
        <w:rPr>
          <w:rFonts w:hint="eastAsia" w:ascii="Times New Roman" w:hAnsi="Times New Roman"/>
          <w:highlight w:val="none"/>
          <w:lang w:val="en-US" w:eastAsia="zh-CN"/>
        </w:rPr>
        <w:t>20</w:t>
      </w:r>
      <w:r>
        <w:rPr>
          <w:rFonts w:hint="eastAsia" w:ascii="Times New Roman" w:hAnsi="Times New Roman"/>
          <w:highlight w:val="none"/>
        </w:rPr>
        <w:t>年</w:t>
      </w:r>
      <w:r>
        <w:rPr>
          <w:rFonts w:hint="eastAsia" w:ascii="Times New Roman" w:hAnsi="Times New Roman"/>
          <w:highlight w:val="none"/>
          <w:lang w:val="en-US" w:eastAsia="zh-CN"/>
        </w:rPr>
        <w:t>10</w:t>
      </w:r>
      <w:r>
        <w:rPr>
          <w:rFonts w:hint="eastAsia" w:ascii="Times New Roman" w:hAnsi="Times New Roman"/>
          <w:highlight w:val="none"/>
        </w:rPr>
        <w:t>月1日以来的有效社保证明）</w:t>
      </w:r>
    </w:p>
    <w:p>
      <w:pPr>
        <w:spacing w:before="100" w:beforeAutospacing="1" w:after="100" w:afterAutospacing="1" w:line="440" w:lineRule="exact"/>
        <w:jc w:val="left"/>
        <w:rPr>
          <w:rFonts w:hint="eastAsia" w:ascii="Times New Roman" w:hAnsi="Times New Roman"/>
          <w:highlight w:val="none"/>
        </w:rPr>
      </w:pPr>
    </w:p>
    <w:p>
      <w:pPr>
        <w:pStyle w:val="4"/>
        <w:ind w:firstLine="137"/>
        <w:jc w:val="center"/>
        <w:rPr>
          <w:rFonts w:hint="eastAsia" w:ascii="Times New Roman" w:hAnsi="Times New Roman"/>
          <w:highlight w:val="none"/>
        </w:rPr>
      </w:pPr>
      <w:r>
        <w:rPr>
          <w:rFonts w:hint="eastAsia" w:ascii="Times New Roman" w:hAnsi="Times New Roman"/>
          <w:highlight w:val="none"/>
          <w:lang w:val="en-US" w:eastAsia="zh-CN"/>
        </w:rPr>
        <w:t>五、</w:t>
      </w:r>
      <w:r>
        <w:rPr>
          <w:rFonts w:hint="eastAsia" w:ascii="Times New Roman" w:hAnsi="Times New Roman"/>
          <w:highlight w:val="none"/>
        </w:rPr>
        <w:t>承诺书（格式）</w:t>
      </w:r>
    </w:p>
    <w:p>
      <w:pPr>
        <w:spacing w:line="360" w:lineRule="auto"/>
        <w:rPr>
          <w:rFonts w:ascii="宋体" w:hAnsi="宋体"/>
          <w:szCs w:val="21"/>
        </w:rPr>
      </w:pPr>
    </w:p>
    <w:p>
      <w:pPr>
        <w:spacing w:line="360" w:lineRule="auto"/>
        <w:jc w:val="both"/>
        <w:rPr>
          <w:rFonts w:hint="eastAsia" w:ascii="宋体" w:hAnsi="宋体"/>
          <w:szCs w:val="21"/>
        </w:rPr>
      </w:pPr>
      <w:r>
        <w:rPr>
          <w:rFonts w:hint="eastAsia" w:ascii="宋体" w:hAnsi="宋体"/>
          <w:szCs w:val="21"/>
        </w:rPr>
        <w:t>我公司郑重承诺如下：</w:t>
      </w:r>
    </w:p>
    <w:p>
      <w:pPr>
        <w:spacing w:line="360" w:lineRule="auto"/>
        <w:ind w:firstLine="420" w:firstLineChars="200"/>
        <w:jc w:val="both"/>
        <w:rPr>
          <w:rFonts w:hint="eastAsia" w:ascii="宋体" w:hAnsi="宋体"/>
          <w:szCs w:val="21"/>
        </w:rPr>
      </w:pPr>
      <w:r>
        <w:rPr>
          <w:rFonts w:hint="eastAsia" w:ascii="宋体" w:hAnsi="宋体"/>
          <w:szCs w:val="21"/>
        </w:rPr>
        <w:t>一、完全接受招标文件的全部内容，资质符合招标文件要求，提交的所有资料扫描件或复印件与原件一致、真实有效。</w:t>
      </w:r>
    </w:p>
    <w:p>
      <w:pPr>
        <w:spacing w:line="360" w:lineRule="auto"/>
        <w:ind w:firstLine="420" w:firstLineChars="200"/>
        <w:jc w:val="both"/>
        <w:rPr>
          <w:rFonts w:hint="eastAsia" w:ascii="宋体" w:hAnsi="宋体"/>
          <w:szCs w:val="21"/>
        </w:rPr>
      </w:pPr>
      <w:r>
        <w:rPr>
          <w:rFonts w:hint="eastAsia" w:ascii="宋体" w:hAnsi="宋体"/>
          <w:szCs w:val="21"/>
        </w:rPr>
        <w:t>二、在投标过程中，无围标、串标、出借资质及弄虚作假等违法违规行为。</w:t>
      </w:r>
    </w:p>
    <w:p>
      <w:pPr>
        <w:spacing w:line="360" w:lineRule="auto"/>
        <w:ind w:firstLine="420" w:firstLineChars="200"/>
        <w:jc w:val="both"/>
        <w:rPr>
          <w:rFonts w:hint="eastAsia" w:ascii="宋体" w:hAnsi="宋体"/>
          <w:szCs w:val="21"/>
        </w:rPr>
      </w:pPr>
      <w:r>
        <w:rPr>
          <w:rFonts w:hint="eastAsia" w:ascii="宋体" w:hAnsi="宋体"/>
          <w:szCs w:val="21"/>
        </w:rPr>
        <w:t>三、投标时（以投标截止时间为准），我公司及拟派项目负责人在安徽省境内无被限制投标的记录（有效期内）；</w:t>
      </w:r>
    </w:p>
    <w:p>
      <w:pPr>
        <w:spacing w:line="360" w:lineRule="auto"/>
        <w:ind w:firstLine="420" w:firstLineChars="200"/>
        <w:jc w:val="both"/>
        <w:rPr>
          <w:rFonts w:hint="eastAsia" w:ascii="宋体" w:hAnsi="宋体"/>
          <w:szCs w:val="21"/>
        </w:rPr>
      </w:pPr>
      <w:r>
        <w:rPr>
          <w:rFonts w:hint="eastAsia" w:ascii="宋体" w:hAnsi="宋体"/>
          <w:szCs w:val="21"/>
        </w:rPr>
        <w:t>四、我公司未被人民法院列入失信被执行人名单；我公司未被市场监督管理部门列入企业经营异常名录的；我公司未被税务部门列入重大税收违法案件当事人名单的。</w:t>
      </w:r>
    </w:p>
    <w:p>
      <w:pPr>
        <w:spacing w:line="360" w:lineRule="auto"/>
        <w:ind w:firstLine="420" w:firstLineChars="200"/>
        <w:jc w:val="both"/>
        <w:rPr>
          <w:rFonts w:hint="eastAsia" w:ascii="宋体" w:hAnsi="宋体"/>
          <w:szCs w:val="21"/>
        </w:rPr>
      </w:pPr>
      <w:r>
        <w:rPr>
          <w:rFonts w:hint="eastAsia" w:ascii="宋体" w:hAnsi="宋体"/>
          <w:szCs w:val="21"/>
        </w:rPr>
        <w:t>五、依法行使自己的异议、投诉权利，提供的异议、投诉证明材料来源合法，不存在捏造事实、提供虚假材料或恶意投诉等行为。</w:t>
      </w:r>
    </w:p>
    <w:p>
      <w:pPr>
        <w:spacing w:line="360" w:lineRule="auto"/>
        <w:ind w:firstLine="420" w:firstLineChars="200"/>
        <w:jc w:val="both"/>
        <w:rPr>
          <w:rFonts w:hint="eastAsia" w:ascii="宋体" w:hAnsi="宋体"/>
          <w:szCs w:val="21"/>
        </w:rPr>
      </w:pPr>
      <w:r>
        <w:rPr>
          <w:rFonts w:hint="eastAsia" w:ascii="宋体" w:hAnsi="宋体"/>
          <w:szCs w:val="21"/>
        </w:rPr>
        <w:t>六 、 / 。</w:t>
      </w:r>
    </w:p>
    <w:p>
      <w:pPr>
        <w:spacing w:line="360" w:lineRule="auto"/>
        <w:jc w:val="both"/>
        <w:rPr>
          <w:rFonts w:hint="eastAsia" w:ascii="宋体" w:hAnsi="宋体"/>
          <w:szCs w:val="21"/>
        </w:rPr>
      </w:pPr>
      <w:r>
        <w:rPr>
          <w:rFonts w:hint="eastAsia" w:ascii="宋体" w:hAnsi="宋体"/>
          <w:szCs w:val="21"/>
        </w:rPr>
        <w:t>如有违反上述承诺之一，或存在其他虚假、违法违规行为，我公司自愿接受相关部门的处理，并自愿放弃索要投标保证金的权利，承担由此产生的一切后果。</w:t>
      </w: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r>
        <w:rPr>
          <w:rFonts w:hint="eastAsia" w:ascii="宋体" w:hAnsi="宋体"/>
          <w:szCs w:val="21"/>
        </w:rPr>
        <w:t>法定代表人签字或盖章：</w:t>
      </w:r>
    </w:p>
    <w:p>
      <w:pPr>
        <w:spacing w:line="360" w:lineRule="auto"/>
        <w:ind w:firstLine="4725" w:firstLineChars="2250"/>
        <w:rPr>
          <w:rFonts w:hint="eastAsia" w:ascii="宋体" w:hAnsi="宋体"/>
          <w:szCs w:val="21"/>
        </w:rPr>
      </w:pPr>
    </w:p>
    <w:p>
      <w:pPr>
        <w:spacing w:line="360" w:lineRule="auto"/>
        <w:ind w:firstLine="4725" w:firstLineChars="2250"/>
        <w:rPr>
          <w:rFonts w:hint="eastAsia" w:ascii="宋体" w:hAnsi="宋体"/>
          <w:szCs w:val="21"/>
        </w:rPr>
      </w:pPr>
      <w:r>
        <w:rPr>
          <w:rFonts w:hint="eastAsia" w:ascii="宋体" w:hAnsi="宋体"/>
          <w:szCs w:val="21"/>
        </w:rPr>
        <w:t>投标人：（盖单位公章） 年</w:t>
      </w:r>
      <w:r>
        <w:rPr>
          <w:rFonts w:hint="eastAsia" w:ascii="宋体" w:hAnsi="宋体"/>
          <w:szCs w:val="21"/>
        </w:rPr>
        <w:tab/>
      </w:r>
      <w:r>
        <w:rPr>
          <w:rFonts w:hint="eastAsia" w:ascii="宋体" w:hAnsi="宋体"/>
          <w:szCs w:val="21"/>
        </w:rPr>
        <w:t>月</w:t>
      </w:r>
      <w:r>
        <w:rPr>
          <w:rFonts w:hint="eastAsia" w:ascii="宋体" w:hAnsi="宋体"/>
          <w:szCs w:val="21"/>
        </w:rPr>
        <w:tab/>
      </w:r>
      <w:r>
        <w:rPr>
          <w:rFonts w:hint="eastAsia" w:ascii="宋体" w:hAnsi="宋体"/>
          <w:szCs w:val="21"/>
        </w:rPr>
        <w:t>日</w:t>
      </w:r>
    </w:p>
    <w:p>
      <w:pPr>
        <w:spacing w:line="360" w:lineRule="auto"/>
        <w:ind w:firstLine="4725" w:firstLineChars="2250"/>
        <w:rPr>
          <w:rFonts w:hint="eastAsia" w:ascii="宋体" w:hAnsi="宋体"/>
          <w:szCs w:val="21"/>
        </w:rPr>
      </w:pPr>
    </w:p>
    <w:p>
      <w:pPr>
        <w:pStyle w:val="8"/>
        <w:rPr>
          <w:b/>
          <w:sz w:val="20"/>
        </w:rPr>
      </w:pPr>
    </w:p>
    <w:p>
      <w:pPr>
        <w:pStyle w:val="3"/>
        <w:jc w:val="center"/>
        <w:rPr>
          <w:rFonts w:hint="eastAsia"/>
          <w:lang w:val="en-US" w:eastAsia="zh-CN"/>
        </w:rPr>
      </w:pPr>
    </w:p>
    <w:p>
      <w:pPr>
        <w:rPr>
          <w:rFonts w:hint="eastAsia"/>
          <w:lang w:val="en-US" w:eastAsia="zh-CN"/>
        </w:rPr>
      </w:pPr>
    </w:p>
    <w:p>
      <w:pPr>
        <w:pStyle w:val="3"/>
        <w:jc w:val="center"/>
        <w:rPr>
          <w:rFonts w:hint="default"/>
          <w:lang w:val="en-US" w:eastAsia="zh-CN"/>
        </w:rPr>
      </w:pPr>
      <w:r>
        <w:rPr>
          <w:rFonts w:hint="eastAsia"/>
          <w:lang w:val="en-US" w:eastAsia="zh-CN"/>
        </w:rPr>
        <w:t>六、勘察服务方案</w:t>
      </w:r>
    </w:p>
    <w:p>
      <w:pPr>
        <w:spacing w:line="360" w:lineRule="auto"/>
        <w:ind w:firstLine="420" w:firstLineChars="200"/>
        <w:jc w:val="left"/>
        <w:rPr>
          <w:rFonts w:hint="eastAsia" w:ascii="宋体" w:hAnsi="宋体"/>
          <w:szCs w:val="21"/>
          <w:lang w:val="en-US" w:eastAsia="zh-CN"/>
        </w:rPr>
      </w:pPr>
      <w:bookmarkStart w:id="172" w:name="_Toc271821942"/>
      <w:bookmarkStart w:id="173" w:name="_Toc300835233"/>
      <w:r>
        <w:rPr>
          <w:rFonts w:hint="eastAsia" w:ascii="宋体" w:hAnsi="宋体"/>
          <w:szCs w:val="21"/>
          <w:lang w:val="en-US" w:eastAsia="zh-CN"/>
        </w:rPr>
        <w:t>勘察服务方案应包括（但不限于）下列内容：</w:t>
      </w:r>
    </w:p>
    <w:p>
      <w:pPr>
        <w:spacing w:line="360" w:lineRule="auto"/>
        <w:ind w:firstLine="420" w:firstLineChars="200"/>
        <w:jc w:val="left"/>
        <w:rPr>
          <w:rFonts w:hint="eastAsia" w:ascii="宋体" w:hAnsi="宋体"/>
          <w:szCs w:val="21"/>
          <w:lang w:val="en-US" w:eastAsia="zh-CN"/>
        </w:rPr>
      </w:pPr>
      <w:r>
        <w:rPr>
          <w:rFonts w:hint="eastAsia" w:ascii="宋体" w:hAnsi="宋体"/>
          <w:szCs w:val="21"/>
          <w:lang w:val="en-US" w:eastAsia="zh-CN"/>
        </w:rPr>
        <w:t xml:space="preserve"> 一、现场服务计划</w:t>
      </w:r>
    </w:p>
    <w:p>
      <w:pPr>
        <w:spacing w:line="360" w:lineRule="auto"/>
        <w:ind w:firstLine="420" w:firstLineChars="200"/>
        <w:jc w:val="left"/>
        <w:rPr>
          <w:rFonts w:hint="eastAsia" w:ascii="宋体" w:hAnsi="宋体"/>
          <w:szCs w:val="21"/>
          <w:lang w:val="en-US" w:eastAsia="zh-CN"/>
        </w:rPr>
      </w:pPr>
      <w:r>
        <w:rPr>
          <w:rFonts w:hint="eastAsia" w:ascii="宋体" w:hAnsi="宋体"/>
          <w:szCs w:val="21"/>
          <w:lang w:val="en-US" w:eastAsia="zh-CN"/>
        </w:rPr>
        <w:t>1、现场服务计划和承诺</w:t>
      </w:r>
    </w:p>
    <w:p>
      <w:pPr>
        <w:spacing w:line="360" w:lineRule="auto"/>
        <w:ind w:firstLine="420" w:firstLineChars="200"/>
        <w:jc w:val="left"/>
        <w:rPr>
          <w:rFonts w:hint="eastAsia" w:ascii="宋体" w:hAnsi="宋体"/>
          <w:szCs w:val="21"/>
          <w:lang w:val="en-US" w:eastAsia="zh-CN"/>
        </w:rPr>
      </w:pPr>
      <w:r>
        <w:rPr>
          <w:rFonts w:hint="eastAsia" w:ascii="宋体" w:hAnsi="宋体"/>
          <w:szCs w:val="21"/>
          <w:lang w:val="en-US" w:eastAsia="zh-CN"/>
        </w:rPr>
        <w:t>2、勘察机构设置和岗位职责</w:t>
      </w:r>
    </w:p>
    <w:p>
      <w:pPr>
        <w:spacing w:line="360" w:lineRule="auto"/>
        <w:ind w:firstLine="420" w:firstLineChars="200"/>
        <w:jc w:val="left"/>
        <w:rPr>
          <w:rFonts w:hint="eastAsia" w:ascii="宋体" w:hAnsi="宋体"/>
          <w:szCs w:val="21"/>
          <w:lang w:val="en-US" w:eastAsia="zh-CN"/>
        </w:rPr>
      </w:pPr>
      <w:r>
        <w:rPr>
          <w:rFonts w:hint="eastAsia" w:ascii="宋体" w:hAnsi="宋体"/>
          <w:szCs w:val="21"/>
          <w:lang w:val="en-US" w:eastAsia="zh-CN"/>
        </w:rPr>
        <w:t>二、勘察说明和勘察方案</w:t>
      </w:r>
    </w:p>
    <w:p>
      <w:pPr>
        <w:spacing w:line="360" w:lineRule="auto"/>
        <w:ind w:firstLine="420" w:firstLineChars="200"/>
        <w:jc w:val="left"/>
        <w:rPr>
          <w:rFonts w:hint="eastAsia" w:ascii="宋体" w:hAnsi="宋体"/>
          <w:szCs w:val="21"/>
          <w:lang w:val="en-US" w:eastAsia="zh-CN"/>
        </w:rPr>
      </w:pPr>
      <w:r>
        <w:rPr>
          <w:rFonts w:hint="eastAsia" w:ascii="宋体" w:hAnsi="宋体"/>
          <w:szCs w:val="21"/>
          <w:lang w:val="en-US" w:eastAsia="zh-CN"/>
        </w:rPr>
        <w:t>1、勘察工作大纲</w:t>
      </w:r>
    </w:p>
    <w:p>
      <w:pPr>
        <w:spacing w:line="360" w:lineRule="auto"/>
        <w:ind w:firstLine="420" w:firstLineChars="200"/>
        <w:jc w:val="left"/>
        <w:rPr>
          <w:rFonts w:hint="eastAsia" w:ascii="宋体" w:hAnsi="宋体"/>
          <w:szCs w:val="21"/>
          <w:lang w:val="en-US" w:eastAsia="zh-CN"/>
        </w:rPr>
      </w:pPr>
      <w:r>
        <w:rPr>
          <w:rFonts w:hint="eastAsia" w:ascii="宋体" w:hAnsi="宋体"/>
          <w:szCs w:val="21"/>
          <w:lang w:val="en-US" w:eastAsia="zh-CN"/>
        </w:rPr>
        <w:t>2、整体规划勘察思路</w:t>
      </w:r>
    </w:p>
    <w:p>
      <w:pPr>
        <w:spacing w:line="360" w:lineRule="auto"/>
        <w:ind w:firstLine="420" w:firstLineChars="200"/>
        <w:jc w:val="left"/>
        <w:rPr>
          <w:rFonts w:hint="eastAsia" w:ascii="宋体" w:hAnsi="宋体"/>
          <w:szCs w:val="21"/>
          <w:lang w:val="en-US" w:eastAsia="zh-CN"/>
        </w:rPr>
      </w:pPr>
      <w:r>
        <w:rPr>
          <w:rFonts w:hint="eastAsia" w:ascii="宋体" w:hAnsi="宋体"/>
          <w:szCs w:val="21"/>
          <w:lang w:val="en-US" w:eastAsia="zh-CN"/>
        </w:rPr>
        <w:t>3、勘察工作重点、难点分析</w:t>
      </w:r>
    </w:p>
    <w:p>
      <w:pPr>
        <w:spacing w:line="360" w:lineRule="auto"/>
        <w:ind w:firstLine="420" w:firstLineChars="200"/>
        <w:jc w:val="left"/>
        <w:rPr>
          <w:rFonts w:hint="eastAsia" w:ascii="宋体" w:hAnsi="宋体"/>
          <w:szCs w:val="21"/>
          <w:lang w:val="en-US" w:eastAsia="zh-CN"/>
        </w:rPr>
      </w:pPr>
      <w:r>
        <w:rPr>
          <w:rFonts w:hint="eastAsia" w:ascii="宋体" w:hAnsi="宋体"/>
          <w:szCs w:val="21"/>
          <w:lang w:val="en-US" w:eastAsia="zh-CN"/>
        </w:rPr>
        <w:t>三、勘察工作安全、保密等保证措施</w:t>
      </w:r>
    </w:p>
    <w:p>
      <w:pPr>
        <w:spacing w:line="360" w:lineRule="auto"/>
        <w:ind w:firstLine="420" w:firstLineChars="200"/>
        <w:jc w:val="left"/>
        <w:rPr>
          <w:rFonts w:hint="eastAsia" w:ascii="宋体" w:hAnsi="宋体"/>
          <w:szCs w:val="21"/>
          <w:lang w:val="en-US" w:eastAsia="zh-CN"/>
        </w:rPr>
      </w:pPr>
      <w:r>
        <w:rPr>
          <w:rFonts w:hint="eastAsia" w:ascii="宋体" w:hAnsi="宋体"/>
          <w:szCs w:val="21"/>
          <w:lang w:val="en-US" w:eastAsia="zh-CN"/>
        </w:rPr>
        <w:t>四、质量内控制度</w:t>
      </w:r>
    </w:p>
    <w:p>
      <w:pPr>
        <w:spacing w:line="360" w:lineRule="auto"/>
        <w:ind w:firstLine="420" w:firstLineChars="200"/>
        <w:jc w:val="left"/>
        <w:rPr>
          <w:rFonts w:hint="eastAsia" w:ascii="宋体" w:hAnsi="宋体"/>
          <w:szCs w:val="21"/>
          <w:lang w:val="en-US" w:eastAsia="zh-CN"/>
        </w:rPr>
      </w:pPr>
      <w:r>
        <w:rPr>
          <w:rFonts w:hint="eastAsia" w:ascii="宋体" w:hAnsi="宋体"/>
          <w:szCs w:val="21"/>
          <w:lang w:val="en-US" w:eastAsia="zh-CN"/>
        </w:rPr>
        <w:t>五、勘察进度保证措施</w:t>
      </w:r>
    </w:p>
    <w:p>
      <w:pPr>
        <w:pStyle w:val="3"/>
        <w:jc w:val="cente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3"/>
        <w:jc w:val="center"/>
        <w:rPr>
          <w:rFonts w:hint="default" w:ascii="Times New Roman" w:hAnsi="Times New Roman" w:cs="Times New Roman"/>
        </w:rPr>
      </w:pPr>
      <w:r>
        <w:rPr>
          <w:rFonts w:hint="eastAsia" w:ascii="Times New Roman" w:hAnsi="Times New Roman" w:cs="Times New Roman"/>
          <w:lang w:val="en-US" w:eastAsia="zh-CN"/>
        </w:rPr>
        <w:t>七</w:t>
      </w:r>
      <w:r>
        <w:rPr>
          <w:rFonts w:hint="default" w:ascii="Times New Roman" w:hAnsi="Times New Roman" w:cs="Times New Roman"/>
        </w:rPr>
        <w:t>、其他资料</w:t>
      </w:r>
      <w:bookmarkEnd w:id="172"/>
      <w:bookmarkEnd w:id="173"/>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9976B10"/>
    <w:multiLevelType w:val="singleLevel"/>
    <w:tmpl w:val="E9976B10"/>
    <w:lvl w:ilvl="0" w:tentative="0">
      <w:start w:val="1"/>
      <w:numFmt w:val="chineseCounting"/>
      <w:suff w:val="nothing"/>
      <w:lvlText w:val="%1、"/>
      <w:lvlJc w:val="left"/>
      <w:rPr>
        <w:rFonts w:hint="eastAsia"/>
      </w:rPr>
    </w:lvl>
  </w:abstractNum>
  <w:abstractNum w:abstractNumId="1">
    <w:nsid w:val="09BF018C"/>
    <w:multiLevelType w:val="singleLevel"/>
    <w:tmpl w:val="09BF018C"/>
    <w:lvl w:ilvl="0" w:tentative="0">
      <w:start w:val="4"/>
      <w:numFmt w:val="chineseCounting"/>
      <w:suff w:val="space"/>
      <w:lvlText w:val="第%1章"/>
      <w:lvlJc w:val="left"/>
      <w:rPr>
        <w:rFonts w:hint="eastAsia"/>
      </w:rPr>
    </w:lvl>
  </w:abstractNum>
  <w:abstractNum w:abstractNumId="2">
    <w:nsid w:val="0F2A053B"/>
    <w:multiLevelType w:val="singleLevel"/>
    <w:tmpl w:val="0F2A053B"/>
    <w:lvl w:ilvl="0" w:tentative="0">
      <w:start w:val="1"/>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A4B92"/>
    <w:rsid w:val="002609D3"/>
    <w:rsid w:val="002C069E"/>
    <w:rsid w:val="0040224D"/>
    <w:rsid w:val="0057442B"/>
    <w:rsid w:val="00733B0B"/>
    <w:rsid w:val="00764376"/>
    <w:rsid w:val="00796B76"/>
    <w:rsid w:val="00850CC0"/>
    <w:rsid w:val="00B00F2F"/>
    <w:rsid w:val="00C81162"/>
    <w:rsid w:val="00D7027B"/>
    <w:rsid w:val="00FF308E"/>
    <w:rsid w:val="011E6004"/>
    <w:rsid w:val="0124156B"/>
    <w:rsid w:val="0145105E"/>
    <w:rsid w:val="015366DE"/>
    <w:rsid w:val="017D6531"/>
    <w:rsid w:val="019846E3"/>
    <w:rsid w:val="01CB0CDF"/>
    <w:rsid w:val="01CD2334"/>
    <w:rsid w:val="01E140D3"/>
    <w:rsid w:val="01F16263"/>
    <w:rsid w:val="02016132"/>
    <w:rsid w:val="021323E7"/>
    <w:rsid w:val="021D348F"/>
    <w:rsid w:val="02685DEE"/>
    <w:rsid w:val="026E5FAB"/>
    <w:rsid w:val="02983D41"/>
    <w:rsid w:val="02A2125E"/>
    <w:rsid w:val="02A31129"/>
    <w:rsid w:val="02A46690"/>
    <w:rsid w:val="02AC508C"/>
    <w:rsid w:val="02BE075F"/>
    <w:rsid w:val="02F4317E"/>
    <w:rsid w:val="03067649"/>
    <w:rsid w:val="0324584F"/>
    <w:rsid w:val="032652C7"/>
    <w:rsid w:val="033964DC"/>
    <w:rsid w:val="035021B2"/>
    <w:rsid w:val="03696450"/>
    <w:rsid w:val="038E65F9"/>
    <w:rsid w:val="03C10800"/>
    <w:rsid w:val="03C96DCC"/>
    <w:rsid w:val="03F661CB"/>
    <w:rsid w:val="03FB71CD"/>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52387"/>
    <w:rsid w:val="04AB61AF"/>
    <w:rsid w:val="04B44B66"/>
    <w:rsid w:val="04B54547"/>
    <w:rsid w:val="04CD15E8"/>
    <w:rsid w:val="04CF4810"/>
    <w:rsid w:val="04D36D79"/>
    <w:rsid w:val="04D63FDF"/>
    <w:rsid w:val="04EB08D2"/>
    <w:rsid w:val="04EC7DA2"/>
    <w:rsid w:val="050252F6"/>
    <w:rsid w:val="055625ED"/>
    <w:rsid w:val="05597C6C"/>
    <w:rsid w:val="0572490A"/>
    <w:rsid w:val="057E3D65"/>
    <w:rsid w:val="058253F2"/>
    <w:rsid w:val="05872EB9"/>
    <w:rsid w:val="05933026"/>
    <w:rsid w:val="05BA17C0"/>
    <w:rsid w:val="05C07CC2"/>
    <w:rsid w:val="05C423A0"/>
    <w:rsid w:val="05C44E89"/>
    <w:rsid w:val="05D9116E"/>
    <w:rsid w:val="05FA76CD"/>
    <w:rsid w:val="060B41C8"/>
    <w:rsid w:val="060C7EF1"/>
    <w:rsid w:val="061C4B78"/>
    <w:rsid w:val="061F0438"/>
    <w:rsid w:val="06256505"/>
    <w:rsid w:val="06292F58"/>
    <w:rsid w:val="063F4D83"/>
    <w:rsid w:val="064B59D4"/>
    <w:rsid w:val="06501BB5"/>
    <w:rsid w:val="06624967"/>
    <w:rsid w:val="06626753"/>
    <w:rsid w:val="06714440"/>
    <w:rsid w:val="067240CC"/>
    <w:rsid w:val="067D3128"/>
    <w:rsid w:val="06831C93"/>
    <w:rsid w:val="06866D3C"/>
    <w:rsid w:val="06972E4E"/>
    <w:rsid w:val="06A31B6E"/>
    <w:rsid w:val="06A848F7"/>
    <w:rsid w:val="06B86823"/>
    <w:rsid w:val="06BF2153"/>
    <w:rsid w:val="06D375E0"/>
    <w:rsid w:val="06D9502E"/>
    <w:rsid w:val="06E329B2"/>
    <w:rsid w:val="06EB4F76"/>
    <w:rsid w:val="06ED1728"/>
    <w:rsid w:val="06F81D74"/>
    <w:rsid w:val="06F945C3"/>
    <w:rsid w:val="07341382"/>
    <w:rsid w:val="07351836"/>
    <w:rsid w:val="074267A8"/>
    <w:rsid w:val="074A7C93"/>
    <w:rsid w:val="07666E00"/>
    <w:rsid w:val="07723470"/>
    <w:rsid w:val="077907ED"/>
    <w:rsid w:val="07972327"/>
    <w:rsid w:val="07A526A3"/>
    <w:rsid w:val="07A85930"/>
    <w:rsid w:val="07BB3EF2"/>
    <w:rsid w:val="07EE56D8"/>
    <w:rsid w:val="08135F8A"/>
    <w:rsid w:val="08150CEE"/>
    <w:rsid w:val="083726B7"/>
    <w:rsid w:val="08554A0D"/>
    <w:rsid w:val="08563EE1"/>
    <w:rsid w:val="086D3DA1"/>
    <w:rsid w:val="08774BE1"/>
    <w:rsid w:val="088F5820"/>
    <w:rsid w:val="08903F11"/>
    <w:rsid w:val="08932D8F"/>
    <w:rsid w:val="08C5696C"/>
    <w:rsid w:val="08E46623"/>
    <w:rsid w:val="08ED571D"/>
    <w:rsid w:val="08F30303"/>
    <w:rsid w:val="0922447E"/>
    <w:rsid w:val="09285EF9"/>
    <w:rsid w:val="092D0C4C"/>
    <w:rsid w:val="09553317"/>
    <w:rsid w:val="096213E6"/>
    <w:rsid w:val="09641BD1"/>
    <w:rsid w:val="0967298A"/>
    <w:rsid w:val="09814C1E"/>
    <w:rsid w:val="09A17CCC"/>
    <w:rsid w:val="09A71C3D"/>
    <w:rsid w:val="09AF2C22"/>
    <w:rsid w:val="09B32D8C"/>
    <w:rsid w:val="09C37FE6"/>
    <w:rsid w:val="09D236A1"/>
    <w:rsid w:val="09DB25D9"/>
    <w:rsid w:val="09DF226A"/>
    <w:rsid w:val="09EC69D2"/>
    <w:rsid w:val="0A074254"/>
    <w:rsid w:val="0A3B332D"/>
    <w:rsid w:val="0A4A4D09"/>
    <w:rsid w:val="0A4D21A5"/>
    <w:rsid w:val="0A500304"/>
    <w:rsid w:val="0A5234C1"/>
    <w:rsid w:val="0A704DEE"/>
    <w:rsid w:val="0A8B5261"/>
    <w:rsid w:val="0A8E5075"/>
    <w:rsid w:val="0A8F11AF"/>
    <w:rsid w:val="0AA913FB"/>
    <w:rsid w:val="0AAE6B76"/>
    <w:rsid w:val="0AB37F43"/>
    <w:rsid w:val="0AB930A2"/>
    <w:rsid w:val="0ADD0DF0"/>
    <w:rsid w:val="0AEB40E8"/>
    <w:rsid w:val="0B0372C6"/>
    <w:rsid w:val="0B2810DB"/>
    <w:rsid w:val="0B416906"/>
    <w:rsid w:val="0B5D1C2A"/>
    <w:rsid w:val="0B685C3C"/>
    <w:rsid w:val="0B7202E7"/>
    <w:rsid w:val="0B7B6764"/>
    <w:rsid w:val="0B991D46"/>
    <w:rsid w:val="0B9F686D"/>
    <w:rsid w:val="0C110CA2"/>
    <w:rsid w:val="0C124A4E"/>
    <w:rsid w:val="0C364F9E"/>
    <w:rsid w:val="0C773477"/>
    <w:rsid w:val="0C905D65"/>
    <w:rsid w:val="0C9F113B"/>
    <w:rsid w:val="0CB445DA"/>
    <w:rsid w:val="0CD3448B"/>
    <w:rsid w:val="0CF072F3"/>
    <w:rsid w:val="0CF2037C"/>
    <w:rsid w:val="0D2466BD"/>
    <w:rsid w:val="0D2E4C9A"/>
    <w:rsid w:val="0D3A1668"/>
    <w:rsid w:val="0D5C2246"/>
    <w:rsid w:val="0D6A3C45"/>
    <w:rsid w:val="0D6B611E"/>
    <w:rsid w:val="0D7E1788"/>
    <w:rsid w:val="0D7F3B4D"/>
    <w:rsid w:val="0D84383E"/>
    <w:rsid w:val="0D9D7A67"/>
    <w:rsid w:val="0DA13B17"/>
    <w:rsid w:val="0DA277FF"/>
    <w:rsid w:val="0DB8057F"/>
    <w:rsid w:val="0DC57869"/>
    <w:rsid w:val="0DD331D8"/>
    <w:rsid w:val="0DDB677F"/>
    <w:rsid w:val="0DE90B73"/>
    <w:rsid w:val="0E05197A"/>
    <w:rsid w:val="0E093A81"/>
    <w:rsid w:val="0E1201C4"/>
    <w:rsid w:val="0E3C08A3"/>
    <w:rsid w:val="0E626142"/>
    <w:rsid w:val="0E641F0C"/>
    <w:rsid w:val="0E6D3EE4"/>
    <w:rsid w:val="0E73304D"/>
    <w:rsid w:val="0E8168AC"/>
    <w:rsid w:val="0E825A70"/>
    <w:rsid w:val="0E92031F"/>
    <w:rsid w:val="0E9601D9"/>
    <w:rsid w:val="0EB07759"/>
    <w:rsid w:val="0EDF4D5E"/>
    <w:rsid w:val="0EE76841"/>
    <w:rsid w:val="0EE80A4E"/>
    <w:rsid w:val="0EF860F0"/>
    <w:rsid w:val="0F024085"/>
    <w:rsid w:val="0F1438EF"/>
    <w:rsid w:val="0F406B5C"/>
    <w:rsid w:val="0F463825"/>
    <w:rsid w:val="0F4B0F6A"/>
    <w:rsid w:val="0F575798"/>
    <w:rsid w:val="0F5F0514"/>
    <w:rsid w:val="0F5F5CB1"/>
    <w:rsid w:val="0F6D192D"/>
    <w:rsid w:val="0F6E4AA0"/>
    <w:rsid w:val="0F886069"/>
    <w:rsid w:val="0F8E4A5C"/>
    <w:rsid w:val="0F945C31"/>
    <w:rsid w:val="0FA819A2"/>
    <w:rsid w:val="0FCA08C0"/>
    <w:rsid w:val="0FCA14B6"/>
    <w:rsid w:val="0FE42DE8"/>
    <w:rsid w:val="0FF072CE"/>
    <w:rsid w:val="0FFE5645"/>
    <w:rsid w:val="10025B65"/>
    <w:rsid w:val="101038A7"/>
    <w:rsid w:val="101E2D38"/>
    <w:rsid w:val="10446D2F"/>
    <w:rsid w:val="104957CA"/>
    <w:rsid w:val="104A797E"/>
    <w:rsid w:val="104D6EF3"/>
    <w:rsid w:val="1069417C"/>
    <w:rsid w:val="106C1E4B"/>
    <w:rsid w:val="10831828"/>
    <w:rsid w:val="10844BDE"/>
    <w:rsid w:val="108A23D3"/>
    <w:rsid w:val="108E687D"/>
    <w:rsid w:val="1095135B"/>
    <w:rsid w:val="10D35E97"/>
    <w:rsid w:val="110F068B"/>
    <w:rsid w:val="11114551"/>
    <w:rsid w:val="112269D1"/>
    <w:rsid w:val="11356135"/>
    <w:rsid w:val="11537004"/>
    <w:rsid w:val="11800917"/>
    <w:rsid w:val="118955AD"/>
    <w:rsid w:val="11970BCB"/>
    <w:rsid w:val="1197226B"/>
    <w:rsid w:val="119E5143"/>
    <w:rsid w:val="11AA0839"/>
    <w:rsid w:val="11C42470"/>
    <w:rsid w:val="11C71895"/>
    <w:rsid w:val="11CD444A"/>
    <w:rsid w:val="11E2334D"/>
    <w:rsid w:val="11E57D4D"/>
    <w:rsid w:val="11FC3F3B"/>
    <w:rsid w:val="120333A8"/>
    <w:rsid w:val="120A72E0"/>
    <w:rsid w:val="12374307"/>
    <w:rsid w:val="124D3BAD"/>
    <w:rsid w:val="125A52C4"/>
    <w:rsid w:val="1265239E"/>
    <w:rsid w:val="12655D96"/>
    <w:rsid w:val="128655FA"/>
    <w:rsid w:val="128E3C38"/>
    <w:rsid w:val="12BF2922"/>
    <w:rsid w:val="12C942C8"/>
    <w:rsid w:val="12DC5F5E"/>
    <w:rsid w:val="12DC7F8C"/>
    <w:rsid w:val="12E82A0B"/>
    <w:rsid w:val="131873D2"/>
    <w:rsid w:val="13274F9C"/>
    <w:rsid w:val="13417410"/>
    <w:rsid w:val="134A448A"/>
    <w:rsid w:val="134C5D75"/>
    <w:rsid w:val="134F7EA7"/>
    <w:rsid w:val="135107A8"/>
    <w:rsid w:val="136066CF"/>
    <w:rsid w:val="13657E31"/>
    <w:rsid w:val="136C3340"/>
    <w:rsid w:val="1387094F"/>
    <w:rsid w:val="139C08EB"/>
    <w:rsid w:val="13A41DAE"/>
    <w:rsid w:val="13C25262"/>
    <w:rsid w:val="13D35238"/>
    <w:rsid w:val="13D81B1F"/>
    <w:rsid w:val="13ED6E9B"/>
    <w:rsid w:val="14061B66"/>
    <w:rsid w:val="142B5FE2"/>
    <w:rsid w:val="142C3159"/>
    <w:rsid w:val="14542872"/>
    <w:rsid w:val="145A7762"/>
    <w:rsid w:val="14757501"/>
    <w:rsid w:val="147E2423"/>
    <w:rsid w:val="1487273A"/>
    <w:rsid w:val="148C28CB"/>
    <w:rsid w:val="14944440"/>
    <w:rsid w:val="14A059A0"/>
    <w:rsid w:val="14B34C9F"/>
    <w:rsid w:val="14B47FD5"/>
    <w:rsid w:val="14B97B05"/>
    <w:rsid w:val="14CD31B9"/>
    <w:rsid w:val="14D32567"/>
    <w:rsid w:val="14DA6BBE"/>
    <w:rsid w:val="14E67563"/>
    <w:rsid w:val="15021B62"/>
    <w:rsid w:val="150A21BA"/>
    <w:rsid w:val="151779D1"/>
    <w:rsid w:val="1522437E"/>
    <w:rsid w:val="15283931"/>
    <w:rsid w:val="153608A7"/>
    <w:rsid w:val="15382F40"/>
    <w:rsid w:val="158374C1"/>
    <w:rsid w:val="15A62ECC"/>
    <w:rsid w:val="15B14179"/>
    <w:rsid w:val="15BB515A"/>
    <w:rsid w:val="15C516BD"/>
    <w:rsid w:val="15FF55AE"/>
    <w:rsid w:val="160A6C2C"/>
    <w:rsid w:val="161B2B1F"/>
    <w:rsid w:val="166266B1"/>
    <w:rsid w:val="168102EC"/>
    <w:rsid w:val="168E322D"/>
    <w:rsid w:val="16C724D4"/>
    <w:rsid w:val="16C90FE3"/>
    <w:rsid w:val="16D411E7"/>
    <w:rsid w:val="16D673F9"/>
    <w:rsid w:val="16E12441"/>
    <w:rsid w:val="16E93EAA"/>
    <w:rsid w:val="170756D4"/>
    <w:rsid w:val="170F4587"/>
    <w:rsid w:val="172C7D14"/>
    <w:rsid w:val="176115DC"/>
    <w:rsid w:val="17682C5F"/>
    <w:rsid w:val="176C62A3"/>
    <w:rsid w:val="176D7525"/>
    <w:rsid w:val="17824660"/>
    <w:rsid w:val="178F2FF8"/>
    <w:rsid w:val="179121FE"/>
    <w:rsid w:val="17915931"/>
    <w:rsid w:val="17C24576"/>
    <w:rsid w:val="17C41ABF"/>
    <w:rsid w:val="180279B2"/>
    <w:rsid w:val="18175D56"/>
    <w:rsid w:val="18276B10"/>
    <w:rsid w:val="183C0E63"/>
    <w:rsid w:val="187964F0"/>
    <w:rsid w:val="188304CF"/>
    <w:rsid w:val="1889108F"/>
    <w:rsid w:val="189B5F22"/>
    <w:rsid w:val="18A70256"/>
    <w:rsid w:val="18A944F8"/>
    <w:rsid w:val="18B73074"/>
    <w:rsid w:val="18CA061B"/>
    <w:rsid w:val="18DA76F1"/>
    <w:rsid w:val="19034C2D"/>
    <w:rsid w:val="1916127C"/>
    <w:rsid w:val="191618C8"/>
    <w:rsid w:val="192B4044"/>
    <w:rsid w:val="193D465D"/>
    <w:rsid w:val="193D4E12"/>
    <w:rsid w:val="195419D3"/>
    <w:rsid w:val="196C4606"/>
    <w:rsid w:val="196C6238"/>
    <w:rsid w:val="197B55D1"/>
    <w:rsid w:val="198572D5"/>
    <w:rsid w:val="198A59D6"/>
    <w:rsid w:val="19A73D74"/>
    <w:rsid w:val="19AA5416"/>
    <w:rsid w:val="19B10C29"/>
    <w:rsid w:val="19CE7FF6"/>
    <w:rsid w:val="19D70C6D"/>
    <w:rsid w:val="19E2271F"/>
    <w:rsid w:val="19F3086D"/>
    <w:rsid w:val="1A075570"/>
    <w:rsid w:val="1A0873EE"/>
    <w:rsid w:val="1A1C623A"/>
    <w:rsid w:val="1A222A0A"/>
    <w:rsid w:val="1A270D5F"/>
    <w:rsid w:val="1A4D4CED"/>
    <w:rsid w:val="1A744BB1"/>
    <w:rsid w:val="1A777A93"/>
    <w:rsid w:val="1A797469"/>
    <w:rsid w:val="1A8850B8"/>
    <w:rsid w:val="1AD55F58"/>
    <w:rsid w:val="1ADB0B95"/>
    <w:rsid w:val="1AEA4C03"/>
    <w:rsid w:val="1AEC3C17"/>
    <w:rsid w:val="1AF80851"/>
    <w:rsid w:val="1B0361BC"/>
    <w:rsid w:val="1B262D26"/>
    <w:rsid w:val="1B2670F4"/>
    <w:rsid w:val="1B2D1E19"/>
    <w:rsid w:val="1B2D7FD6"/>
    <w:rsid w:val="1B3A5220"/>
    <w:rsid w:val="1B3B258E"/>
    <w:rsid w:val="1B652C95"/>
    <w:rsid w:val="1B6B5282"/>
    <w:rsid w:val="1B70155F"/>
    <w:rsid w:val="1B723039"/>
    <w:rsid w:val="1B765C75"/>
    <w:rsid w:val="1B7700FA"/>
    <w:rsid w:val="1B894EBC"/>
    <w:rsid w:val="1B8C1172"/>
    <w:rsid w:val="1B9269B7"/>
    <w:rsid w:val="1BA81121"/>
    <w:rsid w:val="1BB12BB2"/>
    <w:rsid w:val="1BCE49E9"/>
    <w:rsid w:val="1BD12722"/>
    <w:rsid w:val="1BD15865"/>
    <w:rsid w:val="1BD96883"/>
    <w:rsid w:val="1BDB0072"/>
    <w:rsid w:val="1BE90199"/>
    <w:rsid w:val="1BF842EE"/>
    <w:rsid w:val="1BFE7E24"/>
    <w:rsid w:val="1C100B6A"/>
    <w:rsid w:val="1C123CB3"/>
    <w:rsid w:val="1C2075D6"/>
    <w:rsid w:val="1C2B6CB4"/>
    <w:rsid w:val="1C3774BA"/>
    <w:rsid w:val="1C5D5F8B"/>
    <w:rsid w:val="1C637E71"/>
    <w:rsid w:val="1C6E241C"/>
    <w:rsid w:val="1C7D7596"/>
    <w:rsid w:val="1C9C2788"/>
    <w:rsid w:val="1C9C4490"/>
    <w:rsid w:val="1CB07DF9"/>
    <w:rsid w:val="1CC3681B"/>
    <w:rsid w:val="1CD143D0"/>
    <w:rsid w:val="1CF251D3"/>
    <w:rsid w:val="1CFF3217"/>
    <w:rsid w:val="1D0C3E62"/>
    <w:rsid w:val="1D1D0D81"/>
    <w:rsid w:val="1D5835F0"/>
    <w:rsid w:val="1D8C5045"/>
    <w:rsid w:val="1D9244F8"/>
    <w:rsid w:val="1D931CEA"/>
    <w:rsid w:val="1DB46F45"/>
    <w:rsid w:val="1DC177D9"/>
    <w:rsid w:val="1DD626B8"/>
    <w:rsid w:val="1DDE608F"/>
    <w:rsid w:val="1E1A236E"/>
    <w:rsid w:val="1E225BB3"/>
    <w:rsid w:val="1E240AA8"/>
    <w:rsid w:val="1E2A6113"/>
    <w:rsid w:val="1E2D212B"/>
    <w:rsid w:val="1E2E6E13"/>
    <w:rsid w:val="1E32182A"/>
    <w:rsid w:val="1E5A61EE"/>
    <w:rsid w:val="1E713E2F"/>
    <w:rsid w:val="1E726355"/>
    <w:rsid w:val="1E772020"/>
    <w:rsid w:val="1E7C0617"/>
    <w:rsid w:val="1EA573D8"/>
    <w:rsid w:val="1EB0513B"/>
    <w:rsid w:val="1EB479AA"/>
    <w:rsid w:val="1EB72F76"/>
    <w:rsid w:val="1ED45036"/>
    <w:rsid w:val="1EE36B2C"/>
    <w:rsid w:val="1EF342CB"/>
    <w:rsid w:val="1EF62481"/>
    <w:rsid w:val="1F020A44"/>
    <w:rsid w:val="1F041BC7"/>
    <w:rsid w:val="1F127B09"/>
    <w:rsid w:val="1F2354C8"/>
    <w:rsid w:val="1F36160E"/>
    <w:rsid w:val="1F560579"/>
    <w:rsid w:val="1F5D00BF"/>
    <w:rsid w:val="1F640255"/>
    <w:rsid w:val="1F671677"/>
    <w:rsid w:val="1F722047"/>
    <w:rsid w:val="1F904945"/>
    <w:rsid w:val="1FAA6A2E"/>
    <w:rsid w:val="1FC11059"/>
    <w:rsid w:val="1FD36A9D"/>
    <w:rsid w:val="1FD608B1"/>
    <w:rsid w:val="1FE570E2"/>
    <w:rsid w:val="1FE63F3C"/>
    <w:rsid w:val="1FE7673E"/>
    <w:rsid w:val="200E38F2"/>
    <w:rsid w:val="201E585F"/>
    <w:rsid w:val="20410B17"/>
    <w:rsid w:val="2049266D"/>
    <w:rsid w:val="20534B67"/>
    <w:rsid w:val="20557DC5"/>
    <w:rsid w:val="205A5C16"/>
    <w:rsid w:val="205B7D6A"/>
    <w:rsid w:val="207305B0"/>
    <w:rsid w:val="207C33EE"/>
    <w:rsid w:val="2081342E"/>
    <w:rsid w:val="209740BF"/>
    <w:rsid w:val="2098668C"/>
    <w:rsid w:val="2099242E"/>
    <w:rsid w:val="20B0411F"/>
    <w:rsid w:val="20D658C9"/>
    <w:rsid w:val="20D95B5B"/>
    <w:rsid w:val="20DC2416"/>
    <w:rsid w:val="20F22231"/>
    <w:rsid w:val="20F75FB2"/>
    <w:rsid w:val="21015C26"/>
    <w:rsid w:val="210D46F4"/>
    <w:rsid w:val="210D5036"/>
    <w:rsid w:val="21121083"/>
    <w:rsid w:val="211518DD"/>
    <w:rsid w:val="212B2F31"/>
    <w:rsid w:val="21307761"/>
    <w:rsid w:val="21322487"/>
    <w:rsid w:val="21327DB2"/>
    <w:rsid w:val="213D6756"/>
    <w:rsid w:val="213D7BD8"/>
    <w:rsid w:val="214C4EC5"/>
    <w:rsid w:val="2153567F"/>
    <w:rsid w:val="216C2C5D"/>
    <w:rsid w:val="217422B6"/>
    <w:rsid w:val="2188758A"/>
    <w:rsid w:val="21A61686"/>
    <w:rsid w:val="21C13A32"/>
    <w:rsid w:val="220940EA"/>
    <w:rsid w:val="220A4BCF"/>
    <w:rsid w:val="22270787"/>
    <w:rsid w:val="224A2225"/>
    <w:rsid w:val="224D73DD"/>
    <w:rsid w:val="22592601"/>
    <w:rsid w:val="226D7B83"/>
    <w:rsid w:val="2293123C"/>
    <w:rsid w:val="22A570EC"/>
    <w:rsid w:val="22B70712"/>
    <w:rsid w:val="22E95B2D"/>
    <w:rsid w:val="23146AE4"/>
    <w:rsid w:val="23225552"/>
    <w:rsid w:val="232E56FD"/>
    <w:rsid w:val="233F5F96"/>
    <w:rsid w:val="234F70EA"/>
    <w:rsid w:val="235F4D23"/>
    <w:rsid w:val="23657029"/>
    <w:rsid w:val="236D4028"/>
    <w:rsid w:val="23745640"/>
    <w:rsid w:val="237A75E1"/>
    <w:rsid w:val="238A4DFC"/>
    <w:rsid w:val="23A713BB"/>
    <w:rsid w:val="23C053DE"/>
    <w:rsid w:val="23D142EE"/>
    <w:rsid w:val="23DF7B34"/>
    <w:rsid w:val="23EA2631"/>
    <w:rsid w:val="240C05DA"/>
    <w:rsid w:val="24226CC5"/>
    <w:rsid w:val="24312A4A"/>
    <w:rsid w:val="24440889"/>
    <w:rsid w:val="244A5E9A"/>
    <w:rsid w:val="244C4BB8"/>
    <w:rsid w:val="24691193"/>
    <w:rsid w:val="246C3A46"/>
    <w:rsid w:val="247152E7"/>
    <w:rsid w:val="248B7BA5"/>
    <w:rsid w:val="24BC7675"/>
    <w:rsid w:val="24E04616"/>
    <w:rsid w:val="24FF7718"/>
    <w:rsid w:val="251A7612"/>
    <w:rsid w:val="25237A22"/>
    <w:rsid w:val="252E0774"/>
    <w:rsid w:val="25481BCE"/>
    <w:rsid w:val="254E3439"/>
    <w:rsid w:val="255453E5"/>
    <w:rsid w:val="255D36DD"/>
    <w:rsid w:val="25812F8D"/>
    <w:rsid w:val="25814DB7"/>
    <w:rsid w:val="25824959"/>
    <w:rsid w:val="25972DC2"/>
    <w:rsid w:val="25987A23"/>
    <w:rsid w:val="25A84E27"/>
    <w:rsid w:val="25BC46FF"/>
    <w:rsid w:val="25C517A2"/>
    <w:rsid w:val="25EB01A3"/>
    <w:rsid w:val="25F5789E"/>
    <w:rsid w:val="25FD6A72"/>
    <w:rsid w:val="2608561B"/>
    <w:rsid w:val="260C1217"/>
    <w:rsid w:val="26196938"/>
    <w:rsid w:val="262435DA"/>
    <w:rsid w:val="26261861"/>
    <w:rsid w:val="263621B9"/>
    <w:rsid w:val="26382AAC"/>
    <w:rsid w:val="26410311"/>
    <w:rsid w:val="26506FAD"/>
    <w:rsid w:val="26617429"/>
    <w:rsid w:val="26656277"/>
    <w:rsid w:val="26663117"/>
    <w:rsid w:val="266B650F"/>
    <w:rsid w:val="2673017F"/>
    <w:rsid w:val="267771CA"/>
    <w:rsid w:val="26807144"/>
    <w:rsid w:val="268A362E"/>
    <w:rsid w:val="269560EE"/>
    <w:rsid w:val="26AF686C"/>
    <w:rsid w:val="26CA60FC"/>
    <w:rsid w:val="26D16018"/>
    <w:rsid w:val="26DB3228"/>
    <w:rsid w:val="26DF6074"/>
    <w:rsid w:val="26E05716"/>
    <w:rsid w:val="26FE679C"/>
    <w:rsid w:val="272C11C0"/>
    <w:rsid w:val="27301EDB"/>
    <w:rsid w:val="27453115"/>
    <w:rsid w:val="276C029F"/>
    <w:rsid w:val="27867E0A"/>
    <w:rsid w:val="27982DD4"/>
    <w:rsid w:val="27B2212B"/>
    <w:rsid w:val="27CC67E7"/>
    <w:rsid w:val="27DD09CE"/>
    <w:rsid w:val="27EC553C"/>
    <w:rsid w:val="27EF7274"/>
    <w:rsid w:val="280C4BFC"/>
    <w:rsid w:val="2813394B"/>
    <w:rsid w:val="281C1F63"/>
    <w:rsid w:val="281C54D8"/>
    <w:rsid w:val="283610D5"/>
    <w:rsid w:val="285F5293"/>
    <w:rsid w:val="28622D71"/>
    <w:rsid w:val="286C6A7B"/>
    <w:rsid w:val="286E69FD"/>
    <w:rsid w:val="287F6D5E"/>
    <w:rsid w:val="28C50069"/>
    <w:rsid w:val="28C56178"/>
    <w:rsid w:val="28C66285"/>
    <w:rsid w:val="28D63430"/>
    <w:rsid w:val="28FA546B"/>
    <w:rsid w:val="28FE025E"/>
    <w:rsid w:val="291C2605"/>
    <w:rsid w:val="29245F1A"/>
    <w:rsid w:val="29366359"/>
    <w:rsid w:val="29586D7A"/>
    <w:rsid w:val="295B578B"/>
    <w:rsid w:val="29772B51"/>
    <w:rsid w:val="29791894"/>
    <w:rsid w:val="2984235F"/>
    <w:rsid w:val="299400E6"/>
    <w:rsid w:val="29967FD2"/>
    <w:rsid w:val="29A52D8F"/>
    <w:rsid w:val="29B76175"/>
    <w:rsid w:val="29C56C3A"/>
    <w:rsid w:val="29D85278"/>
    <w:rsid w:val="29E1380C"/>
    <w:rsid w:val="29E85046"/>
    <w:rsid w:val="2A017BFD"/>
    <w:rsid w:val="2A0A71F8"/>
    <w:rsid w:val="2A4913A2"/>
    <w:rsid w:val="2A5A7ABB"/>
    <w:rsid w:val="2A8260FD"/>
    <w:rsid w:val="2A9154D8"/>
    <w:rsid w:val="2A9155AF"/>
    <w:rsid w:val="2AA04C57"/>
    <w:rsid w:val="2AD750C3"/>
    <w:rsid w:val="2AE77D08"/>
    <w:rsid w:val="2AEA3011"/>
    <w:rsid w:val="2B0B000F"/>
    <w:rsid w:val="2B0F2542"/>
    <w:rsid w:val="2B252D72"/>
    <w:rsid w:val="2B3C2C8C"/>
    <w:rsid w:val="2B3E0375"/>
    <w:rsid w:val="2B492499"/>
    <w:rsid w:val="2B652A8D"/>
    <w:rsid w:val="2B6A2F63"/>
    <w:rsid w:val="2B6C55DB"/>
    <w:rsid w:val="2B713AF1"/>
    <w:rsid w:val="2B8D5640"/>
    <w:rsid w:val="2BBC7D7F"/>
    <w:rsid w:val="2BD71E37"/>
    <w:rsid w:val="2BF4029C"/>
    <w:rsid w:val="2C1C6937"/>
    <w:rsid w:val="2C202757"/>
    <w:rsid w:val="2C270D43"/>
    <w:rsid w:val="2C6436A6"/>
    <w:rsid w:val="2C7A2A8F"/>
    <w:rsid w:val="2C9023A5"/>
    <w:rsid w:val="2C937549"/>
    <w:rsid w:val="2C9D6A04"/>
    <w:rsid w:val="2C9F62F7"/>
    <w:rsid w:val="2CB62598"/>
    <w:rsid w:val="2CBC136A"/>
    <w:rsid w:val="2CFE607B"/>
    <w:rsid w:val="2D095409"/>
    <w:rsid w:val="2D185752"/>
    <w:rsid w:val="2D204FAE"/>
    <w:rsid w:val="2D3A3199"/>
    <w:rsid w:val="2D4B38E7"/>
    <w:rsid w:val="2D5470D9"/>
    <w:rsid w:val="2D551303"/>
    <w:rsid w:val="2D772574"/>
    <w:rsid w:val="2D8D31B7"/>
    <w:rsid w:val="2D8D5835"/>
    <w:rsid w:val="2DA54623"/>
    <w:rsid w:val="2DAB1C25"/>
    <w:rsid w:val="2DCC12FC"/>
    <w:rsid w:val="2DD66E3A"/>
    <w:rsid w:val="2DF17D73"/>
    <w:rsid w:val="2E3145F6"/>
    <w:rsid w:val="2E651DD9"/>
    <w:rsid w:val="2E652B8E"/>
    <w:rsid w:val="2E66167A"/>
    <w:rsid w:val="2E687A2E"/>
    <w:rsid w:val="2E6C7EF1"/>
    <w:rsid w:val="2E6D69DB"/>
    <w:rsid w:val="2E6F6584"/>
    <w:rsid w:val="2E7823B0"/>
    <w:rsid w:val="2E933BCE"/>
    <w:rsid w:val="2E9C6490"/>
    <w:rsid w:val="2EA40069"/>
    <w:rsid w:val="2EA41B98"/>
    <w:rsid w:val="2EAA3B87"/>
    <w:rsid w:val="2EB66E96"/>
    <w:rsid w:val="2EBA0DAA"/>
    <w:rsid w:val="2EBC23A0"/>
    <w:rsid w:val="2EFA0191"/>
    <w:rsid w:val="2EFA1051"/>
    <w:rsid w:val="2EFC22DC"/>
    <w:rsid w:val="2F037EDD"/>
    <w:rsid w:val="2F436846"/>
    <w:rsid w:val="2F4556CE"/>
    <w:rsid w:val="2F6F3C93"/>
    <w:rsid w:val="2F754A27"/>
    <w:rsid w:val="2F7A423F"/>
    <w:rsid w:val="2FB1448A"/>
    <w:rsid w:val="2FC802AE"/>
    <w:rsid w:val="2FCE27B3"/>
    <w:rsid w:val="2FD11635"/>
    <w:rsid w:val="30027B6C"/>
    <w:rsid w:val="301C41BF"/>
    <w:rsid w:val="303048F7"/>
    <w:rsid w:val="303474C0"/>
    <w:rsid w:val="303C233C"/>
    <w:rsid w:val="305C41A9"/>
    <w:rsid w:val="30820205"/>
    <w:rsid w:val="308E41B5"/>
    <w:rsid w:val="30952C59"/>
    <w:rsid w:val="30D7125F"/>
    <w:rsid w:val="30EE0209"/>
    <w:rsid w:val="30FF4D69"/>
    <w:rsid w:val="3113559B"/>
    <w:rsid w:val="311978DB"/>
    <w:rsid w:val="312421F6"/>
    <w:rsid w:val="3127420C"/>
    <w:rsid w:val="31277147"/>
    <w:rsid w:val="31477BEB"/>
    <w:rsid w:val="315523B1"/>
    <w:rsid w:val="315F79F9"/>
    <w:rsid w:val="318318AF"/>
    <w:rsid w:val="3198056E"/>
    <w:rsid w:val="31C67C75"/>
    <w:rsid w:val="31CD31BF"/>
    <w:rsid w:val="31DB5E54"/>
    <w:rsid w:val="31E10F55"/>
    <w:rsid w:val="31FF2C2B"/>
    <w:rsid w:val="320B7AA3"/>
    <w:rsid w:val="320B7F80"/>
    <w:rsid w:val="3219008D"/>
    <w:rsid w:val="321D798F"/>
    <w:rsid w:val="32203C87"/>
    <w:rsid w:val="32215B79"/>
    <w:rsid w:val="322241F2"/>
    <w:rsid w:val="3229379D"/>
    <w:rsid w:val="32294133"/>
    <w:rsid w:val="322D5AFA"/>
    <w:rsid w:val="323D3EDB"/>
    <w:rsid w:val="32514C44"/>
    <w:rsid w:val="327A43E9"/>
    <w:rsid w:val="328916BE"/>
    <w:rsid w:val="32974C7A"/>
    <w:rsid w:val="32BB4ABE"/>
    <w:rsid w:val="32C8549C"/>
    <w:rsid w:val="32CA16D9"/>
    <w:rsid w:val="32E83928"/>
    <w:rsid w:val="32F45590"/>
    <w:rsid w:val="33773188"/>
    <w:rsid w:val="337E77C9"/>
    <w:rsid w:val="338F53C2"/>
    <w:rsid w:val="33925662"/>
    <w:rsid w:val="33994877"/>
    <w:rsid w:val="339B7AA1"/>
    <w:rsid w:val="33AB2A5C"/>
    <w:rsid w:val="33B7637D"/>
    <w:rsid w:val="33D3177C"/>
    <w:rsid w:val="33D4661F"/>
    <w:rsid w:val="33E00260"/>
    <w:rsid w:val="33ED39C2"/>
    <w:rsid w:val="33F363C2"/>
    <w:rsid w:val="340B478A"/>
    <w:rsid w:val="340F56DE"/>
    <w:rsid w:val="341D02FE"/>
    <w:rsid w:val="3425597D"/>
    <w:rsid w:val="342A5DF5"/>
    <w:rsid w:val="344851FD"/>
    <w:rsid w:val="345F605B"/>
    <w:rsid w:val="34767BE8"/>
    <w:rsid w:val="347F1D3B"/>
    <w:rsid w:val="349B5E0E"/>
    <w:rsid w:val="34A432B6"/>
    <w:rsid w:val="34AA020B"/>
    <w:rsid w:val="34BC17DA"/>
    <w:rsid w:val="34D015E3"/>
    <w:rsid w:val="34D666FF"/>
    <w:rsid w:val="34EC3ED5"/>
    <w:rsid w:val="34F85DA8"/>
    <w:rsid w:val="3509398E"/>
    <w:rsid w:val="3547266B"/>
    <w:rsid w:val="354B62D7"/>
    <w:rsid w:val="3554479E"/>
    <w:rsid w:val="35562720"/>
    <w:rsid w:val="355F094B"/>
    <w:rsid w:val="35792722"/>
    <w:rsid w:val="357D63E5"/>
    <w:rsid w:val="357F00D0"/>
    <w:rsid w:val="35894506"/>
    <w:rsid w:val="35A377DB"/>
    <w:rsid w:val="35A52977"/>
    <w:rsid w:val="35CA3B9C"/>
    <w:rsid w:val="35E46790"/>
    <w:rsid w:val="35E7387F"/>
    <w:rsid w:val="35E81F7A"/>
    <w:rsid w:val="35F117F7"/>
    <w:rsid w:val="35F52BF3"/>
    <w:rsid w:val="36041802"/>
    <w:rsid w:val="360530D8"/>
    <w:rsid w:val="3605698A"/>
    <w:rsid w:val="36162F1C"/>
    <w:rsid w:val="361937E8"/>
    <w:rsid w:val="363277D2"/>
    <w:rsid w:val="366244D5"/>
    <w:rsid w:val="3665136E"/>
    <w:rsid w:val="36A82C1D"/>
    <w:rsid w:val="36B34449"/>
    <w:rsid w:val="36C342D9"/>
    <w:rsid w:val="36C3654A"/>
    <w:rsid w:val="370F2E93"/>
    <w:rsid w:val="370F32ED"/>
    <w:rsid w:val="37306225"/>
    <w:rsid w:val="374E35E0"/>
    <w:rsid w:val="37560CC6"/>
    <w:rsid w:val="377E0357"/>
    <w:rsid w:val="378D0CEB"/>
    <w:rsid w:val="379A026D"/>
    <w:rsid w:val="37A2207E"/>
    <w:rsid w:val="37A2434F"/>
    <w:rsid w:val="37ED32C0"/>
    <w:rsid w:val="37ED6D6E"/>
    <w:rsid w:val="37F25985"/>
    <w:rsid w:val="38041E33"/>
    <w:rsid w:val="380C3B20"/>
    <w:rsid w:val="38422CE2"/>
    <w:rsid w:val="38464281"/>
    <w:rsid w:val="386E21B0"/>
    <w:rsid w:val="388A69C4"/>
    <w:rsid w:val="38AE496C"/>
    <w:rsid w:val="38B54D45"/>
    <w:rsid w:val="38B7072B"/>
    <w:rsid w:val="38D242CD"/>
    <w:rsid w:val="38DC6FB6"/>
    <w:rsid w:val="39324B9F"/>
    <w:rsid w:val="393E0C7A"/>
    <w:rsid w:val="39470BCD"/>
    <w:rsid w:val="39821F75"/>
    <w:rsid w:val="398B5520"/>
    <w:rsid w:val="398C3DB7"/>
    <w:rsid w:val="39AB6275"/>
    <w:rsid w:val="39D4049C"/>
    <w:rsid w:val="39E17621"/>
    <w:rsid w:val="39F227B1"/>
    <w:rsid w:val="3A151290"/>
    <w:rsid w:val="3A201663"/>
    <w:rsid w:val="3A292038"/>
    <w:rsid w:val="3A524E6B"/>
    <w:rsid w:val="3A5E4DE2"/>
    <w:rsid w:val="3A7164C9"/>
    <w:rsid w:val="3A762A49"/>
    <w:rsid w:val="3A786FE1"/>
    <w:rsid w:val="3A826354"/>
    <w:rsid w:val="3A9D28F5"/>
    <w:rsid w:val="3ACD0EA1"/>
    <w:rsid w:val="3ACD43C9"/>
    <w:rsid w:val="3AFF2C64"/>
    <w:rsid w:val="3B2173A1"/>
    <w:rsid w:val="3B2B107F"/>
    <w:rsid w:val="3B2F69DB"/>
    <w:rsid w:val="3B5E1380"/>
    <w:rsid w:val="3B79226F"/>
    <w:rsid w:val="3B904834"/>
    <w:rsid w:val="3B932344"/>
    <w:rsid w:val="3B9B2E63"/>
    <w:rsid w:val="3B9D20F5"/>
    <w:rsid w:val="3BB33F88"/>
    <w:rsid w:val="3BD91520"/>
    <w:rsid w:val="3BD93153"/>
    <w:rsid w:val="3BDA6996"/>
    <w:rsid w:val="3C0A3047"/>
    <w:rsid w:val="3C2015D5"/>
    <w:rsid w:val="3C2E50FB"/>
    <w:rsid w:val="3C37637A"/>
    <w:rsid w:val="3C43668F"/>
    <w:rsid w:val="3C4A12AD"/>
    <w:rsid w:val="3C5125FC"/>
    <w:rsid w:val="3C690ECB"/>
    <w:rsid w:val="3C7A224D"/>
    <w:rsid w:val="3C860AC6"/>
    <w:rsid w:val="3C953A7D"/>
    <w:rsid w:val="3C960BC8"/>
    <w:rsid w:val="3C9848A1"/>
    <w:rsid w:val="3C9B05BB"/>
    <w:rsid w:val="3CA509B7"/>
    <w:rsid w:val="3CA509D1"/>
    <w:rsid w:val="3CD1763D"/>
    <w:rsid w:val="3CD537E6"/>
    <w:rsid w:val="3CD93879"/>
    <w:rsid w:val="3CEC28DE"/>
    <w:rsid w:val="3D2571D3"/>
    <w:rsid w:val="3D305077"/>
    <w:rsid w:val="3D7A2818"/>
    <w:rsid w:val="3D8106EA"/>
    <w:rsid w:val="3D834DF8"/>
    <w:rsid w:val="3DA352B1"/>
    <w:rsid w:val="3DBA258D"/>
    <w:rsid w:val="3DBA61E7"/>
    <w:rsid w:val="3DBE59FA"/>
    <w:rsid w:val="3DD55956"/>
    <w:rsid w:val="3DD64112"/>
    <w:rsid w:val="3DF7051E"/>
    <w:rsid w:val="3DFC4E1B"/>
    <w:rsid w:val="3E100FFC"/>
    <w:rsid w:val="3E201534"/>
    <w:rsid w:val="3E216B4D"/>
    <w:rsid w:val="3E49676D"/>
    <w:rsid w:val="3E4B429E"/>
    <w:rsid w:val="3E4E3A85"/>
    <w:rsid w:val="3E626750"/>
    <w:rsid w:val="3E651EE9"/>
    <w:rsid w:val="3E784A78"/>
    <w:rsid w:val="3E8554F5"/>
    <w:rsid w:val="3E8770E8"/>
    <w:rsid w:val="3EB65E71"/>
    <w:rsid w:val="3EC33032"/>
    <w:rsid w:val="3EC61DB3"/>
    <w:rsid w:val="3EF62661"/>
    <w:rsid w:val="3F3C595E"/>
    <w:rsid w:val="3F59346C"/>
    <w:rsid w:val="3F5E3FC7"/>
    <w:rsid w:val="3F657308"/>
    <w:rsid w:val="3F7856B5"/>
    <w:rsid w:val="3F7970EE"/>
    <w:rsid w:val="3F8003ED"/>
    <w:rsid w:val="3FA26743"/>
    <w:rsid w:val="3FBC79BD"/>
    <w:rsid w:val="3FC519F7"/>
    <w:rsid w:val="3FD0326B"/>
    <w:rsid w:val="3FD1251E"/>
    <w:rsid w:val="3FD34D1A"/>
    <w:rsid w:val="3FED63B1"/>
    <w:rsid w:val="3FF01019"/>
    <w:rsid w:val="40031733"/>
    <w:rsid w:val="40076D3D"/>
    <w:rsid w:val="401F65F0"/>
    <w:rsid w:val="404470DB"/>
    <w:rsid w:val="404C2292"/>
    <w:rsid w:val="404F63DB"/>
    <w:rsid w:val="405D572D"/>
    <w:rsid w:val="408D1EA0"/>
    <w:rsid w:val="408E2DBF"/>
    <w:rsid w:val="409D2A1A"/>
    <w:rsid w:val="40A752D1"/>
    <w:rsid w:val="40B21FB5"/>
    <w:rsid w:val="40B95E2E"/>
    <w:rsid w:val="40C17F9E"/>
    <w:rsid w:val="40C43B66"/>
    <w:rsid w:val="40D4372D"/>
    <w:rsid w:val="40E247F7"/>
    <w:rsid w:val="40EE5966"/>
    <w:rsid w:val="41061E02"/>
    <w:rsid w:val="410F1967"/>
    <w:rsid w:val="411D6169"/>
    <w:rsid w:val="41335FC7"/>
    <w:rsid w:val="415978C8"/>
    <w:rsid w:val="415C1B4D"/>
    <w:rsid w:val="417843F2"/>
    <w:rsid w:val="418A1799"/>
    <w:rsid w:val="41A325D5"/>
    <w:rsid w:val="41A61C3F"/>
    <w:rsid w:val="41B17185"/>
    <w:rsid w:val="41BA5808"/>
    <w:rsid w:val="41F05895"/>
    <w:rsid w:val="41F940DA"/>
    <w:rsid w:val="420155A5"/>
    <w:rsid w:val="420C70DA"/>
    <w:rsid w:val="4226611D"/>
    <w:rsid w:val="42370B89"/>
    <w:rsid w:val="4252208C"/>
    <w:rsid w:val="425402BB"/>
    <w:rsid w:val="42564ADA"/>
    <w:rsid w:val="42747A95"/>
    <w:rsid w:val="427E52C8"/>
    <w:rsid w:val="42841878"/>
    <w:rsid w:val="428D7C37"/>
    <w:rsid w:val="42E41FA3"/>
    <w:rsid w:val="42FA6BD0"/>
    <w:rsid w:val="42FB4E01"/>
    <w:rsid w:val="4301585B"/>
    <w:rsid w:val="43017026"/>
    <w:rsid w:val="43145EC4"/>
    <w:rsid w:val="43177F8E"/>
    <w:rsid w:val="431B31A4"/>
    <w:rsid w:val="43325808"/>
    <w:rsid w:val="433E1CAF"/>
    <w:rsid w:val="43412297"/>
    <w:rsid w:val="43413ED4"/>
    <w:rsid w:val="43594499"/>
    <w:rsid w:val="43636C3F"/>
    <w:rsid w:val="4364610B"/>
    <w:rsid w:val="436E5353"/>
    <w:rsid w:val="438073DF"/>
    <w:rsid w:val="439D6340"/>
    <w:rsid w:val="43DA3EFD"/>
    <w:rsid w:val="43FD7280"/>
    <w:rsid w:val="440F5F3D"/>
    <w:rsid w:val="441532B2"/>
    <w:rsid w:val="441C5686"/>
    <w:rsid w:val="441D4489"/>
    <w:rsid w:val="441E55BD"/>
    <w:rsid w:val="442C59F4"/>
    <w:rsid w:val="442C5CE7"/>
    <w:rsid w:val="443F7EE3"/>
    <w:rsid w:val="44477A7A"/>
    <w:rsid w:val="445A5900"/>
    <w:rsid w:val="44620AD6"/>
    <w:rsid w:val="44A72CB4"/>
    <w:rsid w:val="44C11C11"/>
    <w:rsid w:val="44D243AA"/>
    <w:rsid w:val="44DC0CFE"/>
    <w:rsid w:val="44DC4FCA"/>
    <w:rsid w:val="44E15547"/>
    <w:rsid w:val="44EA12B2"/>
    <w:rsid w:val="44F61218"/>
    <w:rsid w:val="44FD1C6D"/>
    <w:rsid w:val="453E4B66"/>
    <w:rsid w:val="453F207E"/>
    <w:rsid w:val="454276A8"/>
    <w:rsid w:val="45465AD9"/>
    <w:rsid w:val="45A31600"/>
    <w:rsid w:val="45E526C2"/>
    <w:rsid w:val="45ED2979"/>
    <w:rsid w:val="45EF4AA8"/>
    <w:rsid w:val="45EF5694"/>
    <w:rsid w:val="45F32D75"/>
    <w:rsid w:val="45F86B49"/>
    <w:rsid w:val="45FE4441"/>
    <w:rsid w:val="460878FC"/>
    <w:rsid w:val="460934CE"/>
    <w:rsid w:val="461A7582"/>
    <w:rsid w:val="461F685B"/>
    <w:rsid w:val="463A35BA"/>
    <w:rsid w:val="463D73B3"/>
    <w:rsid w:val="464478D6"/>
    <w:rsid w:val="46594972"/>
    <w:rsid w:val="46763AFA"/>
    <w:rsid w:val="469438D3"/>
    <w:rsid w:val="46A86AC5"/>
    <w:rsid w:val="46AF0ACC"/>
    <w:rsid w:val="46B8285C"/>
    <w:rsid w:val="46C25887"/>
    <w:rsid w:val="46CD2EA3"/>
    <w:rsid w:val="46E33C2A"/>
    <w:rsid w:val="46EB5C2E"/>
    <w:rsid w:val="46FD4E10"/>
    <w:rsid w:val="470B3411"/>
    <w:rsid w:val="47191F43"/>
    <w:rsid w:val="471B210D"/>
    <w:rsid w:val="47326805"/>
    <w:rsid w:val="47330BB1"/>
    <w:rsid w:val="474340E1"/>
    <w:rsid w:val="4754737E"/>
    <w:rsid w:val="476E5DEA"/>
    <w:rsid w:val="47731A63"/>
    <w:rsid w:val="47914A33"/>
    <w:rsid w:val="479B0044"/>
    <w:rsid w:val="479C10BC"/>
    <w:rsid w:val="47A4380D"/>
    <w:rsid w:val="47A6297A"/>
    <w:rsid w:val="47B35BF8"/>
    <w:rsid w:val="47C041C7"/>
    <w:rsid w:val="47CB4E60"/>
    <w:rsid w:val="47CD1E0C"/>
    <w:rsid w:val="47D964DB"/>
    <w:rsid w:val="47FC33A5"/>
    <w:rsid w:val="48012A31"/>
    <w:rsid w:val="480B13B8"/>
    <w:rsid w:val="481D4366"/>
    <w:rsid w:val="485803F1"/>
    <w:rsid w:val="4865215C"/>
    <w:rsid w:val="486942C4"/>
    <w:rsid w:val="487B552A"/>
    <w:rsid w:val="48842F37"/>
    <w:rsid w:val="48B05292"/>
    <w:rsid w:val="48B971DC"/>
    <w:rsid w:val="48F556EA"/>
    <w:rsid w:val="48FE3710"/>
    <w:rsid w:val="490010B1"/>
    <w:rsid w:val="491946D3"/>
    <w:rsid w:val="4924047E"/>
    <w:rsid w:val="4924100D"/>
    <w:rsid w:val="49276380"/>
    <w:rsid w:val="4948117F"/>
    <w:rsid w:val="494B0B0D"/>
    <w:rsid w:val="497E20AD"/>
    <w:rsid w:val="49820EB7"/>
    <w:rsid w:val="499416E9"/>
    <w:rsid w:val="49941E07"/>
    <w:rsid w:val="49A63EAD"/>
    <w:rsid w:val="49B4166E"/>
    <w:rsid w:val="49BA2C9E"/>
    <w:rsid w:val="49C42ED0"/>
    <w:rsid w:val="49C51673"/>
    <w:rsid w:val="49D51633"/>
    <w:rsid w:val="49DB2E82"/>
    <w:rsid w:val="49F72310"/>
    <w:rsid w:val="49FD2EE4"/>
    <w:rsid w:val="4A0B4FDE"/>
    <w:rsid w:val="4A0B6626"/>
    <w:rsid w:val="4A343D11"/>
    <w:rsid w:val="4A497D35"/>
    <w:rsid w:val="4A794E0C"/>
    <w:rsid w:val="4A8A37D8"/>
    <w:rsid w:val="4A8A64F2"/>
    <w:rsid w:val="4A8B4AB2"/>
    <w:rsid w:val="4AD9595B"/>
    <w:rsid w:val="4AE473AD"/>
    <w:rsid w:val="4AE97387"/>
    <w:rsid w:val="4AF6154C"/>
    <w:rsid w:val="4AF93EAE"/>
    <w:rsid w:val="4B221EFC"/>
    <w:rsid w:val="4B311212"/>
    <w:rsid w:val="4B373C21"/>
    <w:rsid w:val="4B3E6720"/>
    <w:rsid w:val="4B43535A"/>
    <w:rsid w:val="4B476348"/>
    <w:rsid w:val="4B480F23"/>
    <w:rsid w:val="4B625BF7"/>
    <w:rsid w:val="4B753465"/>
    <w:rsid w:val="4B7F01A8"/>
    <w:rsid w:val="4BB21AF4"/>
    <w:rsid w:val="4BB54107"/>
    <w:rsid w:val="4BB67EEE"/>
    <w:rsid w:val="4BCE5F59"/>
    <w:rsid w:val="4BD17814"/>
    <w:rsid w:val="4BDC5109"/>
    <w:rsid w:val="4BE35D6E"/>
    <w:rsid w:val="4BE84FA7"/>
    <w:rsid w:val="4BF70C92"/>
    <w:rsid w:val="4BFD0513"/>
    <w:rsid w:val="4C005E77"/>
    <w:rsid w:val="4C072BEF"/>
    <w:rsid w:val="4C1A02C6"/>
    <w:rsid w:val="4C2B76C1"/>
    <w:rsid w:val="4C3B40FC"/>
    <w:rsid w:val="4C5419A1"/>
    <w:rsid w:val="4C5429A3"/>
    <w:rsid w:val="4C645A11"/>
    <w:rsid w:val="4C72089C"/>
    <w:rsid w:val="4C87254B"/>
    <w:rsid w:val="4CDE4416"/>
    <w:rsid w:val="4D1C2C8C"/>
    <w:rsid w:val="4D1E77BE"/>
    <w:rsid w:val="4D245FC5"/>
    <w:rsid w:val="4D2B3B2C"/>
    <w:rsid w:val="4D6E5F4C"/>
    <w:rsid w:val="4DA943B0"/>
    <w:rsid w:val="4DB75561"/>
    <w:rsid w:val="4DC515BB"/>
    <w:rsid w:val="4DCB5984"/>
    <w:rsid w:val="4DD64458"/>
    <w:rsid w:val="4E135BFA"/>
    <w:rsid w:val="4E1B1161"/>
    <w:rsid w:val="4E1B2DDB"/>
    <w:rsid w:val="4E1F235E"/>
    <w:rsid w:val="4E213391"/>
    <w:rsid w:val="4E247317"/>
    <w:rsid w:val="4E250E8C"/>
    <w:rsid w:val="4E3240E0"/>
    <w:rsid w:val="4E355E12"/>
    <w:rsid w:val="4E5B0F67"/>
    <w:rsid w:val="4E5D7C3A"/>
    <w:rsid w:val="4E8D762E"/>
    <w:rsid w:val="4E9B1112"/>
    <w:rsid w:val="4E9B7163"/>
    <w:rsid w:val="4EA06365"/>
    <w:rsid w:val="4EBD3915"/>
    <w:rsid w:val="4ECA75BC"/>
    <w:rsid w:val="4ECD54B1"/>
    <w:rsid w:val="4ED4046B"/>
    <w:rsid w:val="4EDF4B15"/>
    <w:rsid w:val="4EF43B16"/>
    <w:rsid w:val="4F1646F3"/>
    <w:rsid w:val="4F2B6C13"/>
    <w:rsid w:val="4F3153D3"/>
    <w:rsid w:val="4F4A57C5"/>
    <w:rsid w:val="4F5F3ED1"/>
    <w:rsid w:val="4F804E7C"/>
    <w:rsid w:val="4F85516A"/>
    <w:rsid w:val="4F944D8F"/>
    <w:rsid w:val="4FCA5221"/>
    <w:rsid w:val="4FCB4BB3"/>
    <w:rsid w:val="4FE17EA9"/>
    <w:rsid w:val="4FED0FB9"/>
    <w:rsid w:val="4FF7660A"/>
    <w:rsid w:val="50245208"/>
    <w:rsid w:val="505F23BC"/>
    <w:rsid w:val="506C6E71"/>
    <w:rsid w:val="507410D2"/>
    <w:rsid w:val="509B702F"/>
    <w:rsid w:val="50A4392E"/>
    <w:rsid w:val="50A97681"/>
    <w:rsid w:val="50AE3B94"/>
    <w:rsid w:val="50AF7418"/>
    <w:rsid w:val="50CB01EB"/>
    <w:rsid w:val="50DA4D5D"/>
    <w:rsid w:val="50E93575"/>
    <w:rsid w:val="50F04D4E"/>
    <w:rsid w:val="50F41527"/>
    <w:rsid w:val="50F57385"/>
    <w:rsid w:val="50F6016F"/>
    <w:rsid w:val="50FB1FB9"/>
    <w:rsid w:val="51132FF4"/>
    <w:rsid w:val="51151213"/>
    <w:rsid w:val="51277BA9"/>
    <w:rsid w:val="513225F9"/>
    <w:rsid w:val="513F5114"/>
    <w:rsid w:val="51440384"/>
    <w:rsid w:val="51567BE2"/>
    <w:rsid w:val="515E6A1B"/>
    <w:rsid w:val="516B705C"/>
    <w:rsid w:val="5177537A"/>
    <w:rsid w:val="518806E3"/>
    <w:rsid w:val="519F79B9"/>
    <w:rsid w:val="51A1217B"/>
    <w:rsid w:val="51A47CAD"/>
    <w:rsid w:val="51BC2004"/>
    <w:rsid w:val="51C462A1"/>
    <w:rsid w:val="51CB0C5C"/>
    <w:rsid w:val="51CB74F6"/>
    <w:rsid w:val="51D03F6F"/>
    <w:rsid w:val="51D13948"/>
    <w:rsid w:val="51EB5979"/>
    <w:rsid w:val="52160A43"/>
    <w:rsid w:val="521A0101"/>
    <w:rsid w:val="52241967"/>
    <w:rsid w:val="522B06FD"/>
    <w:rsid w:val="522D1CB6"/>
    <w:rsid w:val="52444C58"/>
    <w:rsid w:val="5263075C"/>
    <w:rsid w:val="52660A26"/>
    <w:rsid w:val="52717995"/>
    <w:rsid w:val="528315FB"/>
    <w:rsid w:val="52990759"/>
    <w:rsid w:val="52B87033"/>
    <w:rsid w:val="52BE5917"/>
    <w:rsid w:val="52CE28FB"/>
    <w:rsid w:val="52D22288"/>
    <w:rsid w:val="52ED3633"/>
    <w:rsid w:val="531B72EC"/>
    <w:rsid w:val="531E35FC"/>
    <w:rsid w:val="531E3DBA"/>
    <w:rsid w:val="532B1547"/>
    <w:rsid w:val="532C2C22"/>
    <w:rsid w:val="533E6E17"/>
    <w:rsid w:val="5343182D"/>
    <w:rsid w:val="53526A2F"/>
    <w:rsid w:val="53552E21"/>
    <w:rsid w:val="536C4A63"/>
    <w:rsid w:val="539B26A9"/>
    <w:rsid w:val="539C4C50"/>
    <w:rsid w:val="539D465C"/>
    <w:rsid w:val="53A201DA"/>
    <w:rsid w:val="53AF4DD6"/>
    <w:rsid w:val="53B22D34"/>
    <w:rsid w:val="53B6236C"/>
    <w:rsid w:val="53B93E5A"/>
    <w:rsid w:val="53BD6F30"/>
    <w:rsid w:val="53DE553F"/>
    <w:rsid w:val="53E722F6"/>
    <w:rsid w:val="53E844C0"/>
    <w:rsid w:val="53FC5A1A"/>
    <w:rsid w:val="53FD138B"/>
    <w:rsid w:val="540540F5"/>
    <w:rsid w:val="542913B3"/>
    <w:rsid w:val="543F18BA"/>
    <w:rsid w:val="544E52F1"/>
    <w:rsid w:val="54883400"/>
    <w:rsid w:val="54932F58"/>
    <w:rsid w:val="549B63DD"/>
    <w:rsid w:val="54A81CB5"/>
    <w:rsid w:val="54C41B11"/>
    <w:rsid w:val="54F84B3C"/>
    <w:rsid w:val="54F859EA"/>
    <w:rsid w:val="54FF1FBE"/>
    <w:rsid w:val="550E49C6"/>
    <w:rsid w:val="55A47D96"/>
    <w:rsid w:val="55AE0EC3"/>
    <w:rsid w:val="55C94049"/>
    <w:rsid w:val="55D14B4D"/>
    <w:rsid w:val="55DA287E"/>
    <w:rsid w:val="55DD1819"/>
    <w:rsid w:val="55EE6DAD"/>
    <w:rsid w:val="56073162"/>
    <w:rsid w:val="5609127C"/>
    <w:rsid w:val="56243B92"/>
    <w:rsid w:val="563D619D"/>
    <w:rsid w:val="56413F2B"/>
    <w:rsid w:val="56537C47"/>
    <w:rsid w:val="56540198"/>
    <w:rsid w:val="5676394F"/>
    <w:rsid w:val="56A010C0"/>
    <w:rsid w:val="56A060CF"/>
    <w:rsid w:val="56B96B8E"/>
    <w:rsid w:val="56C747B5"/>
    <w:rsid w:val="56D42684"/>
    <w:rsid w:val="56D53135"/>
    <w:rsid w:val="56DD2471"/>
    <w:rsid w:val="56FD42A6"/>
    <w:rsid w:val="57181EE6"/>
    <w:rsid w:val="57210A6D"/>
    <w:rsid w:val="572625A2"/>
    <w:rsid w:val="573F48C1"/>
    <w:rsid w:val="5744214A"/>
    <w:rsid w:val="574B480A"/>
    <w:rsid w:val="574E796F"/>
    <w:rsid w:val="57501AFE"/>
    <w:rsid w:val="57543081"/>
    <w:rsid w:val="5789649C"/>
    <w:rsid w:val="57A373F0"/>
    <w:rsid w:val="57B12989"/>
    <w:rsid w:val="57C83C57"/>
    <w:rsid w:val="57CF7F96"/>
    <w:rsid w:val="57EC2A0C"/>
    <w:rsid w:val="57FB2FB4"/>
    <w:rsid w:val="582014EC"/>
    <w:rsid w:val="582028C2"/>
    <w:rsid w:val="582908A2"/>
    <w:rsid w:val="583D07DD"/>
    <w:rsid w:val="585F1862"/>
    <w:rsid w:val="58620D26"/>
    <w:rsid w:val="58706FB1"/>
    <w:rsid w:val="587C5983"/>
    <w:rsid w:val="58AE77D0"/>
    <w:rsid w:val="58E8415E"/>
    <w:rsid w:val="58FF1A45"/>
    <w:rsid w:val="591C580B"/>
    <w:rsid w:val="5926497A"/>
    <w:rsid w:val="595035A8"/>
    <w:rsid w:val="595D3E12"/>
    <w:rsid w:val="598446C5"/>
    <w:rsid w:val="59900FE7"/>
    <w:rsid w:val="59961EFB"/>
    <w:rsid w:val="59A11353"/>
    <w:rsid w:val="59A321F0"/>
    <w:rsid w:val="5A0336C4"/>
    <w:rsid w:val="5A1D0D82"/>
    <w:rsid w:val="5A20315B"/>
    <w:rsid w:val="5A3D0502"/>
    <w:rsid w:val="5A5827FE"/>
    <w:rsid w:val="5A70211C"/>
    <w:rsid w:val="5A875B77"/>
    <w:rsid w:val="5A970C62"/>
    <w:rsid w:val="5AAB2A29"/>
    <w:rsid w:val="5AAB3211"/>
    <w:rsid w:val="5AAC7307"/>
    <w:rsid w:val="5AB86388"/>
    <w:rsid w:val="5AD07CB2"/>
    <w:rsid w:val="5AE37CAA"/>
    <w:rsid w:val="5AEF1DC1"/>
    <w:rsid w:val="5AF001BB"/>
    <w:rsid w:val="5B194D34"/>
    <w:rsid w:val="5B3A5BF9"/>
    <w:rsid w:val="5B3A7E78"/>
    <w:rsid w:val="5B3D442E"/>
    <w:rsid w:val="5B412C22"/>
    <w:rsid w:val="5B4B2EB1"/>
    <w:rsid w:val="5B570332"/>
    <w:rsid w:val="5B5B31AB"/>
    <w:rsid w:val="5B5F0395"/>
    <w:rsid w:val="5B6300A3"/>
    <w:rsid w:val="5B6C0ED6"/>
    <w:rsid w:val="5B790B4E"/>
    <w:rsid w:val="5B7A2400"/>
    <w:rsid w:val="5B8C5CAE"/>
    <w:rsid w:val="5B9B626D"/>
    <w:rsid w:val="5BB26697"/>
    <w:rsid w:val="5BCF3C34"/>
    <w:rsid w:val="5BD32897"/>
    <w:rsid w:val="5BF50A44"/>
    <w:rsid w:val="5C1617F7"/>
    <w:rsid w:val="5C295CCC"/>
    <w:rsid w:val="5C381A3A"/>
    <w:rsid w:val="5C5C135C"/>
    <w:rsid w:val="5C872DAA"/>
    <w:rsid w:val="5C974816"/>
    <w:rsid w:val="5CA97228"/>
    <w:rsid w:val="5CBA57BD"/>
    <w:rsid w:val="5CC5471C"/>
    <w:rsid w:val="5CDC5386"/>
    <w:rsid w:val="5CE127AC"/>
    <w:rsid w:val="5CEE7B85"/>
    <w:rsid w:val="5CF73D69"/>
    <w:rsid w:val="5D1D7E3E"/>
    <w:rsid w:val="5D202057"/>
    <w:rsid w:val="5D4700C2"/>
    <w:rsid w:val="5D6C4615"/>
    <w:rsid w:val="5D7C5A81"/>
    <w:rsid w:val="5DC777FB"/>
    <w:rsid w:val="5DD31E8F"/>
    <w:rsid w:val="5DDF2196"/>
    <w:rsid w:val="5DF704AE"/>
    <w:rsid w:val="5DF954B7"/>
    <w:rsid w:val="5DFF05CD"/>
    <w:rsid w:val="5E1672C2"/>
    <w:rsid w:val="5E1B6033"/>
    <w:rsid w:val="5E2612F9"/>
    <w:rsid w:val="5E534129"/>
    <w:rsid w:val="5E5E5EB6"/>
    <w:rsid w:val="5E6E3C24"/>
    <w:rsid w:val="5E7255BD"/>
    <w:rsid w:val="5E7F1CA4"/>
    <w:rsid w:val="5E937CCC"/>
    <w:rsid w:val="5EF83794"/>
    <w:rsid w:val="5F0173CC"/>
    <w:rsid w:val="5F1A1A93"/>
    <w:rsid w:val="5F287F7E"/>
    <w:rsid w:val="5F475677"/>
    <w:rsid w:val="5F484198"/>
    <w:rsid w:val="5F567498"/>
    <w:rsid w:val="5F740B7E"/>
    <w:rsid w:val="5F7F7929"/>
    <w:rsid w:val="5F8420E2"/>
    <w:rsid w:val="5F887220"/>
    <w:rsid w:val="5F9022AB"/>
    <w:rsid w:val="5FB81E56"/>
    <w:rsid w:val="5FCC4ADF"/>
    <w:rsid w:val="5FD85FDC"/>
    <w:rsid w:val="5FEB78D3"/>
    <w:rsid w:val="5FEC00EE"/>
    <w:rsid w:val="5FF70F57"/>
    <w:rsid w:val="600951D4"/>
    <w:rsid w:val="6010358A"/>
    <w:rsid w:val="601A25EF"/>
    <w:rsid w:val="60250EC1"/>
    <w:rsid w:val="60324CF2"/>
    <w:rsid w:val="603E1F21"/>
    <w:rsid w:val="603E7832"/>
    <w:rsid w:val="603F0479"/>
    <w:rsid w:val="6044067F"/>
    <w:rsid w:val="60786250"/>
    <w:rsid w:val="60793AF7"/>
    <w:rsid w:val="609315DC"/>
    <w:rsid w:val="6099592B"/>
    <w:rsid w:val="60A13AB9"/>
    <w:rsid w:val="60A7744C"/>
    <w:rsid w:val="60CF04AB"/>
    <w:rsid w:val="60D73E5C"/>
    <w:rsid w:val="60DB5486"/>
    <w:rsid w:val="60E82C1A"/>
    <w:rsid w:val="60EC0541"/>
    <w:rsid w:val="60FD245E"/>
    <w:rsid w:val="60FF2E22"/>
    <w:rsid w:val="61033EA8"/>
    <w:rsid w:val="61041F36"/>
    <w:rsid w:val="61072B41"/>
    <w:rsid w:val="610A1613"/>
    <w:rsid w:val="6117702C"/>
    <w:rsid w:val="61192740"/>
    <w:rsid w:val="61251167"/>
    <w:rsid w:val="61432D9E"/>
    <w:rsid w:val="615B3618"/>
    <w:rsid w:val="61683AEB"/>
    <w:rsid w:val="616B72A6"/>
    <w:rsid w:val="61737A70"/>
    <w:rsid w:val="61855138"/>
    <w:rsid w:val="618A70BC"/>
    <w:rsid w:val="61963F6D"/>
    <w:rsid w:val="61AA7805"/>
    <w:rsid w:val="61BD1F9D"/>
    <w:rsid w:val="61D45501"/>
    <w:rsid w:val="61EA093B"/>
    <w:rsid w:val="61F010A8"/>
    <w:rsid w:val="62024DB4"/>
    <w:rsid w:val="6204012A"/>
    <w:rsid w:val="62117D72"/>
    <w:rsid w:val="62210A89"/>
    <w:rsid w:val="62285DB7"/>
    <w:rsid w:val="62367ED8"/>
    <w:rsid w:val="6239773C"/>
    <w:rsid w:val="624258E8"/>
    <w:rsid w:val="626857C6"/>
    <w:rsid w:val="62923991"/>
    <w:rsid w:val="62D365E3"/>
    <w:rsid w:val="62F20D03"/>
    <w:rsid w:val="62F26EC0"/>
    <w:rsid w:val="62F75B83"/>
    <w:rsid w:val="63095375"/>
    <w:rsid w:val="630E4188"/>
    <w:rsid w:val="6312135F"/>
    <w:rsid w:val="63152F31"/>
    <w:rsid w:val="631F1AA4"/>
    <w:rsid w:val="632A3D0D"/>
    <w:rsid w:val="633443AB"/>
    <w:rsid w:val="638857E1"/>
    <w:rsid w:val="63914960"/>
    <w:rsid w:val="63964A9A"/>
    <w:rsid w:val="639C59F1"/>
    <w:rsid w:val="63AB78F4"/>
    <w:rsid w:val="63C642C7"/>
    <w:rsid w:val="63C85688"/>
    <w:rsid w:val="63CD5666"/>
    <w:rsid w:val="63D01EF3"/>
    <w:rsid w:val="63D2038C"/>
    <w:rsid w:val="63E631E1"/>
    <w:rsid w:val="63F0474F"/>
    <w:rsid w:val="63F436D0"/>
    <w:rsid w:val="63F66CE6"/>
    <w:rsid w:val="640A43F0"/>
    <w:rsid w:val="640E7E19"/>
    <w:rsid w:val="647527CB"/>
    <w:rsid w:val="648A0F84"/>
    <w:rsid w:val="648E4974"/>
    <w:rsid w:val="648F4377"/>
    <w:rsid w:val="649E65A7"/>
    <w:rsid w:val="64B70C4D"/>
    <w:rsid w:val="64D14920"/>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E72587"/>
    <w:rsid w:val="65F27286"/>
    <w:rsid w:val="6602655A"/>
    <w:rsid w:val="66037BA1"/>
    <w:rsid w:val="660D45C7"/>
    <w:rsid w:val="66280ABB"/>
    <w:rsid w:val="66425D39"/>
    <w:rsid w:val="664B572C"/>
    <w:rsid w:val="666717B3"/>
    <w:rsid w:val="6668032B"/>
    <w:rsid w:val="667C4290"/>
    <w:rsid w:val="669C13AC"/>
    <w:rsid w:val="66C95898"/>
    <w:rsid w:val="66CC3675"/>
    <w:rsid w:val="66DC2CB9"/>
    <w:rsid w:val="66F8201A"/>
    <w:rsid w:val="67066EBB"/>
    <w:rsid w:val="671C5A04"/>
    <w:rsid w:val="6734528A"/>
    <w:rsid w:val="673F01D2"/>
    <w:rsid w:val="676777C3"/>
    <w:rsid w:val="676E6C34"/>
    <w:rsid w:val="677D4B8A"/>
    <w:rsid w:val="67802ACE"/>
    <w:rsid w:val="67804B33"/>
    <w:rsid w:val="67C40A09"/>
    <w:rsid w:val="67D020A7"/>
    <w:rsid w:val="67D600B8"/>
    <w:rsid w:val="67E4087E"/>
    <w:rsid w:val="6821192D"/>
    <w:rsid w:val="682B79C0"/>
    <w:rsid w:val="68337E89"/>
    <w:rsid w:val="68337EE8"/>
    <w:rsid w:val="683A6C76"/>
    <w:rsid w:val="6842321A"/>
    <w:rsid w:val="68556FC7"/>
    <w:rsid w:val="685C5B46"/>
    <w:rsid w:val="687A0B2F"/>
    <w:rsid w:val="688C0656"/>
    <w:rsid w:val="68AE1735"/>
    <w:rsid w:val="68B037E5"/>
    <w:rsid w:val="68B72950"/>
    <w:rsid w:val="68D10AC8"/>
    <w:rsid w:val="68D60630"/>
    <w:rsid w:val="68DB6AF8"/>
    <w:rsid w:val="68ED7332"/>
    <w:rsid w:val="68F8555D"/>
    <w:rsid w:val="68F97B65"/>
    <w:rsid w:val="691D712E"/>
    <w:rsid w:val="696528EF"/>
    <w:rsid w:val="697E7396"/>
    <w:rsid w:val="69A009FE"/>
    <w:rsid w:val="69A612B4"/>
    <w:rsid w:val="69A729C5"/>
    <w:rsid w:val="69BF206E"/>
    <w:rsid w:val="69C308D8"/>
    <w:rsid w:val="69CA255F"/>
    <w:rsid w:val="69E46DF1"/>
    <w:rsid w:val="69E8174D"/>
    <w:rsid w:val="69EB7655"/>
    <w:rsid w:val="69F66247"/>
    <w:rsid w:val="69F86AAF"/>
    <w:rsid w:val="6A1F6154"/>
    <w:rsid w:val="6A2746CC"/>
    <w:rsid w:val="6A2A7775"/>
    <w:rsid w:val="6A2D6FAC"/>
    <w:rsid w:val="6A332D95"/>
    <w:rsid w:val="6A4F7CF0"/>
    <w:rsid w:val="6A5517EC"/>
    <w:rsid w:val="6A694BA1"/>
    <w:rsid w:val="6A734205"/>
    <w:rsid w:val="6AAD634C"/>
    <w:rsid w:val="6AB51195"/>
    <w:rsid w:val="6ABC3292"/>
    <w:rsid w:val="6AC04F0B"/>
    <w:rsid w:val="6ACC3061"/>
    <w:rsid w:val="6AD34458"/>
    <w:rsid w:val="6ADC4801"/>
    <w:rsid w:val="6ADF25FC"/>
    <w:rsid w:val="6AFA1E66"/>
    <w:rsid w:val="6B020CD0"/>
    <w:rsid w:val="6B1148AC"/>
    <w:rsid w:val="6B3E0351"/>
    <w:rsid w:val="6B42449D"/>
    <w:rsid w:val="6B4A5562"/>
    <w:rsid w:val="6B565807"/>
    <w:rsid w:val="6B7A369F"/>
    <w:rsid w:val="6B942656"/>
    <w:rsid w:val="6BAC2823"/>
    <w:rsid w:val="6BBD5024"/>
    <w:rsid w:val="6BC32E36"/>
    <w:rsid w:val="6BEB455F"/>
    <w:rsid w:val="6BF37DF1"/>
    <w:rsid w:val="6BFC07CA"/>
    <w:rsid w:val="6C0B4C1B"/>
    <w:rsid w:val="6C3C363C"/>
    <w:rsid w:val="6C546532"/>
    <w:rsid w:val="6C630CE9"/>
    <w:rsid w:val="6C914CAA"/>
    <w:rsid w:val="6C9A6912"/>
    <w:rsid w:val="6CEC0F34"/>
    <w:rsid w:val="6CEF01FA"/>
    <w:rsid w:val="6CF73CA4"/>
    <w:rsid w:val="6D005FF7"/>
    <w:rsid w:val="6D05105B"/>
    <w:rsid w:val="6D1D68D4"/>
    <w:rsid w:val="6D207FCD"/>
    <w:rsid w:val="6D280C36"/>
    <w:rsid w:val="6D286C4C"/>
    <w:rsid w:val="6D2B5B01"/>
    <w:rsid w:val="6D381497"/>
    <w:rsid w:val="6D4D3598"/>
    <w:rsid w:val="6D64248B"/>
    <w:rsid w:val="6D645FA2"/>
    <w:rsid w:val="6D6A2DB3"/>
    <w:rsid w:val="6D6A69AA"/>
    <w:rsid w:val="6D79127B"/>
    <w:rsid w:val="6D832281"/>
    <w:rsid w:val="6DC237AE"/>
    <w:rsid w:val="6DC9782F"/>
    <w:rsid w:val="6DE6139A"/>
    <w:rsid w:val="6DF91502"/>
    <w:rsid w:val="6E01482E"/>
    <w:rsid w:val="6E0D1941"/>
    <w:rsid w:val="6E18292B"/>
    <w:rsid w:val="6E402C35"/>
    <w:rsid w:val="6E403BCF"/>
    <w:rsid w:val="6E424CF7"/>
    <w:rsid w:val="6E555965"/>
    <w:rsid w:val="6E725BB3"/>
    <w:rsid w:val="6E96703D"/>
    <w:rsid w:val="6E984122"/>
    <w:rsid w:val="6EC4761A"/>
    <w:rsid w:val="6ED26905"/>
    <w:rsid w:val="6EE20566"/>
    <w:rsid w:val="6EEB6DD8"/>
    <w:rsid w:val="6EF513F6"/>
    <w:rsid w:val="6F154E2E"/>
    <w:rsid w:val="6F1F0771"/>
    <w:rsid w:val="6F3669E2"/>
    <w:rsid w:val="6F3A0437"/>
    <w:rsid w:val="6F452492"/>
    <w:rsid w:val="6F486B63"/>
    <w:rsid w:val="6F4B64FF"/>
    <w:rsid w:val="6F4E1ABB"/>
    <w:rsid w:val="6F65489B"/>
    <w:rsid w:val="6F86274A"/>
    <w:rsid w:val="6F8A6B50"/>
    <w:rsid w:val="6F9E4E98"/>
    <w:rsid w:val="6FB536E7"/>
    <w:rsid w:val="6FC169C6"/>
    <w:rsid w:val="700148B1"/>
    <w:rsid w:val="700708F2"/>
    <w:rsid w:val="70262445"/>
    <w:rsid w:val="70575662"/>
    <w:rsid w:val="70796EB7"/>
    <w:rsid w:val="70891E2B"/>
    <w:rsid w:val="709304FC"/>
    <w:rsid w:val="70B21D55"/>
    <w:rsid w:val="70BA4068"/>
    <w:rsid w:val="70F06D61"/>
    <w:rsid w:val="70F36F46"/>
    <w:rsid w:val="70F75EE5"/>
    <w:rsid w:val="70FC142B"/>
    <w:rsid w:val="71231B23"/>
    <w:rsid w:val="713B214A"/>
    <w:rsid w:val="7144108E"/>
    <w:rsid w:val="714633CE"/>
    <w:rsid w:val="71595B76"/>
    <w:rsid w:val="71770D59"/>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530D5"/>
    <w:rsid w:val="72EC4E12"/>
    <w:rsid w:val="72EF2AE7"/>
    <w:rsid w:val="72EF6F47"/>
    <w:rsid w:val="73373DED"/>
    <w:rsid w:val="73391B68"/>
    <w:rsid w:val="733F7A24"/>
    <w:rsid w:val="735C44F0"/>
    <w:rsid w:val="736A01CD"/>
    <w:rsid w:val="736B4D35"/>
    <w:rsid w:val="737010AC"/>
    <w:rsid w:val="73741988"/>
    <w:rsid w:val="73814929"/>
    <w:rsid w:val="7393399F"/>
    <w:rsid w:val="73984022"/>
    <w:rsid w:val="73BC26F1"/>
    <w:rsid w:val="73C11347"/>
    <w:rsid w:val="73E2421D"/>
    <w:rsid w:val="74000D97"/>
    <w:rsid w:val="742D3750"/>
    <w:rsid w:val="74694C3B"/>
    <w:rsid w:val="746A6AAD"/>
    <w:rsid w:val="746D246B"/>
    <w:rsid w:val="747A4FBC"/>
    <w:rsid w:val="748B466B"/>
    <w:rsid w:val="74A00B71"/>
    <w:rsid w:val="74CC4EFB"/>
    <w:rsid w:val="74D469D0"/>
    <w:rsid w:val="74D94903"/>
    <w:rsid w:val="74DC7834"/>
    <w:rsid w:val="74E271F1"/>
    <w:rsid w:val="74E72166"/>
    <w:rsid w:val="752E1482"/>
    <w:rsid w:val="75326EC3"/>
    <w:rsid w:val="754D60F6"/>
    <w:rsid w:val="7551327B"/>
    <w:rsid w:val="755D51F1"/>
    <w:rsid w:val="755F3E02"/>
    <w:rsid w:val="755F782E"/>
    <w:rsid w:val="75694406"/>
    <w:rsid w:val="75A16A9F"/>
    <w:rsid w:val="75BC6CCF"/>
    <w:rsid w:val="75BE78F4"/>
    <w:rsid w:val="75E27D49"/>
    <w:rsid w:val="761867BE"/>
    <w:rsid w:val="76365AD0"/>
    <w:rsid w:val="765D57EA"/>
    <w:rsid w:val="7688585F"/>
    <w:rsid w:val="76A04E6F"/>
    <w:rsid w:val="76C4303A"/>
    <w:rsid w:val="76F54CF0"/>
    <w:rsid w:val="76FD5906"/>
    <w:rsid w:val="77072866"/>
    <w:rsid w:val="770B684E"/>
    <w:rsid w:val="770F15FA"/>
    <w:rsid w:val="77102197"/>
    <w:rsid w:val="771D50F3"/>
    <w:rsid w:val="77204CB1"/>
    <w:rsid w:val="77754D18"/>
    <w:rsid w:val="777C1603"/>
    <w:rsid w:val="77A14CDE"/>
    <w:rsid w:val="77AA2F7D"/>
    <w:rsid w:val="77C96BD3"/>
    <w:rsid w:val="78266CE5"/>
    <w:rsid w:val="7827421F"/>
    <w:rsid w:val="78282A0C"/>
    <w:rsid w:val="782B4A23"/>
    <w:rsid w:val="78302F8F"/>
    <w:rsid w:val="783A6290"/>
    <w:rsid w:val="784117AB"/>
    <w:rsid w:val="78510397"/>
    <w:rsid w:val="78552936"/>
    <w:rsid w:val="78731F0E"/>
    <w:rsid w:val="78754CBA"/>
    <w:rsid w:val="78962FA5"/>
    <w:rsid w:val="78C148AC"/>
    <w:rsid w:val="78CA1FEE"/>
    <w:rsid w:val="78CB3FEB"/>
    <w:rsid w:val="78CF5D59"/>
    <w:rsid w:val="7924495D"/>
    <w:rsid w:val="792D64F5"/>
    <w:rsid w:val="79390F8A"/>
    <w:rsid w:val="793B5CE2"/>
    <w:rsid w:val="795C411F"/>
    <w:rsid w:val="796834B3"/>
    <w:rsid w:val="797B3C8A"/>
    <w:rsid w:val="797F45FC"/>
    <w:rsid w:val="79830C32"/>
    <w:rsid w:val="79970647"/>
    <w:rsid w:val="79BF65C1"/>
    <w:rsid w:val="79D9682C"/>
    <w:rsid w:val="79DB75C0"/>
    <w:rsid w:val="79E37881"/>
    <w:rsid w:val="79E4486C"/>
    <w:rsid w:val="79EA2E0E"/>
    <w:rsid w:val="79ED08FA"/>
    <w:rsid w:val="7A067AFA"/>
    <w:rsid w:val="7A0C585A"/>
    <w:rsid w:val="7A285A24"/>
    <w:rsid w:val="7A2C7450"/>
    <w:rsid w:val="7A326B5A"/>
    <w:rsid w:val="7A370595"/>
    <w:rsid w:val="7A553725"/>
    <w:rsid w:val="7A616D0A"/>
    <w:rsid w:val="7A716020"/>
    <w:rsid w:val="7A7F2C76"/>
    <w:rsid w:val="7A937EE1"/>
    <w:rsid w:val="7AAC462A"/>
    <w:rsid w:val="7AD85F47"/>
    <w:rsid w:val="7AF84FA0"/>
    <w:rsid w:val="7AF909C6"/>
    <w:rsid w:val="7B1F3681"/>
    <w:rsid w:val="7B6F1BD0"/>
    <w:rsid w:val="7B732126"/>
    <w:rsid w:val="7B755C15"/>
    <w:rsid w:val="7B7B20CE"/>
    <w:rsid w:val="7B8E1216"/>
    <w:rsid w:val="7B9A1345"/>
    <w:rsid w:val="7BA226FD"/>
    <w:rsid w:val="7BB819E3"/>
    <w:rsid w:val="7BC51755"/>
    <w:rsid w:val="7BC67AB6"/>
    <w:rsid w:val="7BCA6C86"/>
    <w:rsid w:val="7C044DA1"/>
    <w:rsid w:val="7C132D64"/>
    <w:rsid w:val="7C2805DF"/>
    <w:rsid w:val="7C4F4C23"/>
    <w:rsid w:val="7C746E7F"/>
    <w:rsid w:val="7CA33449"/>
    <w:rsid w:val="7CBB7A1A"/>
    <w:rsid w:val="7CE0350C"/>
    <w:rsid w:val="7D0A0BA4"/>
    <w:rsid w:val="7D107AF3"/>
    <w:rsid w:val="7D28386F"/>
    <w:rsid w:val="7D4253C7"/>
    <w:rsid w:val="7D4C5341"/>
    <w:rsid w:val="7D4E5EE6"/>
    <w:rsid w:val="7D800310"/>
    <w:rsid w:val="7D8901AD"/>
    <w:rsid w:val="7D8E577D"/>
    <w:rsid w:val="7D90536C"/>
    <w:rsid w:val="7D9A426A"/>
    <w:rsid w:val="7DE70AC3"/>
    <w:rsid w:val="7DF95F06"/>
    <w:rsid w:val="7E006F08"/>
    <w:rsid w:val="7E3172CD"/>
    <w:rsid w:val="7E320EEA"/>
    <w:rsid w:val="7E333E03"/>
    <w:rsid w:val="7E391FE6"/>
    <w:rsid w:val="7E4D1B3B"/>
    <w:rsid w:val="7E916762"/>
    <w:rsid w:val="7EA916FD"/>
    <w:rsid w:val="7EB26467"/>
    <w:rsid w:val="7EB5727D"/>
    <w:rsid w:val="7EE53C64"/>
    <w:rsid w:val="7F060D9A"/>
    <w:rsid w:val="7F287FFE"/>
    <w:rsid w:val="7F3C7A25"/>
    <w:rsid w:val="7F4377B7"/>
    <w:rsid w:val="7F541580"/>
    <w:rsid w:val="7F590594"/>
    <w:rsid w:val="7F667225"/>
    <w:rsid w:val="7F69646B"/>
    <w:rsid w:val="7F844A6E"/>
    <w:rsid w:val="7FA27C81"/>
    <w:rsid w:val="7FAA1C29"/>
    <w:rsid w:val="7FAC4830"/>
    <w:rsid w:val="7FB659E5"/>
    <w:rsid w:val="7FB72B08"/>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nhideWhenUsed="0" w:uiPriority="1"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6"/>
    <w:basedOn w:val="1"/>
    <w:next w:val="1"/>
    <w:qFormat/>
    <w:uiPriority w:val="1"/>
    <w:pPr>
      <w:ind w:left="948"/>
      <w:outlineLvl w:val="6"/>
    </w:pPr>
    <w:rPr>
      <w:rFonts w:ascii="宋体" w:hAnsi="宋体" w:eastAsia="宋体" w:cs="宋体"/>
      <w:b/>
      <w:bCs/>
      <w:sz w:val="21"/>
      <w:szCs w:val="21"/>
      <w:lang w:val="en-US" w:eastAsia="zh-CN" w:bidi="ar-SA"/>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8792</Words>
  <Characters>9826</Characters>
  <Lines>0</Lines>
  <Paragraphs>0</Paragraphs>
  <TotalTime>34</TotalTime>
  <ScaleCrop>false</ScaleCrop>
  <LinksUpToDate>false</LinksUpToDate>
  <CharactersWithSpaces>11635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2021-04-23T03:54:00Z</cp:lastPrinted>
  <dcterms:modified xsi:type="dcterms:W3CDTF">2021-05-27T10:37:23Z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0012C32E07E04A1583A9C09F0A0D44ED</vt:lpwstr>
  </property>
</Properties>
</file>