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亳州市2021-13地块建设项目规划方案设计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025</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五月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亳州市2021-13地块建设项目规划方案设计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144974487"/>
      <w:bookmarkStart w:id="2" w:name="_Toc246996166"/>
      <w:bookmarkStart w:id="3" w:name="_Toc246996909"/>
      <w:bookmarkStart w:id="4" w:name="_Toc296602410"/>
      <w:bookmarkStart w:id="5" w:name="_Toc179632536"/>
      <w:bookmarkStart w:id="6" w:name="_Toc247085680"/>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5520"/>
      <w:bookmarkStart w:id="9" w:name="_Toc179632537"/>
      <w:bookmarkStart w:id="10" w:name="_Toc152042296"/>
      <w:bookmarkStart w:id="11" w:name="_Toc247085681"/>
      <w:bookmarkStart w:id="12" w:name="_Toc296602411"/>
      <w:bookmarkStart w:id="13" w:name="_Toc246996167"/>
      <w:bookmarkStart w:id="14" w:name="_Toc144974488"/>
      <w:bookmarkStart w:id="15" w:name="_Toc246996910"/>
      <w:r>
        <w:rPr>
          <w:rFonts w:ascii="Times New Roman" w:hAnsi="Times New Roman" w:eastAsia="仿宋_GB2312" w:cs="Times New Roman"/>
          <w:sz w:val="28"/>
          <w:szCs w:val="28"/>
        </w:rPr>
        <w:t>本招标项目为</w:t>
      </w:r>
      <w:r>
        <w:rPr>
          <w:rFonts w:hint="eastAsia" w:ascii="Times New Roman" w:hAnsi="Times New Roman" w:eastAsia="仿宋_GB2312" w:cs="Times New Roman"/>
          <w:sz w:val="28"/>
          <w:szCs w:val="28"/>
          <w:u w:val="single"/>
        </w:rPr>
        <w:t>亳州市2021-13地块建设项目规划方案设计</w:t>
      </w:r>
      <w:r>
        <w:rPr>
          <w:rFonts w:ascii="Times New Roman" w:hAnsi="Times New Roman" w:eastAsia="仿宋_GB2312" w:cs="Times New Roman"/>
          <w:sz w:val="28"/>
          <w:szCs w:val="28"/>
          <w:u w:val="single"/>
        </w:rPr>
        <w:t>（项目编号：BZJK-20</w:t>
      </w:r>
      <w:r>
        <w:rPr>
          <w:rFonts w:hint="eastAsia" w:ascii="Times New Roman" w:hAnsi="Times New Roman" w:eastAsia="仿宋_GB2312" w:cs="Times New Roman"/>
          <w:sz w:val="28"/>
          <w:szCs w:val="28"/>
          <w:u w:val="single"/>
        </w:rPr>
        <w:t>21</w:t>
      </w:r>
      <w:r>
        <w:rPr>
          <w:rFonts w:ascii="Times New Roman" w:hAnsi="Times New Roman" w:eastAsia="仿宋_GB2312" w:cs="Times New Roman"/>
          <w:sz w:val="28"/>
          <w:szCs w:val="28"/>
          <w:u w:val="single"/>
        </w:rPr>
        <w:t>-</w:t>
      </w:r>
      <w:r>
        <w:rPr>
          <w:rFonts w:hint="eastAsia" w:ascii="Times New Roman" w:hAnsi="Times New Roman" w:eastAsia="仿宋_GB2312" w:cs="Times New Roman"/>
          <w:sz w:val="28"/>
          <w:szCs w:val="28"/>
          <w:highlight w:val="none"/>
          <w:u w:val="single"/>
          <w:lang w:val="en-US" w:eastAsia="zh-CN"/>
        </w:rPr>
        <w:t>025</w:t>
      </w:r>
      <w:r>
        <w:rPr>
          <w:rFonts w:ascii="Times New Roman" w:hAnsi="Times New Roman" w:eastAsia="仿宋_GB2312" w:cs="Times New Roman"/>
          <w:sz w:val="28"/>
          <w:szCs w:val="28"/>
          <w:u w:val="single"/>
        </w:rPr>
        <w:t>号）</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项目业主为</w:t>
      </w:r>
      <w:r>
        <w:rPr>
          <w:rFonts w:hint="eastAsia" w:ascii="Times New Roman" w:hAnsi="Times New Roman" w:eastAsia="仿宋_GB2312" w:cs="Times New Roman"/>
          <w:sz w:val="28"/>
          <w:szCs w:val="28"/>
          <w:u w:val="single"/>
        </w:rPr>
        <w:t>亳州通恒置业有限公司</w:t>
      </w:r>
      <w:r>
        <w:rPr>
          <w:rFonts w:hint="eastAsia"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建设</w:t>
      </w:r>
      <w:r>
        <w:rPr>
          <w:rFonts w:hint="eastAsia" w:ascii="Times New Roman" w:hAnsi="Times New Roman" w:eastAsia="仿宋_GB2312" w:cs="Times New Roman"/>
          <w:sz w:val="28"/>
          <w:szCs w:val="28"/>
        </w:rPr>
        <w:t>资金来自</w:t>
      </w:r>
      <w:r>
        <w:rPr>
          <w:rFonts w:hint="eastAsia" w:ascii="Times New Roman" w:hAnsi="Times New Roman" w:eastAsia="仿宋_GB2312" w:cs="Times New Roman"/>
          <w:sz w:val="28"/>
          <w:szCs w:val="28"/>
          <w:u w:val="single"/>
        </w:rPr>
        <w:t>业主自筹</w:t>
      </w:r>
      <w:r>
        <w:rPr>
          <w:rFonts w:hint="eastAsia"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出资比例为</w:t>
      </w:r>
      <w:r>
        <w:rPr>
          <w:rFonts w:hint="eastAsia" w:ascii="Times New Roman" w:hAnsi="Times New Roman" w:eastAsia="仿宋_GB2312" w:cs="Times New Roman"/>
          <w:sz w:val="28"/>
          <w:szCs w:val="28"/>
          <w:u w:val="single"/>
          <w:lang w:val="en-US" w:eastAsia="zh-CN"/>
        </w:rPr>
        <w:t>100%</w:t>
      </w:r>
      <w:r>
        <w:rPr>
          <w:rFonts w:hint="eastAsia" w:ascii="Times New Roman" w:hAnsi="Times New Roman" w:eastAsia="仿宋_GB2312" w:cs="Times New Roman"/>
          <w:sz w:val="28"/>
          <w:szCs w:val="28"/>
          <w:u w:val="none"/>
          <w:lang w:val="en-US" w:eastAsia="zh-CN"/>
        </w:rPr>
        <w:t>，</w:t>
      </w:r>
      <w:r>
        <w:rPr>
          <w:rFonts w:ascii="Times New Roman" w:hAnsi="Times New Roman" w:eastAsia="仿宋_GB2312" w:cs="Times New Roman"/>
          <w:sz w:val="28"/>
          <w:szCs w:val="28"/>
        </w:rPr>
        <w:t>招标人为</w:t>
      </w:r>
      <w:r>
        <w:rPr>
          <w:rFonts w:hint="eastAsia" w:ascii="Times New Roman" w:hAnsi="Times New Roman" w:eastAsia="仿宋_GB2312" w:cs="Times New Roman"/>
          <w:sz w:val="28"/>
          <w:szCs w:val="28"/>
          <w:u w:val="single"/>
        </w:rPr>
        <w:t>亳州通恒置业有限公司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2021-13地块建设项目位于利辛路北、华佗大道西、庄周路东，占地面积134680.3平方米，土地用途为商住（商服不大于5%），规划指标要求容积率不大于2.0，建筑密度不大于25%，绿地率不小于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（二）招标范围：亳州市2021-13地块建设项目规划方案设计，具体工作内容详见招标文件第五章发包人要求。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（三）设计服务期限：自合同签订之日起</w:t>
      </w:r>
      <w:r>
        <w:rPr>
          <w:rFonts w:hint="eastAsia" w:ascii="Times New Roman" w:hAnsi="Times New Roman" w:eastAsia="仿宋_GB2312" w:cs="Times New Roman"/>
          <w:sz w:val="28"/>
          <w:szCs w:val="28"/>
          <w:highlight w:val="none"/>
          <w:u w:val="single"/>
          <w:lang w:val="en-US" w:eastAsia="zh-CN"/>
        </w:rPr>
        <w:t>65</w:t>
      </w:r>
      <w:r>
        <w:rPr>
          <w:rFonts w:hint="eastAsia" w:ascii="Times New Roman" w:hAnsi="Times New Roman" w:eastAsia="仿宋_GB2312" w:cs="Times New Roman"/>
          <w:sz w:val="28"/>
          <w:szCs w:val="28"/>
          <w:highlight w:val="none"/>
          <w:lang w:val="en-US" w:eastAsia="zh-CN"/>
        </w:rPr>
        <w:t>日历天内完成设计工作。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（四）质量标准：成果文件须符合国家、地方、行业现行相关规范合格标准，符合招标文件第五章发包人要求，并通过政府主管部门审核。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玖拾捌万元整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980000元</w:t>
      </w:r>
      <w:r>
        <w:rPr>
          <w:rFonts w:hint="eastAsia" w:ascii="Times New Roman" w:hAnsi="Times New Roman" w:eastAsia="仿宋_GB2312" w:cs="Times New Roman"/>
          <w:sz w:val="28"/>
          <w:szCs w:val="28"/>
          <w:highlight w:val="none"/>
          <w:lang w:val="en-US" w:eastAsia="zh-CN"/>
        </w:rPr>
        <w:t>。投标报价超出限价或低于其成本价的</w:t>
      </w:r>
      <w:bookmarkStart w:id="139" w:name="_GoBack"/>
      <w:bookmarkEnd w:id="139"/>
      <w:r>
        <w:rPr>
          <w:rFonts w:hint="eastAsia" w:ascii="Times New Roman" w:hAnsi="Times New Roman" w:eastAsia="仿宋_GB2312" w:cs="Times New Roman"/>
          <w:sz w:val="28"/>
          <w:szCs w:val="28"/>
          <w:highlight w:val="none"/>
          <w:lang w:val="en-US" w:eastAsia="zh-CN"/>
        </w:rPr>
        <w:t>按无效投标处理；投标报价应包括为完成本招标项目各阶段工作内容以及后期服务所需的全部费用及税金，包括但不限于食宿费、差旅费、出具方案文本、评审会务费等。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本次招标要求投标人须具备</w:t>
      </w:r>
      <w:r>
        <w:rPr>
          <w:rFonts w:hint="eastAsia" w:ascii="Times New Roman" w:hAnsi="Times New Roman" w:eastAsia="仿宋_GB2312" w:cs="Times New Roman"/>
          <w:sz w:val="28"/>
          <w:szCs w:val="28"/>
          <w:highlight w:val="none"/>
          <w:u w:val="none"/>
          <w:lang w:val="en-US" w:eastAsia="zh-CN"/>
        </w:rPr>
        <w:t>工程设计综合资质甲级或建筑行业（建筑工程）甲级资质</w:t>
      </w:r>
      <w:r>
        <w:rPr>
          <w:rFonts w:hint="eastAsia" w:ascii="Times New Roman" w:hAnsi="Times New Roman" w:eastAsia="仿宋_GB2312" w:cs="Times New Roman"/>
          <w:sz w:val="28"/>
          <w:szCs w:val="28"/>
          <w:highlight w:val="none"/>
          <w:lang w:val="en-US" w:eastAsia="zh-CN"/>
        </w:rPr>
        <w:t>，并在人员方面具有相应的设计能力；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（二）投标人须提供类似项目业绩至少1个，“类似项目业绩”是指投标人自2015年1月1日至今承担过的单项合同总建筑面积不低于30万平方米的住宅类建筑工程设计业绩，业绩时间以合同签订时间为准；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（三）投标人拟派项目负责人须具备注册在投标人单位的一级注册建筑师执业资格，并具备高级工程师专业技术资格；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须提供拟派项目负责人类似项目业绩至少1个，“拟派项目负责人类似项目业绩”是指自2015年1月1日至今拟派项目负责人承担过的单项合同总建筑面积不低于30万平方米的住宅类建筑工程设计业绩，拟派项目负责人须在业绩项目中担任设计负责人职务，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（五）投标人如在以往承接招标人项目过程中被记入“黑名单”，或被信用中国网站记入“失信被执行人”的，不得参加本次招标投标活动（提供信用中国网站查询结果截图）；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四、技术成果经济补偿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lang w:val="en-US" w:eastAsia="zh-CN"/>
        </w:rPr>
        <w:t>本次招标对未中标人投标文件中的技术成果</w:t>
      </w:r>
      <w:r>
        <w:rPr>
          <w:rFonts w:hint="eastAsia" w:ascii="Times New Roman" w:hAnsi="Times New Roman" w:eastAsia="仿宋_GB2312" w:cs="Times New Roman"/>
          <w:sz w:val="28"/>
          <w:szCs w:val="28"/>
          <w:highlight w:val="none"/>
          <w:u w:val="single"/>
          <w:lang w:val="en-US" w:eastAsia="zh-CN"/>
        </w:rPr>
        <w:t>不给予</w:t>
      </w:r>
      <w:r>
        <w:rPr>
          <w:rFonts w:hint="eastAsia" w:ascii="Times New Roman" w:hAnsi="Times New Roman" w:eastAsia="仿宋_GB2312" w:cs="Times New Roman"/>
          <w:sz w:val="28"/>
          <w:szCs w:val="28"/>
          <w:highlight w:val="none"/>
          <w:u w:val="none"/>
          <w:lang w:val="en-US" w:eastAsia="zh-CN"/>
        </w:rPr>
        <w:t>经济补偿。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6</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7</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default" w:ascii="Times New Roman" w:hAnsi="Times New Roman" w:eastAsia="仿宋_GB2312" w:cs="Times New Roman"/>
          <w:i w:val="0"/>
          <w:iCs w:val="0"/>
          <w:color w:val="auto"/>
          <w:sz w:val="28"/>
          <w:szCs w:val="28"/>
          <w:highlight w:val="none"/>
          <w:u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才女士</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：17756789753</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亳州通恒置业有限公司</w:t>
      </w:r>
    </w:p>
    <w:p>
      <w:pPr>
        <w:keepNext w:val="0"/>
        <w:keepLines w:val="0"/>
        <w:pageBreakBefore w:val="0"/>
        <w:widowControl w:val="0"/>
        <w:kinsoku/>
        <w:wordWrap/>
        <w:overflowPunct/>
        <w:topLinePunct w:val="0"/>
        <w:autoSpaceDE/>
        <w:autoSpaceDN/>
        <w:bidi w:val="0"/>
        <w:adjustRightInd/>
        <w:snapToGrid/>
        <w:spacing w:line="480" w:lineRule="exact"/>
        <w:ind w:firstLine="5880" w:firstLineChars="21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5</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27</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亳州市2021-13地块建设项目</w:t>
            </w:r>
            <w:r>
              <w:rPr>
                <w:rFonts w:hint="eastAsia" w:ascii="Times New Roman" w:hAnsi="Times New Roman" w:cs="Times New Roman"/>
                <w:szCs w:val="21"/>
                <w:highlight w:val="none"/>
                <w:lang w:val="en-US" w:eastAsia="zh-CN"/>
              </w:rPr>
              <w:t>投资估算约16亿元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设计服务期限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（17）在以往承接招标人项目过程中被记入“黑名单”。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壹万玖仟陆佰</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19600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BZJK-2021-025号保证金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需要，分册装订要求：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根据招标文件第五章发包人要求，投标阶段设计成果文件的形式及数量要求如下：</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（1）方案文本提供数量为5本，正本1份、副本4份。</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lang w:val="en-US" w:eastAsia="zh-CN"/>
              </w:rPr>
              <w:t>（2）反映设计意图的其他文件。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招标人名称：亳州通恒置业有限公司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招标人地址：亳州市谯城区药都大道1289号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亳州市2021-13地块建设项目规划方案设计</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025号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1.</w:t>
            </w:r>
            <w:r>
              <w:rPr>
                <w:rFonts w:hint="default" w:ascii="Times New Roman" w:hAnsi="Times New Roman" w:cs="Times New Roman"/>
                <w:b/>
                <w:bCs/>
                <w:szCs w:val="21"/>
                <w:highlight w:val="none"/>
                <w:lang w:val="en-US" w:eastAsia="zh-CN"/>
              </w:rPr>
              <w:t>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2.投标人代表应持社保缴费证明参加开标会议，社保缴费证明是指投标人单位2020年6月以来为其缴纳的任意连续3个月的社保缴费证明。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不补偿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履约保证金的退还：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成果文件通过政府主管部门审核后退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《中华人民共和国标准设计招标文件》（2017年版）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综合评分相等时，以投标报价低的优先；投标报价也相等的，以设计方案得分高的优先；如果设计方案得分也相等，由招标人或其授权的评标委员会自行确定（一般宜采用投票制，少数服从多数）。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设计方案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179632607"/>
            <w:bookmarkStart w:id="17" w:name="_Toc152045589"/>
            <w:bookmarkStart w:id="18" w:name="_Toc246996975"/>
            <w:bookmarkStart w:id="19" w:name="_Toc144974556"/>
            <w:bookmarkStart w:id="20" w:name="_Toc247085747"/>
            <w:bookmarkStart w:id="21" w:name="_Toc296602477"/>
            <w:bookmarkStart w:id="22" w:name="_Toc152042366"/>
            <w:bookmarkStart w:id="23" w:name="_Toc246996232"/>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设计方案部分：</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以所有通过初步评审的投标人的投标报价算数平均数作为评标基准价。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资信业绩</w:t>
            </w: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30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10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在符合招标公告投标人资格要求的基础上，投标人每额外提供1个类似项目业绩，得4分，本项满分10分，多分不计。</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eastAsia="楷体_GB2312" w:cs="Times New Roman"/>
                <w:color w:val="auto"/>
                <w:kern w:val="0"/>
                <w:sz w:val="24"/>
                <w:szCs w:val="24"/>
                <w:highlight w:val="none"/>
                <w:lang w:val="en-US" w:eastAsia="zh-CN"/>
              </w:rPr>
              <w:t>注：类似项目业绩是指投标人自2015年1月1日至今承担过的单项合同总建筑面积不低于30万平方米的住宅类建筑工程设计业绩，业绩时间以合同签订时间为准。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yellow"/>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投标人具有经中国国家认证认可监督管理委员会认证机构颁发的ISO9001质量管理体系认证证书、ISO14001环境管理体系认证证书以及OHSAS18001（或ISO45001:2018）职业健康安全管理体系认证证书的，每提供1项得1分，满分3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eastAsia="楷体_GB2312" w:cs="Times New Roman"/>
                <w:color w:val="auto"/>
                <w:kern w:val="0"/>
                <w:sz w:val="24"/>
                <w:szCs w:val="24"/>
                <w:highlight w:val="none"/>
                <w:lang w:val="en-US" w:eastAsia="zh-CN"/>
              </w:rPr>
              <w:t>注：须提供认证证书复印件，证书中应能体现发证机构已获得认监委认证或能体现该证书可在认监委网站查询，否则须同时在投标文件中提供在认监委网站对证书发证机构的查询截图（加盖</w:t>
            </w:r>
            <w:r>
              <w:rPr>
                <w:rFonts w:hint="eastAsia" w:ascii="Times New Roman" w:hAnsi="Times New Roman" w:eastAsia="楷体_GB2312" w:cs="Times New Roman"/>
                <w:color w:val="auto"/>
                <w:kern w:val="0"/>
                <w:sz w:val="24"/>
                <w:szCs w:val="24"/>
                <w:highlight w:val="none"/>
                <w:lang w:val="en-US" w:eastAsia="zh-CN"/>
              </w:rPr>
              <w:t>投标人</w:t>
            </w:r>
            <w:r>
              <w:rPr>
                <w:rFonts w:hint="default" w:ascii="Times New Roman" w:hAnsi="Times New Roman" w:eastAsia="楷体_GB2312" w:cs="Times New Roman"/>
                <w:color w:val="auto"/>
                <w:kern w:val="0"/>
                <w:sz w:val="24"/>
                <w:szCs w:val="24"/>
                <w:highlight w:val="none"/>
                <w:lang w:val="en-US" w:eastAsia="zh-CN"/>
              </w:rPr>
              <w:t>单位公章）作为评审依据。</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2.投标人设计的房屋建筑工程获得省级及以上政府主管部门或国内依法设立的行业协会（或学会）颁发的建筑设计类奖项的，每提供1个得2分，本项满分6分，多分不计。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楷体_GB2312" w:cs="Times New Roman"/>
                <w:color w:val="auto"/>
                <w:kern w:val="0"/>
                <w:sz w:val="24"/>
                <w:szCs w:val="24"/>
                <w:highlight w:val="none"/>
                <w:lang w:val="en-US" w:eastAsia="zh-CN"/>
              </w:rPr>
            </w:pPr>
            <w:r>
              <w:rPr>
                <w:rFonts w:hint="eastAsia" w:ascii="Times New Roman" w:hAnsi="Times New Roman" w:eastAsia="楷体_GB2312" w:cs="Times New Roman"/>
                <w:color w:val="auto"/>
                <w:kern w:val="0"/>
                <w:sz w:val="24"/>
                <w:szCs w:val="24"/>
                <w:highlight w:val="none"/>
                <w:lang w:val="en-US" w:eastAsia="zh-CN"/>
              </w:rPr>
              <w:t>注：同一项目以获得的最高奖项计取，不重复计分。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拟派项目负责人以设计负责人（或项目负责人）职务参与设计的房屋建筑工程获得省级及以上政府主管部门或国内依法设立的行业协会（或学会）颁发的建筑设计类奖项的，每提供1个得3分，本项满分6分，多分不计。</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eastAsia="楷体_GB2312" w:cs="Times New Roman"/>
                <w:color w:val="auto"/>
                <w:kern w:val="0"/>
                <w:sz w:val="24"/>
                <w:szCs w:val="24"/>
                <w:highlight w:val="none"/>
                <w:lang w:val="en-US" w:eastAsia="zh-CN"/>
              </w:rPr>
            </w:pPr>
            <w:r>
              <w:rPr>
                <w:rFonts w:hint="eastAsia" w:ascii="Times New Roman" w:hAnsi="Times New Roman" w:eastAsia="楷体_GB2312" w:cs="Times New Roman"/>
                <w:color w:val="auto"/>
                <w:kern w:val="0"/>
                <w:sz w:val="24"/>
                <w:szCs w:val="24"/>
                <w:highlight w:val="none"/>
                <w:lang w:val="en-US" w:eastAsia="zh-CN"/>
              </w:rPr>
              <w:t>注：1.投标人须提供合同或审图合格证复印件证明拟派项目负责人在获奖项目中担任设计负责人（或项目负责人）职务；2.同一项目以获得的最高奖项计取，不重复计分。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eastAsia="楷体_GB2312"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4.拟派项目主要人员结构合理且配置齐全，各专业设计人员（建筑、结构、电气、给排水、暖通等）具备相应的执业资格证书或高级工程师专业技术资格的，每专业有1名人员得1分，本项满分5分，多分不计。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设计方案</w:t>
            </w: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4</w:t>
            </w:r>
            <w:r>
              <w:rPr>
                <w:rFonts w:hint="default" w:ascii="Times New Roman" w:hAnsi="Times New Roman" w:cs="Times New Roman" w:eastAsiaTheme="minorEastAsia"/>
                <w:i w:val="0"/>
                <w:iCs w:val="0"/>
                <w:color w:val="auto"/>
                <w:kern w:val="0"/>
                <w:sz w:val="24"/>
                <w:szCs w:val="24"/>
                <w:highlight w:val="none"/>
                <w:u w:val="none"/>
                <w:lang w:val="en-US" w:eastAsia="zh-CN"/>
              </w:rPr>
              <w:t>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设计方案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4</w:t>
            </w:r>
            <w:r>
              <w:rPr>
                <w:rFonts w:hint="default" w:ascii="Times New Roman" w:hAnsi="Times New Roman" w:cs="Times New Roman" w:eastAsiaTheme="minorEastAsia"/>
                <w:i w:val="0"/>
                <w:iCs w:val="0"/>
                <w:color w:val="auto"/>
                <w:kern w:val="0"/>
                <w:sz w:val="24"/>
                <w:szCs w:val="24"/>
                <w:highlight w:val="none"/>
                <w:u w:val="none"/>
                <w:lang w:val="en-US" w:eastAsia="zh-CN"/>
              </w:rPr>
              <w:t>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1.设计方案的合理性、创新度（6分）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（1）设计起点高，规划全局性强。对于地块规划形态和前景具备高端的视野。</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（2）对区位、交通、现场及规划控制条件的分析是否全面，合理；地块价值分析及判断是否准确。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（3）对项目总图布局、建筑及户型方案、景观方案有深入分析。</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（4）对总体规划的空间结构、功能分区、交通组织、景观设计、竖向设计等内容的编制是否全面、合理、经济。</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（5）对建筑风格、平面、立面、户型等方案的把控是否准确、经济、合理。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本项满分6分，评委酌情给分。优得4.5—6分，良得2.5—4.5分，一般得0.5—2.5分，差得0分。</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2.规划结构（6分）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（1）规划结构新颖，主构架清晰。符合整体用地规划条件，深度挖掘用地条件提升设计品质。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（2）各业态布局合理，互相关联性强。符合招标文件提出的建筑设计条件。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本项满分6分，评委酌情给分。优得4.5—6分，良得2.5—4.5分，一般得0.5—2.5分，差得0分。</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3.总平面布置（6分）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（1）建筑总平面设计与整体概念方案的延续性。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（2）总平面布局合理，且符合较高的品质要求。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（3）涵盖任务书中的所有建筑类型，总平面场地设计（包括竖向）是否合理。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（4）是否注重项目内部主要出入口的标识性，以及内部居住环境舒适度的营造。</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（5）总图中有对于消防设计，并具有切实深化的落地性。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本项满分6分，评委酌情给分。优得4.5—6分，良得2.5—4.5分，一般得0.5—2.5分，差得0分。</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4.建筑单体（6分）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（1）各产品类型，其面积和配比及功能房间的设置，与任务书中相关要求的切合度。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（2）涵盖任务书中的所有建筑类型，其所有单体建筑是否具备完整对应的平立面。</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（3）涵盖任务书中的所有建筑类型，平面布置细化，流线合理。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本项满分6分，评委酌情给分。优得4.5—6分，良得2.5—4.5分，一般得0.5—2.5分，差得0分。</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5.建筑效果（6分）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建筑造型效果是否符合并满足招标文件要求，并体现建筑稳重优雅的品质。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建筑风格与建筑产品类型吻合，与周边其他项目的造型产生差异性。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各类型建筑风格协调，材料和色彩运用合理。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建筑拼合后的整体效果是否协调完整。</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本项满分6分，评委酌情给分。优得4.5—6分，良得2.5—4.5分，一般得0.5—2.5分，差得0分。</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6.方案的完整度和技术落地性（5分）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涵盖到所有的产品类型，其设计成果中是否具备方案深度。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总图和平面满足</w:t>
            </w:r>
            <w:r>
              <w:rPr>
                <w:rFonts w:hint="eastAsia" w:ascii="Times New Roman" w:hAnsi="Times New Roman" w:cs="Times New Roman"/>
                <w:kern w:val="0"/>
                <w:sz w:val="24"/>
                <w:szCs w:val="24"/>
                <w:highlight w:val="none"/>
                <w:lang w:val="en-US" w:eastAsia="zh-CN"/>
              </w:rPr>
              <w:t>亳州</w:t>
            </w:r>
            <w:r>
              <w:rPr>
                <w:rFonts w:hint="default" w:ascii="Times New Roman" w:hAnsi="Times New Roman" w:cs="Times New Roman"/>
                <w:kern w:val="0"/>
                <w:sz w:val="24"/>
                <w:szCs w:val="24"/>
                <w:highlight w:val="none"/>
                <w:lang w:val="en-US" w:eastAsia="zh-CN"/>
              </w:rPr>
              <w:t>市规划技术管理规定及相关规范要求。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本项满分5分，评委酌情给分。优得4—5分，良得2.5—4分，一般得0.5—2.5分，差得0分。</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7.设计图纸的完整性（5分）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总平面图、项目区位分析、用地状况分析、设计理念、交通分析图、功能分析图。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设计图纸符合国家及地方规范要求，具有可操作性。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建筑效果图不低于6张，不足6张该项不得分，其中包含鸟瞰至少一张，重要节点透视图，单体效果图等。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本项满分5分，评委酌情给分。优得4—5分，良得2.5—4分，一般得0.5—2.5分，差得0分。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（30分）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取所有通过初步评审的投标人的投标报价的算数平均数作为评标基准价。</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投标人投标报价与评标基准价相比，投标报价比评标基准价每高（大于）1%扣0.5分，每低（小于）1%扣0.2分，不足1%的部分按线性插值法计算得分。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本项满分30分，最多扣5分。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若评标委员会认定该投标人投标报价低于其成本价或不以中标为目的的投标报价的，可以否决其投标。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楷体_GB2312" w:cs="Times New Roman"/>
                <w:kern w:val="0"/>
                <w:sz w:val="24"/>
                <w:szCs w:val="24"/>
                <w:highlight w:val="none"/>
                <w:lang w:val="en-US" w:eastAsia="zh-CN"/>
              </w:rPr>
            </w:pPr>
            <w:r>
              <w:rPr>
                <w:rFonts w:hint="eastAsia" w:ascii="Times New Roman" w:hAnsi="Times New Roman" w:eastAsia="楷体_GB2312"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b/>
          <w:bCs/>
          <w:lang w:val="en-US" w:eastAsia="zh-CN"/>
        </w:rPr>
        <w:t>说明：</w:t>
      </w:r>
      <w:r>
        <w:rPr>
          <w:rFonts w:hint="default" w:ascii="Times New Roman" w:hAnsi="Times New Roman" w:cs="Times New Roman"/>
          <w:lang w:val="en-US" w:eastAsia="zh-CN"/>
        </w:rPr>
        <w:t>评分区间一律按左闭右开计算</w:t>
      </w:r>
      <w:r>
        <w:rPr>
          <w:rFonts w:hint="eastAsia" w:ascii="Times New Roman" w:hAnsi="Times New Roman" w:cs="Times New Roman"/>
          <w:lang w:val="en-US" w:eastAsia="zh-CN"/>
        </w:rPr>
        <w:t>，评分保留2位小数。</w:t>
      </w:r>
    </w:p>
    <w:p>
      <w:pPr>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综合评分相等时，以投标报价低的优先；投标报价也相等的，以设计方案得分高的优先；如果设计方案得分也相等，由招标人或其授权的评标委员会自行确定（一般宜采用投票制，少数服从多数）。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7085748"/>
      <w:bookmarkStart w:id="25" w:name="_Toc246996976"/>
      <w:bookmarkStart w:id="26" w:name="_Toc152042367"/>
      <w:bookmarkStart w:id="27" w:name="_Toc296602478"/>
      <w:bookmarkStart w:id="28" w:name="_Toc144974557"/>
      <w:bookmarkStart w:id="29" w:name="_Toc246996233"/>
      <w:bookmarkStart w:id="30" w:name="_Toc179632608"/>
      <w:bookmarkStart w:id="31" w:name="_Toc152045590"/>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234"/>
      <w:bookmarkStart w:id="33" w:name="_Toc247085749"/>
      <w:bookmarkStart w:id="34" w:name="_Toc152045591"/>
      <w:bookmarkStart w:id="35" w:name="_Toc246996977"/>
      <w:bookmarkStart w:id="36" w:name="_Toc144974558"/>
      <w:bookmarkStart w:id="37" w:name="_Toc179632609"/>
      <w:bookmarkStart w:id="38" w:name="_Toc296602479"/>
      <w:bookmarkStart w:id="39"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52045593"/>
      <w:bookmarkStart w:id="41" w:name="_Toc247085751"/>
      <w:bookmarkStart w:id="42" w:name="_Toc144974560"/>
      <w:bookmarkStart w:id="43" w:name="_Toc246996979"/>
      <w:bookmarkStart w:id="44" w:name="_Toc152042370"/>
      <w:bookmarkStart w:id="45" w:name="_Toc246996236"/>
      <w:bookmarkStart w:id="46" w:name="_Toc179632611"/>
      <w:bookmarkStart w:id="47" w:name="_Toc29660248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资信业绩部分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设计方案部分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资信业绩评分标准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设计方案评分标准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7085752"/>
      <w:bookmarkStart w:id="49" w:name="_Toc246996237"/>
      <w:bookmarkStart w:id="50" w:name="_Toc152045594"/>
      <w:bookmarkStart w:id="51" w:name="_Toc144974561"/>
      <w:bookmarkStart w:id="52" w:name="_Toc246996980"/>
      <w:bookmarkStart w:id="53" w:name="_Toc296602482"/>
      <w:bookmarkStart w:id="54" w:name="_Toc179632612"/>
      <w:bookmarkStart w:id="55" w:name="_Toc15204237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5595"/>
      <w:bookmarkStart w:id="57" w:name="_Toc152042372"/>
      <w:bookmarkStart w:id="58" w:name="_Toc246996238"/>
      <w:bookmarkStart w:id="59" w:name="_Toc296602483"/>
      <w:bookmarkStart w:id="60" w:name="_Toc179632613"/>
      <w:bookmarkStart w:id="61" w:name="_Toc246996981"/>
      <w:bookmarkStart w:id="62" w:name="_Toc144974562"/>
      <w:bookmarkStart w:id="63" w:name="_Toc24708575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52045596"/>
      <w:bookmarkStart w:id="65" w:name="_Toc144974563"/>
      <w:bookmarkStart w:id="66" w:name="_Toc246996239"/>
      <w:bookmarkStart w:id="67" w:name="_Toc152042373"/>
      <w:bookmarkStart w:id="68" w:name="_Toc247085754"/>
      <w:bookmarkStart w:id="69" w:name="_Toc296602484"/>
      <w:bookmarkStart w:id="70" w:name="_Toc179632614"/>
      <w:bookmarkStart w:id="71"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第2.2.4（1）目规定的评审因素和分值对资信业绩部分计算出得分A；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第2.2.4（2）目规定的评审因素和分值对设计方案部分计算出得分B；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46996240"/>
      <w:bookmarkStart w:id="73" w:name="_Toc144974564"/>
      <w:bookmarkStart w:id="74" w:name="_Toc246996983"/>
      <w:bookmarkStart w:id="75" w:name="_Toc152042374"/>
      <w:bookmarkStart w:id="76" w:name="_Toc152045597"/>
      <w:bookmarkStart w:id="77" w:name="_Toc247085755"/>
      <w:bookmarkStart w:id="78" w:name="_Toc296602485"/>
      <w:bookmarkStart w:id="79" w:name="_Toc179632615"/>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亳州通恒置业有限公司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1.乙方首次将方案设计成果文件提交予甲方后10个工作日内，甲方向乙方支付合同总价款的30%；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2.方案设计成果文件定稿，并通过政府主管部门审核后10个工作日内，甲方向乙方支付合同总价款的60%；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3.工程竣工验收合格后10个工作日内，甲方向乙方无息付清余款。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乙方为履行本合同约定而编制的成果文件，其著作权归属于甲方所有。未经甲方书面同意，乙方不得为了本合同以外的目的而复制或者以其他方式使用上述文件或将之提供给任何第三方。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除另有约定外，双方均有权在履行合同保密义务并且不损害对方利益的情况下，将履行本合同形成的有关成果文件用于企业宣传、申报奖项以及接受上级主管部门的检查。</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说明：合同格式参考国家工商行政管理总局、住房和城乡建设部于2015年3月4日联合印发的《建设工程设计合同示范文本（房屋建筑工程）》（GF-2015-0209）、《建设工程设计合同示范文本（专业建设工程）》（GF-2015-0210）。</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具体合同内容</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一、项目概况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亳州市2021-13地块</w:t>
      </w:r>
      <w:r>
        <w:rPr>
          <w:rFonts w:hint="eastAsia" w:ascii="Times New Roman" w:hAnsi="Times New Roman" w:cs="Times New Roman"/>
          <w:kern w:val="0"/>
          <w:sz w:val="24"/>
          <w:szCs w:val="24"/>
          <w:highlight w:val="none"/>
          <w:lang w:val="en-US" w:eastAsia="zh-CN"/>
        </w:rPr>
        <w:t>建设项目位于利辛路北、华佗大道西、庄周路东，占地面积134680.3平方米，土地用途为商住（商服不大于5%），规划指标要求容积率不大于2.0，建筑密度不大于25%，绿地率不小于35%。</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二、规划设计依据及条件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（一）规划设计依据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政府批准宗地有关文件（规划条件、用地性质等）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（1）规划设计条件</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（2）用地红线图</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（3）国有建设用地使用权出让合同</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（4）其他</w:t>
      </w:r>
      <w:r>
        <w:rPr>
          <w:rFonts w:hint="eastAsia" w:ascii="Times New Roman" w:hAnsi="Times New Roman" w:cs="Times New Roman"/>
          <w:kern w:val="0"/>
          <w:sz w:val="24"/>
          <w:szCs w:val="24"/>
          <w:highlight w:val="none"/>
          <w:lang w:val="en-US" w:eastAsia="zh-CN"/>
        </w:rPr>
        <w:t>详见</w:t>
      </w:r>
      <w:r>
        <w:rPr>
          <w:rFonts w:hint="default" w:ascii="Times New Roman" w:hAnsi="Times New Roman" w:cs="Times New Roman"/>
          <w:kern w:val="0"/>
          <w:sz w:val="24"/>
          <w:szCs w:val="24"/>
          <w:highlight w:val="none"/>
          <w:lang w:val="en-US" w:eastAsia="zh-CN"/>
        </w:rPr>
        <w:t>附</w:t>
      </w:r>
      <w:r>
        <w:rPr>
          <w:rFonts w:hint="eastAsia" w:ascii="Times New Roman" w:hAnsi="Times New Roman" w:cs="Times New Roman"/>
          <w:kern w:val="0"/>
          <w:sz w:val="24"/>
          <w:szCs w:val="2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亳州市城市控制性详细规划通则，以及自规、房产、城建、应急（消防）、人防、交通、环保、抗震、气象、城管等有关部门的规定要求，市政管网与生活配套按国家及亳州市相关标准</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现行国家、地方及行业相关各类法律法规和设计标准、规范、规程及通知、意见等。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如</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城市居住区规划设计规范》《住宅设计规范》《住宅建筑规范》《民用建筑设计统一标准》《汽车库建筑设计规范》《住宅装饰装修工程施工规范》《建筑抗震设计规范》《工程结构可靠度设计统一标准》《混凝土结构设计规范》《建筑设计防火规范》《高层民用建筑设计防火规范》《民用建筑节能设计标准》《公共建筑节能设计标准》《夏热冬冷地区居住建筑节能设计标准》《民用建筑热工设计规范》《外墙外保温工程技术规程》《屋面工程技术规范》《建筑地面设计规范》《建筑地基基础设计规范》《建筑地基处理技术规范》《建筑给水排水设计规范》《民用建筑电气设计规范》《建筑物防雷设计规范》《建筑制图标准》《建筑结构制图标准》《建筑模数协调统一标准》《建筑工程设计文件编制深度规定》《安徽省居住建筑节能设计标准》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（二）规划设计条件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宗地规划建设主要指标：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占地面积134680.3平方米，土地用途为商住（商服不大于5%），规划指标要求容积率不大于2.0，建筑密度不大于25%，绿地率不小于35%。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需要退让道路红线：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退让华佗大道道路红线：不小于25米（沿华佗大道方向绿化带宽度为20米）；</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退让利辛路路道路红线：高层不小于10米，多层不小于7米；</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退让庄周路道路红线：高层不小于10米，多层不小于5米；</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退让及间距需满足地块规划设计条件及《亳州市城市控制性详细规划通则》相关要求。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公共配套设施：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商业、物业管理用房、社区管理用房、文化活动室、室内体育活动室、社区卫生服务站、老年活动站、菜市场、室外体育活动场地、公厕、配电房、12班幼儿园等。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停车指标：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机动车：住宅按1.1辆/百平米设置</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商业按1.0辆/百平米设置；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非机动车：住宅按0.5辆/百平米设置，商业按3.0辆/百平米设置。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其他要求</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详见规划设计条件通知书及《亳州市城市控制性详细规划通则》。</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三、规划设计要求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在满足政府要求和容积率做足的情况下，尽可能让更多的住宅享受到北侧涡河沿河公园资源，需充分结合当地自然环境，满足建筑</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坚固、实用、美观</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三大原则，提供居住区内健康、舒适、低耗、无害邻里和谐的活动空间，建设成为节能环保、生态和谐小区。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总平面布置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（1）建筑布局、空间处理、整体形态组合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①小区建筑总体布局尽量对称排布，突出轴线，高度尽量北高南低。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②小区场地内地形较平坦。要充分考虑建筑形态和日照分析，合理控制楼幢高度；整体</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0标高必须结合现场实际情况和土方平衡确定；地下室的布置应尽量分配合理，控制层高；整个小区内部动线合理，功能齐全。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③建筑立面建议采用现代风格（暂定），建筑色彩应庄重、大方。户型设计合理，产品具有实用性、可变性，套内空间做足赠送空间，提高性价比。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④小区尽量做足绿化；景观要形成楼在园中、楼为园景的生态画面。公共配套设施合理布置，尽量以绿化围合或隐蔽。建筑周边散水，地下室顶板排水，均需设计合理，保证后期排水通畅，确保后期景观苗木的成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（2）建筑立面造型、天际线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①住宅建筑立面要求简洁大气。建筑外立面（含线条）材料要节能环保，经济适用，美观大方耐候久。并充分考虑室外空调主机位置隐蔽，结合外墙装饰效果协调一致。天际线应予以变化。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②住宅南侧卧室全部设置飘窗，但飘窗形式不宜设置拐角飘窗。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③各类排水管、落水管要求尽量隐蔽，结合外墙装饰效果协调一致。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景观系统以立体绿化园林为主，乔木</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灌木</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草坪花卉结合。小区内部不设计水面景观</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硬质铺地以经济耐用即可。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路网结构小区人车流线清晰，出入口设置布局要周密考虑，满足物业管理和安全需要布局，方便车辆进出使用。道路交通顺畅，满足消防功能，具有完整步行系统。室外管网要求采用综合管网。各种专业管线应布局合理，配套齐全，所有单元门口不得设置雨污窨井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智能化配置要求包括通信网络系统、信息网络系统、安全防范系统等规划到位。小区围墙、入口、地下车库、单元门厅内均需设置监控与安防设施；做到具有安全性、可靠性、开放性、可扩充性和使用灵活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（6）公建配套设施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①配备物业、社区、养老用房，结合生活配套统筹安排；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②合理配备室外健身运动设施</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场地；合理布局环卫设施/场地；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③其余参照国家和亳州地方相关法规。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户型设计要求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（1）户型配比请设计单位充分调研亳州市场并给出合理化建议。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（2）户型设计要求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户型设计应强调在总面积控制且单位功能面积满足基本舒适度的前提下，尽可能使居住的各项功能需求得到充分满足</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同时尽量设计赠送面积，如入户花园、设备平台、阳台等，提高产品的性价比。户型要求尽可能的南北通透，动静、干湿分区；朝向、采光、视线、通风良好；无视线干扰；户内空间尽可能有可改变的特质及灵活性，应趋于人性化居住需求的深化挖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客厅空调洞口应在电视墙位置，卧室空调洞口应在床尾侧面位置；空调机位净尺寸要求不低于1.10</w:t>
      </w:r>
      <w:r>
        <w:rPr>
          <w:rFonts w:hint="eastAsia" w:ascii="Times New Roman" w:hAnsi="Times New Roman" w:cs="Times New Roman"/>
          <w:kern w:val="0"/>
          <w:sz w:val="24"/>
          <w:szCs w:val="24"/>
          <w:highlight w:val="none"/>
          <w:lang w:val="en-US" w:eastAsia="zh-CN"/>
        </w:rPr>
        <w:t>米</w:t>
      </w:r>
      <w:r>
        <w:rPr>
          <w:rFonts w:hint="default" w:ascii="Times New Roman" w:hAnsi="Times New Roman" w:cs="Times New Roman"/>
          <w:kern w:val="0"/>
          <w:sz w:val="24"/>
          <w:szCs w:val="24"/>
          <w:highlight w:val="none"/>
          <w:lang w:val="en-US" w:eastAsia="zh-CN"/>
        </w:rPr>
        <w:t>×0.55</w:t>
      </w:r>
      <w:r>
        <w:rPr>
          <w:rFonts w:hint="eastAsia" w:ascii="Times New Roman" w:hAnsi="Times New Roman" w:cs="Times New Roman"/>
          <w:kern w:val="0"/>
          <w:sz w:val="24"/>
          <w:szCs w:val="24"/>
          <w:highlight w:val="none"/>
          <w:lang w:val="en-US" w:eastAsia="zh-CN"/>
        </w:rPr>
        <w:t>米</w:t>
      </w:r>
      <w:r>
        <w:rPr>
          <w:rFonts w:hint="default" w:ascii="Times New Roman" w:hAnsi="Times New Roman" w:cs="Times New Roman"/>
          <w:kern w:val="0"/>
          <w:sz w:val="24"/>
          <w:szCs w:val="24"/>
          <w:highlight w:val="none"/>
          <w:lang w:val="en-US" w:eastAsia="zh-CN"/>
        </w:rPr>
        <w:t>。厨房设计为独立式，有直接采光，设垂直抽油烟道，靠近入户门，紧邻餐厅，面积在5</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10</w:t>
      </w:r>
      <w:r>
        <w:rPr>
          <w:rFonts w:hint="eastAsia" w:ascii="Times New Roman" w:hAnsi="Times New Roman" w:cs="Times New Roman"/>
          <w:kern w:val="0"/>
          <w:sz w:val="24"/>
          <w:szCs w:val="24"/>
          <w:highlight w:val="none"/>
          <w:lang w:val="en-US" w:eastAsia="zh-CN"/>
        </w:rPr>
        <w:t>平方米</w:t>
      </w:r>
      <w:r>
        <w:rPr>
          <w:rFonts w:hint="default" w:ascii="Times New Roman" w:hAnsi="Times New Roman" w:cs="Times New Roman"/>
          <w:kern w:val="0"/>
          <w:sz w:val="24"/>
          <w:szCs w:val="24"/>
          <w:highlight w:val="none"/>
          <w:lang w:val="en-US" w:eastAsia="zh-CN"/>
        </w:rPr>
        <w:t>之间。布局动线合理；水槽宜沿窗布置；留有专用燃气热水器洞口；厨房烟道宜沿外墙内墙面处布置；煤气管道宜沿外墙内墙面处布置。卫生间注意不得对入户门，马桶、面盆、淋浴间合理布置。阳台应考虑合理布置洗手池、拖把池和洗衣机位。电梯井不能与卧室、起居室相邻，当相邻时应做隔声处理，或周边布置用储藏室、设备间、厨卫等。考虑室外空调机位置、外观处理以及冷凝水的排放。设备管线集中于管道井内，方便维修，无损外观形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应让户型在总面积（总房款）有效控制下，尽量做到功能最大化、使用便利最大化、主人尊崇感、舒适感最大化。社区内每一户客厅均具有完整的观景，每户除最多一个卧室外，其余卧室均具有绝佳窗景。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成本控制指标在充分使用容积率的前提下，尽可能根据所了解的相关政策，提高可利用建筑面积量，同时控制建安成本，要求住宅</w:t>
      </w:r>
      <w:r>
        <w:rPr>
          <w:rFonts w:hint="eastAsia" w:ascii="Times New Roman" w:hAnsi="Times New Roman" w:cs="Times New Roman"/>
          <w:kern w:val="0"/>
          <w:sz w:val="24"/>
          <w:szCs w:val="24"/>
          <w:highlight w:val="none"/>
          <w:lang w:val="en-US" w:eastAsia="zh-CN"/>
        </w:rPr>
        <w:t>不大于</w:t>
      </w:r>
      <w:r>
        <w:rPr>
          <w:rFonts w:hint="default" w:ascii="Times New Roman" w:hAnsi="Times New Roman" w:cs="Times New Roman"/>
          <w:kern w:val="0"/>
          <w:sz w:val="24"/>
          <w:szCs w:val="24"/>
          <w:highlight w:val="none"/>
          <w:lang w:val="en-US" w:eastAsia="zh-CN"/>
        </w:rPr>
        <w:t>1800元</w:t>
      </w:r>
      <w:r>
        <w:rPr>
          <w:rFonts w:hint="eastAsia" w:ascii="Times New Roman" w:hAnsi="Times New Roman" w:cs="Times New Roman"/>
          <w:kern w:val="0"/>
          <w:sz w:val="24"/>
          <w:szCs w:val="24"/>
          <w:highlight w:val="none"/>
          <w:lang w:val="en-US" w:eastAsia="zh-CN"/>
        </w:rPr>
        <w:t>每平方米</w:t>
      </w:r>
      <w:r>
        <w:rPr>
          <w:rFonts w:hint="default" w:ascii="Times New Roman" w:hAnsi="Times New Roman" w:cs="Times New Roman"/>
          <w:kern w:val="0"/>
          <w:sz w:val="24"/>
          <w:szCs w:val="24"/>
          <w:highlight w:val="none"/>
          <w:lang w:val="en-US" w:eastAsia="zh-CN"/>
        </w:rPr>
        <w:t>，景观成本350元</w:t>
      </w:r>
      <w:r>
        <w:rPr>
          <w:rFonts w:hint="eastAsia" w:ascii="Times New Roman" w:hAnsi="Times New Roman" w:cs="Times New Roman"/>
          <w:kern w:val="0"/>
          <w:sz w:val="24"/>
          <w:szCs w:val="24"/>
          <w:highlight w:val="none"/>
          <w:lang w:val="en-US" w:eastAsia="zh-CN"/>
        </w:rPr>
        <w:t>每平方米</w:t>
      </w:r>
      <w:r>
        <w:rPr>
          <w:rFonts w:hint="default" w:ascii="Times New Roman" w:hAnsi="Times New Roman" w:cs="Times New Roman"/>
          <w:kern w:val="0"/>
          <w:sz w:val="24"/>
          <w:szCs w:val="24"/>
          <w:highlight w:val="none"/>
          <w:lang w:val="en-US" w:eastAsia="zh-CN"/>
        </w:rPr>
        <w:t>左右</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公共配套建筑</w:t>
      </w:r>
      <w:r>
        <w:rPr>
          <w:rFonts w:hint="eastAsia" w:ascii="Times New Roman" w:hAnsi="Times New Roman" w:cs="Times New Roman"/>
          <w:kern w:val="0"/>
          <w:sz w:val="24"/>
          <w:szCs w:val="24"/>
          <w:highlight w:val="none"/>
          <w:lang w:val="en-US" w:eastAsia="zh-CN"/>
        </w:rPr>
        <w:t>不大于</w:t>
      </w:r>
      <w:r>
        <w:rPr>
          <w:rFonts w:hint="default" w:ascii="Times New Roman" w:hAnsi="Times New Roman" w:cs="Times New Roman"/>
          <w:kern w:val="0"/>
          <w:sz w:val="24"/>
          <w:szCs w:val="24"/>
          <w:highlight w:val="none"/>
          <w:lang w:val="en-US" w:eastAsia="zh-CN"/>
        </w:rPr>
        <w:t>2500元</w:t>
      </w:r>
      <w:r>
        <w:rPr>
          <w:rFonts w:hint="eastAsia" w:ascii="Times New Roman" w:hAnsi="Times New Roman" w:cs="Times New Roman"/>
          <w:kern w:val="0"/>
          <w:sz w:val="24"/>
          <w:szCs w:val="24"/>
          <w:highlight w:val="none"/>
          <w:lang w:val="en-US" w:eastAsia="zh-CN"/>
        </w:rPr>
        <w:t>每平方米</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（4）本项目地下车库车位面积控制需进行限额设计。</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四、提交规划设计成果要求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规划设计总说明除规定应反映的各种说明外，着重阐述从现状条件分析、规划依据，总体规划设计、布局与空间组织，专业工程和竖向规划，建筑设计到景观设计、公共设施等的主导设计构思、设计理念及设计手法，并简述结构、电气、给排水等的设计简要说明，及对生态环境保护、节能、绿建、消防、交通等作相应的专篇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主要经济技术指标：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给出主要经济技术指标详细分析，其中重点对结构上部、下部，三材、节能等进行分析，并对工程建设成本进行估算。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设计成果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需要提交的设计文本成果必须包含但不限于以下部分</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报审设计方案图纸均应按A3规格装订成册，一式</w:t>
      </w:r>
      <w:r>
        <w:rPr>
          <w:rFonts w:hint="eastAsia" w:ascii="Times New Roman" w:hAnsi="Times New Roman" w:cs="Times New Roman"/>
          <w:kern w:val="0"/>
          <w:sz w:val="24"/>
          <w:szCs w:val="24"/>
          <w:highlight w:val="none"/>
          <w:lang w:val="en-US" w:eastAsia="zh-CN"/>
        </w:rPr>
        <w:t>五</w:t>
      </w:r>
      <w:r>
        <w:rPr>
          <w:rFonts w:hint="default" w:ascii="Times New Roman" w:hAnsi="Times New Roman" w:cs="Times New Roman"/>
          <w:kern w:val="0"/>
          <w:sz w:val="24"/>
          <w:szCs w:val="24"/>
          <w:highlight w:val="none"/>
          <w:lang w:val="en-US" w:eastAsia="zh-CN"/>
        </w:rPr>
        <w:t>份，报送电子文件。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用地现状、区域分析图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规划总平面图（含经济技术指标），图纸比例1:1000（总平面图应在地形底图上原坐标进行设计，建筑尺寸和定位坐标应明确标注）。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规划单体建筑定位图，图纸比例1:1000（应在地形底图上原坐标进行设计，建筑尺寸和定位坐标应明确标注）。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规划空间结构分析图。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规划设计效果图：项目整体鸟瞰图（像素不少于720）、沿主要道路天际线效果图、主要城市界面透视图、主要建筑单体方案效果图、单体SU三维模型等内容。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（6）规划方案说明书。</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lang w:val="en-US" w:eastAsia="zh-CN"/>
        </w:rPr>
        <w:t>景观、绿化规划设计图。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lang w:val="en-US" w:eastAsia="zh-CN"/>
        </w:rPr>
        <w:t>项目亮化规划图。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w:t>
      </w:r>
      <w:r>
        <w:rPr>
          <w:rFonts w:hint="default" w:ascii="Times New Roman" w:hAnsi="Times New Roman" w:cs="Times New Roman"/>
          <w:kern w:val="0"/>
          <w:sz w:val="24"/>
          <w:szCs w:val="24"/>
          <w:highlight w:val="none"/>
          <w:lang w:val="en-US" w:eastAsia="zh-CN"/>
        </w:rPr>
        <w:t>交通系统规划设计图。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日照分析图，绿建、节能、消防、交通专篇。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w:t>
      </w:r>
      <w:r>
        <w:rPr>
          <w:rFonts w:hint="default" w:ascii="Times New Roman" w:hAnsi="Times New Roman" w:cs="Times New Roman"/>
          <w:kern w:val="0"/>
          <w:sz w:val="24"/>
          <w:szCs w:val="24"/>
          <w:highlight w:val="none"/>
          <w:lang w:val="en-US" w:eastAsia="zh-CN"/>
        </w:rPr>
        <w:t>用地竖向规划设计图。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w:t>
      </w:r>
      <w:r>
        <w:rPr>
          <w:rFonts w:hint="default" w:ascii="Times New Roman" w:hAnsi="Times New Roman" w:cs="Times New Roman"/>
          <w:kern w:val="0"/>
          <w:sz w:val="24"/>
          <w:szCs w:val="24"/>
          <w:highlight w:val="none"/>
          <w:lang w:val="en-US" w:eastAsia="zh-CN"/>
        </w:rPr>
        <w:t>综合管线规划设计图。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w:t>
      </w:r>
      <w:r>
        <w:rPr>
          <w:rFonts w:hint="default" w:ascii="Times New Roman" w:hAnsi="Times New Roman" w:cs="Times New Roman"/>
          <w:kern w:val="0"/>
          <w:sz w:val="24"/>
          <w:szCs w:val="24"/>
          <w:highlight w:val="none"/>
          <w:lang w:val="en-US" w:eastAsia="zh-CN"/>
        </w:rPr>
        <w:t>主要街景彩色立面图。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w:t>
      </w:r>
      <w:r>
        <w:rPr>
          <w:rFonts w:hint="default" w:ascii="Times New Roman" w:hAnsi="Times New Roman" w:cs="Times New Roman"/>
          <w:kern w:val="0"/>
          <w:sz w:val="24"/>
          <w:szCs w:val="24"/>
          <w:highlight w:val="none"/>
          <w:lang w:val="en-US" w:eastAsia="zh-CN"/>
        </w:rPr>
        <w:t>反映设计意图的透视图。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w:t>
      </w:r>
      <w:r>
        <w:rPr>
          <w:rFonts w:hint="default" w:ascii="Times New Roman" w:hAnsi="Times New Roman" w:cs="Times New Roman"/>
          <w:kern w:val="0"/>
          <w:sz w:val="24"/>
          <w:szCs w:val="24"/>
          <w:highlight w:val="none"/>
          <w:lang w:val="en-US" w:eastAsia="zh-CN"/>
        </w:rPr>
        <w:t>地下室平面图。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w:t>
      </w:r>
      <w:r>
        <w:rPr>
          <w:rFonts w:hint="default" w:ascii="Times New Roman" w:hAnsi="Times New Roman" w:cs="Times New Roman"/>
          <w:kern w:val="0"/>
          <w:sz w:val="24"/>
          <w:szCs w:val="24"/>
          <w:highlight w:val="none"/>
          <w:lang w:val="en-US" w:eastAsia="zh-CN"/>
        </w:rPr>
        <w:t>道路断面与地下空间、管线处理分析图。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（17）</w:t>
      </w:r>
      <w:r>
        <w:rPr>
          <w:rFonts w:hint="default" w:ascii="Times New Roman" w:hAnsi="Times New Roman" w:cs="Times New Roman"/>
          <w:kern w:val="0"/>
          <w:sz w:val="24"/>
          <w:szCs w:val="24"/>
          <w:highlight w:val="none"/>
          <w:lang w:val="en-US" w:eastAsia="zh-CN"/>
        </w:rPr>
        <w:t>各类产品单体主要平面布置图、立面图、剖面图。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（18）</w:t>
      </w:r>
      <w:r>
        <w:rPr>
          <w:rFonts w:hint="default" w:ascii="Times New Roman" w:hAnsi="Times New Roman" w:cs="Times New Roman"/>
          <w:kern w:val="0"/>
          <w:sz w:val="24"/>
          <w:szCs w:val="24"/>
          <w:highlight w:val="none"/>
          <w:lang w:val="en-US" w:eastAsia="zh-CN"/>
        </w:rPr>
        <w:t>组合平面布置图。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（19）</w:t>
      </w:r>
      <w:r>
        <w:rPr>
          <w:rFonts w:hint="default" w:ascii="Times New Roman" w:hAnsi="Times New Roman" w:cs="Times New Roman"/>
          <w:kern w:val="0"/>
          <w:sz w:val="24"/>
          <w:szCs w:val="24"/>
          <w:highlight w:val="none"/>
          <w:lang w:val="en-US" w:eastAsia="zh-CN"/>
        </w:rPr>
        <w:t>项目主要出入口等节点放大图。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w:t>
      </w:r>
      <w:r>
        <w:rPr>
          <w:rFonts w:hint="default" w:ascii="Times New Roman" w:hAnsi="Times New Roman" w:cs="Times New Roman"/>
          <w:kern w:val="0"/>
          <w:sz w:val="24"/>
          <w:szCs w:val="24"/>
          <w:highlight w:val="none"/>
          <w:lang w:val="en-US" w:eastAsia="zh-CN"/>
        </w:rPr>
        <w:t>政府部门需要的其他设计文件</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投标阶段设计成果</w:t>
      </w:r>
      <w:r>
        <w:rPr>
          <w:rFonts w:hint="eastAsia" w:ascii="Times New Roman" w:hAnsi="Times New Roman" w:cs="Times New Roman"/>
          <w:kern w:val="0"/>
          <w:sz w:val="24"/>
          <w:szCs w:val="24"/>
          <w:highlight w:val="none"/>
          <w:lang w:val="en-US" w:eastAsia="zh-CN"/>
        </w:rPr>
        <w:t>文件的</w:t>
      </w:r>
      <w:r>
        <w:rPr>
          <w:rFonts w:hint="default" w:ascii="Times New Roman" w:hAnsi="Times New Roman" w:cs="Times New Roman"/>
          <w:kern w:val="0"/>
          <w:sz w:val="24"/>
          <w:szCs w:val="24"/>
          <w:highlight w:val="none"/>
          <w:lang w:val="en-US" w:eastAsia="zh-CN"/>
        </w:rPr>
        <w:t>形式及数量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方案文本提供数量为5本，</w:t>
      </w:r>
      <w:r>
        <w:rPr>
          <w:rFonts w:hint="eastAsia" w:ascii="Times New Roman" w:hAnsi="Times New Roman" w:cs="Times New Roman"/>
          <w:kern w:val="0"/>
          <w:sz w:val="24"/>
          <w:szCs w:val="24"/>
          <w:highlight w:val="none"/>
          <w:lang w:val="en-US" w:eastAsia="zh-CN"/>
        </w:rPr>
        <w:t>正本1份、副本4份</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反映设计意图的其他文件。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附件1</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规划设计条件通知书及附图（电子版）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附件2</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用地红线图（电子版）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152042576"/>
      <w:bookmarkStart w:id="81" w:name="_Toc247527827"/>
      <w:bookmarkStart w:id="82" w:name="_Toc144974856"/>
      <w:bookmarkStart w:id="83" w:name="_Toc300835209"/>
      <w:bookmarkStart w:id="84" w:name="_Toc247514246"/>
      <w:bookmarkStart w:id="85" w:name="_Toc152045787"/>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四、设计费用清单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六、设计方案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lang w:val="en-US" w:eastAsia="zh-CN"/>
        </w:rPr>
      </w:pPr>
      <w:bookmarkStart w:id="86" w:name="_Toc300835210"/>
      <w:bookmarkStart w:id="87" w:name="_Toc144974857"/>
      <w:bookmarkStart w:id="88" w:name="_Toc152045788"/>
      <w:bookmarkStart w:id="89" w:name="_Toc247514247"/>
      <w:bookmarkStart w:id="90" w:name="_Toc152042577"/>
      <w:bookmarkStart w:id="91" w:name="_Toc247527828"/>
      <w:r>
        <w:rPr>
          <w:rFonts w:hint="default" w:ascii="Times New Roman" w:hAnsi="Times New Roman" w:cs="Times New Roman"/>
        </w:rPr>
        <w:t>一、投标函</w:t>
      </w:r>
      <w:bookmarkEnd w:id="86"/>
      <w:bookmarkEnd w:id="87"/>
      <w:bookmarkEnd w:id="88"/>
      <w:bookmarkEnd w:id="89"/>
      <w:bookmarkEnd w:id="90"/>
      <w:bookmarkEnd w:id="91"/>
      <w:r>
        <w:rPr>
          <w:rFonts w:hint="eastAsia" w:ascii="Times New Roman" w:hAnsi="Times New Roman" w:cs="Times New Roman"/>
          <w:lang w:val="en-US" w:eastAsia="zh-CN"/>
        </w:rPr>
        <w:t>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设计招标项目招标文件的全部内容，愿意以人民币（大写）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），设计服务期限：</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日历天，按合同约定完成设计工作。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（1）投标函及投标函附录；（2）法定代表人身份证明或授权委托书；（3）投标保证金；（4）设计费用清单；（5）资格审查资料；（6）设计方案；（7）其他资料；.......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3702"/>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3702"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设计服务期限</w:t>
            </w:r>
          </w:p>
        </w:tc>
        <w:tc>
          <w:tcPr>
            <w:tcW w:w="3702"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投标有效期</w:t>
            </w:r>
          </w:p>
        </w:tc>
        <w:tc>
          <w:tcPr>
            <w:tcW w:w="3702"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自投标截止之日起</w:t>
            </w:r>
            <w:r>
              <w:rPr>
                <w:rFonts w:hint="eastAsia" w:ascii="Times New Roman" w:hAnsi="Times New Roman" w:cs="Times New Roman"/>
                <w:sz w:val="20"/>
                <w:szCs w:val="20"/>
                <w:u w:val="single"/>
                <w:vertAlign w:val="baseline"/>
                <w:lang w:val="en-US" w:eastAsia="zh-CN"/>
              </w:rPr>
              <w:t>90</w:t>
            </w:r>
            <w:r>
              <w:rPr>
                <w:rFonts w:hint="eastAsia" w:ascii="Times New Roman" w:hAnsi="Times New Roman" w:cs="Times New Roman"/>
                <w:sz w:val="20"/>
                <w:szCs w:val="20"/>
                <w:vertAlign w:val="baseline"/>
                <w:lang w:val="en-US" w:eastAsia="zh-CN"/>
              </w:rPr>
              <w:t>天</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92" w:name="_Toc144974860"/>
      <w:bookmarkStart w:id="93" w:name="_Toc152042580"/>
      <w:bookmarkStart w:id="94" w:name="_Toc247514283"/>
      <w:bookmarkStart w:id="95" w:name="_Toc300835213"/>
      <w:bookmarkStart w:id="96" w:name="_Toc152045791"/>
      <w:bookmarkStart w:id="97" w:name="_Toc24752783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8" w:name="_Toc152042581"/>
      <w:bookmarkStart w:id="99" w:name="_Toc300835214"/>
      <w:bookmarkStart w:id="100" w:name="_Toc247527832"/>
      <w:bookmarkStart w:id="101" w:name="_Toc144974861"/>
      <w:bookmarkStart w:id="102" w:name="_Toc152045792"/>
      <w:bookmarkStart w:id="103" w:name="_Toc247514284"/>
      <w:r>
        <w:rPr>
          <w:rFonts w:hint="default" w:ascii="Times New Roman" w:hAnsi="Times New Roman" w:cs="Times New Roman"/>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104" w:name="_Toc152045794"/>
      <w:bookmarkStart w:id="105" w:name="_Toc144974862"/>
      <w:bookmarkStart w:id="106" w:name="_Toc247527834"/>
      <w:bookmarkStart w:id="107" w:name="_Toc300835216"/>
      <w:bookmarkStart w:id="108" w:name="_Toc247514286"/>
      <w:bookmarkStart w:id="109"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overflowPunct/>
        <w:topLinePunct w:val="0"/>
        <w:autoSpaceDE/>
        <w:autoSpaceDN/>
        <w:bidi w:val="0"/>
        <w:adjustRightInd/>
        <w:spacing w:line="440" w:lineRule="exact"/>
        <w:ind w:firstLine="482" w:firstLineChars="200"/>
        <w:textAlignment w:val="auto"/>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10"/>
    <w:p>
      <w:pPr>
        <w:rPr>
          <w:rFonts w:hint="default" w:ascii="Times New Roman" w:hAnsi="Times New Roman" w:cs="Times New Roman"/>
        </w:rPr>
      </w:pPr>
      <w:bookmarkStart w:id="111" w:name="_Toc152042584"/>
      <w:bookmarkStart w:id="112" w:name="_Toc152045795"/>
      <w:bookmarkStart w:id="113" w:name="_Toc300835218"/>
      <w:bookmarkStart w:id="114" w:name="_Toc144974863"/>
      <w:bookmarkStart w:id="115" w:name="_Toc247514287"/>
      <w:bookmarkStart w:id="116" w:name="_Toc247527835"/>
      <w:r>
        <w:rPr>
          <w:rFonts w:hint="default" w:ascii="Times New Roman" w:hAnsi="Times New Roman" w:cs="Times New Roman"/>
        </w:rPr>
        <w:br w:type="page"/>
      </w:r>
    </w:p>
    <w:p>
      <w:pPr>
        <w:pStyle w:val="3"/>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111"/>
      <w:bookmarkEnd w:id="112"/>
      <w:bookmarkEnd w:id="113"/>
      <w:bookmarkEnd w:id="114"/>
      <w:bookmarkEnd w:id="115"/>
      <w:bookmarkEnd w:id="116"/>
      <w:r>
        <w:rPr>
          <w:rFonts w:hint="eastAsia" w:ascii="Times New Roman" w:hAnsi="Times New Roman" w:cs="Times New Roman"/>
          <w:highlight w:val="none"/>
          <w:lang w:val="en-US" w:eastAsia="zh-CN"/>
        </w:rPr>
        <w:t>设计费用清单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117" w:name="_Toc300835221"/>
            <w:bookmarkStart w:id="118" w:name="_Toc152045796"/>
            <w:bookmarkStart w:id="119" w:name="_Toc144974864"/>
            <w:bookmarkStart w:id="120" w:name="_Toc247527836"/>
            <w:bookmarkStart w:id="121" w:name="_Toc247514288"/>
            <w:bookmarkStart w:id="122" w:name="_Toc152042585"/>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注：投标人可根据行业具体情况对本表格式进行调整。</w:t>
      </w:r>
    </w:p>
    <w:p>
      <w:pPr>
        <w:rPr>
          <w:rFonts w:hint="default" w:ascii="Times New Roman" w:hAnsi="Times New Roman" w:cs="Times New Roman"/>
        </w:rPr>
      </w:pPr>
      <w:r>
        <w:rPr>
          <w:rFonts w:hint="default" w:ascii="Times New Roman" w:hAnsi="Times New Roman" w:cs="Times New Roman"/>
        </w:rPr>
        <w:br w:type="page"/>
      </w:r>
    </w:p>
    <w:bookmarkEnd w:id="117"/>
    <w:bookmarkEnd w:id="118"/>
    <w:bookmarkEnd w:id="119"/>
    <w:bookmarkEnd w:id="120"/>
    <w:bookmarkEnd w:id="121"/>
    <w:bookmarkEnd w:id="122"/>
    <w:p>
      <w:pPr>
        <w:pStyle w:val="3"/>
        <w:jc w:val="center"/>
        <w:rPr>
          <w:rFonts w:hint="eastAsia"/>
          <w:highlight w:val="none"/>
        </w:rPr>
      </w:pPr>
      <w:bookmarkStart w:id="123" w:name="_Toc152042597"/>
      <w:bookmarkStart w:id="124" w:name="_Toc152045803"/>
      <w:bookmarkStart w:id="125" w:name="_Toc247527848"/>
      <w:bookmarkStart w:id="126" w:name="_Toc246997112"/>
      <w:bookmarkStart w:id="127" w:name="_Toc296602614"/>
      <w:bookmarkStart w:id="128" w:name="_Toc152042592"/>
      <w:bookmarkStart w:id="129" w:name="_Toc144974871"/>
      <w:bookmarkStart w:id="130" w:name="_Toc152045808"/>
      <w:bookmarkStart w:id="131" w:name="_Toc300835224"/>
      <w:bookmarkStart w:id="132" w:name="_Toc179632823"/>
      <w:bookmarkStart w:id="133" w:name="_Toc247085887"/>
      <w:bookmarkStart w:id="134" w:name="_Toc246996369"/>
      <w:bookmarkStart w:id="135" w:name="_Toc247514300"/>
      <w:bookmarkStart w:id="136" w:name="_Toc144974876"/>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“投标人基本情况表”应附投标人营业执照和组织机构代码证的复印件（按照“三证合一”或“五证合一”登记制度进行登记的，可仅提供营业执照复印件）、投标人设计资质证书副本（如有）等材料的复印件。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设计服务期限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设计内容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正在设计和新承接的</w:t>
      </w:r>
      <w:r>
        <w:rPr>
          <w:rFonts w:hint="default" w:ascii="Times New Roman" w:hAnsi="Times New Roman" w:cs="Times New Roman"/>
        </w:rPr>
        <w:t>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设计服务期限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设计内容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附：3.5.4 “正在设计和新承接的项目情况表”应附中标通知书或合同协议书复印件；每张表格只填写一个项目，并标明序号。</w:t>
      </w:r>
    </w:p>
    <w:p>
      <w:pPr>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）近年发生的诉讼及仲裁情况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highlight w:val="none"/>
        </w:rPr>
      </w:pPr>
      <w:r>
        <w:rPr>
          <w:rFonts w:hint="eastAsia" w:ascii="Times New Roman" w:hAnsi="Times New Roman"/>
          <w:highlight w:val="none"/>
          <w:lang w:val="en-US" w:eastAsia="zh-CN"/>
        </w:rPr>
        <w:t>附：3.5.5 “近年</w:t>
      </w:r>
      <w:r>
        <w:rPr>
          <w:rFonts w:hint="eastAsia" w:ascii="Times New Roman" w:hAnsi="Times New Roman" w:cs="Times New Roman"/>
          <w:highlight w:val="none"/>
          <w:lang w:val="en-US" w:eastAsia="zh-CN"/>
        </w:rPr>
        <w:t>发生</w:t>
      </w:r>
      <w:r>
        <w:rPr>
          <w:rFonts w:hint="eastAsia" w:ascii="Times New Roman" w:hAnsi="Times New Roman"/>
          <w:highlight w:val="none"/>
          <w:lang w:val="en-US" w:eastAsia="zh-CN"/>
        </w:rPr>
        <w:t>的诉讼及仲裁情况”应说明投标人败诉的设计合同的相关情况，并附法院或仲裁机构作出的判决、裁决等有关法律文书复印件，具体时间要求见投标人须知前附表。</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（六）拟委任的主要人员汇总表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highlight w:val="none"/>
          <w:lang w:val="en-US" w:eastAsia="zh-CN"/>
        </w:rPr>
      </w:pPr>
      <w:r>
        <w:rPr>
          <w:rFonts w:hint="eastAsia" w:ascii="Times New Roman" w:hAnsi="Times New Roman"/>
          <w:highlight w:val="none"/>
          <w:lang w:val="en-US" w:eastAsia="zh-CN"/>
        </w:rPr>
        <w:t>附：3.5.6 “拟委任的主要人员汇总表”应填报满足第二章投标人须知第1.4.1项规定的项目负责人和其他主要人员的相关信息。</w:t>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（七）主要人员简历表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从事设计工作年限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“主要人员简历表”中项目负责人应附身份证、学历证、职称证、执业资格证书和</w:t>
      </w:r>
      <w:r>
        <w:rPr>
          <w:rFonts w:hint="eastAsia" w:ascii="Times New Roman" w:hAnsi="Times New Roman" w:eastAsia="宋体" w:cs="Times New Roman"/>
          <w:i w:val="0"/>
          <w:iCs w:val="0"/>
          <w:color w:val="FF0000"/>
          <w:highlight w:val="none"/>
          <w:u w:val="single"/>
          <w:lang w:val="en-US" w:eastAsia="zh-CN"/>
        </w:rPr>
        <w:t>2020年6月以来任意连续3个月</w:t>
      </w:r>
      <w:r>
        <w:rPr>
          <w:rFonts w:hint="eastAsia" w:ascii="Times New Roman" w:hAnsi="Times New Roman" w:eastAsia="宋体" w:cs="Times New Roman"/>
          <w:i w:val="0"/>
          <w:iCs w:val="0"/>
          <w:color w:val="auto"/>
          <w:u w:val="none"/>
          <w:lang w:val="en-US" w:eastAsia="zh-CN"/>
        </w:rPr>
        <w:t>的社保缴费证明复印件，管理过的项目业绩须附合同协议书复印件；其他主要人员应附身份证、学历证、职称证、有关证书和</w:t>
      </w:r>
      <w:r>
        <w:rPr>
          <w:rFonts w:hint="eastAsia" w:ascii="Times New Roman" w:hAnsi="Times New Roman" w:eastAsia="宋体" w:cs="Times New Roman"/>
          <w:i w:val="0"/>
          <w:iCs w:val="0"/>
          <w:color w:val="FF0000"/>
          <w:highlight w:val="none"/>
          <w:u w:val="single"/>
          <w:lang w:val="en-US" w:eastAsia="zh-CN"/>
        </w:rPr>
        <w:t>2020年6月以来任意连续3个月</w:t>
      </w:r>
      <w:r>
        <w:rPr>
          <w:rFonts w:hint="eastAsia" w:ascii="Times New Roman" w:hAnsi="Times New Roman" w:eastAsia="宋体" w:cs="Times New Roman"/>
          <w:i w:val="0"/>
          <w:iCs w:val="0"/>
          <w:color w:val="auto"/>
          <w:u w:val="none"/>
          <w:lang w:val="en-US" w:eastAsia="zh-CN"/>
        </w:rPr>
        <w:t>社保缴费证明复印件。</w:t>
      </w:r>
    </w:p>
    <w:p>
      <w:pPr>
        <w:rPr>
          <w:rFonts w:hint="eastAsia"/>
          <w:i/>
          <w:iCs/>
          <w:color w:val="FF0000"/>
          <w:u w:val="single"/>
          <w:lang w:val="en-US" w:eastAsia="zh-CN"/>
        </w:rPr>
      </w:pPr>
      <w:r>
        <w:rPr>
          <w:rFonts w:hint="eastAsia"/>
          <w:i/>
          <w:iCs/>
          <w:color w:val="FF0000"/>
          <w:u w:val="single"/>
          <w:lang w:val="en-US" w:eastAsia="zh-CN"/>
        </w:rPr>
        <w:br w:type="page"/>
      </w:r>
    </w:p>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设计方案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rPr>
      </w:pPr>
      <w:r>
        <w:rPr>
          <w:rFonts w:hint="eastAsia" w:ascii="Times New Roman" w:hAnsi="Times New Roman" w:cs="Times New Roman"/>
          <w:highlight w:val="none"/>
          <w:lang w:val="en-US" w:eastAsia="zh-CN"/>
        </w:rPr>
        <w:t>注：投标人可根据行业具体情况自拟格式。</w:t>
      </w:r>
      <w:r>
        <w:rPr>
          <w:rFonts w:hint="default" w:ascii="Times New Roman" w:hAnsi="Times New Roman" w:cs="Times New Roman"/>
        </w:rPr>
        <w:br w:type="page"/>
      </w:r>
    </w:p>
    <w:p>
      <w:pPr>
        <w:pStyle w:val="3"/>
        <w:jc w:val="center"/>
        <w:rPr>
          <w:rFonts w:hint="default" w:ascii="Times New Roman" w:hAnsi="Times New Roman" w:cs="Times New Roman"/>
        </w:rPr>
      </w:pPr>
      <w:bookmarkStart w:id="137" w:name="_Toc300835233"/>
      <w:bookmarkStart w:id="138"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137"/>
      <w:bookmarkEnd w:id="138"/>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40224D"/>
    <w:rsid w:val="005B3F61"/>
    <w:rsid w:val="00733B0B"/>
    <w:rsid w:val="00746178"/>
    <w:rsid w:val="00764376"/>
    <w:rsid w:val="00796B76"/>
    <w:rsid w:val="00850CC0"/>
    <w:rsid w:val="008A465F"/>
    <w:rsid w:val="00B00F2F"/>
    <w:rsid w:val="00B07197"/>
    <w:rsid w:val="00B7173A"/>
    <w:rsid w:val="00C81162"/>
    <w:rsid w:val="00FA7E7A"/>
    <w:rsid w:val="00FC5EA1"/>
    <w:rsid w:val="00FF308E"/>
    <w:rsid w:val="011E6004"/>
    <w:rsid w:val="01265F82"/>
    <w:rsid w:val="0145105E"/>
    <w:rsid w:val="01477ECF"/>
    <w:rsid w:val="015366DE"/>
    <w:rsid w:val="01776822"/>
    <w:rsid w:val="017D6531"/>
    <w:rsid w:val="01891D75"/>
    <w:rsid w:val="019846E3"/>
    <w:rsid w:val="019A0D37"/>
    <w:rsid w:val="01A96F88"/>
    <w:rsid w:val="01AC09B9"/>
    <w:rsid w:val="01B734D5"/>
    <w:rsid w:val="01BC6192"/>
    <w:rsid w:val="01CB0CDF"/>
    <w:rsid w:val="01CD2334"/>
    <w:rsid w:val="01E140D3"/>
    <w:rsid w:val="01F16263"/>
    <w:rsid w:val="01FB5FA7"/>
    <w:rsid w:val="01FC6C8A"/>
    <w:rsid w:val="02016132"/>
    <w:rsid w:val="021323E7"/>
    <w:rsid w:val="021D348F"/>
    <w:rsid w:val="02562B11"/>
    <w:rsid w:val="026E5FAB"/>
    <w:rsid w:val="028E0BA6"/>
    <w:rsid w:val="02921EEB"/>
    <w:rsid w:val="02983D41"/>
    <w:rsid w:val="029B73B6"/>
    <w:rsid w:val="02A31129"/>
    <w:rsid w:val="02A46690"/>
    <w:rsid w:val="02AC508C"/>
    <w:rsid w:val="02BE075F"/>
    <w:rsid w:val="02C62A0C"/>
    <w:rsid w:val="02D15F15"/>
    <w:rsid w:val="02E85A11"/>
    <w:rsid w:val="02F4317E"/>
    <w:rsid w:val="03067649"/>
    <w:rsid w:val="0324584F"/>
    <w:rsid w:val="032652C7"/>
    <w:rsid w:val="0327280A"/>
    <w:rsid w:val="033964DC"/>
    <w:rsid w:val="0344745D"/>
    <w:rsid w:val="035021B2"/>
    <w:rsid w:val="035103B6"/>
    <w:rsid w:val="03696450"/>
    <w:rsid w:val="038E65F9"/>
    <w:rsid w:val="03B16CFB"/>
    <w:rsid w:val="03BD28F2"/>
    <w:rsid w:val="03C10800"/>
    <w:rsid w:val="03C96DCC"/>
    <w:rsid w:val="03D76A54"/>
    <w:rsid w:val="03F661CB"/>
    <w:rsid w:val="03FB71CD"/>
    <w:rsid w:val="04127BBC"/>
    <w:rsid w:val="0414641F"/>
    <w:rsid w:val="041515CF"/>
    <w:rsid w:val="04210376"/>
    <w:rsid w:val="04212D24"/>
    <w:rsid w:val="042C575E"/>
    <w:rsid w:val="043175D2"/>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1B12F6"/>
    <w:rsid w:val="054D04ED"/>
    <w:rsid w:val="055625ED"/>
    <w:rsid w:val="056553DC"/>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624967"/>
    <w:rsid w:val="06626753"/>
    <w:rsid w:val="066620F9"/>
    <w:rsid w:val="06714440"/>
    <w:rsid w:val="067240CC"/>
    <w:rsid w:val="0675297E"/>
    <w:rsid w:val="0678324B"/>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11E6E"/>
    <w:rsid w:val="07666E00"/>
    <w:rsid w:val="07723470"/>
    <w:rsid w:val="07803B85"/>
    <w:rsid w:val="078A5688"/>
    <w:rsid w:val="07962EAB"/>
    <w:rsid w:val="07972327"/>
    <w:rsid w:val="07A526A3"/>
    <w:rsid w:val="07A85930"/>
    <w:rsid w:val="07EE56D8"/>
    <w:rsid w:val="08135436"/>
    <w:rsid w:val="08135F8A"/>
    <w:rsid w:val="081A64E8"/>
    <w:rsid w:val="081A78AB"/>
    <w:rsid w:val="083726B7"/>
    <w:rsid w:val="0838660F"/>
    <w:rsid w:val="0844736D"/>
    <w:rsid w:val="08554A0D"/>
    <w:rsid w:val="08563EE1"/>
    <w:rsid w:val="08633C94"/>
    <w:rsid w:val="086D3DA1"/>
    <w:rsid w:val="08774BE1"/>
    <w:rsid w:val="087C0267"/>
    <w:rsid w:val="088F5820"/>
    <w:rsid w:val="08903F11"/>
    <w:rsid w:val="08932D8F"/>
    <w:rsid w:val="08B42C1D"/>
    <w:rsid w:val="08BF001C"/>
    <w:rsid w:val="08ED571D"/>
    <w:rsid w:val="08F30303"/>
    <w:rsid w:val="090347F9"/>
    <w:rsid w:val="09094C02"/>
    <w:rsid w:val="090B4E95"/>
    <w:rsid w:val="09176975"/>
    <w:rsid w:val="0922447E"/>
    <w:rsid w:val="09285EF9"/>
    <w:rsid w:val="092D0C4C"/>
    <w:rsid w:val="09402156"/>
    <w:rsid w:val="094319EC"/>
    <w:rsid w:val="09553317"/>
    <w:rsid w:val="095B2DC5"/>
    <w:rsid w:val="096213E6"/>
    <w:rsid w:val="09633229"/>
    <w:rsid w:val="09641BD1"/>
    <w:rsid w:val="096637B6"/>
    <w:rsid w:val="0967298A"/>
    <w:rsid w:val="09817F0F"/>
    <w:rsid w:val="099B4112"/>
    <w:rsid w:val="09A4167C"/>
    <w:rsid w:val="09A71C3D"/>
    <w:rsid w:val="09AF2C22"/>
    <w:rsid w:val="09B32D8C"/>
    <w:rsid w:val="09B9167B"/>
    <w:rsid w:val="09C37FE6"/>
    <w:rsid w:val="09CB20E0"/>
    <w:rsid w:val="09D236A1"/>
    <w:rsid w:val="09DB25D9"/>
    <w:rsid w:val="09DF226A"/>
    <w:rsid w:val="09EC69D2"/>
    <w:rsid w:val="09F24E69"/>
    <w:rsid w:val="09F55A47"/>
    <w:rsid w:val="09F80B72"/>
    <w:rsid w:val="0A074254"/>
    <w:rsid w:val="0A0D1983"/>
    <w:rsid w:val="0A3B332D"/>
    <w:rsid w:val="0A3F6135"/>
    <w:rsid w:val="0A4A4D09"/>
    <w:rsid w:val="0A4D21A5"/>
    <w:rsid w:val="0A500304"/>
    <w:rsid w:val="0A5234C1"/>
    <w:rsid w:val="0A544005"/>
    <w:rsid w:val="0A605FF5"/>
    <w:rsid w:val="0A704DEE"/>
    <w:rsid w:val="0A8B5261"/>
    <w:rsid w:val="0A8E5075"/>
    <w:rsid w:val="0A9001DC"/>
    <w:rsid w:val="0A99152D"/>
    <w:rsid w:val="0AA913FB"/>
    <w:rsid w:val="0AAE6B76"/>
    <w:rsid w:val="0AB37F43"/>
    <w:rsid w:val="0AB930A2"/>
    <w:rsid w:val="0ADD0DF0"/>
    <w:rsid w:val="0AE12CD3"/>
    <w:rsid w:val="0AE617F3"/>
    <w:rsid w:val="0AEB40E8"/>
    <w:rsid w:val="0B2810DB"/>
    <w:rsid w:val="0B2E135C"/>
    <w:rsid w:val="0B416906"/>
    <w:rsid w:val="0B44058A"/>
    <w:rsid w:val="0B5D1C2A"/>
    <w:rsid w:val="0B683A4F"/>
    <w:rsid w:val="0B685C3C"/>
    <w:rsid w:val="0B7202E7"/>
    <w:rsid w:val="0B725051"/>
    <w:rsid w:val="0B8C63AF"/>
    <w:rsid w:val="0B991D46"/>
    <w:rsid w:val="0B9E2A8E"/>
    <w:rsid w:val="0B9F686D"/>
    <w:rsid w:val="0BB82A2B"/>
    <w:rsid w:val="0BC817F0"/>
    <w:rsid w:val="0C110CA2"/>
    <w:rsid w:val="0C175AC8"/>
    <w:rsid w:val="0C364F9E"/>
    <w:rsid w:val="0C773477"/>
    <w:rsid w:val="0C905D65"/>
    <w:rsid w:val="0C9F113B"/>
    <w:rsid w:val="0CAF0053"/>
    <w:rsid w:val="0CD3448B"/>
    <w:rsid w:val="0CD42B77"/>
    <w:rsid w:val="0CF072F3"/>
    <w:rsid w:val="0D0C3D32"/>
    <w:rsid w:val="0D2466BD"/>
    <w:rsid w:val="0D3575AB"/>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B8057F"/>
    <w:rsid w:val="0DC57869"/>
    <w:rsid w:val="0DD331D8"/>
    <w:rsid w:val="0DDB677F"/>
    <w:rsid w:val="0DE90B73"/>
    <w:rsid w:val="0E05197A"/>
    <w:rsid w:val="0E093A81"/>
    <w:rsid w:val="0E1201C4"/>
    <w:rsid w:val="0E3C08A3"/>
    <w:rsid w:val="0E493D37"/>
    <w:rsid w:val="0E525503"/>
    <w:rsid w:val="0E5C46C9"/>
    <w:rsid w:val="0E5E6C82"/>
    <w:rsid w:val="0E626142"/>
    <w:rsid w:val="0E6D2ED0"/>
    <w:rsid w:val="0E6D3EE4"/>
    <w:rsid w:val="0E73304D"/>
    <w:rsid w:val="0E766E25"/>
    <w:rsid w:val="0E8168AC"/>
    <w:rsid w:val="0E92031F"/>
    <w:rsid w:val="0E9601D9"/>
    <w:rsid w:val="0EB07759"/>
    <w:rsid w:val="0EBD5C4C"/>
    <w:rsid w:val="0EDF4D5E"/>
    <w:rsid w:val="0EF860F0"/>
    <w:rsid w:val="0F00127D"/>
    <w:rsid w:val="0F024085"/>
    <w:rsid w:val="0F1438EF"/>
    <w:rsid w:val="0F463825"/>
    <w:rsid w:val="0F4B0F6A"/>
    <w:rsid w:val="0F575798"/>
    <w:rsid w:val="0F5F0514"/>
    <w:rsid w:val="0F5F5CB1"/>
    <w:rsid w:val="0F670A63"/>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20BE"/>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CF5152"/>
    <w:rsid w:val="10D35E97"/>
    <w:rsid w:val="10F47DFE"/>
    <w:rsid w:val="11114551"/>
    <w:rsid w:val="112269D1"/>
    <w:rsid w:val="11356135"/>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42782"/>
    <w:rsid w:val="11EA25BA"/>
    <w:rsid w:val="11FC3F3B"/>
    <w:rsid w:val="11FD41F5"/>
    <w:rsid w:val="11FE456B"/>
    <w:rsid w:val="120A72E0"/>
    <w:rsid w:val="123F1A00"/>
    <w:rsid w:val="124D3BAD"/>
    <w:rsid w:val="12535B93"/>
    <w:rsid w:val="125A52C4"/>
    <w:rsid w:val="12655D96"/>
    <w:rsid w:val="126E70A7"/>
    <w:rsid w:val="128E3C38"/>
    <w:rsid w:val="12981122"/>
    <w:rsid w:val="129E250A"/>
    <w:rsid w:val="12BF2922"/>
    <w:rsid w:val="12C942C8"/>
    <w:rsid w:val="12DC5F5E"/>
    <w:rsid w:val="12DC7F8C"/>
    <w:rsid w:val="12E2251E"/>
    <w:rsid w:val="12E82A0B"/>
    <w:rsid w:val="13027FAE"/>
    <w:rsid w:val="131873D2"/>
    <w:rsid w:val="131C5459"/>
    <w:rsid w:val="13212B64"/>
    <w:rsid w:val="13253C3A"/>
    <w:rsid w:val="13274F9C"/>
    <w:rsid w:val="13417410"/>
    <w:rsid w:val="134A448A"/>
    <w:rsid w:val="134C5D75"/>
    <w:rsid w:val="134F4267"/>
    <w:rsid w:val="134F7EA7"/>
    <w:rsid w:val="135107A8"/>
    <w:rsid w:val="13593CA5"/>
    <w:rsid w:val="135A2C11"/>
    <w:rsid w:val="136066CF"/>
    <w:rsid w:val="13657E31"/>
    <w:rsid w:val="136C3340"/>
    <w:rsid w:val="1387094F"/>
    <w:rsid w:val="138D74CD"/>
    <w:rsid w:val="139C08EB"/>
    <w:rsid w:val="13A41DAE"/>
    <w:rsid w:val="13AF7657"/>
    <w:rsid w:val="13C25262"/>
    <w:rsid w:val="13D0213F"/>
    <w:rsid w:val="13D35238"/>
    <w:rsid w:val="13D81B1F"/>
    <w:rsid w:val="13ED6E9B"/>
    <w:rsid w:val="14061B66"/>
    <w:rsid w:val="142B5FE2"/>
    <w:rsid w:val="142C3159"/>
    <w:rsid w:val="14334C51"/>
    <w:rsid w:val="14542872"/>
    <w:rsid w:val="147E2423"/>
    <w:rsid w:val="1487273A"/>
    <w:rsid w:val="148C28CB"/>
    <w:rsid w:val="14944440"/>
    <w:rsid w:val="14A059A0"/>
    <w:rsid w:val="14B87DF7"/>
    <w:rsid w:val="14B97B05"/>
    <w:rsid w:val="14CD31B9"/>
    <w:rsid w:val="14D32567"/>
    <w:rsid w:val="14DA6BBE"/>
    <w:rsid w:val="14E67563"/>
    <w:rsid w:val="14EE304A"/>
    <w:rsid w:val="15021B62"/>
    <w:rsid w:val="150A21BA"/>
    <w:rsid w:val="151779D1"/>
    <w:rsid w:val="151B2EFC"/>
    <w:rsid w:val="1522437E"/>
    <w:rsid w:val="15283931"/>
    <w:rsid w:val="153608A7"/>
    <w:rsid w:val="15382F40"/>
    <w:rsid w:val="154F1076"/>
    <w:rsid w:val="15631036"/>
    <w:rsid w:val="158374C1"/>
    <w:rsid w:val="15883F0F"/>
    <w:rsid w:val="15A62ECC"/>
    <w:rsid w:val="15B14179"/>
    <w:rsid w:val="15BB515A"/>
    <w:rsid w:val="15C516BD"/>
    <w:rsid w:val="15E14ACE"/>
    <w:rsid w:val="15E30544"/>
    <w:rsid w:val="15EA1C06"/>
    <w:rsid w:val="163972DF"/>
    <w:rsid w:val="166266B1"/>
    <w:rsid w:val="16636D0F"/>
    <w:rsid w:val="166A29CC"/>
    <w:rsid w:val="16822D4F"/>
    <w:rsid w:val="168E157D"/>
    <w:rsid w:val="16AE5D39"/>
    <w:rsid w:val="16C724D4"/>
    <w:rsid w:val="16D411E7"/>
    <w:rsid w:val="170756D4"/>
    <w:rsid w:val="170F4587"/>
    <w:rsid w:val="171C6910"/>
    <w:rsid w:val="17286409"/>
    <w:rsid w:val="172C7D14"/>
    <w:rsid w:val="17452741"/>
    <w:rsid w:val="176115DC"/>
    <w:rsid w:val="176D7525"/>
    <w:rsid w:val="17824660"/>
    <w:rsid w:val="178948A0"/>
    <w:rsid w:val="178D4F75"/>
    <w:rsid w:val="178F2FF8"/>
    <w:rsid w:val="179121FE"/>
    <w:rsid w:val="17915931"/>
    <w:rsid w:val="17A95D2F"/>
    <w:rsid w:val="17AE37BE"/>
    <w:rsid w:val="17BB073A"/>
    <w:rsid w:val="17C24576"/>
    <w:rsid w:val="17C41ABF"/>
    <w:rsid w:val="18175D56"/>
    <w:rsid w:val="181C44F7"/>
    <w:rsid w:val="18276B10"/>
    <w:rsid w:val="18341AA2"/>
    <w:rsid w:val="18396FF2"/>
    <w:rsid w:val="183C0E63"/>
    <w:rsid w:val="1866537E"/>
    <w:rsid w:val="187964F0"/>
    <w:rsid w:val="189B5F22"/>
    <w:rsid w:val="18A70256"/>
    <w:rsid w:val="18A944F8"/>
    <w:rsid w:val="18B117A1"/>
    <w:rsid w:val="18B30663"/>
    <w:rsid w:val="18B73074"/>
    <w:rsid w:val="18CA061B"/>
    <w:rsid w:val="18DA76F1"/>
    <w:rsid w:val="18E54122"/>
    <w:rsid w:val="19034C2D"/>
    <w:rsid w:val="1916127C"/>
    <w:rsid w:val="193D465D"/>
    <w:rsid w:val="193D4E12"/>
    <w:rsid w:val="195419D3"/>
    <w:rsid w:val="19605E78"/>
    <w:rsid w:val="196C4606"/>
    <w:rsid w:val="196C6238"/>
    <w:rsid w:val="19746D28"/>
    <w:rsid w:val="197C46C1"/>
    <w:rsid w:val="198A59D6"/>
    <w:rsid w:val="19A73D74"/>
    <w:rsid w:val="19AA5416"/>
    <w:rsid w:val="19B10C29"/>
    <w:rsid w:val="19B47ADC"/>
    <w:rsid w:val="19CE7FF6"/>
    <w:rsid w:val="19D03EAF"/>
    <w:rsid w:val="19D70C6D"/>
    <w:rsid w:val="19E2271F"/>
    <w:rsid w:val="19ED4AB6"/>
    <w:rsid w:val="19F3086D"/>
    <w:rsid w:val="19FF6399"/>
    <w:rsid w:val="1A075570"/>
    <w:rsid w:val="1A0873EE"/>
    <w:rsid w:val="1A1C623A"/>
    <w:rsid w:val="1A222A0A"/>
    <w:rsid w:val="1A270D5F"/>
    <w:rsid w:val="1A2820C6"/>
    <w:rsid w:val="1A341AC0"/>
    <w:rsid w:val="1A4D4CED"/>
    <w:rsid w:val="1A744BB1"/>
    <w:rsid w:val="1A761035"/>
    <w:rsid w:val="1A797469"/>
    <w:rsid w:val="1A8850B8"/>
    <w:rsid w:val="1AAB4E9C"/>
    <w:rsid w:val="1ADB0B95"/>
    <w:rsid w:val="1AEC3C17"/>
    <w:rsid w:val="1AF80851"/>
    <w:rsid w:val="1AF92C34"/>
    <w:rsid w:val="1B0361BC"/>
    <w:rsid w:val="1B262D26"/>
    <w:rsid w:val="1B2670F4"/>
    <w:rsid w:val="1B2D1E19"/>
    <w:rsid w:val="1B2D7FD6"/>
    <w:rsid w:val="1B374A35"/>
    <w:rsid w:val="1B3A5220"/>
    <w:rsid w:val="1B3B258E"/>
    <w:rsid w:val="1B432501"/>
    <w:rsid w:val="1B652C95"/>
    <w:rsid w:val="1B70155F"/>
    <w:rsid w:val="1B723039"/>
    <w:rsid w:val="1B7700FA"/>
    <w:rsid w:val="1B894EBC"/>
    <w:rsid w:val="1B8C1172"/>
    <w:rsid w:val="1B9269B7"/>
    <w:rsid w:val="1BB12BB2"/>
    <w:rsid w:val="1BCE49E9"/>
    <w:rsid w:val="1BD12722"/>
    <w:rsid w:val="1BD15865"/>
    <w:rsid w:val="1BDF24E0"/>
    <w:rsid w:val="1BE276B7"/>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A83FE4"/>
    <w:rsid w:val="1CB07DF9"/>
    <w:rsid w:val="1CC3681B"/>
    <w:rsid w:val="1CC7761E"/>
    <w:rsid w:val="1CD143D0"/>
    <w:rsid w:val="1CF251D3"/>
    <w:rsid w:val="1CFF3217"/>
    <w:rsid w:val="1D0C3E62"/>
    <w:rsid w:val="1D1D0D81"/>
    <w:rsid w:val="1D271412"/>
    <w:rsid w:val="1D576A44"/>
    <w:rsid w:val="1D5835F0"/>
    <w:rsid w:val="1D5D4990"/>
    <w:rsid w:val="1D6539B3"/>
    <w:rsid w:val="1D8C5045"/>
    <w:rsid w:val="1D9244F8"/>
    <w:rsid w:val="1D931CEA"/>
    <w:rsid w:val="1D9C5084"/>
    <w:rsid w:val="1DA0794B"/>
    <w:rsid w:val="1DB64AE5"/>
    <w:rsid w:val="1DB82722"/>
    <w:rsid w:val="1DC177D9"/>
    <w:rsid w:val="1DD1343B"/>
    <w:rsid w:val="1DD222FF"/>
    <w:rsid w:val="1DD94BEF"/>
    <w:rsid w:val="1DDE608F"/>
    <w:rsid w:val="1E021573"/>
    <w:rsid w:val="1E1A236E"/>
    <w:rsid w:val="1E225BB3"/>
    <w:rsid w:val="1E2A6113"/>
    <w:rsid w:val="1E2D212B"/>
    <w:rsid w:val="1E2E1737"/>
    <w:rsid w:val="1E2E6E13"/>
    <w:rsid w:val="1E32182A"/>
    <w:rsid w:val="1E5A61EE"/>
    <w:rsid w:val="1E713E2F"/>
    <w:rsid w:val="1E882116"/>
    <w:rsid w:val="1E927A94"/>
    <w:rsid w:val="1EA573D8"/>
    <w:rsid w:val="1EB0513B"/>
    <w:rsid w:val="1EB4327E"/>
    <w:rsid w:val="1EB72F76"/>
    <w:rsid w:val="1EBC7943"/>
    <w:rsid w:val="1ED45036"/>
    <w:rsid w:val="1EDC61DD"/>
    <w:rsid w:val="1EE36B2C"/>
    <w:rsid w:val="1EEA786F"/>
    <w:rsid w:val="1EF15394"/>
    <w:rsid w:val="1EF342CB"/>
    <w:rsid w:val="1EF62481"/>
    <w:rsid w:val="1F020A44"/>
    <w:rsid w:val="1F041BC7"/>
    <w:rsid w:val="1F127B09"/>
    <w:rsid w:val="1F2354C8"/>
    <w:rsid w:val="1F36160E"/>
    <w:rsid w:val="1F3920FB"/>
    <w:rsid w:val="1F4544BF"/>
    <w:rsid w:val="1F560579"/>
    <w:rsid w:val="1F5D00BF"/>
    <w:rsid w:val="1F640255"/>
    <w:rsid w:val="1F671677"/>
    <w:rsid w:val="1F722047"/>
    <w:rsid w:val="1F904945"/>
    <w:rsid w:val="1F9E44D6"/>
    <w:rsid w:val="1FA32D78"/>
    <w:rsid w:val="1FAA6A2E"/>
    <w:rsid w:val="1FC11059"/>
    <w:rsid w:val="1FD608B1"/>
    <w:rsid w:val="1FE570E2"/>
    <w:rsid w:val="1FE7673E"/>
    <w:rsid w:val="200218B6"/>
    <w:rsid w:val="200E38F2"/>
    <w:rsid w:val="201E585F"/>
    <w:rsid w:val="20207229"/>
    <w:rsid w:val="20410B17"/>
    <w:rsid w:val="2049266D"/>
    <w:rsid w:val="20534B67"/>
    <w:rsid w:val="2054187A"/>
    <w:rsid w:val="20557DC5"/>
    <w:rsid w:val="205A5C16"/>
    <w:rsid w:val="205B7D6A"/>
    <w:rsid w:val="207C33EE"/>
    <w:rsid w:val="2081342E"/>
    <w:rsid w:val="209740BF"/>
    <w:rsid w:val="2099242E"/>
    <w:rsid w:val="20AA1E5D"/>
    <w:rsid w:val="20AE5E99"/>
    <w:rsid w:val="20B0411F"/>
    <w:rsid w:val="20B25974"/>
    <w:rsid w:val="20D658C9"/>
    <w:rsid w:val="20D95B5B"/>
    <w:rsid w:val="20DC2416"/>
    <w:rsid w:val="20E43C38"/>
    <w:rsid w:val="20EA6CF6"/>
    <w:rsid w:val="20F22231"/>
    <w:rsid w:val="20FF6C87"/>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8830DB"/>
    <w:rsid w:val="2188758A"/>
    <w:rsid w:val="21927CFA"/>
    <w:rsid w:val="21A61686"/>
    <w:rsid w:val="21AE0FC0"/>
    <w:rsid w:val="21BC2CB4"/>
    <w:rsid w:val="21C13A32"/>
    <w:rsid w:val="21D660F7"/>
    <w:rsid w:val="21EE31A8"/>
    <w:rsid w:val="21F3174D"/>
    <w:rsid w:val="220940EA"/>
    <w:rsid w:val="220A4BCF"/>
    <w:rsid w:val="221E15AC"/>
    <w:rsid w:val="22225038"/>
    <w:rsid w:val="22270787"/>
    <w:rsid w:val="223659AD"/>
    <w:rsid w:val="224D73DD"/>
    <w:rsid w:val="224E5BF6"/>
    <w:rsid w:val="22592601"/>
    <w:rsid w:val="225F6B03"/>
    <w:rsid w:val="226D7B83"/>
    <w:rsid w:val="227D333D"/>
    <w:rsid w:val="22805079"/>
    <w:rsid w:val="22830B8E"/>
    <w:rsid w:val="22881D30"/>
    <w:rsid w:val="2290672C"/>
    <w:rsid w:val="2293123C"/>
    <w:rsid w:val="22A570EC"/>
    <w:rsid w:val="22A80FFA"/>
    <w:rsid w:val="22B70712"/>
    <w:rsid w:val="22C10E81"/>
    <w:rsid w:val="22D43243"/>
    <w:rsid w:val="22D704E6"/>
    <w:rsid w:val="22ED5BB2"/>
    <w:rsid w:val="23146AE4"/>
    <w:rsid w:val="232E56FD"/>
    <w:rsid w:val="233F5F96"/>
    <w:rsid w:val="235B2F11"/>
    <w:rsid w:val="235F4D23"/>
    <w:rsid w:val="236D4028"/>
    <w:rsid w:val="237A75E1"/>
    <w:rsid w:val="238A4DFC"/>
    <w:rsid w:val="23B04AEE"/>
    <w:rsid w:val="23B449C4"/>
    <w:rsid w:val="23CA7A4D"/>
    <w:rsid w:val="23DD21F3"/>
    <w:rsid w:val="23DF7B34"/>
    <w:rsid w:val="240C05DA"/>
    <w:rsid w:val="24226CC5"/>
    <w:rsid w:val="24312A4A"/>
    <w:rsid w:val="244A5E9A"/>
    <w:rsid w:val="244C4BB8"/>
    <w:rsid w:val="24691193"/>
    <w:rsid w:val="246C3A46"/>
    <w:rsid w:val="247152E7"/>
    <w:rsid w:val="24881DAE"/>
    <w:rsid w:val="24BC7675"/>
    <w:rsid w:val="24C57933"/>
    <w:rsid w:val="24E04616"/>
    <w:rsid w:val="24FC0DBA"/>
    <w:rsid w:val="24FF7718"/>
    <w:rsid w:val="251A7612"/>
    <w:rsid w:val="25237A22"/>
    <w:rsid w:val="25285AE1"/>
    <w:rsid w:val="252E0774"/>
    <w:rsid w:val="25481BCE"/>
    <w:rsid w:val="254E3439"/>
    <w:rsid w:val="255453E5"/>
    <w:rsid w:val="255D36DD"/>
    <w:rsid w:val="25812F8D"/>
    <w:rsid w:val="25814DB7"/>
    <w:rsid w:val="25824959"/>
    <w:rsid w:val="25987A23"/>
    <w:rsid w:val="259D3936"/>
    <w:rsid w:val="259E2C83"/>
    <w:rsid w:val="25B460CA"/>
    <w:rsid w:val="25BC46FF"/>
    <w:rsid w:val="25C00CC8"/>
    <w:rsid w:val="25C517A2"/>
    <w:rsid w:val="25F5789E"/>
    <w:rsid w:val="25FD6A72"/>
    <w:rsid w:val="2608561B"/>
    <w:rsid w:val="26196938"/>
    <w:rsid w:val="26261861"/>
    <w:rsid w:val="26382AAC"/>
    <w:rsid w:val="26405FF8"/>
    <w:rsid w:val="26410311"/>
    <w:rsid w:val="26506FAD"/>
    <w:rsid w:val="26617429"/>
    <w:rsid w:val="26645CEF"/>
    <w:rsid w:val="26656277"/>
    <w:rsid w:val="26663117"/>
    <w:rsid w:val="2673017F"/>
    <w:rsid w:val="267771CA"/>
    <w:rsid w:val="26807144"/>
    <w:rsid w:val="268A362E"/>
    <w:rsid w:val="269560EE"/>
    <w:rsid w:val="26AF686C"/>
    <w:rsid w:val="26CA60FC"/>
    <w:rsid w:val="26D16018"/>
    <w:rsid w:val="26DB3228"/>
    <w:rsid w:val="26DF6074"/>
    <w:rsid w:val="26E05716"/>
    <w:rsid w:val="26FE679C"/>
    <w:rsid w:val="271E59B6"/>
    <w:rsid w:val="272C11C0"/>
    <w:rsid w:val="27301EDB"/>
    <w:rsid w:val="27453115"/>
    <w:rsid w:val="27547EE4"/>
    <w:rsid w:val="276C029F"/>
    <w:rsid w:val="27867E0A"/>
    <w:rsid w:val="27912807"/>
    <w:rsid w:val="2792515D"/>
    <w:rsid w:val="27982DD4"/>
    <w:rsid w:val="27A1656E"/>
    <w:rsid w:val="27B2212B"/>
    <w:rsid w:val="27CC67E7"/>
    <w:rsid w:val="27DD09CE"/>
    <w:rsid w:val="27E20FE5"/>
    <w:rsid w:val="27EC553C"/>
    <w:rsid w:val="280C4BFC"/>
    <w:rsid w:val="2813394B"/>
    <w:rsid w:val="281C1F63"/>
    <w:rsid w:val="281C54D8"/>
    <w:rsid w:val="283610D5"/>
    <w:rsid w:val="285F5293"/>
    <w:rsid w:val="28622D71"/>
    <w:rsid w:val="286E69FD"/>
    <w:rsid w:val="2874076E"/>
    <w:rsid w:val="289524E1"/>
    <w:rsid w:val="28C56178"/>
    <w:rsid w:val="28D42521"/>
    <w:rsid w:val="28D51A0C"/>
    <w:rsid w:val="28DF0877"/>
    <w:rsid w:val="28E349BC"/>
    <w:rsid w:val="28FA546B"/>
    <w:rsid w:val="28FE025E"/>
    <w:rsid w:val="29245F1A"/>
    <w:rsid w:val="29366359"/>
    <w:rsid w:val="29456427"/>
    <w:rsid w:val="29586D7A"/>
    <w:rsid w:val="29772B51"/>
    <w:rsid w:val="29791894"/>
    <w:rsid w:val="2981202B"/>
    <w:rsid w:val="2984235F"/>
    <w:rsid w:val="29844E30"/>
    <w:rsid w:val="299400E6"/>
    <w:rsid w:val="29967FD2"/>
    <w:rsid w:val="29972080"/>
    <w:rsid w:val="29A055D0"/>
    <w:rsid w:val="29A52D8F"/>
    <w:rsid w:val="29B76175"/>
    <w:rsid w:val="29B9118A"/>
    <w:rsid w:val="29C56C3A"/>
    <w:rsid w:val="29C5793C"/>
    <w:rsid w:val="29D21D69"/>
    <w:rsid w:val="29D85278"/>
    <w:rsid w:val="29E1380C"/>
    <w:rsid w:val="29E16B08"/>
    <w:rsid w:val="29E85046"/>
    <w:rsid w:val="2A017BFD"/>
    <w:rsid w:val="2A0A71F8"/>
    <w:rsid w:val="2A4913A2"/>
    <w:rsid w:val="2A555F6F"/>
    <w:rsid w:val="2A5C5810"/>
    <w:rsid w:val="2A651A82"/>
    <w:rsid w:val="2A6D7B04"/>
    <w:rsid w:val="2A9154D8"/>
    <w:rsid w:val="2AA04C57"/>
    <w:rsid w:val="2AD750C3"/>
    <w:rsid w:val="2AE77D08"/>
    <w:rsid w:val="2AEA3011"/>
    <w:rsid w:val="2AEB73AD"/>
    <w:rsid w:val="2AF315E7"/>
    <w:rsid w:val="2B0014BF"/>
    <w:rsid w:val="2B1C0596"/>
    <w:rsid w:val="2B200903"/>
    <w:rsid w:val="2B252D72"/>
    <w:rsid w:val="2B3E0375"/>
    <w:rsid w:val="2B492499"/>
    <w:rsid w:val="2B652A8D"/>
    <w:rsid w:val="2B6A2F63"/>
    <w:rsid w:val="2B6C55DB"/>
    <w:rsid w:val="2B7F70AE"/>
    <w:rsid w:val="2B885372"/>
    <w:rsid w:val="2B8A2FFD"/>
    <w:rsid w:val="2B8D5640"/>
    <w:rsid w:val="2B8E3DDE"/>
    <w:rsid w:val="2BA46A0B"/>
    <w:rsid w:val="2BBA2DA3"/>
    <w:rsid w:val="2BD90E44"/>
    <w:rsid w:val="2BDE1B83"/>
    <w:rsid w:val="2BF4029C"/>
    <w:rsid w:val="2C1C6937"/>
    <w:rsid w:val="2C202757"/>
    <w:rsid w:val="2C270D43"/>
    <w:rsid w:val="2C562B1A"/>
    <w:rsid w:val="2C6436A6"/>
    <w:rsid w:val="2C7A2A8F"/>
    <w:rsid w:val="2C8D731E"/>
    <w:rsid w:val="2C9023A5"/>
    <w:rsid w:val="2C937549"/>
    <w:rsid w:val="2C9D6A04"/>
    <w:rsid w:val="2CB62598"/>
    <w:rsid w:val="2CBC136A"/>
    <w:rsid w:val="2CC57724"/>
    <w:rsid w:val="2CCD3F07"/>
    <w:rsid w:val="2CFE607B"/>
    <w:rsid w:val="2D095409"/>
    <w:rsid w:val="2D096D16"/>
    <w:rsid w:val="2D185752"/>
    <w:rsid w:val="2D204FAE"/>
    <w:rsid w:val="2D213A27"/>
    <w:rsid w:val="2D3A3199"/>
    <w:rsid w:val="2D3B27F8"/>
    <w:rsid w:val="2D443FDB"/>
    <w:rsid w:val="2D4B38E7"/>
    <w:rsid w:val="2D5470D9"/>
    <w:rsid w:val="2D551303"/>
    <w:rsid w:val="2D6844C6"/>
    <w:rsid w:val="2D772574"/>
    <w:rsid w:val="2D7E63CF"/>
    <w:rsid w:val="2D893900"/>
    <w:rsid w:val="2D8D31B7"/>
    <w:rsid w:val="2D8D5835"/>
    <w:rsid w:val="2DA54623"/>
    <w:rsid w:val="2DAB1C25"/>
    <w:rsid w:val="2DCC12FC"/>
    <w:rsid w:val="2DCD34B4"/>
    <w:rsid w:val="2DD66E3A"/>
    <w:rsid w:val="2DE54D24"/>
    <w:rsid w:val="2DF17D73"/>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F532F9"/>
    <w:rsid w:val="2EF545DC"/>
    <w:rsid w:val="2EFA0191"/>
    <w:rsid w:val="2EFC22DC"/>
    <w:rsid w:val="2F336E4F"/>
    <w:rsid w:val="2F3D3E78"/>
    <w:rsid w:val="2F436846"/>
    <w:rsid w:val="2F4556CE"/>
    <w:rsid w:val="2F5B184C"/>
    <w:rsid w:val="2F6F3C93"/>
    <w:rsid w:val="2F716E21"/>
    <w:rsid w:val="2F754A27"/>
    <w:rsid w:val="2F7A423F"/>
    <w:rsid w:val="2F8349FB"/>
    <w:rsid w:val="2FA32A00"/>
    <w:rsid w:val="2FB1448A"/>
    <w:rsid w:val="2FC802AE"/>
    <w:rsid w:val="2FD03CC2"/>
    <w:rsid w:val="2FD11635"/>
    <w:rsid w:val="2FDC4B15"/>
    <w:rsid w:val="2FDF786F"/>
    <w:rsid w:val="2FFA6D56"/>
    <w:rsid w:val="30027B6C"/>
    <w:rsid w:val="30030176"/>
    <w:rsid w:val="301C41BF"/>
    <w:rsid w:val="303048F7"/>
    <w:rsid w:val="30323D63"/>
    <w:rsid w:val="303474C0"/>
    <w:rsid w:val="30350DA4"/>
    <w:rsid w:val="303C233C"/>
    <w:rsid w:val="30411EAD"/>
    <w:rsid w:val="30536BCF"/>
    <w:rsid w:val="305C41A9"/>
    <w:rsid w:val="30820205"/>
    <w:rsid w:val="308665CC"/>
    <w:rsid w:val="308E41B5"/>
    <w:rsid w:val="30952C59"/>
    <w:rsid w:val="30975EA4"/>
    <w:rsid w:val="30B34C1F"/>
    <w:rsid w:val="30EE0209"/>
    <w:rsid w:val="30FF4D69"/>
    <w:rsid w:val="31031D74"/>
    <w:rsid w:val="3113559B"/>
    <w:rsid w:val="311978DB"/>
    <w:rsid w:val="311C5E6A"/>
    <w:rsid w:val="312421F6"/>
    <w:rsid w:val="3127420C"/>
    <w:rsid w:val="31277147"/>
    <w:rsid w:val="31477BEB"/>
    <w:rsid w:val="315523B1"/>
    <w:rsid w:val="315F79F9"/>
    <w:rsid w:val="316F4055"/>
    <w:rsid w:val="31807ACD"/>
    <w:rsid w:val="318173F5"/>
    <w:rsid w:val="318318AF"/>
    <w:rsid w:val="318E2BCE"/>
    <w:rsid w:val="3192189F"/>
    <w:rsid w:val="3198056E"/>
    <w:rsid w:val="31C83EB4"/>
    <w:rsid w:val="31C97505"/>
    <w:rsid w:val="31CD31BF"/>
    <w:rsid w:val="31DD064B"/>
    <w:rsid w:val="31E10F55"/>
    <w:rsid w:val="31EA5D85"/>
    <w:rsid w:val="31EF3571"/>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8916BE"/>
    <w:rsid w:val="32974C7A"/>
    <w:rsid w:val="32B865E1"/>
    <w:rsid w:val="32BB4ABE"/>
    <w:rsid w:val="32C8549C"/>
    <w:rsid w:val="32CA16D9"/>
    <w:rsid w:val="32D33E51"/>
    <w:rsid w:val="32D34F70"/>
    <w:rsid w:val="32DB36D4"/>
    <w:rsid w:val="32E83928"/>
    <w:rsid w:val="32F45590"/>
    <w:rsid w:val="331337B2"/>
    <w:rsid w:val="33227B1F"/>
    <w:rsid w:val="333C5EC4"/>
    <w:rsid w:val="337120CB"/>
    <w:rsid w:val="33773188"/>
    <w:rsid w:val="337E77C9"/>
    <w:rsid w:val="338B4D67"/>
    <w:rsid w:val="338F53C2"/>
    <w:rsid w:val="33925662"/>
    <w:rsid w:val="339B7AA1"/>
    <w:rsid w:val="339C5609"/>
    <w:rsid w:val="33A51FC1"/>
    <w:rsid w:val="33B72334"/>
    <w:rsid w:val="33B7637D"/>
    <w:rsid w:val="33BD5FB4"/>
    <w:rsid w:val="33C20566"/>
    <w:rsid w:val="33C45055"/>
    <w:rsid w:val="33D4661F"/>
    <w:rsid w:val="33DB2AA4"/>
    <w:rsid w:val="33ED39C2"/>
    <w:rsid w:val="33F16CCB"/>
    <w:rsid w:val="33F2572E"/>
    <w:rsid w:val="340A31F3"/>
    <w:rsid w:val="340F56DE"/>
    <w:rsid w:val="3425597D"/>
    <w:rsid w:val="342802EC"/>
    <w:rsid w:val="342A5DF5"/>
    <w:rsid w:val="344851FD"/>
    <w:rsid w:val="34553518"/>
    <w:rsid w:val="34645BE6"/>
    <w:rsid w:val="34767BE8"/>
    <w:rsid w:val="34900F0B"/>
    <w:rsid w:val="349B5E0E"/>
    <w:rsid w:val="34A176C9"/>
    <w:rsid w:val="34A432B6"/>
    <w:rsid w:val="34AA020B"/>
    <w:rsid w:val="34B057BD"/>
    <w:rsid w:val="34BC17DA"/>
    <w:rsid w:val="34C47973"/>
    <w:rsid w:val="34C860D0"/>
    <w:rsid w:val="34D015E3"/>
    <w:rsid w:val="34DD7A9E"/>
    <w:rsid w:val="34E81276"/>
    <w:rsid w:val="34EB3E0C"/>
    <w:rsid w:val="34EC3ED5"/>
    <w:rsid w:val="34ED3DC3"/>
    <w:rsid w:val="34F85DA8"/>
    <w:rsid w:val="3509398E"/>
    <w:rsid w:val="353178AD"/>
    <w:rsid w:val="353A14F3"/>
    <w:rsid w:val="35447EDF"/>
    <w:rsid w:val="35463030"/>
    <w:rsid w:val="3547266B"/>
    <w:rsid w:val="354B62D7"/>
    <w:rsid w:val="35507AD6"/>
    <w:rsid w:val="3554479E"/>
    <w:rsid w:val="355620A6"/>
    <w:rsid w:val="35562720"/>
    <w:rsid w:val="35715B74"/>
    <w:rsid w:val="357A69BB"/>
    <w:rsid w:val="357D63E5"/>
    <w:rsid w:val="357F00D0"/>
    <w:rsid w:val="35894506"/>
    <w:rsid w:val="358B7232"/>
    <w:rsid w:val="35A377DB"/>
    <w:rsid w:val="35C44A8D"/>
    <w:rsid w:val="35E7387F"/>
    <w:rsid w:val="35E81F7A"/>
    <w:rsid w:val="35F52BF3"/>
    <w:rsid w:val="36041802"/>
    <w:rsid w:val="360530D8"/>
    <w:rsid w:val="3605698A"/>
    <w:rsid w:val="36162F1C"/>
    <w:rsid w:val="363277D2"/>
    <w:rsid w:val="36361B1F"/>
    <w:rsid w:val="3654712C"/>
    <w:rsid w:val="366244D5"/>
    <w:rsid w:val="367C249E"/>
    <w:rsid w:val="368F357B"/>
    <w:rsid w:val="36A82C1D"/>
    <w:rsid w:val="36B34449"/>
    <w:rsid w:val="36B91ADD"/>
    <w:rsid w:val="36C342D9"/>
    <w:rsid w:val="36C3654A"/>
    <w:rsid w:val="36E54DB4"/>
    <w:rsid w:val="36E611B4"/>
    <w:rsid w:val="36EE39A2"/>
    <w:rsid w:val="36F40A0E"/>
    <w:rsid w:val="370F2E93"/>
    <w:rsid w:val="370F32ED"/>
    <w:rsid w:val="37223E78"/>
    <w:rsid w:val="374E35E0"/>
    <w:rsid w:val="37560CC6"/>
    <w:rsid w:val="376E331C"/>
    <w:rsid w:val="378D0CEB"/>
    <w:rsid w:val="379A026D"/>
    <w:rsid w:val="37A2207E"/>
    <w:rsid w:val="37A2434F"/>
    <w:rsid w:val="37A96F98"/>
    <w:rsid w:val="37BE493A"/>
    <w:rsid w:val="37E0252B"/>
    <w:rsid w:val="37ED32C0"/>
    <w:rsid w:val="37ED6D6E"/>
    <w:rsid w:val="380C3B20"/>
    <w:rsid w:val="3811299F"/>
    <w:rsid w:val="3813029C"/>
    <w:rsid w:val="38422CE2"/>
    <w:rsid w:val="38464281"/>
    <w:rsid w:val="385438E8"/>
    <w:rsid w:val="386E21B0"/>
    <w:rsid w:val="38AE496C"/>
    <w:rsid w:val="38B54D45"/>
    <w:rsid w:val="38B7072B"/>
    <w:rsid w:val="38D242CD"/>
    <w:rsid w:val="38DC6FB6"/>
    <w:rsid w:val="39021924"/>
    <w:rsid w:val="391762C0"/>
    <w:rsid w:val="39324B9F"/>
    <w:rsid w:val="393958EC"/>
    <w:rsid w:val="393E0C7A"/>
    <w:rsid w:val="39470BCD"/>
    <w:rsid w:val="39821F75"/>
    <w:rsid w:val="398B5520"/>
    <w:rsid w:val="398C3DB7"/>
    <w:rsid w:val="39A27A80"/>
    <w:rsid w:val="39A54F6F"/>
    <w:rsid w:val="39AB6275"/>
    <w:rsid w:val="39B63539"/>
    <w:rsid w:val="39C52E4C"/>
    <w:rsid w:val="39E17621"/>
    <w:rsid w:val="39F227B1"/>
    <w:rsid w:val="3A151290"/>
    <w:rsid w:val="3A201663"/>
    <w:rsid w:val="3A292038"/>
    <w:rsid w:val="3A4D07E7"/>
    <w:rsid w:val="3A524E6B"/>
    <w:rsid w:val="3A5E4DE2"/>
    <w:rsid w:val="3A63511E"/>
    <w:rsid w:val="3A656D44"/>
    <w:rsid w:val="3A7164C9"/>
    <w:rsid w:val="3A762A49"/>
    <w:rsid w:val="3A826354"/>
    <w:rsid w:val="3A9D28F5"/>
    <w:rsid w:val="3AA21B83"/>
    <w:rsid w:val="3AB53AE3"/>
    <w:rsid w:val="3AB80239"/>
    <w:rsid w:val="3ABA012D"/>
    <w:rsid w:val="3ACD0EA1"/>
    <w:rsid w:val="3ACD43C9"/>
    <w:rsid w:val="3AFF2C64"/>
    <w:rsid w:val="3B1E4609"/>
    <w:rsid w:val="3B2125FB"/>
    <w:rsid w:val="3B2B107F"/>
    <w:rsid w:val="3B2F69DB"/>
    <w:rsid w:val="3B5E1380"/>
    <w:rsid w:val="3B79226F"/>
    <w:rsid w:val="3B8B34BF"/>
    <w:rsid w:val="3B904834"/>
    <w:rsid w:val="3B932344"/>
    <w:rsid w:val="3B963B4D"/>
    <w:rsid w:val="3B9B2E63"/>
    <w:rsid w:val="3B9D20F5"/>
    <w:rsid w:val="3BB33F88"/>
    <w:rsid w:val="3BD81B44"/>
    <w:rsid w:val="3BD91520"/>
    <w:rsid w:val="3BD93153"/>
    <w:rsid w:val="3BDA6996"/>
    <w:rsid w:val="3BF15E34"/>
    <w:rsid w:val="3C0A3047"/>
    <w:rsid w:val="3C2E50FB"/>
    <w:rsid w:val="3C37637A"/>
    <w:rsid w:val="3C4A12AD"/>
    <w:rsid w:val="3C5125FC"/>
    <w:rsid w:val="3C5D4C2E"/>
    <w:rsid w:val="3C690ECB"/>
    <w:rsid w:val="3C7A7072"/>
    <w:rsid w:val="3C860AC6"/>
    <w:rsid w:val="3C8B02A4"/>
    <w:rsid w:val="3C953A7D"/>
    <w:rsid w:val="3C960BC8"/>
    <w:rsid w:val="3C9848A1"/>
    <w:rsid w:val="3C9B05BB"/>
    <w:rsid w:val="3CA509B7"/>
    <w:rsid w:val="3CA509D1"/>
    <w:rsid w:val="3CB43F0C"/>
    <w:rsid w:val="3CD537E6"/>
    <w:rsid w:val="3CD93879"/>
    <w:rsid w:val="3CE728EF"/>
    <w:rsid w:val="3CE93C13"/>
    <w:rsid w:val="3D2571D3"/>
    <w:rsid w:val="3D29787E"/>
    <w:rsid w:val="3D3074C1"/>
    <w:rsid w:val="3D317B2F"/>
    <w:rsid w:val="3D4B33D2"/>
    <w:rsid w:val="3D5D0A53"/>
    <w:rsid w:val="3D7A2818"/>
    <w:rsid w:val="3D7D2F47"/>
    <w:rsid w:val="3D8106EA"/>
    <w:rsid w:val="3D834DF8"/>
    <w:rsid w:val="3DA352B1"/>
    <w:rsid w:val="3DBA258D"/>
    <w:rsid w:val="3DBA61E7"/>
    <w:rsid w:val="3DBD544C"/>
    <w:rsid w:val="3DBE59FA"/>
    <w:rsid w:val="3DBF6E87"/>
    <w:rsid w:val="3DCC59CC"/>
    <w:rsid w:val="3DD55956"/>
    <w:rsid w:val="3DD61616"/>
    <w:rsid w:val="3DE046DB"/>
    <w:rsid w:val="3DE23C90"/>
    <w:rsid w:val="3DF7051E"/>
    <w:rsid w:val="3DFC4E1B"/>
    <w:rsid w:val="3E100FFC"/>
    <w:rsid w:val="3E127062"/>
    <w:rsid w:val="3E1D4BD2"/>
    <w:rsid w:val="3E201534"/>
    <w:rsid w:val="3E216B4D"/>
    <w:rsid w:val="3E4E3A85"/>
    <w:rsid w:val="3E58620C"/>
    <w:rsid w:val="3E5E7A6F"/>
    <w:rsid w:val="3E651EE9"/>
    <w:rsid w:val="3E70638E"/>
    <w:rsid w:val="3E784A78"/>
    <w:rsid w:val="3E8554F5"/>
    <w:rsid w:val="3EA51CD6"/>
    <w:rsid w:val="3EAE3E2C"/>
    <w:rsid w:val="3EB65E71"/>
    <w:rsid w:val="3EC33032"/>
    <w:rsid w:val="3EC61DB3"/>
    <w:rsid w:val="3ECA2B53"/>
    <w:rsid w:val="3EF62661"/>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D63B1"/>
    <w:rsid w:val="3FEF1AEF"/>
    <w:rsid w:val="3FF01019"/>
    <w:rsid w:val="40031733"/>
    <w:rsid w:val="40076D3D"/>
    <w:rsid w:val="400A2138"/>
    <w:rsid w:val="401F65F0"/>
    <w:rsid w:val="40342736"/>
    <w:rsid w:val="404470DB"/>
    <w:rsid w:val="404C2292"/>
    <w:rsid w:val="405435BD"/>
    <w:rsid w:val="405D572D"/>
    <w:rsid w:val="407E7B1F"/>
    <w:rsid w:val="408D1EA0"/>
    <w:rsid w:val="408E2DBF"/>
    <w:rsid w:val="40982E53"/>
    <w:rsid w:val="409D2A1A"/>
    <w:rsid w:val="40A354EF"/>
    <w:rsid w:val="40A752D1"/>
    <w:rsid w:val="40B21FB5"/>
    <w:rsid w:val="40B95E2E"/>
    <w:rsid w:val="40C17F9E"/>
    <w:rsid w:val="40C43B66"/>
    <w:rsid w:val="40D01AC5"/>
    <w:rsid w:val="40E247F7"/>
    <w:rsid w:val="40E66AF1"/>
    <w:rsid w:val="40EE5966"/>
    <w:rsid w:val="40FA444D"/>
    <w:rsid w:val="40FE6AE6"/>
    <w:rsid w:val="41097827"/>
    <w:rsid w:val="410F1967"/>
    <w:rsid w:val="41335FC7"/>
    <w:rsid w:val="414240CA"/>
    <w:rsid w:val="415978C8"/>
    <w:rsid w:val="415C1B4D"/>
    <w:rsid w:val="417843F2"/>
    <w:rsid w:val="418A1799"/>
    <w:rsid w:val="41A61C3F"/>
    <w:rsid w:val="41B17185"/>
    <w:rsid w:val="41F05895"/>
    <w:rsid w:val="420155A5"/>
    <w:rsid w:val="420C70DA"/>
    <w:rsid w:val="42160B59"/>
    <w:rsid w:val="4226611D"/>
    <w:rsid w:val="42370B89"/>
    <w:rsid w:val="4252208C"/>
    <w:rsid w:val="425402BB"/>
    <w:rsid w:val="42564ADA"/>
    <w:rsid w:val="425C471A"/>
    <w:rsid w:val="42651FF6"/>
    <w:rsid w:val="427456AF"/>
    <w:rsid w:val="42747A95"/>
    <w:rsid w:val="427E52C8"/>
    <w:rsid w:val="42841878"/>
    <w:rsid w:val="4299542A"/>
    <w:rsid w:val="429A1379"/>
    <w:rsid w:val="429E1B22"/>
    <w:rsid w:val="42A3428D"/>
    <w:rsid w:val="42FA6BD0"/>
    <w:rsid w:val="42FB4E01"/>
    <w:rsid w:val="4301585B"/>
    <w:rsid w:val="43017026"/>
    <w:rsid w:val="43067C6F"/>
    <w:rsid w:val="430A6E09"/>
    <w:rsid w:val="43145EC4"/>
    <w:rsid w:val="43177F8E"/>
    <w:rsid w:val="43183E1C"/>
    <w:rsid w:val="431B31A4"/>
    <w:rsid w:val="43325808"/>
    <w:rsid w:val="433E1CAF"/>
    <w:rsid w:val="43412297"/>
    <w:rsid w:val="43413ED4"/>
    <w:rsid w:val="43594499"/>
    <w:rsid w:val="43636C3F"/>
    <w:rsid w:val="4364610B"/>
    <w:rsid w:val="436E5353"/>
    <w:rsid w:val="438073DF"/>
    <w:rsid w:val="438903A1"/>
    <w:rsid w:val="439D6340"/>
    <w:rsid w:val="43F94FC9"/>
    <w:rsid w:val="43FD7280"/>
    <w:rsid w:val="440915E3"/>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8F2EF2"/>
    <w:rsid w:val="44A72CB4"/>
    <w:rsid w:val="44D243AA"/>
    <w:rsid w:val="44D82DAD"/>
    <w:rsid w:val="44DC0CFE"/>
    <w:rsid w:val="44DC4FCA"/>
    <w:rsid w:val="44E15547"/>
    <w:rsid w:val="44EA12B2"/>
    <w:rsid w:val="44EE00E1"/>
    <w:rsid w:val="44FD1C6D"/>
    <w:rsid w:val="45051DF1"/>
    <w:rsid w:val="451231AD"/>
    <w:rsid w:val="453E4B66"/>
    <w:rsid w:val="453F207E"/>
    <w:rsid w:val="454276A8"/>
    <w:rsid w:val="45465AD9"/>
    <w:rsid w:val="45517B8C"/>
    <w:rsid w:val="4577723A"/>
    <w:rsid w:val="457A6C83"/>
    <w:rsid w:val="45951B1A"/>
    <w:rsid w:val="45A31600"/>
    <w:rsid w:val="45E526C2"/>
    <w:rsid w:val="45EF4AA8"/>
    <w:rsid w:val="45EF5694"/>
    <w:rsid w:val="45F32D75"/>
    <w:rsid w:val="45F86B49"/>
    <w:rsid w:val="45FE4441"/>
    <w:rsid w:val="460934CE"/>
    <w:rsid w:val="460E6F64"/>
    <w:rsid w:val="461A7582"/>
    <w:rsid w:val="461F685B"/>
    <w:rsid w:val="46325B00"/>
    <w:rsid w:val="463A35BA"/>
    <w:rsid w:val="464478D6"/>
    <w:rsid w:val="46537026"/>
    <w:rsid w:val="46594972"/>
    <w:rsid w:val="46666A6B"/>
    <w:rsid w:val="46763AFA"/>
    <w:rsid w:val="469438D3"/>
    <w:rsid w:val="46974EA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1C30AE"/>
    <w:rsid w:val="481D4366"/>
    <w:rsid w:val="4845350C"/>
    <w:rsid w:val="48561B07"/>
    <w:rsid w:val="485803F1"/>
    <w:rsid w:val="485E2E16"/>
    <w:rsid w:val="4865215C"/>
    <w:rsid w:val="486942C4"/>
    <w:rsid w:val="487B552A"/>
    <w:rsid w:val="48842F37"/>
    <w:rsid w:val="48996690"/>
    <w:rsid w:val="48A6278A"/>
    <w:rsid w:val="48AB0368"/>
    <w:rsid w:val="48B05292"/>
    <w:rsid w:val="48B33700"/>
    <w:rsid w:val="48B971DC"/>
    <w:rsid w:val="48CE2BF3"/>
    <w:rsid w:val="48D4605A"/>
    <w:rsid w:val="48EF6487"/>
    <w:rsid w:val="48F556EA"/>
    <w:rsid w:val="490010B1"/>
    <w:rsid w:val="491946D3"/>
    <w:rsid w:val="4924047E"/>
    <w:rsid w:val="4924100D"/>
    <w:rsid w:val="49276380"/>
    <w:rsid w:val="4948117F"/>
    <w:rsid w:val="494B0B0D"/>
    <w:rsid w:val="497E20AD"/>
    <w:rsid w:val="49820EB7"/>
    <w:rsid w:val="498C0E72"/>
    <w:rsid w:val="49920053"/>
    <w:rsid w:val="499416E9"/>
    <w:rsid w:val="499B7FDA"/>
    <w:rsid w:val="49A503F7"/>
    <w:rsid w:val="49A637DE"/>
    <w:rsid w:val="49A63EAD"/>
    <w:rsid w:val="49B4166E"/>
    <w:rsid w:val="49BA2C9E"/>
    <w:rsid w:val="49C42ED0"/>
    <w:rsid w:val="49C51673"/>
    <w:rsid w:val="49D51633"/>
    <w:rsid w:val="49D86805"/>
    <w:rsid w:val="49F72310"/>
    <w:rsid w:val="49FD2EE4"/>
    <w:rsid w:val="4A0B4FDE"/>
    <w:rsid w:val="4A0E4738"/>
    <w:rsid w:val="4A343D11"/>
    <w:rsid w:val="4A44591C"/>
    <w:rsid w:val="4A497D35"/>
    <w:rsid w:val="4A8A37D8"/>
    <w:rsid w:val="4A8A64F2"/>
    <w:rsid w:val="4A8B4AB2"/>
    <w:rsid w:val="4ABE300E"/>
    <w:rsid w:val="4AD1058E"/>
    <w:rsid w:val="4AD24DB9"/>
    <w:rsid w:val="4AD9595B"/>
    <w:rsid w:val="4AE97387"/>
    <w:rsid w:val="4AF6154C"/>
    <w:rsid w:val="4AF93EAE"/>
    <w:rsid w:val="4B311212"/>
    <w:rsid w:val="4B373C21"/>
    <w:rsid w:val="4B3E6720"/>
    <w:rsid w:val="4B43535A"/>
    <w:rsid w:val="4B4657C3"/>
    <w:rsid w:val="4B476348"/>
    <w:rsid w:val="4B58574A"/>
    <w:rsid w:val="4B625BF7"/>
    <w:rsid w:val="4B753465"/>
    <w:rsid w:val="4B770921"/>
    <w:rsid w:val="4B7E5905"/>
    <w:rsid w:val="4B7F01A8"/>
    <w:rsid w:val="4B916EFB"/>
    <w:rsid w:val="4BB21AF4"/>
    <w:rsid w:val="4BB54107"/>
    <w:rsid w:val="4BB67EEE"/>
    <w:rsid w:val="4BC471E7"/>
    <w:rsid w:val="4BD13DC6"/>
    <w:rsid w:val="4BD17814"/>
    <w:rsid w:val="4BDC5109"/>
    <w:rsid w:val="4BE84FA7"/>
    <w:rsid w:val="4BEB6BB7"/>
    <w:rsid w:val="4BF70C92"/>
    <w:rsid w:val="4BFD0513"/>
    <w:rsid w:val="4C005E77"/>
    <w:rsid w:val="4C1A02C6"/>
    <w:rsid w:val="4C2B76C1"/>
    <w:rsid w:val="4C3B40FC"/>
    <w:rsid w:val="4C5419A1"/>
    <w:rsid w:val="4C5429A3"/>
    <w:rsid w:val="4C6359CC"/>
    <w:rsid w:val="4C645A11"/>
    <w:rsid w:val="4C72089C"/>
    <w:rsid w:val="4C87254B"/>
    <w:rsid w:val="4C8B3377"/>
    <w:rsid w:val="4CA3114C"/>
    <w:rsid w:val="4CC37EEC"/>
    <w:rsid w:val="4CDE4416"/>
    <w:rsid w:val="4CE85842"/>
    <w:rsid w:val="4D082D34"/>
    <w:rsid w:val="4D18687A"/>
    <w:rsid w:val="4D1C2C8C"/>
    <w:rsid w:val="4D1E77BE"/>
    <w:rsid w:val="4D245FC5"/>
    <w:rsid w:val="4D2B3B2C"/>
    <w:rsid w:val="4D8051B1"/>
    <w:rsid w:val="4DA943B0"/>
    <w:rsid w:val="4DB75561"/>
    <w:rsid w:val="4DC515BB"/>
    <w:rsid w:val="4DCB5984"/>
    <w:rsid w:val="4DD64458"/>
    <w:rsid w:val="4DDD243C"/>
    <w:rsid w:val="4DEC5891"/>
    <w:rsid w:val="4DF21B22"/>
    <w:rsid w:val="4E135BFA"/>
    <w:rsid w:val="4E1B2DDB"/>
    <w:rsid w:val="4E1F235E"/>
    <w:rsid w:val="4E213391"/>
    <w:rsid w:val="4E250E8C"/>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A782A"/>
    <w:rsid w:val="4EF43B16"/>
    <w:rsid w:val="4F135FF8"/>
    <w:rsid w:val="4F1646F3"/>
    <w:rsid w:val="4F1929E5"/>
    <w:rsid w:val="4F1E3B69"/>
    <w:rsid w:val="4F290416"/>
    <w:rsid w:val="4F2B6C13"/>
    <w:rsid w:val="4F3153D3"/>
    <w:rsid w:val="4F5F3ED1"/>
    <w:rsid w:val="4F6E4CB2"/>
    <w:rsid w:val="4F804E7C"/>
    <w:rsid w:val="4F85516A"/>
    <w:rsid w:val="4F944D8F"/>
    <w:rsid w:val="4FCA5221"/>
    <w:rsid w:val="4FE03DE3"/>
    <w:rsid w:val="4FEA7FBD"/>
    <w:rsid w:val="4FED0FB9"/>
    <w:rsid w:val="4FFC5D0B"/>
    <w:rsid w:val="501D7CCE"/>
    <w:rsid w:val="50245208"/>
    <w:rsid w:val="50315512"/>
    <w:rsid w:val="504430D6"/>
    <w:rsid w:val="50474896"/>
    <w:rsid w:val="505F23BC"/>
    <w:rsid w:val="505F4513"/>
    <w:rsid w:val="50697ABC"/>
    <w:rsid w:val="507410D2"/>
    <w:rsid w:val="509B702F"/>
    <w:rsid w:val="50A4392E"/>
    <w:rsid w:val="50A97681"/>
    <w:rsid w:val="50AE3B94"/>
    <w:rsid w:val="50AF7418"/>
    <w:rsid w:val="50B02AF0"/>
    <w:rsid w:val="50B0422B"/>
    <w:rsid w:val="50C600F2"/>
    <w:rsid w:val="50C93813"/>
    <w:rsid w:val="50D03252"/>
    <w:rsid w:val="50E93575"/>
    <w:rsid w:val="50F04D4E"/>
    <w:rsid w:val="50F41527"/>
    <w:rsid w:val="50F57385"/>
    <w:rsid w:val="50F6016F"/>
    <w:rsid w:val="50FB1FB9"/>
    <w:rsid w:val="51132FF4"/>
    <w:rsid w:val="51151213"/>
    <w:rsid w:val="51297F73"/>
    <w:rsid w:val="513225F9"/>
    <w:rsid w:val="513F5114"/>
    <w:rsid w:val="51440384"/>
    <w:rsid w:val="5146769D"/>
    <w:rsid w:val="51567BE2"/>
    <w:rsid w:val="515E6A1B"/>
    <w:rsid w:val="5169073B"/>
    <w:rsid w:val="516B705C"/>
    <w:rsid w:val="5177537A"/>
    <w:rsid w:val="518806E3"/>
    <w:rsid w:val="51A1217B"/>
    <w:rsid w:val="51A47CAD"/>
    <w:rsid w:val="51B6464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712F73"/>
    <w:rsid w:val="52717995"/>
    <w:rsid w:val="528315FB"/>
    <w:rsid w:val="52990759"/>
    <w:rsid w:val="52A01177"/>
    <w:rsid w:val="52B87033"/>
    <w:rsid w:val="52BE5917"/>
    <w:rsid w:val="52CF23AC"/>
    <w:rsid w:val="52D22288"/>
    <w:rsid w:val="52D63FD3"/>
    <w:rsid w:val="52DC0353"/>
    <w:rsid w:val="52ED3633"/>
    <w:rsid w:val="53172097"/>
    <w:rsid w:val="531B72EC"/>
    <w:rsid w:val="531E35FC"/>
    <w:rsid w:val="531E3DBA"/>
    <w:rsid w:val="532B1547"/>
    <w:rsid w:val="532C2C22"/>
    <w:rsid w:val="533E6E17"/>
    <w:rsid w:val="5343182D"/>
    <w:rsid w:val="53552E21"/>
    <w:rsid w:val="536C4A63"/>
    <w:rsid w:val="539B26A9"/>
    <w:rsid w:val="539C4C50"/>
    <w:rsid w:val="53A201DA"/>
    <w:rsid w:val="53A86633"/>
    <w:rsid w:val="53AF4DD6"/>
    <w:rsid w:val="53B22D34"/>
    <w:rsid w:val="53B6236C"/>
    <w:rsid w:val="53B704F6"/>
    <w:rsid w:val="53BD6F30"/>
    <w:rsid w:val="53DE553F"/>
    <w:rsid w:val="53FC5A1A"/>
    <w:rsid w:val="540540F5"/>
    <w:rsid w:val="542913B3"/>
    <w:rsid w:val="54355530"/>
    <w:rsid w:val="543F18BA"/>
    <w:rsid w:val="54747751"/>
    <w:rsid w:val="54883400"/>
    <w:rsid w:val="54930B49"/>
    <w:rsid w:val="54932F58"/>
    <w:rsid w:val="549B63DD"/>
    <w:rsid w:val="54A81CB5"/>
    <w:rsid w:val="54BD0985"/>
    <w:rsid w:val="54C41B11"/>
    <w:rsid w:val="54CC32C5"/>
    <w:rsid w:val="54F859EA"/>
    <w:rsid w:val="54FF1FBE"/>
    <w:rsid w:val="550E49C6"/>
    <w:rsid w:val="551B0C30"/>
    <w:rsid w:val="5525118D"/>
    <w:rsid w:val="552E6032"/>
    <w:rsid w:val="555C1243"/>
    <w:rsid w:val="55632353"/>
    <w:rsid w:val="55A47D96"/>
    <w:rsid w:val="55C94049"/>
    <w:rsid w:val="55DA287E"/>
    <w:rsid w:val="55DD1819"/>
    <w:rsid w:val="55EE6DAD"/>
    <w:rsid w:val="56073162"/>
    <w:rsid w:val="5609127C"/>
    <w:rsid w:val="560F5CEA"/>
    <w:rsid w:val="561A1AAB"/>
    <w:rsid w:val="56243B92"/>
    <w:rsid w:val="563D619D"/>
    <w:rsid w:val="56413F2B"/>
    <w:rsid w:val="56537C47"/>
    <w:rsid w:val="566F71B4"/>
    <w:rsid w:val="568043DC"/>
    <w:rsid w:val="56A010C0"/>
    <w:rsid w:val="56A060CF"/>
    <w:rsid w:val="56AA3F63"/>
    <w:rsid w:val="56AF65AD"/>
    <w:rsid w:val="56B16590"/>
    <w:rsid w:val="56B96B8E"/>
    <w:rsid w:val="56C747B5"/>
    <w:rsid w:val="56CC4101"/>
    <w:rsid w:val="56D42684"/>
    <w:rsid w:val="56D53135"/>
    <w:rsid w:val="56D83E33"/>
    <w:rsid w:val="56DD2471"/>
    <w:rsid w:val="56FD66BE"/>
    <w:rsid w:val="57181EE6"/>
    <w:rsid w:val="57210A6D"/>
    <w:rsid w:val="573400E8"/>
    <w:rsid w:val="5744214A"/>
    <w:rsid w:val="574B480A"/>
    <w:rsid w:val="57501AFE"/>
    <w:rsid w:val="57543081"/>
    <w:rsid w:val="577B68EA"/>
    <w:rsid w:val="5789649C"/>
    <w:rsid w:val="57A373F0"/>
    <w:rsid w:val="57B12989"/>
    <w:rsid w:val="57C31CF0"/>
    <w:rsid w:val="57C83C57"/>
    <w:rsid w:val="57CF7F96"/>
    <w:rsid w:val="57E225F6"/>
    <w:rsid w:val="57E633B4"/>
    <w:rsid w:val="57EC2A0C"/>
    <w:rsid w:val="57F05231"/>
    <w:rsid w:val="57F637B3"/>
    <w:rsid w:val="57FB2FB4"/>
    <w:rsid w:val="581B487A"/>
    <w:rsid w:val="581C6534"/>
    <w:rsid w:val="582014EC"/>
    <w:rsid w:val="582028C2"/>
    <w:rsid w:val="582908A2"/>
    <w:rsid w:val="583D07DD"/>
    <w:rsid w:val="584B6239"/>
    <w:rsid w:val="585011BC"/>
    <w:rsid w:val="585F1862"/>
    <w:rsid w:val="58620D26"/>
    <w:rsid w:val="58622549"/>
    <w:rsid w:val="58706FB1"/>
    <w:rsid w:val="587C5983"/>
    <w:rsid w:val="589B5B2C"/>
    <w:rsid w:val="58AE77D0"/>
    <w:rsid w:val="58C13117"/>
    <w:rsid w:val="58E8415E"/>
    <w:rsid w:val="58FF1A45"/>
    <w:rsid w:val="59073E9A"/>
    <w:rsid w:val="59092BF1"/>
    <w:rsid w:val="591C580B"/>
    <w:rsid w:val="5926497A"/>
    <w:rsid w:val="59307D3E"/>
    <w:rsid w:val="595D3E12"/>
    <w:rsid w:val="596B5ED3"/>
    <w:rsid w:val="598446C5"/>
    <w:rsid w:val="59961EFB"/>
    <w:rsid w:val="59A11353"/>
    <w:rsid w:val="59B73771"/>
    <w:rsid w:val="59CF0329"/>
    <w:rsid w:val="5A0336C4"/>
    <w:rsid w:val="5A1D0D82"/>
    <w:rsid w:val="5A20315B"/>
    <w:rsid w:val="5A36472F"/>
    <w:rsid w:val="5A3B004E"/>
    <w:rsid w:val="5A5827FE"/>
    <w:rsid w:val="5A70211C"/>
    <w:rsid w:val="5A970C62"/>
    <w:rsid w:val="5A9B6F49"/>
    <w:rsid w:val="5AA452E6"/>
    <w:rsid w:val="5AAB2A29"/>
    <w:rsid w:val="5AAB3211"/>
    <w:rsid w:val="5AAC7307"/>
    <w:rsid w:val="5AB86388"/>
    <w:rsid w:val="5AD07CB2"/>
    <w:rsid w:val="5ADB2A9F"/>
    <w:rsid w:val="5AE244D3"/>
    <w:rsid w:val="5AE37CAA"/>
    <w:rsid w:val="5AEF1DC1"/>
    <w:rsid w:val="5AF001BB"/>
    <w:rsid w:val="5AF9020E"/>
    <w:rsid w:val="5B3A7E78"/>
    <w:rsid w:val="5B3D442E"/>
    <w:rsid w:val="5B412C22"/>
    <w:rsid w:val="5B4B2EB1"/>
    <w:rsid w:val="5B570332"/>
    <w:rsid w:val="5B5B31AB"/>
    <w:rsid w:val="5B5F0395"/>
    <w:rsid w:val="5B6110B7"/>
    <w:rsid w:val="5B6300A3"/>
    <w:rsid w:val="5B6C0ED6"/>
    <w:rsid w:val="5B713C90"/>
    <w:rsid w:val="5B790B4E"/>
    <w:rsid w:val="5B7A2400"/>
    <w:rsid w:val="5B9B626D"/>
    <w:rsid w:val="5BCF3C34"/>
    <w:rsid w:val="5BD32897"/>
    <w:rsid w:val="5BF50A44"/>
    <w:rsid w:val="5C034868"/>
    <w:rsid w:val="5C295CCC"/>
    <w:rsid w:val="5C2B2A98"/>
    <w:rsid w:val="5C345941"/>
    <w:rsid w:val="5C381A3A"/>
    <w:rsid w:val="5C405E62"/>
    <w:rsid w:val="5C5C135C"/>
    <w:rsid w:val="5C787FE3"/>
    <w:rsid w:val="5C872DAA"/>
    <w:rsid w:val="5C8809AC"/>
    <w:rsid w:val="5C894745"/>
    <w:rsid w:val="5C974816"/>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6F6550"/>
    <w:rsid w:val="5D7603B3"/>
    <w:rsid w:val="5D7C5A81"/>
    <w:rsid w:val="5D951781"/>
    <w:rsid w:val="5DB80337"/>
    <w:rsid w:val="5DD31E8F"/>
    <w:rsid w:val="5DDF2196"/>
    <w:rsid w:val="5DE853F9"/>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5B91"/>
    <w:rsid w:val="5E8E438D"/>
    <w:rsid w:val="5E937CCC"/>
    <w:rsid w:val="5ECD4059"/>
    <w:rsid w:val="5EDF337C"/>
    <w:rsid w:val="5EE03971"/>
    <w:rsid w:val="5EF83794"/>
    <w:rsid w:val="5F0173CC"/>
    <w:rsid w:val="5F073560"/>
    <w:rsid w:val="5F1A1A93"/>
    <w:rsid w:val="5F212DE2"/>
    <w:rsid w:val="5F287F7E"/>
    <w:rsid w:val="5F475677"/>
    <w:rsid w:val="5F484198"/>
    <w:rsid w:val="5F567498"/>
    <w:rsid w:val="5F8420E2"/>
    <w:rsid w:val="5F865198"/>
    <w:rsid w:val="5F887220"/>
    <w:rsid w:val="5F9022AB"/>
    <w:rsid w:val="5FB537C3"/>
    <w:rsid w:val="5FB81E56"/>
    <w:rsid w:val="5FBC1FE2"/>
    <w:rsid w:val="5FCC4D82"/>
    <w:rsid w:val="5FD85FDC"/>
    <w:rsid w:val="5FE725FA"/>
    <w:rsid w:val="5FEB78D3"/>
    <w:rsid w:val="5FEC00EE"/>
    <w:rsid w:val="5FF70F57"/>
    <w:rsid w:val="600458FB"/>
    <w:rsid w:val="600878DD"/>
    <w:rsid w:val="600951D4"/>
    <w:rsid w:val="600A4B4D"/>
    <w:rsid w:val="601015A4"/>
    <w:rsid w:val="6010358A"/>
    <w:rsid w:val="601A25EF"/>
    <w:rsid w:val="60250EC1"/>
    <w:rsid w:val="603E1F21"/>
    <w:rsid w:val="603E7832"/>
    <w:rsid w:val="6044067F"/>
    <w:rsid w:val="60546D44"/>
    <w:rsid w:val="60564383"/>
    <w:rsid w:val="605C6D51"/>
    <w:rsid w:val="607427E7"/>
    <w:rsid w:val="60793AF7"/>
    <w:rsid w:val="6099592B"/>
    <w:rsid w:val="60A13AB9"/>
    <w:rsid w:val="60A7744C"/>
    <w:rsid w:val="60C603C2"/>
    <w:rsid w:val="60CF04AB"/>
    <w:rsid w:val="60DB5486"/>
    <w:rsid w:val="60E82C1A"/>
    <w:rsid w:val="60EC0541"/>
    <w:rsid w:val="60ED408E"/>
    <w:rsid w:val="60F6028F"/>
    <w:rsid w:val="60FD245E"/>
    <w:rsid w:val="60FF2E22"/>
    <w:rsid w:val="61023605"/>
    <w:rsid w:val="61033EA8"/>
    <w:rsid w:val="61041F36"/>
    <w:rsid w:val="610A1613"/>
    <w:rsid w:val="6117702C"/>
    <w:rsid w:val="61251167"/>
    <w:rsid w:val="612F1395"/>
    <w:rsid w:val="612F661C"/>
    <w:rsid w:val="61432D9E"/>
    <w:rsid w:val="61656F66"/>
    <w:rsid w:val="61683AEB"/>
    <w:rsid w:val="61737A70"/>
    <w:rsid w:val="617D144B"/>
    <w:rsid w:val="61855138"/>
    <w:rsid w:val="618A70BC"/>
    <w:rsid w:val="618B76C7"/>
    <w:rsid w:val="61963F6D"/>
    <w:rsid w:val="61BD1F9D"/>
    <w:rsid w:val="61D27428"/>
    <w:rsid w:val="61D45501"/>
    <w:rsid w:val="61E072C3"/>
    <w:rsid w:val="61EA093B"/>
    <w:rsid w:val="61F010A8"/>
    <w:rsid w:val="61F511E0"/>
    <w:rsid w:val="61FD6D62"/>
    <w:rsid w:val="62024DB4"/>
    <w:rsid w:val="62117D72"/>
    <w:rsid w:val="62142622"/>
    <w:rsid w:val="62210A89"/>
    <w:rsid w:val="62285DB7"/>
    <w:rsid w:val="62297B7B"/>
    <w:rsid w:val="623613F4"/>
    <w:rsid w:val="62367ED8"/>
    <w:rsid w:val="62621800"/>
    <w:rsid w:val="626857C6"/>
    <w:rsid w:val="62923991"/>
    <w:rsid w:val="62BB078B"/>
    <w:rsid w:val="62C8685E"/>
    <w:rsid w:val="62F20D03"/>
    <w:rsid w:val="62F26EC0"/>
    <w:rsid w:val="62F75B83"/>
    <w:rsid w:val="62FA13EE"/>
    <w:rsid w:val="62FD65F4"/>
    <w:rsid w:val="63095375"/>
    <w:rsid w:val="630E4188"/>
    <w:rsid w:val="6312135F"/>
    <w:rsid w:val="63152F31"/>
    <w:rsid w:val="632A3D0D"/>
    <w:rsid w:val="632A76EA"/>
    <w:rsid w:val="633443AB"/>
    <w:rsid w:val="634161B6"/>
    <w:rsid w:val="634924E6"/>
    <w:rsid w:val="635222C3"/>
    <w:rsid w:val="638857E1"/>
    <w:rsid w:val="63964A9A"/>
    <w:rsid w:val="63A445C5"/>
    <w:rsid w:val="63AB78F4"/>
    <w:rsid w:val="63B51224"/>
    <w:rsid w:val="63C642C7"/>
    <w:rsid w:val="63C85688"/>
    <w:rsid w:val="63CD5666"/>
    <w:rsid w:val="63D01EF3"/>
    <w:rsid w:val="63D2038C"/>
    <w:rsid w:val="63E631E1"/>
    <w:rsid w:val="63E72800"/>
    <w:rsid w:val="63F66CE6"/>
    <w:rsid w:val="640E7E19"/>
    <w:rsid w:val="64477F3F"/>
    <w:rsid w:val="64745DFC"/>
    <w:rsid w:val="647527CB"/>
    <w:rsid w:val="64815114"/>
    <w:rsid w:val="648A0F84"/>
    <w:rsid w:val="648E4974"/>
    <w:rsid w:val="648F4377"/>
    <w:rsid w:val="649E65A7"/>
    <w:rsid w:val="64A9027D"/>
    <w:rsid w:val="64AE4937"/>
    <w:rsid w:val="64B70C4D"/>
    <w:rsid w:val="64C530D0"/>
    <w:rsid w:val="64C92A8D"/>
    <w:rsid w:val="64D14920"/>
    <w:rsid w:val="64DC22D2"/>
    <w:rsid w:val="64EA382F"/>
    <w:rsid w:val="64ED3306"/>
    <w:rsid w:val="6511603A"/>
    <w:rsid w:val="652763A9"/>
    <w:rsid w:val="653B0F51"/>
    <w:rsid w:val="65431C28"/>
    <w:rsid w:val="65434194"/>
    <w:rsid w:val="65477730"/>
    <w:rsid w:val="654912E0"/>
    <w:rsid w:val="655007CD"/>
    <w:rsid w:val="656A4332"/>
    <w:rsid w:val="65715D8E"/>
    <w:rsid w:val="65733372"/>
    <w:rsid w:val="65744876"/>
    <w:rsid w:val="657845AE"/>
    <w:rsid w:val="658C4C45"/>
    <w:rsid w:val="658F60B1"/>
    <w:rsid w:val="65991D3E"/>
    <w:rsid w:val="659E280B"/>
    <w:rsid w:val="65A44341"/>
    <w:rsid w:val="65A95292"/>
    <w:rsid w:val="65B74A52"/>
    <w:rsid w:val="65B87761"/>
    <w:rsid w:val="65BD55BD"/>
    <w:rsid w:val="65C53449"/>
    <w:rsid w:val="65DA55D1"/>
    <w:rsid w:val="65DE269B"/>
    <w:rsid w:val="65E72587"/>
    <w:rsid w:val="65F27286"/>
    <w:rsid w:val="6602655A"/>
    <w:rsid w:val="66037BA1"/>
    <w:rsid w:val="66054E88"/>
    <w:rsid w:val="660D45C7"/>
    <w:rsid w:val="661E771B"/>
    <w:rsid w:val="66280ABB"/>
    <w:rsid w:val="663B7082"/>
    <w:rsid w:val="665C299B"/>
    <w:rsid w:val="666717B3"/>
    <w:rsid w:val="6668032B"/>
    <w:rsid w:val="667C4290"/>
    <w:rsid w:val="668569A3"/>
    <w:rsid w:val="669C13AC"/>
    <w:rsid w:val="66B1624D"/>
    <w:rsid w:val="66B173CB"/>
    <w:rsid w:val="66C95898"/>
    <w:rsid w:val="66DC2CB9"/>
    <w:rsid w:val="66EB023B"/>
    <w:rsid w:val="66F8201A"/>
    <w:rsid w:val="66FF1E1B"/>
    <w:rsid w:val="671C5A04"/>
    <w:rsid w:val="67246142"/>
    <w:rsid w:val="6734528A"/>
    <w:rsid w:val="673F01D2"/>
    <w:rsid w:val="676777C3"/>
    <w:rsid w:val="676A4CD5"/>
    <w:rsid w:val="677D4B8A"/>
    <w:rsid w:val="67802ACE"/>
    <w:rsid w:val="67804B33"/>
    <w:rsid w:val="678C4018"/>
    <w:rsid w:val="67C132E8"/>
    <w:rsid w:val="67C40A09"/>
    <w:rsid w:val="67D020A7"/>
    <w:rsid w:val="67D600B8"/>
    <w:rsid w:val="67E4087E"/>
    <w:rsid w:val="6821192D"/>
    <w:rsid w:val="682A50A4"/>
    <w:rsid w:val="68337E89"/>
    <w:rsid w:val="68337EE8"/>
    <w:rsid w:val="683A6C76"/>
    <w:rsid w:val="6842321A"/>
    <w:rsid w:val="684675EC"/>
    <w:rsid w:val="68537052"/>
    <w:rsid w:val="68556FC7"/>
    <w:rsid w:val="685C5B46"/>
    <w:rsid w:val="686B3945"/>
    <w:rsid w:val="688C0656"/>
    <w:rsid w:val="68981E7C"/>
    <w:rsid w:val="689B166D"/>
    <w:rsid w:val="68A477EF"/>
    <w:rsid w:val="68AE1735"/>
    <w:rsid w:val="68B037E5"/>
    <w:rsid w:val="68B72950"/>
    <w:rsid w:val="68B93736"/>
    <w:rsid w:val="68D10AC8"/>
    <w:rsid w:val="68D60630"/>
    <w:rsid w:val="68ED7332"/>
    <w:rsid w:val="68F8555D"/>
    <w:rsid w:val="691D712E"/>
    <w:rsid w:val="69214FE0"/>
    <w:rsid w:val="69657D32"/>
    <w:rsid w:val="697E1E2B"/>
    <w:rsid w:val="697E7396"/>
    <w:rsid w:val="6983176F"/>
    <w:rsid w:val="69975871"/>
    <w:rsid w:val="69A009FE"/>
    <w:rsid w:val="69A729C5"/>
    <w:rsid w:val="69BF206E"/>
    <w:rsid w:val="69C308D8"/>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44A47"/>
    <w:rsid w:val="6A4F7CF0"/>
    <w:rsid w:val="6A5517EC"/>
    <w:rsid w:val="6A694BA1"/>
    <w:rsid w:val="6A734205"/>
    <w:rsid w:val="6AA02A00"/>
    <w:rsid w:val="6AB51195"/>
    <w:rsid w:val="6ABC3292"/>
    <w:rsid w:val="6AC04F0B"/>
    <w:rsid w:val="6AD34458"/>
    <w:rsid w:val="6ADC4801"/>
    <w:rsid w:val="6ADF25FC"/>
    <w:rsid w:val="6AF9720B"/>
    <w:rsid w:val="6AFA1E66"/>
    <w:rsid w:val="6AFE12C2"/>
    <w:rsid w:val="6AFF22DC"/>
    <w:rsid w:val="6B020CD0"/>
    <w:rsid w:val="6B0547F9"/>
    <w:rsid w:val="6B0B4870"/>
    <w:rsid w:val="6B1148AC"/>
    <w:rsid w:val="6B3E0351"/>
    <w:rsid w:val="6B42449D"/>
    <w:rsid w:val="6B4A5562"/>
    <w:rsid w:val="6B565807"/>
    <w:rsid w:val="6B6548BE"/>
    <w:rsid w:val="6B6947A4"/>
    <w:rsid w:val="6B7A369F"/>
    <w:rsid w:val="6B942656"/>
    <w:rsid w:val="6BAC2823"/>
    <w:rsid w:val="6BB17CCF"/>
    <w:rsid w:val="6BBB682B"/>
    <w:rsid w:val="6BBD5024"/>
    <w:rsid w:val="6BD25DF8"/>
    <w:rsid w:val="6BEB455F"/>
    <w:rsid w:val="6BEB45CC"/>
    <w:rsid w:val="6BF37DF1"/>
    <w:rsid w:val="6BFA3189"/>
    <w:rsid w:val="6C0B4C1B"/>
    <w:rsid w:val="6C3468D1"/>
    <w:rsid w:val="6C3C5607"/>
    <w:rsid w:val="6C546532"/>
    <w:rsid w:val="6C562F8A"/>
    <w:rsid w:val="6C630CE9"/>
    <w:rsid w:val="6C8A28F0"/>
    <w:rsid w:val="6C914CAA"/>
    <w:rsid w:val="6C9A6912"/>
    <w:rsid w:val="6CC17B62"/>
    <w:rsid w:val="6CEC0F34"/>
    <w:rsid w:val="6CEF01FA"/>
    <w:rsid w:val="6CF73CA4"/>
    <w:rsid w:val="6D005FF7"/>
    <w:rsid w:val="6D05105B"/>
    <w:rsid w:val="6D055E78"/>
    <w:rsid w:val="6D17316C"/>
    <w:rsid w:val="6D1D68D4"/>
    <w:rsid w:val="6D207FCD"/>
    <w:rsid w:val="6D2112FB"/>
    <w:rsid w:val="6D280C36"/>
    <w:rsid w:val="6D286C4C"/>
    <w:rsid w:val="6D2B534E"/>
    <w:rsid w:val="6D2B5B01"/>
    <w:rsid w:val="6D381497"/>
    <w:rsid w:val="6D4F3914"/>
    <w:rsid w:val="6D6A2DB3"/>
    <w:rsid w:val="6D6A69AA"/>
    <w:rsid w:val="6D79127B"/>
    <w:rsid w:val="6D7A53AB"/>
    <w:rsid w:val="6D832281"/>
    <w:rsid w:val="6D993D94"/>
    <w:rsid w:val="6DA910BB"/>
    <w:rsid w:val="6DB6586E"/>
    <w:rsid w:val="6DC237AE"/>
    <w:rsid w:val="6DC57185"/>
    <w:rsid w:val="6DE27BDD"/>
    <w:rsid w:val="6DEA260D"/>
    <w:rsid w:val="6DF91502"/>
    <w:rsid w:val="6DFA2CF4"/>
    <w:rsid w:val="6E01482E"/>
    <w:rsid w:val="6E0D1941"/>
    <w:rsid w:val="6E18292B"/>
    <w:rsid w:val="6E2013CD"/>
    <w:rsid w:val="6E3E50B4"/>
    <w:rsid w:val="6E402C35"/>
    <w:rsid w:val="6E403BCF"/>
    <w:rsid w:val="6E424CF7"/>
    <w:rsid w:val="6E96703D"/>
    <w:rsid w:val="6E984122"/>
    <w:rsid w:val="6EC4761A"/>
    <w:rsid w:val="6ED26905"/>
    <w:rsid w:val="6EE20566"/>
    <w:rsid w:val="6EEB6DD8"/>
    <w:rsid w:val="6EF513F6"/>
    <w:rsid w:val="6EF55455"/>
    <w:rsid w:val="6F166BCE"/>
    <w:rsid w:val="6F1D0027"/>
    <w:rsid w:val="6F1F0771"/>
    <w:rsid w:val="6F3669E2"/>
    <w:rsid w:val="6F3A0437"/>
    <w:rsid w:val="6F452492"/>
    <w:rsid w:val="6F4B64FF"/>
    <w:rsid w:val="6F4E1ABB"/>
    <w:rsid w:val="6F65489B"/>
    <w:rsid w:val="6F6F66FF"/>
    <w:rsid w:val="6F7227E7"/>
    <w:rsid w:val="6F86274A"/>
    <w:rsid w:val="6F886A39"/>
    <w:rsid w:val="6F8A6B50"/>
    <w:rsid w:val="6F9964D8"/>
    <w:rsid w:val="6F9E35B3"/>
    <w:rsid w:val="6F9E4E98"/>
    <w:rsid w:val="6FB1313E"/>
    <w:rsid w:val="6FB536E7"/>
    <w:rsid w:val="6FC169C6"/>
    <w:rsid w:val="6FC24AD0"/>
    <w:rsid w:val="700148B1"/>
    <w:rsid w:val="700708F2"/>
    <w:rsid w:val="701637CE"/>
    <w:rsid w:val="70192A9F"/>
    <w:rsid w:val="70262445"/>
    <w:rsid w:val="704865AC"/>
    <w:rsid w:val="70575662"/>
    <w:rsid w:val="7068342F"/>
    <w:rsid w:val="706B1A4B"/>
    <w:rsid w:val="70796EB7"/>
    <w:rsid w:val="70891E2B"/>
    <w:rsid w:val="709304FC"/>
    <w:rsid w:val="70B21D55"/>
    <w:rsid w:val="70BA4068"/>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9B2361"/>
    <w:rsid w:val="71A3311F"/>
    <w:rsid w:val="71AA4E1C"/>
    <w:rsid w:val="71F8619A"/>
    <w:rsid w:val="72005730"/>
    <w:rsid w:val="72280301"/>
    <w:rsid w:val="7231753D"/>
    <w:rsid w:val="72386C6E"/>
    <w:rsid w:val="723A3057"/>
    <w:rsid w:val="72400885"/>
    <w:rsid w:val="724551B5"/>
    <w:rsid w:val="724B6026"/>
    <w:rsid w:val="725273EA"/>
    <w:rsid w:val="725B1897"/>
    <w:rsid w:val="725F5B3C"/>
    <w:rsid w:val="72603689"/>
    <w:rsid w:val="726C47BC"/>
    <w:rsid w:val="72CD2240"/>
    <w:rsid w:val="72DC19E2"/>
    <w:rsid w:val="72DC648D"/>
    <w:rsid w:val="72E420AF"/>
    <w:rsid w:val="72E530D5"/>
    <w:rsid w:val="72EC4E12"/>
    <w:rsid w:val="72EF2AE7"/>
    <w:rsid w:val="73373DED"/>
    <w:rsid w:val="73391B68"/>
    <w:rsid w:val="733B2119"/>
    <w:rsid w:val="733F7A24"/>
    <w:rsid w:val="735C44F0"/>
    <w:rsid w:val="736A01CD"/>
    <w:rsid w:val="736B4D35"/>
    <w:rsid w:val="737010AC"/>
    <w:rsid w:val="73741988"/>
    <w:rsid w:val="73742A01"/>
    <w:rsid w:val="7375590C"/>
    <w:rsid w:val="73814929"/>
    <w:rsid w:val="7391289C"/>
    <w:rsid w:val="7393399F"/>
    <w:rsid w:val="73984022"/>
    <w:rsid w:val="73A84BF1"/>
    <w:rsid w:val="73C11347"/>
    <w:rsid w:val="73E2421D"/>
    <w:rsid w:val="74000D97"/>
    <w:rsid w:val="742D3750"/>
    <w:rsid w:val="74310474"/>
    <w:rsid w:val="74694C3B"/>
    <w:rsid w:val="746A6AAD"/>
    <w:rsid w:val="746D246B"/>
    <w:rsid w:val="747A4FBC"/>
    <w:rsid w:val="747C002A"/>
    <w:rsid w:val="748B466B"/>
    <w:rsid w:val="74CC4EFB"/>
    <w:rsid w:val="74D469D0"/>
    <w:rsid w:val="74D94903"/>
    <w:rsid w:val="74DC7834"/>
    <w:rsid w:val="74E271F1"/>
    <w:rsid w:val="74EE4239"/>
    <w:rsid w:val="74F914E4"/>
    <w:rsid w:val="75197F39"/>
    <w:rsid w:val="75326EC3"/>
    <w:rsid w:val="754D60F6"/>
    <w:rsid w:val="7551327B"/>
    <w:rsid w:val="755D51F1"/>
    <w:rsid w:val="755F3E02"/>
    <w:rsid w:val="755F782E"/>
    <w:rsid w:val="7573343A"/>
    <w:rsid w:val="757A5DAF"/>
    <w:rsid w:val="757F1016"/>
    <w:rsid w:val="758C2EBE"/>
    <w:rsid w:val="75A16A9F"/>
    <w:rsid w:val="75BC6CCF"/>
    <w:rsid w:val="75D61B06"/>
    <w:rsid w:val="75D636FA"/>
    <w:rsid w:val="75E27D49"/>
    <w:rsid w:val="75EA771F"/>
    <w:rsid w:val="75FE7567"/>
    <w:rsid w:val="761867BE"/>
    <w:rsid w:val="76365AD0"/>
    <w:rsid w:val="763E44C0"/>
    <w:rsid w:val="76433653"/>
    <w:rsid w:val="7648216B"/>
    <w:rsid w:val="765D57EA"/>
    <w:rsid w:val="7688585F"/>
    <w:rsid w:val="76933A35"/>
    <w:rsid w:val="76AE1756"/>
    <w:rsid w:val="76BE3027"/>
    <w:rsid w:val="76CA616D"/>
    <w:rsid w:val="76DF0E9A"/>
    <w:rsid w:val="76ED7180"/>
    <w:rsid w:val="76F54CF0"/>
    <w:rsid w:val="76FD5906"/>
    <w:rsid w:val="77072866"/>
    <w:rsid w:val="770B684E"/>
    <w:rsid w:val="771D50F3"/>
    <w:rsid w:val="771F1990"/>
    <w:rsid w:val="77204CB1"/>
    <w:rsid w:val="77432F5D"/>
    <w:rsid w:val="775C70FA"/>
    <w:rsid w:val="77676DD8"/>
    <w:rsid w:val="776D12D7"/>
    <w:rsid w:val="777C1603"/>
    <w:rsid w:val="77986676"/>
    <w:rsid w:val="77A14CDE"/>
    <w:rsid w:val="77AA2F7D"/>
    <w:rsid w:val="77C96BD3"/>
    <w:rsid w:val="77D60033"/>
    <w:rsid w:val="77D800C3"/>
    <w:rsid w:val="77E50D75"/>
    <w:rsid w:val="77F547E0"/>
    <w:rsid w:val="77F8286E"/>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A43903"/>
    <w:rsid w:val="78C148AC"/>
    <w:rsid w:val="78CA1FEE"/>
    <w:rsid w:val="78CB3FEB"/>
    <w:rsid w:val="793B5CE2"/>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A2E0E"/>
    <w:rsid w:val="79ED08FA"/>
    <w:rsid w:val="79F501D1"/>
    <w:rsid w:val="79FC00C4"/>
    <w:rsid w:val="79FC2BF8"/>
    <w:rsid w:val="7A0610D0"/>
    <w:rsid w:val="7A067AFA"/>
    <w:rsid w:val="7A0C585A"/>
    <w:rsid w:val="7A2578FD"/>
    <w:rsid w:val="7A2C7450"/>
    <w:rsid w:val="7A326B5A"/>
    <w:rsid w:val="7A535A35"/>
    <w:rsid w:val="7A553725"/>
    <w:rsid w:val="7A604F43"/>
    <w:rsid w:val="7A616D0A"/>
    <w:rsid w:val="7A783A23"/>
    <w:rsid w:val="7A7F2C76"/>
    <w:rsid w:val="7A8F5500"/>
    <w:rsid w:val="7AAC462A"/>
    <w:rsid w:val="7AD14E20"/>
    <w:rsid w:val="7AD85F47"/>
    <w:rsid w:val="7AF84FA0"/>
    <w:rsid w:val="7AF909C6"/>
    <w:rsid w:val="7B1F3681"/>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3F76F0"/>
    <w:rsid w:val="7CA33449"/>
    <w:rsid w:val="7CA45FF7"/>
    <w:rsid w:val="7CC61907"/>
    <w:rsid w:val="7CE0350C"/>
    <w:rsid w:val="7D0A0BA4"/>
    <w:rsid w:val="7D107AF3"/>
    <w:rsid w:val="7D28386F"/>
    <w:rsid w:val="7D4253C7"/>
    <w:rsid w:val="7D4C5341"/>
    <w:rsid w:val="7D4E5EE6"/>
    <w:rsid w:val="7D800310"/>
    <w:rsid w:val="7D8901AD"/>
    <w:rsid w:val="7D8E577D"/>
    <w:rsid w:val="7D8F2C22"/>
    <w:rsid w:val="7D90536C"/>
    <w:rsid w:val="7D9A426A"/>
    <w:rsid w:val="7D9A7FCD"/>
    <w:rsid w:val="7DD17FD1"/>
    <w:rsid w:val="7DE70AC3"/>
    <w:rsid w:val="7DF245FC"/>
    <w:rsid w:val="7E006F08"/>
    <w:rsid w:val="7E3101B4"/>
    <w:rsid w:val="7E3172CD"/>
    <w:rsid w:val="7E333E03"/>
    <w:rsid w:val="7E391FE6"/>
    <w:rsid w:val="7E4D1B3B"/>
    <w:rsid w:val="7E4D6F6B"/>
    <w:rsid w:val="7E750D96"/>
    <w:rsid w:val="7E7A6F17"/>
    <w:rsid w:val="7E7D152D"/>
    <w:rsid w:val="7E841A66"/>
    <w:rsid w:val="7E876C73"/>
    <w:rsid w:val="7E916762"/>
    <w:rsid w:val="7E9E6093"/>
    <w:rsid w:val="7EA916FD"/>
    <w:rsid w:val="7EBF6723"/>
    <w:rsid w:val="7ED011E0"/>
    <w:rsid w:val="7EE53C64"/>
    <w:rsid w:val="7EEA29E2"/>
    <w:rsid w:val="7F541580"/>
    <w:rsid w:val="7F590594"/>
    <w:rsid w:val="7F667225"/>
    <w:rsid w:val="7F844A6E"/>
    <w:rsid w:val="7F887A65"/>
    <w:rsid w:val="7F9E05E2"/>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15</TotalTime>
  <ScaleCrop>false</ScaleCrop>
  <LinksUpToDate>false</LinksUpToDate>
  <CharactersWithSpaces>35017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2021-05-26T06:47:00Z</cp:lastPrinted>
  <dcterms:modified xsi:type="dcterms:W3CDTF">2021-05-27T09:11:35Z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383E715DF5C8458393E4A773507A30AF</vt:lpwstr>
  </property>
</Properties>
</file>