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128" w:name="_GoBack"/>
      <w:bookmarkEnd w:id="128"/>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安徽通康建设工程有限公司扩增专业分包企业库项目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20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二〇二一年四月三十</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安徽通康建设工程有限公司扩增专业分包企业库项目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96602410"/>
      <w:bookmarkStart w:id="2" w:name="_Toc179632536"/>
      <w:bookmarkStart w:id="3" w:name="_Toc246996166"/>
      <w:bookmarkStart w:id="4" w:name="_Toc246996909"/>
      <w:bookmarkStart w:id="5" w:name="_Toc144974487"/>
      <w:bookmarkStart w:id="6" w:name="_Toc247085680"/>
      <w:bookmarkStart w:id="7" w:name="_Toc15204229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79632537"/>
      <w:bookmarkStart w:id="9" w:name="_Toc144974488"/>
      <w:bookmarkStart w:id="10" w:name="_Toc152045520"/>
      <w:bookmarkStart w:id="11" w:name="_Toc246996167"/>
      <w:bookmarkStart w:id="12" w:name="_Toc152042296"/>
      <w:bookmarkStart w:id="13" w:name="_Toc296602411"/>
      <w:bookmarkStart w:id="14" w:name="_Toc246996910"/>
      <w:bookmarkStart w:id="15" w:name="_Toc247085681"/>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安徽通康建设工程有限公司扩增专业分包企业库项目</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BZJK-2021-20号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安徽通康建设工程有限公司扩增专业分包企业库项目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和本地化服务需要，为安徽通康建设工程有限公司承建的建设项目提供专业分包服务。现对安徽通康建设工程有限公司扩增专业分包企业库项目进行公开招标。经招标入库的单位，将作为招标人专业分包服务的优先合作对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专业分包范围：包括但不限于劳务、地基基础工程、消防设施工程、输变电工程、钢结构工程、绿化工程、建筑装修装饰工程、建筑机电安装工程、土石方工程、建筑幕墙工程、外墙保温、模板脚手架工程等。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w:t>
      </w:r>
      <w:r>
        <w:rPr>
          <w:rFonts w:hint="eastAsia" w:ascii="Times New Roman" w:hAnsi="Times New Roman" w:eastAsia="仿宋_GB2312" w:cs="Times New Roman"/>
          <w:sz w:val="28"/>
          <w:szCs w:val="28"/>
          <w:highlight w:val="none"/>
          <w:shd w:val="clear"/>
          <w:lang w:val="en-US" w:eastAsia="zh-CN"/>
        </w:rPr>
        <w:t xml:space="preserve">拟入库单位数量：不限 </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注：经评标委员会评审，满足招标人要求的企业，经考察合格后可以入库。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（五）服务期限：3年。有效期满，经考核合格后的企业，可继续准予入库管理。考核不合格的企业，不再享有入库资格，具体详见《安徽通康建设工程有限公司专业分包库管理办法实施细则（试行）》。</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w:t>
      </w:r>
      <w:r>
        <w:rPr>
          <w:rFonts w:hint="default" w:ascii="Times New Roman" w:hAnsi="Times New Roman" w:eastAsia="仿宋_GB2312" w:cs="Times New Roman"/>
          <w:sz w:val="28"/>
          <w:szCs w:val="28"/>
          <w:highlight w:val="none"/>
          <w:lang w:val="en-US" w:eastAsia="zh-CN"/>
        </w:rPr>
        <w:t>具备独立法人资格，具备独立承担民事责任的能力。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具备相应的专业分包资质及安全生产许可证。详见《建筑业企业资质标准》。无资质要求的专业分包应在营业执照经营范围内体现该专业分包内容。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w:t>
      </w:r>
      <w:r>
        <w:rPr>
          <w:rFonts w:hint="default" w:ascii="Times New Roman" w:hAnsi="Times New Roman" w:eastAsia="仿宋_GB2312" w:cs="Times New Roman"/>
          <w:sz w:val="28"/>
          <w:szCs w:val="28"/>
          <w:highlight w:val="none"/>
          <w:lang w:val="en-US" w:eastAsia="zh-CN"/>
        </w:rPr>
        <w:t>2017年1月1日至今，已完成3个单项合同金额100万元</w:t>
      </w:r>
      <w:r>
        <w:rPr>
          <w:rFonts w:hint="eastAsia" w:ascii="Times New Roman" w:hAnsi="Times New Roman" w:eastAsia="仿宋_GB2312" w:cs="Times New Roman"/>
          <w:sz w:val="28"/>
          <w:szCs w:val="28"/>
          <w:highlight w:val="none"/>
          <w:lang w:val="en-US" w:eastAsia="zh-CN"/>
        </w:rPr>
        <w:t>及</w:t>
      </w:r>
      <w:r>
        <w:rPr>
          <w:rFonts w:hint="default" w:ascii="Times New Roman" w:hAnsi="Times New Roman" w:eastAsia="仿宋_GB2312" w:cs="Times New Roman"/>
          <w:sz w:val="28"/>
          <w:szCs w:val="28"/>
          <w:highlight w:val="none"/>
          <w:lang w:val="en-US" w:eastAsia="zh-CN"/>
        </w:rPr>
        <w:t>以上的业绩（</w:t>
      </w:r>
      <w:r>
        <w:rPr>
          <w:rFonts w:hint="eastAsia" w:ascii="Times New Roman" w:hAnsi="Times New Roman" w:eastAsia="仿宋_GB2312" w:cs="Times New Roman"/>
          <w:sz w:val="28"/>
          <w:szCs w:val="28"/>
          <w:highlight w:val="none"/>
          <w:lang w:val="en-US" w:eastAsia="zh-CN"/>
        </w:rPr>
        <w:t>每个专业分包均须提供3个业绩，以合同签订时间为准。</w:t>
      </w:r>
      <w:r>
        <w:rPr>
          <w:rFonts w:hint="default" w:ascii="Times New Roman" w:hAnsi="Times New Roman" w:eastAsia="仿宋_GB2312" w:cs="Times New Roman"/>
          <w:sz w:val="28"/>
          <w:szCs w:val="28"/>
          <w:highlight w:val="none"/>
          <w:lang w:val="en-US" w:eastAsia="zh-CN"/>
        </w:rPr>
        <w:t>要求提供专业分包合同及竣工证明文件</w:t>
      </w:r>
      <w:r>
        <w:rPr>
          <w:rFonts w:hint="eastAsia" w:ascii="Times New Roman" w:hAnsi="Times New Roman" w:eastAsia="仿宋_GB2312" w:cs="Times New Roman"/>
          <w:sz w:val="28"/>
          <w:szCs w:val="28"/>
          <w:highlight w:val="none"/>
          <w:lang w:val="en-US" w:eastAsia="zh-CN"/>
        </w:rPr>
        <w:t>，专业分包工程竣工证明文件可由施工总承包出具竣工证明文件或竣工验收报告</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投标人企业财务状况良好，近三年内无因腐败或欺诈行为而被政府或业主宣布取消投标资格。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具有履行合同所必须的设备、专业技术能力。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投标人存在以下不良信用记录情形之一的，不得推荐为入库单位。</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shd w:val="clear"/>
          <w:lang w:val="en-US" w:eastAsia="zh-CN"/>
        </w:rPr>
        <w:t>投标人须提供信用中国网站查询结果截图</w:t>
      </w:r>
      <w:r>
        <w:rPr>
          <w:rFonts w:hint="default"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（七）投标人如在以往承接招标人项目过程中被记入“黑名单”，不得参加本次招标投标活动。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12 月31日17时00分。投标文件递交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w:t>
      </w:r>
      <w:r>
        <w:rPr>
          <w:rFonts w:hint="eastAsia" w:ascii="Times New Roman" w:hAnsi="Times New Roman" w:eastAsia="仿宋_GB2312" w:cs="Times New Roman"/>
          <w:sz w:val="28"/>
          <w:szCs w:val="28"/>
          <w:highlight w:val="none"/>
          <w:shd w:val="clear" w:fill="FFFF00"/>
          <w:lang w:val="en-US" w:eastAsia="zh-CN"/>
        </w:rPr>
        <w:t>投标单位可在投标截止时间之前任意时间递交投标文件，招标人根据实际情况，不定期组织评审。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0558-5998936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2021年4月30日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shd w:val="clear" w:fill="FFFF00"/>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有，具体要求：</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shd w:val="clear" w:fill="FFFF00"/>
                <w:lang w:val="en-US" w:eastAsia="zh-CN"/>
              </w:rPr>
            </w:pPr>
            <w:r>
              <w:rPr>
                <w:rFonts w:hint="eastAsia" w:asciiTheme="minorEastAsia" w:hAnsiTheme="minorEastAsia" w:cstheme="minorEastAsia"/>
                <w:szCs w:val="21"/>
                <w:highlight w:val="none"/>
                <w:shd w:val="clear" w:fill="FFFF00"/>
                <w:lang w:val="en-US" w:eastAsia="zh-CN"/>
              </w:rPr>
              <w:t>投标单位须提供2020年1月至今至少1年缴纳社会保险的凭据（仅土方工程、模板脚手架工程、起重设备安装工程投标单位可不提供社保凭证）；</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shd w:val="clear" w:fill="FFFF00"/>
                <w:lang w:val="en-US" w:eastAsia="zh-CN"/>
              </w:rPr>
            </w:pPr>
            <w:r>
              <w:rPr>
                <w:rFonts w:hint="eastAsia" w:ascii="Times New Roman" w:hAnsi="Times New Roman" w:cs="Times New Roman"/>
                <w:szCs w:val="21"/>
                <w:highlight w:val="none"/>
                <w:shd w:val="clear" w:fill="FFFF00"/>
                <w:lang w:val="en-US" w:eastAsia="zh-CN"/>
              </w:rPr>
              <w:t>提供近1年来至少3个月缴纳税收的凭据或税务机关开具的缴纳税收的证明材料（依法免税的投标人应提供相应证明文件）；</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eastAsia" w:asciiTheme="minorEastAsia" w:hAnsiTheme="minorEastAsia" w:cstheme="minorEastAsia"/>
                <w:szCs w:val="21"/>
                <w:highlight w:val="none"/>
                <w:shd w:val="clear" w:fill="FFFF00"/>
                <w:lang w:val="en-US" w:eastAsia="zh-CN"/>
              </w:rPr>
              <w:t>土方工程投标人应具有不低于10辆渣土运输车，须提供车辆行驶证件。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fill="FFFF00"/>
                <w:lang w:val="en-US" w:eastAsia="zh-CN"/>
              </w:rPr>
              <w:t>提供2019年-2020年任意1年经审计的财务报告或2020年1月至今银行出具的资信证明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安徽通康建设工程有限公司扩增专业分包企业库项目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BZJK-2021-20号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w:t>
            </w:r>
            <w:r>
              <w:rPr>
                <w:rFonts w:hint="eastAsia" w:ascii="Times New Roman" w:hAnsi="Times New Roman" w:cs="Times New Roman"/>
                <w:szCs w:val="21"/>
                <w:highlight w:val="none"/>
                <w:u w:val="none"/>
                <w:shd w:val="clear" w:fill="FFFF00"/>
                <w:lang w:val="en-US" w:eastAsia="zh-CN"/>
              </w:rPr>
              <w:t>投标单位可在投标截止时间之前任意时间递交投标文件，招标人根据实际情况，不定期组织评审。</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w:t>
            </w:r>
            <w:r>
              <w:rPr>
                <w:rFonts w:hint="eastAsia" w:ascii="Times New Roman" w:hAnsi="Times New Roman" w:cs="Times New Roman"/>
                <w:b/>
                <w:bCs/>
                <w:szCs w:val="21"/>
                <w:highlight w:val="none"/>
                <w:lang w:val="en-US" w:eastAsia="zh-CN"/>
              </w:rPr>
              <w:t>递交投标文件</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eastAsia" w:ascii="Times New Roman" w:hAnsi="Times New Roman" w:cs="Times New Roman"/>
                <w:color w:val="auto"/>
                <w:szCs w:val="21"/>
                <w:highlight w:val="none"/>
                <w:lang w:val="en-US" w:eastAsia="zh-CN"/>
              </w:rPr>
              <w:t>不公示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是否要求入库单位提交履约保证金：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入库单位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入库</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246996975"/>
      <w:bookmarkStart w:id="17" w:name="_Toc152042366"/>
      <w:bookmarkStart w:id="18" w:name="_Toc247085747"/>
      <w:bookmarkStart w:id="19" w:name="_Toc144974556"/>
      <w:bookmarkStart w:id="20" w:name="_Toc296602477"/>
      <w:bookmarkStart w:id="21" w:name="_Toc179632607"/>
      <w:bookmarkStart w:id="22" w:name="_Toc152045589"/>
      <w:bookmarkStart w:id="23" w:name="_Toc246996232"/>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财务状况要求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宋体" w:hAnsi="宋体"/>
                <w:color w:val="000000" w:themeColor="text1"/>
                <w:sz w:val="24"/>
                <w:szCs w:val="24"/>
                <w14:textFill>
                  <w14:solidFill>
                    <w14:schemeClr w14:val="tx1"/>
                  </w14:solidFill>
                </w14:textFill>
              </w:rPr>
              <w:t>依法缴纳税收证明材料</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符合第二章“投标人须知”第3.5.1款规定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color w:val="000000" w:themeColor="text1"/>
                <w:sz w:val="24"/>
                <w:szCs w:val="24"/>
                <w:lang w:val="en-US" w:eastAsia="zh-CN"/>
                <w14:textFill>
                  <w14:solidFill>
                    <w14:schemeClr w14:val="tx1"/>
                  </w14:solidFill>
                </w14:textFill>
              </w:rPr>
              <w:t>社保要求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符合第二章“投标人须知”第3.5.1款规定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本次评标为资格审查，经评标委员会评审，对满足招标文件实质性要求的</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资格审查通过的</w:t>
      </w:r>
      <w:r>
        <w:rPr>
          <w:rFonts w:hint="default" w:ascii="Times New Roman" w:hAnsi="Times New Roman" w:cs="Times New Roman" w:eastAsiaTheme="minorEastAsia"/>
          <w:kern w:val="0"/>
          <w:sz w:val="24"/>
          <w:szCs w:val="24"/>
          <w:highlight w:val="none"/>
        </w:rPr>
        <w:t>投标单位，列为考察对象，考察合格后，核准入库。</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247085748"/>
      <w:bookmarkStart w:id="26" w:name="_Toc246996233"/>
      <w:bookmarkStart w:id="27" w:name="_Toc152045590"/>
      <w:bookmarkStart w:id="28" w:name="_Toc144974557"/>
      <w:bookmarkStart w:id="29" w:name="_Toc246996976"/>
      <w:bookmarkStart w:id="30" w:name="_Toc296602478"/>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2368"/>
      <w:bookmarkStart w:id="33" w:name="_Toc144974558"/>
      <w:bookmarkStart w:id="34" w:name="_Toc246996234"/>
      <w:bookmarkStart w:id="35" w:name="_Toc247085749"/>
      <w:bookmarkStart w:id="36" w:name="_Toc246996977"/>
      <w:bookmarkStart w:id="37" w:name="_Toc152045591"/>
      <w:bookmarkStart w:id="38" w:name="_Toc179632609"/>
      <w:bookmarkStart w:id="39"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246996979"/>
      <w:bookmarkStart w:id="41" w:name="_Toc152042370"/>
      <w:bookmarkStart w:id="42" w:name="_Toc144974560"/>
      <w:bookmarkStart w:id="43" w:name="_Toc246996236"/>
      <w:bookmarkStart w:id="44" w:name="_Toc179632611"/>
      <w:bookmarkStart w:id="45" w:name="_Toc296602481"/>
      <w:bookmarkStart w:id="46" w:name="_Toc152045593"/>
      <w:bookmarkStart w:id="47" w:name="_Toc24708575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152045594"/>
      <w:bookmarkStart w:id="50" w:name="_Toc152042371"/>
      <w:bookmarkStart w:id="51" w:name="_Toc247085752"/>
      <w:bookmarkStart w:id="52" w:name="_Toc246996237"/>
      <w:bookmarkStart w:id="53" w:name="_Toc246996980"/>
      <w:bookmarkStart w:id="54" w:name="_Toc144974561"/>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3"/>
      <w:bookmarkStart w:id="57" w:name="_Toc246996982"/>
      <w:bookmarkStart w:id="58" w:name="_Toc296602484"/>
      <w:bookmarkStart w:id="59" w:name="_Toc179632614"/>
      <w:bookmarkStart w:id="60" w:name="_Toc247085754"/>
      <w:bookmarkStart w:id="61" w:name="_Toc144974563"/>
      <w:bookmarkStart w:id="62" w:name="_Toc152045596"/>
      <w:bookmarkStart w:id="63" w:name="_Toc246996239"/>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52045597"/>
      <w:bookmarkStart w:id="65" w:name="_Toc247085755"/>
      <w:bookmarkStart w:id="66" w:name="_Toc152042374"/>
      <w:bookmarkStart w:id="67" w:name="_Toc246996983"/>
      <w:bookmarkStart w:id="68" w:name="_Toc144974564"/>
      <w:bookmarkStart w:id="69" w:name="_Toc179632615"/>
      <w:bookmarkStart w:id="70" w:name="_Toc296602485"/>
      <w:bookmarkStart w:id="71" w:name="_Toc246996240"/>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除第二章“投标人须知”前附表授权直接确定入库候选人外，评标委员会按照资格审查结果推荐入库候选人。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.2 评标委员会完成评标后，应当向招标人提交书面评标报告和入库候选人名单。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1.以下附件，是合同的重要组成部分：《安徽通康建设工程有限公司专业分包库管理办法实施细则（试行）》及其后来可能发生的修订版本。</w:t>
      </w:r>
      <w:r>
        <w:rPr>
          <w:rFonts w:hint="eastAsia" w:ascii="Times New Roman" w:hAnsi="Times New Roman" w:cs="Times New Roman"/>
          <w:kern w:val="0"/>
          <w:sz w:val="24"/>
          <w:szCs w:val="24"/>
          <w:highlight w:val="none"/>
          <w:lang w:val="en-US" w:eastAsia="zh-CN"/>
        </w:rPr>
        <w:t>投标人</w:t>
      </w:r>
      <w:r>
        <w:rPr>
          <w:rFonts w:hint="eastAsia" w:ascii="Times New Roman" w:hAnsi="Times New Roman" w:cs="Times New Roman" w:eastAsiaTheme="minorEastAsia"/>
          <w:kern w:val="0"/>
          <w:sz w:val="24"/>
          <w:szCs w:val="24"/>
          <w:highlight w:val="none"/>
          <w:lang w:val="en-US" w:eastAsia="zh-CN"/>
        </w:rPr>
        <w:t>在签订合同时，视为已经充分浏览、理解和认可发包人内部有关规定及其后来可能发生的修订版本，并承诺严格遵守其管理、处罚、违约责任等内容要求。若</w:t>
      </w:r>
      <w:r>
        <w:rPr>
          <w:rFonts w:hint="eastAsia" w:ascii="Times New Roman" w:hAnsi="Times New Roman" w:cs="Times New Roman"/>
          <w:kern w:val="0"/>
          <w:sz w:val="24"/>
          <w:szCs w:val="24"/>
          <w:highlight w:val="none"/>
          <w:lang w:val="en-US" w:eastAsia="zh-CN"/>
        </w:rPr>
        <w:t>投标人</w:t>
      </w:r>
      <w:r>
        <w:rPr>
          <w:rFonts w:hint="eastAsia" w:ascii="Times New Roman" w:hAnsi="Times New Roman" w:cs="Times New Roman" w:eastAsiaTheme="minorEastAsia"/>
          <w:kern w:val="0"/>
          <w:sz w:val="24"/>
          <w:szCs w:val="24"/>
          <w:highlight w:val="none"/>
          <w:lang w:val="en-US" w:eastAsia="zh-CN"/>
        </w:rPr>
        <w:t>违反了上述制度规定，发包人有权依据该制度对其进行处罚。</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我单位将严格按照合同约定的付款节点支付工程款，绝不允许分包企业以任何形式煽动农民工讨薪，一经核实，清</w:t>
      </w:r>
      <w:r>
        <w:rPr>
          <w:rFonts w:hint="eastAsia" w:ascii="Times New Roman" w:hAnsi="Times New Roman" w:cs="Times New Roman" w:eastAsiaTheme="minorEastAsia"/>
          <w:kern w:val="0"/>
          <w:sz w:val="24"/>
          <w:szCs w:val="24"/>
          <w:highlight w:val="none"/>
          <w:lang w:val="en-US" w:eastAsia="zh-CN"/>
        </w:rPr>
        <w:t>除出</w:t>
      </w:r>
      <w:r>
        <w:rPr>
          <w:rFonts w:hint="default" w:ascii="Times New Roman" w:hAnsi="Times New Roman" w:cs="Times New Roman" w:eastAsiaTheme="minorEastAsia"/>
          <w:kern w:val="0"/>
          <w:sz w:val="24"/>
          <w:szCs w:val="24"/>
          <w:highlight w:val="none"/>
          <w:lang w:val="en-US" w:eastAsia="zh-CN"/>
        </w:rPr>
        <w:t>库。</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152042576"/>
      <w:bookmarkStart w:id="73" w:name="_Toc152045787"/>
      <w:bookmarkStart w:id="74" w:name="_Toc247514246"/>
      <w:bookmarkStart w:id="75" w:name="_Toc144974856"/>
      <w:bookmarkStart w:id="76" w:name="_Toc247527827"/>
      <w:bookmarkStart w:id="77" w:name="_Toc300835209"/>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三、投标保证金</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四、资格审查资料</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五、公司简介</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rPr>
        <w:t>六、其他资料</w:t>
      </w: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ascii="Times New Roman" w:hAnsi="Times New Roman"/>
          <w:szCs w:val="21"/>
          <w:highlight w:val="none"/>
          <w:u w:val="single"/>
        </w:rPr>
      </w:pPr>
      <w:r>
        <w:rPr>
          <w:rFonts w:hint="default" w:ascii="Times New Roman" w:hAnsi="Times New Roman"/>
          <w:color w:val="000000"/>
          <w:highlight w:val="none"/>
        </w:rPr>
        <w:t>一、投标函</w:t>
      </w:r>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hint="default" w:ascii="Times New Roman" w:hAnsi="Times New Roman"/>
          <w:szCs w:val="21"/>
          <w:highlight w:val="none"/>
          <w:lang w:val="en-US"/>
        </w:rPr>
      </w:pPr>
      <w:r>
        <w:rPr>
          <w:rFonts w:ascii="Times New Roman" w:hAnsi="Times New Roman"/>
          <w:szCs w:val="21"/>
          <w:highlight w:val="none"/>
        </w:rPr>
        <w:t>1</w:t>
      </w:r>
      <w:r>
        <w:rPr>
          <w:rFonts w:hint="eastAsia" w:ascii="Times New Roman" w:hAnsi="Times New Roman"/>
          <w:szCs w:val="21"/>
          <w:highlight w:val="none"/>
          <w:lang w:val="en-US" w:eastAsia="zh-CN"/>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w:t>
      </w:r>
      <w:r>
        <w:rPr>
          <w:rFonts w:hint="eastAsia" w:ascii="Times New Roman" w:hAnsi="Times New Roman"/>
          <w:szCs w:val="21"/>
          <w:highlight w:val="none"/>
          <w:lang w:val="en-US" w:eastAsia="zh-CN"/>
        </w:rPr>
        <w:t>按照招标文件要求执行，并严格遵守招标人内部有关分包企业管理制度及其后来可能发生的修订版本。</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（1）投标函；（2）法定代表人身份证明；</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2</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授权委托书；</w:t>
      </w:r>
      <w:r>
        <w:rPr>
          <w:rFonts w:hint="eastAsia" w:ascii="Times New Roman" w:hAnsi="Times New Roman"/>
          <w:color w:val="000000"/>
          <w:szCs w:val="21"/>
          <w:highlight w:val="none"/>
        </w:rPr>
        <w:t>（3）投标保证金；（</w:t>
      </w:r>
      <w:r>
        <w:rPr>
          <w:rFonts w:hint="eastAsia" w:ascii="Times New Roman" w:hAnsi="Times New Roman"/>
          <w:color w:val="000000"/>
          <w:szCs w:val="21"/>
          <w:highlight w:val="none"/>
          <w:lang w:val="en-US" w:eastAsia="zh-CN"/>
        </w:rPr>
        <w:t>4</w:t>
      </w:r>
      <w:r>
        <w:rPr>
          <w:rFonts w:hint="eastAsia" w:ascii="Times New Roman" w:hAnsi="Times New Roman"/>
          <w:color w:val="000000"/>
          <w:szCs w:val="21"/>
          <w:highlight w:val="none"/>
        </w:rPr>
        <w:t>）资格审查资料；（</w:t>
      </w:r>
      <w:r>
        <w:rPr>
          <w:rFonts w:hint="eastAsia" w:ascii="Times New Roman" w:hAnsi="Times New Roman"/>
          <w:color w:val="000000"/>
          <w:szCs w:val="21"/>
          <w:highlight w:val="none"/>
          <w:lang w:val="en-US" w:eastAsia="zh-CN"/>
        </w:rPr>
        <w:t>5</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公司简介</w:t>
      </w:r>
      <w:r>
        <w:rPr>
          <w:rFonts w:hint="eastAsia" w:ascii="Times New Roman" w:hAnsi="Times New Roman"/>
          <w:color w:val="000000"/>
          <w:szCs w:val="21"/>
          <w:highlight w:val="none"/>
        </w:rPr>
        <w:t>；</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6</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其他资料；</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w:t>
      </w:r>
      <w:r>
        <w:rPr>
          <w:rFonts w:hint="eastAsia" w:ascii="Times New Roman" w:hAnsi="Times New Roman"/>
          <w:szCs w:val="21"/>
          <w:highlight w:val="none"/>
          <w:lang w:val="en-US" w:eastAsia="zh-CN"/>
        </w:rPr>
        <w:t>入库</w:t>
      </w:r>
      <w:r>
        <w:rPr>
          <w:rFonts w:ascii="Times New Roman" w:hAnsi="Times New Roman"/>
          <w:szCs w:val="21"/>
          <w:highlight w:val="none"/>
        </w:rPr>
        <w:t>，我方承诺：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w:t>
      </w:r>
      <w:r>
        <w:rPr>
          <w:rFonts w:hint="eastAsia" w:ascii="Times New Roman" w:hAnsi="Times New Roman"/>
          <w:szCs w:val="21"/>
          <w:highlight w:val="none"/>
          <w:lang w:val="en-US" w:eastAsia="zh-CN"/>
        </w:rPr>
        <w:t>入库</w:t>
      </w:r>
      <w:r>
        <w:rPr>
          <w:rFonts w:ascii="Times New Roman" w:hAnsi="Times New Roman"/>
          <w:szCs w:val="21"/>
          <w:highlight w:val="none"/>
        </w:rPr>
        <w:t>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78" w:name="_Toc369531694"/>
      <w:bookmarkStart w:id="79" w:name="_Toc352691658"/>
      <w:bookmarkStart w:id="80" w:name="_Toc1187"/>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78"/>
      <w:bookmarkEnd w:id="79"/>
      <w:bookmarkEnd w:id="8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81" w:name="_Toc352691659"/>
      <w:bookmarkEnd w:id="81"/>
      <w:bookmarkStart w:id="82" w:name="_Toc369531695"/>
      <w:bookmarkEnd w:id="82"/>
      <w:bookmarkStart w:id="83" w:name="_Toc352691660"/>
      <w:bookmarkEnd w:id="83"/>
      <w:bookmarkStart w:id="84" w:name="_Toc16824"/>
      <w:bookmarkEnd w:id="84"/>
      <w:bookmarkStart w:id="85" w:name="_Toc369531696"/>
      <w:bookmarkEnd w:id="85"/>
      <w:bookmarkStart w:id="86" w:name="_Toc16568"/>
      <w:bookmarkEnd w:id="8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r>
        <w:rPr>
          <w:rFonts w:hint="eastAsia" w:ascii="Times New Roman" w:hAnsi="Times New Roman"/>
          <w:szCs w:val="21"/>
          <w:highlight w:val="none"/>
          <w:lang w:val="en-US" w:eastAsia="zh-CN"/>
        </w:rPr>
        <w:t>或盖章</w:t>
      </w:r>
      <w:r>
        <w:rPr>
          <w:rFonts w:ascii="Times New Roman" w:hAnsi="Times New Roman"/>
          <w:szCs w:val="21"/>
          <w:highlight w:val="none"/>
        </w:rPr>
        <w:t>）</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87" w:name="_Toc17960"/>
      <w:bookmarkStart w:id="88" w:name="_Toc352691661"/>
      <w:bookmarkStart w:id="89" w:name="_Toc384308375"/>
      <w:bookmarkStart w:id="90" w:name="_Toc361508752"/>
      <w:bookmarkStart w:id="91" w:name="_Toc369531697"/>
    </w:p>
    <w:p>
      <w:pPr>
        <w:rPr>
          <w:rFonts w:ascii="Times New Roman" w:hAnsi="Times New Roman"/>
          <w:color w:val="000000"/>
          <w:highlight w:val="none"/>
        </w:rPr>
      </w:pPr>
      <w:bookmarkStart w:id="92" w:name="_Toc492300529"/>
      <w:r>
        <w:rPr>
          <w:rFonts w:ascii="Times New Roman" w:hAnsi="Times New Roman"/>
          <w:color w:val="000000"/>
          <w:highlight w:val="none"/>
        </w:rPr>
        <w:br w:type="page"/>
      </w:r>
    </w:p>
    <w:p>
      <w:pPr>
        <w:pStyle w:val="3"/>
        <w:jc w:val="center"/>
        <w:rPr>
          <w:rFonts w:ascii="Times New Roman" w:hAnsi="Times New Roman"/>
          <w:color w:val="000000"/>
          <w:highlight w:val="none"/>
        </w:rPr>
      </w:pPr>
      <w:r>
        <w:rPr>
          <w:rFonts w:ascii="Times New Roman" w:hAnsi="Times New Roman"/>
          <w:color w:val="000000"/>
          <w:highlight w:val="none"/>
        </w:rPr>
        <w:t>二</w:t>
      </w:r>
      <w:bookmarkEnd w:id="87"/>
      <w:bookmarkEnd w:id="88"/>
      <w:bookmarkEnd w:id="89"/>
      <w:bookmarkEnd w:id="90"/>
      <w:bookmarkEnd w:id="91"/>
      <w:r>
        <w:rPr>
          <w:rFonts w:ascii="Times New Roman" w:hAnsi="Times New Roman"/>
          <w:color w:val="000000"/>
          <w:highlight w:val="none"/>
        </w:rPr>
        <w:t>、法定代表人身份证明</w:t>
      </w:r>
      <w:bookmarkEnd w:id="92"/>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93" w:name="_Toc27897"/>
      <w:bookmarkStart w:id="94" w:name="_Toc369531698"/>
      <w:bookmarkStart w:id="95" w:name="_Toc352691662"/>
      <w:r>
        <w:rPr>
          <w:rFonts w:ascii="Times New Roman" w:hAnsi="Times New Roman"/>
          <w:highlight w:val="none"/>
          <w:u w:val="single"/>
        </w:rPr>
        <w:t xml:space="preserve">        </w:t>
      </w:r>
      <w:r>
        <w:rPr>
          <w:rFonts w:ascii="Times New Roman" w:hAnsi="Times New Roman"/>
          <w:color w:val="000000"/>
          <w:highlight w:val="none"/>
        </w:rPr>
        <w:t>年</w:t>
      </w:r>
      <w:bookmarkEnd w:id="93"/>
      <w:bookmarkEnd w:id="94"/>
      <w:bookmarkEnd w:id="95"/>
      <w:r>
        <w:rPr>
          <w:rFonts w:ascii="Times New Roman" w:hAnsi="Times New Roman"/>
          <w:color w:val="000000"/>
          <w:highlight w:val="none"/>
        </w:rPr>
        <w:t>龄</w:t>
      </w:r>
      <w:bookmarkStart w:id="96" w:name="_Toc369531699"/>
      <w:bookmarkStart w:id="97" w:name="_Toc352691663"/>
      <w:bookmarkStart w:id="98" w:name="_Toc247527829"/>
      <w:bookmarkStart w:id="99" w:name="_Toc300835211"/>
      <w:bookmarkStart w:id="100" w:name="_Toc361508754"/>
      <w:bookmarkStart w:id="101" w:name="_Toc144974858"/>
      <w:bookmarkStart w:id="102" w:name="_Toc15573"/>
      <w:bookmarkStart w:id="103" w:name="_Toc384308377"/>
      <w:bookmarkStart w:id="104" w:name="_Toc152042578"/>
      <w:bookmarkStart w:id="105" w:name="_Toc247514248"/>
      <w:bookmarkStart w:id="106" w:name="_Toc152045789"/>
      <w:r>
        <w:rPr>
          <w:rFonts w:ascii="Times New Roman" w:hAnsi="Times New Roman"/>
          <w:color w:val="000000"/>
          <w:highlight w:val="none"/>
        </w:rPr>
        <w:t>：</w:t>
      </w:r>
      <w:bookmarkEnd w:id="96"/>
      <w:bookmarkEnd w:id="97"/>
      <w:bookmarkEnd w:id="98"/>
      <w:bookmarkEnd w:id="99"/>
      <w:bookmarkEnd w:id="100"/>
      <w:bookmarkEnd w:id="101"/>
      <w:bookmarkEnd w:id="102"/>
      <w:bookmarkEnd w:id="103"/>
      <w:bookmarkEnd w:id="104"/>
      <w:bookmarkEnd w:id="105"/>
      <w:bookmarkEnd w:id="106"/>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both"/>
        <w:rPr>
          <w:rFonts w:ascii="Times New Roman" w:hAnsi="Times New Roman"/>
          <w:color w:val="000000"/>
          <w:highlight w:val="none"/>
        </w:rPr>
      </w:pPr>
      <w:r>
        <w:rPr>
          <w:rFonts w:ascii="Times New Roman" w:hAnsi="Times New Roman"/>
          <w:color w:val="000000"/>
          <w:highlight w:val="none"/>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07" w:name="_Toc492300530"/>
      <w:bookmarkStart w:id="108" w:name="_Toc492300532"/>
      <w:r>
        <w:rPr>
          <w:rFonts w:hint="eastAsia" w:ascii="Times New Roman" w:hAnsi="Times New Roman"/>
          <w:color w:val="000000" w:themeColor="text1"/>
          <w:highlight w:val="none"/>
          <w14:textFill>
            <w14:solidFill>
              <w14:schemeClr w14:val="tx1"/>
            </w14:solidFill>
          </w14:textFill>
        </w:rPr>
        <w:t>二、授权委托书</w:t>
      </w:r>
      <w:bookmarkEnd w:id="107"/>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hint="eastAsia" w:ascii="Times New Roman" w:hAnsi="Times New Roman"/>
          <w:highlight w:val="none"/>
          <w:lang w:val="en-US" w:eastAsia="zh-CN"/>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pStyle w:val="3"/>
        <w:jc w:val="center"/>
        <w:rPr>
          <w:rFonts w:ascii="Times New Roman" w:hAnsi="Times New Roman"/>
          <w:highlight w:val="none"/>
        </w:rPr>
      </w:pPr>
      <w:r>
        <w:rPr>
          <w:rFonts w:hint="eastAsia" w:ascii="Times New Roman" w:hAnsi="Times New Roman"/>
          <w:highlight w:val="none"/>
          <w:lang w:val="en-US" w:eastAsia="zh-CN"/>
        </w:rPr>
        <w:t>三</w:t>
      </w:r>
      <w:r>
        <w:rPr>
          <w:rFonts w:hint="eastAsia" w:ascii="Times New Roman" w:hAnsi="Times New Roman"/>
          <w:highlight w:val="none"/>
        </w:rPr>
        <w:t>、</w:t>
      </w:r>
      <w:bookmarkStart w:id="109" w:name="_Toc300835214"/>
      <w:bookmarkStart w:id="110" w:name="_Toc352691666"/>
      <w:bookmarkStart w:id="111" w:name="_Toc152042581"/>
      <w:bookmarkStart w:id="112" w:name="_Toc369531702"/>
      <w:bookmarkStart w:id="113" w:name="_Toc384308381"/>
      <w:bookmarkStart w:id="114" w:name="_Toc152045792"/>
      <w:bookmarkStart w:id="115" w:name="_Toc247514284"/>
      <w:bookmarkStart w:id="116" w:name="_Toc247527832"/>
      <w:bookmarkStart w:id="117" w:name="_Toc13469"/>
      <w:bookmarkStart w:id="118" w:name="_Toc361508757"/>
      <w:bookmarkStart w:id="119" w:name="_Toc144974861"/>
      <w:r>
        <w:rPr>
          <w:rFonts w:hint="eastAsia" w:ascii="Times New Roman" w:hAnsi="Times New Roman"/>
          <w:highlight w:val="none"/>
        </w:rPr>
        <w:t>投标保证金</w:t>
      </w:r>
      <w:bookmarkEnd w:id="108"/>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109"/>
    <w:bookmarkEnd w:id="110"/>
    <w:bookmarkEnd w:id="111"/>
    <w:bookmarkEnd w:id="112"/>
    <w:bookmarkEnd w:id="113"/>
    <w:bookmarkEnd w:id="114"/>
    <w:bookmarkEnd w:id="115"/>
    <w:bookmarkEnd w:id="116"/>
    <w:bookmarkEnd w:id="117"/>
    <w:bookmarkEnd w:id="118"/>
    <w:bookmarkEnd w:id="119"/>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120" w:name="_Toc492300533"/>
      <w:r>
        <w:rPr>
          <w:rFonts w:ascii="Times New Roman" w:hAnsi="Times New Roman"/>
          <w:highlight w:val="none"/>
        </w:rPr>
        <w:br w:type="page"/>
      </w:r>
    </w:p>
    <w:bookmarkEnd w:id="120"/>
    <w:p>
      <w:pPr>
        <w:pStyle w:val="3"/>
        <w:spacing w:after="0"/>
        <w:jc w:val="center"/>
        <w:rPr>
          <w:rFonts w:ascii="Times New Roman" w:hAnsi="Times New Roman"/>
          <w:color w:val="000000"/>
          <w:highlight w:val="none"/>
        </w:rPr>
      </w:pPr>
      <w:bookmarkStart w:id="121" w:name="_Toc492300534"/>
      <w:bookmarkStart w:id="122" w:name="_Toc361508760"/>
      <w:r>
        <w:rPr>
          <w:rFonts w:hint="eastAsia" w:ascii="Times New Roman" w:hAnsi="Times New Roman"/>
          <w:color w:val="000000"/>
          <w:highlight w:val="none"/>
          <w:lang w:val="en-US" w:eastAsia="zh-CN"/>
        </w:rPr>
        <w:t>四</w:t>
      </w:r>
      <w:r>
        <w:rPr>
          <w:rFonts w:hint="eastAsia" w:ascii="Times New Roman" w:hAnsi="Times New Roman"/>
          <w:color w:val="000000"/>
          <w:highlight w:val="none"/>
        </w:rPr>
        <w:t>、资格审查资料</w:t>
      </w:r>
      <w:bookmarkEnd w:id="121"/>
    </w:p>
    <w:p>
      <w:pPr>
        <w:pStyle w:val="4"/>
        <w:spacing w:before="20" w:after="0"/>
        <w:ind w:firstLine="137"/>
        <w:rPr>
          <w:rFonts w:ascii="Times New Roman" w:hAnsi="Times New Roman"/>
          <w:color w:val="000000"/>
          <w:highlight w:val="none"/>
        </w:rPr>
      </w:pPr>
      <w:bookmarkStart w:id="123" w:name="_Toc492300535"/>
      <w:r>
        <w:rPr>
          <w:rFonts w:hint="eastAsia" w:ascii="Times New Roman" w:hAnsi="Times New Roman"/>
          <w:color w:val="000000"/>
          <w:highlight w:val="none"/>
        </w:rPr>
        <w:t>（一）基本情况表</w:t>
      </w:r>
      <w:bookmarkEnd w:id="123"/>
    </w:p>
    <w:tbl>
      <w:tblPr>
        <w:tblStyle w:val="16"/>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rPr>
              <w:t>联系方式</w:t>
            </w:r>
            <w:r>
              <w:rPr>
                <w:rFonts w:hint="eastAsia" w:ascii="Times New Roman" w:hAnsi="Times New Roman"/>
                <w:highlight w:val="none"/>
                <w:shd w:val="clear" w:fill="FFFF00"/>
                <w:lang w:eastAsia="zh-CN"/>
              </w:rPr>
              <w:t>（</w:t>
            </w:r>
            <w:r>
              <w:rPr>
                <w:rFonts w:hint="eastAsia" w:ascii="Times New Roman" w:hAnsi="Times New Roman"/>
                <w:highlight w:val="none"/>
                <w:shd w:val="clear" w:fill="FFFF00"/>
                <w:lang w:val="en-US" w:eastAsia="zh-CN"/>
              </w:rPr>
              <w:t>必填</w:t>
            </w:r>
            <w:r>
              <w:rPr>
                <w:rFonts w:hint="eastAsia" w:ascii="Times New Roman" w:hAnsi="Times New Roman"/>
                <w:highlight w:val="none"/>
                <w:shd w:val="clear" w:fill="FFFF00"/>
                <w:lang w:eastAsia="zh-CN"/>
              </w:rPr>
              <w:t>）</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lang w:val="en-US" w:eastAsia="zh-CN"/>
              </w:rPr>
              <w:t>邮箱</w:t>
            </w:r>
          </w:p>
        </w:tc>
        <w:tc>
          <w:tcPr>
            <w:tcW w:w="5942"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4"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专业分包类别（可以自行填写入库类别）</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hint="default" w:ascii="Times New Roman" w:hAnsi="Times New Roman"/>
                <w:highlight w:val="none"/>
                <w:lang w:val="en-US" w:eastAsia="zh-CN"/>
              </w:rPr>
            </w:pPr>
            <w:r>
              <w:rPr>
                <w:rFonts w:hint="eastAsia" w:ascii="Times New Roman" w:hAnsi="Times New Roman"/>
                <w:highlight w:val="none"/>
                <w:lang w:val="en-US" w:eastAsia="zh-CN"/>
              </w:rPr>
              <w:t>例如：1.输变电工程  2.土石方专业分包  3.消防设施工程……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hd w:val="clear" w:fill="FFFF00"/>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“投标人基本情况表”应附投标人营业执照</w:t>
      </w:r>
      <w:r>
        <w:rPr>
          <w:rFonts w:hint="eastAsia" w:ascii="Times New Roman" w:hAnsi="Times New Roman"/>
          <w:color w:val="000000"/>
          <w:highlight w:val="none"/>
          <w:lang w:eastAsia="zh-CN"/>
        </w:rPr>
        <w:t>、</w:t>
      </w:r>
      <w:r>
        <w:rPr>
          <w:rFonts w:hint="eastAsia" w:ascii="Times New Roman" w:hAnsi="Times New Roman"/>
          <w:color w:val="000000"/>
          <w:highlight w:val="none"/>
          <w:lang w:val="en-US" w:eastAsia="zh-CN"/>
        </w:rPr>
        <w:t>资质证书、安全生产许可证</w:t>
      </w:r>
      <w:r>
        <w:rPr>
          <w:rFonts w:hint="eastAsia" w:ascii="Times New Roman" w:hAnsi="Times New Roman"/>
          <w:color w:val="000000"/>
          <w:highlight w:val="none"/>
        </w:rPr>
        <w:t>等材料的复印件。</w:t>
      </w:r>
    </w:p>
    <w:p>
      <w:pPr>
        <w:spacing w:line="440" w:lineRule="exact"/>
        <w:rPr>
          <w:rFonts w:ascii="Times New Roman" w:hAnsi="Times New Roman"/>
          <w:color w:val="000000"/>
          <w:highlight w:val="none"/>
          <w:u w:val="single"/>
        </w:rPr>
      </w:pPr>
    </w:p>
    <w:p>
      <w:pPr>
        <w:rPr>
          <w:rFonts w:hint="eastAsia" w:ascii="Times New Roman" w:hAnsi="Times New Roman"/>
          <w:highlight w:val="none"/>
        </w:rPr>
      </w:pPr>
      <w:bookmarkStart w:id="124" w:name="_Toc492300536"/>
      <w:r>
        <w:rPr>
          <w:rFonts w:hint="eastAsia" w:ascii="Times New Roman" w:hAnsi="Times New Roman"/>
          <w:highlight w:val="none"/>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bookmarkEnd w:id="124"/>
      <w:r>
        <w:rPr>
          <w:rFonts w:hint="eastAsia" w:ascii="Times New Roman" w:hAnsi="Times New Roman"/>
          <w:highlight w:val="none"/>
          <w:lang w:eastAsia="zh-CN"/>
        </w:rPr>
        <w:t>（</w:t>
      </w:r>
      <w:r>
        <w:rPr>
          <w:rFonts w:hint="eastAsia" w:ascii="Times New Roman" w:hAnsi="Times New Roman"/>
          <w:highlight w:val="none"/>
          <w:lang w:val="en-US" w:eastAsia="zh-CN"/>
        </w:rPr>
        <w:t>银行资信证明</w:t>
      </w:r>
      <w:r>
        <w:rPr>
          <w:rFonts w:hint="eastAsia" w:ascii="Times New Roman" w:hAnsi="Times New Roman"/>
          <w:highlight w:val="none"/>
          <w:lang w:eastAsia="zh-CN"/>
        </w:rPr>
        <w:t>）</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topLinePunct/>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color w:val="000000"/>
          <w:highlight w:val="none"/>
          <w:lang w:val="en-US" w:eastAsia="zh-CN"/>
        </w:rPr>
        <w:t>2. 银行出具的资信证明。</w:t>
      </w:r>
    </w:p>
    <w:p>
      <w:pPr>
        <w:topLinePunct/>
        <w:spacing w:line="440" w:lineRule="exact"/>
        <w:ind w:firstLine="420" w:firstLineChars="200"/>
        <w:rPr>
          <w:rFonts w:hint="eastAsia" w:ascii="Times New Roman" w:hAnsi="Times New Roman"/>
          <w:color w:val="000000"/>
          <w:highlight w:val="none"/>
        </w:rPr>
      </w:pPr>
    </w:p>
    <w:p>
      <w:pPr>
        <w:topLinePunct/>
        <w:spacing w:line="440" w:lineRule="exact"/>
        <w:rPr>
          <w:rFonts w:hint="eastAsia" w:ascii="Times New Roman" w:hAnsi="Times New Roman"/>
          <w:highlight w:val="none"/>
        </w:rPr>
      </w:pPr>
      <w:bookmarkStart w:id="125" w:name="_Toc492300537"/>
      <w:r>
        <w:rPr>
          <w:rFonts w:hint="eastAsia" w:ascii="Times New Roman" w:hAnsi="Times New Roman"/>
          <w:highlight w:val="none"/>
        </w:rPr>
        <w:br w:type="page"/>
      </w:r>
    </w:p>
    <w:bookmarkEnd w:id="125"/>
    <w:p>
      <w:pPr>
        <w:pStyle w:val="4"/>
        <w:numPr>
          <w:ilvl w:val="0"/>
          <w:numId w:val="2"/>
        </w:numPr>
        <w:ind w:left="0" w:leftChars="0" w:firstLine="137" w:firstLineChars="0"/>
        <w:jc w:val="center"/>
        <w:rPr>
          <w:rFonts w:hint="eastAsia" w:ascii="Times New Roman" w:hAnsi="Times New Roman"/>
          <w:color w:val="000000"/>
          <w:highlight w:val="none"/>
          <w:lang w:val="en-US" w:eastAsia="zh-CN"/>
        </w:rPr>
      </w:pPr>
      <w:r>
        <w:rPr>
          <w:rFonts w:hint="eastAsia" w:ascii="Times New Roman" w:hAnsi="Times New Roman"/>
          <w:color w:val="000000"/>
          <w:highlight w:val="none"/>
          <w:lang w:val="en-US" w:eastAsia="zh-CN"/>
        </w:rPr>
        <w:t>社保证明材料</w:t>
      </w:r>
    </w:p>
    <w:p>
      <w:pPr>
        <w:pStyle w:val="4"/>
        <w:numPr>
          <w:ilvl w:val="0"/>
          <w:numId w:val="0"/>
        </w:numPr>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2"/>
        </w:numPr>
        <w:spacing w:line="440" w:lineRule="exact"/>
        <w:ind w:firstLine="137"/>
        <w:rPr>
          <w:rFonts w:hint="eastAsia" w:ascii="Times New Roman" w:hAnsi="Times New Roman" w:eastAsiaTheme="minorEastAsia"/>
          <w:color w:val="000000"/>
          <w:highlight w:val="none"/>
          <w:lang w:eastAsia="zh-CN"/>
        </w:rPr>
      </w:pPr>
      <w:r>
        <w:rPr>
          <w:rFonts w:hint="eastAsia" w:ascii="Times New Roman" w:hAnsi="Times New Roman"/>
          <w:color w:val="000000"/>
          <w:highlight w:val="none"/>
          <w:lang w:val="en-US" w:eastAsia="zh-CN"/>
        </w:rPr>
        <w:t>依法缴纳税收证明材料</w:t>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pStyle w:val="4"/>
        <w:numPr>
          <w:ilvl w:val="0"/>
          <w:numId w:val="0"/>
        </w:numPr>
        <w:ind w:left="137" w:leftChars="0"/>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8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8"/>
        <w:gridCol w:w="2522"/>
        <w:gridCol w:w="2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6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专业分包类别1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6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专业分包类别2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6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rPr>
          <w:rFonts w:ascii="Times New Roman" w:hAnsi="Times New Roman"/>
          <w:highlight w:val="none"/>
        </w:rPr>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bookmarkEnd w:id="122"/>
    <w:p>
      <w:pPr>
        <w:pStyle w:val="4"/>
        <w:ind w:firstLine="137"/>
        <w:rPr>
          <w:rFonts w:ascii="Times New Roman" w:hAnsi="Times New Roman"/>
          <w:highlight w:val="none"/>
        </w:rPr>
      </w:pPr>
      <w:bookmarkStart w:id="126" w:name="_Toc492300542"/>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）近年完成的类似项目情况表</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服务</w:t>
            </w:r>
            <w:r>
              <w:rPr>
                <w:rFonts w:hint="eastAsia" w:ascii="Times New Roman" w:hAnsi="Times New Roman"/>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w:t>
      </w:r>
      <w:r>
        <w:rPr>
          <w:rFonts w:hint="eastAsia" w:ascii="Times New Roman" w:hAnsi="Times New Roman"/>
          <w:color w:val="000000"/>
          <w:highlight w:val="none"/>
          <w:lang w:val="en-US" w:eastAsia="zh-CN"/>
        </w:rPr>
        <w:t>及竣工证明文件的复印件，并加盖投标人公章。</w:t>
      </w:r>
      <w:r>
        <w:rPr>
          <w:rFonts w:hint="eastAsia" w:ascii="Times New Roman" w:hAnsi="Times New Roman"/>
          <w:color w:val="000000"/>
          <w:highlight w:val="none"/>
        </w:rPr>
        <w:t>每张表格只填写一个项目，并标明序号。</w:t>
      </w:r>
    </w:p>
    <w:p>
      <w:pPr>
        <w:pStyle w:val="3"/>
        <w:spacing w:after="0"/>
        <w:jc w:val="center"/>
        <w:rPr>
          <w:rFonts w:hint="eastAsia" w:ascii="Times New Roman" w:hAnsi="Times New Roman"/>
          <w:color w:val="000000"/>
          <w:highlight w:val="none"/>
          <w:lang w:val="en-US" w:eastAsia="zh-CN"/>
        </w:rPr>
      </w:pPr>
    </w:p>
    <w:p>
      <w:pPr>
        <w:rPr>
          <w:rFonts w:hint="eastAsia"/>
          <w:lang w:val="en-US" w:eastAsia="zh-CN"/>
        </w:rPr>
      </w:pPr>
    </w:p>
    <w:p>
      <w:pPr>
        <w:pStyle w:val="3"/>
        <w:spacing w:after="0"/>
        <w:jc w:val="center"/>
        <w:rPr>
          <w:rFonts w:hint="default" w:ascii="Times New Roman" w:hAnsi="Times New Roman"/>
          <w:color w:val="000000"/>
          <w:highlight w:val="none"/>
          <w:lang w:val="en-US"/>
        </w:rPr>
      </w:pPr>
      <w:r>
        <w:rPr>
          <w:rFonts w:hint="eastAsia" w:ascii="Times New Roman" w:hAnsi="Times New Roman"/>
          <w:color w:val="000000"/>
          <w:highlight w:val="none"/>
          <w:lang w:val="en-US" w:eastAsia="zh-CN"/>
        </w:rPr>
        <w:t>五</w:t>
      </w:r>
      <w:r>
        <w:rPr>
          <w:rFonts w:ascii="Times New Roman" w:hAnsi="Times New Roman"/>
          <w:color w:val="000000"/>
          <w:highlight w:val="none"/>
        </w:rPr>
        <w:t>、</w:t>
      </w:r>
      <w:bookmarkEnd w:id="126"/>
      <w:r>
        <w:rPr>
          <w:rFonts w:hint="eastAsia" w:ascii="Times New Roman" w:hAnsi="Times New Roman"/>
          <w:color w:val="000000"/>
          <w:highlight w:val="none"/>
          <w:lang w:val="en-US" w:eastAsia="zh-CN"/>
        </w:rPr>
        <w:t>企业资料</w:t>
      </w: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27" w:name="_Toc492300543"/>
      <w:r>
        <w:rPr>
          <w:rFonts w:hint="eastAsia" w:ascii="Times New Roman" w:hAnsi="Times New Roman"/>
          <w:color w:val="000000"/>
          <w:highlight w:val="none"/>
          <w:lang w:val="en-US" w:eastAsia="zh-CN"/>
        </w:rPr>
        <w:t>六</w:t>
      </w:r>
      <w:r>
        <w:rPr>
          <w:rFonts w:ascii="Times New Roman" w:hAnsi="Times New Roman"/>
          <w:color w:val="000000"/>
          <w:highlight w:val="none"/>
        </w:rPr>
        <w:t>、其他资料</w:t>
      </w:r>
      <w:bookmarkEnd w:id="127"/>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7F0BFC"/>
    <w:multiLevelType w:val="singleLevel"/>
    <w:tmpl w:val="507F0BFC"/>
    <w:lvl w:ilvl="0" w:tentative="0">
      <w:start w:val="3"/>
      <w:numFmt w:val="chineseCounting"/>
      <w:suff w:val="space"/>
      <w:lvlText w:val="（%1）"/>
      <w:lvlJc w:val="left"/>
      <w:rPr>
        <w:rFonts w:hint="eastAsia"/>
      </w:rPr>
    </w:lvl>
  </w:abstractNum>
  <w:abstractNum w:abstractNumId="1">
    <w:nsid w:val="7AA31184"/>
    <w:multiLevelType w:val="singleLevel"/>
    <w:tmpl w:val="7AA31184"/>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7442B"/>
    <w:rsid w:val="00733B0B"/>
    <w:rsid w:val="00764376"/>
    <w:rsid w:val="00796B76"/>
    <w:rsid w:val="00850CC0"/>
    <w:rsid w:val="00B00F2F"/>
    <w:rsid w:val="00C81162"/>
    <w:rsid w:val="00EA2010"/>
    <w:rsid w:val="00FF308E"/>
    <w:rsid w:val="011E6004"/>
    <w:rsid w:val="0145105E"/>
    <w:rsid w:val="015366DE"/>
    <w:rsid w:val="017D6531"/>
    <w:rsid w:val="019846E3"/>
    <w:rsid w:val="01A72110"/>
    <w:rsid w:val="01CB0CDF"/>
    <w:rsid w:val="01CD2334"/>
    <w:rsid w:val="01E140D3"/>
    <w:rsid w:val="01F16263"/>
    <w:rsid w:val="02016132"/>
    <w:rsid w:val="021323E7"/>
    <w:rsid w:val="021D348F"/>
    <w:rsid w:val="02685DEE"/>
    <w:rsid w:val="026E5FAB"/>
    <w:rsid w:val="02983D41"/>
    <w:rsid w:val="02A31129"/>
    <w:rsid w:val="02A46690"/>
    <w:rsid w:val="02AC508C"/>
    <w:rsid w:val="02BE075F"/>
    <w:rsid w:val="02D34827"/>
    <w:rsid w:val="02F4317E"/>
    <w:rsid w:val="03067649"/>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762ABE"/>
    <w:rsid w:val="04806F13"/>
    <w:rsid w:val="04885B47"/>
    <w:rsid w:val="04A52387"/>
    <w:rsid w:val="04B54547"/>
    <w:rsid w:val="04CD15E8"/>
    <w:rsid w:val="04CF4810"/>
    <w:rsid w:val="04D36D79"/>
    <w:rsid w:val="04D63FDF"/>
    <w:rsid w:val="04EB08D2"/>
    <w:rsid w:val="04EC7DA2"/>
    <w:rsid w:val="050252F6"/>
    <w:rsid w:val="055625ED"/>
    <w:rsid w:val="05597C6C"/>
    <w:rsid w:val="0572490A"/>
    <w:rsid w:val="057E3D65"/>
    <w:rsid w:val="058253F2"/>
    <w:rsid w:val="05872EB9"/>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EE56D8"/>
    <w:rsid w:val="08135F8A"/>
    <w:rsid w:val="08150CEE"/>
    <w:rsid w:val="083726B7"/>
    <w:rsid w:val="08554A0D"/>
    <w:rsid w:val="08563EE1"/>
    <w:rsid w:val="086D3DA1"/>
    <w:rsid w:val="08774BE1"/>
    <w:rsid w:val="088B3CFD"/>
    <w:rsid w:val="088F5820"/>
    <w:rsid w:val="08903F11"/>
    <w:rsid w:val="08932D8F"/>
    <w:rsid w:val="08E46623"/>
    <w:rsid w:val="08ED571D"/>
    <w:rsid w:val="08F30303"/>
    <w:rsid w:val="08F85670"/>
    <w:rsid w:val="0917493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B5261"/>
    <w:rsid w:val="0A8E5075"/>
    <w:rsid w:val="0A8F11AF"/>
    <w:rsid w:val="0AA913FB"/>
    <w:rsid w:val="0AAE6B76"/>
    <w:rsid w:val="0AB37F43"/>
    <w:rsid w:val="0AB930A2"/>
    <w:rsid w:val="0ACA6A00"/>
    <w:rsid w:val="0ADD0DF0"/>
    <w:rsid w:val="0AEB40E8"/>
    <w:rsid w:val="0B0372C6"/>
    <w:rsid w:val="0B2810DB"/>
    <w:rsid w:val="0B416906"/>
    <w:rsid w:val="0B4F17A3"/>
    <w:rsid w:val="0B5D1C2A"/>
    <w:rsid w:val="0B685C3C"/>
    <w:rsid w:val="0B6B0903"/>
    <w:rsid w:val="0B7202E7"/>
    <w:rsid w:val="0B7B6764"/>
    <w:rsid w:val="0B991D46"/>
    <w:rsid w:val="0B9F686D"/>
    <w:rsid w:val="0BFF04A6"/>
    <w:rsid w:val="0C110CA2"/>
    <w:rsid w:val="0C364F9E"/>
    <w:rsid w:val="0C773477"/>
    <w:rsid w:val="0C905D65"/>
    <w:rsid w:val="0C9F113B"/>
    <w:rsid w:val="0CB445DA"/>
    <w:rsid w:val="0CD24CDF"/>
    <w:rsid w:val="0CD3448B"/>
    <w:rsid w:val="0CF072F3"/>
    <w:rsid w:val="0CF2037C"/>
    <w:rsid w:val="0D2466BD"/>
    <w:rsid w:val="0D2E4C9A"/>
    <w:rsid w:val="0D3A1668"/>
    <w:rsid w:val="0D5C2246"/>
    <w:rsid w:val="0D6A3C45"/>
    <w:rsid w:val="0D6B611E"/>
    <w:rsid w:val="0D7E1788"/>
    <w:rsid w:val="0D7F3B4D"/>
    <w:rsid w:val="0D84383E"/>
    <w:rsid w:val="0DA13B17"/>
    <w:rsid w:val="0DA277FF"/>
    <w:rsid w:val="0DB04681"/>
    <w:rsid w:val="0DB8057F"/>
    <w:rsid w:val="0DC57869"/>
    <w:rsid w:val="0DD331D8"/>
    <w:rsid w:val="0DDB677F"/>
    <w:rsid w:val="0DE90B73"/>
    <w:rsid w:val="0E05197A"/>
    <w:rsid w:val="0E093A81"/>
    <w:rsid w:val="0E1201C4"/>
    <w:rsid w:val="0E2F36BD"/>
    <w:rsid w:val="0E3C08A3"/>
    <w:rsid w:val="0E626142"/>
    <w:rsid w:val="0E641F0C"/>
    <w:rsid w:val="0E6D3EE4"/>
    <w:rsid w:val="0E73304D"/>
    <w:rsid w:val="0E8168AC"/>
    <w:rsid w:val="0E825A70"/>
    <w:rsid w:val="0E92031F"/>
    <w:rsid w:val="0E9601D9"/>
    <w:rsid w:val="0EB07759"/>
    <w:rsid w:val="0EC22F25"/>
    <w:rsid w:val="0EDF4D5E"/>
    <w:rsid w:val="0EE80A4E"/>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1114551"/>
    <w:rsid w:val="11135389"/>
    <w:rsid w:val="112269D1"/>
    <w:rsid w:val="11356135"/>
    <w:rsid w:val="11537004"/>
    <w:rsid w:val="1173286D"/>
    <w:rsid w:val="11800917"/>
    <w:rsid w:val="118955AD"/>
    <w:rsid w:val="11970BCB"/>
    <w:rsid w:val="1197226B"/>
    <w:rsid w:val="119E5143"/>
    <w:rsid w:val="11AA0839"/>
    <w:rsid w:val="11AE342E"/>
    <w:rsid w:val="11C42470"/>
    <w:rsid w:val="11C71895"/>
    <w:rsid w:val="11CD444A"/>
    <w:rsid w:val="11E2334D"/>
    <w:rsid w:val="11E57D4D"/>
    <w:rsid w:val="11FC3F3B"/>
    <w:rsid w:val="120A72E0"/>
    <w:rsid w:val="12151B02"/>
    <w:rsid w:val="12374307"/>
    <w:rsid w:val="124D3BAD"/>
    <w:rsid w:val="125A52C4"/>
    <w:rsid w:val="12655D96"/>
    <w:rsid w:val="128C3A47"/>
    <w:rsid w:val="128E3C38"/>
    <w:rsid w:val="12912F2F"/>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8374C1"/>
    <w:rsid w:val="15A62ECC"/>
    <w:rsid w:val="15AC6A86"/>
    <w:rsid w:val="15B14179"/>
    <w:rsid w:val="15BB515A"/>
    <w:rsid w:val="15C516BD"/>
    <w:rsid w:val="15FF55AE"/>
    <w:rsid w:val="161B2B1F"/>
    <w:rsid w:val="166266B1"/>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9D4DA6"/>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1D49FC"/>
    <w:rsid w:val="192D7F6B"/>
    <w:rsid w:val="193D465D"/>
    <w:rsid w:val="193D4E12"/>
    <w:rsid w:val="195419D3"/>
    <w:rsid w:val="196C4606"/>
    <w:rsid w:val="196C6238"/>
    <w:rsid w:val="198A59D6"/>
    <w:rsid w:val="19A73D74"/>
    <w:rsid w:val="19AA5416"/>
    <w:rsid w:val="19B10C29"/>
    <w:rsid w:val="19CE7FF6"/>
    <w:rsid w:val="19D70C6D"/>
    <w:rsid w:val="19D91B94"/>
    <w:rsid w:val="19E2271F"/>
    <w:rsid w:val="19F3086D"/>
    <w:rsid w:val="1A075570"/>
    <w:rsid w:val="1A0873EE"/>
    <w:rsid w:val="1A1279DB"/>
    <w:rsid w:val="1A1C623A"/>
    <w:rsid w:val="1A222A0A"/>
    <w:rsid w:val="1A270D5F"/>
    <w:rsid w:val="1A400CFD"/>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A5220"/>
    <w:rsid w:val="1B3B258E"/>
    <w:rsid w:val="1B652C95"/>
    <w:rsid w:val="1B70155F"/>
    <w:rsid w:val="1B723039"/>
    <w:rsid w:val="1B765C75"/>
    <w:rsid w:val="1B7700FA"/>
    <w:rsid w:val="1B894EBC"/>
    <w:rsid w:val="1B8C1172"/>
    <w:rsid w:val="1B9269B7"/>
    <w:rsid w:val="1BB12BB2"/>
    <w:rsid w:val="1BCE49E9"/>
    <w:rsid w:val="1BD12722"/>
    <w:rsid w:val="1BD15865"/>
    <w:rsid w:val="1BE90199"/>
    <w:rsid w:val="1BFE7E24"/>
    <w:rsid w:val="1C100B6A"/>
    <w:rsid w:val="1C123CB3"/>
    <w:rsid w:val="1C2075D6"/>
    <w:rsid w:val="1C26254D"/>
    <w:rsid w:val="1C2B6CB4"/>
    <w:rsid w:val="1C3774BA"/>
    <w:rsid w:val="1C5D5F8B"/>
    <w:rsid w:val="1C637E71"/>
    <w:rsid w:val="1C6E241C"/>
    <w:rsid w:val="1C7D7596"/>
    <w:rsid w:val="1C9C2788"/>
    <w:rsid w:val="1C9C4490"/>
    <w:rsid w:val="1CA22948"/>
    <w:rsid w:val="1CB07DF9"/>
    <w:rsid w:val="1CC3681B"/>
    <w:rsid w:val="1CD143D0"/>
    <w:rsid w:val="1CF251D3"/>
    <w:rsid w:val="1CFF3217"/>
    <w:rsid w:val="1D0C3E62"/>
    <w:rsid w:val="1D1D0D81"/>
    <w:rsid w:val="1D5835F0"/>
    <w:rsid w:val="1D8C5045"/>
    <w:rsid w:val="1D9244F8"/>
    <w:rsid w:val="1D931CEA"/>
    <w:rsid w:val="1DC177D9"/>
    <w:rsid w:val="1DDE608F"/>
    <w:rsid w:val="1DE41A00"/>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740BF"/>
    <w:rsid w:val="209912D7"/>
    <w:rsid w:val="2099242E"/>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270787"/>
    <w:rsid w:val="224A2225"/>
    <w:rsid w:val="224D73DD"/>
    <w:rsid w:val="22592601"/>
    <w:rsid w:val="226D7B83"/>
    <w:rsid w:val="2293123C"/>
    <w:rsid w:val="22A31A7C"/>
    <w:rsid w:val="22A570EC"/>
    <w:rsid w:val="22B70712"/>
    <w:rsid w:val="23146AE4"/>
    <w:rsid w:val="232E56FD"/>
    <w:rsid w:val="233F5F96"/>
    <w:rsid w:val="235F4D23"/>
    <w:rsid w:val="23657029"/>
    <w:rsid w:val="236D4028"/>
    <w:rsid w:val="23745640"/>
    <w:rsid w:val="237A75E1"/>
    <w:rsid w:val="238A4DFC"/>
    <w:rsid w:val="23C053DE"/>
    <w:rsid w:val="23DF7B34"/>
    <w:rsid w:val="240C05DA"/>
    <w:rsid w:val="24226CC5"/>
    <w:rsid w:val="24312A4A"/>
    <w:rsid w:val="24427AE0"/>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FA546B"/>
    <w:rsid w:val="28FE025E"/>
    <w:rsid w:val="291C2605"/>
    <w:rsid w:val="29245F1A"/>
    <w:rsid w:val="29366359"/>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B0B000F"/>
    <w:rsid w:val="2B0F2542"/>
    <w:rsid w:val="2B252D72"/>
    <w:rsid w:val="2B3E0375"/>
    <w:rsid w:val="2B492499"/>
    <w:rsid w:val="2B652A8D"/>
    <w:rsid w:val="2B6A2F63"/>
    <w:rsid w:val="2B6C55DB"/>
    <w:rsid w:val="2B8D5640"/>
    <w:rsid w:val="2B9D66CE"/>
    <w:rsid w:val="2BF4029C"/>
    <w:rsid w:val="2C1C6937"/>
    <w:rsid w:val="2C202757"/>
    <w:rsid w:val="2C270D43"/>
    <w:rsid w:val="2C6436A6"/>
    <w:rsid w:val="2C7A2A8F"/>
    <w:rsid w:val="2C9023A5"/>
    <w:rsid w:val="2C937549"/>
    <w:rsid w:val="2C9D6A04"/>
    <w:rsid w:val="2C9F62F7"/>
    <w:rsid w:val="2CB62598"/>
    <w:rsid w:val="2CBC136A"/>
    <w:rsid w:val="2CD118B0"/>
    <w:rsid w:val="2CFE607B"/>
    <w:rsid w:val="2D095409"/>
    <w:rsid w:val="2D185752"/>
    <w:rsid w:val="2D204FAE"/>
    <w:rsid w:val="2D3A3199"/>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C23A0"/>
    <w:rsid w:val="2EFA0191"/>
    <w:rsid w:val="2EFC22DC"/>
    <w:rsid w:val="2F436846"/>
    <w:rsid w:val="2F4556CE"/>
    <w:rsid w:val="2F551B53"/>
    <w:rsid w:val="2F6E0AF5"/>
    <w:rsid w:val="2F6F3C93"/>
    <w:rsid w:val="2F754A27"/>
    <w:rsid w:val="2F7A423F"/>
    <w:rsid w:val="2FB1448A"/>
    <w:rsid w:val="2FC802AE"/>
    <w:rsid w:val="2FCE27B3"/>
    <w:rsid w:val="2FD11635"/>
    <w:rsid w:val="30027B6C"/>
    <w:rsid w:val="301C41BF"/>
    <w:rsid w:val="303048F7"/>
    <w:rsid w:val="303474C0"/>
    <w:rsid w:val="303C233C"/>
    <w:rsid w:val="305C41A9"/>
    <w:rsid w:val="30820205"/>
    <w:rsid w:val="308E41B5"/>
    <w:rsid w:val="30952C59"/>
    <w:rsid w:val="30ED6705"/>
    <w:rsid w:val="30EE0209"/>
    <w:rsid w:val="30FF4D69"/>
    <w:rsid w:val="3113559B"/>
    <w:rsid w:val="311978DB"/>
    <w:rsid w:val="312421F6"/>
    <w:rsid w:val="3127420C"/>
    <w:rsid w:val="31277147"/>
    <w:rsid w:val="31477BEB"/>
    <w:rsid w:val="315523B1"/>
    <w:rsid w:val="315F79F9"/>
    <w:rsid w:val="318318AF"/>
    <w:rsid w:val="3198056E"/>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74C7A"/>
    <w:rsid w:val="32BB4ABE"/>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240E3"/>
    <w:rsid w:val="345F605B"/>
    <w:rsid w:val="34767BE8"/>
    <w:rsid w:val="347F1D3B"/>
    <w:rsid w:val="349B5E0E"/>
    <w:rsid w:val="34A432B6"/>
    <w:rsid w:val="34AA020B"/>
    <w:rsid w:val="34BC17DA"/>
    <w:rsid w:val="34D015E3"/>
    <w:rsid w:val="34EC3ED5"/>
    <w:rsid w:val="34F56DA3"/>
    <w:rsid w:val="34F85DA8"/>
    <w:rsid w:val="3509398E"/>
    <w:rsid w:val="3547266B"/>
    <w:rsid w:val="354B62D7"/>
    <w:rsid w:val="3554479E"/>
    <w:rsid w:val="35562720"/>
    <w:rsid w:val="35792722"/>
    <w:rsid w:val="357A36D1"/>
    <w:rsid w:val="357D63E5"/>
    <w:rsid w:val="357F00D0"/>
    <w:rsid w:val="35894506"/>
    <w:rsid w:val="35A377DB"/>
    <w:rsid w:val="35A52977"/>
    <w:rsid w:val="35CA3B9C"/>
    <w:rsid w:val="35E7387F"/>
    <w:rsid w:val="35E81F7A"/>
    <w:rsid w:val="35F117F7"/>
    <w:rsid w:val="35F52BF3"/>
    <w:rsid w:val="36041802"/>
    <w:rsid w:val="360530D8"/>
    <w:rsid w:val="3605698A"/>
    <w:rsid w:val="36162F1C"/>
    <w:rsid w:val="361937E8"/>
    <w:rsid w:val="363277D2"/>
    <w:rsid w:val="366244D5"/>
    <w:rsid w:val="3665136E"/>
    <w:rsid w:val="36A82C1D"/>
    <w:rsid w:val="36B34449"/>
    <w:rsid w:val="36C342D9"/>
    <w:rsid w:val="36C3654A"/>
    <w:rsid w:val="370F2E93"/>
    <w:rsid w:val="370F32ED"/>
    <w:rsid w:val="37306225"/>
    <w:rsid w:val="374E35E0"/>
    <w:rsid w:val="37560CC6"/>
    <w:rsid w:val="378D0CEB"/>
    <w:rsid w:val="379A026D"/>
    <w:rsid w:val="37A2207E"/>
    <w:rsid w:val="37A2434F"/>
    <w:rsid w:val="37E22DB7"/>
    <w:rsid w:val="37ED32C0"/>
    <w:rsid w:val="37ED6D6E"/>
    <w:rsid w:val="37F25985"/>
    <w:rsid w:val="38041E33"/>
    <w:rsid w:val="380C3B20"/>
    <w:rsid w:val="38422CE2"/>
    <w:rsid w:val="38464281"/>
    <w:rsid w:val="386E21B0"/>
    <w:rsid w:val="388A69C4"/>
    <w:rsid w:val="38AE496C"/>
    <w:rsid w:val="38B54D45"/>
    <w:rsid w:val="38B7072B"/>
    <w:rsid w:val="38D242CD"/>
    <w:rsid w:val="38DC6FB6"/>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AA25F7"/>
    <w:rsid w:val="3CD537E6"/>
    <w:rsid w:val="3CD93879"/>
    <w:rsid w:val="3D2571D3"/>
    <w:rsid w:val="3D760221"/>
    <w:rsid w:val="3D7A2818"/>
    <w:rsid w:val="3D8106EA"/>
    <w:rsid w:val="3D834DF8"/>
    <w:rsid w:val="3DA352B1"/>
    <w:rsid w:val="3DBA258D"/>
    <w:rsid w:val="3DBA61E7"/>
    <w:rsid w:val="3DBE59FA"/>
    <w:rsid w:val="3DD227FE"/>
    <w:rsid w:val="3DD55956"/>
    <w:rsid w:val="3DD64112"/>
    <w:rsid w:val="3DF7051E"/>
    <w:rsid w:val="3DFC4E1B"/>
    <w:rsid w:val="3E100FFC"/>
    <w:rsid w:val="3E201534"/>
    <w:rsid w:val="3E216B4D"/>
    <w:rsid w:val="3E3026F8"/>
    <w:rsid w:val="3E4E3A85"/>
    <w:rsid w:val="3E626750"/>
    <w:rsid w:val="3E651EE9"/>
    <w:rsid w:val="3E784A78"/>
    <w:rsid w:val="3E8554F5"/>
    <w:rsid w:val="3E8770E8"/>
    <w:rsid w:val="3EB65E71"/>
    <w:rsid w:val="3EC33032"/>
    <w:rsid w:val="3EC61DB3"/>
    <w:rsid w:val="3EF612F1"/>
    <w:rsid w:val="3EF62661"/>
    <w:rsid w:val="3F3C595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F1967"/>
    <w:rsid w:val="411D6169"/>
    <w:rsid w:val="411E18B0"/>
    <w:rsid w:val="41335FC7"/>
    <w:rsid w:val="415978C8"/>
    <w:rsid w:val="415C1B4D"/>
    <w:rsid w:val="417843F2"/>
    <w:rsid w:val="418A1799"/>
    <w:rsid w:val="41A325D5"/>
    <w:rsid w:val="41A61C3F"/>
    <w:rsid w:val="41B16CE3"/>
    <w:rsid w:val="41B17185"/>
    <w:rsid w:val="41BA5808"/>
    <w:rsid w:val="41F05895"/>
    <w:rsid w:val="41F940DA"/>
    <w:rsid w:val="420155A5"/>
    <w:rsid w:val="420C70DA"/>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FD7280"/>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D1C6D"/>
    <w:rsid w:val="453E4B66"/>
    <w:rsid w:val="453F207E"/>
    <w:rsid w:val="454276A8"/>
    <w:rsid w:val="45465AD9"/>
    <w:rsid w:val="459F2E08"/>
    <w:rsid w:val="45A31600"/>
    <w:rsid w:val="45E526C2"/>
    <w:rsid w:val="45ED2979"/>
    <w:rsid w:val="45EF4AA8"/>
    <w:rsid w:val="45EF5694"/>
    <w:rsid w:val="45F32D75"/>
    <w:rsid w:val="45F86B49"/>
    <w:rsid w:val="45FE4441"/>
    <w:rsid w:val="460934CE"/>
    <w:rsid w:val="461A7582"/>
    <w:rsid w:val="461F685B"/>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283E39"/>
    <w:rsid w:val="485803F1"/>
    <w:rsid w:val="4865215C"/>
    <w:rsid w:val="486942C4"/>
    <w:rsid w:val="487B552A"/>
    <w:rsid w:val="48842F37"/>
    <w:rsid w:val="48B05292"/>
    <w:rsid w:val="48B971DC"/>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311212"/>
    <w:rsid w:val="4B373C21"/>
    <w:rsid w:val="4B3E6720"/>
    <w:rsid w:val="4B433243"/>
    <w:rsid w:val="4B43535A"/>
    <w:rsid w:val="4B476348"/>
    <w:rsid w:val="4B625BF7"/>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1C2C8C"/>
    <w:rsid w:val="4D1E77BE"/>
    <w:rsid w:val="4D245FC5"/>
    <w:rsid w:val="4D2B3B2C"/>
    <w:rsid w:val="4D6E5F4C"/>
    <w:rsid w:val="4DA943B0"/>
    <w:rsid w:val="4DB75561"/>
    <w:rsid w:val="4DC515BB"/>
    <w:rsid w:val="4DCB5984"/>
    <w:rsid w:val="4DD64458"/>
    <w:rsid w:val="4E135BFA"/>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44D8F"/>
    <w:rsid w:val="4FB130F2"/>
    <w:rsid w:val="4FCA5221"/>
    <w:rsid w:val="4FCB4BB3"/>
    <w:rsid w:val="4FE17EA9"/>
    <w:rsid w:val="4FED0FB9"/>
    <w:rsid w:val="4FF7660A"/>
    <w:rsid w:val="50245208"/>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3F2F9F"/>
    <w:rsid w:val="544E52F1"/>
    <w:rsid w:val="54883400"/>
    <w:rsid w:val="548C148A"/>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B12989"/>
    <w:rsid w:val="57C83C57"/>
    <w:rsid w:val="57CF7F96"/>
    <w:rsid w:val="57D11041"/>
    <w:rsid w:val="57EC2A0C"/>
    <w:rsid w:val="57FB2FB4"/>
    <w:rsid w:val="582014EC"/>
    <w:rsid w:val="582028C2"/>
    <w:rsid w:val="582908A2"/>
    <w:rsid w:val="583D07DD"/>
    <w:rsid w:val="585F1862"/>
    <w:rsid w:val="58620D26"/>
    <w:rsid w:val="58706FB1"/>
    <w:rsid w:val="587C5983"/>
    <w:rsid w:val="58AE77D0"/>
    <w:rsid w:val="58E8415E"/>
    <w:rsid w:val="58FF1A45"/>
    <w:rsid w:val="591C580B"/>
    <w:rsid w:val="5926497A"/>
    <w:rsid w:val="595035A8"/>
    <w:rsid w:val="595D3E12"/>
    <w:rsid w:val="598446C5"/>
    <w:rsid w:val="59961EFB"/>
    <w:rsid w:val="59A11353"/>
    <w:rsid w:val="59A321F0"/>
    <w:rsid w:val="5A0336C4"/>
    <w:rsid w:val="5A1D0D82"/>
    <w:rsid w:val="5A20315B"/>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F3C34"/>
    <w:rsid w:val="5BD32897"/>
    <w:rsid w:val="5BEF09B7"/>
    <w:rsid w:val="5BF50A44"/>
    <w:rsid w:val="5C295CCC"/>
    <w:rsid w:val="5C381A3A"/>
    <w:rsid w:val="5C5C135C"/>
    <w:rsid w:val="5C836352"/>
    <w:rsid w:val="5C872DAA"/>
    <w:rsid w:val="5C974816"/>
    <w:rsid w:val="5CA97228"/>
    <w:rsid w:val="5CAB4931"/>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86B8E"/>
    <w:rsid w:val="5E7F1CA4"/>
    <w:rsid w:val="5E937CCC"/>
    <w:rsid w:val="5EF83794"/>
    <w:rsid w:val="5F0173CC"/>
    <w:rsid w:val="5F1A1A93"/>
    <w:rsid w:val="5F287F7E"/>
    <w:rsid w:val="5F475677"/>
    <w:rsid w:val="5F484198"/>
    <w:rsid w:val="5F567498"/>
    <w:rsid w:val="5F740B7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0082D"/>
    <w:rsid w:val="60D73E5C"/>
    <w:rsid w:val="60DB5486"/>
    <w:rsid w:val="60E82C1A"/>
    <w:rsid w:val="60EC0541"/>
    <w:rsid w:val="60FD245E"/>
    <w:rsid w:val="60FF2E22"/>
    <w:rsid w:val="61033EA8"/>
    <w:rsid w:val="61041F36"/>
    <w:rsid w:val="610A1613"/>
    <w:rsid w:val="6117702C"/>
    <w:rsid w:val="61251167"/>
    <w:rsid w:val="61432D9E"/>
    <w:rsid w:val="61683AEB"/>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6857C6"/>
    <w:rsid w:val="62923991"/>
    <w:rsid w:val="62D365E3"/>
    <w:rsid w:val="62EB4238"/>
    <w:rsid w:val="62F20D03"/>
    <w:rsid w:val="62F26EC0"/>
    <w:rsid w:val="62F75B83"/>
    <w:rsid w:val="63095375"/>
    <w:rsid w:val="630E4188"/>
    <w:rsid w:val="6312135F"/>
    <w:rsid w:val="63152F31"/>
    <w:rsid w:val="63183A98"/>
    <w:rsid w:val="631F1AA4"/>
    <w:rsid w:val="632A3D0D"/>
    <w:rsid w:val="633443AB"/>
    <w:rsid w:val="63424782"/>
    <w:rsid w:val="638857E1"/>
    <w:rsid w:val="63914960"/>
    <w:rsid w:val="63964A9A"/>
    <w:rsid w:val="639C59F1"/>
    <w:rsid w:val="63AB78F4"/>
    <w:rsid w:val="63C642C7"/>
    <w:rsid w:val="63C85688"/>
    <w:rsid w:val="63CD5666"/>
    <w:rsid w:val="63D01EF3"/>
    <w:rsid w:val="63D2038C"/>
    <w:rsid w:val="63E631E1"/>
    <w:rsid w:val="63F436D0"/>
    <w:rsid w:val="63F66CE6"/>
    <w:rsid w:val="640E7E19"/>
    <w:rsid w:val="647527CB"/>
    <w:rsid w:val="648A0F84"/>
    <w:rsid w:val="648E4974"/>
    <w:rsid w:val="648F4377"/>
    <w:rsid w:val="649E65A7"/>
    <w:rsid w:val="64B70C4D"/>
    <w:rsid w:val="64CF58F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F27286"/>
    <w:rsid w:val="6602655A"/>
    <w:rsid w:val="66037BA1"/>
    <w:rsid w:val="660D45C7"/>
    <w:rsid w:val="66280ABB"/>
    <w:rsid w:val="66425D39"/>
    <w:rsid w:val="666717B3"/>
    <w:rsid w:val="6668032B"/>
    <w:rsid w:val="667C4290"/>
    <w:rsid w:val="669956C7"/>
    <w:rsid w:val="669C13AC"/>
    <w:rsid w:val="66C95898"/>
    <w:rsid w:val="66CC3675"/>
    <w:rsid w:val="66DC2CB9"/>
    <w:rsid w:val="66F8201A"/>
    <w:rsid w:val="67066EBB"/>
    <w:rsid w:val="671C5A04"/>
    <w:rsid w:val="6734528A"/>
    <w:rsid w:val="673F01D2"/>
    <w:rsid w:val="675A24C7"/>
    <w:rsid w:val="676777C3"/>
    <w:rsid w:val="677D4B8A"/>
    <w:rsid w:val="67802ACE"/>
    <w:rsid w:val="67804B33"/>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AE1735"/>
    <w:rsid w:val="68B037E5"/>
    <w:rsid w:val="68B72950"/>
    <w:rsid w:val="68C46C7C"/>
    <w:rsid w:val="68D10AC8"/>
    <w:rsid w:val="68D60630"/>
    <w:rsid w:val="68DB1439"/>
    <w:rsid w:val="68DB6AF8"/>
    <w:rsid w:val="68ED7332"/>
    <w:rsid w:val="68F8555D"/>
    <w:rsid w:val="68F97B65"/>
    <w:rsid w:val="691505E0"/>
    <w:rsid w:val="691D712E"/>
    <w:rsid w:val="694E2954"/>
    <w:rsid w:val="696528EF"/>
    <w:rsid w:val="697E7396"/>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592B"/>
    <w:rsid w:val="6AAD634C"/>
    <w:rsid w:val="6AB51195"/>
    <w:rsid w:val="6ABC3292"/>
    <w:rsid w:val="6AC04F0B"/>
    <w:rsid w:val="6AD34458"/>
    <w:rsid w:val="6ADC4801"/>
    <w:rsid w:val="6ADF25FC"/>
    <w:rsid w:val="6AFA1E66"/>
    <w:rsid w:val="6B020CD0"/>
    <w:rsid w:val="6B1148AC"/>
    <w:rsid w:val="6B3E0351"/>
    <w:rsid w:val="6B42449D"/>
    <w:rsid w:val="6B4A5562"/>
    <w:rsid w:val="6B565807"/>
    <w:rsid w:val="6B7A369F"/>
    <w:rsid w:val="6B942656"/>
    <w:rsid w:val="6BAC2823"/>
    <w:rsid w:val="6BBD5024"/>
    <w:rsid w:val="6BEB455F"/>
    <w:rsid w:val="6BF37DF1"/>
    <w:rsid w:val="6BFC07CA"/>
    <w:rsid w:val="6C0B4C1B"/>
    <w:rsid w:val="6C3C363C"/>
    <w:rsid w:val="6C546532"/>
    <w:rsid w:val="6C630CE9"/>
    <w:rsid w:val="6C914CAA"/>
    <w:rsid w:val="6C9A691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C237AE"/>
    <w:rsid w:val="6DE6139A"/>
    <w:rsid w:val="6DF91502"/>
    <w:rsid w:val="6E01482E"/>
    <w:rsid w:val="6E0D1941"/>
    <w:rsid w:val="6E174345"/>
    <w:rsid w:val="6E18292B"/>
    <w:rsid w:val="6E402C35"/>
    <w:rsid w:val="6E403BCF"/>
    <w:rsid w:val="6E424CF7"/>
    <w:rsid w:val="6E4D6B12"/>
    <w:rsid w:val="6E5213FE"/>
    <w:rsid w:val="6E96703D"/>
    <w:rsid w:val="6E984122"/>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708F2"/>
    <w:rsid w:val="70262445"/>
    <w:rsid w:val="70575662"/>
    <w:rsid w:val="70796EB7"/>
    <w:rsid w:val="70891E2B"/>
    <w:rsid w:val="709304FC"/>
    <w:rsid w:val="70B21D55"/>
    <w:rsid w:val="70BA4068"/>
    <w:rsid w:val="70F06D61"/>
    <w:rsid w:val="70F36F46"/>
    <w:rsid w:val="70FC142B"/>
    <w:rsid w:val="71231B23"/>
    <w:rsid w:val="713B214A"/>
    <w:rsid w:val="7144108E"/>
    <w:rsid w:val="714633CE"/>
    <w:rsid w:val="714F18B3"/>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3E3350D"/>
    <w:rsid w:val="74000D97"/>
    <w:rsid w:val="742D3750"/>
    <w:rsid w:val="74694C3B"/>
    <w:rsid w:val="746A6AAD"/>
    <w:rsid w:val="746D246B"/>
    <w:rsid w:val="747A4FBC"/>
    <w:rsid w:val="748B466B"/>
    <w:rsid w:val="74CC4EFB"/>
    <w:rsid w:val="74D469D0"/>
    <w:rsid w:val="74D94903"/>
    <w:rsid w:val="74DC7834"/>
    <w:rsid w:val="74E271F1"/>
    <w:rsid w:val="74E72166"/>
    <w:rsid w:val="75326EC3"/>
    <w:rsid w:val="754D60F6"/>
    <w:rsid w:val="7551327B"/>
    <w:rsid w:val="755D51F1"/>
    <w:rsid w:val="755F3E02"/>
    <w:rsid w:val="755F782E"/>
    <w:rsid w:val="75694406"/>
    <w:rsid w:val="75A16A9F"/>
    <w:rsid w:val="75BC6CCF"/>
    <w:rsid w:val="75E27D49"/>
    <w:rsid w:val="761867BE"/>
    <w:rsid w:val="76365AD0"/>
    <w:rsid w:val="765D57EA"/>
    <w:rsid w:val="7688585F"/>
    <w:rsid w:val="76A04E6F"/>
    <w:rsid w:val="76C4303A"/>
    <w:rsid w:val="76F54CF0"/>
    <w:rsid w:val="76FD5906"/>
    <w:rsid w:val="77072866"/>
    <w:rsid w:val="770B684E"/>
    <w:rsid w:val="770F15FA"/>
    <w:rsid w:val="77102197"/>
    <w:rsid w:val="771D50F3"/>
    <w:rsid w:val="77204CB1"/>
    <w:rsid w:val="774F2243"/>
    <w:rsid w:val="77754D18"/>
    <w:rsid w:val="777C1603"/>
    <w:rsid w:val="77A14CDE"/>
    <w:rsid w:val="77AA2F7D"/>
    <w:rsid w:val="77C96BD3"/>
    <w:rsid w:val="78266CE5"/>
    <w:rsid w:val="7827421F"/>
    <w:rsid w:val="78282A0C"/>
    <w:rsid w:val="782B4A23"/>
    <w:rsid w:val="78302F8F"/>
    <w:rsid w:val="784117AB"/>
    <w:rsid w:val="78510397"/>
    <w:rsid w:val="78552936"/>
    <w:rsid w:val="78731F0E"/>
    <w:rsid w:val="78754CBA"/>
    <w:rsid w:val="78962FA5"/>
    <w:rsid w:val="78C148AC"/>
    <w:rsid w:val="78CA1FEE"/>
    <w:rsid w:val="78CB3FEB"/>
    <w:rsid w:val="78CF5D59"/>
    <w:rsid w:val="792D64F5"/>
    <w:rsid w:val="79390F8A"/>
    <w:rsid w:val="793B5CE2"/>
    <w:rsid w:val="795C411F"/>
    <w:rsid w:val="796834B3"/>
    <w:rsid w:val="797B3C8A"/>
    <w:rsid w:val="797F45FC"/>
    <w:rsid w:val="79830C32"/>
    <w:rsid w:val="79970647"/>
    <w:rsid w:val="79BF65C1"/>
    <w:rsid w:val="79D9682C"/>
    <w:rsid w:val="79DB75C0"/>
    <w:rsid w:val="79E37881"/>
    <w:rsid w:val="79E4486C"/>
    <w:rsid w:val="79EA2E0E"/>
    <w:rsid w:val="79ED08FA"/>
    <w:rsid w:val="7A067AFA"/>
    <w:rsid w:val="7A0C585A"/>
    <w:rsid w:val="7A10251C"/>
    <w:rsid w:val="7A285A24"/>
    <w:rsid w:val="7A2C7450"/>
    <w:rsid w:val="7A326B5A"/>
    <w:rsid w:val="7A553725"/>
    <w:rsid w:val="7A616D0A"/>
    <w:rsid w:val="7A7F2C76"/>
    <w:rsid w:val="7A937EE1"/>
    <w:rsid w:val="7AAC462A"/>
    <w:rsid w:val="7AD85F47"/>
    <w:rsid w:val="7AF84FA0"/>
    <w:rsid w:val="7AF909C6"/>
    <w:rsid w:val="7B1F3681"/>
    <w:rsid w:val="7B3D723C"/>
    <w:rsid w:val="7B6F1BD0"/>
    <w:rsid w:val="7B732126"/>
    <w:rsid w:val="7B755C15"/>
    <w:rsid w:val="7B7B20CE"/>
    <w:rsid w:val="7B8E1216"/>
    <w:rsid w:val="7B9A1345"/>
    <w:rsid w:val="7BA226FD"/>
    <w:rsid w:val="7BB819E3"/>
    <w:rsid w:val="7BC51755"/>
    <w:rsid w:val="7BC67AB6"/>
    <w:rsid w:val="7BCA6C86"/>
    <w:rsid w:val="7C044DA1"/>
    <w:rsid w:val="7C132D64"/>
    <w:rsid w:val="7C2805DF"/>
    <w:rsid w:val="7CA33449"/>
    <w:rsid w:val="7CBB7A1A"/>
    <w:rsid w:val="7CBD54CE"/>
    <w:rsid w:val="7CE0350C"/>
    <w:rsid w:val="7D0A0BA4"/>
    <w:rsid w:val="7D107AF3"/>
    <w:rsid w:val="7D28386F"/>
    <w:rsid w:val="7D4253C7"/>
    <w:rsid w:val="7D4C5341"/>
    <w:rsid w:val="7D4E5EE6"/>
    <w:rsid w:val="7D800310"/>
    <w:rsid w:val="7D8901AD"/>
    <w:rsid w:val="7D8E577D"/>
    <w:rsid w:val="7D90536C"/>
    <w:rsid w:val="7D9A426A"/>
    <w:rsid w:val="7DE70AC3"/>
    <w:rsid w:val="7DF95F06"/>
    <w:rsid w:val="7E006F08"/>
    <w:rsid w:val="7E3172CD"/>
    <w:rsid w:val="7E333E03"/>
    <w:rsid w:val="7E391FE6"/>
    <w:rsid w:val="7E4D1B3B"/>
    <w:rsid w:val="7E7A6D00"/>
    <w:rsid w:val="7E916762"/>
    <w:rsid w:val="7EA916FD"/>
    <w:rsid w:val="7EB26467"/>
    <w:rsid w:val="7EB5727D"/>
    <w:rsid w:val="7EC0606D"/>
    <w:rsid w:val="7EE53C64"/>
    <w:rsid w:val="7F060D9A"/>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0</TotalTime>
  <ScaleCrop>false</ScaleCrop>
  <LinksUpToDate>false</LinksUpToDate>
  <CharactersWithSpaces>11635</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Kent.</cp:lastModifiedBy>
  <cp:lastPrinted>2021-04-23T03:54:00Z</cp:lastPrinted>
  <dcterms:modified xsi:type="dcterms:W3CDTF">2021-04-30T09:36:16Z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CB4323EF018C49BCB19C6306C5ED3050</vt:lpwstr>
  </property>
</Properties>
</file>