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亳州市公共交通集团有限公司工作装采购项目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017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二〇二一年四月二十三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亳州市公共交通集团有限公司工作装采购项目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166"/>
      <w:bookmarkStart w:id="2" w:name="_Toc179632536"/>
      <w:bookmarkStart w:id="3" w:name="_Toc144974487"/>
      <w:bookmarkStart w:id="4" w:name="_Toc152045519"/>
      <w:bookmarkStart w:id="5" w:name="_Toc247085680"/>
      <w:bookmarkStart w:id="6" w:name="_Toc246996909"/>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246996910"/>
      <w:bookmarkStart w:id="10" w:name="_Toc246996167"/>
      <w:bookmarkStart w:id="11" w:name="_Toc247085681"/>
      <w:bookmarkStart w:id="12" w:name="_Toc144974488"/>
      <w:bookmarkStart w:id="13" w:name="_Toc152045520"/>
      <w:bookmarkStart w:id="14" w:name="_Toc296602411"/>
      <w:bookmarkStart w:id="15" w:name="_Toc179632537"/>
      <w:r>
        <w:rPr>
          <w:rFonts w:hint="eastAsia"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u w:val="single"/>
          <w:lang w:val="en-US" w:eastAsia="zh-CN"/>
        </w:rPr>
        <w:t>亳州市公共交通集团有限公司工作装采购</w:t>
      </w:r>
      <w:r>
        <w:rPr>
          <w:rFonts w:hint="eastAsia" w:ascii="Times New Roman" w:hAnsi="Times New Roman" w:eastAsia="仿宋_GB2312" w:cs="Times New Roman"/>
          <w:sz w:val="28"/>
          <w:szCs w:val="28"/>
          <w:highlight w:val="none"/>
          <w:u w:val="none"/>
          <w:lang w:val="en-US" w:eastAsia="zh-CN"/>
        </w:rPr>
        <w:t>项目，项目编号为：</w:t>
      </w:r>
      <w:r>
        <w:rPr>
          <w:rFonts w:hint="eastAsia" w:ascii="Times New Roman" w:hAnsi="Times New Roman" w:eastAsia="仿宋_GB2312" w:cs="Times New Roman"/>
          <w:sz w:val="28"/>
          <w:szCs w:val="28"/>
          <w:highlight w:val="none"/>
          <w:u w:val="single"/>
          <w:lang w:val="en-US" w:eastAsia="zh-CN"/>
        </w:rPr>
        <w:t>BZJK-2021-017号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亳州市公共交通集团有限公司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亳州市公共交通集团有限公司工作装采购项目 </w:t>
      </w:r>
      <w:r>
        <w:rPr>
          <w:rFonts w:hint="eastAsia" w:ascii="Times New Roman" w:hAnsi="Times New Roman" w:eastAsia="仿宋_GB2312" w:cs="Times New Roman"/>
          <w:sz w:val="28"/>
          <w:szCs w:val="28"/>
          <w:highlight w:val="none"/>
          <w:u w:val="none"/>
          <w:lang w:val="en-US" w:eastAsia="zh-CN"/>
        </w:rPr>
        <w:t>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（一）采购内容：</w:t>
      </w:r>
      <w:r>
        <w:rPr>
          <w:rFonts w:hint="eastAsia" w:ascii="Times New Roman" w:hAnsi="Times New Roman" w:eastAsia="仿宋_GB2312" w:cs="Times New Roman"/>
          <w:sz w:val="28"/>
          <w:szCs w:val="28"/>
          <w:highlight w:val="none"/>
          <w:u w:val="single"/>
          <w:lang w:val="en-US" w:eastAsia="zh-CN"/>
        </w:rPr>
        <w:t>我单位拟对2021年至2023年工作装采购项目进行采购，预计三年需采购夏装1800套、春秋装1200套、冬装1200套、肩臂章3000套，服装参数详见第五章采购需求。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w:t>
      </w:r>
      <w:r>
        <w:rPr>
          <w:rFonts w:hint="eastAsia" w:ascii="Times New Roman" w:hAnsi="Times New Roman" w:eastAsia="仿宋_GB2312" w:cs="Times New Roman"/>
          <w:sz w:val="28"/>
          <w:szCs w:val="28"/>
          <w:highlight w:val="none"/>
          <w:u w:val="single"/>
          <w:lang w:val="en-US" w:eastAsia="zh-CN"/>
        </w:rPr>
        <w:t>亳州市行政区域内，采购人指定地点</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（四）供货期：自合同签订之日起3年。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）质量标准：符合国家、行业、地方现行相关规范合格标准，满足发包人要求。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（六）最高投标限价（含税）：人民币（大写）</w:t>
      </w:r>
      <w:r>
        <w:rPr>
          <w:rFonts w:hint="eastAsia" w:ascii="Times New Roman" w:hAnsi="Times New Roman" w:eastAsia="仿宋_GB2312" w:cs="Times New Roman"/>
          <w:sz w:val="28"/>
          <w:szCs w:val="28"/>
          <w:highlight w:val="none"/>
          <w:u w:val="single"/>
          <w:lang w:val="en-US" w:eastAsia="zh-CN"/>
        </w:rPr>
        <w:t xml:space="preserve">贰佰肆拾柒万元整 </w:t>
      </w:r>
      <w:r>
        <w:rPr>
          <w:rFonts w:hint="eastAsia" w:ascii="Times New Roman" w:hAnsi="Times New Roman" w:eastAsia="仿宋_GB2312" w:cs="Times New Roman"/>
          <w:sz w:val="28"/>
          <w:szCs w:val="28"/>
          <w:highlight w:val="none"/>
          <w:u w:val="none"/>
          <w:lang w:val="en-US" w:eastAsia="zh-CN"/>
        </w:rPr>
        <w:t>，（小写）</w:t>
      </w:r>
      <w:r>
        <w:rPr>
          <w:rFonts w:hint="eastAsia" w:ascii="Times New Roman" w:hAnsi="Times New Roman" w:eastAsia="仿宋_GB2312" w:cs="Times New Roman"/>
          <w:sz w:val="28"/>
          <w:szCs w:val="28"/>
          <w:highlight w:val="none"/>
          <w:u w:val="single"/>
          <w:lang w:val="en-US" w:eastAsia="zh-CN"/>
        </w:rPr>
        <w:t xml:space="preserve"> 2470000.00元 </w:t>
      </w:r>
      <w:r>
        <w:rPr>
          <w:rFonts w:hint="eastAsia" w:ascii="Times New Roman" w:hAnsi="Times New Roman" w:eastAsia="仿宋_GB2312" w:cs="Times New Roman"/>
          <w:sz w:val="28"/>
          <w:szCs w:val="28"/>
          <w:highlight w:val="none"/>
          <w:lang w:val="en-US" w:eastAsia="zh-CN"/>
        </w:rPr>
        <w:t>。投标报价超出限价或明显低于成本价的，按无效投标处理。投标人按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lang w:val="en-US" w:eastAsia="zh-CN"/>
        </w:rPr>
        <w:t>报价，投标报价应包含工作服装量体、采购、运输、更换、售后、税金等全部费用，其他未尽事宜应统一考虑在报价内，中标后单价不予调整。最终成交合同总价以具体采购数量为准。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fill="FFFF00"/>
          <w:lang w:val="en-US" w:eastAsia="zh-CN"/>
        </w:rPr>
        <w:t>注：不含税价格不因国家税率变化而变化，在合同履行期间，如遇国家的税率调整，则价税合计的价格应相应调整，以开具发票的时间为准。</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满足《中华人民共和国政府采购法》第二十二条规定：</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（1）具有独立承担民事责任的能力；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（5）参加政府采购活动前三年内，在经营活动中没有重大违法记录；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（6）法律、行政法规规定的其他条件。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（二）2018年1月1日至今，投标人须提供至少1个企业类似项目业绩，企业类似项目业绩是指投标人承接的单项合同金额不低于100万元的</w:t>
      </w:r>
      <w:r>
        <w:rPr>
          <w:rFonts w:hint="eastAsia" w:ascii="Times New Roman" w:hAnsi="Times New Roman" w:eastAsia="仿宋_GB2312" w:cs="Times New Roman"/>
          <w:sz w:val="28"/>
          <w:szCs w:val="28"/>
          <w:highlight w:val="none"/>
          <w:u w:val="single"/>
          <w:lang w:val="en-US" w:eastAsia="zh-CN"/>
        </w:rPr>
        <w:t>团体标志服装制作</w:t>
      </w:r>
      <w:r>
        <w:rPr>
          <w:rFonts w:hint="eastAsia" w:ascii="Times New Roman" w:hAnsi="Times New Roman" w:eastAsia="仿宋_GB2312" w:cs="Times New Roman"/>
          <w:sz w:val="28"/>
          <w:szCs w:val="28"/>
          <w:highlight w:val="none"/>
          <w:lang w:val="en-US" w:eastAsia="zh-CN"/>
        </w:rPr>
        <w:t>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注：提供业绩合同的复印件或扫描件，加盖投标人公章并装订入投标文件中。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heme="minorEastAsia" w:hAnsiTheme="minorEastAsia" w:cstheme="minorEastAsia"/>
          <w:i/>
          <w:iCs/>
          <w:color w:val="FF0000"/>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5 月 8 日9时00分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邱女士</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0558-5278886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2021年4月23</w:t>
      </w:r>
      <w:bookmarkStart w:id="134" w:name="_GoBack"/>
      <w:bookmarkEnd w:id="134"/>
      <w:r>
        <w:rPr>
          <w:rFonts w:hint="eastAsia" w:ascii="Times New Roman" w:hAnsi="Times New Roman" w:eastAsia="仿宋_GB2312" w:cs="Times New Roman"/>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详见第一章招标公告</w:t>
            </w: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产品参数指标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shd w:val="clear" w:fill="FFFF00"/>
                <w:lang w:val="en-US" w:eastAsia="zh-CN"/>
              </w:rPr>
              <w:t>详见第五章采购需求。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时间：距投标截止时间止3日（非依法必须招标的项目）前，投标人应仔细阅读和检查招标文件的全部内容。如发现缺页或附件不全，应及时向招标人提出，以便补齐。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肆万玖仟元整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49000元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017号保证金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亳州市公共交通集团有限公司工作装采购项目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single"/>
                <w:lang w:val="en-US" w:eastAsia="zh-CN"/>
              </w:rPr>
              <w:t xml:space="preserve"> 017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334"/>
        <w:gridCol w:w="1500"/>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综合评分相等时，以投标报价低的优先；如果</w:t>
            </w:r>
            <w:r>
              <w:rPr>
                <w:rFonts w:hint="eastAsia" w:ascii="Times New Roman" w:hAnsi="Times New Roman" w:cs="Times New Roman"/>
                <w:kern w:val="0"/>
                <w:sz w:val="24"/>
                <w:szCs w:val="24"/>
                <w:highlight w:val="none"/>
                <w:lang w:val="en-US" w:eastAsia="zh-CN"/>
              </w:rPr>
              <w:t>报价</w:t>
            </w:r>
            <w:r>
              <w:rPr>
                <w:rFonts w:hint="default" w:ascii="Times New Roman" w:hAnsi="Times New Roman" w:cs="Times New Roman"/>
                <w:kern w:val="0"/>
                <w:sz w:val="24"/>
                <w:szCs w:val="24"/>
                <w:highlight w:val="none"/>
                <w:lang w:val="en-US" w:eastAsia="zh-CN"/>
              </w:rPr>
              <w:t>得分也相等，</w:t>
            </w:r>
            <w:r>
              <w:rPr>
                <w:rFonts w:hint="eastAsia" w:ascii="Times New Roman" w:hAnsi="Times New Roman" w:cs="Times New Roman"/>
                <w:kern w:val="0"/>
                <w:sz w:val="24"/>
                <w:szCs w:val="24"/>
                <w:highlight w:val="none"/>
                <w:lang w:val="en-US" w:eastAsia="zh-CN"/>
              </w:rPr>
              <w:t>由招标人或其授权的评标委员会采用投票制，少数服从多数。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9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334"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符合第二章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kern w:val="0"/>
                <w:sz w:val="24"/>
                <w:szCs w:val="24"/>
                <w:highlight w:val="none"/>
                <w:lang w:val="en-US" w:eastAsia="zh-CN"/>
              </w:rPr>
              <w:t>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”第1.4.1项</w:t>
            </w:r>
            <w:r>
              <w:rPr>
                <w:rFonts w:hint="default"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5589"/>
            <w:bookmarkStart w:id="17" w:name="_Toc296602477"/>
            <w:bookmarkStart w:id="18" w:name="_Toc144974556"/>
            <w:bookmarkStart w:id="19" w:name="_Toc152042366"/>
            <w:bookmarkStart w:id="20" w:name="_Toc247085747"/>
            <w:bookmarkStart w:id="21" w:name="_Toc179632607"/>
            <w:bookmarkStart w:id="22" w:name="_Toc246996232"/>
            <w:bookmarkStart w:id="23" w:name="_Toc246996975"/>
            <w:r>
              <w:rPr>
                <w:rFonts w:hint="default" w:ascii="Times New Roman" w:hAnsi="Times New Roman" w:cs="Times New Roman"/>
                <w:b/>
                <w:bCs/>
                <w:kern w:val="0"/>
                <w:sz w:val="24"/>
                <w:szCs w:val="24"/>
                <w:highlight w:val="none"/>
                <w:lang w:val="en-US" w:eastAsia="zh-CN"/>
              </w:rPr>
              <w:t>条款号</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产品技术部分：</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70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服务部分：</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2"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28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8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10 </w:t>
            </w:r>
            <w:r>
              <w:rPr>
                <w:rFonts w:hint="default" w:ascii="Times New Roman" w:hAnsi="Times New Roman" w:cs="Times New Roman"/>
                <w:kern w:val="0"/>
                <w:sz w:val="24"/>
                <w:szCs w:val="24"/>
                <w:highlight w:val="none"/>
                <w:lang w:val="en-US" w:eastAsia="zh-CN"/>
              </w:rPr>
              <w:t>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2018年 1 月 1 日至开标之日：获得行业主管部门或行业协会颁发的荣誉获奖证书（文件），国家级得 5分，省级得4分，市级得3分。按最高奖项计分（以证书颁发时间为准且在有效期内）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宋体" w:hAnsi="宋体" w:cs="宋体" w:eastAsiaTheme="minorEastAsia"/>
                <w:bCs/>
                <w:color w:val="000000"/>
                <w:kern w:val="0"/>
                <w:sz w:val="24"/>
                <w:szCs w:val="24"/>
                <w:lang w:val="en-US" w:eastAsia="zh-CN" w:bidi="ar"/>
              </w:rPr>
            </w:pPr>
            <w:r>
              <w:rPr>
                <w:rFonts w:hint="eastAsia" w:ascii="Times New Roman" w:hAnsi="Times New Roman" w:cs="Times New Roman"/>
                <w:kern w:val="0"/>
                <w:sz w:val="24"/>
                <w:szCs w:val="24"/>
                <w:highlight w:val="none"/>
                <w:lang w:val="en-US" w:eastAsia="zh-CN"/>
              </w:rPr>
              <w:t>2018 年 1 月 1 日至开标之日，在满足门槛业绩基础上，投标人额外提供服装制作项目合同，单项合同金额 100万元（含）以上， 有一个得 5 分；50万元（含）-100万元（不含），有一个得 3 分。此项满分5分。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产品技术评分标准（投标人须提供样品服装）</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10</w:t>
            </w:r>
            <w:r>
              <w:rPr>
                <w:rFonts w:hint="default" w:ascii="Times New Roman" w:hAnsi="Times New Roman" w:cs="Times New Roman"/>
                <w:kern w:val="0"/>
                <w:sz w:val="24"/>
                <w:szCs w:val="24"/>
                <w:highlight w:val="none"/>
                <w:lang w:val="en-US" w:eastAsia="zh-CN"/>
              </w:rPr>
              <w:t>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pacing w:val="-9"/>
                <w:sz w:val="24"/>
                <w:lang w:val="en-US" w:eastAsia="zh-CN"/>
              </w:rPr>
            </w:pPr>
            <w:r>
              <w:rPr>
                <w:spacing w:val="-9"/>
                <w:sz w:val="24"/>
              </w:rPr>
              <w:t>质量</w:t>
            </w:r>
            <w:r>
              <w:rPr>
                <w:rFonts w:hint="eastAsia"/>
                <w:spacing w:val="-9"/>
                <w:sz w:val="24"/>
                <w:lang w:val="en-US" w:eastAsia="zh-CN"/>
              </w:rPr>
              <w:t>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从产品质量、牢固度等方面进行综合评定：基本符合得2分，优良酌情加0-2分，满分4分。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美观评价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从样品颜色、外观美观性、线条明朗、走线、裁剪设计、无瑕疵等方面进行综合评定：基本符合得2分，优良酌情加0-1分，满分3分。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spacing w:val="-8"/>
                <w:sz w:val="24"/>
              </w:rPr>
              <w:t>工艺</w:t>
            </w:r>
            <w:r>
              <w:rPr>
                <w:rFonts w:hint="eastAsia" w:ascii="Times New Roman" w:hAnsi="Times New Roman" w:cs="Times New Roman"/>
                <w:kern w:val="0"/>
                <w:sz w:val="24"/>
                <w:szCs w:val="24"/>
                <w:highlight w:val="none"/>
                <w:lang w:val="en-US" w:eastAsia="zh-CN"/>
              </w:rPr>
              <w:t>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从样品制作工艺水平、左右袖子平衡贴服、对称、无明显缺陷等方面进行综合评定：基本符合得2分，优良酌情加0-1分，满分3分。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33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70 </w:t>
            </w:r>
            <w:r>
              <w:rPr>
                <w:rFonts w:hint="default" w:ascii="Times New Roman" w:hAnsi="Times New Roman" w:cs="Times New Roman"/>
                <w:kern w:val="0"/>
                <w:sz w:val="24"/>
                <w:szCs w:val="24"/>
                <w:highlight w:val="none"/>
                <w:lang w:val="en-US" w:eastAsia="zh-CN"/>
              </w:rPr>
              <w:t>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进入综合评审的最低评标价为评标基准价，其价格分为满分。其他投标人价格分按以下公式计算：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价格分=（评标基准价／评标价）×70 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若评标委员会认定该投标报价低于明显成本价的，可以否决其投标。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334"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  10</w:t>
            </w:r>
            <w:r>
              <w:rPr>
                <w:rFonts w:hint="default" w:ascii="Times New Roman" w:hAnsi="Times New Roman" w:cs="Times New Roman"/>
                <w:kern w:val="0"/>
                <w:sz w:val="24"/>
                <w:szCs w:val="24"/>
                <w:highlight w:val="none"/>
                <w:lang w:val="en-US" w:eastAsia="zh-CN"/>
              </w:rPr>
              <w:t>分）</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生产供货</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对比各投标人的生产供货方案（含量体计划安排、生产方案、质量控制、供货计划合理性、交货期保证措施、时间安排、包装运输要求等）</w:t>
            </w:r>
            <w:r>
              <w:rPr>
                <w:rFonts w:hint="default" w:ascii="Times New Roman" w:hAnsi="Times New Roman" w:cs="Times New Roman"/>
                <w:kern w:val="0"/>
                <w:sz w:val="24"/>
                <w:szCs w:val="24"/>
                <w:highlight w:val="none"/>
                <w:lang w:val="en-US" w:eastAsia="zh-CN"/>
              </w:rPr>
              <w:t>进行综合评定</w:t>
            </w:r>
            <w:r>
              <w:rPr>
                <w:rFonts w:hint="eastAsia" w:ascii="Times New Roman" w:hAnsi="Times New Roman" w:cs="Times New Roman"/>
                <w:kern w:val="0"/>
                <w:sz w:val="24"/>
                <w:szCs w:val="24"/>
                <w:highlight w:val="none"/>
                <w:lang w:val="en-US" w:eastAsia="zh-CN"/>
              </w:rPr>
              <w:t>。基本满足要求得3分，计划、进度、保证措施到位，加0-2分，满分5分。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0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334"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1.对比各投标人的</w:t>
            </w:r>
            <w:r>
              <w:rPr>
                <w:rFonts w:hint="default" w:ascii="Times New Roman" w:hAnsi="Times New Roman" w:cs="Times New Roman"/>
                <w:kern w:val="0"/>
                <w:sz w:val="24"/>
                <w:szCs w:val="24"/>
                <w:highlight w:val="none"/>
                <w:lang w:val="en-US" w:eastAsia="zh-CN"/>
              </w:rPr>
              <w:t>售后服务方案（含保修内容与范围、维修响应时间以及实用性、合理性、可行性等）进行综合评定</w:t>
            </w:r>
            <w:r>
              <w:rPr>
                <w:rFonts w:hint="eastAsia" w:ascii="Times New Roman" w:hAnsi="Times New Roman" w:cs="Times New Roman"/>
                <w:kern w:val="0"/>
                <w:sz w:val="24"/>
                <w:szCs w:val="24"/>
                <w:highlight w:val="none"/>
                <w:lang w:val="en-US" w:eastAsia="zh-CN"/>
              </w:rPr>
              <w:t>。基本满足要求得 2分，总体工作思路清晰合理，加0-1分，满分3分。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2.交货后不合身的服装及质保期内出现问题的服装所采取的措施：根据投标人提供的针对以上情况的售后服务方案及服务承诺的可行性进行评分，5天内完成调换货工作的得 2分，5-10 天内完成调换货工作的得 1 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明显低于其成本的除外。综合评分相等时，以投标报价低的优先；投标报价也相等的，按照评标办法前附表的规定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247085748"/>
      <w:bookmarkStart w:id="26" w:name="_Toc152042367"/>
      <w:bookmarkStart w:id="27" w:name="_Toc152045590"/>
      <w:bookmarkStart w:id="28" w:name="_Toc246996976"/>
      <w:bookmarkStart w:id="29" w:name="_Toc296602478"/>
      <w:bookmarkStart w:id="30" w:name="_Toc144974557"/>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49"/>
      <w:bookmarkStart w:id="33" w:name="_Toc144974558"/>
      <w:bookmarkStart w:id="34" w:name="_Toc179632609"/>
      <w:bookmarkStart w:id="35" w:name="_Toc152042368"/>
      <w:bookmarkStart w:id="36" w:name="_Toc296602479"/>
      <w:bookmarkStart w:id="37" w:name="_Toc246996234"/>
      <w:bookmarkStart w:id="38" w:name="_Toc246996977"/>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7085751"/>
      <w:bookmarkStart w:id="42" w:name="_Toc152042370"/>
      <w:bookmarkStart w:id="43" w:name="_Toc246996979"/>
      <w:bookmarkStart w:id="44" w:name="_Toc144974560"/>
      <w:bookmarkStart w:id="45" w:name="_Toc296602481"/>
      <w:bookmarkStart w:id="46" w:name="_Toc152045593"/>
      <w:bookmarkStart w:id="47"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eastAsiaTheme="minorEastAsia"/>
          <w:kern w:val="0"/>
          <w:sz w:val="24"/>
          <w:szCs w:val="24"/>
          <w:highlight w:val="none"/>
          <w:lang w:val="en-US" w:eastAsia="zh-CN"/>
        </w:rPr>
        <w:t>产品技术部分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服务部分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eastAsiaTheme="minorEastAsia"/>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eastAsiaTheme="minorEastAsia"/>
          <w:kern w:val="0"/>
          <w:sz w:val="24"/>
          <w:szCs w:val="24"/>
          <w:highlight w:val="none"/>
          <w:lang w:val="en-US" w:eastAsia="zh-CN"/>
        </w:rPr>
        <w:t>产品技术部分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服务部分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246996980"/>
      <w:bookmarkStart w:id="50" w:name="_Toc152042371"/>
      <w:bookmarkStart w:id="51" w:name="_Toc179632612"/>
      <w:bookmarkStart w:id="52" w:name="_Toc246996237"/>
      <w:bookmarkStart w:id="53" w:name="_Toc152045594"/>
      <w:bookmarkStart w:id="54" w:name="_Toc296602482"/>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）符合条件的供应商或者对招标文件作实质响应的供应商不足三家的；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）出现影响采购公正的违法、违规行为的；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）投标人的报价均超过了采购预算，采购人不能支付的；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）因重大变故，采购任务取消的。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废标后，采购人应当将废标理由通知所有投标人。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981"/>
      <w:bookmarkStart w:id="57" w:name="_Toc144974562"/>
      <w:bookmarkStart w:id="58" w:name="_Toc296602483"/>
      <w:bookmarkStart w:id="59" w:name="_Toc247085753"/>
      <w:bookmarkStart w:id="60" w:name="_Toc152045595"/>
      <w:bookmarkStart w:id="61" w:name="_Toc152042372"/>
      <w:bookmarkStart w:id="62" w:name="_Toc179632613"/>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246996982"/>
      <w:bookmarkStart w:id="65" w:name="_Toc144974563"/>
      <w:bookmarkStart w:id="66" w:name="_Toc246996239"/>
      <w:bookmarkStart w:id="67" w:name="_Toc296602484"/>
      <w:bookmarkStart w:id="68" w:name="_Toc152045596"/>
      <w:bookmarkStart w:id="69" w:name="_Toc152042373"/>
      <w:bookmarkStart w:id="70" w:name="_Toc247085754"/>
      <w:bookmarkStart w:id="71"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第2.2.4（1）目规定的评审因素和分值对商务部分计算出得分A；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第2.2.4（2）目规定的评审因素和分值对产品技术部分计算出得分B；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第2.2.4（4）目规定的评审因素和分值对服务部分计算出得分D。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983"/>
      <w:bookmarkStart w:id="73" w:name="_Toc144974564"/>
      <w:bookmarkStart w:id="74" w:name="_Toc246996240"/>
      <w:bookmarkStart w:id="75" w:name="_Toc152042374"/>
      <w:bookmarkStart w:id="76" w:name="_Toc296602485"/>
      <w:bookmarkStart w:id="77" w:name="_Toc152045597"/>
      <w:bookmarkStart w:id="78" w:name="_Toc247085755"/>
      <w:bookmarkStart w:id="79" w:name="_Toc17963261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合同期限内，货物验收合格后，每年结算一次货款金额，其中首付当期总价款的90%，余款作为质保金，质保期一年。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1 </w:t>
            </w:r>
            <w:r>
              <w:rPr>
                <w:rFonts w:hint="eastAsia" w:ascii="Times New Roman" w:hAnsi="Times New Roman" w:cs="Times New Roman"/>
                <w:kern w:val="0"/>
                <w:sz w:val="24"/>
                <w:szCs w:val="24"/>
                <w:highlight w:val="none"/>
                <w:shd w:val="clear" w:color="auto" w:fill="auto"/>
                <w:vertAlign w:val="baseline"/>
                <w:lang w:val="en-US" w:eastAsia="zh-CN"/>
              </w:rPr>
              <w:t>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一、采购需求一览表</w:t>
      </w:r>
    </w:p>
    <w:tbl>
      <w:tblPr>
        <w:tblStyle w:val="16"/>
        <w:tblpPr w:leftFromText="180" w:rightFromText="180" w:vertAnchor="text" w:horzAnchor="page" w:tblpX="959" w:tblpY="464"/>
        <w:tblOverlap w:val="never"/>
        <w:tblW w:w="9133" w:type="dxa"/>
        <w:tblInd w:w="0" w:type="dxa"/>
        <w:tblLayout w:type="fixed"/>
        <w:tblCellMar>
          <w:top w:w="0" w:type="dxa"/>
          <w:left w:w="0" w:type="dxa"/>
          <w:bottom w:w="0" w:type="dxa"/>
          <w:right w:w="0" w:type="dxa"/>
        </w:tblCellMar>
      </w:tblPr>
      <w:tblGrid>
        <w:gridCol w:w="795"/>
        <w:gridCol w:w="870"/>
        <w:gridCol w:w="1515"/>
        <w:gridCol w:w="750"/>
        <w:gridCol w:w="900"/>
        <w:gridCol w:w="1170"/>
        <w:gridCol w:w="1140"/>
        <w:gridCol w:w="1993"/>
      </w:tblGrid>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品名</w:t>
            </w: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类型</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人数</w:t>
            </w:r>
          </w:p>
        </w:tc>
        <w:tc>
          <w:tcPr>
            <w:tcW w:w="1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预计采购数量</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单件控制价（元）</w:t>
            </w:r>
          </w:p>
        </w:tc>
        <w:tc>
          <w:tcPr>
            <w:tcW w:w="19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夏装</w:t>
            </w: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短袖衬衫</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1800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5400</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rPr>
              <w:t>75</w:t>
            </w:r>
          </w:p>
        </w:tc>
        <w:tc>
          <w:tcPr>
            <w:tcW w:w="19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每套包含短袖衬衫3件、西裤3条</w:t>
            </w: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夏季西裤</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1800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5400</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rPr>
              <w:t>70</w:t>
            </w:r>
          </w:p>
        </w:tc>
        <w:tc>
          <w:tcPr>
            <w:tcW w:w="19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bCs/>
                <w:i w:val="0"/>
                <w:color w:val="000000"/>
                <w:sz w:val="22"/>
                <w:szCs w:val="22"/>
                <w:u w:val="none"/>
              </w:rPr>
            </w:pP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春秋装</w:t>
            </w: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长袖衬衫</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2400</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2"/>
                <w:lang w:val="en-US" w:eastAsia="zh-CN"/>
              </w:rPr>
              <w:t>80</w:t>
            </w:r>
          </w:p>
        </w:tc>
        <w:tc>
          <w:tcPr>
            <w:tcW w:w="19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每套包含长袖衬衫2件、春秋夹克服2件、西裤2条</w:t>
            </w: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春秋夹克</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1200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2400</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2"/>
                <w:lang w:val="en-US" w:eastAsia="zh-CN"/>
              </w:rPr>
              <w:t>158</w:t>
            </w:r>
          </w:p>
        </w:tc>
        <w:tc>
          <w:tcPr>
            <w:tcW w:w="19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bCs/>
                <w:i w:val="0"/>
                <w:color w:val="000000"/>
                <w:sz w:val="22"/>
                <w:szCs w:val="22"/>
                <w:u w:val="none"/>
              </w:rPr>
            </w:pP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春秋西裤</w:t>
            </w:r>
          </w:p>
        </w:tc>
        <w:tc>
          <w:tcPr>
            <w:tcW w:w="7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2400</w:t>
            </w:r>
          </w:p>
        </w:tc>
        <w:tc>
          <w:tcPr>
            <w:tcW w:w="11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2"/>
                <w:lang w:val="en-US" w:eastAsia="zh-CN"/>
              </w:rPr>
              <w:t>120</w:t>
            </w:r>
          </w:p>
        </w:tc>
        <w:tc>
          <w:tcPr>
            <w:tcW w:w="19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bCs/>
                <w:i w:val="0"/>
                <w:color w:val="000000"/>
                <w:sz w:val="22"/>
                <w:szCs w:val="22"/>
                <w:u w:val="none"/>
              </w:rPr>
            </w:pP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8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冬装</w:t>
            </w: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冬季外套</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color w:val="000000"/>
                <w:sz w:val="22"/>
              </w:rPr>
              <w:t>175</w:t>
            </w:r>
          </w:p>
        </w:tc>
        <w:tc>
          <w:tcPr>
            <w:tcW w:w="199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每套包含棉衣2件、西裤2条、内胆1件、毛领1条</w:t>
            </w: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8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冬季西裤</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color w:val="000000"/>
                <w:sz w:val="22"/>
              </w:rPr>
              <w:t>115</w:t>
            </w:r>
          </w:p>
        </w:tc>
        <w:tc>
          <w:tcPr>
            <w:tcW w:w="19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bCs/>
                <w:i w:val="0"/>
                <w:color w:val="000000"/>
                <w:sz w:val="22"/>
                <w:szCs w:val="22"/>
                <w:u w:val="none"/>
              </w:rPr>
            </w:pP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8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冬服毛领、内丹</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1200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default" w:ascii="宋体" w:hAnsi="宋体" w:eastAsia="宋体" w:cs="宋体"/>
                <w:i w:val="0"/>
                <w:color w:val="000000"/>
                <w:sz w:val="22"/>
                <w:szCs w:val="22"/>
                <w:u w:val="none"/>
                <w:lang w:val="en-US"/>
              </w:rPr>
            </w:pPr>
            <w:r>
              <w:rPr>
                <w:rFonts w:hint="eastAsia" w:ascii="宋体" w:hAnsi="宋体" w:cs="宋体"/>
                <w:color w:val="000000"/>
                <w:sz w:val="22"/>
              </w:rPr>
              <w:t>78</w:t>
            </w:r>
          </w:p>
        </w:tc>
        <w:tc>
          <w:tcPr>
            <w:tcW w:w="199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bCs/>
                <w:i w:val="0"/>
                <w:color w:val="000000"/>
                <w:sz w:val="22"/>
                <w:szCs w:val="22"/>
                <w:u w:val="none"/>
              </w:rPr>
            </w:pPr>
          </w:p>
        </w:tc>
      </w:tr>
      <w:tr>
        <w:tblPrEx>
          <w:tblCellMar>
            <w:top w:w="0" w:type="dxa"/>
            <w:left w:w="0" w:type="dxa"/>
            <w:bottom w:w="0" w:type="dxa"/>
            <w:right w:w="0" w:type="dxa"/>
          </w:tblCellMar>
        </w:tblPrEx>
        <w:trPr>
          <w:trHeight w:val="1134" w:hRule="exact"/>
        </w:trPr>
        <w:tc>
          <w:tcPr>
            <w:tcW w:w="795"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nil"/>
              <w:left w:val="single" w:color="000000" w:sz="4" w:space="0"/>
              <w:bottom w:val="single" w:color="000000"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肩臂章</w:t>
            </w:r>
          </w:p>
        </w:tc>
        <w:tc>
          <w:tcPr>
            <w:tcW w:w="1515" w:type="dxa"/>
            <w:tcBorders>
              <w:top w:val="nil"/>
              <w:left w:val="single" w:color="000000" w:sz="4" w:space="0"/>
              <w:bottom w:val="single" w:color="000000" w:sz="4" w:space="0"/>
              <w:right w:val="nil"/>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肩章、臂章</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00" w:type="dxa"/>
            <w:tcBorders>
              <w:top w:val="single" w:color="000000" w:sz="4" w:space="0"/>
              <w:left w:val="nil"/>
              <w:bottom w:val="single" w:color="000000" w:sz="4" w:space="0"/>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eastAsia" w:ascii="宋体" w:hAnsi="宋体" w:eastAsia="宋体" w:cs="宋体"/>
                <w:i w:val="0"/>
                <w:color w:val="000000"/>
                <w:sz w:val="22"/>
                <w:szCs w:val="22"/>
                <w:u w:val="none"/>
              </w:rPr>
            </w:pPr>
          </w:p>
        </w:tc>
        <w:tc>
          <w:tcPr>
            <w:tcW w:w="11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c>
          <w:tcPr>
            <w:tcW w:w="11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rPr>
              <w:t>12</w:t>
            </w:r>
          </w:p>
        </w:tc>
        <w:tc>
          <w:tcPr>
            <w:tcW w:w="1993"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每套包含2个肩章、1个臂章</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pStyle w:val="28"/>
        <w:spacing w:before="59"/>
        <w:ind w:right="1408"/>
        <w:jc w:val="both"/>
        <w:rPr>
          <w:rFonts w:hint="eastAsia" w:ascii="Times New Roman" w:hAnsi="Times New Roman" w:cs="Times New Roman"/>
          <w:b/>
          <w:bCs/>
          <w:kern w:val="0"/>
          <w:sz w:val="28"/>
          <w:szCs w:val="28"/>
          <w:highlight w:val="none"/>
          <w:lang w:val="en-US" w:eastAsia="zh-CN"/>
        </w:rPr>
      </w:pPr>
    </w:p>
    <w:p>
      <w:pPr>
        <w:pStyle w:val="28"/>
        <w:numPr>
          <w:ilvl w:val="0"/>
          <w:numId w:val="1"/>
        </w:numPr>
        <w:spacing w:before="59"/>
        <w:ind w:right="1408"/>
        <w:jc w:val="both"/>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服装款式要求（</w:t>
      </w:r>
      <w:r>
        <w:rPr>
          <w:rFonts w:hint="eastAsia" w:ascii="Times New Roman" w:hAnsi="Times New Roman" w:eastAsia="仿宋_GB2312" w:cs="Times New Roman"/>
          <w:kern w:val="2"/>
          <w:sz w:val="28"/>
          <w:szCs w:val="28"/>
          <w:lang w:val="en-US" w:eastAsia="zh-CN" w:bidi="ar-SA"/>
        </w:rPr>
        <w:t>面料标准和成分不低于以下标准</w:t>
      </w:r>
      <w:r>
        <w:rPr>
          <w:rFonts w:hint="eastAsia" w:ascii="Times New Roman" w:hAnsi="Times New Roman" w:cs="Times New Roman"/>
          <w:b/>
          <w:bCs/>
          <w:kern w:val="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（一）夏装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1.短袖衬衫：天蓝色制式夹克装，精梳高支棉，棉含量50%，莫代尔10%，涤纶40%。样式参考下图：</w:t>
      </w:r>
    </w:p>
    <w:p>
      <w:pPr>
        <w:jc w:val="both"/>
        <w:rPr>
          <w:rFonts w:hint="eastAsia" w:eastAsia="宋体"/>
          <w:lang w:eastAsia="zh-CN"/>
        </w:rPr>
      </w:pPr>
      <w:r>
        <w:rPr>
          <w:rFonts w:hint="eastAsia" w:eastAsia="宋体"/>
          <w:lang w:eastAsia="zh-CN"/>
        </w:rPr>
        <w:drawing>
          <wp:anchor distT="0" distB="0" distL="114300" distR="114300" simplePos="0" relativeHeight="251658240" behindDoc="1" locked="0" layoutInCell="1" allowOverlap="1">
            <wp:simplePos x="0" y="0"/>
            <wp:positionH relativeFrom="column">
              <wp:posOffset>3034030</wp:posOffset>
            </wp:positionH>
            <wp:positionV relativeFrom="paragraph">
              <wp:posOffset>90170</wp:posOffset>
            </wp:positionV>
            <wp:extent cx="2602230" cy="3776345"/>
            <wp:effectExtent l="0" t="0" r="0" b="8255"/>
            <wp:wrapTight wrapText="bothSides">
              <wp:wrapPolygon>
                <wp:start x="0" y="0"/>
                <wp:lineTo x="0" y="21502"/>
                <wp:lineTo x="21505" y="21502"/>
                <wp:lineTo x="21505" y="0"/>
                <wp:lineTo x="0" y="0"/>
              </wp:wrapPolygon>
            </wp:wrapTight>
            <wp:docPr id="4" name="图片 2" descr="夏装上衣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夏装上衣背面"/>
                    <pic:cNvPicPr>
                      <a:picLocks noChangeAspect="1"/>
                    </pic:cNvPicPr>
                  </pic:nvPicPr>
                  <pic:blipFill>
                    <a:blip r:embed="rId7"/>
                    <a:stretch>
                      <a:fillRect/>
                    </a:stretch>
                  </pic:blipFill>
                  <pic:spPr>
                    <a:xfrm>
                      <a:off x="0" y="0"/>
                      <a:ext cx="2602230" cy="3776345"/>
                    </a:xfrm>
                    <a:prstGeom prst="rect">
                      <a:avLst/>
                    </a:prstGeom>
                    <a:noFill/>
                    <a:ln>
                      <a:noFill/>
                    </a:ln>
                  </pic:spPr>
                </pic:pic>
              </a:graphicData>
            </a:graphic>
          </wp:anchor>
        </w:drawing>
      </w:r>
      <w:r>
        <w:rPr>
          <w:rFonts w:hint="eastAsia" w:eastAsia="宋体"/>
          <w:lang w:eastAsia="zh-CN"/>
        </w:rPr>
        <w:drawing>
          <wp:inline distT="0" distB="0" distL="114300" distR="114300">
            <wp:extent cx="2882900" cy="3840480"/>
            <wp:effectExtent l="0" t="0" r="0" b="7620"/>
            <wp:docPr id="7" name="图片 1" descr="夏装上衣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夏装上衣正面"/>
                    <pic:cNvPicPr>
                      <a:picLocks noChangeAspect="1"/>
                    </pic:cNvPicPr>
                  </pic:nvPicPr>
                  <pic:blipFill>
                    <a:blip r:embed="rId8"/>
                    <a:stretch>
                      <a:fillRect/>
                    </a:stretch>
                  </pic:blipFill>
                  <pic:spPr>
                    <a:xfrm>
                      <a:off x="0" y="0"/>
                      <a:ext cx="2882900" cy="38404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2.西裤：藏青色休闲修身西裤，藏青色高质弹力花呢，粘胶纤维35%，涤纶65%，导电纤维3%。</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（二）春秋装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1.夹克服：藏青色高支毛涤混纺花呢面料，毛30%、聚酯纤维25%、粘胶纤维25%、双抗纤维7%、PTT10%、导电纤维3%、纱支110s/2×110s/2、克重320g。样式参考下图：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drawing>
          <wp:anchor distT="0" distB="0" distL="114300" distR="114300" simplePos="0" relativeHeight="251659264" behindDoc="1" locked="0" layoutInCell="1" allowOverlap="1">
            <wp:simplePos x="0" y="0"/>
            <wp:positionH relativeFrom="column">
              <wp:posOffset>2921000</wp:posOffset>
            </wp:positionH>
            <wp:positionV relativeFrom="paragraph">
              <wp:posOffset>174625</wp:posOffset>
            </wp:positionV>
            <wp:extent cx="2821305" cy="3759835"/>
            <wp:effectExtent l="0" t="0" r="10795" b="12065"/>
            <wp:wrapTight wrapText="bothSides">
              <wp:wrapPolygon>
                <wp:start x="0" y="0"/>
                <wp:lineTo x="0" y="21523"/>
                <wp:lineTo x="21488" y="21523"/>
                <wp:lineTo x="21488" y="0"/>
                <wp:lineTo x="0" y="0"/>
              </wp:wrapPolygon>
            </wp:wrapTight>
            <wp:docPr id="3" name="图片 4" descr="春秋上衣背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春秋上衣背面"/>
                    <pic:cNvPicPr>
                      <a:picLocks noChangeAspect="1"/>
                    </pic:cNvPicPr>
                  </pic:nvPicPr>
                  <pic:blipFill>
                    <a:blip r:embed="rId9"/>
                    <a:stretch>
                      <a:fillRect/>
                    </a:stretch>
                  </pic:blipFill>
                  <pic:spPr>
                    <a:xfrm>
                      <a:off x="0" y="0"/>
                      <a:ext cx="2821305" cy="3759835"/>
                    </a:xfrm>
                    <a:prstGeom prst="rect">
                      <a:avLst/>
                    </a:prstGeom>
                    <a:noFill/>
                    <a:ln>
                      <a:noFill/>
                    </a:ln>
                  </pic:spPr>
                </pic:pic>
              </a:graphicData>
            </a:graphic>
          </wp:anchor>
        </w:drawing>
      </w:r>
      <w:r>
        <w:rPr>
          <w:rFonts w:hint="eastAsia" w:ascii="Times New Roman" w:hAnsi="Times New Roman" w:eastAsia="仿宋_GB2312" w:cs="Times New Roman"/>
          <w:sz w:val="28"/>
          <w:szCs w:val="28"/>
          <w:lang w:val="en-US" w:eastAsia="zh-CN"/>
        </w:rPr>
        <w:drawing>
          <wp:anchor distT="0" distB="0" distL="114300" distR="114300" simplePos="0" relativeHeight="251660288" behindDoc="1" locked="0" layoutInCell="1" allowOverlap="1">
            <wp:simplePos x="0" y="0"/>
            <wp:positionH relativeFrom="column">
              <wp:posOffset>-81915</wp:posOffset>
            </wp:positionH>
            <wp:positionV relativeFrom="paragraph">
              <wp:posOffset>151765</wp:posOffset>
            </wp:positionV>
            <wp:extent cx="2847340" cy="3796665"/>
            <wp:effectExtent l="0" t="0" r="10160" b="635"/>
            <wp:wrapTight wrapText="bothSides">
              <wp:wrapPolygon>
                <wp:start x="0" y="0"/>
                <wp:lineTo x="0" y="21531"/>
                <wp:lineTo x="21484" y="21531"/>
                <wp:lineTo x="21484" y="0"/>
                <wp:lineTo x="0" y="0"/>
              </wp:wrapPolygon>
            </wp:wrapTight>
            <wp:docPr id="9" name="图片 3" descr="春秋上衣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春秋上衣正面"/>
                    <pic:cNvPicPr>
                      <a:picLocks noChangeAspect="1"/>
                    </pic:cNvPicPr>
                  </pic:nvPicPr>
                  <pic:blipFill>
                    <a:blip r:embed="rId10"/>
                    <a:stretch>
                      <a:fillRect/>
                    </a:stretch>
                  </pic:blipFill>
                  <pic:spPr>
                    <a:xfrm>
                      <a:off x="0" y="0"/>
                      <a:ext cx="2847340" cy="379666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2.长袖衬衫：天蓝长袖衬衫，棉80%，成衣免烫。</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3.西裤：藏青色高支毛涤混纺花呢面料，毛30%、聚酯纤维25%、粘胶25%、双抗纤维7%、PTT10%、导电纤维3%、纱支110s/2*110s/2、克重320g。</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（三）冬装</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1.棉衣：藏青色绲纺细纹哔叽面料，聚酯纤维55%、粘胶纤维40%、氨纶5%、含导电纤维、纱支12.2tex×2、克重360g，配羊绒絮片能量保暖内胆，内胆填充物不低于220g。样式参考下图：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drawing>
          <wp:anchor distT="0" distB="0" distL="114300" distR="114300" simplePos="0" relativeHeight="251662336" behindDoc="1" locked="0" layoutInCell="1" allowOverlap="1">
            <wp:simplePos x="0" y="0"/>
            <wp:positionH relativeFrom="column">
              <wp:posOffset>3099435</wp:posOffset>
            </wp:positionH>
            <wp:positionV relativeFrom="paragraph">
              <wp:posOffset>80645</wp:posOffset>
            </wp:positionV>
            <wp:extent cx="2777490" cy="3706495"/>
            <wp:effectExtent l="0" t="0" r="3810" b="1905"/>
            <wp:wrapTight wrapText="bothSides">
              <wp:wrapPolygon>
                <wp:start x="0" y="0"/>
                <wp:lineTo x="0" y="21537"/>
                <wp:lineTo x="21531" y="21537"/>
                <wp:lineTo x="21531" y="0"/>
                <wp:lineTo x="0" y="0"/>
              </wp:wrapPolygon>
            </wp:wrapTight>
            <wp:docPr id="6" name="图片 6" descr="冬服上衣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冬服上衣背"/>
                    <pic:cNvPicPr>
                      <a:picLocks noChangeAspect="1"/>
                    </pic:cNvPicPr>
                  </pic:nvPicPr>
                  <pic:blipFill>
                    <a:blip r:embed="rId11"/>
                    <a:stretch>
                      <a:fillRect/>
                    </a:stretch>
                  </pic:blipFill>
                  <pic:spPr>
                    <a:xfrm>
                      <a:off x="0" y="0"/>
                      <a:ext cx="2777490" cy="3706495"/>
                    </a:xfrm>
                    <a:prstGeom prst="rect">
                      <a:avLst/>
                    </a:prstGeom>
                    <a:noFill/>
                    <a:ln>
                      <a:noFill/>
                    </a:ln>
                  </pic:spPr>
                </pic:pic>
              </a:graphicData>
            </a:graphic>
          </wp:anchor>
        </w:drawing>
      </w:r>
      <w:r>
        <w:rPr>
          <w:rFonts w:hint="eastAsia" w:ascii="Times New Roman" w:hAnsi="Times New Roman" w:eastAsia="仿宋_GB2312" w:cs="Times New Roman"/>
          <w:sz w:val="28"/>
          <w:szCs w:val="28"/>
          <w:lang w:val="en-US" w:eastAsia="zh-CN"/>
        </w:rPr>
        <w:drawing>
          <wp:anchor distT="0" distB="0" distL="114300" distR="114300" simplePos="0" relativeHeight="251661312" behindDoc="1" locked="0" layoutInCell="1" allowOverlap="1">
            <wp:simplePos x="0" y="0"/>
            <wp:positionH relativeFrom="column">
              <wp:posOffset>52705</wp:posOffset>
            </wp:positionH>
            <wp:positionV relativeFrom="paragraph">
              <wp:posOffset>66040</wp:posOffset>
            </wp:positionV>
            <wp:extent cx="2779395" cy="3706495"/>
            <wp:effectExtent l="0" t="0" r="1905" b="1905"/>
            <wp:wrapTight wrapText="bothSides">
              <wp:wrapPolygon>
                <wp:start x="0" y="0"/>
                <wp:lineTo x="0" y="21537"/>
                <wp:lineTo x="21516" y="21537"/>
                <wp:lineTo x="21516" y="0"/>
                <wp:lineTo x="0" y="0"/>
              </wp:wrapPolygon>
            </wp:wrapTight>
            <wp:docPr id="8" name="图片 5" descr="冬服上衣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冬服上衣正"/>
                    <pic:cNvPicPr>
                      <a:picLocks noChangeAspect="1"/>
                    </pic:cNvPicPr>
                  </pic:nvPicPr>
                  <pic:blipFill>
                    <a:blip r:embed="rId12"/>
                    <a:stretch>
                      <a:fillRect/>
                    </a:stretch>
                  </pic:blipFill>
                  <pic:spPr>
                    <a:xfrm>
                      <a:off x="0" y="0"/>
                      <a:ext cx="2779395" cy="370649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2、西裤：藏青色混纺细纹哔叽面料：聚酯纤维55%、粘胶40%、氨纶5%、含导电纤维、纱支12.2tex*2、克重360g。</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（四）肩臂章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肩臂章，样式参考下图：</w:t>
      </w:r>
    </w:p>
    <w:p>
      <w:pPr>
        <w:jc w:val="center"/>
        <w:rPr>
          <w:rFonts w:hint="eastAsia" w:ascii="仿宋" w:hAnsi="仿宋" w:eastAsia="仿宋" w:cs="仿宋"/>
          <w:color w:val="000000"/>
          <w:kern w:val="0"/>
          <w:sz w:val="32"/>
          <w:szCs w:val="32"/>
        </w:rPr>
      </w:pPr>
      <w:r>
        <w:rPr>
          <w:rFonts w:ascii="宋体" w:hAnsi="宋体" w:cs="宋体"/>
          <w:kern w:val="0"/>
          <w:sz w:val="24"/>
          <w:szCs w:val="24"/>
        </w:rPr>
        <w:fldChar w:fldCharType="begin"/>
      </w:r>
      <w:r>
        <w:rPr>
          <w:rFonts w:ascii="宋体" w:hAnsi="宋体" w:cs="宋体"/>
          <w:kern w:val="0"/>
          <w:sz w:val="24"/>
          <w:szCs w:val="24"/>
        </w:rPr>
        <w:instrText xml:space="preserve"> INCLUDEPICTURE "C:\\Users\\Administrator\\AppData\\Roaming\\Tencent\\Users\\515972490\\TIM\\WinTemp\\RichOle\\11}E@V[P$~ZHR0PLO1_H{{H.png" \* MERGEFORMATINET </w:instrText>
      </w:r>
      <w:r>
        <w:rPr>
          <w:rFonts w:ascii="宋体" w:hAnsi="宋体" w:cs="宋体"/>
          <w:kern w:val="0"/>
          <w:sz w:val="24"/>
          <w:szCs w:val="24"/>
        </w:rPr>
        <w:fldChar w:fldCharType="separate"/>
      </w:r>
      <w:r>
        <w:rPr>
          <w:rFonts w:ascii="宋体" w:hAnsi="宋体" w:cs="宋体"/>
          <w:kern w:val="0"/>
          <w:sz w:val="24"/>
          <w:szCs w:val="24"/>
        </w:rPr>
        <w:drawing>
          <wp:inline distT="0" distB="0" distL="114300" distR="114300">
            <wp:extent cx="2285365" cy="2543175"/>
            <wp:effectExtent l="0" t="0" r="635" b="9525"/>
            <wp:docPr id="5" name="图片 7" descr="11}E@V[P$~ZHR0PLO1_H{{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11}E@V[P$~ZHR0PLO1_H{{H"/>
                    <pic:cNvPicPr>
                      <a:picLocks noChangeAspect="1"/>
                    </pic:cNvPicPr>
                  </pic:nvPicPr>
                  <pic:blipFill>
                    <a:blip r:embed="rId13"/>
                    <a:stretch>
                      <a:fillRect/>
                    </a:stretch>
                  </pic:blipFill>
                  <pic:spPr>
                    <a:xfrm>
                      <a:off x="0" y="0"/>
                      <a:ext cx="2285365" cy="2543175"/>
                    </a:xfrm>
                    <a:prstGeom prst="rect">
                      <a:avLst/>
                    </a:prstGeom>
                    <a:noFill/>
                    <a:ln>
                      <a:noFill/>
                    </a:ln>
                  </pic:spPr>
                </pic:pic>
              </a:graphicData>
            </a:graphic>
          </wp:inline>
        </w:drawing>
      </w:r>
      <w:r>
        <w:rPr>
          <w:rFonts w:ascii="宋体" w:hAnsi="宋体" w:cs="宋体"/>
          <w:kern w:val="0"/>
          <w:sz w:val="24"/>
          <w:szCs w:val="24"/>
        </w:rPr>
        <w:fldChar w:fldCharType="end"/>
      </w:r>
      <w:r>
        <w:rPr>
          <w:rFonts w:hint="eastAsia" w:ascii="宋体" w:hAnsi="宋体" w:cs="宋体"/>
          <w:kern w:val="0"/>
          <w:sz w:val="24"/>
          <w:szCs w:val="24"/>
        </w:rPr>
        <w:t xml:space="preserve">   </w:t>
      </w:r>
      <w:r>
        <w:rPr>
          <w:rFonts w:ascii="宋体" w:hAnsi="宋体" w:cs="宋体"/>
          <w:kern w:val="0"/>
          <w:sz w:val="24"/>
          <w:szCs w:val="24"/>
        </w:rPr>
        <w:fldChar w:fldCharType="begin"/>
      </w:r>
      <w:r>
        <w:rPr>
          <w:rFonts w:ascii="宋体" w:hAnsi="宋体" w:cs="宋体"/>
          <w:kern w:val="0"/>
          <w:sz w:val="24"/>
          <w:szCs w:val="24"/>
        </w:rPr>
        <w:instrText xml:space="preserve"> INCLUDEPICTURE "C:\\Users\\Administrator\\AppData\\Roaming\\Tencent\\Users\\515972490\\TIM\\WinTemp\\RichOle\\2`P{ZWE4XUFQX$9ROC7~U[B.png" \* MERGEFORMATINET </w:instrText>
      </w:r>
      <w:r>
        <w:rPr>
          <w:rFonts w:ascii="宋体" w:hAnsi="宋体" w:cs="宋体"/>
          <w:kern w:val="0"/>
          <w:sz w:val="24"/>
          <w:szCs w:val="24"/>
        </w:rPr>
        <w:fldChar w:fldCharType="separate"/>
      </w:r>
      <w:r>
        <w:rPr>
          <w:rFonts w:ascii="宋体" w:hAnsi="宋体" w:cs="宋体"/>
          <w:kern w:val="0"/>
          <w:sz w:val="24"/>
          <w:szCs w:val="24"/>
        </w:rPr>
        <w:drawing>
          <wp:inline distT="0" distB="0" distL="114300" distR="114300">
            <wp:extent cx="2200275" cy="2496185"/>
            <wp:effectExtent l="0" t="0" r="9525" b="5715"/>
            <wp:docPr id="2" name="图片 8" descr="2`P{ZWE4XUFQX$9ROC7~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2`P{ZWE4XUFQX$9ROC7~U[B"/>
                    <pic:cNvPicPr>
                      <a:picLocks noChangeAspect="1"/>
                    </pic:cNvPicPr>
                  </pic:nvPicPr>
                  <pic:blipFill>
                    <a:blip r:embed="rId14"/>
                    <a:stretch>
                      <a:fillRect/>
                    </a:stretch>
                  </pic:blipFill>
                  <pic:spPr>
                    <a:xfrm>
                      <a:off x="0" y="0"/>
                      <a:ext cx="2200275" cy="2496185"/>
                    </a:xfrm>
                    <a:prstGeom prst="rect">
                      <a:avLst/>
                    </a:prstGeom>
                    <a:noFill/>
                    <a:ln>
                      <a:noFill/>
                    </a:ln>
                  </pic:spPr>
                </pic:pic>
              </a:graphicData>
            </a:graphic>
          </wp:inline>
        </w:drawing>
      </w:r>
      <w:r>
        <w:rPr>
          <w:rFonts w:ascii="宋体" w:hAnsi="宋体" w:cs="宋体"/>
          <w:kern w:val="0"/>
          <w:sz w:val="24"/>
          <w:szCs w:val="24"/>
        </w:rPr>
        <w:fldChar w:fldCharType="end"/>
      </w:r>
    </w:p>
    <w:p>
      <w:pPr>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default" w:ascii="Times New Roman" w:hAnsi="Times New Roman" w:eastAsia="仿宋_GB2312" w:cs="Times New Roman"/>
          <w:b/>
          <w:bCs/>
          <w:sz w:val="28"/>
          <w:szCs w:val="28"/>
          <w:lang w:val="en-US" w:eastAsia="zh-CN"/>
        </w:rPr>
      </w:pPr>
      <w:r>
        <w:rPr>
          <w:rFonts w:hint="eastAsia" w:ascii="Times New Roman" w:hAnsi="Times New Roman" w:eastAsia="仿宋_GB2312" w:cs="Times New Roman"/>
          <w:b/>
          <w:bCs/>
          <w:sz w:val="28"/>
          <w:szCs w:val="28"/>
          <w:lang w:val="en-US" w:eastAsia="zh-CN"/>
        </w:rPr>
        <w:t>三、采购人要求：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1、交货之日起 30 个日内发现服装号型于量体不符或制作质量问题，供货方免费上门更换；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2、需承诺提供质保期1年的上门服务，对采购人员提出的问题</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24 小时内答复并给予解决方案，服装交货之日起3个月内免费修补，超出3个月的提供免费换片处理，仅收取面料成本费用；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3、服装缝制、整烫要求：按照服装工艺制作。须承诺量体裁衣时单裁单剪，保证穿着合体。若已进行量体，但所提供的服装仍然不合体，由供应商进行免费返修，且返修时间不得超过一个月；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4、需承诺不得采用代加工或者贴牌等方式进行供货，否则将接受采购单位提出的任何返工要求及相关处理。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5.供应商中标后签订合同前须提供面料样品以及国家认可的面料 检测报告（复印件或扫描件加盖公章），经采购人认可后双方签订采购合同；供货时，如采购人发现有服装产品不满足采购需求，采购人可拒绝付款。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6.供应商须提供本次采购内容的全部服装样品，服装样品费用由供应商自行承担。</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eastAsia" w:ascii="Times New Roman" w:hAnsi="Times New Roman" w:eastAsia="仿宋_GB2312" w:cs="Times New Roman"/>
          <w:sz w:val="28"/>
          <w:szCs w:val="28"/>
          <w:lang w:val="en-US" w:eastAsia="zh-CN"/>
        </w:rPr>
        <w:t>中标方按照招标方要求随时供货（采购服装供货时间控制在30日历天内）。</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300835209"/>
      <w:bookmarkStart w:id="81" w:name="_Toc247527827"/>
      <w:bookmarkStart w:id="82" w:name="_Toc152045787"/>
      <w:bookmarkStart w:id="83" w:name="_Toc144974856"/>
      <w:bookmarkStart w:id="84" w:name="_Toc152042576"/>
      <w:bookmarkStart w:id="85" w:name="_Toc24751424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七、货物服务技术方案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86" w:name="_Toc247514247"/>
      <w:bookmarkStart w:id="87" w:name="_Toc300835210"/>
      <w:bookmarkStart w:id="88" w:name="_Toc247527828"/>
      <w:bookmarkStart w:id="89" w:name="_Toc144974857"/>
      <w:bookmarkStart w:id="90" w:name="_Toc152042577"/>
      <w:bookmarkStart w:id="91" w:name="_Toc152045788"/>
      <w:r>
        <w:rPr>
          <w:rFonts w:hint="default" w:ascii="Times New Roman" w:hAnsi="Times New Roman" w:cs="Times New Roman"/>
        </w:rPr>
        <w:t>一、投标函</w:t>
      </w:r>
      <w:bookmarkEnd w:id="86"/>
      <w:bookmarkEnd w:id="87"/>
      <w:bookmarkEnd w:id="88"/>
      <w:bookmarkEnd w:id="89"/>
      <w:bookmarkEnd w:id="90"/>
      <w:bookmarkEnd w:id="9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工作服装及相关服务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（1）投标函；（2）法定代表人身份证明或授权委托书；（3）投标保证金（如有）；（4）分项报价表；（5）资格审查资料；（6）承诺书；（7）货物服务技术方案；（8）其他资料；.....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92" w:name="_Toc247514283"/>
      <w:bookmarkStart w:id="93" w:name="_Toc247527831"/>
      <w:bookmarkStart w:id="94" w:name="_Toc152042580"/>
      <w:bookmarkStart w:id="95" w:name="_Toc144974860"/>
      <w:bookmarkStart w:id="96" w:name="_Toc300835213"/>
      <w:bookmarkStart w:id="97"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44974861"/>
      <w:bookmarkStart w:id="99" w:name="_Toc300835214"/>
      <w:bookmarkStart w:id="100" w:name="_Toc152045792"/>
      <w:bookmarkStart w:id="101" w:name="_Toc152042581"/>
      <w:bookmarkStart w:id="102" w:name="_Toc247527832"/>
      <w:bookmarkStart w:id="103" w:name="_Toc24751428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300835216"/>
      <w:bookmarkStart w:id="105" w:name="_Toc152045794"/>
      <w:bookmarkStart w:id="106" w:name="_Toc152042583"/>
      <w:bookmarkStart w:id="107" w:name="_Toc247514286"/>
      <w:bookmarkStart w:id="108" w:name="_Toc144974862"/>
      <w:bookmarkStart w:id="109"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144974864"/>
      <w:bookmarkStart w:id="112" w:name="_Toc247527836"/>
      <w:bookmarkStart w:id="113" w:name="_Toc152045796"/>
      <w:bookmarkStart w:id="114" w:name="_Toc300835221"/>
      <w:bookmarkStart w:id="115" w:name="_Toc152042585"/>
      <w:bookmarkStart w:id="116" w:name="_Toc247514288"/>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分项报价表</w:t>
      </w: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11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w:t>
      </w:r>
    </w:p>
    <w:p>
      <w:pPr>
        <w:numPr>
          <w:ilvl w:val="0"/>
          <w:numId w:val="0"/>
        </w:num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1.如果按单价计算的结果与合计总价不一致，以单价为准修正合计总价。</w:t>
      </w:r>
    </w:p>
    <w:p>
      <w:pPr>
        <w:numPr>
          <w:ilvl w:val="0"/>
          <w:numId w:val="0"/>
        </w:num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2.如果不提供详细分项报价将视为没有实质性响应招标文件。</w:t>
      </w:r>
    </w:p>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3.上述单价为综合单价，应包含一切税费。</w:t>
      </w:r>
    </w:p>
    <w:p>
      <w:pPr>
        <w:spacing w:line="440" w:lineRule="exact"/>
        <w:ind w:firstLine="2100" w:firstLineChars="10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spacing w:line="440" w:lineRule="exact"/>
        <w:ind w:firstLine="2100" w:firstLineChars="1000"/>
        <w:jc w:val="right"/>
        <w:rPr>
          <w:rFonts w:hint="eastAsia" w:ascii="Times New Roman" w:hAnsi="Times New Roman" w:cs="Times New Roman"/>
          <w:szCs w:val="21"/>
          <w:lang w:val="en-US" w:eastAsia="zh-CN"/>
        </w:rPr>
      </w:pPr>
    </w:p>
    <w:p>
      <w:pPr>
        <w:spacing w:line="440" w:lineRule="exact"/>
        <w:jc w:val="both"/>
        <w:rPr>
          <w:rFonts w:hint="eastAsia" w:ascii="Times New Roman" w:hAnsi="Times New Roman" w:cs="Times New Roman"/>
          <w:szCs w:val="21"/>
          <w:lang w:val="en-US" w:eastAsia="zh-CN"/>
        </w:rPr>
      </w:pPr>
    </w:p>
    <w:p>
      <w:pPr>
        <w:spacing w:line="440" w:lineRule="exact"/>
        <w:ind w:firstLine="2100" w:firstLineChars="1000"/>
        <w:jc w:val="righ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tabs>
          <w:tab w:val="left" w:pos="720"/>
        </w:tabs>
        <w:spacing w:line="440" w:lineRule="exact"/>
        <w:jc w:val="right"/>
        <w:rPr>
          <w:rFonts w:hint="default" w:ascii="Times New Roman" w:hAnsi="Times New Roman" w:cs="Times New Roman"/>
          <w:szCs w:val="21"/>
        </w:rPr>
      </w:pP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tabs>
          <w:tab w:val="left" w:pos="720"/>
        </w:tabs>
        <w:spacing w:line="440" w:lineRule="exact"/>
        <w:jc w:val="right"/>
        <w:rPr>
          <w:rFonts w:hint="default" w:ascii="Times New Roman" w:hAnsi="Times New Roman" w:cs="Times New Roman"/>
          <w:szCs w:val="21"/>
          <w:u w:val="single"/>
        </w:rPr>
      </w:pPr>
    </w:p>
    <w:p>
      <w:pPr>
        <w:tabs>
          <w:tab w:val="left" w:pos="720"/>
        </w:tabs>
        <w:spacing w:line="440" w:lineRule="exact"/>
        <w:jc w:val="right"/>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r>
        <w:rPr>
          <w:rFonts w:hint="eastAsia" w:ascii="Times New Roman" w:hAnsi="Times New Roman" w:cs="Times New Roman"/>
          <w:szCs w:val="21"/>
          <w:lang w:val="en-US" w:eastAsia="zh-CN"/>
        </w:rPr>
        <w:tab/>
      </w:r>
      <w:r>
        <w:rPr>
          <w:sz w:val="20"/>
        </w:rPr>
        <w:br w:type="page"/>
      </w:r>
    </w:p>
    <w:p>
      <w:pPr>
        <w:rPr>
          <w:rFonts w:hint="default" w:ascii="Times New Roman" w:hAnsi="Times New Roman" w:cs="Times New Roman"/>
          <w:szCs w:val="21"/>
        </w:rPr>
      </w:pPr>
    </w:p>
    <w:bookmarkEnd w:id="117"/>
    <w:p>
      <w:pPr>
        <w:pStyle w:val="3"/>
        <w:jc w:val="center"/>
        <w:rPr>
          <w:rFonts w:hint="eastAsia"/>
          <w:highlight w:val="none"/>
        </w:rPr>
      </w:pPr>
      <w:bookmarkStart w:id="118" w:name="_Toc246996369"/>
      <w:bookmarkStart w:id="119" w:name="_Toc247085887"/>
      <w:bookmarkStart w:id="120" w:name="_Toc246997112"/>
      <w:bookmarkStart w:id="121" w:name="_Toc152045808"/>
      <w:bookmarkStart w:id="122" w:name="_Toc300835224"/>
      <w:bookmarkStart w:id="123" w:name="_Toc144974876"/>
      <w:bookmarkStart w:id="124" w:name="_Toc247527848"/>
      <w:bookmarkStart w:id="125" w:name="_Toc152045803"/>
      <w:bookmarkStart w:id="126" w:name="_Toc247514300"/>
      <w:bookmarkStart w:id="127" w:name="_Toc296602614"/>
      <w:bookmarkStart w:id="128" w:name="_Toc152042592"/>
      <w:bookmarkStart w:id="129" w:name="_Toc179632823"/>
      <w:bookmarkStart w:id="130" w:name="_Toc152042597"/>
      <w:bookmarkStart w:id="131" w:name="_Toc144974871"/>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如果投标人须知第1.4.1项对供应商的资质提出了要求，投标人应根据投标人须知第3.5.1项的要求在本表后附相关资质证书复印件。</w:t>
      </w:r>
    </w:p>
    <w:p>
      <w:pPr>
        <w:rPr>
          <w:rFonts w:hint="default" w:ascii="Times New Roman" w:hAnsi="Times New Roman" w:cs="Times New Roman"/>
          <w:lang w:val="en-US" w:eastAsia="zh-CN"/>
        </w:rPr>
      </w:pPr>
    </w:p>
    <w:p>
      <w:pPr>
        <w:rPr>
          <w:rFonts w:hint="eastAsia"/>
        </w:rPr>
      </w:pPr>
      <w:r>
        <w:rPr>
          <w:rFonts w:hint="eastAsia"/>
        </w:rPr>
        <w:br w:type="page"/>
      </w:r>
    </w:p>
    <w:p>
      <w:pPr>
        <w:pStyle w:val="4"/>
        <w:numPr>
          <w:ilvl w:val="0"/>
          <w:numId w:val="0"/>
        </w:numPr>
        <w:ind w:left="137" w:leftChars="0"/>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供货期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Pr>
        <w:pStyle w:val="4"/>
        <w:jc w:val="center"/>
        <w:rPr>
          <w:rFonts w:hint="eastAsia"/>
        </w:rPr>
      </w:pPr>
      <w:r>
        <w:rPr>
          <w:rFonts w:hint="eastAsia"/>
          <w:lang w:val="en-US" w:eastAsia="zh-CN"/>
        </w:rPr>
        <w:t>六、</w:t>
      </w:r>
      <w:r>
        <w:rPr>
          <w:rFonts w:hint="eastAsia"/>
        </w:rPr>
        <w:t>承诺书（格式）</w:t>
      </w:r>
    </w:p>
    <w:p>
      <w:pPr>
        <w:spacing w:line="360" w:lineRule="auto"/>
        <w:rPr>
          <w:rFonts w:ascii="宋体" w:hAnsi="宋体"/>
          <w:szCs w:val="21"/>
        </w:rPr>
      </w:pPr>
    </w:p>
    <w:p>
      <w:pPr>
        <w:spacing w:line="360" w:lineRule="auto"/>
        <w:jc w:val="left"/>
        <w:rPr>
          <w:rFonts w:hint="eastAsia" w:ascii="宋体" w:hAnsi="宋体"/>
          <w:szCs w:val="21"/>
        </w:rPr>
      </w:pPr>
      <w:r>
        <w:rPr>
          <w:rFonts w:hint="eastAsia" w:ascii="宋体" w:hAnsi="宋体"/>
          <w:szCs w:val="21"/>
        </w:rPr>
        <w:t>我公司郑重承诺如下：</w:t>
      </w:r>
    </w:p>
    <w:p>
      <w:pPr>
        <w:spacing w:line="360" w:lineRule="auto"/>
        <w:ind w:firstLine="420" w:firstLineChars="200"/>
        <w:jc w:val="left"/>
        <w:rPr>
          <w:rFonts w:hint="eastAsia" w:ascii="宋体" w:hAnsi="宋体"/>
          <w:szCs w:val="21"/>
        </w:rPr>
      </w:pPr>
      <w:r>
        <w:rPr>
          <w:rFonts w:hint="eastAsia" w:ascii="宋体" w:hAnsi="宋体"/>
          <w:szCs w:val="21"/>
        </w:rPr>
        <w:t>一、完全接受</w:t>
      </w:r>
      <w:r>
        <w:rPr>
          <w:rFonts w:hint="eastAsia" w:ascii="宋体" w:hAnsi="宋体"/>
          <w:szCs w:val="21"/>
          <w:lang w:val="en-US" w:eastAsia="zh-CN"/>
        </w:rPr>
        <w:t>招标</w:t>
      </w:r>
      <w:r>
        <w:rPr>
          <w:rFonts w:hint="eastAsia" w:ascii="宋体" w:hAnsi="宋体"/>
          <w:szCs w:val="21"/>
        </w:rPr>
        <w:t>文件的全部内容，提交的所有资料扫描件或复印件与原件一致，真实、合法、有效，对他人的知识产权不构成侵权。如因材料弄虚作假，或导致知识产权侵权行为，或给采购方的使用带来严重影响，造成经济损失，承担由此造成的一切法律责任和经济赔偿。</w:t>
      </w:r>
    </w:p>
    <w:p>
      <w:pPr>
        <w:spacing w:line="360" w:lineRule="auto"/>
        <w:ind w:firstLine="420" w:firstLineChars="200"/>
        <w:jc w:val="left"/>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left"/>
        <w:rPr>
          <w:rFonts w:hint="eastAsia" w:ascii="宋体" w:hAnsi="宋体"/>
          <w:szCs w:val="21"/>
        </w:rPr>
      </w:pPr>
      <w:r>
        <w:rPr>
          <w:rFonts w:hint="eastAsia" w:ascii="宋体" w:hAnsi="宋体"/>
          <w:szCs w:val="21"/>
        </w:rPr>
        <w:t>三、本项目授权委托人为我公司正式工作人员。投标时（以投标截止时间为准），我公司无被限制投标的记录（有效期内）。</w:t>
      </w:r>
    </w:p>
    <w:p>
      <w:pPr>
        <w:spacing w:line="360" w:lineRule="auto"/>
        <w:ind w:firstLine="420" w:firstLineChars="200"/>
        <w:jc w:val="left"/>
        <w:rPr>
          <w:rFonts w:hint="eastAsia" w:ascii="宋体" w:hAnsi="宋体"/>
          <w:szCs w:val="21"/>
        </w:rPr>
      </w:pPr>
      <w:r>
        <w:rPr>
          <w:rFonts w:hint="eastAsia" w:ascii="宋体" w:hAnsi="宋体"/>
          <w:szCs w:val="21"/>
        </w:rPr>
        <w:t>四、投标时（以投标截止时间为准），我公司未被人民法院及相关部门列入失信被执行人名单、重大税收违法案件当事人名单、政府采购严重违法失信行为记录名单。</w:t>
      </w:r>
    </w:p>
    <w:p>
      <w:pPr>
        <w:spacing w:line="360" w:lineRule="auto"/>
        <w:ind w:firstLine="420" w:firstLineChars="200"/>
        <w:jc w:val="left"/>
        <w:rPr>
          <w:rFonts w:hint="eastAsia" w:ascii="宋体" w:hAnsi="宋体"/>
          <w:szCs w:val="21"/>
        </w:rPr>
      </w:pPr>
      <w:r>
        <w:rPr>
          <w:rFonts w:hint="eastAsia" w:ascii="宋体" w:hAnsi="宋体"/>
          <w:szCs w:val="21"/>
        </w:rPr>
        <w:t>五、如被确定为中标（成交）供应商，保证按照合同约定进行履约。</w:t>
      </w:r>
    </w:p>
    <w:p>
      <w:pPr>
        <w:spacing w:line="360" w:lineRule="auto"/>
        <w:ind w:firstLine="420" w:firstLineChars="200"/>
        <w:jc w:val="left"/>
        <w:rPr>
          <w:rFonts w:hint="eastAsia" w:ascii="宋体" w:hAnsi="宋体"/>
          <w:szCs w:val="21"/>
        </w:rPr>
      </w:pPr>
      <w:r>
        <w:rPr>
          <w:rFonts w:hint="eastAsia" w:ascii="宋体" w:hAnsi="宋体"/>
          <w:szCs w:val="21"/>
        </w:rPr>
        <w:t>六、依法行使自己的质疑、投诉权利，提供的质疑、投诉证明材料来源合法，不存在捏造事实、提供虚假材料或恶意投诉等行为。</w:t>
      </w:r>
    </w:p>
    <w:p>
      <w:pPr>
        <w:spacing w:line="360" w:lineRule="auto"/>
        <w:ind w:firstLine="420" w:firstLineChars="200"/>
        <w:jc w:val="left"/>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如有违反上述承诺之一，或存在其他虚假、违法违规行为，我公司自愿接受相关部门的处理，并自愿放弃索要投标（履约）保证金的权利，承担由此产生的一切后果。</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投标供应商名称(盖单位</w:t>
      </w:r>
      <w:r>
        <w:rPr>
          <w:rFonts w:hint="eastAsia" w:ascii="宋体" w:hAnsi="宋体"/>
          <w:szCs w:val="21"/>
          <w:lang w:val="en-US" w:eastAsia="zh-CN"/>
        </w:rPr>
        <w:t>公</w:t>
      </w:r>
      <w:r>
        <w:rPr>
          <w:rFonts w:hint="eastAsia" w:ascii="宋体" w:hAnsi="宋体"/>
          <w:szCs w:val="21"/>
        </w:rPr>
        <w:t>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日期：</w:t>
      </w:r>
      <w:r>
        <w:rPr>
          <w:rFonts w:hint="eastAsia" w:ascii="宋体" w:hAnsi="宋体"/>
          <w:szCs w:val="21"/>
        </w:rPr>
        <w:tab/>
      </w:r>
      <w:r>
        <w:rPr>
          <w:rFonts w:hint="eastAsia" w:ascii="宋体" w:hAnsi="宋体"/>
          <w:szCs w:val="21"/>
        </w:rPr>
        <w:t>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p>
    <w:p>
      <w:pPr>
        <w:pStyle w:val="8"/>
        <w:rPr>
          <w:b/>
          <w:sz w:val="20"/>
        </w:rPr>
      </w:pPr>
    </w:p>
    <w:p>
      <w:pPr>
        <w:pStyle w:val="3"/>
        <w:jc w:val="center"/>
        <w:rPr>
          <w:rFonts w:hint="default"/>
          <w:lang w:val="en-US" w:eastAsia="zh-CN"/>
        </w:rPr>
      </w:pPr>
      <w:r>
        <w:rPr>
          <w:rFonts w:hint="eastAsia"/>
          <w:lang w:val="en-US" w:eastAsia="zh-CN"/>
        </w:rPr>
        <w:t>七、货物服务技术方案</w:t>
      </w:r>
    </w:p>
    <w:p>
      <w:pPr>
        <w:spacing w:line="360" w:lineRule="auto"/>
        <w:ind w:firstLine="1680" w:firstLineChars="800"/>
        <w:rPr>
          <w:rFonts w:hint="eastAsia" w:ascii="宋体" w:hAnsi="宋体"/>
          <w:szCs w:val="21"/>
          <w:lang w:val="en-US" w:eastAsia="zh-CN"/>
        </w:rPr>
      </w:pPr>
      <w:bookmarkStart w:id="132" w:name="_Toc300835233"/>
      <w:bookmarkStart w:id="133" w:name="_Toc271821942"/>
      <w:r>
        <w:rPr>
          <w:rFonts w:hint="eastAsia" w:ascii="宋体" w:hAnsi="宋体"/>
          <w:szCs w:val="21"/>
          <w:lang w:val="en-US" w:eastAsia="zh-CN"/>
        </w:rPr>
        <w:t>（投标人根据本项目采购需求和企业实际情况自行编写）</w:t>
      </w:r>
    </w:p>
    <w:p>
      <w:pPr>
        <w:pStyle w:val="3"/>
        <w:keepNext w:val="0"/>
        <w:keepLines w:val="0"/>
        <w:pageBreakBefore w:val="0"/>
        <w:widowControl w:val="0"/>
        <w:kinsoku/>
        <w:wordWrap/>
        <w:overflowPunct/>
        <w:topLinePunct w:val="0"/>
        <w:autoSpaceDE/>
        <w:autoSpaceDN/>
        <w:bidi w:val="0"/>
        <w:adjustRightInd/>
        <w:snapToGrid/>
        <w:spacing w:line="416" w:lineRule="auto"/>
        <w:jc w:val="center"/>
        <w:textAlignment w:val="auto"/>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八</w:t>
      </w:r>
      <w:r>
        <w:rPr>
          <w:rFonts w:hint="default" w:ascii="Times New Roman" w:hAnsi="Times New Roman" w:cs="Times New Roman"/>
        </w:rPr>
        <w:t>、其他资料</w:t>
      </w:r>
      <w:bookmarkEnd w:id="132"/>
      <w:bookmarkEnd w:id="133"/>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422C63"/>
    <w:multiLevelType w:val="singleLevel"/>
    <w:tmpl w:val="88422C6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7442B"/>
    <w:rsid w:val="00733B0B"/>
    <w:rsid w:val="00764376"/>
    <w:rsid w:val="00796B76"/>
    <w:rsid w:val="00850CC0"/>
    <w:rsid w:val="00B00F2F"/>
    <w:rsid w:val="00C81162"/>
    <w:rsid w:val="00FF308E"/>
    <w:rsid w:val="011E6004"/>
    <w:rsid w:val="0145105E"/>
    <w:rsid w:val="015366DE"/>
    <w:rsid w:val="017D6531"/>
    <w:rsid w:val="019846E3"/>
    <w:rsid w:val="01CB0CDF"/>
    <w:rsid w:val="01CD2334"/>
    <w:rsid w:val="01E140D3"/>
    <w:rsid w:val="01F16263"/>
    <w:rsid w:val="02016132"/>
    <w:rsid w:val="021323E7"/>
    <w:rsid w:val="021D348F"/>
    <w:rsid w:val="02685DEE"/>
    <w:rsid w:val="026E5FAB"/>
    <w:rsid w:val="02983D41"/>
    <w:rsid w:val="02A31129"/>
    <w:rsid w:val="02A46690"/>
    <w:rsid w:val="02AC508C"/>
    <w:rsid w:val="02BE075F"/>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52387"/>
    <w:rsid w:val="04B54547"/>
    <w:rsid w:val="04CD15E8"/>
    <w:rsid w:val="04CF4810"/>
    <w:rsid w:val="04D36D79"/>
    <w:rsid w:val="04D63FDF"/>
    <w:rsid w:val="04EB08D2"/>
    <w:rsid w:val="04EC7DA2"/>
    <w:rsid w:val="050252F6"/>
    <w:rsid w:val="055625ED"/>
    <w:rsid w:val="05597C6C"/>
    <w:rsid w:val="0572490A"/>
    <w:rsid w:val="057E3D65"/>
    <w:rsid w:val="058253F2"/>
    <w:rsid w:val="05872EB9"/>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972E4E"/>
    <w:rsid w:val="06A31B6E"/>
    <w:rsid w:val="06A848F7"/>
    <w:rsid w:val="06B86823"/>
    <w:rsid w:val="06BF2153"/>
    <w:rsid w:val="06D375E0"/>
    <w:rsid w:val="06D9502E"/>
    <w:rsid w:val="06E329B2"/>
    <w:rsid w:val="06EB4F76"/>
    <w:rsid w:val="06ED1728"/>
    <w:rsid w:val="06F81D74"/>
    <w:rsid w:val="06F945C3"/>
    <w:rsid w:val="07341382"/>
    <w:rsid w:val="07351836"/>
    <w:rsid w:val="074267A8"/>
    <w:rsid w:val="074A7C93"/>
    <w:rsid w:val="07666E00"/>
    <w:rsid w:val="07723470"/>
    <w:rsid w:val="077907ED"/>
    <w:rsid w:val="07972327"/>
    <w:rsid w:val="07A526A3"/>
    <w:rsid w:val="07A85930"/>
    <w:rsid w:val="07EE56D8"/>
    <w:rsid w:val="08135F8A"/>
    <w:rsid w:val="08150CEE"/>
    <w:rsid w:val="083726B7"/>
    <w:rsid w:val="08554A0D"/>
    <w:rsid w:val="08563EE1"/>
    <w:rsid w:val="086D3DA1"/>
    <w:rsid w:val="08774BE1"/>
    <w:rsid w:val="088F5820"/>
    <w:rsid w:val="08903F11"/>
    <w:rsid w:val="08932D8F"/>
    <w:rsid w:val="08E46623"/>
    <w:rsid w:val="08ED571D"/>
    <w:rsid w:val="08F3030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B5261"/>
    <w:rsid w:val="0A8E5075"/>
    <w:rsid w:val="0A8F11AF"/>
    <w:rsid w:val="0AA913FB"/>
    <w:rsid w:val="0AAE6B76"/>
    <w:rsid w:val="0AB37F43"/>
    <w:rsid w:val="0AB930A2"/>
    <w:rsid w:val="0ADD0DF0"/>
    <w:rsid w:val="0AEB40E8"/>
    <w:rsid w:val="0B0372C6"/>
    <w:rsid w:val="0B2810DB"/>
    <w:rsid w:val="0B416906"/>
    <w:rsid w:val="0B5D1C2A"/>
    <w:rsid w:val="0B685C3C"/>
    <w:rsid w:val="0B7202E7"/>
    <w:rsid w:val="0B7B6764"/>
    <w:rsid w:val="0B991D46"/>
    <w:rsid w:val="0B9F686D"/>
    <w:rsid w:val="0C110CA2"/>
    <w:rsid w:val="0C364F9E"/>
    <w:rsid w:val="0C773477"/>
    <w:rsid w:val="0C905D65"/>
    <w:rsid w:val="0C9F113B"/>
    <w:rsid w:val="0CB445DA"/>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8057F"/>
    <w:rsid w:val="0DC57869"/>
    <w:rsid w:val="0DD331D8"/>
    <w:rsid w:val="0DDB677F"/>
    <w:rsid w:val="0DE90B73"/>
    <w:rsid w:val="0E05197A"/>
    <w:rsid w:val="0E093A81"/>
    <w:rsid w:val="0E1201C4"/>
    <w:rsid w:val="0E3C08A3"/>
    <w:rsid w:val="0E626142"/>
    <w:rsid w:val="0E641F0C"/>
    <w:rsid w:val="0E6D3EE4"/>
    <w:rsid w:val="0E73304D"/>
    <w:rsid w:val="0E8168AC"/>
    <w:rsid w:val="0E825A70"/>
    <w:rsid w:val="0E92031F"/>
    <w:rsid w:val="0E9601D9"/>
    <w:rsid w:val="0EB07759"/>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2269D1"/>
    <w:rsid w:val="11356135"/>
    <w:rsid w:val="11537004"/>
    <w:rsid w:val="11800917"/>
    <w:rsid w:val="118955AD"/>
    <w:rsid w:val="11970BCB"/>
    <w:rsid w:val="1197226B"/>
    <w:rsid w:val="119E5143"/>
    <w:rsid w:val="11AA0839"/>
    <w:rsid w:val="11C42470"/>
    <w:rsid w:val="11C71895"/>
    <w:rsid w:val="11CD444A"/>
    <w:rsid w:val="11E2334D"/>
    <w:rsid w:val="11E57D4D"/>
    <w:rsid w:val="11FC3F3B"/>
    <w:rsid w:val="120A72E0"/>
    <w:rsid w:val="12374307"/>
    <w:rsid w:val="124D3BAD"/>
    <w:rsid w:val="125A52C4"/>
    <w:rsid w:val="12655D96"/>
    <w:rsid w:val="128E3C38"/>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B14179"/>
    <w:rsid w:val="15BB515A"/>
    <w:rsid w:val="15C516BD"/>
    <w:rsid w:val="15FF55AE"/>
    <w:rsid w:val="161B2B1F"/>
    <w:rsid w:val="166266B1"/>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3D465D"/>
    <w:rsid w:val="193D4E12"/>
    <w:rsid w:val="195419D3"/>
    <w:rsid w:val="196C4606"/>
    <w:rsid w:val="196C6238"/>
    <w:rsid w:val="198A59D6"/>
    <w:rsid w:val="19A73D74"/>
    <w:rsid w:val="19AA5416"/>
    <w:rsid w:val="19B10C29"/>
    <w:rsid w:val="19CE7FF6"/>
    <w:rsid w:val="19D70C6D"/>
    <w:rsid w:val="19E2271F"/>
    <w:rsid w:val="19F3086D"/>
    <w:rsid w:val="1A075570"/>
    <w:rsid w:val="1A0873EE"/>
    <w:rsid w:val="1A1C623A"/>
    <w:rsid w:val="1A222A0A"/>
    <w:rsid w:val="1A270D5F"/>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652C95"/>
    <w:rsid w:val="1B70155F"/>
    <w:rsid w:val="1B723039"/>
    <w:rsid w:val="1B765C75"/>
    <w:rsid w:val="1B7700FA"/>
    <w:rsid w:val="1B894EBC"/>
    <w:rsid w:val="1B8C1172"/>
    <w:rsid w:val="1B9269B7"/>
    <w:rsid w:val="1BB12BB2"/>
    <w:rsid w:val="1BCE49E9"/>
    <w:rsid w:val="1BD12722"/>
    <w:rsid w:val="1BD15865"/>
    <w:rsid w:val="1BE90199"/>
    <w:rsid w:val="1BFE7E24"/>
    <w:rsid w:val="1C100B6A"/>
    <w:rsid w:val="1C123CB3"/>
    <w:rsid w:val="1C2075D6"/>
    <w:rsid w:val="1C2B6CB4"/>
    <w:rsid w:val="1C3774BA"/>
    <w:rsid w:val="1C5D5F8B"/>
    <w:rsid w:val="1C637E71"/>
    <w:rsid w:val="1C6E241C"/>
    <w:rsid w:val="1C7D7596"/>
    <w:rsid w:val="1C9C2788"/>
    <w:rsid w:val="1C9C4490"/>
    <w:rsid w:val="1CB07DF9"/>
    <w:rsid w:val="1CC3681B"/>
    <w:rsid w:val="1CD143D0"/>
    <w:rsid w:val="1CF251D3"/>
    <w:rsid w:val="1CFF3217"/>
    <w:rsid w:val="1D0C3E62"/>
    <w:rsid w:val="1D1D0D81"/>
    <w:rsid w:val="1D5835F0"/>
    <w:rsid w:val="1D8C5045"/>
    <w:rsid w:val="1D9244F8"/>
    <w:rsid w:val="1D931CEA"/>
    <w:rsid w:val="1DC177D9"/>
    <w:rsid w:val="1DDE608F"/>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740BF"/>
    <w:rsid w:val="2099242E"/>
    <w:rsid w:val="20B0411F"/>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A61686"/>
    <w:rsid w:val="21C13A32"/>
    <w:rsid w:val="220940EA"/>
    <w:rsid w:val="220A4BCF"/>
    <w:rsid w:val="22270787"/>
    <w:rsid w:val="224A2225"/>
    <w:rsid w:val="224D73DD"/>
    <w:rsid w:val="22592601"/>
    <w:rsid w:val="226D7B83"/>
    <w:rsid w:val="2293123C"/>
    <w:rsid w:val="22A570EC"/>
    <w:rsid w:val="22B70712"/>
    <w:rsid w:val="23146AE4"/>
    <w:rsid w:val="232E56FD"/>
    <w:rsid w:val="233F5F96"/>
    <w:rsid w:val="235F4D23"/>
    <w:rsid w:val="23657029"/>
    <w:rsid w:val="236D4028"/>
    <w:rsid w:val="23745640"/>
    <w:rsid w:val="237A75E1"/>
    <w:rsid w:val="238A4DFC"/>
    <w:rsid w:val="23C053DE"/>
    <w:rsid w:val="23DF7B34"/>
    <w:rsid w:val="240C05DA"/>
    <w:rsid w:val="24226CC5"/>
    <w:rsid w:val="24312A4A"/>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B01A3"/>
    <w:rsid w:val="25F5789E"/>
    <w:rsid w:val="25FD6A72"/>
    <w:rsid w:val="2608561B"/>
    <w:rsid w:val="260C1217"/>
    <w:rsid w:val="26196938"/>
    <w:rsid w:val="262435DA"/>
    <w:rsid w:val="26261861"/>
    <w:rsid w:val="26382AAC"/>
    <w:rsid w:val="26410311"/>
    <w:rsid w:val="26506FAD"/>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E1380C"/>
    <w:rsid w:val="29E85046"/>
    <w:rsid w:val="2A017BFD"/>
    <w:rsid w:val="2A0A71F8"/>
    <w:rsid w:val="2A4913A2"/>
    <w:rsid w:val="2A5A7ABB"/>
    <w:rsid w:val="2A8260FD"/>
    <w:rsid w:val="2A9154D8"/>
    <w:rsid w:val="2AA04C57"/>
    <w:rsid w:val="2AD750C3"/>
    <w:rsid w:val="2AE77D08"/>
    <w:rsid w:val="2AEA3011"/>
    <w:rsid w:val="2B0B000F"/>
    <w:rsid w:val="2B0F2542"/>
    <w:rsid w:val="2B252D72"/>
    <w:rsid w:val="2B3E0375"/>
    <w:rsid w:val="2B492499"/>
    <w:rsid w:val="2B652A8D"/>
    <w:rsid w:val="2B6A2F63"/>
    <w:rsid w:val="2B6C55DB"/>
    <w:rsid w:val="2B8D5640"/>
    <w:rsid w:val="2BF4029C"/>
    <w:rsid w:val="2C1C6937"/>
    <w:rsid w:val="2C202757"/>
    <w:rsid w:val="2C270D43"/>
    <w:rsid w:val="2C6436A6"/>
    <w:rsid w:val="2C7A2A8F"/>
    <w:rsid w:val="2C9023A5"/>
    <w:rsid w:val="2C937549"/>
    <w:rsid w:val="2C9D6A04"/>
    <w:rsid w:val="2C9F62F7"/>
    <w:rsid w:val="2CB62598"/>
    <w:rsid w:val="2CBC136A"/>
    <w:rsid w:val="2CFE607B"/>
    <w:rsid w:val="2D095409"/>
    <w:rsid w:val="2D185752"/>
    <w:rsid w:val="2D204FAE"/>
    <w:rsid w:val="2D3A3199"/>
    <w:rsid w:val="2D4B38E7"/>
    <w:rsid w:val="2D5470D9"/>
    <w:rsid w:val="2D551303"/>
    <w:rsid w:val="2D772574"/>
    <w:rsid w:val="2D8D31B7"/>
    <w:rsid w:val="2D8D5835"/>
    <w:rsid w:val="2DA54623"/>
    <w:rsid w:val="2DAB1C25"/>
    <w:rsid w:val="2DCC12FC"/>
    <w:rsid w:val="2DD66E3A"/>
    <w:rsid w:val="2DF17D73"/>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FA0191"/>
    <w:rsid w:val="2EFC22DC"/>
    <w:rsid w:val="2F436846"/>
    <w:rsid w:val="2F4556CE"/>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E41B5"/>
    <w:rsid w:val="30952C59"/>
    <w:rsid w:val="30EE0209"/>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74C7A"/>
    <w:rsid w:val="32BB4ABE"/>
    <w:rsid w:val="32C8549C"/>
    <w:rsid w:val="32CA16D9"/>
    <w:rsid w:val="32E83928"/>
    <w:rsid w:val="32F45590"/>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F605B"/>
    <w:rsid w:val="34767BE8"/>
    <w:rsid w:val="347F1D3B"/>
    <w:rsid w:val="349B5E0E"/>
    <w:rsid w:val="34A432B6"/>
    <w:rsid w:val="34AA020B"/>
    <w:rsid w:val="34BC17DA"/>
    <w:rsid w:val="34D015E3"/>
    <w:rsid w:val="34EC3ED5"/>
    <w:rsid w:val="34F85DA8"/>
    <w:rsid w:val="3509398E"/>
    <w:rsid w:val="3547266B"/>
    <w:rsid w:val="354B62D7"/>
    <w:rsid w:val="3554479E"/>
    <w:rsid w:val="35562720"/>
    <w:rsid w:val="35792722"/>
    <w:rsid w:val="357D63E5"/>
    <w:rsid w:val="357F00D0"/>
    <w:rsid w:val="35894506"/>
    <w:rsid w:val="35A377DB"/>
    <w:rsid w:val="35A52977"/>
    <w:rsid w:val="35CA3B9C"/>
    <w:rsid w:val="35E7387F"/>
    <w:rsid w:val="35E81F7A"/>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306225"/>
    <w:rsid w:val="374E35E0"/>
    <w:rsid w:val="37560CC6"/>
    <w:rsid w:val="378D0CEB"/>
    <w:rsid w:val="379A026D"/>
    <w:rsid w:val="37A2207E"/>
    <w:rsid w:val="37A2434F"/>
    <w:rsid w:val="37ED32C0"/>
    <w:rsid w:val="37ED6D6E"/>
    <w:rsid w:val="37F25985"/>
    <w:rsid w:val="38041E33"/>
    <w:rsid w:val="380C3B20"/>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D537E6"/>
    <w:rsid w:val="3CD93879"/>
    <w:rsid w:val="3D2571D3"/>
    <w:rsid w:val="3D7A2818"/>
    <w:rsid w:val="3D8106EA"/>
    <w:rsid w:val="3D834DF8"/>
    <w:rsid w:val="3DA352B1"/>
    <w:rsid w:val="3DBA258D"/>
    <w:rsid w:val="3DBA61E7"/>
    <w:rsid w:val="3DBE59FA"/>
    <w:rsid w:val="3DD55956"/>
    <w:rsid w:val="3DD64112"/>
    <w:rsid w:val="3DF7051E"/>
    <w:rsid w:val="3DFC4E1B"/>
    <w:rsid w:val="3E100FFC"/>
    <w:rsid w:val="3E201534"/>
    <w:rsid w:val="3E216B4D"/>
    <w:rsid w:val="3E4E3A85"/>
    <w:rsid w:val="3E626750"/>
    <w:rsid w:val="3E651EE9"/>
    <w:rsid w:val="3E784A78"/>
    <w:rsid w:val="3E8554F5"/>
    <w:rsid w:val="3E8770E8"/>
    <w:rsid w:val="3EB65E71"/>
    <w:rsid w:val="3EC33032"/>
    <w:rsid w:val="3EC61DB3"/>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335FC7"/>
    <w:rsid w:val="415978C8"/>
    <w:rsid w:val="415C1B4D"/>
    <w:rsid w:val="417843F2"/>
    <w:rsid w:val="418A1799"/>
    <w:rsid w:val="41A325D5"/>
    <w:rsid w:val="41A61C3F"/>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C37"/>
    <w:rsid w:val="42FA6BD0"/>
    <w:rsid w:val="42FB4E01"/>
    <w:rsid w:val="4301585B"/>
    <w:rsid w:val="43017026"/>
    <w:rsid w:val="43145EC4"/>
    <w:rsid w:val="43177F8E"/>
    <w:rsid w:val="431B31A4"/>
    <w:rsid w:val="43325808"/>
    <w:rsid w:val="433E1CAF"/>
    <w:rsid w:val="43412297"/>
    <w:rsid w:val="43413ED4"/>
    <w:rsid w:val="43594499"/>
    <w:rsid w:val="43636C3F"/>
    <w:rsid w:val="4364610B"/>
    <w:rsid w:val="436E5353"/>
    <w:rsid w:val="438073DF"/>
    <w:rsid w:val="439D6340"/>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D1C6D"/>
    <w:rsid w:val="453E4B66"/>
    <w:rsid w:val="453F207E"/>
    <w:rsid w:val="454276A8"/>
    <w:rsid w:val="45465AD9"/>
    <w:rsid w:val="45A31600"/>
    <w:rsid w:val="45E526C2"/>
    <w:rsid w:val="45ED2979"/>
    <w:rsid w:val="45EF4AA8"/>
    <w:rsid w:val="45EF5694"/>
    <w:rsid w:val="45F32D75"/>
    <w:rsid w:val="45F86B49"/>
    <w:rsid w:val="45FE4441"/>
    <w:rsid w:val="460934CE"/>
    <w:rsid w:val="461A7582"/>
    <w:rsid w:val="461F685B"/>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535A"/>
    <w:rsid w:val="4B476348"/>
    <w:rsid w:val="4B625BF7"/>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804E7C"/>
    <w:rsid w:val="4F85516A"/>
    <w:rsid w:val="4F944D8F"/>
    <w:rsid w:val="4FCA5221"/>
    <w:rsid w:val="4FCB4BB3"/>
    <w:rsid w:val="4FE17EA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4E52F1"/>
    <w:rsid w:val="54883400"/>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B12989"/>
    <w:rsid w:val="57C83C57"/>
    <w:rsid w:val="57CF7F96"/>
    <w:rsid w:val="57EC2A0C"/>
    <w:rsid w:val="57FB2FB4"/>
    <w:rsid w:val="582014EC"/>
    <w:rsid w:val="582028C2"/>
    <w:rsid w:val="582908A2"/>
    <w:rsid w:val="583D07DD"/>
    <w:rsid w:val="585F1862"/>
    <w:rsid w:val="58620D26"/>
    <w:rsid w:val="58706FB1"/>
    <w:rsid w:val="587C5983"/>
    <w:rsid w:val="58AE77D0"/>
    <w:rsid w:val="58E8415E"/>
    <w:rsid w:val="58FF1A45"/>
    <w:rsid w:val="591C580B"/>
    <w:rsid w:val="5926497A"/>
    <w:rsid w:val="595035A8"/>
    <w:rsid w:val="595D3E12"/>
    <w:rsid w:val="598446C5"/>
    <w:rsid w:val="59961EFB"/>
    <w:rsid w:val="59A11353"/>
    <w:rsid w:val="59A321F0"/>
    <w:rsid w:val="5A0336C4"/>
    <w:rsid w:val="5A1D0D82"/>
    <w:rsid w:val="5A20315B"/>
    <w:rsid w:val="5A3D0502"/>
    <w:rsid w:val="5A5827FE"/>
    <w:rsid w:val="5A70211C"/>
    <w:rsid w:val="5A875B77"/>
    <w:rsid w:val="5A970C62"/>
    <w:rsid w:val="5AAB2A29"/>
    <w:rsid w:val="5AAB3211"/>
    <w:rsid w:val="5AAC7307"/>
    <w:rsid w:val="5AB86388"/>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F3C34"/>
    <w:rsid w:val="5BD32897"/>
    <w:rsid w:val="5BF50A44"/>
    <w:rsid w:val="5C295CCC"/>
    <w:rsid w:val="5C381A3A"/>
    <w:rsid w:val="5C5C135C"/>
    <w:rsid w:val="5C872DAA"/>
    <w:rsid w:val="5C974816"/>
    <w:rsid w:val="5CA97228"/>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F1CA4"/>
    <w:rsid w:val="5E937CCC"/>
    <w:rsid w:val="5EF83794"/>
    <w:rsid w:val="5F0173CC"/>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73E5C"/>
    <w:rsid w:val="60DB5486"/>
    <w:rsid w:val="60E82C1A"/>
    <w:rsid w:val="60EC0541"/>
    <w:rsid w:val="60FD245E"/>
    <w:rsid w:val="60FF2E22"/>
    <w:rsid w:val="61033EA8"/>
    <w:rsid w:val="61041F36"/>
    <w:rsid w:val="610A1613"/>
    <w:rsid w:val="6117702C"/>
    <w:rsid w:val="61251167"/>
    <w:rsid w:val="61432D9E"/>
    <w:rsid w:val="61683AEB"/>
    <w:rsid w:val="61737A70"/>
    <w:rsid w:val="61855138"/>
    <w:rsid w:val="618A70BC"/>
    <w:rsid w:val="61963F6D"/>
    <w:rsid w:val="61BD1F9D"/>
    <w:rsid w:val="61D45501"/>
    <w:rsid w:val="61EA093B"/>
    <w:rsid w:val="61F010A8"/>
    <w:rsid w:val="62024DB4"/>
    <w:rsid w:val="62117D72"/>
    <w:rsid w:val="62210A89"/>
    <w:rsid w:val="62285DB7"/>
    <w:rsid w:val="62367ED8"/>
    <w:rsid w:val="6239773C"/>
    <w:rsid w:val="626857C6"/>
    <w:rsid w:val="62923991"/>
    <w:rsid w:val="62D365E3"/>
    <w:rsid w:val="62F20D03"/>
    <w:rsid w:val="62F26EC0"/>
    <w:rsid w:val="62F75B83"/>
    <w:rsid w:val="63095375"/>
    <w:rsid w:val="630E4188"/>
    <w:rsid w:val="6312135F"/>
    <w:rsid w:val="63152F31"/>
    <w:rsid w:val="631F1AA4"/>
    <w:rsid w:val="632A3D0D"/>
    <w:rsid w:val="633443AB"/>
    <w:rsid w:val="638857E1"/>
    <w:rsid w:val="63914960"/>
    <w:rsid w:val="63964A9A"/>
    <w:rsid w:val="639C59F1"/>
    <w:rsid w:val="63AB78F4"/>
    <w:rsid w:val="63C642C7"/>
    <w:rsid w:val="63C85688"/>
    <w:rsid w:val="63CD5666"/>
    <w:rsid w:val="63D01EF3"/>
    <w:rsid w:val="63D2038C"/>
    <w:rsid w:val="63E631E1"/>
    <w:rsid w:val="63F436D0"/>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602655A"/>
    <w:rsid w:val="66037BA1"/>
    <w:rsid w:val="660D45C7"/>
    <w:rsid w:val="66280ABB"/>
    <w:rsid w:val="66425D39"/>
    <w:rsid w:val="666717B3"/>
    <w:rsid w:val="6668032B"/>
    <w:rsid w:val="667C4290"/>
    <w:rsid w:val="669C13AC"/>
    <w:rsid w:val="66C95898"/>
    <w:rsid w:val="66CC3675"/>
    <w:rsid w:val="66DC2CB9"/>
    <w:rsid w:val="66F8201A"/>
    <w:rsid w:val="67066EBB"/>
    <w:rsid w:val="671C5A04"/>
    <w:rsid w:val="6734528A"/>
    <w:rsid w:val="673F01D2"/>
    <w:rsid w:val="676777C3"/>
    <w:rsid w:val="677D4B8A"/>
    <w:rsid w:val="67802ACE"/>
    <w:rsid w:val="67804B33"/>
    <w:rsid w:val="67C40A09"/>
    <w:rsid w:val="67D020A7"/>
    <w:rsid w:val="67D600B8"/>
    <w:rsid w:val="67E4087E"/>
    <w:rsid w:val="6821192D"/>
    <w:rsid w:val="68337E89"/>
    <w:rsid w:val="68337EE8"/>
    <w:rsid w:val="683A6C76"/>
    <w:rsid w:val="6842321A"/>
    <w:rsid w:val="68556FC7"/>
    <w:rsid w:val="685C5B46"/>
    <w:rsid w:val="687A0B2F"/>
    <w:rsid w:val="688C0656"/>
    <w:rsid w:val="68AE1735"/>
    <w:rsid w:val="68B037E5"/>
    <w:rsid w:val="68B72950"/>
    <w:rsid w:val="68D10AC8"/>
    <w:rsid w:val="68D60630"/>
    <w:rsid w:val="68DB6AF8"/>
    <w:rsid w:val="68ED7332"/>
    <w:rsid w:val="68F8555D"/>
    <w:rsid w:val="68F97B65"/>
    <w:rsid w:val="691D712E"/>
    <w:rsid w:val="696528EF"/>
    <w:rsid w:val="697E7396"/>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EC0F34"/>
    <w:rsid w:val="6CEF01FA"/>
    <w:rsid w:val="6CF73CA4"/>
    <w:rsid w:val="6D005FF7"/>
    <w:rsid w:val="6D05105B"/>
    <w:rsid w:val="6D1D68D4"/>
    <w:rsid w:val="6D207FCD"/>
    <w:rsid w:val="6D280C36"/>
    <w:rsid w:val="6D286C4C"/>
    <w:rsid w:val="6D2B5B01"/>
    <w:rsid w:val="6D381497"/>
    <w:rsid w:val="6D64248B"/>
    <w:rsid w:val="6D6A2DB3"/>
    <w:rsid w:val="6D6A69AA"/>
    <w:rsid w:val="6D79127B"/>
    <w:rsid w:val="6D832281"/>
    <w:rsid w:val="6DC237AE"/>
    <w:rsid w:val="6DE6139A"/>
    <w:rsid w:val="6DF91502"/>
    <w:rsid w:val="6E01482E"/>
    <w:rsid w:val="6E0D1941"/>
    <w:rsid w:val="6E18292B"/>
    <w:rsid w:val="6E402C35"/>
    <w:rsid w:val="6E403BCF"/>
    <w:rsid w:val="6E424CF7"/>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E4E98"/>
    <w:rsid w:val="6FB536E7"/>
    <w:rsid w:val="6FC169C6"/>
    <w:rsid w:val="700148B1"/>
    <w:rsid w:val="700708F2"/>
    <w:rsid w:val="70262445"/>
    <w:rsid w:val="70575662"/>
    <w:rsid w:val="70796EB7"/>
    <w:rsid w:val="70891E2B"/>
    <w:rsid w:val="709304FC"/>
    <w:rsid w:val="70B21D55"/>
    <w:rsid w:val="70BA4068"/>
    <w:rsid w:val="70F06D61"/>
    <w:rsid w:val="70F36F46"/>
    <w:rsid w:val="70FC142B"/>
    <w:rsid w:val="71231B23"/>
    <w:rsid w:val="713B214A"/>
    <w:rsid w:val="7144108E"/>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4000D97"/>
    <w:rsid w:val="742D3750"/>
    <w:rsid w:val="74694C3B"/>
    <w:rsid w:val="746A6AAD"/>
    <w:rsid w:val="746D246B"/>
    <w:rsid w:val="747A4FBC"/>
    <w:rsid w:val="748B466B"/>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285A24"/>
    <w:rsid w:val="7A2C7450"/>
    <w:rsid w:val="7A326B5A"/>
    <w:rsid w:val="7A553725"/>
    <w:rsid w:val="7A616D0A"/>
    <w:rsid w:val="7A7F2C76"/>
    <w:rsid w:val="7A937EE1"/>
    <w:rsid w:val="7AAC462A"/>
    <w:rsid w:val="7AD85F47"/>
    <w:rsid w:val="7AF84FA0"/>
    <w:rsid w:val="7AF909C6"/>
    <w:rsid w:val="7B1F3681"/>
    <w:rsid w:val="7B6F1BD0"/>
    <w:rsid w:val="7B732126"/>
    <w:rsid w:val="7B755C15"/>
    <w:rsid w:val="7B7B20CE"/>
    <w:rsid w:val="7B8E1216"/>
    <w:rsid w:val="7B9A1345"/>
    <w:rsid w:val="7BA226FD"/>
    <w:rsid w:val="7BB819E3"/>
    <w:rsid w:val="7BC51755"/>
    <w:rsid w:val="7BC67AB6"/>
    <w:rsid w:val="7BCA6C86"/>
    <w:rsid w:val="7C044DA1"/>
    <w:rsid w:val="7C132D64"/>
    <w:rsid w:val="7C2805DF"/>
    <w:rsid w:val="7CA33449"/>
    <w:rsid w:val="7CBB7A1A"/>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916762"/>
    <w:rsid w:val="7EA916FD"/>
    <w:rsid w:val="7EB26467"/>
    <w:rsid w:val="7EB5727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26</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2021-04-23T09:19:42Z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