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134" w:name="_GoBack"/>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安徽省安车交通运输集团有限公司汽车维修配件供应商库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四月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安徽省安车交通运输集团有限公司汽车维修配件供应商库</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79632536"/>
      <w:bookmarkStart w:id="2" w:name="_Toc246996166"/>
      <w:bookmarkStart w:id="3" w:name="_Toc246996909"/>
      <w:bookmarkStart w:id="4" w:name="_Toc152045519"/>
      <w:bookmarkStart w:id="5" w:name="_Toc296602410"/>
      <w:bookmarkStart w:id="6" w:name="_Toc152042295"/>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152042296"/>
      <w:bookmarkStart w:id="10" w:name="_Toc152045520"/>
      <w:bookmarkStart w:id="11" w:name="_Toc246996910"/>
      <w:bookmarkStart w:id="12" w:name="_Toc246996167"/>
      <w:bookmarkStart w:id="13" w:name="_Toc247085681"/>
      <w:bookmarkStart w:id="14" w:name="_Toc179632537"/>
      <w:bookmarkStart w:id="15" w:name="_Toc296602411"/>
      <w:r>
        <w:rPr>
          <w:rFonts w:ascii="Times New Roman" w:hAnsi="Times New Roman" w:eastAsia="仿宋_GB2312" w:cs="Times New Roman"/>
          <w:sz w:val="28"/>
          <w:szCs w:val="28"/>
          <w:highlight w:val="none"/>
        </w:rPr>
        <w:t>本招标项目为</w:t>
      </w:r>
      <w:r>
        <w:rPr>
          <w:rFonts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u w:val="single"/>
          <w:lang w:val="en-US" w:eastAsia="zh-CN"/>
        </w:rPr>
        <w:t>汽车维修配件供应商库</w:t>
      </w:r>
      <w:r>
        <w:rPr>
          <w:rFonts w:ascii="Times New Roman" w:hAnsi="Times New Roman" w:eastAsia="仿宋_GB2312" w:cs="Times New Roman"/>
          <w:sz w:val="28"/>
          <w:szCs w:val="28"/>
          <w:highlight w:val="none"/>
          <w:u w:val="single"/>
        </w:rPr>
        <w:t>（项目编号：</w:t>
      </w:r>
      <w:r>
        <w:rPr>
          <w:rFonts w:ascii="Times New Roman" w:hAnsi="Times New Roman" w:eastAsia="仿宋_GB2312" w:cs="Times New Roman"/>
          <w:sz w:val="28"/>
          <w:szCs w:val="28"/>
          <w:highlight w:val="none"/>
          <w:u w:val="single"/>
        </w:rPr>
        <w:t>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013</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安徽安行天下驾驶培训股份有限公司、亳州建投安天汽车贸易服务有限公司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招标人为</w:t>
      </w:r>
      <w:r>
        <w:rPr>
          <w:rFonts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（一）项目概况：为保障招标人业务发展需要，现通过招标方式建立汽车维修配件供应商库，欢迎符合资格要求的供应商参加投标。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汽车维修、养护所需的油料（燃料、润滑油等）、配件（发动机、传动系、制动系、转向系、行驶系、点火系、燃油系、冷却系、润滑系、电器仪表系、车身、轮胎等）、辅料（工具、五金、标准件、油漆、玻璃、灯具、开关、空调、传感器、安全配件等）等供货及售后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1年。合同到期后，由招标人根据内部有关规定对入库单位进行考核，经考核合格的单位可续签入库合同；当库内单位数量不满足招标人的使用需要时，招标人另行组织增补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注：内部有关规定指由招标人印发的《关于印发&lt;安车集团采购车辆配件库管理办法（试行）&gt;的通知》（安车集团〔2021〕8号）及其后来可能发生的修订版本，详见附件。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（四）质量标准：供应商提供的货物或服务应符合发包人要求，并满足强制性国家标准。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FF0000"/>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（五）拟入库单位数量：按中标候选人排名确定不少于10家供应商入库。</w:t>
      </w:r>
      <w:r>
        <w:rPr>
          <w:rFonts w:hint="eastAsia" w:ascii="Times New Roman" w:hAnsi="Times New Roman" w:eastAsia="仿宋_GB2312" w:cs="Times New Roman"/>
          <w:color w:val="auto"/>
          <w:sz w:val="28"/>
          <w:szCs w:val="28"/>
          <w:highlight w:val="none"/>
          <w:lang w:val="en-US" w:eastAsia="zh-CN"/>
        </w:rPr>
        <w:t>如中标候选人不足10家，招标人将根据实际情况对拟入库单位数量进行核减。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（六）最高投标限价：投标人以</w:t>
      </w:r>
      <w:r>
        <w:rPr>
          <w:rFonts w:hint="eastAsia" w:ascii="Times New Roman" w:hAnsi="Times New Roman" w:eastAsia="仿宋_GB2312" w:cs="Times New Roman"/>
          <w:sz w:val="28"/>
          <w:szCs w:val="28"/>
          <w:highlight w:val="none"/>
          <w:u w:val="single"/>
          <w:lang w:val="en-US" w:eastAsia="zh-CN"/>
        </w:rPr>
        <w:t>旗云2</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u w:val="single"/>
          <w:lang w:val="en-US" w:eastAsia="zh-CN"/>
        </w:rPr>
        <w:t>奇瑞E3</w:t>
      </w:r>
      <w:r>
        <w:rPr>
          <w:rFonts w:hint="eastAsia" w:ascii="Times New Roman" w:hAnsi="Times New Roman" w:eastAsia="仿宋_GB2312" w:cs="Times New Roman"/>
          <w:sz w:val="28"/>
          <w:szCs w:val="28"/>
          <w:highlight w:val="none"/>
          <w:u w:val="none"/>
          <w:lang w:val="en-US" w:eastAsia="zh-CN"/>
        </w:rPr>
        <w:t>等车型</w:t>
      </w:r>
      <w:r>
        <w:rPr>
          <w:rFonts w:hint="eastAsia" w:ascii="Times New Roman" w:hAnsi="Times New Roman" w:eastAsia="仿宋_GB2312" w:cs="Times New Roman"/>
          <w:sz w:val="28"/>
          <w:szCs w:val="28"/>
          <w:highlight w:val="none"/>
          <w:lang w:val="en-US" w:eastAsia="zh-CN"/>
        </w:rPr>
        <w:t>为案例，按附表格式对上述车型的每个配件分别报价，投标报价不得高于该配件的最高投标限价或低于其成本价，否则按无效投标处理。投标报价应包括供货、包装、运输、售后服务、税金等所有费用。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附表格式及每个配件的最高投标限价详见第四章发包人要求。本次招标范围并不局限于“案例车型”，但计算评标价时只按“案例车型”的投标报价计算。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（二）投标人须提供至少5个企业类似项目业绩，企业类似项目业绩是指投标人自2016年1月1日以来承接的单项合同金额不低于5万元的车辆配件（或油料、辅料等）供货业绩，业绩时间以合同签订时间为准；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（四）评标结果公示后，招标人将对</w:t>
      </w:r>
      <w:bookmarkStart w:id="16" w:name="OLE_LINK1"/>
      <w:r>
        <w:rPr>
          <w:rFonts w:hint="eastAsia" w:ascii="Times New Roman" w:hAnsi="Times New Roman" w:eastAsia="仿宋_GB2312" w:cs="Times New Roman"/>
          <w:sz w:val="28"/>
          <w:szCs w:val="28"/>
          <w:highlight w:val="none"/>
          <w:lang w:val="en-US" w:eastAsia="zh-CN"/>
        </w:rPr>
        <w:t>中标候选人</w:t>
      </w:r>
      <w:bookmarkEnd w:id="16"/>
      <w:r>
        <w:rPr>
          <w:rFonts w:hint="eastAsia" w:ascii="Times New Roman" w:hAnsi="Times New Roman" w:eastAsia="仿宋_GB2312" w:cs="Times New Roman"/>
          <w:sz w:val="28"/>
          <w:szCs w:val="28"/>
          <w:highlight w:val="none"/>
          <w:lang w:val="en-US" w:eastAsia="zh-CN"/>
        </w:rPr>
        <w:t>办公场所进行实地考察，经考察合格后入库，考察不合格的中标候选人将被取消中标资格；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5</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亳州市谯城区京珠线以东、银杏路以北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程先生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：18056789939</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22</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BZJK-2021-013号保证金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安徽省安车交通运输集团有限公司汽车维修配件供应商库</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lang w:val="en-US" w:eastAsia="zh-CN"/>
              </w:rPr>
              <w:t>BZJK-2021-</w:t>
            </w:r>
            <w:r>
              <w:rPr>
                <w:rFonts w:hint="eastAsia" w:ascii="Times New Roman" w:hAnsi="Times New Roman" w:cs="Times New Roman"/>
                <w:szCs w:val="21"/>
                <w:highlight w:val="none"/>
                <w:u w:val="none"/>
                <w:lang w:val="en-US" w:eastAsia="zh-CN"/>
              </w:rPr>
              <w:t>013号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拟入库单位数量：</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lang w:val="en-US" w:eastAsia="zh-CN"/>
              </w:rPr>
              <w:t>按中标候选人排名确定不少于10家供应商入库。如中标候选人不足10家，招标人将根据实际情况对拟入库单位数量进行核减。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壹万元</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w:t>
            </w:r>
            <w:r>
              <w:rPr>
                <w:rFonts w:hint="eastAsia" w:ascii="Times New Roman" w:hAnsi="Times New Roman" w:cs="Times New Roman"/>
                <w:color w:val="FF0000"/>
                <w:szCs w:val="21"/>
                <w:highlight w:val="none"/>
                <w:u w:val="single"/>
                <w:lang w:val="en-US" w:eastAsia="zh-CN"/>
              </w:rPr>
              <w:t>合同到期后</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7" w:name="_Toc246996232"/>
      <w:bookmarkStart w:id="18" w:name="_Toc152045589"/>
      <w:bookmarkStart w:id="19" w:name="_Toc296602477"/>
      <w:bookmarkStart w:id="20" w:name="_Toc152042366"/>
      <w:bookmarkStart w:id="21" w:name="_Toc246996975"/>
      <w:bookmarkStart w:id="22" w:name="_Toc247085747"/>
      <w:bookmarkStart w:id="23" w:name="_Toc179632607"/>
      <w:bookmarkStart w:id="24" w:name="_Toc14497455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投标报价得分相等的，由招标人或其授权的评标委员会自行确定中标候选人排序（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w:t>
            </w:r>
            <w:r>
              <w:rPr>
                <w:rFonts w:hint="eastAsia" w:ascii="Times New Roman" w:hAnsi="Times New Roman" w:cs="Times New Roman"/>
                <w:kern w:val="0"/>
                <w:sz w:val="24"/>
                <w:szCs w:val="24"/>
                <w:highlight w:val="none"/>
                <w:lang w:val="en-US" w:eastAsia="zh-CN"/>
              </w:rPr>
              <w:t>00</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100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100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100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评标委员会根据招标人“案例车型”预计年使用量，对通过初步评审的投标人投标报价进行综合分析测算，取经测算后总价最低的投标报价作为评标基准价。</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投标报价得分=（评标基准价/投标人投标报价）</w:t>
            </w:r>
            <w:r>
              <w:rPr>
                <w:rFonts w:hint="default" w:ascii="Arial" w:hAnsi="Arial" w:cs="Arial"/>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100</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注：保留小数点后两位，第三位四舍五入。投标报价须符合招标文件有关规定，否则按无效投标处理。</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投标报价得分相等的，由招标人或其授权的评标委员会自行确定中标候选人排序（一般宜采用投票制，少数服从多数）。</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 w:name="_Toc152045590"/>
      <w:bookmarkStart w:id="26" w:name="_Toc152042367"/>
      <w:bookmarkStart w:id="27" w:name="_Toc246996233"/>
      <w:bookmarkStart w:id="28" w:name="_Toc144974557"/>
      <w:bookmarkStart w:id="29" w:name="_Toc179632608"/>
      <w:bookmarkStart w:id="30" w:name="_Toc246996976"/>
      <w:bookmarkStart w:id="31" w:name="_Toc247085748"/>
      <w:bookmarkStart w:id="32" w:name="_Toc296602478"/>
      <w:r>
        <w:rPr>
          <w:rFonts w:hint="default" w:ascii="Times New Roman" w:hAnsi="Times New Roman" w:cs="Times New Roman" w:eastAsiaTheme="minorEastAsia"/>
          <w:b/>
          <w:bCs/>
          <w:kern w:val="0"/>
          <w:sz w:val="28"/>
          <w:szCs w:val="28"/>
          <w:highlight w:val="none"/>
        </w:rPr>
        <w:t>2. 评审标准</w:t>
      </w:r>
      <w:bookmarkEnd w:id="25"/>
      <w:bookmarkEnd w:id="26"/>
      <w:bookmarkEnd w:id="27"/>
      <w:bookmarkEnd w:id="28"/>
      <w:bookmarkEnd w:id="29"/>
      <w:bookmarkEnd w:id="30"/>
      <w:bookmarkEnd w:id="31"/>
      <w:bookmarkEnd w:id="32"/>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3" w:name="_Toc152042368"/>
      <w:bookmarkStart w:id="34" w:name="_Toc296602479"/>
      <w:bookmarkStart w:id="35" w:name="_Toc246996977"/>
      <w:bookmarkStart w:id="36" w:name="_Toc246996234"/>
      <w:bookmarkStart w:id="37" w:name="_Toc247085749"/>
      <w:bookmarkStart w:id="38" w:name="_Toc144974558"/>
      <w:bookmarkStart w:id="39" w:name="_Toc179632609"/>
      <w:bookmarkStart w:id="40"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3"/>
      <w:bookmarkEnd w:id="34"/>
      <w:bookmarkEnd w:id="35"/>
      <w:bookmarkEnd w:id="36"/>
      <w:bookmarkEnd w:id="37"/>
      <w:bookmarkEnd w:id="38"/>
      <w:bookmarkEnd w:id="39"/>
      <w:bookmarkEnd w:id="40"/>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1" w:name="_Toc144974560"/>
      <w:bookmarkStart w:id="42" w:name="_Toc179632611"/>
      <w:bookmarkStart w:id="43" w:name="_Toc152045593"/>
      <w:bookmarkStart w:id="44" w:name="_Toc246996979"/>
      <w:bookmarkStart w:id="45" w:name="_Toc246996236"/>
      <w:bookmarkStart w:id="46" w:name="_Toc152042370"/>
      <w:bookmarkStart w:id="47" w:name="_Toc296602481"/>
      <w:bookmarkStart w:id="48"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1"/>
      <w:bookmarkEnd w:id="42"/>
      <w:bookmarkEnd w:id="43"/>
      <w:bookmarkEnd w:id="44"/>
      <w:bookmarkEnd w:id="45"/>
      <w:bookmarkEnd w:id="46"/>
      <w:bookmarkEnd w:id="47"/>
      <w:bookmarkEnd w:id="48"/>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9" w:name="_Toc179632612"/>
      <w:bookmarkStart w:id="50" w:name="_Toc296602482"/>
      <w:bookmarkStart w:id="51" w:name="_Toc246996980"/>
      <w:bookmarkStart w:id="52" w:name="_Toc246996237"/>
      <w:bookmarkStart w:id="53" w:name="_Toc247085752"/>
      <w:bookmarkStart w:id="54" w:name="_Toc144974561"/>
      <w:bookmarkStart w:id="55" w:name="_Toc152045594"/>
      <w:bookmarkStart w:id="56" w:name="_Toc152042371"/>
      <w:r>
        <w:rPr>
          <w:rFonts w:hint="default" w:ascii="Times New Roman" w:hAnsi="Times New Roman" w:cs="Times New Roman" w:eastAsiaTheme="minorEastAsia"/>
          <w:b/>
          <w:bCs/>
          <w:kern w:val="0"/>
          <w:sz w:val="28"/>
          <w:szCs w:val="28"/>
          <w:highlight w:val="none"/>
        </w:rPr>
        <w:t>3.1 初步评审</w:t>
      </w:r>
      <w:bookmarkEnd w:id="49"/>
      <w:bookmarkEnd w:id="50"/>
      <w:bookmarkEnd w:id="51"/>
      <w:bookmarkEnd w:id="52"/>
      <w:bookmarkEnd w:id="53"/>
      <w:bookmarkEnd w:id="54"/>
      <w:bookmarkEnd w:id="55"/>
      <w:bookmarkEnd w:id="56"/>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7" w:name="_Toc296602483"/>
      <w:bookmarkStart w:id="58" w:name="_Toc246996981"/>
      <w:bookmarkStart w:id="59" w:name="_Toc152042372"/>
      <w:bookmarkStart w:id="60" w:name="_Toc152045595"/>
      <w:bookmarkStart w:id="61" w:name="_Toc247085753"/>
      <w:bookmarkStart w:id="62" w:name="_Toc246996238"/>
      <w:bookmarkStart w:id="63" w:name="_Toc179632613"/>
      <w:bookmarkStart w:id="64" w:name="_Toc144974562"/>
      <w:r>
        <w:rPr>
          <w:rFonts w:hint="default" w:ascii="Times New Roman" w:hAnsi="Times New Roman" w:cs="Times New Roman" w:eastAsiaTheme="minorEastAsia"/>
          <w:b/>
          <w:bCs/>
          <w:kern w:val="0"/>
          <w:sz w:val="28"/>
          <w:szCs w:val="28"/>
          <w:highlight w:val="none"/>
        </w:rPr>
        <w:t>3.2 详细评审</w:t>
      </w:r>
      <w:bookmarkEnd w:id="57"/>
      <w:bookmarkEnd w:id="58"/>
      <w:bookmarkEnd w:id="59"/>
      <w:bookmarkEnd w:id="60"/>
      <w:bookmarkEnd w:id="61"/>
      <w:bookmarkEnd w:id="62"/>
      <w:bookmarkEnd w:id="63"/>
      <w:bookmarkEnd w:id="64"/>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5" w:name="_Toc152042373"/>
      <w:bookmarkStart w:id="66" w:name="_Toc152045596"/>
      <w:bookmarkStart w:id="67" w:name="_Toc144974563"/>
      <w:bookmarkStart w:id="68" w:name="_Toc246996982"/>
      <w:bookmarkStart w:id="69" w:name="_Toc246996239"/>
      <w:bookmarkStart w:id="70" w:name="_Toc247085754"/>
      <w:bookmarkStart w:id="71" w:name="_Toc179632614"/>
      <w:bookmarkStart w:id="72"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第2.2.4（1）目规定的评审因素和分值对投标报价计算出得分A。</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w:t>
      </w:r>
    </w:p>
    <w:p>
      <w:pPr>
        <w:keepNext w:val="0"/>
        <w:keepLines w:val="0"/>
        <w:pageBreakBefore w:val="0"/>
        <w:widowControl w:val="0"/>
        <w:shd w:val="clear"/>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5"/>
      <w:bookmarkEnd w:id="66"/>
      <w:bookmarkEnd w:id="67"/>
      <w:bookmarkEnd w:id="68"/>
      <w:bookmarkEnd w:id="69"/>
      <w:bookmarkEnd w:id="70"/>
      <w:bookmarkEnd w:id="71"/>
      <w:bookmarkEnd w:id="72"/>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3" w:name="_Toc152042374"/>
      <w:bookmarkStart w:id="74" w:name="_Toc144974564"/>
      <w:bookmarkStart w:id="75" w:name="_Toc246996240"/>
      <w:bookmarkStart w:id="76" w:name="_Toc246996983"/>
      <w:bookmarkStart w:id="77" w:name="_Toc296602485"/>
      <w:bookmarkStart w:id="78" w:name="_Toc152045597"/>
      <w:bookmarkStart w:id="79" w:name="_Toc247085755"/>
      <w:bookmarkStart w:id="80" w:name="_Toc179632615"/>
      <w:r>
        <w:rPr>
          <w:rFonts w:hint="default" w:ascii="Times New Roman" w:hAnsi="Times New Roman" w:cs="Times New Roman" w:eastAsiaTheme="minorEastAsia"/>
          <w:b/>
          <w:bCs/>
          <w:kern w:val="0"/>
          <w:sz w:val="28"/>
          <w:szCs w:val="28"/>
          <w:highlight w:val="none"/>
        </w:rPr>
        <w:t>3.4 评标结果</w:t>
      </w:r>
      <w:bookmarkEnd w:id="73"/>
      <w:bookmarkEnd w:id="74"/>
      <w:bookmarkEnd w:id="75"/>
      <w:bookmarkEnd w:id="76"/>
      <w:bookmarkEnd w:id="77"/>
      <w:bookmarkEnd w:id="78"/>
      <w:bookmarkEnd w:id="79"/>
      <w:bookmarkEnd w:id="80"/>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安徽安行天下驾驶培训股份有限公司、亳州建投安天汽车贸易服务有限公司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乙方应于每季度末10个工作日内派专人与甲方核对结算单据，核实无误后，按实际使用量，统一结算。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《关于印发&lt;安车集团采购车辆配件库管理办法（试行）&gt;的通知》（安车集团〔2021〕8号）及其后来可能发生的修订版本是合同的重要组成部分，供应商在签订合同时，视为已经充分浏览、理解和认可</w:t>
            </w:r>
            <w:r>
              <w:rPr>
                <w:rFonts w:hint="eastAsia" w:ascii="Times New Roman" w:hAnsi="Times New Roman" w:cs="Times New Roman"/>
                <w:kern w:val="0"/>
                <w:sz w:val="24"/>
                <w:szCs w:val="24"/>
                <w:highlight w:val="none"/>
                <w:shd w:val="clear" w:color="auto" w:fill="auto"/>
                <w:vertAlign w:val="baseline"/>
                <w:lang w:val="en-US" w:eastAsia="zh-CN"/>
              </w:rPr>
              <w:t>甲方</w:t>
            </w:r>
            <w:r>
              <w:rPr>
                <w:rFonts w:hint="default" w:ascii="Times New Roman" w:hAnsi="Times New Roman" w:cs="Times New Roman"/>
                <w:kern w:val="0"/>
                <w:sz w:val="24"/>
                <w:szCs w:val="24"/>
                <w:highlight w:val="none"/>
                <w:shd w:val="clear" w:color="auto" w:fill="auto"/>
                <w:vertAlign w:val="baseline"/>
                <w:lang w:val="en-US" w:eastAsia="zh-CN"/>
              </w:rPr>
              <w:t>内部有关规定及其后来可能发生的修订版本，并承诺严格遵守其管理、处罚、违约责任等内容要求。若供应商违反了上述制度规定，</w:t>
            </w:r>
            <w:r>
              <w:rPr>
                <w:rFonts w:hint="eastAsia" w:ascii="Times New Roman" w:hAnsi="Times New Roman" w:cs="Times New Roman"/>
                <w:kern w:val="0"/>
                <w:sz w:val="24"/>
                <w:szCs w:val="24"/>
                <w:highlight w:val="none"/>
                <w:shd w:val="clear" w:color="auto" w:fill="auto"/>
                <w:vertAlign w:val="baseline"/>
                <w:lang w:val="en-US" w:eastAsia="zh-CN"/>
              </w:rPr>
              <w:t>甲方</w:t>
            </w:r>
            <w:r>
              <w:rPr>
                <w:rFonts w:hint="default" w:ascii="Times New Roman" w:hAnsi="Times New Roman" w:cs="Times New Roman"/>
                <w:kern w:val="0"/>
                <w:sz w:val="24"/>
                <w:szCs w:val="24"/>
                <w:highlight w:val="none"/>
                <w:shd w:val="clear" w:color="auto" w:fill="auto"/>
                <w:vertAlign w:val="baseline"/>
                <w:lang w:val="en-US" w:eastAsia="zh-CN"/>
              </w:rPr>
              <w:t>有权依据该制度对其进行处罚</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7"/>
    <w:bookmarkEnd w:id="18"/>
    <w:bookmarkEnd w:id="19"/>
    <w:bookmarkEnd w:id="20"/>
    <w:bookmarkEnd w:id="21"/>
    <w:bookmarkEnd w:id="22"/>
    <w:bookmarkEnd w:id="23"/>
    <w:bookmarkEnd w:id="2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发包人实际需求，将常用配件、油料、辅料等足量备货到仓库，配合发包人做好供货产品仓储计划，保证供货产品及时供应，保障发包人生产经营、维修工作的正常进行，切实为发包人提供快捷可靠的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4.发包人如需要，供应商应能说明供货产品的主要技术指标，能提供与指标相对应的在有效期内的检测报告，能提供质量保证承诺、售后服务条款和技术支持等相关材料；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发包人订单通知为准，供货范围不局限于“案例车型”。未在招标文件中列明的其他汽车配件、油料、辅料等产品，供应商应承诺入库后以不高于“案例车型”配件投标报价同等优惠价格（指利润率）供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6.发包人对供货产品品种具有自主选择权。合同期内，供货产品如出现制造商停产或因其他原因不能正常供货，供应商应以书面形式报告发包人，由发包人确定后重新下发订单；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8.供货产品的验收分为出厂检验和货到验收，供应商在货物出厂前，应按产品技术标准规定的检验项目和试验方法进行全面检验，必要时发包人可委派工作人员现场鉴证，供应商应随供货产品提供以下材料：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9.供货产品送达发包人后，由发包人对货物的基本质量和数量进行验收，但不作为最终验收合格的证明；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10.供应商无需考虑供货产品的安装和调试，但应为发包人提供必要的技术指导和售后服务，以保证供货产品的良好运行状态；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为电器、泵类的，质保期应不低于3个月；供货产品为机件总成的，质保期应不低于1年；制造商或国家有更长质保期规定的，应从其规定。质保期自货到验收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12.对于发包人以书面或电话形式提出的质量、服务等问题，供应商应于24小时内予以答复响应；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13.供应商如有违反售后服务条款或质量承诺的，发包人有权没收其履约保证金，给发包人造成损失的同时应承担赔偿责任；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15.合同期间，若发现供应商存在虚报供货产品数量、价格的，发包人有权扣除履约保证金的10%每次作为违约金；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16.合同期间，若发现供应商存在以下行为的，发包人有权单方面解除合同，并没收其履约保证金：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（4）其他严重损害发包人利益的行为。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附：1.案例车型“旗云2”配件名称及最高投标限价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2.案例车型“奇瑞E3”配件名称及最高投标限价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3.其他案例车型配件名称及最高投标限价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4.其他案例车型配件名称及预计年使用量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案例车型“旗云2”配件名称及最高投标限价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default"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default"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w:t>
            </w:r>
            <w:r>
              <w:rPr>
                <w:rFonts w:hint="default" w:ascii="Times New Roman" w:hAnsi="Times New Roman" w:cs="Times New Roman"/>
                <w:b/>
                <w:color w:val="000000"/>
                <w:kern w:val="0"/>
                <w:sz w:val="21"/>
                <w:szCs w:val="21"/>
                <w:highlight w:val="none"/>
                <w:lang w:val="en-US" w:eastAsia="zh-CN"/>
              </w:rPr>
              <w:t>元/个</w:t>
            </w:r>
            <w:r>
              <w:rPr>
                <w:rFonts w:hint="default" w:ascii="Times New Roman" w:hAnsi="Times New Roman" w:cs="Times New Roman" w:eastAsiaTheme="minorEastAsia"/>
                <w:b/>
                <w:color w:val="000000"/>
                <w:kern w:val="0"/>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254.00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275.00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 185.60 R14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936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案例车型“奇瑞</w:t>
      </w:r>
      <w:r>
        <w:rPr>
          <w:rFonts w:hint="eastAsia" w:ascii="Times New Roman" w:hAnsi="Times New Roman" w:cs="Times New Roman"/>
          <w:kern w:val="0"/>
          <w:sz w:val="24"/>
          <w:szCs w:val="24"/>
          <w:highlight w:val="none"/>
          <w:lang w:val="en-US" w:eastAsia="zh-CN"/>
        </w:rPr>
        <w:tab/>
      </w:r>
      <w:r>
        <w:rPr>
          <w:rFonts w:hint="eastAsia" w:ascii="Times New Roman" w:hAnsi="Times New Roman" w:cs="Times New Roman"/>
          <w:kern w:val="0"/>
          <w:sz w:val="24"/>
          <w:szCs w:val="24"/>
          <w:highlight w:val="none"/>
          <w:lang w:val="en-US" w:eastAsia="zh-CN"/>
        </w:rPr>
        <w:t>E3”配件名称及最高投标限价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w:t>
            </w:r>
            <w:r>
              <w:rPr>
                <w:rFonts w:hint="eastAsia" w:ascii="Times New Roman" w:hAnsi="Times New Roman" w:cs="Times New Roman"/>
                <w:b/>
                <w:color w:val="000000"/>
                <w:kern w:val="0"/>
                <w:sz w:val="21"/>
                <w:szCs w:val="21"/>
                <w:highlight w:val="none"/>
                <w:lang w:val="en-US" w:eastAsia="zh-CN"/>
              </w:rPr>
              <w:t>元/个</w:t>
            </w:r>
            <w:r>
              <w:rPr>
                <w:rFonts w:hint="default" w:ascii="Times New Roman" w:hAnsi="Times New Roman" w:cs="Times New Roman" w:eastAsiaTheme="minorEastAsia"/>
                <w:b/>
                <w:color w:val="000000"/>
                <w:kern w:val="0"/>
                <w:sz w:val="21"/>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524.00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392.00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286.00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593.00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628</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其他案例车型配件名称及最高投标限价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4999" w:type="pct"/>
        <w:tblInd w:w="0" w:type="dxa"/>
        <w:shd w:val="clear" w:color="auto" w:fill="auto"/>
        <w:tblLayout w:type="autofit"/>
        <w:tblCellMar>
          <w:top w:w="0" w:type="dxa"/>
          <w:left w:w="108" w:type="dxa"/>
          <w:bottom w:w="0" w:type="dxa"/>
          <w:right w:w="108" w:type="dxa"/>
        </w:tblCellMar>
      </w:tblPr>
      <w:tblGrid>
        <w:gridCol w:w="811"/>
        <w:gridCol w:w="2470"/>
        <w:gridCol w:w="1080"/>
        <w:gridCol w:w="1080"/>
        <w:gridCol w:w="1080"/>
        <w:gridCol w:w="1350"/>
        <w:gridCol w:w="2067"/>
        <w:gridCol w:w="1080"/>
        <w:gridCol w:w="1046"/>
        <w:gridCol w:w="1046"/>
        <w:gridCol w:w="1061"/>
      </w:tblGrid>
      <w:tr>
        <w:tblPrEx>
          <w:tblCellMar>
            <w:top w:w="0" w:type="dxa"/>
            <w:left w:w="108" w:type="dxa"/>
            <w:bottom w:w="0" w:type="dxa"/>
            <w:right w:w="108" w:type="dxa"/>
          </w:tblCellMar>
        </w:tblPrEx>
        <w:trPr>
          <w:trHeight w:val="300" w:hRule="atLeast"/>
        </w:trPr>
        <w:tc>
          <w:tcPr>
            <w:tcW w:w="28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序号</w:t>
            </w:r>
          </w:p>
        </w:tc>
        <w:tc>
          <w:tcPr>
            <w:tcW w:w="871"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default" w:ascii="Times New Roman" w:hAnsi="Times New Roman" w:eastAsia="宋体" w:cs="Times New Roman"/>
                <w:b/>
                <w:bCs/>
                <w:i w:val="0"/>
                <w:iCs w:val="0"/>
                <w:color w:val="000000"/>
                <w:kern w:val="0"/>
                <w:sz w:val="21"/>
                <w:szCs w:val="21"/>
                <w:highlight w:val="none"/>
                <w:u w:val="none"/>
                <w:lang w:val="en-US" w:eastAsia="zh-CN" w:bidi="ar"/>
              </w:rPr>
              <w:t>其他案例车型</w:t>
            </w:r>
          </w:p>
        </w:tc>
        <w:tc>
          <w:tcPr>
            <w:tcW w:w="3841"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配件名称及其最高投标限价（元/个）</w:t>
            </w:r>
          </w:p>
        </w:tc>
      </w:tr>
      <w:tr>
        <w:tblPrEx>
          <w:tblCellMar>
            <w:top w:w="0" w:type="dxa"/>
            <w:left w:w="108" w:type="dxa"/>
            <w:bottom w:w="0" w:type="dxa"/>
            <w:right w:w="108" w:type="dxa"/>
          </w:tblCellMar>
        </w:tblPrEx>
        <w:trPr>
          <w:trHeight w:val="300" w:hRule="atLeast"/>
        </w:trPr>
        <w:tc>
          <w:tcPr>
            <w:tcW w:w="28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871"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变速箱油</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刹车片(前、后)</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115.50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126.00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60.00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231.00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231.00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31.00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40.00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199.50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252.00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31.00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40.00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75.00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241.50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73.50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273.00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9</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115.50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18.00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152.25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21.00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189.00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173.25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12.00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19.00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shd w:val="clear" w:color="auto" w:fill="auto"/>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162.75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11.00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126.00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7.00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10.00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30.00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52.50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94.50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30.00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78.75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136.50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178.50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50.00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99.75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168.00 </w:t>
            </w:r>
          </w:p>
        </w:tc>
      </w:tr>
      <w:tr>
        <w:tblPrEx>
          <w:tblCellMar>
            <w:top w:w="0" w:type="dxa"/>
            <w:left w:w="108" w:type="dxa"/>
            <w:bottom w:w="0" w:type="dxa"/>
            <w:right w:w="108" w:type="dxa"/>
          </w:tblCellMar>
        </w:tblPrEx>
        <w:trPr>
          <w:trHeight w:val="300" w:hRule="atLeast"/>
        </w:trPr>
        <w:tc>
          <w:tcPr>
            <w:tcW w:w="2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87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16.00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highlight w:val="none"/>
                <w:u w:val="none"/>
                <w:lang w:val="en-US" w:eastAsia="zh-CN" w:bidi="ar-SA"/>
              </w:rPr>
            </w:pPr>
            <w:r>
              <w:rPr>
                <w:rFonts w:hint="default" w:ascii="Times New Roman" w:hAnsi="Times New Roman" w:eastAsia="宋体" w:cs="Times New Roman"/>
                <w:i w:val="0"/>
                <w:iCs w:val="0"/>
                <w:color w:val="000000"/>
                <w:kern w:val="0"/>
                <w:sz w:val="24"/>
                <w:szCs w:val="24"/>
                <w:highlight w:val="none"/>
                <w:u w:val="none"/>
                <w:lang w:val="en-US" w:eastAsia="zh-CN" w:bidi="ar"/>
              </w:rPr>
              <w:t xml:space="preserve">15.00 </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60.00 </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84.00 </w:t>
            </w:r>
          </w:p>
        </w:tc>
        <w:tc>
          <w:tcPr>
            <w:tcW w:w="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152.25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45.00 </w:t>
            </w:r>
          </w:p>
        </w:tc>
        <w:tc>
          <w:tcPr>
            <w:tcW w:w="3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147.00 </w:t>
            </w:r>
          </w:p>
        </w:tc>
        <w:tc>
          <w:tcPr>
            <w:tcW w:w="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highlight w:val="none"/>
                <w:u w:val="none"/>
                <w:lang w:val="en-US" w:eastAsia="zh-CN" w:bidi="ar-SA"/>
              </w:rPr>
            </w:pPr>
            <w:r>
              <w:rPr>
                <w:rFonts w:hint="default" w:ascii="Times New Roman" w:hAnsi="Times New Roman" w:eastAsia="宋体" w:cs="Times New Roman"/>
                <w:i w:val="0"/>
                <w:iCs w:val="0"/>
                <w:color w:val="000000"/>
                <w:kern w:val="0"/>
                <w:sz w:val="22"/>
                <w:szCs w:val="22"/>
                <w:highlight w:val="none"/>
                <w:u w:val="none"/>
                <w:lang w:val="en-US" w:eastAsia="zh-CN" w:bidi="ar"/>
              </w:rPr>
              <w:t xml:space="preserve">157.50 </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附件4 其他案例车型配件名称及预计年使用量</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tbl>
      <w:tblPr>
        <w:tblStyle w:val="15"/>
        <w:tblW w:w="4999" w:type="pct"/>
        <w:tblInd w:w="0" w:type="dxa"/>
        <w:shd w:val="clear" w:color="auto" w:fill="auto"/>
        <w:tblLayout w:type="autofit"/>
        <w:tblCellMar>
          <w:top w:w="0" w:type="dxa"/>
          <w:left w:w="108" w:type="dxa"/>
          <w:bottom w:w="0" w:type="dxa"/>
          <w:right w:w="108" w:type="dxa"/>
        </w:tblCellMar>
      </w:tblPr>
      <w:tblGrid>
        <w:gridCol w:w="830"/>
        <w:gridCol w:w="2528"/>
        <w:gridCol w:w="1108"/>
        <w:gridCol w:w="1109"/>
        <w:gridCol w:w="1109"/>
        <w:gridCol w:w="1384"/>
        <w:gridCol w:w="2487"/>
        <w:gridCol w:w="1109"/>
        <w:gridCol w:w="831"/>
        <w:gridCol w:w="831"/>
        <w:gridCol w:w="845"/>
      </w:tblGrid>
      <w:tr>
        <w:tblPrEx>
          <w:tblCellMar>
            <w:top w:w="0" w:type="dxa"/>
            <w:left w:w="108" w:type="dxa"/>
            <w:bottom w:w="0" w:type="dxa"/>
            <w:right w:w="108" w:type="dxa"/>
          </w:tblCellMar>
        </w:tblPrEx>
        <w:trPr>
          <w:trHeight w:val="300" w:hRule="atLeast"/>
        </w:trPr>
        <w:tc>
          <w:tcPr>
            <w:tcW w:w="29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序号</w:t>
            </w:r>
          </w:p>
        </w:tc>
        <w:tc>
          <w:tcPr>
            <w:tcW w:w="892"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eastAsia" w:ascii="Times New Roman" w:hAnsi="Times New Roman" w:eastAsia="宋体" w:cs="Times New Roman"/>
                <w:b/>
                <w:bCs/>
                <w:i w:val="0"/>
                <w:iCs w:val="0"/>
                <w:color w:val="000000"/>
                <w:kern w:val="0"/>
                <w:sz w:val="21"/>
                <w:szCs w:val="21"/>
                <w:highlight w:val="none"/>
                <w:u w:val="none"/>
                <w:lang w:val="en-US" w:eastAsia="zh-CN" w:bidi="ar"/>
              </w:rPr>
              <w:t>其他案例车型</w:t>
            </w:r>
          </w:p>
        </w:tc>
        <w:tc>
          <w:tcPr>
            <w:tcW w:w="3813"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配件名称及其预计年使用量（个）</w:t>
            </w:r>
          </w:p>
        </w:tc>
      </w:tr>
      <w:tr>
        <w:tblPrEx>
          <w:tblCellMar>
            <w:top w:w="0" w:type="dxa"/>
            <w:left w:w="108" w:type="dxa"/>
            <w:bottom w:w="0" w:type="dxa"/>
            <w:right w:w="108" w:type="dxa"/>
          </w:tblCellMar>
        </w:tblPrEx>
        <w:trPr>
          <w:trHeight w:val="300" w:hRule="atLeast"/>
        </w:trPr>
        <w:tc>
          <w:tcPr>
            <w:tcW w:w="29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892"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变速箱油</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r>
              <w:rPr>
                <w:rFonts w:hint="default" w:ascii="Times New Roman" w:hAnsi="Times New Roman" w:eastAsia="宋体" w:cs="Times New Roman"/>
                <w:b/>
                <w:bCs/>
                <w:i w:val="0"/>
                <w:iCs w:val="0"/>
                <w:color w:val="000000"/>
                <w:kern w:val="0"/>
                <w:sz w:val="21"/>
                <w:szCs w:val="21"/>
                <w:highlight w:val="none"/>
                <w:u w:val="none"/>
                <w:lang w:val="en-US" w:eastAsia="zh-CN" w:bidi="ar"/>
              </w:rPr>
              <w:t>前、后</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9</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shd w:val="clear" w:color="auto" w:fill="auto"/>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r>
      <w:tr>
        <w:tblPrEx>
          <w:tblCellMar>
            <w:top w:w="0" w:type="dxa"/>
            <w:left w:w="108" w:type="dxa"/>
            <w:bottom w:w="0" w:type="dxa"/>
            <w:right w:w="108" w:type="dxa"/>
          </w:tblCellMar>
        </w:tblPrEx>
        <w:trPr>
          <w:trHeight w:val="300" w:hRule="atLeast"/>
        </w:trPr>
        <w:tc>
          <w:tcPr>
            <w:tcW w:w="2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89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4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8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2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81" w:name="_Toc247514246"/>
      <w:bookmarkStart w:id="82" w:name="_Toc152042576"/>
      <w:bookmarkStart w:id="83" w:name="_Toc152045787"/>
      <w:bookmarkStart w:id="84" w:name="_Toc144974856"/>
      <w:bookmarkStart w:id="85" w:name="_Toc300835209"/>
      <w:bookmarkStart w:id="86" w:name="_Toc247527827"/>
      <w:r>
        <w:rPr>
          <w:rFonts w:hint="default" w:ascii="Times New Roman" w:hAnsi="Times New Roman" w:cs="Times New Roman"/>
          <w:highlight w:val="none"/>
        </w:rPr>
        <w:t>目    录</w:t>
      </w:r>
      <w:bookmarkEnd w:id="81"/>
      <w:bookmarkEnd w:id="82"/>
      <w:bookmarkEnd w:id="83"/>
      <w:bookmarkEnd w:id="84"/>
      <w:bookmarkEnd w:id="85"/>
      <w:bookmarkEnd w:id="86"/>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87" w:name="_Toc300835210"/>
      <w:bookmarkStart w:id="88" w:name="_Toc144974857"/>
      <w:bookmarkStart w:id="89" w:name="_Toc152042577"/>
      <w:bookmarkStart w:id="90" w:name="_Toc152045788"/>
      <w:bookmarkStart w:id="91" w:name="_Toc247527828"/>
      <w:bookmarkStart w:id="92" w:name="_Toc247514247"/>
      <w:r>
        <w:rPr>
          <w:rFonts w:hint="default" w:ascii="Times New Roman" w:hAnsi="Times New Roman" w:cs="Times New Roman"/>
          <w:highlight w:val="none"/>
        </w:rPr>
        <w:t>一、投标函</w:t>
      </w:r>
      <w:bookmarkEnd w:id="87"/>
      <w:bookmarkEnd w:id="88"/>
      <w:bookmarkEnd w:id="89"/>
      <w:bookmarkEnd w:id="90"/>
      <w:bookmarkEnd w:id="91"/>
      <w:bookmarkEnd w:id="92"/>
      <w:r>
        <w:rPr>
          <w:rFonts w:hint="eastAsia" w:ascii="Times New Roman" w:hAnsi="Times New Roman" w:cs="Times New Roman"/>
          <w:highlight w:val="none"/>
          <w:lang w:val="en-US" w:eastAsia="zh-CN"/>
        </w:rPr>
        <w:t>及投标函附录</w:t>
      </w:r>
    </w:p>
    <w:p>
      <w:pPr>
        <w:spacing w:line="440" w:lineRule="exact"/>
        <w:rPr>
          <w:rFonts w:hint="default" w:ascii="Times New Roman" w:hAnsi="Times New Roman" w:cs="Times New Roman" w:eastAsiaTheme="minorEastAsia"/>
          <w:sz w:val="20"/>
          <w:szCs w:val="20"/>
          <w:highlight w:val="none"/>
          <w:lang w:val="en-US" w:eastAsia="zh-CN"/>
        </w:rPr>
      </w:pP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一</w:t>
      </w: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投标函</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招标项目招标文件的全部内容，愿意以“案例车型”配件投标报价同等优惠价格（指利润率）（其中，增值税税率为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），服务期限：</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年，按合同约定完成本项目供货、包装、运输、售后等服务。</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“案例车型”配件投标报价见投标函附录。</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（1）投标函及投标函附录；（2）法定代表人身份证明或授权委托书；（3）投标保证金；（4）资格审查资料；（5）服务方案；（6）其他资料；.......</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spacing w:line="440" w:lineRule="exact"/>
        <w:rPr>
          <w:rFonts w:hint="default" w:ascii="黑体" w:hAnsi="黑体" w:eastAsia="黑体" w:cs="黑体"/>
          <w:b w:val="0"/>
          <w:bCs w:val="0"/>
          <w:sz w:val="28"/>
          <w:szCs w:val="28"/>
          <w:highlight w:val="none"/>
          <w:lang w:val="en-US" w:eastAsia="zh-CN"/>
        </w:rPr>
      </w:pP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二</w:t>
      </w:r>
      <w:r>
        <w:rPr>
          <w:rFonts w:hint="eastAsia" w:ascii="黑体" w:hAnsi="黑体" w:eastAsia="黑体" w:cs="黑体"/>
          <w:b w:val="0"/>
          <w:bCs w:val="0"/>
          <w:sz w:val="28"/>
          <w:szCs w:val="28"/>
          <w:highlight w:val="none"/>
          <w:lang w:eastAsia="zh-CN"/>
        </w:rPr>
        <w:t>）</w:t>
      </w:r>
      <w:r>
        <w:rPr>
          <w:rFonts w:hint="eastAsia" w:ascii="黑体" w:hAnsi="黑体" w:eastAsia="黑体" w:cs="黑体"/>
          <w:b w:val="0"/>
          <w:bCs w:val="0"/>
          <w:sz w:val="28"/>
          <w:szCs w:val="28"/>
          <w:highlight w:val="none"/>
          <w:lang w:val="en-US" w:eastAsia="zh-CN"/>
        </w:rPr>
        <w:t>投标函附录</w:t>
      </w:r>
    </w:p>
    <w:p>
      <w:pPr>
        <w:spacing w:line="440" w:lineRule="exact"/>
        <w:rPr>
          <w:rFonts w:hint="eastAsia" w:ascii="Times New Roman" w:hAnsi="Times New Roman" w:cs="Times New Roman" w:eastAsiaTheme="minorEastAsia"/>
          <w:sz w:val="20"/>
          <w:szCs w:val="20"/>
          <w:highlight w:val="none"/>
          <w:lang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案例车型“旗云2”配件投标报价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bidi="ar-SA"/>
              </w:rPr>
            </w:pPr>
            <w:r>
              <w:rPr>
                <w:rFonts w:hint="eastAsia"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2"/>
                <w:sz w:val="21"/>
                <w:szCs w:val="21"/>
                <w:highlight w:val="none"/>
                <w:lang w:val="en-US" w:eastAsia="zh-CN" w:bidi="ar-SA"/>
              </w:rPr>
            </w:pPr>
            <w:r>
              <w:rPr>
                <w:rFonts w:hint="default" w:ascii="Times New Roman" w:hAnsi="Times New Roman" w:cs="Times New Roman" w:eastAsiaTheme="minorEastAsia"/>
                <w:b/>
                <w:color w:val="000000"/>
                <w:kern w:val="0"/>
                <w:sz w:val="21"/>
                <w:szCs w:val="21"/>
                <w:highlight w:val="none"/>
                <w:lang w:val="en-US" w:eastAsia="zh-CN"/>
              </w:rPr>
              <w:t>（元</w:t>
            </w:r>
            <w:r>
              <w:rPr>
                <w:rFonts w:hint="eastAsia" w:ascii="Times New Roman" w:hAnsi="Times New Roman" w:cs="Times New Roman"/>
                <w:b/>
                <w:color w:val="000000"/>
                <w:kern w:val="0"/>
                <w:sz w:val="21"/>
                <w:szCs w:val="21"/>
                <w:highlight w:val="none"/>
                <w:lang w:val="en-US" w:eastAsia="zh-CN"/>
              </w:rPr>
              <w:t>/个</w:t>
            </w:r>
            <w:r>
              <w:rPr>
                <w:rFonts w:hint="default" w:ascii="Times New Roman" w:hAnsi="Times New Roman" w:cs="Times New Roman" w:eastAsiaTheme="minorEastAsia"/>
                <w:b/>
                <w:color w:val="000000"/>
                <w:kern w:val="0"/>
                <w:sz w:val="21"/>
                <w:szCs w:val="21"/>
                <w:highlight w:val="none"/>
                <w:lang w:val="en-US" w:eastAsia="zh-CN"/>
              </w:rPr>
              <w:t>）</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单价投标报价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（元/个）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254.00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275.00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74.00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936</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6236"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r>
              <w:rPr>
                <w:rFonts w:hint="eastAsia" w:ascii="Times New Roman" w:hAnsi="Times New Roman" w:cs="Times New Roman"/>
                <w:color w:val="000000"/>
                <w:kern w:val="0"/>
                <w:sz w:val="21"/>
                <w:szCs w:val="21"/>
                <w:highlight w:val="none"/>
                <w:lang w:val="en-US" w:eastAsia="zh-CN"/>
              </w:rPr>
              <w:t>合计总价（按预计年使用量测算后）</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1"/>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spacing w:line="440" w:lineRule="exact"/>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案例车型“奇瑞E3”投标报价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0"/>
        <w:gridCol w:w="1984"/>
        <w:gridCol w:w="1701"/>
        <w:gridCol w:w="1701"/>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序号</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rPr>
            </w:pPr>
            <w:r>
              <w:rPr>
                <w:rFonts w:hint="default" w:ascii="Times New Roman" w:hAnsi="Times New Roman" w:cs="Times New Roman" w:eastAsiaTheme="minorEastAsia"/>
                <w:b/>
                <w:color w:val="000000"/>
                <w:kern w:val="0"/>
                <w:sz w:val="21"/>
                <w:szCs w:val="21"/>
                <w:highlight w:val="none"/>
                <w:lang w:val="en-US" w:eastAsia="zh-CN"/>
              </w:rPr>
              <w:t>配件名称</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预计年使用量</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（个）</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kern w:val="0"/>
                <w:sz w:val="21"/>
                <w:szCs w:val="21"/>
                <w:highlight w:val="none"/>
                <w:lang w:val="en-US" w:eastAsia="zh-CN"/>
              </w:rPr>
            </w:pPr>
            <w:r>
              <w:rPr>
                <w:rFonts w:hint="default" w:ascii="Times New Roman" w:hAnsi="Times New Roman" w:cs="Times New Roman" w:eastAsiaTheme="minorEastAsia"/>
                <w:b/>
                <w:color w:val="000000"/>
                <w:kern w:val="0"/>
                <w:sz w:val="21"/>
                <w:szCs w:val="21"/>
                <w:highlight w:val="none"/>
                <w:lang w:val="en-US" w:eastAsia="zh-CN"/>
              </w:rPr>
              <w:t>最高投标限价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color w:val="000000"/>
                <w:sz w:val="21"/>
                <w:szCs w:val="21"/>
                <w:highlight w:val="none"/>
                <w:lang w:val="en-US"/>
              </w:rPr>
            </w:pPr>
            <w:r>
              <w:rPr>
                <w:rFonts w:hint="default" w:ascii="Times New Roman" w:hAnsi="Times New Roman" w:cs="Times New Roman" w:eastAsiaTheme="minorEastAsia"/>
                <w:b/>
                <w:color w:val="000000"/>
                <w:kern w:val="0"/>
                <w:sz w:val="21"/>
                <w:szCs w:val="21"/>
                <w:highlight w:val="none"/>
                <w:lang w:val="en-US" w:eastAsia="zh-CN"/>
              </w:rPr>
              <w:t>（元</w:t>
            </w:r>
            <w:r>
              <w:rPr>
                <w:rFonts w:hint="eastAsia" w:ascii="Times New Roman" w:hAnsi="Times New Roman" w:cs="Times New Roman"/>
                <w:b/>
                <w:color w:val="000000"/>
                <w:kern w:val="0"/>
                <w:sz w:val="21"/>
                <w:szCs w:val="21"/>
                <w:highlight w:val="none"/>
                <w:lang w:val="en-US" w:eastAsia="zh-CN"/>
              </w:rPr>
              <w:t>/个</w:t>
            </w:r>
            <w:r>
              <w:rPr>
                <w:rFonts w:hint="default" w:ascii="Times New Roman" w:hAnsi="Times New Roman" w:cs="Times New Roman" w:eastAsiaTheme="minorEastAsia"/>
                <w:b/>
                <w:color w:val="000000"/>
                <w:kern w:val="0"/>
                <w:sz w:val="21"/>
                <w:szCs w:val="21"/>
                <w:highlight w:val="none"/>
                <w:lang w:val="en-US" w:eastAsia="zh-CN"/>
              </w:rPr>
              <w:t>）</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单价投标报价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kern w:val="0"/>
                <w:sz w:val="21"/>
                <w:szCs w:val="21"/>
                <w:highlight w:val="none"/>
                <w:lang w:val="en-US" w:eastAsia="zh-CN"/>
              </w:rPr>
            </w:pPr>
            <w:r>
              <w:rPr>
                <w:rFonts w:hint="eastAsia" w:ascii="Times New Roman" w:hAnsi="Times New Roman" w:cs="Times New Roman"/>
                <w:b/>
                <w:color w:val="000000"/>
                <w:kern w:val="0"/>
                <w:sz w:val="21"/>
                <w:szCs w:val="21"/>
                <w:highlight w:val="none"/>
                <w:lang w:val="en-US" w:eastAsia="zh-CN"/>
              </w:rPr>
              <w:t>（元/个）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157</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空气滤芯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后制动片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汽油滤芯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下摆臂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怠速马达</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张紧轮</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火花塞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120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手刹拉线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手柄</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外球笼</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524.00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水泵</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正时皮带</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减震器总成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227.00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起动机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249.00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节温器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392.00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前舱线束总成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电瓶正极线束</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后保险杠</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286.00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尾灯外</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油底壳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控制臂球头销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冷凝器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169.00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中央电器盒支架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前舱继电器盒总成</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487.00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升降器总开关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升降器</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分开关</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横拉杆</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座椅</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922.00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雾灯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方向盘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233.00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助力泵支架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压缩机支架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半轴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转向节</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84.00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制动盘</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暖风水箱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进水管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后轮轴承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127.00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膨胀阀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干燥瓶</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高压油管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回油管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吸油管</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59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空调管路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116.00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低压管路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压缩机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593.00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发电机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296.00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大灯框架铁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68.00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防撞梁</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95.00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车门护板</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153.00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管柱</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360.00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下轴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定位销</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拨叉轴</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37.00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72</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衬套</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73</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碗形塞</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5.00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74</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内扣手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21.00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75</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外把手</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76</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镜片</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26.00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77</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内后视镜</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47.00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78</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190.00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79</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后减震芯</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148.00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80</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轮胎</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185.60 R15</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100</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81</w:t>
            </w:r>
          </w:p>
        </w:tc>
        <w:tc>
          <w:tcPr>
            <w:tcW w:w="1984"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机油</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SN</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628</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20.00 </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6236"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r>
              <w:rPr>
                <w:rFonts w:hint="eastAsia" w:ascii="Times New Roman" w:hAnsi="Times New Roman" w:cs="Times New Roman"/>
                <w:color w:val="000000"/>
                <w:kern w:val="0"/>
                <w:sz w:val="21"/>
                <w:szCs w:val="21"/>
                <w:highlight w:val="none"/>
                <w:lang w:val="en-US" w:eastAsia="zh-CN"/>
              </w:rPr>
              <w:t>合计总价（按预计年使用量测算后）</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color w:val="000000"/>
                <w:kern w:val="0"/>
                <w:sz w:val="21"/>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sz w:val="20"/>
          <w:szCs w:val="20"/>
          <w:highlight w:val="none"/>
          <w:lang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spacing w:line="440" w:lineRule="exact"/>
        <w:rPr>
          <w:rFonts w:hint="eastAsia" w:ascii="Times New Roman" w:hAnsi="Times New Roman" w:cs="Times New Roman" w:eastAsiaTheme="minorEastAsia"/>
          <w:sz w:val="20"/>
          <w:szCs w:val="20"/>
          <w:highlight w:val="none"/>
          <w:lang w:eastAsia="zh-CN"/>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eastAsia" w:ascii="Times New Roman" w:hAnsi="Times New Roman" w:cs="Times New Roman" w:eastAsiaTheme="minorEastAsia"/>
          <w:sz w:val="20"/>
          <w:szCs w:val="20"/>
          <w:highlight w:val="none"/>
          <w:lang w:eastAsia="zh-CN"/>
        </w:rPr>
      </w:pPr>
    </w:p>
    <w:p>
      <w:pPr>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spacing w:line="440" w:lineRule="exact"/>
        <w:rPr>
          <w:rFonts w:hint="default" w:ascii="Times New Roman" w:hAnsi="Times New Roman" w:cs="Times New Roman"/>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其他案例车型配件投标报价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bl>
      <w:tblPr>
        <w:tblStyle w:val="15"/>
        <w:tblW w:w="4999" w:type="pct"/>
        <w:tblInd w:w="0" w:type="dxa"/>
        <w:shd w:val="clear" w:color="auto" w:fill="auto"/>
        <w:tblLayout w:type="autofit"/>
        <w:tblCellMar>
          <w:top w:w="0" w:type="dxa"/>
          <w:left w:w="108" w:type="dxa"/>
          <w:bottom w:w="0" w:type="dxa"/>
          <w:right w:w="108" w:type="dxa"/>
        </w:tblCellMar>
      </w:tblPr>
      <w:tblGrid>
        <w:gridCol w:w="870"/>
        <w:gridCol w:w="2651"/>
        <w:gridCol w:w="1091"/>
        <w:gridCol w:w="1091"/>
        <w:gridCol w:w="1091"/>
        <w:gridCol w:w="1364"/>
        <w:gridCol w:w="2449"/>
        <w:gridCol w:w="1091"/>
        <w:gridCol w:w="819"/>
        <w:gridCol w:w="820"/>
        <w:gridCol w:w="834"/>
      </w:tblGrid>
      <w:tr>
        <w:tblPrEx>
          <w:shd w:val="clear" w:color="auto" w:fill="auto"/>
          <w:tblCellMar>
            <w:top w:w="0" w:type="dxa"/>
            <w:left w:w="108" w:type="dxa"/>
            <w:bottom w:w="0" w:type="dxa"/>
            <w:right w:w="108" w:type="dxa"/>
          </w:tblCellMar>
        </w:tblPrEx>
        <w:trPr>
          <w:trHeight w:val="300" w:hRule="atLeast"/>
        </w:trPr>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序号</w:t>
            </w:r>
          </w:p>
        </w:tc>
        <w:tc>
          <w:tcPr>
            <w:tcW w:w="93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eastAsia="zh-CN"/>
              </w:rPr>
            </w:pPr>
            <w:r>
              <w:rPr>
                <w:rFonts w:hint="eastAsia" w:ascii="Times New Roman" w:hAnsi="Times New Roman" w:eastAsia="宋体" w:cs="Times New Roman"/>
                <w:b/>
                <w:bCs/>
                <w:i w:val="0"/>
                <w:iCs w:val="0"/>
                <w:color w:val="000000"/>
                <w:sz w:val="21"/>
                <w:szCs w:val="21"/>
                <w:highlight w:val="none"/>
                <w:u w:val="none"/>
                <w:lang w:val="en-US" w:eastAsia="zh-CN"/>
              </w:rPr>
              <w:t>其他案例车型</w:t>
            </w:r>
          </w:p>
        </w:tc>
        <w:tc>
          <w:tcPr>
            <w:tcW w:w="3757"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default" w:ascii="Times New Roman" w:hAnsi="Times New Roman" w:eastAsia="宋体" w:cs="Times New Roman"/>
                <w:b/>
                <w:bCs/>
                <w:i w:val="0"/>
                <w:iCs w:val="0"/>
                <w:color w:val="000000"/>
                <w:kern w:val="0"/>
                <w:sz w:val="21"/>
                <w:szCs w:val="21"/>
                <w:highlight w:val="none"/>
                <w:u w:val="none"/>
                <w:lang w:val="en-US" w:eastAsia="zh-CN" w:bidi="ar"/>
              </w:rPr>
              <w:t>配件名称及其</w:t>
            </w:r>
            <w:r>
              <w:rPr>
                <w:rFonts w:hint="eastAsia" w:ascii="Times New Roman" w:hAnsi="Times New Roman" w:eastAsia="宋体" w:cs="Times New Roman"/>
                <w:b/>
                <w:bCs/>
                <w:i w:val="0"/>
                <w:iCs w:val="0"/>
                <w:color w:val="000000"/>
                <w:kern w:val="0"/>
                <w:sz w:val="21"/>
                <w:szCs w:val="21"/>
                <w:highlight w:val="none"/>
                <w:u w:val="none"/>
                <w:lang w:val="en-US" w:eastAsia="zh-CN" w:bidi="ar"/>
              </w:rPr>
              <w:t>单价</w:t>
            </w:r>
            <w:r>
              <w:rPr>
                <w:rFonts w:hint="default" w:ascii="Times New Roman" w:hAnsi="Times New Roman" w:eastAsia="宋体" w:cs="Times New Roman"/>
                <w:b/>
                <w:bCs/>
                <w:i w:val="0"/>
                <w:iCs w:val="0"/>
                <w:color w:val="000000"/>
                <w:kern w:val="0"/>
                <w:sz w:val="21"/>
                <w:szCs w:val="21"/>
                <w:highlight w:val="none"/>
                <w:u w:val="none"/>
                <w:lang w:val="en-US" w:eastAsia="zh-CN" w:bidi="ar"/>
              </w:rPr>
              <w:t>投标报价（元</w:t>
            </w:r>
            <w:r>
              <w:rPr>
                <w:rFonts w:hint="eastAsia" w:ascii="Times New Roman" w:hAnsi="Times New Roman" w:eastAsia="宋体" w:cs="Times New Roman"/>
                <w:b/>
                <w:bCs/>
                <w:i w:val="0"/>
                <w:iCs w:val="0"/>
                <w:color w:val="000000"/>
                <w:kern w:val="0"/>
                <w:sz w:val="21"/>
                <w:szCs w:val="21"/>
                <w:highlight w:val="none"/>
                <w:u w:val="none"/>
                <w:lang w:val="en-US" w:eastAsia="zh-CN" w:bidi="ar"/>
              </w:rPr>
              <w:t>/个</w:t>
            </w:r>
            <w:r>
              <w:rPr>
                <w:rFonts w:hint="default" w:ascii="Times New Roman" w:hAnsi="Times New Roman" w:eastAsia="宋体" w:cs="Times New Roman"/>
                <w:b/>
                <w:bCs/>
                <w:i w:val="0"/>
                <w:iCs w:val="0"/>
                <w:color w:val="000000"/>
                <w:kern w:val="0"/>
                <w:sz w:val="21"/>
                <w:szCs w:val="21"/>
                <w:highlight w:val="none"/>
                <w:u w:val="none"/>
                <w:lang w:val="en-US" w:eastAsia="zh-CN" w:bidi="ar"/>
              </w:rPr>
              <w:t>）</w:t>
            </w:r>
          </w:p>
        </w:tc>
      </w:tr>
      <w:tr>
        <w:tblPrEx>
          <w:tblCellMar>
            <w:top w:w="0" w:type="dxa"/>
            <w:left w:w="108" w:type="dxa"/>
            <w:bottom w:w="0" w:type="dxa"/>
            <w:right w:w="108" w:type="dxa"/>
          </w:tblCellMar>
        </w:tblPrEx>
        <w:trPr>
          <w:trHeight w:val="300" w:hRule="atLeast"/>
        </w:trPr>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93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机油格</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空气滤</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空调滤</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变速箱油</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lang w:val="en-US"/>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刹车片</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r>
              <w:rPr>
                <w:rFonts w:hint="default" w:ascii="Times New Roman" w:hAnsi="Times New Roman" w:eastAsia="宋体" w:cs="Times New Roman"/>
                <w:b/>
                <w:bCs/>
                <w:i w:val="0"/>
                <w:iCs w:val="0"/>
                <w:color w:val="000000"/>
                <w:kern w:val="0"/>
                <w:sz w:val="21"/>
                <w:szCs w:val="21"/>
                <w:highlight w:val="none"/>
                <w:u w:val="none"/>
                <w:lang w:val="en-US" w:eastAsia="zh-CN" w:bidi="ar"/>
              </w:rPr>
              <w:t>前、后</w:t>
            </w:r>
            <w:r>
              <w:rPr>
                <w:rFonts w:hint="eastAsia" w:ascii="Times New Roman" w:hAnsi="Times New Roman" w:eastAsia="宋体" w:cs="Times New Roman"/>
                <w:b/>
                <w:bCs/>
                <w:i w:val="0"/>
                <w:iCs w:val="0"/>
                <w:color w:val="000000"/>
                <w:kern w:val="0"/>
                <w:sz w:val="21"/>
                <w:szCs w:val="21"/>
                <w:highlight w:val="none"/>
                <w:u w:val="none"/>
                <w:lang w:val="en-US" w:eastAsia="zh-CN" w:bidi="ar"/>
              </w:rPr>
              <w:t>）</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刹车盘</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拉杆</w:t>
            </w: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悬挂</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bCs/>
                <w:i w:val="0"/>
                <w:iCs w:val="0"/>
                <w:color w:val="000000"/>
                <w:sz w:val="21"/>
                <w:szCs w:val="21"/>
                <w:highlight w:val="none"/>
                <w:u w:val="none"/>
              </w:rPr>
            </w:pPr>
            <w:r>
              <w:rPr>
                <w:rFonts w:hint="default" w:ascii="Times New Roman" w:hAnsi="Times New Roman" w:eastAsia="宋体" w:cs="Times New Roman"/>
                <w:b/>
                <w:bCs/>
                <w:i w:val="0"/>
                <w:iCs w:val="0"/>
                <w:color w:val="000000"/>
                <w:kern w:val="0"/>
                <w:sz w:val="21"/>
                <w:szCs w:val="21"/>
                <w:highlight w:val="none"/>
                <w:u w:val="none"/>
                <w:lang w:val="en-US" w:eastAsia="zh-CN" w:bidi="ar"/>
              </w:rPr>
              <w:t>减震</w:t>
            </w: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爱丽舍 1.4L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奥迪Q5</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3</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宝马320</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奔驰GLK</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5</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本田哥瑞 1.4L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6</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本田思威CR-V</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7</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本田雅阁8代</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8</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本田雅阁7代</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9</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2.5</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10</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别克商务GL8 2.0T</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11</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大众捷达</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12</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大众迈腾</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13</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大众帕萨特1.8T</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14</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15</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大众途观L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16</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丰田卡罗拉</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17</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丰田威驰 1.4L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18</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江淮A60 1.6T</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eastAsia="zh-CN"/>
              </w:rPr>
            </w:pPr>
            <w:r>
              <w:rPr>
                <w:rFonts w:hint="default" w:ascii="Times New Roman" w:hAnsi="Times New Roman" w:eastAsia="宋体" w:cs="Times New Roman"/>
                <w:i w:val="0"/>
                <w:iCs w:val="0"/>
                <w:color w:val="000000"/>
                <w:sz w:val="21"/>
                <w:szCs w:val="21"/>
                <w:highlight w:val="none"/>
                <w:u w:val="none"/>
                <w:lang w:val="en-US" w:eastAsia="zh-CN"/>
              </w:rPr>
              <w:t>19</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20</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奇瑞瑞虎5 1.6L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21</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奇瑞瑞虎七</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22</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日产天籁</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23</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上海大众桑塔纳</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24</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上汽通用五菱宏光</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斯柯达明锐1.6L</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shd w:val="clear" w:color="auto" w:fill="auto"/>
          <w:tblCellMar>
            <w:top w:w="0" w:type="dxa"/>
            <w:left w:w="108" w:type="dxa"/>
            <w:bottom w:w="0" w:type="dxa"/>
            <w:right w:w="108" w:type="dxa"/>
          </w:tblCellMar>
        </w:tblPrEx>
        <w:trPr>
          <w:trHeight w:val="300" w:hRule="atLeast"/>
        </w:trPr>
        <w:tc>
          <w:tcPr>
            <w:tcW w:w="3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sz w:val="21"/>
                <w:szCs w:val="21"/>
                <w:highlight w:val="none"/>
                <w:u w:val="none"/>
                <w:lang w:val="en-US"/>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9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现代悦纳</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r>
        <w:tblPrEx>
          <w:tblCellMar>
            <w:top w:w="0" w:type="dxa"/>
            <w:left w:w="108" w:type="dxa"/>
            <w:bottom w:w="0" w:type="dxa"/>
            <w:right w:w="108" w:type="dxa"/>
          </w:tblCellMar>
        </w:tblPrEx>
        <w:trPr>
          <w:trHeight w:val="300" w:hRule="atLeast"/>
        </w:trPr>
        <w:tc>
          <w:tcPr>
            <w:tcW w:w="1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Times New Roman" w:hAnsi="Times New Roman" w:cs="Times New Roman"/>
                <w:color w:val="000000"/>
                <w:kern w:val="0"/>
                <w:sz w:val="21"/>
                <w:szCs w:val="21"/>
                <w:highlight w:val="none"/>
                <w:lang w:val="en-US" w:eastAsia="zh-CN"/>
              </w:rPr>
            </w:pPr>
            <w:r>
              <w:rPr>
                <w:rFonts w:hint="eastAsia" w:ascii="Times New Roman" w:hAnsi="Times New Roman" w:cs="Times New Roman"/>
                <w:color w:val="000000"/>
                <w:kern w:val="0"/>
                <w:sz w:val="21"/>
                <w:szCs w:val="21"/>
                <w:highlight w:val="none"/>
                <w:lang w:val="en-US" w:eastAsia="zh-CN"/>
              </w:rPr>
              <w:t>合计总价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color w:val="000000"/>
                <w:kern w:val="0"/>
                <w:sz w:val="21"/>
                <w:szCs w:val="21"/>
                <w:highlight w:val="none"/>
                <w:lang w:val="en-US" w:eastAsia="zh-CN"/>
              </w:rPr>
              <w:t>（按预计年使用量测算后）</w:t>
            </w:r>
          </w:p>
        </w:tc>
        <w:tc>
          <w:tcPr>
            <w:tcW w:w="3757"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p>
        </w:tc>
      </w:tr>
    </w:tbl>
    <w:p>
      <w:pPr>
        <w:spacing w:line="440" w:lineRule="exact"/>
        <w:ind w:firstLine="480" w:firstLineChars="200"/>
        <w:rPr>
          <w:rFonts w:hint="eastAsia" w:ascii="Times New Roman" w:hAnsi="Times New Roman" w:cs="Times New Roman"/>
          <w:kern w:val="0"/>
          <w:sz w:val="24"/>
          <w:szCs w:val="24"/>
          <w:highlight w:val="none"/>
          <w:lang w:val="en-US" w:eastAsia="zh-CN"/>
        </w:rPr>
      </w:pPr>
    </w:p>
    <w:p>
      <w:pPr>
        <w:spacing w:line="440" w:lineRule="exact"/>
        <w:ind w:firstLine="480" w:firstLineChars="200"/>
        <w:rPr>
          <w:rFonts w:hint="default" w:ascii="Times New Roman" w:hAnsi="Times New Roman" w:cs="Times New Roman" w:eastAsiaTheme="minorEastAsia"/>
          <w:sz w:val="20"/>
          <w:szCs w:val="20"/>
          <w:highlight w:val="none"/>
          <w:lang w:val="en-US" w:eastAsia="zh-CN"/>
        </w:rPr>
      </w:pPr>
      <w:r>
        <w:rPr>
          <w:rFonts w:hint="eastAsia" w:ascii="Times New Roman" w:hAnsi="Times New Roman" w:cs="Times New Roman"/>
          <w:kern w:val="0"/>
          <w:sz w:val="24"/>
          <w:szCs w:val="24"/>
          <w:highlight w:val="none"/>
          <w:lang w:val="en-US" w:eastAsia="zh-CN"/>
        </w:rPr>
        <w:t>注：以上配件的最高投标限价均按“品牌价”设定，投标人投标报价也应当按照“品牌价”报价，且不得超出上表设定的最高投标限价，否则按无效投标处理。</w:t>
      </w:r>
    </w:p>
    <w:p>
      <w:pPr>
        <w:spacing w:line="440" w:lineRule="exact"/>
        <w:ind w:firstLine="6930" w:firstLineChars="33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6930" w:firstLineChars="33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8610" w:firstLineChars="4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cs="Times New Roman"/>
          <w:highlight w:val="none"/>
        </w:rPr>
      </w:pPr>
      <w:bookmarkStart w:id="93" w:name="_Toc247514283"/>
      <w:bookmarkStart w:id="94" w:name="_Toc247527831"/>
      <w:bookmarkStart w:id="95" w:name="_Toc144974860"/>
      <w:bookmarkStart w:id="96" w:name="_Toc152042580"/>
      <w:bookmarkStart w:id="97" w:name="_Toc300835213"/>
      <w:bookmarkStart w:id="98" w:name="_Toc152045791"/>
      <w:r>
        <w:rPr>
          <w:rFonts w:hint="default" w:ascii="Times New Roman" w:hAnsi="Times New Roman" w:cs="Times New Roman"/>
          <w:highlight w:val="none"/>
        </w:rPr>
        <w:t>二、法定代表人身份证明</w:t>
      </w:r>
      <w:bookmarkEnd w:id="93"/>
      <w:bookmarkEnd w:id="94"/>
      <w:bookmarkEnd w:id="95"/>
      <w:bookmarkEnd w:id="96"/>
      <w:bookmarkEnd w:id="97"/>
      <w:bookmarkEnd w:id="98"/>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9" w:name="_Toc247514284"/>
      <w:bookmarkStart w:id="100" w:name="_Toc300835214"/>
      <w:bookmarkStart w:id="101" w:name="_Toc247527832"/>
      <w:bookmarkStart w:id="102" w:name="_Toc152045792"/>
      <w:bookmarkStart w:id="103" w:name="_Toc152042581"/>
      <w:bookmarkStart w:id="104" w:name="_Toc144974861"/>
      <w:r>
        <w:rPr>
          <w:rFonts w:hint="default" w:ascii="Times New Roman" w:hAnsi="Times New Roman" w:cs="Times New Roman"/>
          <w:highlight w:val="none"/>
        </w:rPr>
        <w:t>二、授权委托书</w:t>
      </w:r>
      <w:bookmarkEnd w:id="99"/>
      <w:bookmarkEnd w:id="100"/>
      <w:bookmarkEnd w:id="101"/>
      <w:bookmarkEnd w:id="102"/>
      <w:bookmarkEnd w:id="103"/>
      <w:bookmarkEnd w:id="104"/>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105" w:name="_Toc300835216"/>
      <w:bookmarkStart w:id="106" w:name="_Toc247514286"/>
      <w:bookmarkStart w:id="107" w:name="_Toc144974862"/>
      <w:bookmarkStart w:id="108" w:name="_Toc152042583"/>
      <w:bookmarkStart w:id="109" w:name="_Toc247527834"/>
      <w:bookmarkStart w:id="110"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5"/>
      <w:bookmarkEnd w:id="106"/>
      <w:bookmarkEnd w:id="107"/>
      <w:bookmarkEnd w:id="108"/>
      <w:bookmarkEnd w:id="109"/>
      <w:bookmarkEnd w:id="110"/>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highlight w:val="none"/>
        </w:rPr>
      </w:pPr>
    </w:p>
    <w:bookmarkEnd w:id="111"/>
    <w:p>
      <w:pPr>
        <w:rPr>
          <w:rFonts w:hint="default" w:ascii="Times New Roman" w:hAnsi="Times New Roman" w:cs="Times New Roman"/>
          <w:highlight w:val="none"/>
        </w:rPr>
      </w:pPr>
      <w:bookmarkStart w:id="112" w:name="_Toc152042584"/>
      <w:bookmarkStart w:id="113" w:name="_Toc247514287"/>
      <w:bookmarkStart w:id="114" w:name="_Toc300835218"/>
      <w:bookmarkStart w:id="115" w:name="_Toc152045795"/>
      <w:bookmarkStart w:id="116" w:name="_Toc144974863"/>
      <w:bookmarkStart w:id="117" w:name="_Toc247527835"/>
      <w:r>
        <w:rPr>
          <w:rFonts w:hint="default" w:ascii="Times New Roman" w:hAnsi="Times New Roman" w:cs="Times New Roman"/>
          <w:highlight w:val="none"/>
        </w:rPr>
        <w:br w:type="page"/>
      </w:r>
    </w:p>
    <w:bookmarkEnd w:id="112"/>
    <w:bookmarkEnd w:id="113"/>
    <w:bookmarkEnd w:id="114"/>
    <w:bookmarkEnd w:id="115"/>
    <w:bookmarkEnd w:id="116"/>
    <w:bookmarkEnd w:id="117"/>
    <w:p>
      <w:pPr>
        <w:pStyle w:val="3"/>
        <w:jc w:val="center"/>
        <w:rPr>
          <w:rFonts w:hint="eastAsia"/>
          <w:highlight w:val="none"/>
        </w:rPr>
      </w:pPr>
      <w:bookmarkStart w:id="118" w:name="_Toc144974871"/>
      <w:bookmarkStart w:id="119" w:name="_Toc152042597"/>
      <w:bookmarkStart w:id="120" w:name="_Toc247514300"/>
      <w:bookmarkStart w:id="121" w:name="_Toc152045808"/>
      <w:bookmarkStart w:id="122" w:name="_Toc144974876"/>
      <w:bookmarkStart w:id="123" w:name="_Toc296602614"/>
      <w:bookmarkStart w:id="124" w:name="_Toc247527848"/>
      <w:bookmarkStart w:id="125" w:name="_Toc152045803"/>
      <w:bookmarkStart w:id="126" w:name="_Toc300835224"/>
      <w:bookmarkStart w:id="127" w:name="_Toc246997112"/>
      <w:bookmarkStart w:id="128" w:name="_Toc246996369"/>
      <w:bookmarkStart w:id="129" w:name="_Toc179632823"/>
      <w:bookmarkStart w:id="130" w:name="_Toc152042592"/>
      <w:bookmarkStart w:id="131" w:name="_Toc247085887"/>
      <w:r>
        <w:rPr>
          <w:rFonts w:hint="eastAsia"/>
          <w:highlight w:val="none"/>
          <w:lang w:val="en-US" w:eastAsia="zh-CN"/>
        </w:rPr>
        <w:t>四</w:t>
      </w:r>
      <w:r>
        <w:rPr>
          <w:highlight w:val="none"/>
        </w:rPr>
        <w:t>、资格审查资料</w:t>
      </w:r>
    </w:p>
    <w:p>
      <w:pPr>
        <w:pStyle w:val="4"/>
        <w:jc w:val="both"/>
        <w:rPr>
          <w:rFonts w:hint="eastAsia"/>
          <w:highlight w:val="none"/>
        </w:rPr>
      </w:pPr>
      <w:r>
        <w:rPr>
          <w:highlight w:val="none"/>
        </w:rP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highlight w:val="none"/>
                <w:lang w:val="en-US" w:eastAsia="zh-CN"/>
              </w:rPr>
            </w:pPr>
            <w:r>
              <w:rPr>
                <w:rFonts w:hint="eastAsia"/>
                <w:szCs w:val="21"/>
                <w:highlight w:val="none"/>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highlight w:val="none"/>
                <w:lang w:val="en-US" w:eastAsia="zh-CN"/>
              </w:rPr>
            </w:pPr>
            <w:r>
              <w:rPr>
                <w:rFonts w:hint="eastAsia"/>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highlight w:val="none"/>
                <w:lang w:val="en-US" w:eastAsia="zh-CN"/>
              </w:rPr>
            </w:pPr>
            <w:r>
              <w:rPr>
                <w:rFonts w:hint="eastAsia"/>
                <w:szCs w:val="21"/>
                <w:highlight w:val="none"/>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highlight w:val="none"/>
                <w:lang w:val="en-US" w:eastAsia="zh-CN"/>
              </w:rPr>
            </w:pPr>
            <w:r>
              <w:rPr>
                <w:rFonts w:hint="eastAsia"/>
                <w:szCs w:val="21"/>
                <w:highlight w:val="none"/>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r>
              <w:rPr>
                <w:rFonts w:hint="eastAsia"/>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r>
              <w:rPr>
                <w:rFonts w:hint="eastAsia"/>
                <w:szCs w:val="21"/>
                <w:highlight w:val="none"/>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r>
        <w:rPr>
          <w:rFonts w:hint="default" w:ascii="Times New Roman" w:hAnsi="Times New Roman" w:cs="Times New Roman"/>
          <w:highlight w:val="none"/>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highlight w:val="none"/>
          <w:lang w:val="en-US" w:eastAsia="zh-CN"/>
        </w:rPr>
        <w:t>本表后附相关证明材料</w:t>
      </w:r>
      <w:r>
        <w:rPr>
          <w:rFonts w:hint="eastAsia" w:ascii="Times New Roman" w:hAnsi="Times New Roman" w:cs="Times New Roman"/>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highlight w:val="none"/>
        </w:rPr>
      </w:pPr>
      <w:r>
        <w:rPr>
          <w:rFonts w:hint="eastAsia"/>
          <w:highlight w:val="none"/>
        </w:rPr>
        <w:br w:type="page"/>
      </w:r>
    </w:p>
    <w:p>
      <w:pPr>
        <w:pStyle w:val="4"/>
        <w:rPr>
          <w:rFonts w:hint="default" w:ascii="Times New Roman" w:hAnsi="Times New Roman" w:cs="Times New Roman"/>
          <w:highlight w:val="none"/>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w:t>
            </w:r>
            <w:r>
              <w:rPr>
                <w:rFonts w:hint="default" w:ascii="Times New Roman" w:hAnsi="Times New Roman" w:cs="Times New Roman"/>
                <w:szCs w:val="21"/>
                <w:highlight w:val="none"/>
              </w:rPr>
              <w:t>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highlight w:val="none"/>
        </w:rPr>
      </w:pPr>
      <w:r>
        <w:rPr>
          <w:rFonts w:hint="eastAsia"/>
          <w:highlight w:val="none"/>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（三）拟委任的主要人员汇总表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highlight w:val="none"/>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highlight w:val="none"/>
          <w:lang w:val="en-US" w:eastAsia="zh-CN"/>
        </w:rPr>
        <w:t>（四）主要人员简历表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姓名</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年龄</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执业资格证书（或上岗证书）名称</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职称</w:t>
            </w:r>
          </w:p>
        </w:tc>
        <w:tc>
          <w:tcPr>
            <w:tcW w:w="1134" w:type="dxa"/>
            <w:vAlign w:val="center"/>
          </w:tcPr>
          <w:p>
            <w:pPr>
              <w:jc w:val="center"/>
              <w:rPr>
                <w:rFonts w:hint="eastAsia"/>
                <w:i w:val="0"/>
                <w:iCs w:val="0"/>
                <w:color w:val="auto"/>
                <w:highlight w:val="none"/>
                <w:u w:val="none"/>
                <w:vertAlign w:val="baseline"/>
                <w:lang w:val="en-US" w:eastAsia="zh-CN"/>
              </w:rPr>
            </w:pPr>
          </w:p>
        </w:tc>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学历</w:t>
            </w:r>
          </w:p>
        </w:tc>
        <w:tc>
          <w:tcPr>
            <w:tcW w:w="1134" w:type="dxa"/>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拟在本项目任职</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工作年限</w:t>
            </w: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从事本项目服务工作年限</w:t>
            </w: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毕业学校</w:t>
            </w:r>
          </w:p>
        </w:tc>
        <w:tc>
          <w:tcPr>
            <w:tcW w:w="7388" w:type="dxa"/>
            <w:gridSpan w:val="5"/>
            <w:vAlign w:val="center"/>
          </w:tcPr>
          <w:p>
            <w:pPr>
              <w:jc w:val="both"/>
              <w:rPr>
                <w:rFonts w:hint="default"/>
                <w:i w:val="0"/>
                <w:iCs w:val="0"/>
                <w:color w:val="auto"/>
                <w:highlight w:val="none"/>
                <w:u w:val="none"/>
                <w:vertAlign w:val="baseline"/>
                <w:lang w:val="en-US" w:eastAsia="zh-CN"/>
              </w:rPr>
            </w:pP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年毕业于</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学校</w:t>
            </w:r>
            <w:r>
              <w:rPr>
                <w:rFonts w:hint="eastAsia"/>
                <w:i w:val="0"/>
                <w:iCs w:val="0"/>
                <w:color w:val="auto"/>
                <w:highlight w:val="none"/>
                <w:u w:val="single"/>
                <w:vertAlign w:val="baseline"/>
                <w:lang w:val="en-US" w:eastAsia="zh-CN"/>
              </w:rPr>
              <w:t xml:space="preserve">            </w:t>
            </w:r>
            <w:r>
              <w:rPr>
                <w:rFonts w:hint="eastAsia"/>
                <w:i w:val="0"/>
                <w:iCs w:val="0"/>
                <w:color w:val="auto"/>
                <w:highlight w:val="none"/>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时间</w:t>
            </w:r>
          </w:p>
        </w:tc>
        <w:tc>
          <w:tcPr>
            <w:tcW w:w="3402" w:type="dxa"/>
            <w:gridSpan w:val="3"/>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参加过的类似项目</w:t>
            </w:r>
          </w:p>
        </w:tc>
        <w:tc>
          <w:tcPr>
            <w:tcW w:w="1701"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担任职称</w:t>
            </w:r>
          </w:p>
        </w:tc>
        <w:tc>
          <w:tcPr>
            <w:tcW w:w="2285" w:type="dxa"/>
            <w:vAlign w:val="center"/>
          </w:tcPr>
          <w:p>
            <w:pPr>
              <w:jc w:val="center"/>
              <w:rPr>
                <w:rFonts w:hint="default"/>
                <w:i w:val="0"/>
                <w:iCs w:val="0"/>
                <w:color w:val="auto"/>
                <w:highlight w:val="none"/>
                <w:u w:val="none"/>
                <w:vertAlign w:val="baseline"/>
                <w:lang w:val="en-US" w:eastAsia="zh-CN"/>
              </w:rPr>
            </w:pPr>
            <w:r>
              <w:rPr>
                <w:rFonts w:hint="eastAsia"/>
                <w:i w:val="0"/>
                <w:iCs w:val="0"/>
                <w:color w:val="auto"/>
                <w:highlight w:val="none"/>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highlight w:val="none"/>
                <w:u w:val="none"/>
                <w:vertAlign w:val="baseline"/>
                <w:lang w:val="en-US" w:eastAsia="zh-CN"/>
              </w:rPr>
            </w:pPr>
          </w:p>
        </w:tc>
        <w:tc>
          <w:tcPr>
            <w:tcW w:w="3402" w:type="dxa"/>
            <w:gridSpan w:val="3"/>
            <w:vAlign w:val="center"/>
          </w:tcPr>
          <w:p>
            <w:pPr>
              <w:jc w:val="center"/>
              <w:rPr>
                <w:rFonts w:hint="eastAsia"/>
                <w:i w:val="0"/>
                <w:iCs w:val="0"/>
                <w:color w:val="auto"/>
                <w:highlight w:val="none"/>
                <w:u w:val="none"/>
                <w:vertAlign w:val="baseline"/>
                <w:lang w:val="en-US" w:eastAsia="zh-CN"/>
              </w:rPr>
            </w:pPr>
          </w:p>
        </w:tc>
        <w:tc>
          <w:tcPr>
            <w:tcW w:w="1701" w:type="dxa"/>
            <w:vAlign w:val="center"/>
          </w:tcPr>
          <w:p>
            <w:pPr>
              <w:jc w:val="center"/>
              <w:rPr>
                <w:rFonts w:hint="eastAsia"/>
                <w:i w:val="0"/>
                <w:iCs w:val="0"/>
                <w:color w:val="auto"/>
                <w:highlight w:val="none"/>
                <w:u w:val="none"/>
                <w:vertAlign w:val="baseline"/>
                <w:lang w:val="en-US" w:eastAsia="zh-CN"/>
              </w:rPr>
            </w:pPr>
          </w:p>
        </w:tc>
        <w:tc>
          <w:tcPr>
            <w:tcW w:w="2285" w:type="dxa"/>
            <w:vAlign w:val="center"/>
          </w:tcPr>
          <w:p>
            <w:pPr>
              <w:jc w:val="center"/>
              <w:rPr>
                <w:rFonts w:hint="eastAsia"/>
                <w:i w:val="0"/>
                <w:iCs w:val="0"/>
                <w:color w:val="auto"/>
                <w:highlight w:val="none"/>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eastAsia="宋体" w:cs="Times New Roman"/>
          <w:i w:val="0"/>
          <w:iCs w:val="0"/>
          <w:color w:val="auto"/>
          <w:highlight w:val="none"/>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highlight w:val="none"/>
          <w:u w:val="none"/>
          <w:lang w:val="en-US" w:eastAsia="zh-CN"/>
        </w:rPr>
      </w:pPr>
      <w:r>
        <w:rPr>
          <w:rFonts w:hint="eastAsia" w:ascii="Times New Roman" w:hAnsi="Times New Roman" w:eastAsia="宋体" w:cs="Times New Roman"/>
          <w:i w:val="0"/>
          <w:iCs w:val="0"/>
          <w:color w:val="auto"/>
          <w:highlight w:val="none"/>
          <w:u w:val="none"/>
          <w:lang w:val="en-US" w:eastAsia="zh-CN"/>
        </w:rPr>
        <w:t>附：3.5.6 “拟委任的主要人员汇总表”应填报满足第二章投标人须知第1.4.1项规定的项目负责人和其他主要人员的相关信息。“主要人员简历表”中项目负责人应附身份证、学历证、职称证、执业资格证书和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highlight w:val="none"/>
          <w:u w:val="none"/>
          <w:lang w:val="en-US" w:eastAsia="zh-CN"/>
        </w:rPr>
        <w:t>的社保缴费证明复印件，管理过的项目业绩须附合同协议书复印件；其他主要人员应附身份证、学历证、职称证、有关证书和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highlight w:val="none"/>
          <w:u w:val="none"/>
          <w:lang w:val="en-US" w:eastAsia="zh-CN"/>
        </w:rPr>
        <w:t>的社保缴费证明复印件。</w:t>
      </w:r>
    </w:p>
    <w:p>
      <w:pPr>
        <w:rPr>
          <w:rFonts w:hint="eastAsia"/>
          <w:i/>
          <w:iCs/>
          <w:color w:val="FF0000"/>
          <w:highlight w:val="none"/>
          <w:u w:val="single"/>
          <w:lang w:val="en-US" w:eastAsia="zh-CN"/>
        </w:rPr>
      </w:pPr>
      <w:r>
        <w:rPr>
          <w:rFonts w:hint="eastAsia"/>
          <w:i/>
          <w:iCs/>
          <w:color w:val="FF0000"/>
          <w:highlight w:val="none"/>
          <w:u w:val="single"/>
          <w:lang w:val="en-US" w:eastAsia="zh-CN"/>
        </w:rPr>
        <w:br w:type="page"/>
      </w:r>
    </w:p>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Pr>
        <w:pStyle w:val="3"/>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注：投标人可根据行业具体情况对方案格式进行调整。</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bookmarkStart w:id="132" w:name="_Toc300835233"/>
      <w:bookmarkStart w:id="133" w:name="_Toc271821942"/>
      <w:r>
        <w:rPr>
          <w:rFonts w:hint="eastAsia" w:ascii="Times New Roman" w:hAnsi="Times New Roman" w:cs="Times New Roman"/>
          <w:highlight w:val="none"/>
          <w:lang w:val="en-US" w:eastAsia="zh-CN"/>
        </w:rPr>
        <w:t>六</w:t>
      </w:r>
      <w:r>
        <w:rPr>
          <w:rFonts w:hint="default" w:ascii="Times New Roman" w:hAnsi="Times New Roman" w:cs="Times New Roman"/>
          <w:highlight w:val="none"/>
        </w:rPr>
        <w:t>、其他资料</w:t>
      </w:r>
      <w:bookmarkEnd w:id="132"/>
      <w:bookmarkEnd w:id="133"/>
    </w:p>
    <w:p>
      <w:pPr>
        <w:ind w:firstLine="420" w:firstLineChars="200"/>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p>
    <w:bookmarkEnd w:id="134"/>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2609D3"/>
    <w:rsid w:val="002C069E"/>
    <w:rsid w:val="0040224D"/>
    <w:rsid w:val="004361C0"/>
    <w:rsid w:val="00473419"/>
    <w:rsid w:val="00733B0B"/>
    <w:rsid w:val="00746178"/>
    <w:rsid w:val="00764376"/>
    <w:rsid w:val="00796B76"/>
    <w:rsid w:val="00850CC0"/>
    <w:rsid w:val="008A465F"/>
    <w:rsid w:val="00A718A6"/>
    <w:rsid w:val="00B00F2F"/>
    <w:rsid w:val="00B07197"/>
    <w:rsid w:val="00B7173A"/>
    <w:rsid w:val="00C81162"/>
    <w:rsid w:val="00E431F7"/>
    <w:rsid w:val="00FF308E"/>
    <w:rsid w:val="011D0233"/>
    <w:rsid w:val="011E6004"/>
    <w:rsid w:val="01265F82"/>
    <w:rsid w:val="0145105E"/>
    <w:rsid w:val="01477ECF"/>
    <w:rsid w:val="015366DE"/>
    <w:rsid w:val="017D6531"/>
    <w:rsid w:val="01891D75"/>
    <w:rsid w:val="019846E3"/>
    <w:rsid w:val="019A0D37"/>
    <w:rsid w:val="01AC09B9"/>
    <w:rsid w:val="01BC6192"/>
    <w:rsid w:val="01BF5196"/>
    <w:rsid w:val="01CB0CDF"/>
    <w:rsid w:val="01CD2334"/>
    <w:rsid w:val="01E140D3"/>
    <w:rsid w:val="01F16263"/>
    <w:rsid w:val="01FB5FA7"/>
    <w:rsid w:val="02016132"/>
    <w:rsid w:val="021323E7"/>
    <w:rsid w:val="021D348F"/>
    <w:rsid w:val="02562B11"/>
    <w:rsid w:val="026E5FAB"/>
    <w:rsid w:val="02983D41"/>
    <w:rsid w:val="02A31129"/>
    <w:rsid w:val="02A46690"/>
    <w:rsid w:val="02AC508C"/>
    <w:rsid w:val="02BE075F"/>
    <w:rsid w:val="02C62A0C"/>
    <w:rsid w:val="02D15F15"/>
    <w:rsid w:val="02F4317E"/>
    <w:rsid w:val="03067649"/>
    <w:rsid w:val="0324584F"/>
    <w:rsid w:val="032652C7"/>
    <w:rsid w:val="033964DC"/>
    <w:rsid w:val="035021B2"/>
    <w:rsid w:val="03696450"/>
    <w:rsid w:val="038A58DF"/>
    <w:rsid w:val="038E65F9"/>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4FA424D"/>
    <w:rsid w:val="050252F6"/>
    <w:rsid w:val="055625ED"/>
    <w:rsid w:val="0572490A"/>
    <w:rsid w:val="057E3D65"/>
    <w:rsid w:val="058253F2"/>
    <w:rsid w:val="05872EB9"/>
    <w:rsid w:val="05933026"/>
    <w:rsid w:val="05AE58A6"/>
    <w:rsid w:val="05BA17C0"/>
    <w:rsid w:val="05C166EB"/>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526A3"/>
    <w:rsid w:val="07A85930"/>
    <w:rsid w:val="07B16EC0"/>
    <w:rsid w:val="07E80040"/>
    <w:rsid w:val="07EE56D8"/>
    <w:rsid w:val="08135F8A"/>
    <w:rsid w:val="081A64E8"/>
    <w:rsid w:val="081C6FE3"/>
    <w:rsid w:val="083726B7"/>
    <w:rsid w:val="0838660F"/>
    <w:rsid w:val="0844736D"/>
    <w:rsid w:val="08554A0D"/>
    <w:rsid w:val="08563EE1"/>
    <w:rsid w:val="085A456E"/>
    <w:rsid w:val="086D3DA1"/>
    <w:rsid w:val="08774BE1"/>
    <w:rsid w:val="088F58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94B82"/>
    <w:rsid w:val="0ADD0DF0"/>
    <w:rsid w:val="0AE12CD3"/>
    <w:rsid w:val="0AE617F3"/>
    <w:rsid w:val="0AEB40E8"/>
    <w:rsid w:val="0B01634C"/>
    <w:rsid w:val="0B2810DB"/>
    <w:rsid w:val="0B31356D"/>
    <w:rsid w:val="0B416906"/>
    <w:rsid w:val="0B44058A"/>
    <w:rsid w:val="0B5D1C2A"/>
    <w:rsid w:val="0B685C3C"/>
    <w:rsid w:val="0B7202E7"/>
    <w:rsid w:val="0B725051"/>
    <w:rsid w:val="0B861E93"/>
    <w:rsid w:val="0B8C63AF"/>
    <w:rsid w:val="0B991D46"/>
    <w:rsid w:val="0B9E2A8E"/>
    <w:rsid w:val="0B9F686D"/>
    <w:rsid w:val="0BB82A2B"/>
    <w:rsid w:val="0BC67521"/>
    <w:rsid w:val="0BC817F0"/>
    <w:rsid w:val="0C110CA2"/>
    <w:rsid w:val="0C12441A"/>
    <w:rsid w:val="0C175AC8"/>
    <w:rsid w:val="0C364F9E"/>
    <w:rsid w:val="0C7715CE"/>
    <w:rsid w:val="0C773477"/>
    <w:rsid w:val="0C774ACE"/>
    <w:rsid w:val="0C905D65"/>
    <w:rsid w:val="0C9F113B"/>
    <w:rsid w:val="0CAF0053"/>
    <w:rsid w:val="0CD3448B"/>
    <w:rsid w:val="0CF072F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57869"/>
    <w:rsid w:val="0DD331D8"/>
    <w:rsid w:val="0DDB677F"/>
    <w:rsid w:val="0DE90B73"/>
    <w:rsid w:val="0E05197A"/>
    <w:rsid w:val="0E093A81"/>
    <w:rsid w:val="0E1201C4"/>
    <w:rsid w:val="0E233005"/>
    <w:rsid w:val="0E3C08A3"/>
    <w:rsid w:val="0E493D37"/>
    <w:rsid w:val="0E5C46C9"/>
    <w:rsid w:val="0E62402D"/>
    <w:rsid w:val="0E626142"/>
    <w:rsid w:val="0E6D2ED0"/>
    <w:rsid w:val="0E6D3EE4"/>
    <w:rsid w:val="0E73304D"/>
    <w:rsid w:val="0E766E25"/>
    <w:rsid w:val="0E8168AC"/>
    <w:rsid w:val="0E92031F"/>
    <w:rsid w:val="0E9601D9"/>
    <w:rsid w:val="0EAE6C58"/>
    <w:rsid w:val="0EB07759"/>
    <w:rsid w:val="0EBD5C4C"/>
    <w:rsid w:val="0EDF4D5E"/>
    <w:rsid w:val="0EF860F0"/>
    <w:rsid w:val="0F024085"/>
    <w:rsid w:val="0F1438EF"/>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A52C4"/>
    <w:rsid w:val="12655D96"/>
    <w:rsid w:val="126E70A7"/>
    <w:rsid w:val="1288540A"/>
    <w:rsid w:val="128E3C38"/>
    <w:rsid w:val="12981122"/>
    <w:rsid w:val="129E250A"/>
    <w:rsid w:val="12BF2922"/>
    <w:rsid w:val="12C942C8"/>
    <w:rsid w:val="12DC5F5E"/>
    <w:rsid w:val="12DC7F8C"/>
    <w:rsid w:val="12E2251E"/>
    <w:rsid w:val="12E82A0B"/>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B17E0"/>
    <w:rsid w:val="13D0213F"/>
    <w:rsid w:val="13D35238"/>
    <w:rsid w:val="13D81B1F"/>
    <w:rsid w:val="13ED6E9B"/>
    <w:rsid w:val="14061B66"/>
    <w:rsid w:val="142B5FE2"/>
    <w:rsid w:val="142C3159"/>
    <w:rsid w:val="14542872"/>
    <w:rsid w:val="147E2423"/>
    <w:rsid w:val="1487273A"/>
    <w:rsid w:val="148C28CB"/>
    <w:rsid w:val="14944440"/>
    <w:rsid w:val="14A059A0"/>
    <w:rsid w:val="14B87DF7"/>
    <w:rsid w:val="14B97B05"/>
    <w:rsid w:val="14CD31B9"/>
    <w:rsid w:val="14D32567"/>
    <w:rsid w:val="14DA6BBE"/>
    <w:rsid w:val="14E1249F"/>
    <w:rsid w:val="14E67563"/>
    <w:rsid w:val="14EE304A"/>
    <w:rsid w:val="14EF5C0E"/>
    <w:rsid w:val="15021B62"/>
    <w:rsid w:val="150A21BA"/>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F10D3"/>
    <w:rsid w:val="1657571E"/>
    <w:rsid w:val="166266B1"/>
    <w:rsid w:val="166A29CC"/>
    <w:rsid w:val="16822D4F"/>
    <w:rsid w:val="16A27192"/>
    <w:rsid w:val="16AE5D39"/>
    <w:rsid w:val="16C724D4"/>
    <w:rsid w:val="16D411E7"/>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3D465D"/>
    <w:rsid w:val="193D4E12"/>
    <w:rsid w:val="195419D3"/>
    <w:rsid w:val="19605E78"/>
    <w:rsid w:val="196C4606"/>
    <w:rsid w:val="196C6238"/>
    <w:rsid w:val="196F5FC8"/>
    <w:rsid w:val="197C46C1"/>
    <w:rsid w:val="198A59D6"/>
    <w:rsid w:val="199670EF"/>
    <w:rsid w:val="19A73D74"/>
    <w:rsid w:val="19AA5416"/>
    <w:rsid w:val="19B10C29"/>
    <w:rsid w:val="19CE7FF6"/>
    <w:rsid w:val="19D03EAF"/>
    <w:rsid w:val="19D70C6D"/>
    <w:rsid w:val="19E00B0F"/>
    <w:rsid w:val="19E2271F"/>
    <w:rsid w:val="19ED4AB6"/>
    <w:rsid w:val="19F2030B"/>
    <w:rsid w:val="19F3086D"/>
    <w:rsid w:val="19FF6399"/>
    <w:rsid w:val="1A075570"/>
    <w:rsid w:val="1A0873EE"/>
    <w:rsid w:val="1A1C623A"/>
    <w:rsid w:val="1A222A0A"/>
    <w:rsid w:val="1A270D5F"/>
    <w:rsid w:val="1A2820C6"/>
    <w:rsid w:val="1A4D4CED"/>
    <w:rsid w:val="1A744BB1"/>
    <w:rsid w:val="1A797469"/>
    <w:rsid w:val="1A8850B8"/>
    <w:rsid w:val="1AAB4E9C"/>
    <w:rsid w:val="1AD16359"/>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576A44"/>
    <w:rsid w:val="1D5835F0"/>
    <w:rsid w:val="1D5D4990"/>
    <w:rsid w:val="1D6539B3"/>
    <w:rsid w:val="1D7B6C7A"/>
    <w:rsid w:val="1D8C5045"/>
    <w:rsid w:val="1D9244F8"/>
    <w:rsid w:val="1D931CEA"/>
    <w:rsid w:val="1DA0794B"/>
    <w:rsid w:val="1DB82722"/>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927A94"/>
    <w:rsid w:val="1EA573D8"/>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A6A2E"/>
    <w:rsid w:val="1FC11059"/>
    <w:rsid w:val="1FD41A29"/>
    <w:rsid w:val="1FD608B1"/>
    <w:rsid w:val="1FE570E2"/>
    <w:rsid w:val="1FE7673E"/>
    <w:rsid w:val="200E38F2"/>
    <w:rsid w:val="20151B0B"/>
    <w:rsid w:val="201E585F"/>
    <w:rsid w:val="20207229"/>
    <w:rsid w:val="20410B17"/>
    <w:rsid w:val="20416DDE"/>
    <w:rsid w:val="2049266D"/>
    <w:rsid w:val="20534B67"/>
    <w:rsid w:val="20557DC5"/>
    <w:rsid w:val="205A5C16"/>
    <w:rsid w:val="205B7D6A"/>
    <w:rsid w:val="207C33EE"/>
    <w:rsid w:val="2081342E"/>
    <w:rsid w:val="209740BF"/>
    <w:rsid w:val="2099242E"/>
    <w:rsid w:val="20A055DE"/>
    <w:rsid w:val="20AE5E99"/>
    <w:rsid w:val="20B0411F"/>
    <w:rsid w:val="20D658C9"/>
    <w:rsid w:val="20D95B5B"/>
    <w:rsid w:val="20DC2416"/>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A61686"/>
    <w:rsid w:val="21C13A32"/>
    <w:rsid w:val="21D660F7"/>
    <w:rsid w:val="21EE31A8"/>
    <w:rsid w:val="21EF2288"/>
    <w:rsid w:val="220940EA"/>
    <w:rsid w:val="220A4BCF"/>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3146AE4"/>
    <w:rsid w:val="232E56FD"/>
    <w:rsid w:val="233F5F96"/>
    <w:rsid w:val="235B2F11"/>
    <w:rsid w:val="235F4D23"/>
    <w:rsid w:val="236D4028"/>
    <w:rsid w:val="237A75E1"/>
    <w:rsid w:val="238A4DFC"/>
    <w:rsid w:val="23B04AEE"/>
    <w:rsid w:val="23CA7A4D"/>
    <w:rsid w:val="23DD21F3"/>
    <w:rsid w:val="23DF7B34"/>
    <w:rsid w:val="240C05DA"/>
    <w:rsid w:val="24226CC5"/>
    <w:rsid w:val="24312A4A"/>
    <w:rsid w:val="244A5E9A"/>
    <w:rsid w:val="244C4BB8"/>
    <w:rsid w:val="24691193"/>
    <w:rsid w:val="246C3A46"/>
    <w:rsid w:val="246F1555"/>
    <w:rsid w:val="247152E7"/>
    <w:rsid w:val="24881DAE"/>
    <w:rsid w:val="24BC7675"/>
    <w:rsid w:val="24D8477B"/>
    <w:rsid w:val="24E04616"/>
    <w:rsid w:val="24FF7718"/>
    <w:rsid w:val="251A7612"/>
    <w:rsid w:val="25237A22"/>
    <w:rsid w:val="25285AE1"/>
    <w:rsid w:val="252E0774"/>
    <w:rsid w:val="25481BCE"/>
    <w:rsid w:val="254E3439"/>
    <w:rsid w:val="255453E5"/>
    <w:rsid w:val="255D36DD"/>
    <w:rsid w:val="25812F8D"/>
    <w:rsid w:val="25814DB7"/>
    <w:rsid w:val="25824959"/>
    <w:rsid w:val="25987A23"/>
    <w:rsid w:val="25BC46FF"/>
    <w:rsid w:val="25C00CC8"/>
    <w:rsid w:val="25C517A2"/>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FE679C"/>
    <w:rsid w:val="270E6088"/>
    <w:rsid w:val="272C11C0"/>
    <w:rsid w:val="27301EDB"/>
    <w:rsid w:val="27453115"/>
    <w:rsid w:val="27547EE4"/>
    <w:rsid w:val="276C029F"/>
    <w:rsid w:val="27867E0A"/>
    <w:rsid w:val="27912807"/>
    <w:rsid w:val="27982DD4"/>
    <w:rsid w:val="27B2212B"/>
    <w:rsid w:val="27CC67E7"/>
    <w:rsid w:val="27DD09CE"/>
    <w:rsid w:val="27E20FE5"/>
    <w:rsid w:val="27EC553C"/>
    <w:rsid w:val="27FC05F7"/>
    <w:rsid w:val="280C4BFC"/>
    <w:rsid w:val="2813394B"/>
    <w:rsid w:val="281C1F63"/>
    <w:rsid w:val="281C54D8"/>
    <w:rsid w:val="283610D5"/>
    <w:rsid w:val="284A2CB4"/>
    <w:rsid w:val="285C2948"/>
    <w:rsid w:val="285F5293"/>
    <w:rsid w:val="28622D71"/>
    <w:rsid w:val="286E69FD"/>
    <w:rsid w:val="2874076E"/>
    <w:rsid w:val="28A92CC8"/>
    <w:rsid w:val="28C56178"/>
    <w:rsid w:val="28D51A0C"/>
    <w:rsid w:val="28DF0877"/>
    <w:rsid w:val="28E254C1"/>
    <w:rsid w:val="28E349BC"/>
    <w:rsid w:val="28FA546B"/>
    <w:rsid w:val="28FE025E"/>
    <w:rsid w:val="29224A3E"/>
    <w:rsid w:val="29245F1A"/>
    <w:rsid w:val="29366359"/>
    <w:rsid w:val="29456427"/>
    <w:rsid w:val="29586D7A"/>
    <w:rsid w:val="29772B51"/>
    <w:rsid w:val="29791894"/>
    <w:rsid w:val="2984235F"/>
    <w:rsid w:val="29844E30"/>
    <w:rsid w:val="299400E6"/>
    <w:rsid w:val="29967FD2"/>
    <w:rsid w:val="29972080"/>
    <w:rsid w:val="29A52D8F"/>
    <w:rsid w:val="29B76175"/>
    <w:rsid w:val="29C56C3A"/>
    <w:rsid w:val="29D21D69"/>
    <w:rsid w:val="29D85278"/>
    <w:rsid w:val="29E1380C"/>
    <w:rsid w:val="29E16B08"/>
    <w:rsid w:val="29E85046"/>
    <w:rsid w:val="2A017BFD"/>
    <w:rsid w:val="2A0A71F8"/>
    <w:rsid w:val="2A407EBE"/>
    <w:rsid w:val="2A4913A2"/>
    <w:rsid w:val="2A521C5F"/>
    <w:rsid w:val="2A555F6F"/>
    <w:rsid w:val="2A584956"/>
    <w:rsid w:val="2A5C5810"/>
    <w:rsid w:val="2A651A82"/>
    <w:rsid w:val="2A6D7B04"/>
    <w:rsid w:val="2A9154D8"/>
    <w:rsid w:val="2AA04C57"/>
    <w:rsid w:val="2AD750C3"/>
    <w:rsid w:val="2AE77D08"/>
    <w:rsid w:val="2AEA3011"/>
    <w:rsid w:val="2AF315E7"/>
    <w:rsid w:val="2B1C0596"/>
    <w:rsid w:val="2B200903"/>
    <w:rsid w:val="2B252D72"/>
    <w:rsid w:val="2B357752"/>
    <w:rsid w:val="2B3E0375"/>
    <w:rsid w:val="2B492499"/>
    <w:rsid w:val="2B51391E"/>
    <w:rsid w:val="2B652A8D"/>
    <w:rsid w:val="2B6A2F63"/>
    <w:rsid w:val="2B6C55DB"/>
    <w:rsid w:val="2B720C53"/>
    <w:rsid w:val="2B8A2FFD"/>
    <w:rsid w:val="2B8D5640"/>
    <w:rsid w:val="2BA87533"/>
    <w:rsid w:val="2BBA2DA3"/>
    <w:rsid w:val="2BD90E44"/>
    <w:rsid w:val="2BDE1B83"/>
    <w:rsid w:val="2BF4029C"/>
    <w:rsid w:val="2C1C6937"/>
    <w:rsid w:val="2C202757"/>
    <w:rsid w:val="2C270D43"/>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A32A00"/>
    <w:rsid w:val="2FB1448A"/>
    <w:rsid w:val="2FC802AE"/>
    <w:rsid w:val="2FD03CC2"/>
    <w:rsid w:val="2FD11635"/>
    <w:rsid w:val="2FDC4B15"/>
    <w:rsid w:val="30027B6C"/>
    <w:rsid w:val="30030176"/>
    <w:rsid w:val="301C41BF"/>
    <w:rsid w:val="303048F7"/>
    <w:rsid w:val="30323D63"/>
    <w:rsid w:val="303474C0"/>
    <w:rsid w:val="30350DA4"/>
    <w:rsid w:val="303C233C"/>
    <w:rsid w:val="30536BCF"/>
    <w:rsid w:val="305C41A9"/>
    <w:rsid w:val="306913D4"/>
    <w:rsid w:val="30820205"/>
    <w:rsid w:val="308665CC"/>
    <w:rsid w:val="30883B0A"/>
    <w:rsid w:val="308E41B5"/>
    <w:rsid w:val="30952C59"/>
    <w:rsid w:val="30975EA4"/>
    <w:rsid w:val="30B34C1F"/>
    <w:rsid w:val="30D45A02"/>
    <w:rsid w:val="30EE0209"/>
    <w:rsid w:val="30FF4D69"/>
    <w:rsid w:val="31031D74"/>
    <w:rsid w:val="3113559B"/>
    <w:rsid w:val="311978DB"/>
    <w:rsid w:val="311C5E6A"/>
    <w:rsid w:val="312421F6"/>
    <w:rsid w:val="3127420C"/>
    <w:rsid w:val="31277147"/>
    <w:rsid w:val="313D736E"/>
    <w:rsid w:val="31477BEB"/>
    <w:rsid w:val="315523B1"/>
    <w:rsid w:val="315F79F9"/>
    <w:rsid w:val="31807ACD"/>
    <w:rsid w:val="318318AF"/>
    <w:rsid w:val="318E2BCE"/>
    <w:rsid w:val="3192189F"/>
    <w:rsid w:val="3198056E"/>
    <w:rsid w:val="31A72F29"/>
    <w:rsid w:val="31C83EB4"/>
    <w:rsid w:val="31C97505"/>
    <w:rsid w:val="31CD31BF"/>
    <w:rsid w:val="31DD064B"/>
    <w:rsid w:val="31E10F55"/>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8916BE"/>
    <w:rsid w:val="32974C7A"/>
    <w:rsid w:val="32B865E1"/>
    <w:rsid w:val="32BB4ABE"/>
    <w:rsid w:val="32C8549C"/>
    <w:rsid w:val="32CA16D9"/>
    <w:rsid w:val="32D34F70"/>
    <w:rsid w:val="32DB36D4"/>
    <w:rsid w:val="32E83928"/>
    <w:rsid w:val="32F45590"/>
    <w:rsid w:val="331337B2"/>
    <w:rsid w:val="33227B1F"/>
    <w:rsid w:val="332B4B3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40F56DE"/>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5066F"/>
    <w:rsid w:val="34DD7A9E"/>
    <w:rsid w:val="34E81276"/>
    <w:rsid w:val="34EB3E0C"/>
    <w:rsid w:val="34EC3ED5"/>
    <w:rsid w:val="34ED3DC3"/>
    <w:rsid w:val="34F85DA8"/>
    <w:rsid w:val="3509398E"/>
    <w:rsid w:val="353178AD"/>
    <w:rsid w:val="353A14F3"/>
    <w:rsid w:val="35442A5D"/>
    <w:rsid w:val="3547266B"/>
    <w:rsid w:val="354B62D7"/>
    <w:rsid w:val="3554479E"/>
    <w:rsid w:val="35562720"/>
    <w:rsid w:val="357A69BB"/>
    <w:rsid w:val="357D63E5"/>
    <w:rsid w:val="357F00D0"/>
    <w:rsid w:val="35894506"/>
    <w:rsid w:val="358B7232"/>
    <w:rsid w:val="35A377DB"/>
    <w:rsid w:val="35C44A8D"/>
    <w:rsid w:val="35E7387F"/>
    <w:rsid w:val="35E81F7A"/>
    <w:rsid w:val="35F52BF3"/>
    <w:rsid w:val="36041802"/>
    <w:rsid w:val="360530D8"/>
    <w:rsid w:val="3605698A"/>
    <w:rsid w:val="36162F1C"/>
    <w:rsid w:val="362D4978"/>
    <w:rsid w:val="363277D2"/>
    <w:rsid w:val="36361B1F"/>
    <w:rsid w:val="36582A21"/>
    <w:rsid w:val="36621725"/>
    <w:rsid w:val="366244D5"/>
    <w:rsid w:val="368F357B"/>
    <w:rsid w:val="36A82C1D"/>
    <w:rsid w:val="36B34449"/>
    <w:rsid w:val="36B91ADD"/>
    <w:rsid w:val="36C342D9"/>
    <w:rsid w:val="36C3654A"/>
    <w:rsid w:val="36D64E63"/>
    <w:rsid w:val="370F2E93"/>
    <w:rsid w:val="370F32ED"/>
    <w:rsid w:val="37223E78"/>
    <w:rsid w:val="374E35E0"/>
    <w:rsid w:val="37560CC6"/>
    <w:rsid w:val="376E331C"/>
    <w:rsid w:val="378D0CEB"/>
    <w:rsid w:val="379A026D"/>
    <w:rsid w:val="37A2207E"/>
    <w:rsid w:val="37A2434F"/>
    <w:rsid w:val="37ED32C0"/>
    <w:rsid w:val="37ED6D6E"/>
    <w:rsid w:val="380C3B20"/>
    <w:rsid w:val="3811299F"/>
    <w:rsid w:val="3813029C"/>
    <w:rsid w:val="38422CE2"/>
    <w:rsid w:val="38464281"/>
    <w:rsid w:val="385438E8"/>
    <w:rsid w:val="38664171"/>
    <w:rsid w:val="386E21B0"/>
    <w:rsid w:val="38AE496C"/>
    <w:rsid w:val="38B54D45"/>
    <w:rsid w:val="38B7072B"/>
    <w:rsid w:val="38D242CD"/>
    <w:rsid w:val="38DC6FB6"/>
    <w:rsid w:val="39021924"/>
    <w:rsid w:val="390D4FD6"/>
    <w:rsid w:val="391762C0"/>
    <w:rsid w:val="391F6B09"/>
    <w:rsid w:val="39324B9F"/>
    <w:rsid w:val="393E0C7A"/>
    <w:rsid w:val="39470BCD"/>
    <w:rsid w:val="39821F75"/>
    <w:rsid w:val="398B5520"/>
    <w:rsid w:val="398C3DB7"/>
    <w:rsid w:val="39A27A80"/>
    <w:rsid w:val="39AB6275"/>
    <w:rsid w:val="39B63539"/>
    <w:rsid w:val="39C52E4C"/>
    <w:rsid w:val="39E02140"/>
    <w:rsid w:val="39E17621"/>
    <w:rsid w:val="39F227B1"/>
    <w:rsid w:val="39F97ADB"/>
    <w:rsid w:val="3A151290"/>
    <w:rsid w:val="3A201663"/>
    <w:rsid w:val="3A292038"/>
    <w:rsid w:val="3A4B40BE"/>
    <w:rsid w:val="3A524E6B"/>
    <w:rsid w:val="3A5E4DE2"/>
    <w:rsid w:val="3A7164C9"/>
    <w:rsid w:val="3A762A49"/>
    <w:rsid w:val="3A826354"/>
    <w:rsid w:val="3A9D28F5"/>
    <w:rsid w:val="3AB53AE3"/>
    <w:rsid w:val="3AB80239"/>
    <w:rsid w:val="3ABA012D"/>
    <w:rsid w:val="3ABF5534"/>
    <w:rsid w:val="3ACD0EA1"/>
    <w:rsid w:val="3ACD43C9"/>
    <w:rsid w:val="3AFF2C64"/>
    <w:rsid w:val="3B0563C8"/>
    <w:rsid w:val="3B2B107F"/>
    <w:rsid w:val="3B2F69DB"/>
    <w:rsid w:val="3B5E1380"/>
    <w:rsid w:val="3B79226F"/>
    <w:rsid w:val="3B8B32F9"/>
    <w:rsid w:val="3B904834"/>
    <w:rsid w:val="3B932344"/>
    <w:rsid w:val="3B963B4D"/>
    <w:rsid w:val="3B9B2E63"/>
    <w:rsid w:val="3B9D20F5"/>
    <w:rsid w:val="3BB33F88"/>
    <w:rsid w:val="3BD81B44"/>
    <w:rsid w:val="3BD91520"/>
    <w:rsid w:val="3BD93153"/>
    <w:rsid w:val="3BDA6996"/>
    <w:rsid w:val="3C0A3047"/>
    <w:rsid w:val="3C187054"/>
    <w:rsid w:val="3C2E50FB"/>
    <w:rsid w:val="3C37637A"/>
    <w:rsid w:val="3C4A12AD"/>
    <w:rsid w:val="3C5125FC"/>
    <w:rsid w:val="3C5D4C2E"/>
    <w:rsid w:val="3C690ECB"/>
    <w:rsid w:val="3C860AC6"/>
    <w:rsid w:val="3C953A7D"/>
    <w:rsid w:val="3C960BC8"/>
    <w:rsid w:val="3C9848A1"/>
    <w:rsid w:val="3C9B05BB"/>
    <w:rsid w:val="3CA509B7"/>
    <w:rsid w:val="3CA509D1"/>
    <w:rsid w:val="3CAD3E58"/>
    <w:rsid w:val="3CD537E6"/>
    <w:rsid w:val="3CD93879"/>
    <w:rsid w:val="3CE728EF"/>
    <w:rsid w:val="3CE93C13"/>
    <w:rsid w:val="3CFB64F6"/>
    <w:rsid w:val="3D2571D3"/>
    <w:rsid w:val="3D29787E"/>
    <w:rsid w:val="3D3074C1"/>
    <w:rsid w:val="3D317B2F"/>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CB6A21"/>
    <w:rsid w:val="3EF62661"/>
    <w:rsid w:val="3F1643E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4470DB"/>
    <w:rsid w:val="4045084B"/>
    <w:rsid w:val="404C2292"/>
    <w:rsid w:val="405D572D"/>
    <w:rsid w:val="407E7B1F"/>
    <w:rsid w:val="408D1EA0"/>
    <w:rsid w:val="408E2DBF"/>
    <w:rsid w:val="4097054A"/>
    <w:rsid w:val="40982E53"/>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DB03CE"/>
    <w:rsid w:val="41F05895"/>
    <w:rsid w:val="420155A5"/>
    <w:rsid w:val="420C70DA"/>
    <w:rsid w:val="42160B59"/>
    <w:rsid w:val="4224405E"/>
    <w:rsid w:val="42255F1B"/>
    <w:rsid w:val="4226611D"/>
    <w:rsid w:val="42370B89"/>
    <w:rsid w:val="424347C6"/>
    <w:rsid w:val="4252208C"/>
    <w:rsid w:val="425402BB"/>
    <w:rsid w:val="42564ADA"/>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325808"/>
    <w:rsid w:val="433E1CAF"/>
    <w:rsid w:val="43412297"/>
    <w:rsid w:val="43413ED4"/>
    <w:rsid w:val="43594499"/>
    <w:rsid w:val="43636C3F"/>
    <w:rsid w:val="4364610B"/>
    <w:rsid w:val="436E5353"/>
    <w:rsid w:val="437676AE"/>
    <w:rsid w:val="438073DF"/>
    <w:rsid w:val="438903A1"/>
    <w:rsid w:val="439D6340"/>
    <w:rsid w:val="43A641D6"/>
    <w:rsid w:val="43F94FC9"/>
    <w:rsid w:val="43FD7280"/>
    <w:rsid w:val="440242B8"/>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8E57A6"/>
    <w:rsid w:val="44A72CB4"/>
    <w:rsid w:val="44B15C19"/>
    <w:rsid w:val="44D243AA"/>
    <w:rsid w:val="44DC0CFE"/>
    <w:rsid w:val="44DC4FCA"/>
    <w:rsid w:val="44E15547"/>
    <w:rsid w:val="44EA12B2"/>
    <w:rsid w:val="44FD1C6D"/>
    <w:rsid w:val="45051DF1"/>
    <w:rsid w:val="451231AD"/>
    <w:rsid w:val="453E4B66"/>
    <w:rsid w:val="453F207E"/>
    <w:rsid w:val="454276A8"/>
    <w:rsid w:val="45465AD9"/>
    <w:rsid w:val="45536A05"/>
    <w:rsid w:val="4576268A"/>
    <w:rsid w:val="4577723A"/>
    <w:rsid w:val="457A6C83"/>
    <w:rsid w:val="457D1209"/>
    <w:rsid w:val="45A31600"/>
    <w:rsid w:val="45E526C2"/>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763AFA"/>
    <w:rsid w:val="467C25DE"/>
    <w:rsid w:val="469438D3"/>
    <w:rsid w:val="46A86AC5"/>
    <w:rsid w:val="46AF0ACC"/>
    <w:rsid w:val="46CD2EA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1D4366"/>
    <w:rsid w:val="485803F1"/>
    <w:rsid w:val="485E2E16"/>
    <w:rsid w:val="4865215C"/>
    <w:rsid w:val="486942C4"/>
    <w:rsid w:val="487B552A"/>
    <w:rsid w:val="48842F37"/>
    <w:rsid w:val="48996690"/>
    <w:rsid w:val="48AB0368"/>
    <w:rsid w:val="48B05292"/>
    <w:rsid w:val="48B33700"/>
    <w:rsid w:val="48B4426F"/>
    <w:rsid w:val="48B971DC"/>
    <w:rsid w:val="48CE2BF3"/>
    <w:rsid w:val="48D4605A"/>
    <w:rsid w:val="48ED10C6"/>
    <w:rsid w:val="48EF6487"/>
    <w:rsid w:val="48F556EA"/>
    <w:rsid w:val="490010B1"/>
    <w:rsid w:val="490C5EF7"/>
    <w:rsid w:val="491946D3"/>
    <w:rsid w:val="4924047E"/>
    <w:rsid w:val="4924100D"/>
    <w:rsid w:val="49276380"/>
    <w:rsid w:val="49406C83"/>
    <w:rsid w:val="4948117F"/>
    <w:rsid w:val="494B0B0D"/>
    <w:rsid w:val="497E20AD"/>
    <w:rsid w:val="49820EB7"/>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9595B"/>
    <w:rsid w:val="4AE97387"/>
    <w:rsid w:val="4AF6154C"/>
    <w:rsid w:val="4AF93EAE"/>
    <w:rsid w:val="4B197B96"/>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B374D5"/>
    <w:rsid w:val="4CDE4416"/>
    <w:rsid w:val="4D082D34"/>
    <w:rsid w:val="4D1C2C8C"/>
    <w:rsid w:val="4D1E77BE"/>
    <w:rsid w:val="4D245FC5"/>
    <w:rsid w:val="4D2B3B2C"/>
    <w:rsid w:val="4D333D9B"/>
    <w:rsid w:val="4D8051B1"/>
    <w:rsid w:val="4DA943B0"/>
    <w:rsid w:val="4DB75561"/>
    <w:rsid w:val="4DC515BB"/>
    <w:rsid w:val="4DCB5984"/>
    <w:rsid w:val="4DD64458"/>
    <w:rsid w:val="4DDD243C"/>
    <w:rsid w:val="4DE501B6"/>
    <w:rsid w:val="4E10792A"/>
    <w:rsid w:val="4E135BFA"/>
    <w:rsid w:val="4E1B2DDB"/>
    <w:rsid w:val="4E1F235E"/>
    <w:rsid w:val="4E213391"/>
    <w:rsid w:val="4E250E8C"/>
    <w:rsid w:val="4E3240E0"/>
    <w:rsid w:val="4E355E12"/>
    <w:rsid w:val="4E386CE7"/>
    <w:rsid w:val="4E580839"/>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31789"/>
    <w:rsid w:val="4EF43B16"/>
    <w:rsid w:val="4F121E3A"/>
    <w:rsid w:val="4F135FF8"/>
    <w:rsid w:val="4F1646F3"/>
    <w:rsid w:val="4F1E3B69"/>
    <w:rsid w:val="4F1F6B17"/>
    <w:rsid w:val="4F2B6C13"/>
    <w:rsid w:val="4F3153D3"/>
    <w:rsid w:val="4F5F3ED1"/>
    <w:rsid w:val="4F605B14"/>
    <w:rsid w:val="4F804E7C"/>
    <w:rsid w:val="4F85516A"/>
    <w:rsid w:val="4F944D8F"/>
    <w:rsid w:val="4FC215D0"/>
    <w:rsid w:val="4FC2327B"/>
    <w:rsid w:val="4FCA5221"/>
    <w:rsid w:val="4FEA7FBD"/>
    <w:rsid w:val="4FED0FB9"/>
    <w:rsid w:val="50245208"/>
    <w:rsid w:val="50285EE6"/>
    <w:rsid w:val="50315512"/>
    <w:rsid w:val="504430D6"/>
    <w:rsid w:val="505F23BC"/>
    <w:rsid w:val="505F4513"/>
    <w:rsid w:val="50697ABC"/>
    <w:rsid w:val="507410D2"/>
    <w:rsid w:val="509B702F"/>
    <w:rsid w:val="50A4392E"/>
    <w:rsid w:val="50A97681"/>
    <w:rsid w:val="50AE3B94"/>
    <w:rsid w:val="50AF7418"/>
    <w:rsid w:val="50C600F2"/>
    <w:rsid w:val="50C93813"/>
    <w:rsid w:val="50D03252"/>
    <w:rsid w:val="50E93575"/>
    <w:rsid w:val="50F01039"/>
    <w:rsid w:val="50F04D4E"/>
    <w:rsid w:val="50F41527"/>
    <w:rsid w:val="50F57385"/>
    <w:rsid w:val="50F6016F"/>
    <w:rsid w:val="50FB1FB9"/>
    <w:rsid w:val="51132FF4"/>
    <w:rsid w:val="51151213"/>
    <w:rsid w:val="51221043"/>
    <w:rsid w:val="513225F9"/>
    <w:rsid w:val="513F5114"/>
    <w:rsid w:val="51440384"/>
    <w:rsid w:val="51567BE2"/>
    <w:rsid w:val="515E6A1B"/>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20B66FC"/>
    <w:rsid w:val="52160A43"/>
    <w:rsid w:val="521A0101"/>
    <w:rsid w:val="52241967"/>
    <w:rsid w:val="522B06FD"/>
    <w:rsid w:val="522D1CB6"/>
    <w:rsid w:val="52382896"/>
    <w:rsid w:val="52444C58"/>
    <w:rsid w:val="525F45E4"/>
    <w:rsid w:val="5263075C"/>
    <w:rsid w:val="52660A26"/>
    <w:rsid w:val="52712F73"/>
    <w:rsid w:val="52717995"/>
    <w:rsid w:val="528315FB"/>
    <w:rsid w:val="5292030F"/>
    <w:rsid w:val="52990759"/>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E49C6"/>
    <w:rsid w:val="551239AB"/>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655E0A"/>
    <w:rsid w:val="56677ADA"/>
    <w:rsid w:val="568043DC"/>
    <w:rsid w:val="56905C55"/>
    <w:rsid w:val="569452B5"/>
    <w:rsid w:val="56A010C0"/>
    <w:rsid w:val="56A060CF"/>
    <w:rsid w:val="56A91B6A"/>
    <w:rsid w:val="56AA3F63"/>
    <w:rsid w:val="56B96B8E"/>
    <w:rsid w:val="56C747B5"/>
    <w:rsid w:val="56CC4101"/>
    <w:rsid w:val="56D42684"/>
    <w:rsid w:val="56D53135"/>
    <w:rsid w:val="56DD2471"/>
    <w:rsid w:val="56E66BFA"/>
    <w:rsid w:val="57106F36"/>
    <w:rsid w:val="57181EE6"/>
    <w:rsid w:val="57210A6D"/>
    <w:rsid w:val="5744214A"/>
    <w:rsid w:val="574B480A"/>
    <w:rsid w:val="57501AFE"/>
    <w:rsid w:val="57543081"/>
    <w:rsid w:val="57672958"/>
    <w:rsid w:val="57766D80"/>
    <w:rsid w:val="5789649C"/>
    <w:rsid w:val="579A51C2"/>
    <w:rsid w:val="579E5199"/>
    <w:rsid w:val="57A373F0"/>
    <w:rsid w:val="57AC104F"/>
    <w:rsid w:val="57B12989"/>
    <w:rsid w:val="57C31CF0"/>
    <w:rsid w:val="57C83C57"/>
    <w:rsid w:val="57CF7F96"/>
    <w:rsid w:val="57E225F6"/>
    <w:rsid w:val="57E633B4"/>
    <w:rsid w:val="57EC2A0C"/>
    <w:rsid w:val="57F637B3"/>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D4157"/>
    <w:rsid w:val="589B5B2C"/>
    <w:rsid w:val="58AE77D0"/>
    <w:rsid w:val="58E8415E"/>
    <w:rsid w:val="58FF1A45"/>
    <w:rsid w:val="59092BF1"/>
    <w:rsid w:val="591C580B"/>
    <w:rsid w:val="591D1D24"/>
    <w:rsid w:val="5926497A"/>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D02EE"/>
    <w:rsid w:val="5C295CCC"/>
    <w:rsid w:val="5C345941"/>
    <w:rsid w:val="5C381A3A"/>
    <w:rsid w:val="5C403F04"/>
    <w:rsid w:val="5C433F68"/>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02FC3"/>
    <w:rsid w:val="5ECD4059"/>
    <w:rsid w:val="5EDF337C"/>
    <w:rsid w:val="5EF83794"/>
    <w:rsid w:val="5F0173CC"/>
    <w:rsid w:val="5F1A1A93"/>
    <w:rsid w:val="5F212DE2"/>
    <w:rsid w:val="5F287F7E"/>
    <w:rsid w:val="5F475677"/>
    <w:rsid w:val="5F484198"/>
    <w:rsid w:val="5F567498"/>
    <w:rsid w:val="5F8420E2"/>
    <w:rsid w:val="5F887220"/>
    <w:rsid w:val="5F9022AB"/>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210A89"/>
    <w:rsid w:val="62285DB7"/>
    <w:rsid w:val="62297B7B"/>
    <w:rsid w:val="6232347D"/>
    <w:rsid w:val="623613F4"/>
    <w:rsid w:val="62367ED8"/>
    <w:rsid w:val="62641203"/>
    <w:rsid w:val="626857C6"/>
    <w:rsid w:val="62923991"/>
    <w:rsid w:val="62A34267"/>
    <w:rsid w:val="62BB078B"/>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A445C5"/>
    <w:rsid w:val="63AB78F4"/>
    <w:rsid w:val="63C642C7"/>
    <w:rsid w:val="63C85688"/>
    <w:rsid w:val="63CD5666"/>
    <w:rsid w:val="63D01EF3"/>
    <w:rsid w:val="63D2038C"/>
    <w:rsid w:val="63E631E1"/>
    <w:rsid w:val="63E72800"/>
    <w:rsid w:val="63F66CE6"/>
    <w:rsid w:val="640E7E19"/>
    <w:rsid w:val="64477F3F"/>
    <w:rsid w:val="646E7E14"/>
    <w:rsid w:val="64745DFC"/>
    <w:rsid w:val="647527CB"/>
    <w:rsid w:val="648A0F84"/>
    <w:rsid w:val="648E4974"/>
    <w:rsid w:val="648F4377"/>
    <w:rsid w:val="649E65A7"/>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95292"/>
    <w:rsid w:val="65B74A52"/>
    <w:rsid w:val="65B87761"/>
    <w:rsid w:val="65BD55BD"/>
    <w:rsid w:val="65C1273E"/>
    <w:rsid w:val="65C53449"/>
    <w:rsid w:val="65DA55D1"/>
    <w:rsid w:val="65E72587"/>
    <w:rsid w:val="65E770A7"/>
    <w:rsid w:val="65F27286"/>
    <w:rsid w:val="6602655A"/>
    <w:rsid w:val="66037BA1"/>
    <w:rsid w:val="660D45C7"/>
    <w:rsid w:val="661E771B"/>
    <w:rsid w:val="66280ABB"/>
    <w:rsid w:val="66404155"/>
    <w:rsid w:val="665B7005"/>
    <w:rsid w:val="66604912"/>
    <w:rsid w:val="666717B3"/>
    <w:rsid w:val="6668032B"/>
    <w:rsid w:val="66682D97"/>
    <w:rsid w:val="667C4290"/>
    <w:rsid w:val="668569A3"/>
    <w:rsid w:val="669C13AC"/>
    <w:rsid w:val="66A87132"/>
    <w:rsid w:val="66B1624D"/>
    <w:rsid w:val="66C95898"/>
    <w:rsid w:val="66DC2CB9"/>
    <w:rsid w:val="66F8201A"/>
    <w:rsid w:val="66FF1E1B"/>
    <w:rsid w:val="671C5A04"/>
    <w:rsid w:val="6734528A"/>
    <w:rsid w:val="673F01D2"/>
    <w:rsid w:val="676777C3"/>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556FC7"/>
    <w:rsid w:val="685C5B46"/>
    <w:rsid w:val="688C0656"/>
    <w:rsid w:val="689B166D"/>
    <w:rsid w:val="68A477EF"/>
    <w:rsid w:val="68AE1735"/>
    <w:rsid w:val="68B037E5"/>
    <w:rsid w:val="68B16F4B"/>
    <w:rsid w:val="68B72950"/>
    <w:rsid w:val="68D10AC8"/>
    <w:rsid w:val="68D60630"/>
    <w:rsid w:val="68ED7332"/>
    <w:rsid w:val="68F8555D"/>
    <w:rsid w:val="691D712E"/>
    <w:rsid w:val="69214FE0"/>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694BA1"/>
    <w:rsid w:val="6A734205"/>
    <w:rsid w:val="6AB51195"/>
    <w:rsid w:val="6ABC3292"/>
    <w:rsid w:val="6AC04F0B"/>
    <w:rsid w:val="6AD34458"/>
    <w:rsid w:val="6ADC4801"/>
    <w:rsid w:val="6ADF25FC"/>
    <w:rsid w:val="6AF179D8"/>
    <w:rsid w:val="6AF9720B"/>
    <w:rsid w:val="6AFA1E66"/>
    <w:rsid w:val="6AFF22DC"/>
    <w:rsid w:val="6B020CD0"/>
    <w:rsid w:val="6B0B4870"/>
    <w:rsid w:val="6B1148AC"/>
    <w:rsid w:val="6B2E0190"/>
    <w:rsid w:val="6B3E0351"/>
    <w:rsid w:val="6B42449D"/>
    <w:rsid w:val="6B4A5562"/>
    <w:rsid w:val="6B565807"/>
    <w:rsid w:val="6B7A369F"/>
    <w:rsid w:val="6B942656"/>
    <w:rsid w:val="6BAC2823"/>
    <w:rsid w:val="6BBB682B"/>
    <w:rsid w:val="6BBD5024"/>
    <w:rsid w:val="6BEB455F"/>
    <w:rsid w:val="6BF37DF1"/>
    <w:rsid w:val="6BFA3189"/>
    <w:rsid w:val="6C0B4C1B"/>
    <w:rsid w:val="6C3468D1"/>
    <w:rsid w:val="6C546532"/>
    <w:rsid w:val="6C630CE9"/>
    <w:rsid w:val="6C8A28F0"/>
    <w:rsid w:val="6C914CAA"/>
    <w:rsid w:val="6C9A6912"/>
    <w:rsid w:val="6CC17B62"/>
    <w:rsid w:val="6CEC0F34"/>
    <w:rsid w:val="6CEF01FA"/>
    <w:rsid w:val="6CF73CA4"/>
    <w:rsid w:val="6D005FF7"/>
    <w:rsid w:val="6D05105B"/>
    <w:rsid w:val="6D055E78"/>
    <w:rsid w:val="6D1D68D4"/>
    <w:rsid w:val="6D207FCD"/>
    <w:rsid w:val="6D280C36"/>
    <w:rsid w:val="6D286C4C"/>
    <w:rsid w:val="6D2B534E"/>
    <w:rsid w:val="6D2B5B01"/>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292B"/>
    <w:rsid w:val="6E2013CD"/>
    <w:rsid w:val="6E3D395A"/>
    <w:rsid w:val="6E402C35"/>
    <w:rsid w:val="6E403BCF"/>
    <w:rsid w:val="6E424CF7"/>
    <w:rsid w:val="6E96703D"/>
    <w:rsid w:val="6E984122"/>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62D02"/>
    <w:rsid w:val="70B21D55"/>
    <w:rsid w:val="70BA4068"/>
    <w:rsid w:val="70D52876"/>
    <w:rsid w:val="70D77F1A"/>
    <w:rsid w:val="70D80040"/>
    <w:rsid w:val="70E96559"/>
    <w:rsid w:val="70F06D61"/>
    <w:rsid w:val="70F36F46"/>
    <w:rsid w:val="70FC142B"/>
    <w:rsid w:val="71101175"/>
    <w:rsid w:val="71231B23"/>
    <w:rsid w:val="71343C14"/>
    <w:rsid w:val="713B214A"/>
    <w:rsid w:val="714633CE"/>
    <w:rsid w:val="716241B1"/>
    <w:rsid w:val="716E1428"/>
    <w:rsid w:val="7178159F"/>
    <w:rsid w:val="718621EE"/>
    <w:rsid w:val="71894FD2"/>
    <w:rsid w:val="71A3311F"/>
    <w:rsid w:val="71AA4E1C"/>
    <w:rsid w:val="71C63066"/>
    <w:rsid w:val="71F8619A"/>
    <w:rsid w:val="72005730"/>
    <w:rsid w:val="72280301"/>
    <w:rsid w:val="7231753D"/>
    <w:rsid w:val="72386C6E"/>
    <w:rsid w:val="723A3057"/>
    <w:rsid w:val="72400885"/>
    <w:rsid w:val="724B6026"/>
    <w:rsid w:val="725273EA"/>
    <w:rsid w:val="725B1897"/>
    <w:rsid w:val="725F5B3C"/>
    <w:rsid w:val="72603689"/>
    <w:rsid w:val="726C47BC"/>
    <w:rsid w:val="72CD2240"/>
    <w:rsid w:val="72DC19E2"/>
    <w:rsid w:val="72DC648D"/>
    <w:rsid w:val="72E420AF"/>
    <w:rsid w:val="72E530D5"/>
    <w:rsid w:val="72EC4E12"/>
    <w:rsid w:val="72ED6A5A"/>
    <w:rsid w:val="72EF2AE7"/>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B697B"/>
    <w:rsid w:val="74000D97"/>
    <w:rsid w:val="742D3750"/>
    <w:rsid w:val="74310474"/>
    <w:rsid w:val="74476A96"/>
    <w:rsid w:val="74694C3B"/>
    <w:rsid w:val="746A6AAD"/>
    <w:rsid w:val="746D246B"/>
    <w:rsid w:val="747141DE"/>
    <w:rsid w:val="747A4FBC"/>
    <w:rsid w:val="748B466B"/>
    <w:rsid w:val="74CC4EFB"/>
    <w:rsid w:val="74D469D0"/>
    <w:rsid w:val="74D613EF"/>
    <w:rsid w:val="74D94903"/>
    <w:rsid w:val="74DC7834"/>
    <w:rsid w:val="74E271F1"/>
    <w:rsid w:val="74F914E4"/>
    <w:rsid w:val="75197F39"/>
    <w:rsid w:val="75326EC3"/>
    <w:rsid w:val="754D60F6"/>
    <w:rsid w:val="7551327B"/>
    <w:rsid w:val="7556240C"/>
    <w:rsid w:val="755D51F1"/>
    <w:rsid w:val="755E0C01"/>
    <w:rsid w:val="755F3E02"/>
    <w:rsid w:val="755F782E"/>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88585F"/>
    <w:rsid w:val="76933A35"/>
    <w:rsid w:val="769E1EF1"/>
    <w:rsid w:val="76BE3027"/>
    <w:rsid w:val="76CA616D"/>
    <w:rsid w:val="76DF0E9A"/>
    <w:rsid w:val="76E2778E"/>
    <w:rsid w:val="76F54CF0"/>
    <w:rsid w:val="76FD5906"/>
    <w:rsid w:val="77072866"/>
    <w:rsid w:val="770B684E"/>
    <w:rsid w:val="771D50F3"/>
    <w:rsid w:val="771F1990"/>
    <w:rsid w:val="77204CB1"/>
    <w:rsid w:val="77432F5D"/>
    <w:rsid w:val="77676DD8"/>
    <w:rsid w:val="776D12D7"/>
    <w:rsid w:val="777C1603"/>
    <w:rsid w:val="77A14CDE"/>
    <w:rsid w:val="77AA2F7D"/>
    <w:rsid w:val="77AB345F"/>
    <w:rsid w:val="77C96BD3"/>
    <w:rsid w:val="77D60033"/>
    <w:rsid w:val="77D800C3"/>
    <w:rsid w:val="77F547E0"/>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93B5CE2"/>
    <w:rsid w:val="795C411F"/>
    <w:rsid w:val="79653632"/>
    <w:rsid w:val="7966323A"/>
    <w:rsid w:val="796834B3"/>
    <w:rsid w:val="797B3C8A"/>
    <w:rsid w:val="797F45FC"/>
    <w:rsid w:val="79830C32"/>
    <w:rsid w:val="79970647"/>
    <w:rsid w:val="79A11C25"/>
    <w:rsid w:val="79B847D4"/>
    <w:rsid w:val="79D9682C"/>
    <w:rsid w:val="79DB75C0"/>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783A23"/>
    <w:rsid w:val="7A7F2C76"/>
    <w:rsid w:val="7A943122"/>
    <w:rsid w:val="7AAC462A"/>
    <w:rsid w:val="7ACA3E4C"/>
    <w:rsid w:val="7AD14E20"/>
    <w:rsid w:val="7AD85F47"/>
    <w:rsid w:val="7AF84FA0"/>
    <w:rsid w:val="7AF909C6"/>
    <w:rsid w:val="7B1062CD"/>
    <w:rsid w:val="7B122202"/>
    <w:rsid w:val="7B1F3681"/>
    <w:rsid w:val="7B605F96"/>
    <w:rsid w:val="7B6F1BD0"/>
    <w:rsid w:val="7B732126"/>
    <w:rsid w:val="7B755C15"/>
    <w:rsid w:val="7B7B20CE"/>
    <w:rsid w:val="7B8E1216"/>
    <w:rsid w:val="7B9A1345"/>
    <w:rsid w:val="7B9F4805"/>
    <w:rsid w:val="7BA226FD"/>
    <w:rsid w:val="7BA8314F"/>
    <w:rsid w:val="7BB20B69"/>
    <w:rsid w:val="7BB819E3"/>
    <w:rsid w:val="7BC202AA"/>
    <w:rsid w:val="7BC51755"/>
    <w:rsid w:val="7BC67AB6"/>
    <w:rsid w:val="7BCA6C86"/>
    <w:rsid w:val="7BF4232A"/>
    <w:rsid w:val="7BFA4E58"/>
    <w:rsid w:val="7C044DA1"/>
    <w:rsid w:val="7C0B3159"/>
    <w:rsid w:val="7C132D64"/>
    <w:rsid w:val="7C254AFA"/>
    <w:rsid w:val="7C397A50"/>
    <w:rsid w:val="7C3F76F0"/>
    <w:rsid w:val="7C94689B"/>
    <w:rsid w:val="7C97215C"/>
    <w:rsid w:val="7CA33449"/>
    <w:rsid w:val="7CA45FF7"/>
    <w:rsid w:val="7CE0350C"/>
    <w:rsid w:val="7CE706E3"/>
    <w:rsid w:val="7CEF130D"/>
    <w:rsid w:val="7D0A0BA4"/>
    <w:rsid w:val="7D107AF3"/>
    <w:rsid w:val="7D28386F"/>
    <w:rsid w:val="7D4253C7"/>
    <w:rsid w:val="7D4C5341"/>
    <w:rsid w:val="7D4E5EE6"/>
    <w:rsid w:val="7D800310"/>
    <w:rsid w:val="7D8901AD"/>
    <w:rsid w:val="7D8E577D"/>
    <w:rsid w:val="7D8F2C22"/>
    <w:rsid w:val="7D90536C"/>
    <w:rsid w:val="7D9A426A"/>
    <w:rsid w:val="7D9A7FCD"/>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524880"/>
    <w:rsid w:val="7F541580"/>
    <w:rsid w:val="7F590594"/>
    <w:rsid w:val="7F667225"/>
    <w:rsid w:val="7F844A6E"/>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14940</Words>
  <Characters>17418</Characters>
  <Lines>0</Lines>
  <Paragraphs>0</Paragraphs>
  <TotalTime>0</TotalTime>
  <ScaleCrop>false</ScaleCrop>
  <LinksUpToDate>false</LinksUpToDate>
  <CharactersWithSpaces>18814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2021-04-19T02:45:00Z</cp:lastPrinted>
  <dcterms:modified xsi:type="dcterms:W3CDTF">2021-04-22T00:12:46Z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0F4A9D5E14374E839549FFDEF7B22379</vt:lpwstr>
  </property>
</Properties>
</file>