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关于市城区交通违法及事故涉案车辆</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邀请第三方道路救援服务公司进行施救</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合作方案的公告</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亳州市公安局交警支队交通违法及事故涉案车辆停放保管项目业已完成招投标工作，现由亳州上善环保科技工程有限公司（以下简称“上善环保公司”）中标。2021年1月8日，上善环保公司与亳州市公安局交警支队签订服务合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为加强市城区交通违法及事故涉案车辆施救工作管理，有效整合社会施救资源，提高施救工作效率，减轻群众负担，上善环保公司特就市城区交通违法及事故涉案车辆邀请第三方道路救援服务公司共同合作开展施救工作，制定如下方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一、邀请范围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谯城区境内现有道路救援服务公司，具有合法有效营业执照，并须具有“道路救援服务”项目。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二、符合条件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拟与上善环保公司共同合作开展施救工作的第三方道路救援服务公司须遵守、具备以下条件：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1.公司须具有5辆总质量3吨及3吨以上道路清障车，其中蓝牌照清障车至少1辆，黄牌照清障车至少2辆，车辆所有权须属本公司；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2.公司道路清障车必须达到国五及以上排放标准，禁止使用私自改装的车辆；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3.公司驾驶员必须10名以上，且具有C1、B2及以上相应准驾车型驾驶证资格；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4.公司须配备1—2名管理人员；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5.公司清障车、管理人员与驾驶员必须入驻上善环保公司交通违法及事故涉案车辆停车场，实行待命值班，服从上善环保公司统一调度指挥；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6.在排班期间，当入驻的公司车辆不能托运大吨位交通违法及事故涉案车辆时，可以使用未入驻的自有车辆或租赁第三方公司车辆；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7.上善环保公司停车场实行停车收费制。对入驻的第三方道路救援服务公司清障车辆，统一按3.5元/天·车标准收取费用；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8.为减轻群众负担和减少投诉，根据市交警支队指令，对市区内违停车辆实行拖运时，所有入驻的第三方道路救援服务公司要无偿提供拖运服务，不得向车主或驾驶员收取拖运费用；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9.施救费用分成比例为2:8，即上善环保公司占20%，第三方道路救援服务公司占80%；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10.施救费用结算。由上善环保公司停车场工作人员使用各入驻公司税票统一向车主或驾驶员开具施救费用发票。施救费用结算方式，由上善环保公司每10日与第三方道路救援服务公司结算一次；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11.实行保证金管理。为保证双方费用正常结算，上善环保公司收取各入驻公司10000元保证金，如各公司拒绝或拖延交纳停车费、施救分成费、罚款等有关费用，则相应从该保证金中如数扣除。如当月保证金不足10000元，则次月初5日前由该公司予以补足。该保证金不计利息，如入驻公司退出，则据实退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12.收费标准。按照“减负、降诉、让利”的原则，上善环保公司在充分了解民意的基础上，决定在现有施救费、停车费市场价基础上进行一定程度下调，具体收费标准已报市发改委（市物价局）备案（见附件)；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13.本合作协议有效期5年，实行一年一签。如上善环保公司当年与市交警支队关于交通违法及事故涉案车辆停车场项目合同到期，次年市交警支队招标而上善环保公司再次中标时，则上善环保公司与前期第三方施救公司的合作协议继续有效。否则，合作协议自然中止。如5年内上善环保公司再次中标，则合作协议仍然有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14.实行考核管理扣分、罚款淘汰制。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（1）由上善环保公司对入驻的第三方道路救援服务公司的驾驶员和清障车实行统一管理。为保证公平，对入驻的各公司清障车辆统一实行轮流、间隔编号，日间（注：7:00——19:00）作业按顺序排号，依次进行；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根据突发应急处置原则，结合日常夜间发生的交通事故率，为节省人力物力资源，提高应急处置效率，对夜间（注：当日19:00——次日7:00）第三方道路救援服务公司作业，实行每周轮流值班制。即每晚当班公司至少安排2车4人值班待命，其他非当班公司安排1车2人值班待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在夜间交通事故量大时，在值班驾驶员及拖车不够用的情况下，由当班公司抽调其所属拖车及驾驶员予以弥补。如仍不足时，由上善环保公司统一调配，其他公司须按调度指令执行，否则，上善环保公司将有权终止与该公司合作施救协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第三方道路救援服务公司应为其入驻上善环保公司交通违法及事故涉案车辆停车场的所属驾驶员，依法足额购买相应社会保险，并负责承担其所属驾驶员工资等费用。其入驻上善环保公司交通违法及事故涉案车辆停车场的所属驾驶员，在施救期间发生的一切事故均与上善环保公司无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第三方道路救援服务公司应为其入驻上善环保公司交通违法及事故涉案车辆停车场的所属清障车辆，依法足额购买车辆保险，其中车辆货物商业险及第三者责任险，每车保险金额均不得低于100万元。其入驻上善环保公司交通违法及事故涉案车辆停车场的所属驾驶员所驾驶的施救车辆，在施救期间发生的一切事故均与上善环保公司无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制定《亳州上善环保科技工程有限公司市城区交通违法及事故涉案车辆道路救援服务工作考评办法》（附件），实行百分制考核。对当月考评得10分及以下的，连续2个月每月考评得分10分以上、20分及以下的，连续3个月考评每月考评得分20分以上、40分及以下的，连续4个月考评每月考评得分40分以上、60分及以下的第三方道路救援服务公司，上善环保公司将予以终止与其合作施救协议；</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上善环保公司建立道路救援服务考评小组和考评监督小组。考评小组，组长由上善环保公司停车场管理人员担任，成员由上善环保公司停车场人员、第三方道路救援服务公司入驻人员担任。考评监督小组，组长由第三方道路救援服务公司入驻管理人员实行每月轮流担任，成员由上善环保公司停车场人员、第三方道路救援服务公司入驻人员担任；</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实行服务考评扣分罚款制。每分扣罚50元，每公司每月最高罚款5000元。其所扣罚款，在施救费结算时一并扣除;不按时缴纳罚款的，从其所交纳保证金中予以相应扣除；扣除相应罚款后不在规定时间内补足保证金，将停止该公司施救作业的排班，经三次催交后仍不交纳的，将予以终止合作协议。</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三、报名方式</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（一）报名时间</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欢迎有意向合作的第三方道路救援服务公司于2021年3月15日—21日，持相关资料到上善环保公司市场发展部报名。逾期报名的，上善环保公司将不予接收。</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请有意向合作的第三方道路救援服务公司报名时携带如下相关资料：</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1.营业执照复印件（加盖公章）；</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2.法定代表人身份证复印件；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3.授权委托人身份证原件、复印件及授权委托书；</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4.清障车机动车行驶证原件及复印件；</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5.驾驶员驾驶证原件及复印件；</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6.管理人员、驾驶员身份证原件及复印件；</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7.管理人员、驾驶员近三年无犯罪记录证明；</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8.管理人员、驾驶员无吸毒史记录证明等资料。</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lang w:val="en-US" w:eastAsia="zh-CN"/>
        </w:rPr>
        <w:t>（二）公示时间</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对符合响应条件的第三方道路救援服务公司予以公示，公示期限：2021年3月22日—24日。</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（三）试运营时间</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对符合响应条件的第三方道路救援服务公司予以公示后无异议的，上善环保公司即与第三方道路救援服务公司签订《市城区交通违法及事故涉案车辆施救服务合作协议》。本年度合同期限：2021年3月25日——2022年1月7日。试运营时间为，2021年3月25日—31日。</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试运营期间，各第三方道路救援服务公司要严格服从上善环保公司统一调度管理；对不听从管理或者出现重大及以上交通事故者，予以终止服务合作协议。</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（四）正式运营时间</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2021年4月1日后，正式运营。正式运营期间，上善环保公司将按照《市城区交通违法及事故涉案车辆道路救援服务工作考评办法（试行）》进行严格考核。</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上善环保公司地址：希夷大道友阳商务办公楼六楼（市行政服务中心对面）</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上善环保公司联系人：张先生，手机号：19956998657</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亳州上善环保科技工程有限公司</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120" w:firstLineChars="160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2021年3月14日</w:t>
      </w:r>
    </w:p>
    <w:p>
      <w:pPr>
        <w:numPr>
          <w:ilvl w:val="0"/>
          <w:numId w:val="0"/>
        </w:numPr>
        <w:jc w:val="both"/>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亳州上善环保科技工程有限公司</w:t>
      </w:r>
    </w:p>
    <w:p>
      <w:pPr>
        <w:keepNext w:val="0"/>
        <w:keepLines w:val="0"/>
        <w:pageBreakBefore w:val="0"/>
        <w:widowControl w:val="0"/>
        <w:numPr>
          <w:ilvl w:val="0"/>
          <w:numId w:val="0"/>
        </w:numPr>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市城区交通违法及事故涉案车辆</w:t>
      </w:r>
    </w:p>
    <w:p>
      <w:pPr>
        <w:keepNext w:val="0"/>
        <w:keepLines w:val="0"/>
        <w:pageBreakBefore w:val="0"/>
        <w:widowControl w:val="0"/>
        <w:numPr>
          <w:ilvl w:val="0"/>
          <w:numId w:val="0"/>
        </w:numPr>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道路救援服务工作考评办法（试行）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第一条 为加强市城区交通违法及事故涉案车辆施救工作管理，有效整合社会施救资源，减轻群众负担，规范施救管理行为，强化施救安全运输，提高施救工作效率，亳州上善环保科技工程有限公司（以下简称“上善环保公司”）特制定本考评办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第二条 考核范围：入驻上善环保公司交通违法及事故涉案车辆停车场的第三方道路救援服务公司。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第三条 考核原则：坚持统一调度、服从管理、安全运营、公平公正、有偿服务、让利于民、高效快捷原则。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第四条 符合条件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第三方道路救援服务公司须遵守、具备以下条件：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1.公司须具有5辆总质量3吨及3吨以上道路清障车，其中蓝牌照清障车至少1辆，黄牌照清障车至少2辆，车辆所有权须属本公司；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2.公司道路清障车必须达到国五及以上排放标准，禁止使用私自改装的车辆；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3.公司驾驶员必须10名以上，且具有C1、B2及以上相应准驾车型驾驶证资格；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4.公司须配备1—2名管理人员；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5.公司清障车、管理人员与驾驶员必须入驻上善环保公司交通违法及事故涉案车辆停车场，实行待命值班，服从上善环保公司统一调度指挥；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6.在排班期间，当入驻的公司车辆不能托运大吨位交通违法及事故涉案车辆时，可以使用未入驻的自有车辆或租赁第三方公司车辆；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7.上善环保公司停车场实行停车收费制。对入驻的第三方道路救援服务公司清障车辆，统一按3.5元/天·车标准收取费用；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8.为减轻群众负担和减少投诉，根据市交警支队指令，对市区内违停车辆实行拖运时，所有入驻的第三方道路救援服务公司要无偿提供拖运服务，不得向车主或驾驶员收取拖运费用；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9.施救费用分成比例为2:8，即上善环保公司占20%，第三方道路救援服务公司占80%；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10.施救费用结算。由上善环保公司停车场工作人员使用各入驻公司税票统一向车主或驾驶员开具施救费用发票。施救费用结算方式，由上善环保公司每10日与第三方道路救援服务公司结算一次；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11.实行保证金管理。为保证双方费用结算正常，上善环保公司收取各入驻公司10000元保证金，如各公司拒绝或拖延交纳停车费、施救分成费、罚款等有关费用，则相应从该保证金中如数扣除。如当月保证金不足10000元，则次月初5日前由该公司予以补足。该保证金不计利息，如入驻公司退出，则据实退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12.收费标准。按照上善环保公司上报市发改委（市物价局）备案的收费标准执行；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13.由上善环保公司对入驻的第三方道路救援服务公司的驾驶员和清障车实行统一管理。为保证公平，入驻车辆实行日间（注：7:00——19:00）统一轮流、间隔编号，按顺序排号作业，依次进行；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14.根据突发应急处置原则，结合日常夜间发生的交通事故率，为节省人力物力资源，提高应急处置效率，对夜间（注：当日19:00——次日7:00）第三方道路救援服务公司实行每周轮流值班制。即每晚当班公司至少安排2车4人值班待命，其他非当班公司安排1车2人值班待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当天夜间交通事故量较大时，在拖车及驾驶员不够用的情况下，由当班公司抽调其所属拖车及驾驶员予以弥补。如果仍不足时，由上善环保公司统一调配，其他公司必须按照调度指令执行，否则，上善环保公司将终止与该公司合作施救协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15.第三方道路救援服务公司应为其入驻上善环保公司交通违法及事故涉案车辆停车场的所属驾驶员，依法足额购买相应社会保险，并负责承担其所属驾驶员工资等费用。其入驻上善环保公司交通违法及事故涉案车辆停车场的所属驾驶员，在施救期间发生的一切事故均与上善环保公司无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16.第三方道路救援服务公司应为其入驻上善环保公司交通违法及事故涉案车辆停车场的所属清障车辆，依法足额购买车辆保险，其中车辆货物商业险及第三者责任险，每车保险金额均不得低于100万元。其入驻上善环保公司交通违法及事故涉案车辆停车场的所属驾驶员所驾驶的施救车辆，在施救期间发生的一切事故均与上善环保公司无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第五条  考评项目及分值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1.分值：满分100分。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2.考评项目及扣分标准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（1）按照上善环保公司要求入驻的清障车辆数，完全入驻的，得30分。每天每少1辆的，扣6分，最多扣30分；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（2）按照上善环保公司要求入驻的驾驶员数，完全入驻的，得40分。每天每少1人的，扣4分，最多扣40分；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（3）按照上善环保公司要求入驻的管理人员数，完全入驻的，得10分。每天每少1人的，扣10分；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（4）入驻人员不听从上善环保公司统一调度管理的，每发生1次，扣5分；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（5）清障车辆及驾驶员经统一安排外出施救时，发生负主要责任事故的，每发生1次，扣5分；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（6）入驻人员在停车场内无理取闹、打架斗殴的，对参与者，每人扣5分。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（7）入驻人员举止不文明，如光膀子、穿拖鞋、污言秽语的，经教育批评不改，每发生1次，扣5分；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（8）入驻上善环保公司交通违法及事故涉案车辆停车场的第三方道路救援服务公司有下列行为之一的，上善环保公司将终止与其合作施救协议：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①当月得分10分及以下的；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②连续2个月每月得分10分以上、20分及以下的；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③连续3个月每月得分20分以上、40分及以下的；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④连续4个月每月得分40分以上、60分以下的。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第六条 每分扣罚50元，每公司每月最高罚款5000元。其所扣罚款，在施救费结算时一并扣除;不按时缴纳罚款的，从其所交纳保证金中予以相应扣除；扣除相应罚款后不在规定时间内补足保证金，将停止该公司施救作业的排班，经三次催交后仍不交纳的，将予以终止合作协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第七条 上善环保公司建立道路救援服务考评小组和考评监督小组。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考评小组，组长由上善环保公司停车场管理人员担任，成员由上善环保公司停车场人员、第三方道路救援服务公司入驻人员担任。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考评监督小组，组长由第三方道路救援服务公司入驻管理人员实行每月轮流担任，成员由上善环保公司停车场人员、第三方道路救援服务公司入驻人员担任。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第八条 考评小组实行一日一考核，一周一通报，一月一加权汇总。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第九条 考评监督小组每日对考评小组考核结果进行监督并在考评结果上签字。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第十条  本考核办法由上善环保公司负责解释。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auto"/>
          <w:sz w:val="32"/>
          <w:szCs w:val="32"/>
          <w:lang w:val="en-US" w:eastAsia="zh-CN"/>
        </w:rPr>
        <w:sectPr>
          <w:footerReference r:id="rId3" w:type="default"/>
          <w:pgSz w:w="11906" w:h="16838"/>
          <w:pgMar w:top="1800" w:right="1440" w:bottom="1800" w:left="1440" w:header="851" w:footer="992" w:gutter="0"/>
          <w:pgNumType w:fmt="numberInDash"/>
          <w:cols w:space="0" w:num="1"/>
          <w:rtlGutter w:val="0"/>
          <w:docGrid w:type="lines" w:linePitch="330" w:charSpace="0"/>
        </w:sectPr>
      </w:pPr>
    </w:p>
    <w:tbl>
      <w:tblPr>
        <w:tblStyle w:val="4"/>
        <w:tblpPr w:leftFromText="180" w:rightFromText="180" w:vertAnchor="text" w:horzAnchor="page" w:tblpX="1198" w:tblpY="729"/>
        <w:tblOverlap w:val="never"/>
        <w:tblW w:w="147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86"/>
        <w:gridCol w:w="833"/>
        <w:gridCol w:w="914"/>
        <w:gridCol w:w="1551"/>
        <w:gridCol w:w="3313"/>
        <w:gridCol w:w="2942"/>
        <w:gridCol w:w="1553"/>
        <w:gridCol w:w="872"/>
        <w:gridCol w:w="844"/>
        <w:gridCol w:w="806"/>
        <w:gridCol w:w="6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140" w:hRule="atLeast"/>
        </w:trPr>
        <w:tc>
          <w:tcPr>
            <w:tcW w:w="14758" w:type="dxa"/>
            <w:gridSpan w:val="11"/>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48"/>
                <w:szCs w:val="48"/>
                <w:u w:val="none"/>
                <w:shd w:val="clear" w:color="auto" w:fill="auto"/>
                <w:lang w:val="en-US" w:eastAsia="zh-CN" w:bidi="ar"/>
              </w:rPr>
            </w:pPr>
            <w:r>
              <w:rPr>
                <w:rFonts w:hint="eastAsia" w:ascii="宋体" w:hAnsi="宋体" w:eastAsia="宋体" w:cs="宋体"/>
                <w:b/>
                <w:i w:val="0"/>
                <w:color w:val="auto"/>
                <w:spacing w:val="0"/>
                <w:w w:val="100"/>
                <w:kern w:val="0"/>
                <w:position w:val="0"/>
                <w:sz w:val="48"/>
                <w:szCs w:val="48"/>
                <w:u w:val="none"/>
                <w:shd w:val="clear" w:color="auto" w:fill="auto"/>
                <w:lang w:val="en-US" w:eastAsia="zh-CN" w:bidi="ar"/>
              </w:rPr>
              <w:t>亳州市谯城区境内道路清障救援服务拖车收费标准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9" w:hRule="atLeast"/>
        </w:trPr>
        <w:tc>
          <w:tcPr>
            <w:tcW w:w="48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序号</w:t>
            </w:r>
          </w:p>
        </w:tc>
        <w:tc>
          <w:tcPr>
            <w:tcW w:w="83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项目</w:t>
            </w:r>
          </w:p>
        </w:tc>
        <w:tc>
          <w:tcPr>
            <w:tcW w:w="91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车型分类</w:t>
            </w:r>
          </w:p>
        </w:tc>
        <w:tc>
          <w:tcPr>
            <w:tcW w:w="155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客车</w:t>
            </w:r>
          </w:p>
        </w:tc>
        <w:tc>
          <w:tcPr>
            <w:tcW w:w="331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货车</w:t>
            </w:r>
          </w:p>
        </w:tc>
        <w:tc>
          <w:tcPr>
            <w:tcW w:w="294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专项作业车</w:t>
            </w:r>
          </w:p>
        </w:tc>
        <w:tc>
          <w:tcPr>
            <w:tcW w:w="155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收费标准</w:t>
            </w: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br w:type="textWrapping"/>
            </w: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（元/车</w:t>
            </w:r>
            <w:r>
              <w:rPr>
                <w:rFonts w:ascii="仿宋" w:hAnsi="仿宋" w:eastAsia="仿宋" w:cs="仿宋"/>
                <w:b/>
                <w:i w:val="0"/>
                <w:color w:val="auto"/>
                <w:spacing w:val="0"/>
                <w:w w:val="100"/>
                <w:kern w:val="0"/>
                <w:position w:val="0"/>
                <w:sz w:val="22"/>
                <w:szCs w:val="22"/>
                <w:u w:val="none"/>
                <w:shd w:val="clear" w:color="auto" w:fill="auto"/>
                <w:lang w:val="en-US" w:eastAsia="zh-CN" w:bidi="ar"/>
              </w:rPr>
              <w:t>·</w:t>
            </w:r>
            <w:r>
              <w:rPr>
                <w:rStyle w:val="6"/>
                <w:b/>
                <w:color w:val="auto"/>
                <w:shd w:val="clear" w:color="auto" w:fill="auto"/>
                <w:lang w:val="en-US" w:eastAsia="zh-CN" w:bidi="ar"/>
              </w:rPr>
              <w:t>次）</w:t>
            </w:r>
          </w:p>
        </w:tc>
        <w:tc>
          <w:tcPr>
            <w:tcW w:w="3166" w:type="dxa"/>
            <w:gridSpan w:val="4"/>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降幅比列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1" w:hRule="atLeast"/>
        </w:trPr>
        <w:tc>
          <w:tcPr>
            <w:tcW w:w="48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83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91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1551"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331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294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155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1716"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 xml:space="preserve">与高速公路相比 </w:t>
            </w:r>
          </w:p>
        </w:tc>
        <w:tc>
          <w:tcPr>
            <w:tcW w:w="1450" w:type="dxa"/>
            <w:gridSpan w:val="2"/>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与现有市场价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1</w:t>
            </w:r>
          </w:p>
        </w:tc>
        <w:tc>
          <w:tcPr>
            <w:tcW w:w="83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拖车辆</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1类车</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9座（含9座）以下客车</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总轴数（含悬浮轴）为2轴，车长小于6000mm且最大允许总质量小于4500kg</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sz w:val="22"/>
                <w:szCs w:val="22"/>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总轴数（含悬浮轴）为2轴，车长 小于6000mm且最大允许总质量小于 4500kg</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200</w:t>
            </w:r>
          </w:p>
        </w:tc>
        <w:tc>
          <w:tcPr>
            <w:tcW w:w="87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400</w:t>
            </w:r>
          </w:p>
        </w:tc>
        <w:tc>
          <w:tcPr>
            <w:tcW w:w="8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50%</w:t>
            </w:r>
          </w:p>
        </w:tc>
        <w:tc>
          <w:tcPr>
            <w:tcW w:w="8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300</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2</w:t>
            </w:r>
          </w:p>
        </w:tc>
        <w:tc>
          <w:tcPr>
            <w:tcW w:w="833"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1"/>
                <w:szCs w:val="21"/>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2类车</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10座以上19座（含19座）以 下客车</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总轴数（含悬浮轴）为2轴，车长不小 于6000mm且最大允许总质量不小于 4500kg</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sz w:val="22"/>
                <w:szCs w:val="22"/>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总轴数（含悬浮轴）为2轴，车长 不小于6000mm且最大允许总质量不小于4500kg</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400</w:t>
            </w:r>
          </w:p>
        </w:tc>
        <w:tc>
          <w:tcPr>
            <w:tcW w:w="87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500</w:t>
            </w:r>
          </w:p>
        </w:tc>
        <w:tc>
          <w:tcPr>
            <w:tcW w:w="8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20%</w:t>
            </w:r>
          </w:p>
        </w:tc>
        <w:tc>
          <w:tcPr>
            <w:tcW w:w="8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500</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3</w:t>
            </w:r>
          </w:p>
        </w:tc>
        <w:tc>
          <w:tcPr>
            <w:tcW w:w="833"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1"/>
                <w:szCs w:val="21"/>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3类车</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20座以上39座（含39座） 以下客车</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总轴数（含悬浮轴）为3轴</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sz w:val="22"/>
                <w:szCs w:val="22"/>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总轴数（含悬浮轴）为3轴</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450</w:t>
            </w:r>
          </w:p>
        </w:tc>
        <w:tc>
          <w:tcPr>
            <w:tcW w:w="87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550</w:t>
            </w:r>
          </w:p>
        </w:tc>
        <w:tc>
          <w:tcPr>
            <w:tcW w:w="8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18%</w:t>
            </w:r>
          </w:p>
        </w:tc>
        <w:tc>
          <w:tcPr>
            <w:tcW w:w="8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600</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5" w:hRule="atLeast"/>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4</w:t>
            </w:r>
          </w:p>
        </w:tc>
        <w:tc>
          <w:tcPr>
            <w:tcW w:w="833"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1"/>
                <w:szCs w:val="21"/>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4类车</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40座（含40座）以上客车</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总轴数（含悬浮轴）为4轴</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sz w:val="22"/>
                <w:szCs w:val="22"/>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总轴数（含悬浮轴）为4轴</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500</w:t>
            </w:r>
          </w:p>
        </w:tc>
        <w:tc>
          <w:tcPr>
            <w:tcW w:w="87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600</w:t>
            </w:r>
          </w:p>
        </w:tc>
        <w:tc>
          <w:tcPr>
            <w:tcW w:w="8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17%</w:t>
            </w:r>
          </w:p>
        </w:tc>
        <w:tc>
          <w:tcPr>
            <w:tcW w:w="8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800</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0" w:hRule="atLeast"/>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5</w:t>
            </w:r>
          </w:p>
        </w:tc>
        <w:tc>
          <w:tcPr>
            <w:tcW w:w="833"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1"/>
                <w:szCs w:val="21"/>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5类车</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1"/>
                <w:szCs w:val="21"/>
                <w:u w:val="none"/>
              </w:rPr>
            </w:pP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总轴数（含悬浮轴）为5轴</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sz w:val="22"/>
                <w:szCs w:val="22"/>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总轴数（含悬浮轴）为5轴</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600</w:t>
            </w:r>
          </w:p>
        </w:tc>
        <w:tc>
          <w:tcPr>
            <w:tcW w:w="87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700</w:t>
            </w:r>
          </w:p>
        </w:tc>
        <w:tc>
          <w:tcPr>
            <w:tcW w:w="8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14%</w:t>
            </w:r>
          </w:p>
        </w:tc>
        <w:tc>
          <w:tcPr>
            <w:tcW w:w="8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900</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0" w:hRule="atLeast"/>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6</w:t>
            </w:r>
          </w:p>
        </w:tc>
        <w:tc>
          <w:tcPr>
            <w:tcW w:w="833"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1"/>
                <w:szCs w:val="21"/>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6类车</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1"/>
                <w:szCs w:val="21"/>
                <w:u w:val="none"/>
              </w:rPr>
            </w:pP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总轴数（含悬浮轴）为6轴及以上</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sz w:val="22"/>
                <w:szCs w:val="22"/>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总轴数（含悬浮轴）为6轴及以上</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600</w:t>
            </w:r>
          </w:p>
        </w:tc>
        <w:tc>
          <w:tcPr>
            <w:tcW w:w="87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700</w:t>
            </w:r>
          </w:p>
        </w:tc>
        <w:tc>
          <w:tcPr>
            <w:tcW w:w="8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14%</w:t>
            </w:r>
          </w:p>
        </w:tc>
        <w:tc>
          <w:tcPr>
            <w:tcW w:w="8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900</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5" w:hRule="atLeast"/>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7</w:t>
            </w:r>
          </w:p>
        </w:tc>
        <w:tc>
          <w:tcPr>
            <w:tcW w:w="833"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1"/>
                <w:szCs w:val="21"/>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其他</w:t>
            </w:r>
          </w:p>
        </w:tc>
        <w:tc>
          <w:tcPr>
            <w:tcW w:w="78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i w:val="0"/>
                <w:color w:val="auto"/>
                <w:spacing w:val="0"/>
                <w:w w:val="100"/>
                <w:kern w:val="0"/>
                <w:position w:val="0"/>
                <w:sz w:val="21"/>
                <w:szCs w:val="21"/>
                <w:u w:val="none"/>
                <w:shd w:val="clear" w:color="auto" w:fill="auto"/>
                <w:lang w:val="en-US" w:eastAsia="zh-CN" w:bidi="ar"/>
              </w:rPr>
              <w:t>三轮农用车、摩托车（燃油助力车）和各类非机动车</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50</w:t>
            </w:r>
          </w:p>
        </w:tc>
        <w:tc>
          <w:tcPr>
            <w:tcW w:w="87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p>
        </w:tc>
        <w:tc>
          <w:tcPr>
            <w:tcW w:w="8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p>
        </w:tc>
        <w:tc>
          <w:tcPr>
            <w:tcW w:w="8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150</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pPr>
            <w:r>
              <w:rPr>
                <w:rFonts w:hint="eastAsia" w:ascii="宋体" w:hAnsi="宋体" w:eastAsia="宋体" w:cs="宋体"/>
                <w:b/>
                <w:bCs/>
                <w:i w:val="0"/>
                <w:color w:val="auto"/>
                <w:spacing w:val="0"/>
                <w:w w:val="100"/>
                <w:kern w:val="0"/>
                <w:position w:val="0"/>
                <w:sz w:val="21"/>
                <w:szCs w:val="21"/>
                <w:u w:val="none"/>
                <w:shd w:val="clear" w:color="auto" w:fill="auto"/>
                <w:lang w:val="en-US" w:eastAsia="zh-CN" w:bidi="ar"/>
              </w:rPr>
              <w:t>67%</w:t>
            </w:r>
          </w:p>
        </w:tc>
      </w:tr>
    </w:tbl>
    <w:p>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tbl>
      <w:tblPr>
        <w:tblStyle w:val="4"/>
        <w:tblpPr w:leftFromText="180" w:rightFromText="180" w:vertAnchor="text" w:horzAnchor="page" w:tblpX="1378" w:tblpY="921"/>
        <w:tblOverlap w:val="never"/>
        <w:tblW w:w="147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00"/>
        <w:gridCol w:w="857"/>
        <w:gridCol w:w="941"/>
        <w:gridCol w:w="1596"/>
        <w:gridCol w:w="3200"/>
        <w:gridCol w:w="3256"/>
        <w:gridCol w:w="1362"/>
        <w:gridCol w:w="888"/>
        <w:gridCol w:w="719"/>
        <w:gridCol w:w="810"/>
        <w:gridCol w:w="6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140" w:hRule="atLeast"/>
        </w:trPr>
        <w:tc>
          <w:tcPr>
            <w:tcW w:w="14773" w:type="dxa"/>
            <w:gridSpan w:val="11"/>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48"/>
                <w:szCs w:val="48"/>
                <w:u w:val="none"/>
                <w:shd w:val="clear" w:color="auto" w:fill="auto"/>
                <w:lang w:val="en-US" w:eastAsia="zh-CN" w:bidi="ar"/>
              </w:rPr>
            </w:pPr>
            <w:r>
              <w:rPr>
                <w:rFonts w:hint="eastAsia" w:ascii="宋体" w:hAnsi="宋体" w:eastAsia="宋体" w:cs="宋体"/>
                <w:b/>
                <w:i w:val="0"/>
                <w:color w:val="auto"/>
                <w:spacing w:val="0"/>
                <w:w w:val="100"/>
                <w:kern w:val="0"/>
                <w:position w:val="0"/>
                <w:sz w:val="48"/>
                <w:szCs w:val="48"/>
                <w:u w:val="none"/>
                <w:shd w:val="clear" w:color="auto" w:fill="auto"/>
                <w:lang w:val="en-US" w:eastAsia="zh-CN" w:bidi="ar"/>
              </w:rPr>
              <w:t>亳州市谯城区境内道路清障救援服务吊车、叉车收费标准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7" w:hRule="atLeast"/>
        </w:trPr>
        <w:tc>
          <w:tcPr>
            <w:tcW w:w="50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序号</w:t>
            </w:r>
          </w:p>
        </w:tc>
        <w:tc>
          <w:tcPr>
            <w:tcW w:w="85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项目</w:t>
            </w:r>
          </w:p>
        </w:tc>
        <w:tc>
          <w:tcPr>
            <w:tcW w:w="94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车型分类</w:t>
            </w:r>
          </w:p>
        </w:tc>
        <w:tc>
          <w:tcPr>
            <w:tcW w:w="159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客车</w:t>
            </w:r>
          </w:p>
        </w:tc>
        <w:tc>
          <w:tcPr>
            <w:tcW w:w="320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货车</w:t>
            </w:r>
          </w:p>
        </w:tc>
        <w:tc>
          <w:tcPr>
            <w:tcW w:w="325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专项作业车</w:t>
            </w:r>
          </w:p>
        </w:tc>
        <w:tc>
          <w:tcPr>
            <w:tcW w:w="136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收费标准</w:t>
            </w: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（元/车</w:t>
            </w:r>
            <w:r>
              <w:rPr>
                <w:rStyle w:val="7"/>
                <w:color w:val="auto"/>
                <w:shd w:val="clear" w:color="auto" w:fill="auto"/>
                <w:lang w:val="en-US" w:eastAsia="zh-CN" w:bidi="ar"/>
              </w:rPr>
              <w:t>·</w:t>
            </w:r>
            <w:r>
              <w:rPr>
                <w:rFonts w:ascii="font-weight : 700" w:hAnsi="font-weight : 700" w:eastAsia="font-weight : 700" w:cs="font-weight : 700"/>
                <w:b/>
                <w:i w:val="0"/>
                <w:color w:val="auto"/>
                <w:spacing w:val="0"/>
                <w:w w:val="100"/>
                <w:kern w:val="0"/>
                <w:position w:val="0"/>
                <w:sz w:val="22"/>
                <w:szCs w:val="22"/>
                <w:u w:val="none"/>
                <w:shd w:val="clear" w:color="auto" w:fill="auto"/>
                <w:lang w:val="en-US" w:eastAsia="zh-CN" w:bidi="ar"/>
              </w:rPr>
              <w:t>次）</w:t>
            </w:r>
          </w:p>
        </w:tc>
        <w:tc>
          <w:tcPr>
            <w:tcW w:w="3061" w:type="dxa"/>
            <w:gridSpan w:val="4"/>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降幅比列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73" w:hRule="atLeast"/>
        </w:trPr>
        <w:tc>
          <w:tcPr>
            <w:tcW w:w="50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85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941"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159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320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325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136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p>
        </w:tc>
        <w:tc>
          <w:tcPr>
            <w:tcW w:w="1607"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与高速公路相比</w:t>
            </w:r>
          </w:p>
        </w:tc>
        <w:tc>
          <w:tcPr>
            <w:tcW w:w="1454" w:type="dxa"/>
            <w:gridSpan w:val="2"/>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i w:val="0"/>
                <w:color w:val="auto"/>
                <w:spacing w:val="0"/>
                <w:w w:val="100"/>
                <w:kern w:val="0"/>
                <w:position w:val="0"/>
                <w:sz w:val="22"/>
                <w:szCs w:val="22"/>
                <w:u w:val="none"/>
                <w:shd w:val="clear" w:color="auto" w:fill="auto"/>
                <w:lang w:val="en-US" w:eastAsia="zh-CN" w:bidi="ar"/>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与现有市场价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1</w:t>
            </w:r>
          </w:p>
        </w:tc>
        <w:tc>
          <w:tcPr>
            <w:tcW w:w="8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吊车辆</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1类车</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9座（含9座）以下客车</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总轴数（含悬浮轴）为2轴，车长小于6000mm且最大允许总质量小于4500kg</w:t>
            </w:r>
          </w:p>
        </w:tc>
        <w:tc>
          <w:tcPr>
            <w:tcW w:w="3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总轴数（含悬浮轴）为2轴，车长小于6000mm且最大允许总质量小于4500kg</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700</w:t>
            </w:r>
          </w:p>
        </w:tc>
        <w:tc>
          <w:tcPr>
            <w:tcW w:w="888"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0" w:leftChars="0" w:right="0" w:rightChars="0" w:firstLine="0" w:firstLineChars="0"/>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800</w:t>
            </w:r>
          </w:p>
        </w:tc>
        <w:tc>
          <w:tcPr>
            <w:tcW w:w="719" w:type="dxa"/>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13%</w:t>
            </w:r>
          </w:p>
        </w:tc>
        <w:tc>
          <w:tcPr>
            <w:tcW w:w="810" w:type="dxa"/>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2</w:t>
            </w:r>
          </w:p>
        </w:tc>
        <w:tc>
          <w:tcPr>
            <w:tcW w:w="8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2类车</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10座以上19座（含19座）以 下客车</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总轴数（含悬浮轴）为2轴，车长不小于6000mm且最大允许总质量不小于 4500kg</w:t>
            </w:r>
          </w:p>
        </w:tc>
        <w:tc>
          <w:tcPr>
            <w:tcW w:w="3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总轴数（含悬浮轴）为2轴，车长不小于6000mm且最大允许总质量不小于4500kg</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800</w:t>
            </w:r>
          </w:p>
        </w:tc>
        <w:tc>
          <w:tcPr>
            <w:tcW w:w="888"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0" w:leftChars="0" w:right="0" w:rightChars="0" w:firstLine="0" w:firstLineChars="0"/>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900</w:t>
            </w:r>
          </w:p>
        </w:tc>
        <w:tc>
          <w:tcPr>
            <w:tcW w:w="719"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11%</w:t>
            </w:r>
          </w:p>
        </w:tc>
        <w:tc>
          <w:tcPr>
            <w:tcW w:w="810" w:type="dxa"/>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3</w:t>
            </w:r>
          </w:p>
        </w:tc>
        <w:tc>
          <w:tcPr>
            <w:tcW w:w="8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3类车</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20座以上39座（含39座） 以下客车</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总轴数（含悬浮轴）为3轴</w:t>
            </w:r>
          </w:p>
        </w:tc>
        <w:tc>
          <w:tcPr>
            <w:tcW w:w="3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总轴数（含悬浮轴）为3轴</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1100</w:t>
            </w:r>
          </w:p>
        </w:tc>
        <w:tc>
          <w:tcPr>
            <w:tcW w:w="888"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0" w:leftChars="0" w:right="0" w:rightChars="0" w:firstLine="0" w:firstLineChars="0"/>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1200</w:t>
            </w:r>
          </w:p>
        </w:tc>
        <w:tc>
          <w:tcPr>
            <w:tcW w:w="719"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9%</w:t>
            </w:r>
          </w:p>
        </w:tc>
        <w:tc>
          <w:tcPr>
            <w:tcW w:w="810" w:type="dxa"/>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5"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4</w:t>
            </w:r>
          </w:p>
        </w:tc>
        <w:tc>
          <w:tcPr>
            <w:tcW w:w="8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4类车</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40座（含40座）以上客车</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总轴数（含悬浮轴）为4轴</w:t>
            </w:r>
          </w:p>
        </w:tc>
        <w:tc>
          <w:tcPr>
            <w:tcW w:w="3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总轴数（含悬浮轴）为4轴</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1300</w:t>
            </w:r>
          </w:p>
        </w:tc>
        <w:tc>
          <w:tcPr>
            <w:tcW w:w="888"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0" w:leftChars="0" w:right="0" w:rightChars="0" w:firstLine="0" w:firstLineChars="0"/>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1400</w:t>
            </w:r>
          </w:p>
        </w:tc>
        <w:tc>
          <w:tcPr>
            <w:tcW w:w="719"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7%</w:t>
            </w:r>
          </w:p>
        </w:tc>
        <w:tc>
          <w:tcPr>
            <w:tcW w:w="810" w:type="dxa"/>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5</w:t>
            </w:r>
          </w:p>
        </w:tc>
        <w:tc>
          <w:tcPr>
            <w:tcW w:w="8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5类车</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总轴数（含悬浮轴）为5轴</w:t>
            </w:r>
          </w:p>
        </w:tc>
        <w:tc>
          <w:tcPr>
            <w:tcW w:w="3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总轴数（含悬浮轴）为5轴</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1600</w:t>
            </w:r>
          </w:p>
        </w:tc>
        <w:tc>
          <w:tcPr>
            <w:tcW w:w="888"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0" w:leftChars="0" w:right="0" w:rightChars="0" w:firstLine="0" w:firstLineChars="0"/>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1700</w:t>
            </w:r>
          </w:p>
        </w:tc>
        <w:tc>
          <w:tcPr>
            <w:tcW w:w="719"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6%</w:t>
            </w:r>
          </w:p>
        </w:tc>
        <w:tc>
          <w:tcPr>
            <w:tcW w:w="810" w:type="dxa"/>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6</w:t>
            </w:r>
          </w:p>
        </w:tc>
        <w:tc>
          <w:tcPr>
            <w:tcW w:w="8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6类车</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总轴数（含悬浮轴）为6轴及以上</w:t>
            </w:r>
          </w:p>
        </w:tc>
        <w:tc>
          <w:tcPr>
            <w:tcW w:w="3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color w:val="auto"/>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总轴数（含悬浮轴）为6轴及以上</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1600</w:t>
            </w:r>
          </w:p>
        </w:tc>
        <w:tc>
          <w:tcPr>
            <w:tcW w:w="888"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0" w:leftChars="0" w:right="0" w:rightChars="0" w:firstLine="0" w:firstLineChars="0"/>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1700</w:t>
            </w:r>
          </w:p>
        </w:tc>
        <w:tc>
          <w:tcPr>
            <w:tcW w:w="719"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6%</w:t>
            </w:r>
          </w:p>
        </w:tc>
        <w:tc>
          <w:tcPr>
            <w:tcW w:w="810" w:type="dxa"/>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pacing w:val="0"/>
                <w:w w:val="100"/>
                <w:kern w:val="0"/>
                <w:position w:val="0"/>
                <w:sz w:val="22"/>
                <w:szCs w:val="22"/>
                <w:u w:val="none"/>
                <w:shd w:val="clear" w:color="auto" w:fill="auto"/>
                <w:lang w:val="en-US" w:eastAsia="zh-CN" w:bidi="ar"/>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7</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lang w:eastAsia="zh-CN"/>
              </w:rPr>
            </w:pPr>
            <w:r>
              <w:rPr>
                <w:rFonts w:hint="eastAsia" w:ascii="宋体" w:hAnsi="宋体" w:eastAsia="宋体" w:cs="宋体"/>
                <w:i w:val="0"/>
                <w:color w:val="auto"/>
                <w:sz w:val="22"/>
                <w:szCs w:val="22"/>
                <w:u w:val="none"/>
                <w:lang w:eastAsia="zh-CN"/>
              </w:rPr>
              <w:t>吊货物</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pacing w:val="0"/>
                <w:w w:val="100"/>
                <w:kern w:val="0"/>
                <w:position w:val="0"/>
                <w:sz w:val="22"/>
                <w:szCs w:val="22"/>
                <w:u w:val="none"/>
                <w:shd w:val="clear" w:color="auto" w:fill="auto"/>
                <w:lang w:val="en-US" w:eastAsia="zh-CN" w:bidi="ar"/>
              </w:rPr>
            </w:pP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pacing w:val="0"/>
                <w:w w:val="100"/>
                <w:kern w:val="0"/>
                <w:position w:val="0"/>
                <w:sz w:val="22"/>
                <w:szCs w:val="22"/>
                <w:u w:val="none"/>
                <w:shd w:val="clear" w:color="auto" w:fill="auto"/>
                <w:lang w:val="en-US" w:eastAsia="zh-CN" w:bidi="ar"/>
              </w:rPr>
            </w:pPr>
          </w:p>
        </w:tc>
        <w:tc>
          <w:tcPr>
            <w:tcW w:w="3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pacing w:val="0"/>
                <w:w w:val="100"/>
                <w:kern w:val="0"/>
                <w:position w:val="0"/>
                <w:sz w:val="22"/>
                <w:szCs w:val="22"/>
                <w:u w:val="none"/>
                <w:shd w:val="clear" w:color="auto" w:fill="auto"/>
                <w:lang w:val="en-US" w:eastAsia="zh-CN" w:bidi="ar"/>
              </w:rPr>
            </w:pP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40元/吨</w:t>
            </w:r>
          </w:p>
        </w:tc>
        <w:tc>
          <w:tcPr>
            <w:tcW w:w="888"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0" w:leftChars="0" w:right="0" w:rightChars="0" w:firstLine="0" w:firstLineChars="0"/>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50元/吨</w:t>
            </w:r>
          </w:p>
        </w:tc>
        <w:tc>
          <w:tcPr>
            <w:tcW w:w="719"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20%</w:t>
            </w:r>
          </w:p>
        </w:tc>
        <w:tc>
          <w:tcPr>
            <w:tcW w:w="810" w:type="dxa"/>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pacing w:val="0"/>
                <w:w w:val="100"/>
                <w:kern w:val="0"/>
                <w:position w:val="0"/>
                <w:sz w:val="22"/>
                <w:szCs w:val="22"/>
                <w:u w:val="none"/>
                <w:shd w:val="clear" w:color="auto" w:fill="auto"/>
                <w:lang w:val="en-US" w:eastAsia="zh-CN" w:bidi="ar"/>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8</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lang w:eastAsia="zh-CN"/>
              </w:rPr>
            </w:pPr>
            <w:r>
              <w:rPr>
                <w:rFonts w:hint="eastAsia" w:ascii="宋体" w:hAnsi="宋体" w:eastAsia="宋体" w:cs="宋体"/>
                <w:i w:val="0"/>
                <w:color w:val="auto"/>
                <w:sz w:val="22"/>
                <w:szCs w:val="22"/>
                <w:u w:val="none"/>
                <w:lang w:eastAsia="zh-CN"/>
              </w:rPr>
              <w:t>叉车</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pacing w:val="0"/>
                <w:w w:val="100"/>
                <w:kern w:val="0"/>
                <w:position w:val="0"/>
                <w:sz w:val="22"/>
                <w:szCs w:val="22"/>
                <w:u w:val="none"/>
                <w:shd w:val="clear" w:color="auto" w:fill="auto"/>
                <w:lang w:val="en-US" w:eastAsia="zh-CN" w:bidi="ar"/>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1类车</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9座（含9座）以下客车</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pacing w:val="0"/>
                <w:w w:val="100"/>
                <w:kern w:val="0"/>
                <w:position w:val="0"/>
                <w:sz w:val="22"/>
                <w:szCs w:val="22"/>
                <w:u w:val="none"/>
                <w:shd w:val="clear" w:color="auto" w:fill="auto"/>
                <w:lang w:val="en-US" w:eastAsia="zh-CN" w:bidi="ar"/>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总轴数（含悬浮轴）为2轴，车长小于6000mm且最大允许总质量小于4000kg</w:t>
            </w:r>
          </w:p>
        </w:tc>
        <w:tc>
          <w:tcPr>
            <w:tcW w:w="3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color w:val="auto"/>
                <w:spacing w:val="0"/>
                <w:w w:val="100"/>
                <w:kern w:val="0"/>
                <w:position w:val="0"/>
                <w:sz w:val="22"/>
                <w:szCs w:val="22"/>
                <w:u w:val="none"/>
                <w:shd w:val="clear" w:color="auto" w:fill="auto"/>
                <w:lang w:val="en-US" w:eastAsia="zh-CN" w:bidi="ar"/>
              </w:rPr>
            </w:pPr>
            <w:r>
              <w:rPr>
                <w:rFonts w:hint="eastAsia" w:ascii="宋体" w:hAnsi="宋体" w:eastAsia="宋体" w:cs="宋体"/>
                <w:i w:val="0"/>
                <w:color w:val="auto"/>
                <w:spacing w:val="0"/>
                <w:w w:val="100"/>
                <w:kern w:val="0"/>
                <w:position w:val="0"/>
                <w:sz w:val="22"/>
                <w:szCs w:val="22"/>
                <w:u w:val="none"/>
                <w:shd w:val="clear" w:color="auto" w:fill="auto"/>
                <w:lang w:val="en-US" w:eastAsia="zh-CN" w:bidi="ar"/>
              </w:rPr>
              <w:t>总轴数（含悬浮轴）为2轴，车长小于6000mm且最大允许总质量小于4000kg</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100</w:t>
            </w:r>
          </w:p>
        </w:tc>
        <w:tc>
          <w:tcPr>
            <w:tcW w:w="888"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0" w:leftChars="0" w:right="0" w:rightChars="0" w:firstLine="0" w:firstLineChars="0"/>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c>
          <w:tcPr>
            <w:tcW w:w="719"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w:t>
            </w:r>
          </w:p>
        </w:tc>
        <w:tc>
          <w:tcPr>
            <w:tcW w:w="810" w:type="dxa"/>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200</w:t>
            </w:r>
          </w:p>
        </w:tc>
        <w:tc>
          <w:tcPr>
            <w:tcW w:w="64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color w:val="auto"/>
                <w:sz w:val="22"/>
                <w:szCs w:val="22"/>
                <w:u w:val="none"/>
                <w:lang w:val="en-US" w:eastAsia="zh-CN"/>
              </w:rPr>
            </w:pPr>
            <w:r>
              <w:rPr>
                <w:rFonts w:hint="eastAsia" w:ascii="宋体" w:hAnsi="宋体" w:eastAsia="宋体" w:cs="宋体"/>
                <w:b/>
                <w:bCs/>
                <w:i w:val="0"/>
                <w:color w:val="auto"/>
                <w:sz w:val="22"/>
                <w:szCs w:val="22"/>
                <w:u w:val="none"/>
                <w:lang w:val="en-US" w:eastAsia="zh-CN"/>
              </w:rPr>
              <w:t>50%</w:t>
            </w:r>
          </w:p>
        </w:tc>
      </w:tr>
    </w:tbl>
    <w:p>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00" w:lineRule="exact"/>
        <w:ind w:right="0" w:rightChars="0" w:firstLine="643" w:firstLineChars="200"/>
        <w:jc w:val="left"/>
        <w:textAlignment w:val="auto"/>
        <w:outlineLvl w:val="9"/>
        <w:rPr>
          <w:rFonts w:hint="eastAsia" w:ascii="仿宋" w:hAnsi="仿宋" w:eastAsia="仿宋" w:cs="仿宋"/>
          <w:color w:val="auto"/>
          <w:spacing w:val="0"/>
          <w:w w:val="100"/>
          <w:position w:val="0"/>
          <w:sz w:val="32"/>
          <w:szCs w:val="32"/>
          <w:lang w:val="en-US" w:eastAsia="zh-CN"/>
        </w:rPr>
      </w:pPr>
      <w:bookmarkStart w:id="0" w:name="bookmark17"/>
      <w:bookmarkEnd w:id="0"/>
      <w:r>
        <w:rPr>
          <w:rFonts w:hint="eastAsia" w:ascii="仿宋" w:hAnsi="仿宋" w:eastAsia="仿宋" w:cs="仿宋"/>
          <w:b/>
          <w:bCs/>
          <w:color w:val="auto"/>
          <w:spacing w:val="0"/>
          <w:w w:val="100"/>
          <w:position w:val="0"/>
          <w:sz w:val="32"/>
          <w:szCs w:val="32"/>
          <w:lang w:val="en-US" w:eastAsia="zh-CN"/>
        </w:rPr>
        <w:t>注:</w:t>
      </w:r>
      <w:r>
        <w:rPr>
          <w:rFonts w:hint="eastAsia" w:ascii="仿宋" w:hAnsi="仿宋" w:eastAsia="仿宋" w:cs="仿宋"/>
          <w:color w:val="auto"/>
          <w:spacing w:val="0"/>
          <w:w w:val="100"/>
          <w:position w:val="0"/>
          <w:sz w:val="32"/>
          <w:szCs w:val="32"/>
          <w:lang w:val="en-US" w:eastAsia="zh-CN"/>
        </w:rPr>
        <w:t>1.表列拖车、吊车收费标准为市区救援收费中准价。根据实际救援里程长短，在表列的拖车、吊车收费标准相应车型收费标准基础上，实行超区域按公里另计费方式。其具体情况是：</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00" w:lineRule="exact"/>
        <w:ind w:right="0" w:rightChars="0" w:firstLine="640" w:firstLineChars="200"/>
        <w:jc w:val="left"/>
        <w:textAlignment w:val="auto"/>
        <w:outlineLvl w:val="9"/>
        <w:rPr>
          <w:rFonts w:hint="eastAsia" w:ascii="仿宋" w:hAnsi="仿宋" w:eastAsia="仿宋" w:cs="仿宋"/>
          <w:color w:val="auto"/>
          <w:spacing w:val="0"/>
          <w:w w:val="100"/>
          <w:position w:val="0"/>
          <w:sz w:val="32"/>
          <w:szCs w:val="32"/>
          <w:lang w:val="en-US" w:eastAsia="zh-CN"/>
        </w:rPr>
      </w:pPr>
      <w:r>
        <w:rPr>
          <w:rFonts w:hint="eastAsia" w:ascii="仿宋" w:hAnsi="仿宋" w:eastAsia="仿宋" w:cs="仿宋"/>
          <w:color w:val="auto"/>
          <w:spacing w:val="0"/>
          <w:w w:val="100"/>
          <w:position w:val="0"/>
          <w:sz w:val="32"/>
          <w:szCs w:val="32"/>
          <w:lang w:val="en-US" w:eastAsia="zh-CN"/>
        </w:rPr>
        <w:t>（1）市区范围：北起北一环，南至酒城大道；西起古井大道，东至亳涡路（S309线）。</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00" w:lineRule="exact"/>
        <w:ind w:right="0" w:rightChars="0" w:firstLine="640" w:firstLineChars="200"/>
        <w:jc w:val="left"/>
        <w:textAlignment w:val="auto"/>
        <w:outlineLvl w:val="9"/>
        <w:rPr>
          <w:rFonts w:hint="eastAsia" w:ascii="仿宋" w:hAnsi="仿宋" w:eastAsia="仿宋" w:cs="仿宋"/>
          <w:color w:val="auto"/>
          <w:spacing w:val="0"/>
          <w:w w:val="100"/>
          <w:position w:val="0"/>
          <w:sz w:val="32"/>
          <w:szCs w:val="32"/>
          <w:lang w:val="en-US" w:eastAsia="zh-CN"/>
        </w:rPr>
      </w:pPr>
      <w:r>
        <w:rPr>
          <w:rFonts w:hint="eastAsia" w:ascii="仿宋" w:hAnsi="仿宋" w:eastAsia="仿宋" w:cs="仿宋"/>
          <w:color w:val="auto"/>
          <w:spacing w:val="0"/>
          <w:w w:val="100"/>
          <w:position w:val="0"/>
          <w:sz w:val="32"/>
          <w:szCs w:val="32"/>
          <w:lang w:val="en-US" w:eastAsia="zh-CN"/>
        </w:rPr>
        <w:t>（2）市区范围内收费标准按表列标准执行。</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00" w:lineRule="exact"/>
        <w:ind w:right="0" w:rightChars="0" w:firstLine="640" w:firstLineChars="200"/>
        <w:jc w:val="left"/>
        <w:textAlignment w:val="auto"/>
        <w:outlineLvl w:val="9"/>
        <w:rPr>
          <w:rFonts w:hint="eastAsia" w:ascii="仿宋" w:hAnsi="仿宋" w:eastAsia="仿宋" w:cs="仿宋"/>
          <w:color w:val="auto"/>
          <w:spacing w:val="0"/>
          <w:w w:val="100"/>
          <w:position w:val="0"/>
          <w:sz w:val="32"/>
          <w:szCs w:val="32"/>
          <w:lang w:val="en-US" w:eastAsia="zh-CN"/>
        </w:rPr>
      </w:pPr>
      <w:r>
        <w:rPr>
          <w:rFonts w:hint="eastAsia" w:ascii="仿宋" w:hAnsi="仿宋" w:eastAsia="仿宋" w:cs="仿宋"/>
          <w:color w:val="auto"/>
          <w:spacing w:val="0"/>
          <w:w w:val="100"/>
          <w:position w:val="0"/>
          <w:sz w:val="32"/>
          <w:szCs w:val="32"/>
          <w:lang w:val="en-US" w:eastAsia="zh-CN"/>
        </w:rPr>
        <w:t>（3）超出市区范围内的，在表列标准相应标准基础上按超出公里数另行计费。其具体标准为：</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00" w:lineRule="exact"/>
        <w:ind w:right="0" w:rightChars="0" w:firstLine="640" w:firstLineChars="200"/>
        <w:jc w:val="left"/>
        <w:textAlignment w:val="auto"/>
        <w:outlineLvl w:val="9"/>
        <w:rPr>
          <w:rFonts w:hint="eastAsia" w:ascii="仿宋" w:hAnsi="仿宋" w:eastAsia="仿宋" w:cs="仿宋"/>
          <w:color w:val="auto"/>
          <w:spacing w:val="0"/>
          <w:w w:val="100"/>
          <w:position w:val="0"/>
          <w:sz w:val="32"/>
          <w:szCs w:val="32"/>
          <w:lang w:val="en-US" w:eastAsia="zh-CN"/>
        </w:rPr>
      </w:pPr>
      <w:r>
        <w:rPr>
          <w:rFonts w:hint="eastAsia" w:ascii="仿宋" w:hAnsi="仿宋" w:eastAsia="仿宋" w:cs="仿宋"/>
          <w:color w:val="auto"/>
          <w:spacing w:val="0"/>
          <w:w w:val="100"/>
          <w:position w:val="0"/>
          <w:sz w:val="32"/>
          <w:szCs w:val="32"/>
          <w:lang w:val="en-US" w:eastAsia="zh-CN"/>
        </w:rPr>
        <w:t>①1类车超出部分，按8元/KM标准收费。</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00" w:lineRule="exact"/>
        <w:ind w:right="0" w:rightChars="0" w:firstLine="640" w:firstLineChars="200"/>
        <w:jc w:val="left"/>
        <w:textAlignment w:val="auto"/>
        <w:outlineLvl w:val="9"/>
        <w:rPr>
          <w:rFonts w:hint="eastAsia" w:ascii="仿宋" w:hAnsi="仿宋" w:eastAsia="仿宋" w:cs="仿宋"/>
          <w:color w:val="auto"/>
          <w:spacing w:val="0"/>
          <w:w w:val="100"/>
          <w:position w:val="0"/>
          <w:sz w:val="32"/>
          <w:szCs w:val="32"/>
          <w:lang w:val="en-US" w:eastAsia="zh-CN"/>
        </w:rPr>
      </w:pPr>
      <w:r>
        <w:rPr>
          <w:rFonts w:hint="eastAsia" w:ascii="仿宋" w:hAnsi="仿宋" w:eastAsia="仿宋" w:cs="仿宋"/>
          <w:color w:val="auto"/>
          <w:spacing w:val="0"/>
          <w:w w:val="100"/>
          <w:position w:val="0"/>
          <w:sz w:val="32"/>
          <w:szCs w:val="32"/>
          <w:lang w:val="en-US" w:eastAsia="zh-CN"/>
        </w:rPr>
        <w:t>②2类车超出部分，按15元/KM标准收费。</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00" w:lineRule="exact"/>
        <w:ind w:right="0" w:rightChars="0" w:firstLine="640" w:firstLineChars="200"/>
        <w:jc w:val="left"/>
        <w:textAlignment w:val="auto"/>
        <w:outlineLvl w:val="9"/>
        <w:rPr>
          <w:rFonts w:hint="eastAsia" w:ascii="仿宋" w:hAnsi="仿宋" w:eastAsia="仿宋" w:cs="仿宋"/>
          <w:color w:val="auto"/>
          <w:spacing w:val="0"/>
          <w:w w:val="100"/>
          <w:position w:val="0"/>
          <w:sz w:val="32"/>
          <w:szCs w:val="32"/>
          <w:lang w:val="en-US" w:eastAsia="zh-CN"/>
        </w:rPr>
      </w:pPr>
      <w:r>
        <w:rPr>
          <w:rFonts w:hint="eastAsia" w:ascii="仿宋" w:hAnsi="仿宋" w:eastAsia="仿宋" w:cs="仿宋"/>
          <w:color w:val="auto"/>
          <w:spacing w:val="0"/>
          <w:w w:val="100"/>
          <w:position w:val="0"/>
          <w:sz w:val="32"/>
          <w:szCs w:val="32"/>
          <w:lang w:val="en-US" w:eastAsia="zh-CN"/>
        </w:rPr>
        <w:t>③3类车超出部分，按20元/KM标准收费。</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00" w:lineRule="exact"/>
        <w:ind w:right="0" w:rightChars="0" w:firstLine="640" w:firstLineChars="200"/>
        <w:jc w:val="left"/>
        <w:textAlignment w:val="auto"/>
        <w:outlineLvl w:val="9"/>
        <w:rPr>
          <w:rFonts w:hint="eastAsia" w:ascii="仿宋" w:hAnsi="仿宋" w:eastAsia="仿宋" w:cs="仿宋"/>
          <w:color w:val="auto"/>
          <w:spacing w:val="0"/>
          <w:w w:val="100"/>
          <w:position w:val="0"/>
          <w:sz w:val="32"/>
          <w:szCs w:val="32"/>
          <w:lang w:val="en-US" w:eastAsia="zh-CN"/>
        </w:rPr>
      </w:pPr>
      <w:r>
        <w:rPr>
          <w:rFonts w:hint="eastAsia" w:ascii="仿宋" w:hAnsi="仿宋" w:eastAsia="仿宋" w:cs="仿宋"/>
          <w:color w:val="auto"/>
          <w:spacing w:val="0"/>
          <w:w w:val="100"/>
          <w:position w:val="0"/>
          <w:sz w:val="32"/>
          <w:szCs w:val="32"/>
          <w:lang w:val="en-US" w:eastAsia="zh-CN"/>
        </w:rPr>
        <w:t>④4类车超出部分，按30元/KM标准收费。</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00" w:lineRule="exact"/>
        <w:ind w:right="0" w:rightChars="0" w:firstLine="640" w:firstLineChars="200"/>
        <w:jc w:val="left"/>
        <w:textAlignment w:val="auto"/>
        <w:outlineLvl w:val="9"/>
        <w:rPr>
          <w:rFonts w:hint="eastAsia" w:ascii="仿宋" w:hAnsi="仿宋" w:eastAsia="仿宋" w:cs="仿宋"/>
          <w:color w:val="auto"/>
          <w:spacing w:val="0"/>
          <w:w w:val="100"/>
          <w:position w:val="0"/>
          <w:sz w:val="32"/>
          <w:szCs w:val="32"/>
          <w:lang w:val="en-US" w:eastAsia="zh-CN"/>
        </w:rPr>
      </w:pPr>
      <w:r>
        <w:rPr>
          <w:rFonts w:hint="eastAsia" w:ascii="仿宋" w:hAnsi="仿宋" w:eastAsia="仿宋" w:cs="仿宋"/>
          <w:color w:val="auto"/>
          <w:spacing w:val="0"/>
          <w:w w:val="100"/>
          <w:position w:val="0"/>
          <w:sz w:val="32"/>
          <w:szCs w:val="32"/>
          <w:lang w:val="en-US" w:eastAsia="zh-CN"/>
        </w:rPr>
        <w:t>⑤5类车超出部分，按40元/KM标准收费。</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00" w:lineRule="exact"/>
        <w:ind w:right="0" w:rightChars="0" w:firstLine="640" w:firstLineChars="200"/>
        <w:jc w:val="left"/>
        <w:textAlignment w:val="auto"/>
        <w:outlineLvl w:val="9"/>
        <w:rPr>
          <w:rFonts w:hint="eastAsia" w:ascii="仿宋" w:hAnsi="仿宋" w:eastAsia="仿宋" w:cs="仿宋"/>
          <w:color w:val="auto"/>
          <w:spacing w:val="0"/>
          <w:w w:val="100"/>
          <w:position w:val="0"/>
          <w:sz w:val="32"/>
          <w:szCs w:val="32"/>
          <w:lang w:val="en-US" w:eastAsia="zh-CN"/>
        </w:rPr>
      </w:pPr>
      <w:r>
        <w:rPr>
          <w:rFonts w:hint="eastAsia" w:ascii="仿宋" w:hAnsi="仿宋" w:eastAsia="仿宋" w:cs="仿宋"/>
          <w:color w:val="auto"/>
          <w:spacing w:val="0"/>
          <w:w w:val="100"/>
          <w:position w:val="0"/>
          <w:sz w:val="32"/>
          <w:szCs w:val="32"/>
          <w:lang w:val="en-US" w:eastAsia="zh-CN"/>
        </w:rPr>
        <w:t>⑥6类车超出部分，按40元/KM标准收费。</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00" w:lineRule="exact"/>
        <w:ind w:right="0" w:rightChars="0" w:firstLine="640" w:firstLineChars="200"/>
        <w:jc w:val="left"/>
        <w:textAlignment w:val="auto"/>
        <w:outlineLvl w:val="9"/>
        <w:rPr>
          <w:rFonts w:hint="eastAsia" w:ascii="仿宋" w:hAnsi="仿宋" w:eastAsia="仿宋" w:cs="仿宋"/>
          <w:color w:val="auto"/>
          <w:spacing w:val="0"/>
          <w:w w:val="100"/>
          <w:position w:val="0"/>
          <w:sz w:val="32"/>
          <w:szCs w:val="32"/>
          <w:lang w:val="en-US" w:eastAsia="zh-CN"/>
        </w:rPr>
      </w:pPr>
      <w:r>
        <w:rPr>
          <w:rFonts w:hint="eastAsia" w:ascii="仿宋" w:hAnsi="仿宋" w:eastAsia="仿宋" w:cs="仿宋"/>
          <w:color w:val="auto"/>
          <w:spacing w:val="0"/>
          <w:w w:val="100"/>
          <w:position w:val="0"/>
          <w:sz w:val="32"/>
          <w:szCs w:val="32"/>
          <w:lang w:val="en-US" w:eastAsia="zh-CN"/>
        </w:rPr>
        <w:t>⑦三轮农用车、摩托车（燃油助力车）和各类非机动车超出部分，按5元/KM标准收费。</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500" w:lineRule="exact"/>
        <w:ind w:left="0" w:right="0" w:firstLine="640" w:firstLineChars="200"/>
        <w:jc w:val="left"/>
        <w:textAlignment w:val="auto"/>
        <w:outlineLvl w:val="9"/>
        <w:rPr>
          <w:rFonts w:hint="eastAsia" w:ascii="仿宋" w:hAnsi="仿宋" w:eastAsia="仿宋" w:cs="仿宋"/>
          <w:color w:val="auto"/>
          <w:spacing w:val="0"/>
          <w:w w:val="100"/>
          <w:position w:val="0"/>
          <w:sz w:val="32"/>
          <w:szCs w:val="32"/>
        </w:rPr>
      </w:pPr>
      <w:r>
        <w:rPr>
          <w:rFonts w:hint="eastAsia" w:ascii="仿宋" w:hAnsi="仿宋" w:eastAsia="仿宋" w:cs="仿宋"/>
          <w:color w:val="auto"/>
          <w:spacing w:val="0"/>
          <w:w w:val="100"/>
          <w:position w:val="0"/>
          <w:sz w:val="32"/>
          <w:szCs w:val="32"/>
        </w:rPr>
        <w:t>2.使用吊拖合一车辆对同一辆故障或事故车辆同时实施拖车和吊车救援服务的, 吊车按相应车型收费标准的50%计收。</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500" w:lineRule="exact"/>
        <w:ind w:left="0" w:right="0" w:firstLine="640" w:firstLineChars="200"/>
        <w:jc w:val="left"/>
        <w:textAlignment w:val="auto"/>
        <w:outlineLvl w:val="9"/>
        <w:rPr>
          <w:rFonts w:hint="eastAsia" w:ascii="仿宋" w:hAnsi="仿宋" w:eastAsia="仿宋" w:cs="仿宋"/>
          <w:color w:val="auto"/>
          <w:spacing w:val="0"/>
          <w:w w:val="100"/>
          <w:position w:val="0"/>
          <w:sz w:val="32"/>
          <w:szCs w:val="32"/>
        </w:rPr>
      </w:pPr>
      <w:r>
        <w:rPr>
          <w:rFonts w:hint="eastAsia" w:ascii="仿宋" w:hAnsi="仿宋" w:eastAsia="仿宋" w:cs="仿宋"/>
          <w:color w:val="auto"/>
          <w:spacing w:val="0"/>
          <w:w w:val="100"/>
          <w:position w:val="0"/>
          <w:sz w:val="32"/>
          <w:szCs w:val="32"/>
        </w:rPr>
        <w:t>3.对同一事故现场，同一辆吊车对两辆以上事故车辆施救，每辆车按相应收费标准的60%收取。</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500" w:lineRule="exact"/>
        <w:ind w:left="0" w:right="0" w:firstLine="640" w:firstLineChars="200"/>
        <w:jc w:val="left"/>
        <w:textAlignment w:val="auto"/>
        <w:outlineLvl w:val="9"/>
        <w:rPr>
          <w:rFonts w:hint="eastAsia" w:ascii="仿宋" w:hAnsi="仿宋" w:eastAsia="仿宋" w:cs="仿宋"/>
          <w:color w:val="auto"/>
          <w:spacing w:val="0"/>
          <w:w w:val="100"/>
          <w:position w:val="0"/>
          <w:sz w:val="32"/>
          <w:szCs w:val="32"/>
        </w:rPr>
      </w:pPr>
      <w:bookmarkStart w:id="1" w:name="bookmark16"/>
      <w:bookmarkEnd w:id="1"/>
      <w:r>
        <w:rPr>
          <w:rFonts w:hint="eastAsia" w:ascii="仿宋" w:hAnsi="仿宋" w:eastAsia="仿宋" w:cs="仿宋"/>
          <w:color w:val="auto"/>
          <w:spacing w:val="0"/>
          <w:w w:val="100"/>
          <w:position w:val="0"/>
          <w:sz w:val="32"/>
          <w:szCs w:val="32"/>
          <w:lang w:val="en-US" w:eastAsia="zh-CN"/>
        </w:rPr>
        <w:t>4.</w:t>
      </w:r>
      <w:r>
        <w:rPr>
          <w:rFonts w:hint="eastAsia" w:ascii="仿宋" w:hAnsi="仿宋" w:eastAsia="仿宋" w:cs="仿宋"/>
          <w:color w:val="auto"/>
          <w:spacing w:val="0"/>
          <w:w w:val="100"/>
          <w:position w:val="0"/>
          <w:sz w:val="32"/>
          <w:szCs w:val="32"/>
        </w:rPr>
        <w:t>起吊公路路基以外的车辆、货物或动用</w:t>
      </w:r>
      <w:r>
        <w:rPr>
          <w:rFonts w:hint="eastAsia" w:ascii="仿宋" w:hAnsi="仿宋" w:eastAsia="仿宋" w:cs="仿宋"/>
          <w:color w:val="auto"/>
          <w:spacing w:val="0"/>
          <w:w w:val="100"/>
          <w:position w:val="0"/>
          <w:sz w:val="32"/>
          <w:szCs w:val="32"/>
          <w:lang w:val="en-US" w:eastAsia="zh-CN"/>
        </w:rPr>
        <w:t>18</w:t>
      </w:r>
      <w:r>
        <w:rPr>
          <w:rFonts w:hint="eastAsia" w:ascii="仿宋" w:hAnsi="仿宋" w:eastAsia="仿宋" w:cs="仿宋"/>
          <w:color w:val="auto"/>
          <w:spacing w:val="0"/>
          <w:w w:val="100"/>
          <w:position w:val="0"/>
          <w:sz w:val="32"/>
          <w:szCs w:val="32"/>
        </w:rPr>
        <w:t>吨以上吊车的，费用由双方协商。</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500" w:lineRule="exact"/>
        <w:ind w:left="0" w:right="0" w:firstLine="640" w:firstLineChars="200"/>
        <w:jc w:val="left"/>
        <w:textAlignment w:val="auto"/>
        <w:outlineLvl w:val="9"/>
        <w:rPr>
          <w:rFonts w:hint="eastAsia" w:ascii="仿宋" w:hAnsi="仿宋" w:eastAsia="仿宋" w:cs="仿宋"/>
          <w:color w:val="auto"/>
          <w:spacing w:val="0"/>
          <w:w w:val="100"/>
          <w:position w:val="0"/>
          <w:sz w:val="32"/>
          <w:szCs w:val="32"/>
        </w:rPr>
      </w:pPr>
      <w:r>
        <w:rPr>
          <w:rFonts w:hint="eastAsia" w:ascii="仿宋" w:hAnsi="仿宋" w:eastAsia="仿宋" w:cs="仿宋"/>
          <w:color w:val="auto"/>
          <w:spacing w:val="0"/>
          <w:w w:val="100"/>
          <w:position w:val="0"/>
          <w:sz w:val="32"/>
          <w:szCs w:val="32"/>
          <w:lang w:val="en-US" w:eastAsia="zh-CN"/>
        </w:rPr>
        <w:t>5.</w:t>
      </w:r>
      <w:r>
        <w:rPr>
          <w:rFonts w:hint="eastAsia" w:ascii="仿宋" w:hAnsi="仿宋" w:eastAsia="仿宋" w:cs="仿宋"/>
          <w:color w:val="auto"/>
          <w:spacing w:val="0"/>
          <w:w w:val="100"/>
          <w:position w:val="0"/>
          <w:sz w:val="32"/>
          <w:szCs w:val="32"/>
        </w:rPr>
        <w:t>对装运属于国家规定的易燃、易爆及危险品的车辆进行救援服务的，其服务可比照同类车辆救援服务收费标准上浮</w:t>
      </w:r>
      <w:r>
        <w:rPr>
          <w:rFonts w:hint="eastAsia" w:ascii="仿宋" w:hAnsi="仿宋" w:eastAsia="仿宋" w:cs="仿宋"/>
          <w:color w:val="auto"/>
          <w:spacing w:val="0"/>
          <w:w w:val="100"/>
          <w:position w:val="0"/>
          <w:sz w:val="32"/>
          <w:szCs w:val="32"/>
          <w:lang w:val="en-US" w:eastAsia="zh-CN"/>
        </w:rPr>
        <w:t>2</w:t>
      </w:r>
      <w:r>
        <w:rPr>
          <w:rFonts w:hint="eastAsia" w:ascii="仿宋" w:hAnsi="仿宋" w:eastAsia="仿宋" w:cs="仿宋"/>
          <w:color w:val="auto"/>
          <w:spacing w:val="0"/>
          <w:w w:val="100"/>
          <w:position w:val="0"/>
          <w:sz w:val="32"/>
          <w:szCs w:val="32"/>
        </w:rPr>
        <w:t>0%。</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500" w:lineRule="exact"/>
        <w:ind w:left="0" w:right="0" w:firstLine="640" w:firstLineChars="200"/>
        <w:jc w:val="left"/>
        <w:textAlignment w:val="auto"/>
        <w:outlineLvl w:val="9"/>
        <w:rPr>
          <w:rFonts w:hint="eastAsia" w:ascii="仿宋" w:hAnsi="仿宋" w:eastAsia="仿宋" w:cs="仿宋"/>
          <w:color w:val="auto"/>
          <w:spacing w:val="0"/>
          <w:w w:val="100"/>
          <w:position w:val="0"/>
          <w:sz w:val="32"/>
          <w:szCs w:val="32"/>
          <w:lang w:eastAsia="zh-CN"/>
        </w:rPr>
      </w:pPr>
      <w:r>
        <w:rPr>
          <w:rFonts w:hint="eastAsia" w:ascii="仿宋" w:hAnsi="仿宋" w:eastAsia="仿宋" w:cs="仿宋"/>
          <w:color w:val="auto"/>
          <w:spacing w:val="0"/>
          <w:w w:val="100"/>
          <w:position w:val="0"/>
          <w:sz w:val="32"/>
          <w:szCs w:val="32"/>
          <w:lang w:val="en-US" w:eastAsia="zh-CN"/>
        </w:rPr>
        <w:t>6.</w:t>
      </w:r>
      <w:r>
        <w:rPr>
          <w:rFonts w:hint="eastAsia" w:ascii="仿宋" w:hAnsi="仿宋" w:eastAsia="仿宋" w:cs="仿宋"/>
          <w:color w:val="auto"/>
          <w:spacing w:val="0"/>
          <w:w w:val="100"/>
          <w:position w:val="0"/>
          <w:sz w:val="32"/>
          <w:szCs w:val="32"/>
        </w:rPr>
        <w:t>救援车辆到达现场，因车主原因而无需施救服务的，按不高于相应车辆收费标准的50%向当事人收取空驶费。</w:t>
      </w:r>
    </w:p>
    <w:p>
      <w:pPr>
        <w:keepNext w:val="0"/>
        <w:keepLines w:val="0"/>
        <w:widowControl w:val="0"/>
        <w:numPr>
          <w:ilvl w:val="0"/>
          <w:numId w:val="0"/>
        </w:numPr>
        <w:shd w:val="clear" w:color="auto" w:fill="auto"/>
        <w:bidi w:val="0"/>
        <w:spacing w:before="0" w:after="0" w:line="240" w:lineRule="auto"/>
        <w:ind w:right="0" w:rightChars="0"/>
        <w:jc w:val="left"/>
        <w:rPr>
          <w:rFonts w:hint="eastAsia" w:ascii="黑体" w:hAnsi="黑体" w:eastAsia="黑体" w:cs="黑体"/>
          <w:color w:val="auto"/>
          <w:spacing w:val="0"/>
          <w:w w:val="100"/>
          <w:position w:val="0"/>
          <w:sz w:val="32"/>
          <w:szCs w:val="32"/>
          <w:lang w:val="en-US" w:eastAsia="zh-CN"/>
        </w:rPr>
      </w:pPr>
      <w:r>
        <w:rPr>
          <w:rFonts w:hint="eastAsia" w:ascii="黑体" w:hAnsi="黑体" w:eastAsia="黑体" w:cs="黑体"/>
          <w:color w:val="auto"/>
          <w:spacing w:val="0"/>
          <w:w w:val="100"/>
          <w:position w:val="0"/>
          <w:sz w:val="32"/>
          <w:szCs w:val="32"/>
          <w:lang w:val="en-US" w:eastAsia="zh-CN"/>
        </w:rPr>
        <w:t>附件4</w:t>
      </w:r>
    </w:p>
    <w:tbl>
      <w:tblPr>
        <w:tblStyle w:val="4"/>
        <w:tblW w:w="124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954"/>
        <w:gridCol w:w="3037"/>
        <w:gridCol w:w="3575"/>
        <w:gridCol w:w="1920"/>
        <w:gridCol w:w="19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20" w:hRule="atLeast"/>
          <w:jc w:val="center"/>
        </w:trPr>
        <w:tc>
          <w:tcPr>
            <w:tcW w:w="12465" w:type="dxa"/>
            <w:gridSpan w:val="5"/>
            <w:shd w:val="clear" w:color="auto" w:fill="auto"/>
            <w:vAlign w:val="center"/>
          </w:tcPr>
          <w:p>
            <w:pPr>
              <w:keepNext w:val="0"/>
              <w:keepLines w:val="0"/>
              <w:widowControl/>
              <w:suppressLineNumbers w:val="0"/>
              <w:jc w:val="center"/>
              <w:textAlignment w:val="center"/>
              <w:rPr>
                <w:rFonts w:ascii="黑体" w:hAnsi="宋体" w:eastAsia="黑体" w:cs="黑体"/>
                <w:i w:val="0"/>
                <w:color w:val="auto"/>
                <w:sz w:val="44"/>
                <w:szCs w:val="44"/>
                <w:u w:val="none"/>
              </w:rPr>
            </w:pPr>
            <w:r>
              <w:rPr>
                <w:rFonts w:hint="eastAsia" w:ascii="黑体" w:hAnsi="宋体" w:eastAsia="黑体" w:cs="黑体"/>
                <w:i w:val="0"/>
                <w:color w:val="auto"/>
                <w:spacing w:val="0"/>
                <w:w w:val="100"/>
                <w:kern w:val="0"/>
                <w:position w:val="0"/>
                <w:sz w:val="44"/>
                <w:szCs w:val="44"/>
                <w:u w:val="none"/>
                <w:shd w:val="clear" w:color="auto" w:fill="auto"/>
                <w:lang w:val="en-US" w:eastAsia="zh-CN" w:bidi="ar"/>
              </w:rPr>
              <w:t>亳州市谯城区境内交通违法及事故涉案车辆停放保管收费标准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0" w:hRule="atLeast"/>
          <w:jc w:val="center"/>
        </w:trPr>
        <w:tc>
          <w:tcPr>
            <w:tcW w:w="85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spacing w:val="0"/>
                <w:w w:val="100"/>
                <w:kern w:val="0"/>
                <w:position w:val="0"/>
                <w:sz w:val="32"/>
                <w:szCs w:val="32"/>
                <w:u w:val="none"/>
                <w:shd w:val="clear" w:color="auto" w:fill="auto"/>
                <w:lang w:val="en-US" w:eastAsia="zh-CN" w:bidi="ar"/>
              </w:rPr>
              <w:t>车辆类型</w:t>
            </w:r>
          </w:p>
        </w:tc>
        <w:tc>
          <w:tcPr>
            <w:tcW w:w="38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spacing w:val="0"/>
                <w:w w:val="100"/>
                <w:kern w:val="0"/>
                <w:position w:val="0"/>
                <w:sz w:val="32"/>
                <w:szCs w:val="32"/>
                <w:u w:val="none"/>
                <w:shd w:val="clear" w:color="auto" w:fill="auto"/>
                <w:lang w:val="en-US" w:eastAsia="zh-CN" w:bidi="ar"/>
              </w:rPr>
              <w:t>收费标准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0" w:hRule="atLeast"/>
          <w:jc w:val="center"/>
        </w:trPr>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车型</w:t>
            </w:r>
          </w:p>
        </w:tc>
        <w:tc>
          <w:tcPr>
            <w:tcW w:w="3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货车</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其它</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停车不足</w:t>
            </w: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br w:type="textWrapping"/>
            </w: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12小时</w:t>
            </w:r>
          </w:p>
        </w:tc>
        <w:tc>
          <w:tcPr>
            <w:tcW w:w="1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昼夜停放</w:t>
            </w: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br w:type="textWrapping"/>
            </w: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（元/天）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0" w:hRule="atLeast"/>
          <w:jc w:val="center"/>
        </w:trPr>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中大型车</w:t>
            </w:r>
          </w:p>
        </w:tc>
        <w:tc>
          <w:tcPr>
            <w:tcW w:w="3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2.5吨以上</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15座以上</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免费</w:t>
            </w:r>
          </w:p>
        </w:tc>
        <w:tc>
          <w:tcPr>
            <w:tcW w:w="1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0" w:hRule="atLeast"/>
          <w:jc w:val="center"/>
        </w:trPr>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小型车</w:t>
            </w:r>
          </w:p>
        </w:tc>
        <w:tc>
          <w:tcPr>
            <w:tcW w:w="3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2.5吨以下（含）</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15 座以下（含）</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免费</w:t>
            </w:r>
          </w:p>
        </w:tc>
        <w:tc>
          <w:tcPr>
            <w:tcW w:w="1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10" w:hRule="atLeast"/>
          <w:jc w:val="center"/>
        </w:trPr>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三轮车</w:t>
            </w:r>
          </w:p>
        </w:tc>
        <w:tc>
          <w:tcPr>
            <w:tcW w:w="66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三轮农用车、摩托车（燃油助力车）和各类非机动车</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免费</w:t>
            </w:r>
          </w:p>
        </w:tc>
        <w:tc>
          <w:tcPr>
            <w:tcW w:w="1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jc w:val="center"/>
        </w:trPr>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免费停放时间</w:t>
            </w:r>
          </w:p>
        </w:tc>
        <w:tc>
          <w:tcPr>
            <w:tcW w:w="1051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1.停放12小时以内的，免费；</w:t>
            </w:r>
          </w:p>
          <w:p>
            <w:pP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color w:val="auto"/>
                <w:sz w:val="24"/>
                <w:szCs w:val="24"/>
                <w:lang w:val="en-US" w:eastAsia="zh-CN"/>
              </w:rPr>
              <w:t>2.超12小时（含）的，按昼夜（24 小时）停放收费。</w:t>
            </w:r>
          </w:p>
        </w:tc>
      </w:tr>
    </w:tbl>
    <w:p>
      <w:pPr>
        <w:keepNext w:val="0"/>
        <w:keepLines w:val="0"/>
        <w:widowControl w:val="0"/>
        <w:numPr>
          <w:ilvl w:val="0"/>
          <w:numId w:val="0"/>
        </w:numPr>
        <w:shd w:val="clear" w:color="auto" w:fill="auto"/>
        <w:bidi w:val="0"/>
        <w:spacing w:before="0" w:after="0" w:line="240" w:lineRule="auto"/>
        <w:ind w:right="0" w:rightChars="0"/>
        <w:jc w:val="left"/>
        <w:rPr>
          <w:rFonts w:hint="eastAsia" w:ascii="黑体" w:hAnsi="黑体" w:eastAsia="黑体" w:cs="黑体"/>
          <w:color w:val="auto"/>
          <w:spacing w:val="0"/>
          <w:w w:val="100"/>
          <w:position w:val="0"/>
          <w:sz w:val="32"/>
          <w:szCs w:val="32"/>
          <w:lang w:val="en-US" w:eastAsia="zh-CN"/>
        </w:rPr>
      </w:pPr>
    </w:p>
    <w:p>
      <w:pPr>
        <w:keepNext w:val="0"/>
        <w:keepLines w:val="0"/>
        <w:widowControl w:val="0"/>
        <w:numPr>
          <w:ilvl w:val="0"/>
          <w:numId w:val="0"/>
        </w:numPr>
        <w:shd w:val="clear" w:color="auto" w:fill="auto"/>
        <w:bidi w:val="0"/>
        <w:spacing w:before="0" w:after="0" w:line="240" w:lineRule="auto"/>
        <w:ind w:right="0" w:rightChars="0"/>
        <w:jc w:val="left"/>
        <w:rPr>
          <w:rFonts w:hint="eastAsia" w:ascii="黑体" w:hAnsi="黑体" w:eastAsia="黑体" w:cs="黑体"/>
          <w:color w:val="auto"/>
          <w:spacing w:val="0"/>
          <w:w w:val="100"/>
          <w:position w:val="0"/>
          <w:sz w:val="32"/>
          <w:szCs w:val="32"/>
          <w:lang w:val="en-US" w:eastAsia="zh-CN"/>
        </w:rPr>
      </w:pPr>
    </w:p>
    <w:p>
      <w:pPr>
        <w:keepNext w:val="0"/>
        <w:keepLines w:val="0"/>
        <w:widowControl w:val="0"/>
        <w:numPr>
          <w:ilvl w:val="0"/>
          <w:numId w:val="0"/>
        </w:numPr>
        <w:shd w:val="clear" w:color="auto" w:fill="auto"/>
        <w:bidi w:val="0"/>
        <w:spacing w:before="0" w:after="0" w:line="240" w:lineRule="auto"/>
        <w:ind w:right="0" w:rightChars="0"/>
        <w:jc w:val="left"/>
        <w:rPr>
          <w:rFonts w:hint="eastAsia" w:ascii="黑体" w:hAnsi="黑体" w:eastAsia="黑体" w:cs="黑体"/>
          <w:color w:val="auto"/>
          <w:spacing w:val="0"/>
          <w:w w:val="100"/>
          <w:position w:val="0"/>
          <w:sz w:val="32"/>
          <w:szCs w:val="32"/>
          <w:lang w:val="en-US" w:eastAsia="zh-CN"/>
        </w:rPr>
      </w:pPr>
    </w:p>
    <w:p>
      <w:pPr>
        <w:keepNext w:val="0"/>
        <w:keepLines w:val="0"/>
        <w:widowControl w:val="0"/>
        <w:numPr>
          <w:ilvl w:val="0"/>
          <w:numId w:val="0"/>
        </w:numPr>
        <w:shd w:val="clear" w:color="auto" w:fill="auto"/>
        <w:bidi w:val="0"/>
        <w:spacing w:before="0" w:after="0" w:line="240" w:lineRule="auto"/>
        <w:ind w:right="0" w:rightChars="0"/>
        <w:jc w:val="left"/>
        <w:rPr>
          <w:rFonts w:hint="eastAsia" w:ascii="黑体" w:hAnsi="黑体" w:eastAsia="黑体" w:cs="黑体"/>
          <w:color w:val="auto"/>
          <w:spacing w:val="0"/>
          <w:w w:val="100"/>
          <w:position w:val="0"/>
          <w:sz w:val="32"/>
          <w:szCs w:val="32"/>
          <w:lang w:val="en-US" w:eastAsia="zh-CN"/>
        </w:rPr>
      </w:pPr>
    </w:p>
    <w:p>
      <w:pPr>
        <w:keepNext w:val="0"/>
        <w:keepLines w:val="0"/>
        <w:widowControl w:val="0"/>
        <w:numPr>
          <w:ilvl w:val="0"/>
          <w:numId w:val="0"/>
        </w:numPr>
        <w:shd w:val="clear" w:color="auto" w:fill="auto"/>
        <w:bidi w:val="0"/>
        <w:spacing w:before="0" w:after="0" w:line="240" w:lineRule="auto"/>
        <w:ind w:right="0" w:rightChars="0"/>
        <w:jc w:val="left"/>
        <w:rPr>
          <w:rFonts w:hint="eastAsia" w:ascii="黑体" w:hAnsi="黑体" w:eastAsia="黑体" w:cs="黑体"/>
          <w:color w:val="auto"/>
          <w:spacing w:val="0"/>
          <w:w w:val="100"/>
          <w:position w:val="0"/>
          <w:sz w:val="32"/>
          <w:szCs w:val="32"/>
          <w:lang w:val="en-US" w:eastAsia="zh-CN"/>
        </w:rPr>
      </w:pPr>
    </w:p>
    <w:p>
      <w:pPr>
        <w:keepNext w:val="0"/>
        <w:keepLines w:val="0"/>
        <w:widowControl w:val="0"/>
        <w:numPr>
          <w:ilvl w:val="0"/>
          <w:numId w:val="0"/>
        </w:numPr>
        <w:shd w:val="clear" w:color="auto" w:fill="auto"/>
        <w:bidi w:val="0"/>
        <w:spacing w:before="0" w:after="0" w:line="240" w:lineRule="auto"/>
        <w:ind w:right="0" w:rightChars="0"/>
        <w:jc w:val="left"/>
        <w:rPr>
          <w:rFonts w:hint="eastAsia" w:ascii="黑体" w:hAnsi="黑体" w:eastAsia="黑体" w:cs="黑体"/>
          <w:color w:val="auto"/>
          <w:spacing w:val="0"/>
          <w:w w:val="100"/>
          <w:position w:val="0"/>
          <w:sz w:val="32"/>
          <w:szCs w:val="32"/>
          <w:lang w:val="en-US" w:eastAsia="zh-CN"/>
        </w:rPr>
      </w:pPr>
    </w:p>
    <w:p>
      <w:pPr>
        <w:keepNext w:val="0"/>
        <w:keepLines w:val="0"/>
        <w:widowControl w:val="0"/>
        <w:numPr>
          <w:ilvl w:val="0"/>
          <w:numId w:val="0"/>
        </w:numPr>
        <w:shd w:val="clear" w:color="auto" w:fill="auto"/>
        <w:bidi w:val="0"/>
        <w:spacing w:before="0" w:after="0" w:line="240" w:lineRule="auto"/>
        <w:ind w:right="0" w:rightChars="0"/>
        <w:jc w:val="left"/>
        <w:rPr>
          <w:rFonts w:hint="default" w:ascii="黑体" w:hAnsi="黑体" w:eastAsia="黑体" w:cs="黑体"/>
          <w:color w:val="auto"/>
          <w:spacing w:val="0"/>
          <w:w w:val="100"/>
          <w:position w:val="0"/>
          <w:sz w:val="32"/>
          <w:szCs w:val="32"/>
          <w:lang w:val="en-US" w:eastAsia="zh-CN"/>
        </w:rPr>
      </w:pPr>
      <w:r>
        <w:rPr>
          <w:rFonts w:hint="eastAsia" w:ascii="黑体" w:hAnsi="黑体" w:eastAsia="黑体" w:cs="黑体"/>
          <w:color w:val="auto"/>
          <w:spacing w:val="0"/>
          <w:w w:val="100"/>
          <w:position w:val="0"/>
          <w:sz w:val="32"/>
          <w:szCs w:val="32"/>
          <w:lang w:val="en-US" w:eastAsia="zh-CN"/>
        </w:rPr>
        <w:t>附件5</w:t>
      </w:r>
    </w:p>
    <w:tbl>
      <w:tblPr>
        <w:tblStyle w:val="4"/>
        <w:tblW w:w="124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954"/>
        <w:gridCol w:w="3037"/>
        <w:gridCol w:w="3575"/>
        <w:gridCol w:w="1920"/>
        <w:gridCol w:w="19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20" w:hRule="atLeast"/>
          <w:jc w:val="center"/>
        </w:trPr>
        <w:tc>
          <w:tcPr>
            <w:tcW w:w="12465" w:type="dxa"/>
            <w:gridSpan w:val="5"/>
            <w:shd w:val="clear" w:color="auto" w:fill="auto"/>
            <w:vAlign w:val="center"/>
          </w:tcPr>
          <w:p>
            <w:pPr>
              <w:keepNext w:val="0"/>
              <w:keepLines w:val="0"/>
              <w:widowControl/>
              <w:suppressLineNumbers w:val="0"/>
              <w:jc w:val="center"/>
              <w:textAlignment w:val="center"/>
              <w:rPr>
                <w:rFonts w:ascii="黑体" w:hAnsi="宋体" w:eastAsia="黑体" w:cs="黑体"/>
                <w:i w:val="0"/>
                <w:color w:val="auto"/>
                <w:sz w:val="44"/>
                <w:szCs w:val="44"/>
                <w:u w:val="none"/>
              </w:rPr>
            </w:pPr>
            <w:r>
              <w:rPr>
                <w:rFonts w:hint="eastAsia" w:ascii="黑体" w:hAnsi="宋体" w:eastAsia="黑体" w:cs="黑体"/>
                <w:i w:val="0"/>
                <w:color w:val="auto"/>
                <w:spacing w:val="0"/>
                <w:w w:val="100"/>
                <w:kern w:val="0"/>
                <w:position w:val="0"/>
                <w:sz w:val="44"/>
                <w:szCs w:val="44"/>
                <w:u w:val="none"/>
                <w:shd w:val="clear" w:color="auto" w:fill="auto"/>
                <w:lang w:val="en-US" w:eastAsia="zh-CN" w:bidi="ar"/>
              </w:rPr>
              <w:t>亳州市谯城区境内社会车辆停放保管收费标准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0" w:hRule="atLeast"/>
          <w:jc w:val="center"/>
        </w:trPr>
        <w:tc>
          <w:tcPr>
            <w:tcW w:w="85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spacing w:val="0"/>
                <w:w w:val="100"/>
                <w:kern w:val="0"/>
                <w:position w:val="0"/>
                <w:sz w:val="32"/>
                <w:szCs w:val="32"/>
                <w:u w:val="none"/>
                <w:shd w:val="clear" w:color="auto" w:fill="auto"/>
                <w:lang w:val="en-US" w:eastAsia="zh-CN" w:bidi="ar"/>
              </w:rPr>
              <w:t>车辆类型</w:t>
            </w:r>
          </w:p>
        </w:tc>
        <w:tc>
          <w:tcPr>
            <w:tcW w:w="38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spacing w:val="0"/>
                <w:w w:val="100"/>
                <w:kern w:val="0"/>
                <w:position w:val="0"/>
                <w:sz w:val="32"/>
                <w:szCs w:val="32"/>
                <w:u w:val="none"/>
                <w:shd w:val="clear" w:color="auto" w:fill="auto"/>
                <w:lang w:val="en-US" w:eastAsia="zh-CN" w:bidi="ar"/>
              </w:rPr>
              <w:t>收费标准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0" w:hRule="atLeast"/>
          <w:jc w:val="center"/>
        </w:trPr>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车型</w:t>
            </w:r>
          </w:p>
        </w:tc>
        <w:tc>
          <w:tcPr>
            <w:tcW w:w="3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货车</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其它</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停车不足</w:t>
            </w: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br w:type="textWrapping"/>
            </w: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1小时</w:t>
            </w:r>
          </w:p>
        </w:tc>
        <w:tc>
          <w:tcPr>
            <w:tcW w:w="1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昼夜停放</w:t>
            </w: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br w:type="textWrapping"/>
            </w:r>
            <w:r>
              <w:rPr>
                <w:rFonts w:hint="eastAsia" w:ascii="宋体" w:hAnsi="宋体" w:eastAsia="宋体" w:cs="宋体"/>
                <w:b/>
                <w:i w:val="0"/>
                <w:color w:val="auto"/>
                <w:spacing w:val="0"/>
                <w:w w:val="100"/>
                <w:kern w:val="0"/>
                <w:position w:val="0"/>
                <w:sz w:val="22"/>
                <w:szCs w:val="22"/>
                <w:u w:val="none"/>
                <w:shd w:val="clear" w:color="auto" w:fill="auto"/>
                <w:lang w:val="en-US" w:eastAsia="zh-CN" w:bidi="ar"/>
              </w:rPr>
              <w:t>（元/天）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0" w:hRule="atLeast"/>
          <w:jc w:val="center"/>
        </w:trPr>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中大型车</w:t>
            </w:r>
          </w:p>
        </w:tc>
        <w:tc>
          <w:tcPr>
            <w:tcW w:w="3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2.5吨以上</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15座以上</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免费</w:t>
            </w:r>
          </w:p>
        </w:tc>
        <w:tc>
          <w:tcPr>
            <w:tcW w:w="1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color w:val="auto"/>
                <w:sz w:val="24"/>
                <w:szCs w:val="24"/>
                <w:u w:val="none"/>
                <w:lang w:val="en-US" w:eastAsia="zh-CN"/>
              </w:rPr>
            </w:pPr>
            <w:r>
              <w:rPr>
                <w:rFonts w:hint="eastAsia" w:asciiTheme="minorEastAsia" w:hAnsiTheme="minorEastAsia" w:eastAsiaTheme="minorEastAsia" w:cstheme="minorEastAsia"/>
                <w:i w:val="0"/>
                <w:color w:val="auto"/>
                <w:sz w:val="24"/>
                <w:szCs w:val="24"/>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0" w:hRule="atLeast"/>
          <w:jc w:val="center"/>
        </w:trPr>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小型车</w:t>
            </w:r>
          </w:p>
        </w:tc>
        <w:tc>
          <w:tcPr>
            <w:tcW w:w="3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2.5吨以下（含）</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15 座以下（含）</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免费</w:t>
            </w:r>
          </w:p>
        </w:tc>
        <w:tc>
          <w:tcPr>
            <w:tcW w:w="1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color w:val="auto"/>
                <w:sz w:val="24"/>
                <w:szCs w:val="24"/>
                <w:u w:val="none"/>
                <w:lang w:val="en-US" w:eastAsia="zh-CN"/>
              </w:rPr>
            </w:pPr>
            <w:r>
              <w:rPr>
                <w:rFonts w:hint="eastAsia" w:asciiTheme="minorEastAsia" w:hAnsiTheme="minorEastAsia" w:eastAsiaTheme="minorEastAsia" w:cstheme="minorEastAsia"/>
                <w:i w:val="0"/>
                <w:color w:val="auto"/>
                <w:sz w:val="24"/>
                <w:szCs w:val="24"/>
                <w:u w:val="none"/>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10" w:hRule="atLeast"/>
          <w:jc w:val="center"/>
        </w:trPr>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三轮车</w:t>
            </w:r>
          </w:p>
        </w:tc>
        <w:tc>
          <w:tcPr>
            <w:tcW w:w="66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三轮农用车、摩托车（燃油助力车）和各类非机动车</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免费</w:t>
            </w:r>
          </w:p>
        </w:tc>
        <w:tc>
          <w:tcPr>
            <w:tcW w:w="1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lang w:val="en-US" w:eastAsia="zh-CN"/>
              </w:rPr>
            </w:pPr>
            <w:r>
              <w:rPr>
                <w:rFonts w:hint="eastAsia" w:asciiTheme="minorEastAsia" w:hAnsiTheme="minorEastAsia" w:eastAsiaTheme="minorEastAsia" w:cstheme="minorEastAsia"/>
                <w:i w:val="0"/>
                <w:color w:val="auto"/>
                <w:sz w:val="24"/>
                <w:szCs w:val="24"/>
                <w:u w:val="none"/>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460" w:hRule="atLeast"/>
          <w:jc w:val="center"/>
        </w:trPr>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spacing w:val="0"/>
                <w:w w:val="100"/>
                <w:kern w:val="0"/>
                <w:position w:val="0"/>
                <w:sz w:val="24"/>
                <w:szCs w:val="24"/>
                <w:u w:val="none"/>
                <w:shd w:val="clear" w:color="auto" w:fill="auto"/>
                <w:lang w:val="en-US" w:eastAsia="zh-CN" w:bidi="ar"/>
              </w:rPr>
              <w:t>免费停放时间</w:t>
            </w:r>
          </w:p>
        </w:tc>
        <w:tc>
          <w:tcPr>
            <w:tcW w:w="1051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1.停放1小时以内的，免费；</w:t>
            </w:r>
          </w:p>
          <w:p>
            <w:pP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2.超1小时（含）的，按昼夜（24 小时）停放收费，超出24小时收费循环计费；</w:t>
            </w:r>
          </w:p>
          <w:p>
            <w:pPr>
              <w:rPr>
                <w:rFonts w:hint="default" w:asciiTheme="minorEastAsia" w:hAnsiTheme="minorEastAsia" w:eastAsiaTheme="minorEastAsia" w:cstheme="minorEastAsia"/>
                <w:i w:val="0"/>
                <w:color w:val="auto"/>
                <w:sz w:val="24"/>
                <w:szCs w:val="24"/>
                <w:u w:val="none"/>
                <w:lang w:val="en-US"/>
              </w:rPr>
            </w:pPr>
            <w:r>
              <w:rPr>
                <w:rFonts w:hint="eastAsia" w:asciiTheme="minorEastAsia" w:hAnsiTheme="minorEastAsia" w:eastAsiaTheme="minorEastAsia" w:cstheme="minorEastAsia"/>
                <w:color w:val="auto"/>
                <w:sz w:val="24"/>
                <w:szCs w:val="24"/>
                <w:lang w:val="en-US" w:eastAsia="zh-CN"/>
              </w:rPr>
              <w:t>3.办理整月停车的，按车型收费标准50%计费。</w:t>
            </w:r>
          </w:p>
        </w:tc>
      </w:tr>
    </w:tbl>
    <w:p>
      <w:pPr>
        <w:keepNext w:val="0"/>
        <w:keepLines w:val="0"/>
        <w:widowControl w:val="0"/>
        <w:numPr>
          <w:ilvl w:val="0"/>
          <w:numId w:val="0"/>
        </w:numPr>
        <w:shd w:val="clear" w:color="auto" w:fill="auto"/>
        <w:bidi w:val="0"/>
        <w:spacing w:before="0" w:after="0" w:line="240" w:lineRule="auto"/>
        <w:ind w:right="0" w:rightChars="0"/>
        <w:jc w:val="left"/>
        <w:rPr>
          <w:rFonts w:hint="eastAsia" w:ascii="黑体" w:hAnsi="黑体" w:eastAsia="黑体" w:cs="黑体"/>
          <w:color w:val="auto"/>
          <w:spacing w:val="0"/>
          <w:w w:val="100"/>
          <w:position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bookmarkStart w:id="2" w:name="_GoBack"/>
      <w:bookmarkEnd w:id="2"/>
    </w:p>
    <w:sectPr>
      <w:footerReference r:id="rId4" w:type="default"/>
      <w:pgSz w:w="16838" w:h="11906" w:orient="landscape"/>
      <w:pgMar w:top="669" w:right="873" w:bottom="669" w:left="873" w:header="851" w:footer="992" w:gutter="0"/>
      <w:pgNumType w:fmt="numberInDash"/>
      <w:cols w:space="0" w:num="1"/>
      <w:rtlGutter w:val="0"/>
      <w:docGrid w:type="lines" w:linePitch="32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ont-weight : 700">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6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EE675F"/>
    <w:rsid w:val="04EA22BF"/>
    <w:rsid w:val="05D12880"/>
    <w:rsid w:val="05F6733D"/>
    <w:rsid w:val="05F83AEA"/>
    <w:rsid w:val="06B11ECD"/>
    <w:rsid w:val="0760250F"/>
    <w:rsid w:val="08DA6737"/>
    <w:rsid w:val="099C3496"/>
    <w:rsid w:val="0C726489"/>
    <w:rsid w:val="0DCA6C98"/>
    <w:rsid w:val="103514B9"/>
    <w:rsid w:val="110A60D7"/>
    <w:rsid w:val="116028D3"/>
    <w:rsid w:val="120C4431"/>
    <w:rsid w:val="139B5914"/>
    <w:rsid w:val="13C6535F"/>
    <w:rsid w:val="14983545"/>
    <w:rsid w:val="14F1535F"/>
    <w:rsid w:val="15D259D2"/>
    <w:rsid w:val="17B0156F"/>
    <w:rsid w:val="18B56E2E"/>
    <w:rsid w:val="18DE46D7"/>
    <w:rsid w:val="1C3B7D84"/>
    <w:rsid w:val="1C62248F"/>
    <w:rsid w:val="1CF5487B"/>
    <w:rsid w:val="1D3956B1"/>
    <w:rsid w:val="1E1415B4"/>
    <w:rsid w:val="21E55E90"/>
    <w:rsid w:val="227E201E"/>
    <w:rsid w:val="22926F5D"/>
    <w:rsid w:val="25425FBC"/>
    <w:rsid w:val="2DB27B0B"/>
    <w:rsid w:val="2FC10B76"/>
    <w:rsid w:val="31065EB4"/>
    <w:rsid w:val="311F3D4B"/>
    <w:rsid w:val="3204329C"/>
    <w:rsid w:val="32457681"/>
    <w:rsid w:val="343B4949"/>
    <w:rsid w:val="34D16F87"/>
    <w:rsid w:val="37731B82"/>
    <w:rsid w:val="38290663"/>
    <w:rsid w:val="38FF1457"/>
    <w:rsid w:val="391D1293"/>
    <w:rsid w:val="3AFC5B2A"/>
    <w:rsid w:val="3C8465FD"/>
    <w:rsid w:val="3CB039C2"/>
    <w:rsid w:val="3E1372F6"/>
    <w:rsid w:val="3E1F1119"/>
    <w:rsid w:val="3F044FC2"/>
    <w:rsid w:val="3F7A19CE"/>
    <w:rsid w:val="40A037AA"/>
    <w:rsid w:val="43F21A36"/>
    <w:rsid w:val="456B2620"/>
    <w:rsid w:val="45772CCD"/>
    <w:rsid w:val="45EB6B54"/>
    <w:rsid w:val="477C5846"/>
    <w:rsid w:val="487E530C"/>
    <w:rsid w:val="48D9349C"/>
    <w:rsid w:val="492431A3"/>
    <w:rsid w:val="497439F8"/>
    <w:rsid w:val="49F42F47"/>
    <w:rsid w:val="4BA40EA6"/>
    <w:rsid w:val="4BE848C6"/>
    <w:rsid w:val="4E1A6112"/>
    <w:rsid w:val="4E35229A"/>
    <w:rsid w:val="4E62098C"/>
    <w:rsid w:val="4EB66B3A"/>
    <w:rsid w:val="4EF3599D"/>
    <w:rsid w:val="4F027994"/>
    <w:rsid w:val="4FAD1F81"/>
    <w:rsid w:val="50CD3B0F"/>
    <w:rsid w:val="51790553"/>
    <w:rsid w:val="52810075"/>
    <w:rsid w:val="528D41F1"/>
    <w:rsid w:val="54057003"/>
    <w:rsid w:val="56C77019"/>
    <w:rsid w:val="57BF3B49"/>
    <w:rsid w:val="57C66AC1"/>
    <w:rsid w:val="57D71C0B"/>
    <w:rsid w:val="594B0C35"/>
    <w:rsid w:val="59531072"/>
    <w:rsid w:val="59A83B1F"/>
    <w:rsid w:val="59F21468"/>
    <w:rsid w:val="59FE14CD"/>
    <w:rsid w:val="5A5D75E2"/>
    <w:rsid w:val="5A6D3F11"/>
    <w:rsid w:val="5C681FEF"/>
    <w:rsid w:val="5DA2383C"/>
    <w:rsid w:val="5DEC0474"/>
    <w:rsid w:val="616D0926"/>
    <w:rsid w:val="616D1C17"/>
    <w:rsid w:val="61EE675F"/>
    <w:rsid w:val="627E417F"/>
    <w:rsid w:val="629565EC"/>
    <w:rsid w:val="632B35F7"/>
    <w:rsid w:val="63860915"/>
    <w:rsid w:val="63E868BA"/>
    <w:rsid w:val="644A4AA3"/>
    <w:rsid w:val="65992E33"/>
    <w:rsid w:val="65C10390"/>
    <w:rsid w:val="65C619B1"/>
    <w:rsid w:val="66E14052"/>
    <w:rsid w:val="691167F9"/>
    <w:rsid w:val="69AD332C"/>
    <w:rsid w:val="6B3454FD"/>
    <w:rsid w:val="6BB23D39"/>
    <w:rsid w:val="6BB927E1"/>
    <w:rsid w:val="6CD30955"/>
    <w:rsid w:val="6D23361F"/>
    <w:rsid w:val="6D34172A"/>
    <w:rsid w:val="6D54410A"/>
    <w:rsid w:val="6DD1503C"/>
    <w:rsid w:val="6EF97734"/>
    <w:rsid w:val="702827AA"/>
    <w:rsid w:val="749F3CD3"/>
    <w:rsid w:val="74B421C3"/>
    <w:rsid w:val="76632D41"/>
    <w:rsid w:val="7A885C7F"/>
    <w:rsid w:val="7B400505"/>
    <w:rsid w:val="7CAB0ADF"/>
    <w:rsid w:val="7CE3604B"/>
    <w:rsid w:val="7CF77E01"/>
    <w:rsid w:val="7F045B76"/>
    <w:rsid w:val="7F073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11"/>
    <w:basedOn w:val="5"/>
    <w:qFormat/>
    <w:uiPriority w:val="0"/>
    <w:rPr>
      <w:rFonts w:ascii="font-weight : 700" w:hAnsi="font-weight : 700" w:eastAsia="font-weight : 700" w:cs="font-weight : 700"/>
      <w:color w:val="000000"/>
      <w:sz w:val="22"/>
      <w:szCs w:val="22"/>
      <w:u w:val="none"/>
    </w:rPr>
  </w:style>
  <w:style w:type="character" w:customStyle="1" w:styleId="7">
    <w:name w:val="font31"/>
    <w:basedOn w:val="5"/>
    <w:qFormat/>
    <w:uiPriority w:val="0"/>
    <w:rPr>
      <w:rFonts w:ascii="仿宋" w:hAnsi="仿宋" w:eastAsia="仿宋" w:cs="仿宋"/>
      <w:b/>
      <w:color w:val="000000"/>
      <w:sz w:val="22"/>
      <w:szCs w:val="22"/>
      <w:u w:val="none"/>
    </w:rPr>
  </w:style>
  <w:style w:type="paragraph" w:customStyle="1" w:styleId="8">
    <w:name w:val="Picture caption|1"/>
    <w:basedOn w:val="1"/>
    <w:qFormat/>
    <w:uiPriority w:val="0"/>
    <w:pPr>
      <w:widowControl w:val="0"/>
      <w:shd w:val="clear" w:color="auto" w:fill="auto"/>
      <w:spacing w:line="295" w:lineRule="exact"/>
      <w:ind w:firstLine="440"/>
    </w:pPr>
    <w:rPr>
      <w:rFonts w:ascii="宋体" w:hAnsi="宋体" w:eastAsia="宋体" w:cs="宋体"/>
      <w:sz w:val="22"/>
      <w:szCs w:val="22"/>
      <w:u w:val="none"/>
      <w:shd w:val="clear" w:color="auto" w:fill="auto"/>
      <w:lang w:val="zh-TW" w:eastAsia="zh-TW" w:bidi="zh-TW"/>
    </w:rPr>
  </w:style>
  <w:style w:type="paragraph" w:customStyle="1" w:styleId="9">
    <w:name w:val="Header or footer|2"/>
    <w:basedOn w:val="1"/>
    <w:qFormat/>
    <w:uiPriority w:val="0"/>
    <w:pPr>
      <w:widowControl w:val="0"/>
      <w:shd w:val="clear" w:color="auto" w:fill="auto"/>
    </w:pPr>
    <w:rPr>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148</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2021-01-29T07:05:00Z</dcterms:created>
  <dc:creator>王玉富</dc:creator>
  <cp:lastModifiedBy>hasee</cp:lastModifiedBy>
  <cp:lastPrinted>2021-03-14T08:45:00Z</cp:lastPrinted>
  <dcterms:modified xsi:type="dcterms:W3CDTF">2021-03-14T09:02:25Z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DEACD837D94D4EA48E59BDC574019AAC</vt:lpwstr>
  </property>
</Properties>
</file>