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安徽省安车交通运输集团有限公司车辆保险</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008</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三月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FF0000"/>
          <w:kern w:val="0"/>
          <w:sz w:val="32"/>
          <w:szCs w:val="32"/>
          <w:highlight w:val="none"/>
          <w:lang w:val="en-US" w:eastAsia="zh-CN"/>
        </w:rPr>
      </w:pPr>
      <w:r>
        <w:rPr>
          <w:rFonts w:hint="default" w:ascii="Times New Roman" w:hAnsi="Times New Roman" w:eastAsia="黑体" w:cs="Times New Roman"/>
          <w:color w:val="FF0000"/>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FF0000"/>
          <w:kern w:val="0"/>
          <w:sz w:val="32"/>
          <w:szCs w:val="32"/>
          <w:highlight w:val="none"/>
          <w:lang w:val="en-US" w:eastAsia="zh-CN"/>
        </w:rPr>
      </w:pPr>
      <w:r>
        <w:rPr>
          <w:rFonts w:hint="default" w:ascii="Times New Roman" w:hAnsi="Times New Roman" w:eastAsia="黑体" w:cs="Times New Roman"/>
          <w:color w:val="FF0000"/>
          <w:kern w:val="0"/>
          <w:sz w:val="32"/>
          <w:szCs w:val="32"/>
          <w:highlight w:val="none"/>
          <w:lang w:val="en-US" w:eastAsia="zh-CN"/>
        </w:rPr>
        <w:t>第二章 投标人须知...................................................................</w:t>
      </w:r>
      <w:r>
        <w:rPr>
          <w:rFonts w:hint="eastAsia" w:ascii="Times New Roman" w:hAnsi="Times New Roman" w:eastAsia="黑体" w:cs="Times New Roman"/>
          <w:color w:val="FF0000"/>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FF0000"/>
          <w:kern w:val="0"/>
          <w:sz w:val="32"/>
          <w:szCs w:val="32"/>
          <w:highlight w:val="none"/>
          <w:lang w:val="en-US" w:eastAsia="zh-CN"/>
        </w:rPr>
      </w:pPr>
      <w:r>
        <w:rPr>
          <w:rFonts w:hint="default" w:ascii="Times New Roman" w:hAnsi="Times New Roman" w:eastAsia="黑体" w:cs="Times New Roman"/>
          <w:color w:val="FF0000"/>
          <w:kern w:val="0"/>
          <w:sz w:val="32"/>
          <w:szCs w:val="32"/>
          <w:highlight w:val="none"/>
          <w:lang w:val="en-US" w:eastAsia="zh-CN"/>
        </w:rPr>
        <w:t>第三章 评标办法</w:t>
      </w:r>
      <w:r>
        <w:rPr>
          <w:rFonts w:hint="eastAsia" w:ascii="Times New Roman" w:hAnsi="Times New Roman" w:eastAsia="黑体" w:cs="Times New Roman"/>
          <w:color w:val="FF0000"/>
          <w:kern w:val="0"/>
          <w:sz w:val="32"/>
          <w:szCs w:val="32"/>
          <w:highlight w:val="none"/>
          <w:lang w:val="en-US" w:eastAsia="zh-CN"/>
        </w:rPr>
        <w:t>（综合评估法）</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FF0000"/>
          <w:kern w:val="0"/>
          <w:sz w:val="32"/>
          <w:szCs w:val="32"/>
          <w:highlight w:val="none"/>
          <w:lang w:val="en-US" w:eastAsia="zh-CN"/>
        </w:rPr>
      </w:pPr>
      <w:r>
        <w:rPr>
          <w:rFonts w:hint="default" w:ascii="Times New Roman" w:hAnsi="Times New Roman" w:eastAsia="黑体" w:cs="Times New Roman"/>
          <w:color w:val="FF0000"/>
          <w:kern w:val="0"/>
          <w:sz w:val="32"/>
          <w:szCs w:val="32"/>
          <w:highlight w:val="none"/>
          <w:lang w:val="en-US" w:eastAsia="zh-CN"/>
        </w:rPr>
        <w:t>第四章 合同条款及格式......................................</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FF0000"/>
          <w:kern w:val="0"/>
          <w:sz w:val="32"/>
          <w:szCs w:val="32"/>
          <w:highlight w:val="none"/>
          <w:lang w:val="en-US" w:eastAsia="zh-CN"/>
        </w:rPr>
      </w:pPr>
      <w:r>
        <w:rPr>
          <w:rFonts w:hint="default" w:ascii="Times New Roman" w:hAnsi="Times New Roman" w:eastAsia="黑体" w:cs="Times New Roman"/>
          <w:color w:val="FF0000"/>
          <w:kern w:val="0"/>
          <w:sz w:val="32"/>
          <w:szCs w:val="32"/>
          <w:highlight w:val="none"/>
          <w:lang w:val="en-US" w:eastAsia="zh-CN"/>
        </w:rPr>
        <w:t>第</w:t>
      </w:r>
      <w:r>
        <w:rPr>
          <w:rFonts w:hint="eastAsia" w:ascii="Times New Roman" w:hAnsi="Times New Roman" w:eastAsia="黑体" w:cs="Times New Roman"/>
          <w:color w:val="FF0000"/>
          <w:kern w:val="0"/>
          <w:sz w:val="32"/>
          <w:szCs w:val="32"/>
          <w:highlight w:val="none"/>
          <w:lang w:val="en-US" w:eastAsia="zh-CN"/>
        </w:rPr>
        <w:t>五</w:t>
      </w:r>
      <w:r>
        <w:rPr>
          <w:rFonts w:hint="default" w:ascii="Times New Roman" w:hAnsi="Times New Roman" w:eastAsia="黑体" w:cs="Times New Roman"/>
          <w:color w:val="FF0000"/>
          <w:kern w:val="0"/>
          <w:sz w:val="32"/>
          <w:szCs w:val="32"/>
          <w:highlight w:val="none"/>
          <w:lang w:val="en-US" w:eastAsia="zh-CN"/>
        </w:rPr>
        <w:t xml:space="preserve">章 </w:t>
      </w:r>
      <w:r>
        <w:rPr>
          <w:rFonts w:hint="eastAsia" w:ascii="Times New Roman" w:hAnsi="Times New Roman" w:eastAsia="黑体" w:cs="Times New Roman"/>
          <w:color w:val="FF0000"/>
          <w:kern w:val="0"/>
          <w:sz w:val="32"/>
          <w:szCs w:val="32"/>
          <w:highlight w:val="none"/>
          <w:lang w:val="en-US" w:eastAsia="zh-CN"/>
        </w:rPr>
        <w:t>发包人要求</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FF0000"/>
          <w:kern w:val="0"/>
          <w:sz w:val="32"/>
          <w:szCs w:val="32"/>
          <w:highlight w:val="none"/>
          <w:lang w:val="en-US" w:eastAsia="zh-CN"/>
        </w:rPr>
      </w:pPr>
      <w:r>
        <w:rPr>
          <w:rFonts w:hint="default" w:ascii="Times New Roman" w:hAnsi="Times New Roman" w:eastAsia="黑体" w:cs="Times New Roman"/>
          <w:color w:val="FF0000"/>
          <w:kern w:val="0"/>
          <w:sz w:val="32"/>
          <w:szCs w:val="32"/>
          <w:highlight w:val="none"/>
          <w:lang w:val="en-US" w:eastAsia="zh-CN"/>
        </w:rPr>
        <w:t>第</w:t>
      </w:r>
      <w:r>
        <w:rPr>
          <w:rFonts w:hint="eastAsia" w:ascii="Times New Roman" w:hAnsi="Times New Roman" w:eastAsia="黑体" w:cs="Times New Roman"/>
          <w:color w:val="FF0000"/>
          <w:kern w:val="0"/>
          <w:sz w:val="32"/>
          <w:szCs w:val="32"/>
          <w:highlight w:val="none"/>
          <w:lang w:val="en-US" w:eastAsia="zh-CN"/>
        </w:rPr>
        <w:t>六</w:t>
      </w:r>
      <w:r>
        <w:rPr>
          <w:rFonts w:hint="default" w:ascii="Times New Roman" w:hAnsi="Times New Roman" w:eastAsia="黑体" w:cs="Times New Roman"/>
          <w:color w:val="FF0000"/>
          <w:kern w:val="0"/>
          <w:sz w:val="32"/>
          <w:szCs w:val="32"/>
          <w:highlight w:val="none"/>
          <w:lang w:val="en-US" w:eastAsia="zh-CN"/>
        </w:rPr>
        <w:t xml:space="preserve">章 </w:t>
      </w:r>
      <w:r>
        <w:rPr>
          <w:rFonts w:hint="eastAsia" w:ascii="Times New Roman" w:hAnsi="Times New Roman" w:eastAsia="黑体" w:cs="Times New Roman"/>
          <w:color w:val="FF0000"/>
          <w:kern w:val="0"/>
          <w:sz w:val="32"/>
          <w:szCs w:val="32"/>
          <w:highlight w:val="none"/>
          <w:lang w:val="en-US" w:eastAsia="zh-CN"/>
        </w:rPr>
        <w:t>投标文件格式</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w:t>
      </w:r>
      <w:r>
        <w:rPr>
          <w:rFonts w:hint="default" w:ascii="Times New Roman" w:hAnsi="Times New Roman" w:eastAsia="黑体" w:cs="Times New Roman"/>
          <w:color w:val="FF0000"/>
          <w:kern w:val="0"/>
          <w:sz w:val="32"/>
          <w:szCs w:val="32"/>
          <w:highlight w:val="none"/>
          <w:lang w:val="en-US" w:eastAsia="zh-CN"/>
        </w:rPr>
        <w:t>.......</w:t>
      </w:r>
      <w:r>
        <w:rPr>
          <w:rFonts w:hint="eastAsia" w:ascii="Times New Roman" w:hAnsi="Times New Roman" w:eastAsia="黑体" w:cs="Times New Roman"/>
          <w:color w:val="FF0000"/>
          <w:kern w:val="0"/>
          <w:sz w:val="32"/>
          <w:szCs w:val="32"/>
          <w:highlight w:val="none"/>
          <w:lang w:val="en-US" w:eastAsia="zh-CN"/>
        </w:rPr>
        <w:t>39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安徽省安车交通运输集团有限公司车辆保险</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247085680"/>
      <w:bookmarkStart w:id="2" w:name="_Toc246996166"/>
      <w:bookmarkStart w:id="3" w:name="_Toc179632536"/>
      <w:bookmarkStart w:id="4" w:name="_Toc144974487"/>
      <w:bookmarkStart w:id="5" w:name="_Toc152045519"/>
      <w:bookmarkStart w:id="6" w:name="_Toc152042295"/>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167"/>
      <w:bookmarkStart w:id="9" w:name="_Toc246996910"/>
      <w:bookmarkStart w:id="10" w:name="_Toc247085681"/>
      <w:bookmarkStart w:id="11" w:name="_Toc152042296"/>
      <w:bookmarkStart w:id="12" w:name="_Toc296602411"/>
      <w:bookmarkStart w:id="13" w:name="_Toc179632537"/>
      <w:bookmarkStart w:id="14" w:name="_Toc152045520"/>
      <w:bookmarkStart w:id="15" w:name="_Toc144974488"/>
      <w:r>
        <w:rPr>
          <w:rFonts w:ascii="Times New Roman" w:hAnsi="Times New Roman" w:eastAsia="仿宋_GB2312" w:cs="Times New Roman"/>
          <w:sz w:val="28"/>
          <w:szCs w:val="28"/>
        </w:rPr>
        <w:t>本招标项目为</w:t>
      </w:r>
      <w:r>
        <w:rPr>
          <w:rFonts w:ascii="Times New Roman" w:hAnsi="Times New Roman" w:eastAsia="仿宋_GB2312" w:cs="Times New Roman"/>
          <w:sz w:val="28"/>
          <w:szCs w:val="28"/>
          <w:u w:val="single"/>
        </w:rPr>
        <w:t>安徽省安车交通运输集团有限公司车辆保险（项目编号：BZJK-20</w:t>
      </w:r>
      <w:r>
        <w:rPr>
          <w:rFonts w:hint="eastAsia" w:ascii="Times New Roman" w:hAnsi="Times New Roman" w:eastAsia="仿宋_GB2312" w:cs="Times New Roman"/>
          <w:sz w:val="28"/>
          <w:szCs w:val="28"/>
          <w:u w:val="single"/>
        </w:rPr>
        <w:t>21</w:t>
      </w:r>
      <w:r>
        <w:rPr>
          <w:rFonts w:ascii="Times New Roman" w:hAnsi="Times New Roman" w:eastAsia="仿宋_GB2312" w:cs="Times New Roman"/>
          <w:sz w:val="28"/>
          <w:szCs w:val="28"/>
          <w:u w:val="single"/>
        </w:rPr>
        <w:t>-</w:t>
      </w:r>
      <w:r>
        <w:rPr>
          <w:rFonts w:hint="eastAsia" w:ascii="Times New Roman" w:hAnsi="Times New Roman" w:eastAsia="仿宋_GB2312" w:cs="Times New Roman"/>
          <w:sz w:val="28"/>
          <w:szCs w:val="28"/>
          <w:highlight w:val="none"/>
          <w:u w:val="single"/>
          <w:lang w:val="en-US" w:eastAsia="zh-CN"/>
        </w:rPr>
        <w:t>008</w:t>
      </w:r>
      <w:r>
        <w:rPr>
          <w:rFonts w:ascii="Times New Roman" w:hAnsi="Times New Roman" w:eastAsia="仿宋_GB2312" w:cs="Times New Roman"/>
          <w:sz w:val="28"/>
          <w:szCs w:val="28"/>
          <w:u w:val="single"/>
        </w:rPr>
        <w:t>号）</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项目业主为</w:t>
      </w:r>
      <w:r>
        <w:rPr>
          <w:rFonts w:hint="eastAsia" w:ascii="Times New Roman" w:hAnsi="Times New Roman" w:eastAsia="仿宋_GB2312" w:cs="Times New Roman"/>
          <w:sz w:val="28"/>
          <w:szCs w:val="28"/>
          <w:u w:val="single"/>
        </w:rPr>
        <w:t>亳州建投安天汽车贸易服务有限公司、安徽安行天下驾驶培训股份有限公司</w:t>
      </w:r>
      <w:r>
        <w:rPr>
          <w:rFonts w:hint="eastAsia" w:ascii="Times New Roman" w:hAnsi="Times New Roman" w:eastAsia="仿宋_GB2312" w:cs="Times New Roman"/>
          <w:sz w:val="28"/>
          <w:szCs w:val="28"/>
        </w:rPr>
        <w:t>，项目资金来自</w:t>
      </w:r>
      <w:r>
        <w:rPr>
          <w:rFonts w:hint="eastAsia" w:ascii="Times New Roman" w:hAnsi="Times New Roman" w:eastAsia="仿宋_GB2312" w:cs="Times New Roman"/>
          <w:sz w:val="28"/>
          <w:szCs w:val="28"/>
          <w:u w:val="single"/>
        </w:rPr>
        <w:t>业主自筹</w:t>
      </w:r>
      <w:r>
        <w:rPr>
          <w:rFonts w:hint="eastAsia" w:ascii="Times New Roman" w:hAnsi="Times New Roman" w:eastAsia="仿宋_GB2312" w:cs="Times New Roman"/>
          <w:sz w:val="28"/>
          <w:szCs w:val="28"/>
        </w:rPr>
        <w:t>，</w:t>
      </w:r>
      <w:r>
        <w:rPr>
          <w:rFonts w:ascii="Times New Roman" w:hAnsi="Times New Roman" w:eastAsia="仿宋_GB2312" w:cs="Times New Roman"/>
          <w:sz w:val="28"/>
          <w:szCs w:val="28"/>
        </w:rPr>
        <w:t>招标人为</w:t>
      </w:r>
      <w:r>
        <w:rPr>
          <w:rFonts w:ascii="Times New Roman" w:hAnsi="Times New Roman" w:eastAsia="仿宋_GB2312" w:cs="Times New Roman"/>
          <w:sz w:val="28"/>
          <w:szCs w:val="28"/>
          <w:u w:val="single"/>
        </w:rPr>
        <w:t>安徽省安车交通运输集团有限公司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招标人业务发展需要，现对招标人全资子公司亳州建投安天汽车贸易服务有限公司名下120辆租赁车辆、安徽安行天下驾驶培训股份有限公司名下268辆考训车辆保险服务进行公开招标，欢迎符合资格要求的投标人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（二）招标范围：本项目投保车辆详细信息见第三章发包人要求；投保车辆数量、险种及保额见下表：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701"/>
        <w:gridCol w:w="1134"/>
        <w:gridCol w:w="113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序号</w:t>
            </w:r>
          </w:p>
        </w:tc>
        <w:tc>
          <w:tcPr>
            <w:tcW w:w="1701" w:type="dxa"/>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业主</w:t>
            </w:r>
          </w:p>
        </w:tc>
        <w:tc>
          <w:tcPr>
            <w:tcW w:w="1134" w:type="dxa"/>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车辆</w:t>
            </w:r>
          </w:p>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类型</w:t>
            </w:r>
          </w:p>
        </w:tc>
        <w:tc>
          <w:tcPr>
            <w:tcW w:w="1134" w:type="dxa"/>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车辆</w:t>
            </w:r>
          </w:p>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数量</w:t>
            </w:r>
          </w:p>
        </w:tc>
        <w:tc>
          <w:tcPr>
            <w:tcW w:w="3702" w:type="dxa"/>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投保险种及保额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restart"/>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w:t>
            </w:r>
          </w:p>
        </w:tc>
        <w:tc>
          <w:tcPr>
            <w:tcW w:w="1701" w:type="dxa"/>
            <w:vMerge w:val="restart"/>
            <w:vAlign w:val="center"/>
          </w:tcPr>
          <w:p>
            <w:pPr>
              <w:wordWrap w:val="0"/>
              <w:spacing w:line="4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亳州建投安天汽车贸易服务有限公司</w:t>
            </w:r>
          </w:p>
        </w:tc>
        <w:tc>
          <w:tcPr>
            <w:tcW w:w="1134" w:type="dxa"/>
            <w:vMerge w:val="restart"/>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租赁</w:t>
            </w:r>
          </w:p>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车辆</w:t>
            </w:r>
          </w:p>
        </w:tc>
        <w:tc>
          <w:tcPr>
            <w:tcW w:w="1134" w:type="dxa"/>
            <w:vAlign w:val="center"/>
          </w:tcPr>
          <w:p>
            <w:pPr>
              <w:wordWrap w:val="0"/>
              <w:spacing w:line="440" w:lineRule="exact"/>
              <w:jc w:val="center"/>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118辆</w:t>
            </w:r>
          </w:p>
        </w:tc>
        <w:tc>
          <w:tcPr>
            <w:tcW w:w="3702" w:type="dxa"/>
            <w:vAlign w:val="center"/>
          </w:tcPr>
          <w:p>
            <w:pPr>
              <w:wordWrap w:val="0"/>
              <w:spacing w:line="44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交强险、第三者责任险（保额100万元）、车损险（含不计免赔）、车上人员责任险（保额10万元每座）、车船税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continue"/>
            <w:vAlign w:val="center"/>
          </w:tcPr>
          <w:p>
            <w:pPr>
              <w:wordWrap w:val="0"/>
              <w:spacing w:line="440" w:lineRule="exact"/>
              <w:jc w:val="center"/>
              <w:rPr>
                <w:rFonts w:ascii="Times New Roman" w:hAnsi="Times New Roman" w:eastAsia="仿宋_GB2312" w:cs="Times New Roman"/>
                <w:sz w:val="28"/>
                <w:szCs w:val="28"/>
              </w:rPr>
            </w:pPr>
          </w:p>
        </w:tc>
        <w:tc>
          <w:tcPr>
            <w:tcW w:w="1701" w:type="dxa"/>
            <w:vMerge w:val="continue"/>
            <w:vAlign w:val="center"/>
          </w:tcPr>
          <w:p>
            <w:pPr>
              <w:wordWrap w:val="0"/>
              <w:spacing w:line="440" w:lineRule="exact"/>
              <w:rPr>
                <w:rFonts w:ascii="Times New Roman" w:hAnsi="Times New Roman" w:eastAsia="仿宋_GB2312" w:cs="Times New Roman"/>
                <w:sz w:val="28"/>
                <w:szCs w:val="28"/>
              </w:rPr>
            </w:pPr>
          </w:p>
        </w:tc>
        <w:tc>
          <w:tcPr>
            <w:tcW w:w="1134" w:type="dxa"/>
            <w:vMerge w:val="continue"/>
            <w:vAlign w:val="center"/>
          </w:tcPr>
          <w:p>
            <w:pPr>
              <w:wordWrap w:val="0"/>
              <w:spacing w:line="440" w:lineRule="exact"/>
              <w:jc w:val="center"/>
              <w:rPr>
                <w:rFonts w:ascii="Times New Roman" w:hAnsi="Times New Roman" w:eastAsia="仿宋_GB2312" w:cs="Times New Roman"/>
                <w:sz w:val="28"/>
                <w:szCs w:val="28"/>
              </w:rPr>
            </w:pPr>
          </w:p>
        </w:tc>
        <w:tc>
          <w:tcPr>
            <w:tcW w:w="1134" w:type="dxa"/>
            <w:vAlign w:val="center"/>
          </w:tcPr>
          <w:p>
            <w:pPr>
              <w:wordWrap w:val="0"/>
              <w:spacing w:line="440" w:lineRule="exact"/>
              <w:jc w:val="center"/>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2辆</w:t>
            </w:r>
          </w:p>
        </w:tc>
        <w:tc>
          <w:tcPr>
            <w:tcW w:w="3702" w:type="dxa"/>
            <w:vAlign w:val="center"/>
          </w:tcPr>
          <w:p>
            <w:pPr>
              <w:wordWrap w:val="0"/>
              <w:spacing w:line="44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交强险、车船税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restart"/>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2</w:t>
            </w:r>
          </w:p>
        </w:tc>
        <w:tc>
          <w:tcPr>
            <w:tcW w:w="1701" w:type="dxa"/>
            <w:vMerge w:val="restart"/>
            <w:vAlign w:val="center"/>
          </w:tcPr>
          <w:p>
            <w:pPr>
              <w:wordWrap w:val="0"/>
              <w:spacing w:line="44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安徽安行天下驾驶培训股份有限公司</w:t>
            </w:r>
          </w:p>
        </w:tc>
        <w:tc>
          <w:tcPr>
            <w:tcW w:w="1134" w:type="dxa"/>
            <w:vMerge w:val="restart"/>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lang w:eastAsia="zh-CN"/>
              </w:rPr>
              <w:t>考训</w:t>
            </w:r>
            <w:r>
              <w:rPr>
                <w:rFonts w:hint="eastAsia" w:ascii="Times New Roman" w:hAnsi="Times New Roman" w:eastAsia="仿宋_GB2312" w:cs="Times New Roman"/>
                <w:sz w:val="28"/>
                <w:szCs w:val="28"/>
                <w:lang w:eastAsia="zh-CN"/>
              </w:rPr>
              <w:br w:type="textWrapping"/>
            </w:r>
            <w:r>
              <w:rPr>
                <w:rFonts w:hint="eastAsia" w:ascii="Times New Roman" w:hAnsi="Times New Roman" w:eastAsia="仿宋_GB2312" w:cs="Times New Roman"/>
                <w:sz w:val="28"/>
                <w:szCs w:val="28"/>
              </w:rPr>
              <w:t>车辆</w:t>
            </w:r>
          </w:p>
        </w:tc>
        <w:tc>
          <w:tcPr>
            <w:tcW w:w="1134" w:type="dxa"/>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91辆</w:t>
            </w:r>
          </w:p>
        </w:tc>
        <w:tc>
          <w:tcPr>
            <w:tcW w:w="3702" w:type="dxa"/>
            <w:vAlign w:val="center"/>
          </w:tcPr>
          <w:p>
            <w:pPr>
              <w:wordWrap w:val="0"/>
              <w:spacing w:line="44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交强险、第三者责任险（保额100万元）、不计免赔险、车船税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Merge w:val="continue"/>
            <w:vAlign w:val="center"/>
          </w:tcPr>
          <w:p>
            <w:pPr>
              <w:wordWrap w:val="0"/>
              <w:spacing w:line="440" w:lineRule="exact"/>
              <w:jc w:val="center"/>
              <w:rPr>
                <w:rFonts w:ascii="Times New Roman" w:hAnsi="Times New Roman" w:eastAsia="仿宋_GB2312" w:cs="Times New Roman"/>
                <w:sz w:val="28"/>
                <w:szCs w:val="28"/>
              </w:rPr>
            </w:pPr>
          </w:p>
        </w:tc>
        <w:tc>
          <w:tcPr>
            <w:tcW w:w="1701" w:type="dxa"/>
            <w:vMerge w:val="continue"/>
            <w:vAlign w:val="center"/>
          </w:tcPr>
          <w:p>
            <w:pPr>
              <w:wordWrap w:val="0"/>
              <w:spacing w:line="440" w:lineRule="exact"/>
              <w:jc w:val="center"/>
              <w:rPr>
                <w:rFonts w:ascii="Times New Roman" w:hAnsi="Times New Roman" w:eastAsia="仿宋_GB2312" w:cs="Times New Roman"/>
                <w:sz w:val="28"/>
                <w:szCs w:val="28"/>
              </w:rPr>
            </w:pPr>
          </w:p>
        </w:tc>
        <w:tc>
          <w:tcPr>
            <w:tcW w:w="1134" w:type="dxa"/>
            <w:vMerge w:val="continue"/>
            <w:vAlign w:val="center"/>
          </w:tcPr>
          <w:p>
            <w:pPr>
              <w:wordWrap w:val="0"/>
              <w:spacing w:line="440" w:lineRule="exact"/>
              <w:jc w:val="center"/>
              <w:rPr>
                <w:rFonts w:ascii="Times New Roman" w:hAnsi="Times New Roman" w:eastAsia="仿宋_GB2312" w:cs="Times New Roman"/>
                <w:sz w:val="28"/>
                <w:szCs w:val="28"/>
              </w:rPr>
            </w:pPr>
          </w:p>
        </w:tc>
        <w:tc>
          <w:tcPr>
            <w:tcW w:w="1134" w:type="dxa"/>
            <w:vAlign w:val="center"/>
          </w:tcPr>
          <w:p>
            <w:pPr>
              <w:wordWrap w:val="0"/>
              <w:spacing w:line="440" w:lineRule="exact"/>
              <w:jc w:val="center"/>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177辆</w:t>
            </w:r>
          </w:p>
        </w:tc>
        <w:tc>
          <w:tcPr>
            <w:tcW w:w="3702" w:type="dxa"/>
            <w:vAlign w:val="center"/>
          </w:tcPr>
          <w:p>
            <w:pPr>
              <w:wordWrap w:val="0"/>
              <w:spacing w:line="440" w:lineRule="exact"/>
              <w:rPr>
                <w:rFonts w:ascii="Times New Roman" w:hAnsi="Times New Roman" w:eastAsia="仿宋_GB2312" w:cs="Times New Roman"/>
                <w:sz w:val="28"/>
                <w:szCs w:val="28"/>
              </w:rPr>
            </w:pPr>
            <w:r>
              <w:rPr>
                <w:rFonts w:hint="eastAsia" w:ascii="Times New Roman" w:hAnsi="Times New Roman" w:eastAsia="仿宋_GB2312" w:cs="Times New Roman"/>
                <w:sz w:val="28"/>
                <w:szCs w:val="28"/>
              </w:rPr>
              <w:t>交强险、车船税</w:t>
            </w:r>
          </w:p>
        </w:tc>
      </w:tr>
    </w:tbl>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本项目服务期限为3年，合同一年一签，合同期限为1年。在服务期限内，合同到期后，根据对保险公司的服务考核评价结果确定下一年是否续签合同，每次续签合同期限1年。如保险公司服务考核评价结果不合格，当期合同到期后终止合作，不再续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（四）质量标准：符合国家、地方、行业现行相关规范合格标准。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lang w:val="en-US" w:eastAsia="zh-CN"/>
        </w:rPr>
        <w:t>（五）最高投标限价：本次招标投标报价分为商业险和交强险（含车船税）两部分。</w:t>
      </w:r>
      <w:r>
        <w:rPr>
          <w:rFonts w:hint="default" w:ascii="Times New Roman" w:hAnsi="Times New Roman" w:eastAsia="仿宋_GB2312" w:cs="Times New Roman"/>
          <w:sz w:val="28"/>
          <w:szCs w:val="28"/>
          <w:highlight w:val="none"/>
          <w:lang w:val="en-US" w:eastAsia="zh-CN"/>
        </w:rPr>
        <w:t>①</w:t>
      </w:r>
      <w:r>
        <w:rPr>
          <w:rFonts w:hint="eastAsia" w:ascii="Times New Roman" w:hAnsi="Times New Roman" w:eastAsia="仿宋_GB2312" w:cs="Times New Roman"/>
          <w:sz w:val="28"/>
          <w:szCs w:val="28"/>
          <w:highlight w:val="none"/>
          <w:lang w:val="en-US" w:eastAsia="zh-CN"/>
        </w:rPr>
        <w:t>商业险部分由投标人按</w:t>
      </w:r>
      <w:r>
        <w:rPr>
          <w:rFonts w:hint="eastAsia" w:ascii="Times New Roman" w:hAnsi="Times New Roman" w:eastAsia="仿宋_GB2312" w:cs="Times New Roman"/>
          <w:b/>
          <w:bCs/>
          <w:sz w:val="28"/>
          <w:szCs w:val="28"/>
          <w:highlight w:val="none"/>
          <w:u w:val="single"/>
          <w:lang w:val="en-US" w:eastAsia="zh-CN"/>
        </w:rPr>
        <w:t>自主定价系数</w:t>
      </w:r>
      <w:r>
        <w:rPr>
          <w:rFonts w:hint="eastAsia" w:ascii="Times New Roman" w:hAnsi="Times New Roman" w:eastAsia="仿宋_GB2312" w:cs="Times New Roman"/>
          <w:sz w:val="28"/>
          <w:szCs w:val="28"/>
          <w:highlight w:val="none"/>
          <w:u w:val="none"/>
          <w:lang w:val="en-US" w:eastAsia="zh-CN"/>
        </w:rPr>
        <w:t>报价，自主定价系数=自主核保系数×自主渠道系数，投标人可在国家</w:t>
      </w:r>
      <w:r>
        <w:rPr>
          <w:rFonts w:hint="eastAsia" w:ascii="Times New Roman" w:hAnsi="Times New Roman" w:eastAsia="仿宋_GB2312" w:cs="Times New Roman"/>
          <w:sz w:val="28"/>
          <w:szCs w:val="28"/>
          <w:highlight w:val="none"/>
          <w:lang w:val="en-US" w:eastAsia="zh-CN"/>
        </w:rPr>
        <w:t>银保监会</w:t>
      </w:r>
      <w:r>
        <w:rPr>
          <w:rFonts w:hint="eastAsia" w:ascii="Times New Roman" w:hAnsi="Times New Roman" w:eastAsia="仿宋_GB2312" w:cs="Times New Roman"/>
          <w:sz w:val="28"/>
          <w:szCs w:val="28"/>
          <w:highlight w:val="none"/>
          <w:u w:val="none"/>
          <w:lang w:val="en-US" w:eastAsia="zh-CN"/>
        </w:rPr>
        <w:t>规定的自主定价系数范围内自由报价；</w:t>
      </w:r>
      <w:r>
        <w:rPr>
          <w:rFonts w:hint="default" w:ascii="Times New Roman" w:hAnsi="Times New Roman" w:eastAsia="仿宋_GB2312" w:cs="Times New Roman"/>
          <w:sz w:val="28"/>
          <w:szCs w:val="28"/>
          <w:highlight w:val="none"/>
          <w:u w:val="none"/>
          <w:lang w:val="en-US" w:eastAsia="zh-CN"/>
        </w:rPr>
        <w:t>②</w:t>
      </w:r>
      <w:r>
        <w:rPr>
          <w:rFonts w:hint="eastAsia" w:ascii="Times New Roman" w:hAnsi="Times New Roman" w:eastAsia="仿宋_GB2312" w:cs="Times New Roman"/>
          <w:sz w:val="28"/>
          <w:szCs w:val="28"/>
          <w:highlight w:val="none"/>
          <w:u w:val="none"/>
          <w:lang w:val="en-US" w:eastAsia="zh-CN"/>
        </w:rPr>
        <w:t>交强险、车船税部分执行国家有关规定，投标人应在国家政策允许范围内给予招标人最大优惠。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投标报价需符合国家银保监会有关规定，否则按无效投标处理。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基本要求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1.具有独立承担民事责任的能力，保险公司可委托其分公司参加投标，但同一保险公司仅能委托一个分公司参加投标；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2.具有良好的商业信誉和健全的财务会计制度；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3.具有履行合同所必需的设备和专业技术能力；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4.有依法缴纳税收和社会保障资金的良好记录；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5.2018年1月1日至今，在经营活动中没有重大违法记录；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6.2018年至2019年，任一年度均无经营亏损记录；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7.法律、行政法规规定的其他条件。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w:t>
      </w:r>
      <w:r>
        <w:rPr>
          <w:rFonts w:hint="eastAsia" w:ascii="Times New Roman" w:hAnsi="Times New Roman" w:eastAsia="仿宋_GB2312" w:cs="Times New Roman"/>
          <w:sz w:val="28"/>
          <w:szCs w:val="28"/>
          <w:highlight w:val="none"/>
          <w:u w:val="single"/>
          <w:lang w:val="en-US" w:eastAsia="zh-CN"/>
        </w:rPr>
        <w:t>中国保险监督管理委员会颁发的《经营保险业务许可证》，业务范围包含机动车辆保险业务</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（三）投标人应符合招标人本地化服务要求；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3</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16</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安徽省安车交通运输集团有限公司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亳州市谯城区京珠线以东、银杏路以北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马女士</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0558-5626865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安徽省安车交通运输集团有限公司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2021年3月</w:t>
      </w:r>
      <w:r>
        <w:rPr>
          <w:rFonts w:hint="eastAsia" w:ascii="Times New Roman" w:hAnsi="Times New Roman" w:eastAsia="仿宋_GB2312" w:cs="Times New Roman"/>
          <w:i w:val="0"/>
          <w:iCs w:val="0"/>
          <w:color w:val="auto"/>
          <w:sz w:val="28"/>
          <w:szCs w:val="28"/>
          <w:highlight w:val="none"/>
          <w:u w:val="none"/>
          <w:lang w:val="en-US" w:eastAsia="zh-CN"/>
        </w:rPr>
        <w:t>4</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iCs/>
                <w:color w:val="FF0000"/>
                <w:szCs w:val="21"/>
                <w:highlight w:val="none"/>
                <w:u w:val="single"/>
                <w:lang w:val="en-US" w:eastAsia="zh-CN"/>
              </w:rPr>
              <w:t>BZJK-2021-008号保证金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年至</w:t>
            </w:r>
            <w:r>
              <w:rPr>
                <w:rFonts w:hint="eastAsia" w:ascii="Times New Roman" w:hAnsi="Times New Roman" w:cs="Times New Roman"/>
                <w:szCs w:val="21"/>
                <w:highlight w:val="none"/>
                <w:u w:val="single"/>
                <w:lang w:val="en-US" w:eastAsia="zh-CN"/>
              </w:rPr>
              <w:t>2019</w:t>
            </w:r>
            <w:r>
              <w:rPr>
                <w:rFonts w:hint="eastAsia" w:ascii="Times New Roman" w:hAnsi="Times New Roman" w:cs="Times New Roman"/>
                <w:szCs w:val="21"/>
                <w:highlight w:val="none"/>
                <w:u w:val="none"/>
                <w:lang w:val="en-US" w:eastAsia="zh-CN"/>
              </w:rPr>
              <w:t>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开标地址：亳州市谯城区药都大道1289号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招标人：安徽省安车交通运输集团有限公司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安徽省安车交通运输集团有限公司车辆保险</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008号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3</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16</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《中华人民共和国标准设计招标文件》（2017年版）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综合评分相等时，以投标报价低的优先；投标报价也相等的，以偿付能力得分高的优先；如果偿付能力得分也相等，以投标人2018年及2019年营业收入之和高的优先，如果投标人2018年及2019年营业收入之和也相等，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或单位负责人）签字的，应附法定代表人（或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其他主要人员</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52045589"/>
            <w:bookmarkStart w:id="17" w:name="_Toc179632607"/>
            <w:bookmarkStart w:id="18" w:name="_Toc246996232"/>
            <w:bookmarkStart w:id="19" w:name="_Toc246996975"/>
            <w:bookmarkStart w:id="20" w:name="_Toc296602477"/>
            <w:bookmarkStart w:id="21" w:name="_Toc247085747"/>
            <w:bookmarkStart w:id="22" w:name="_Toc144974556"/>
            <w:bookmarkStart w:id="23" w:name="_Toc152042366"/>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投标报价：</w:t>
            </w:r>
            <w:r>
              <w:rPr>
                <w:rFonts w:hint="eastAsia" w:ascii="Times New Roman" w:hAnsi="Times New Roman" w:cs="Times New Roman"/>
                <w:color w:val="auto"/>
                <w:kern w:val="0"/>
                <w:sz w:val="24"/>
                <w:szCs w:val="24"/>
                <w:highlight w:val="none"/>
                <w:u w:val="single"/>
                <w:lang w:val="en-US" w:eastAsia="zh-CN"/>
              </w:rPr>
              <w:t>85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服务评价：</w:t>
            </w:r>
            <w:r>
              <w:rPr>
                <w:rFonts w:hint="eastAsia" w:ascii="Times New Roman" w:hAnsi="Times New Roman" w:cs="Times New Roman"/>
                <w:color w:val="auto"/>
                <w:kern w:val="0"/>
                <w:sz w:val="24"/>
                <w:szCs w:val="24"/>
                <w:highlight w:val="none"/>
                <w:u w:val="single"/>
                <w:lang w:val="en-US" w:eastAsia="zh-CN"/>
              </w:rPr>
              <w:t>5</w:t>
            </w:r>
            <w:r>
              <w:rPr>
                <w:rFonts w:hint="eastAsia" w:ascii="Times New Roman" w:hAnsi="Times New Roman" w:cs="Times New Roman"/>
                <w:color w:val="auto"/>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偿付能力：</w:t>
            </w:r>
            <w:r>
              <w:rPr>
                <w:rFonts w:hint="eastAsia" w:ascii="Times New Roman" w:hAnsi="Times New Roman" w:cs="Times New Roman"/>
                <w:color w:val="auto"/>
                <w:kern w:val="0"/>
                <w:sz w:val="24"/>
                <w:szCs w:val="24"/>
                <w:highlight w:val="none"/>
                <w:u w:val="single"/>
                <w:lang w:val="en-US" w:eastAsia="zh-CN"/>
              </w:rPr>
              <w:t>10</w:t>
            </w:r>
            <w:r>
              <w:rPr>
                <w:rFonts w:hint="eastAsia" w:ascii="Times New Roman" w:hAnsi="Times New Roman" w:cs="Times New Roman"/>
                <w:color w:val="auto"/>
                <w:kern w:val="0"/>
                <w:sz w:val="24"/>
                <w:szCs w:val="24"/>
                <w:highlight w:val="none"/>
                <w:lang w:val="en-US" w:eastAsia="zh-CN"/>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以通过初步评审的投标人的最低投标报价作为评标基准价。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偏差率=100%×</w:t>
            </w:r>
            <w:r>
              <w:rPr>
                <w:rFonts w:hint="eastAsia" w:ascii="Times New Roman" w:hAnsi="Times New Roman" w:cs="Times New Roman"/>
                <w:kern w:val="0"/>
                <w:sz w:val="24"/>
                <w:szCs w:val="24"/>
                <w:highlight w:val="none"/>
                <w:lang w:val="en-US" w:eastAsia="zh-CN"/>
              </w:rPr>
              <w:t>（评标基准价/投标人报价）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（85分）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投标报价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yellow"/>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（85分）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取通过初步评审的投标人的最低投标报价作为评标基准价。</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投标报价得分=（评标基准价/投标人报价）</w:t>
            </w:r>
            <w:r>
              <w:rPr>
                <w:rFonts w:hint="default" w:ascii="Arial" w:hAnsi="Arial" w:cs="Arial"/>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85</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注：保留小数点后两位，第三位四舍五入。投标报价需符合国家银保监会有关规定，否则按无效投标处理。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服务评价评分标准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（5分）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服务评价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投标人总公司服务评价结果为AA级及以上的得5分；A级得4.5分；BBB级得4分；BB级及B级得2分，其余不得分。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eastAsia="楷体_GB2312" w:cs="Times New Roman"/>
                <w:kern w:val="0"/>
                <w:sz w:val="24"/>
                <w:szCs w:val="24"/>
                <w:highlight w:val="none"/>
                <w:lang w:val="en-US" w:eastAsia="zh-CN"/>
              </w:rPr>
              <w:t>注：以《中国银保信发布2018年度保险公司服务评价结果》（2019年10月14日发布）表1：财产保险公司服务评价等级为准。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偿付能力评分标准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（10分）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偿付能力</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default" w:ascii="Times New Roman" w:hAnsi="Times New Roman" w:cs="Times New Roman" w:eastAsiaTheme="minorEastAsia"/>
                <w:i w:val="0"/>
                <w:iCs w:val="0"/>
                <w:color w:val="auto"/>
                <w:kern w:val="0"/>
                <w:sz w:val="24"/>
                <w:szCs w:val="24"/>
                <w:highlight w:val="none"/>
                <w:u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依据投标人总公司经审计的2019年度信息披露报告，保险公司综合偿付能力充足率在280%以上的，得10分；综合偿付能力充足率在250%以上、280%及以下的，得9分；综合偿付能力充足率在200%以上、250%及以下的，得8分；综合偿付能力充足率在180%以上、200%及以下的，得5分；综合偿付能力充足率在180%及以下的，不得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eastAsia="楷体_GB2312" w:cs="Times New Roman"/>
                <w:kern w:val="0"/>
                <w:sz w:val="24"/>
                <w:szCs w:val="24"/>
                <w:highlight w:val="none"/>
                <w:lang w:val="en-US" w:eastAsia="zh-CN"/>
              </w:rPr>
              <w:t>注：投标人</w:t>
            </w:r>
            <w:r>
              <w:rPr>
                <w:rFonts w:hint="eastAsia" w:ascii="Times New Roman" w:hAnsi="Times New Roman" w:eastAsia="楷体_GB2312" w:cs="Times New Roman"/>
                <w:kern w:val="0"/>
                <w:sz w:val="24"/>
                <w:szCs w:val="24"/>
                <w:highlight w:val="none"/>
                <w:lang w:val="en-US" w:eastAsia="zh-CN"/>
              </w:rPr>
              <w:t>应</w:t>
            </w:r>
            <w:r>
              <w:rPr>
                <w:rFonts w:hint="default" w:ascii="Times New Roman" w:hAnsi="Times New Roman" w:eastAsia="楷体_GB2312" w:cs="Times New Roman"/>
                <w:kern w:val="0"/>
                <w:sz w:val="24"/>
                <w:szCs w:val="24"/>
                <w:highlight w:val="none"/>
                <w:lang w:val="en-US" w:eastAsia="zh-CN"/>
              </w:rPr>
              <w:t>提供</w:t>
            </w:r>
            <w:r>
              <w:rPr>
                <w:rFonts w:hint="eastAsia" w:ascii="Times New Roman" w:hAnsi="Times New Roman" w:eastAsia="楷体_GB2312" w:cs="Times New Roman"/>
                <w:kern w:val="0"/>
                <w:sz w:val="24"/>
                <w:szCs w:val="24"/>
                <w:highlight w:val="none"/>
                <w:lang w:val="en-US" w:eastAsia="zh-CN"/>
              </w:rPr>
              <w:t>总公司</w:t>
            </w:r>
            <w:r>
              <w:rPr>
                <w:rFonts w:hint="default" w:ascii="Times New Roman" w:hAnsi="Times New Roman" w:eastAsia="楷体_GB2312" w:cs="Times New Roman"/>
                <w:kern w:val="0"/>
                <w:sz w:val="24"/>
                <w:szCs w:val="24"/>
                <w:highlight w:val="none"/>
                <w:lang w:val="en-US" w:eastAsia="zh-CN"/>
              </w:rPr>
              <w:t>经审计的2019年度信息披露报告，并装订入投标文件；投标人提供的信息披露报告与中国保险行业协会披露信息不一致的，以中国保险行业协会披露信息为准。</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以偿付能力得分高的优先；如果偿付能力得分也相等，以投标人2018年及2019年营业收入之和高的优先，如果投标人2018年及2019年营业收入之和也相等，由招标人或其授权的评标委员会自行确定（一般宜采用投票制，少数服从多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44974557"/>
      <w:bookmarkStart w:id="25" w:name="_Toc179632608"/>
      <w:bookmarkStart w:id="26" w:name="_Toc152045590"/>
      <w:bookmarkStart w:id="27" w:name="_Toc296602478"/>
      <w:bookmarkStart w:id="28" w:name="_Toc247085748"/>
      <w:bookmarkStart w:id="29" w:name="_Toc152042367"/>
      <w:bookmarkStart w:id="30" w:name="_Toc246996976"/>
      <w:bookmarkStart w:id="31" w:name="_Toc246996233"/>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79"/>
      <w:bookmarkStart w:id="33" w:name="_Toc246996234"/>
      <w:bookmarkStart w:id="34" w:name="_Toc144974558"/>
      <w:bookmarkStart w:id="35" w:name="_Toc246996977"/>
      <w:bookmarkStart w:id="36" w:name="_Toc152045591"/>
      <w:bookmarkStart w:id="37" w:name="_Toc152042368"/>
      <w:bookmarkStart w:id="38" w:name="_Toc247085749"/>
      <w:bookmarkStart w:id="39"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bookmarkStart w:id="139" w:name="_GoBack"/>
      <w:bookmarkEnd w:id="1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236"/>
      <w:bookmarkStart w:id="41" w:name="_Toc296602481"/>
      <w:bookmarkStart w:id="42" w:name="_Toc152045593"/>
      <w:bookmarkStart w:id="43" w:name="_Toc246996979"/>
      <w:bookmarkStart w:id="44" w:name="_Toc144974560"/>
      <w:bookmarkStart w:id="45" w:name="_Toc152042370"/>
      <w:bookmarkStart w:id="46" w:name="_Toc247085751"/>
      <w:bookmarkStart w:id="47"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服务评价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偿付能力</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服务评价</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偿付能力</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79632612"/>
      <w:bookmarkStart w:id="49" w:name="_Toc247085752"/>
      <w:bookmarkStart w:id="50" w:name="_Toc144974561"/>
      <w:bookmarkStart w:id="51" w:name="_Toc152042371"/>
      <w:bookmarkStart w:id="52" w:name="_Toc246996980"/>
      <w:bookmarkStart w:id="53" w:name="_Toc296602482"/>
      <w:bookmarkStart w:id="54" w:name="_Toc152045594"/>
      <w:bookmarkStart w:id="55" w:name="_Toc246996237"/>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3"/>
      <w:bookmarkStart w:id="57" w:name="_Toc247085753"/>
      <w:bookmarkStart w:id="58" w:name="_Toc246996981"/>
      <w:bookmarkStart w:id="59" w:name="_Toc246996238"/>
      <w:bookmarkStart w:id="60" w:name="_Toc152045595"/>
      <w:bookmarkStart w:id="61" w:name="_Toc144974562"/>
      <w:bookmarkStart w:id="62" w:name="_Toc152042372"/>
      <w:bookmarkStart w:id="63" w:name="_Toc29660248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52045596"/>
      <w:bookmarkStart w:id="65" w:name="_Toc152042373"/>
      <w:bookmarkStart w:id="66" w:name="_Toc144974563"/>
      <w:bookmarkStart w:id="67" w:name="_Toc246996239"/>
      <w:bookmarkStart w:id="68" w:name="_Toc296602484"/>
      <w:bookmarkStart w:id="69" w:name="_Toc246996982"/>
      <w:bookmarkStart w:id="70" w:name="_Toc247085754"/>
      <w:bookmarkStart w:id="71" w:name="_Toc17963261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（1）按本章</w:t>
      </w:r>
      <w:r>
        <w:rPr>
          <w:rFonts w:hint="eastAsia" w:ascii="Times New Roman" w:hAnsi="Times New Roman" w:cs="Times New Roman"/>
          <w:kern w:val="0"/>
          <w:sz w:val="24"/>
          <w:szCs w:val="24"/>
          <w:highlight w:val="none"/>
          <w:lang w:val="en-US" w:eastAsia="zh-CN"/>
        </w:rPr>
        <w:t>第2.2.4（1）目规定的评审因素和分值对投标报价计算出得分A；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第2.2.4（2）目规定的评审因素和分值对服务评价计算出得分B；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w:t>
      </w:r>
      <w:r>
        <w:rPr>
          <w:rFonts w:hint="eastAsia" w:ascii="Times New Roman" w:hAnsi="Times New Roman" w:cs="Times New Roman"/>
          <w:kern w:val="0"/>
          <w:sz w:val="24"/>
          <w:szCs w:val="24"/>
          <w:highlight w:val="none"/>
          <w:lang w:val="en-US" w:eastAsia="zh-CN"/>
        </w:rPr>
        <w:t>第2.2.4（3）目规定的评审因素和分值对偿付能力计算出得分C。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使得其投标报价可能低于其个别成本的，应当要求该投标人作出书面说明并提供相应的证明材料。投标人不能合理说明或者不能提供相应证明材料的，评标委员会应当</w:t>
      </w:r>
      <w:r>
        <w:rPr>
          <w:rFonts w:hint="default" w:ascii="Times New Roman" w:hAnsi="Times New Roman" w:cs="Times New Roman" w:eastAsiaTheme="minorEastAsia"/>
          <w:kern w:val="0"/>
          <w:sz w:val="24"/>
          <w:szCs w:val="24"/>
          <w:highlight w:val="none"/>
        </w:rPr>
        <w:t>认定该投标人以低于成本报价竞标，</w:t>
      </w:r>
      <w:r>
        <w:rPr>
          <w:rFonts w:hint="eastAsia" w:ascii="Times New Roman" w:hAnsi="Times New Roman" w:cs="Times New Roman"/>
          <w:kern w:val="0"/>
          <w:sz w:val="24"/>
          <w:szCs w:val="24"/>
          <w:highlight w:val="none"/>
          <w:lang w:val="en-US" w:eastAsia="zh-CN"/>
        </w:rPr>
        <w:t>并</w:t>
      </w:r>
      <w:r>
        <w:rPr>
          <w:rFonts w:hint="default" w:ascii="Times New Roman" w:hAnsi="Times New Roman" w:cs="Times New Roman" w:eastAsiaTheme="minorEastAsia"/>
          <w:kern w:val="0"/>
          <w:sz w:val="24"/>
          <w:szCs w:val="24"/>
          <w:highlight w:val="none"/>
        </w:rPr>
        <w:t>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247085755"/>
      <w:bookmarkStart w:id="73" w:name="_Toc246996983"/>
      <w:bookmarkStart w:id="74" w:name="_Toc179632615"/>
      <w:bookmarkStart w:id="75" w:name="_Toc144974564"/>
      <w:bookmarkStart w:id="76" w:name="_Toc152045597"/>
      <w:bookmarkStart w:id="77" w:name="_Toc152042374"/>
      <w:bookmarkStart w:id="78" w:name="_Toc296602485"/>
      <w:bookmarkStart w:id="79" w:name="_Toc246996240"/>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亳州建投安天汽车贸易服务有限公司、安徽安行天下驾驶培训股份有限公司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在保险合同范围内，甲方根据投保车辆的具体情况及时购买保险，通过转账方式按月度按批次结算保险费。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本项目服务期限为3年，合同一年一签，合同期限为1年。在服务期限内，合同到期后，根据对保险公司的服务考核评价结果确定下一年是否续签合同，每次续签合同期限1年。如保险公司服务考核评价结果不合格，当期合同到期后终止合作，不再续签。</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说明：合同条款及格式</w:t>
      </w:r>
      <w:r>
        <w:rPr>
          <w:rFonts w:hint="default" w:ascii="Times New Roman" w:hAnsi="Times New Roman" w:eastAsia="仿宋_GB2312" w:cs="Times New Roman"/>
          <w:sz w:val="28"/>
          <w:szCs w:val="28"/>
          <w:lang w:val="en-US" w:eastAsia="zh-CN"/>
        </w:rPr>
        <w:t>由</w:t>
      </w:r>
      <w:r>
        <w:rPr>
          <w:rFonts w:hint="eastAsia" w:ascii="Times New Roman" w:hAnsi="Times New Roman" w:eastAsia="仿宋_GB2312" w:cs="Times New Roman"/>
          <w:sz w:val="28"/>
          <w:szCs w:val="28"/>
          <w:lang w:val="en-US" w:eastAsia="zh-CN"/>
        </w:rPr>
        <w:t>招标</w:t>
      </w:r>
      <w:r>
        <w:rPr>
          <w:rFonts w:hint="default" w:ascii="Times New Roman" w:hAnsi="Times New Roman" w:eastAsia="仿宋_GB2312" w:cs="Times New Roman"/>
          <w:sz w:val="28"/>
          <w:szCs w:val="28"/>
          <w:lang w:val="en-US" w:eastAsia="zh-CN"/>
        </w:rPr>
        <w:t>人与</w:t>
      </w:r>
      <w:r>
        <w:rPr>
          <w:rFonts w:hint="eastAsia" w:ascii="Times New Roman" w:hAnsi="Times New Roman" w:eastAsia="仿宋_GB2312" w:cs="Times New Roman"/>
          <w:sz w:val="28"/>
          <w:szCs w:val="28"/>
          <w:lang w:val="en-US" w:eastAsia="zh-CN"/>
        </w:rPr>
        <w:t>中标单</w:t>
      </w:r>
      <w:r>
        <w:rPr>
          <w:rFonts w:hint="default" w:ascii="Times New Roman" w:hAnsi="Times New Roman" w:eastAsia="仿宋_GB2312" w:cs="Times New Roman"/>
          <w:sz w:val="28"/>
          <w:szCs w:val="28"/>
          <w:lang w:val="en-US" w:eastAsia="zh-CN"/>
        </w:rPr>
        <w:t>位在不违背</w:t>
      </w:r>
      <w:r>
        <w:rPr>
          <w:rFonts w:hint="eastAsia" w:ascii="Times New Roman" w:hAnsi="Times New Roman" w:eastAsia="仿宋_GB2312" w:cs="Times New Roman"/>
          <w:sz w:val="28"/>
          <w:szCs w:val="28"/>
          <w:lang w:val="en-US" w:eastAsia="zh-CN"/>
        </w:rPr>
        <w:t>招标文件</w:t>
      </w:r>
      <w:r>
        <w:rPr>
          <w:rFonts w:hint="default" w:ascii="Times New Roman" w:hAnsi="Times New Roman" w:eastAsia="仿宋_GB2312" w:cs="Times New Roman"/>
          <w:sz w:val="28"/>
          <w:szCs w:val="28"/>
          <w:lang w:val="en-US" w:eastAsia="zh-CN"/>
        </w:rPr>
        <w:t>内容和</w:t>
      </w:r>
      <w:r>
        <w:rPr>
          <w:rFonts w:hint="eastAsia" w:ascii="Times New Roman" w:hAnsi="Times New Roman" w:eastAsia="仿宋_GB2312" w:cs="Times New Roman"/>
          <w:sz w:val="28"/>
          <w:szCs w:val="28"/>
          <w:lang w:val="en-US" w:eastAsia="zh-CN"/>
        </w:rPr>
        <w:t>投标</w:t>
      </w:r>
      <w:r>
        <w:rPr>
          <w:rFonts w:hint="default" w:ascii="Times New Roman" w:hAnsi="Times New Roman" w:eastAsia="仿宋_GB2312" w:cs="Times New Roman"/>
          <w:sz w:val="28"/>
          <w:szCs w:val="28"/>
          <w:lang w:val="en-US" w:eastAsia="zh-CN"/>
        </w:rPr>
        <w:t>文件承诺的条件下友好协商签订</w:t>
      </w:r>
      <w:r>
        <w:rPr>
          <w:rFonts w:hint="eastAsia" w:ascii="Times New Roman" w:hAnsi="Times New Roman" w:eastAsia="仿宋_GB2312" w:cs="Times New Roman"/>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依照公平公正原则制定，保险公司在向投保单位提供车辆保险服务期间，服务质量应达到以下标准（包括但不限于以下内容），服务质量不达标的，投保单位在当期合同到期后有权拒绝终止合作，并不再续签合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（一）保险公司针对本项目理赔服务，应成立专项服务小组，小组组长由分管领导担任，并在投标文件中提供小组成员名单，包括姓名、职务、工作职责、联系方式等；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保险公司应设有24小时报案、理赔服务电话，并保证随时有专人接听，受理索赔、报案，并有充足的现场勘查人员和车辆；保险公司接到投保单位车辆出险报案后，理赔人员应在1小时内与投保单位驾驶人员取得联系；</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（三）保险公司应承诺分支机构网点覆盖全国县级及以上城镇，在接到投保单位的出险报案后，理赔人员应于2小时内赶到报案现场，超出该时限的，视为保险公司已到现场，事故车辆可自行移位；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保险公司应有专人全程指导投保单位办理索赔手续；保险公司应指定专人主动与投保单位对接办理车辆保险相关业务，每月底前将次月保险手续办理完毕，并将相关保险单据送达投保单位。因保险公司服务不及时，导致投保单位车辆出现脱保等情况的，当期合同到期后终止合作，并不再续签合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五）保险公司应允许投保单位指定符合资质要求的维修厂对出险车辆进行维修；在出险车辆进行定损、修理时，保险单位应承诺对配件价格实行现场报价，并保证配件为正厂配件，且在对个别配件报价金额上若三方（指投保单位、保险公司、汽车修理厂家）有分歧的，保险公司应承诺以当地市场价格为准或由保险公司在5个工作日内提供正厂配件；修理工时费用以市场价格、物价部门、交通部门的价格为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六）保险公司应制定机动车辆简易赔案赔付的相关处理办法，为不堵塞交通，责任明确的小案件允许移位；因投保单位车辆运行需要，责任明确的赔案，原则上保险公司应在3个工作日内完成定损业务，5个工作日内完成维修，7日内办结理赔，保险公司不得委托第三方办理相关业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（七）保险公司应承诺设立小额赔付基金，用于小额赔案的快速处理，承诺对责任明确的5000元以下的赔案以现场查勘定损人员出具的单证直接到保险公司领取赔款；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（八）对于重大事故或因特殊原因不能按期结案的，经车属单位申请，保险责任相对明确，保险公司应在保险责任相对明确后5个工作日内提供能确定的事故损失金额50％的预付赔款；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（九）培训和防灾防损服务。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1.制定培训内容、日程计划；</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2.承诺与投保单位共同开展防灾防损活动，配合投保单位举办驾驶人员安全教育及表彰活动；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3.在保险合同期限内，每季度保险公司需向投保单位提供一次规范的道路安全培训，培训内容应涵盖交通法律法规、事故处理、紧急自救互救、模拟演练等相关内容。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（十）保险公司存在其他不按合同履约、不规范或服务质量差等行为，经沟通不能及时落实整改措施的，当期合同到期后终止合作，不再续签合同。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附：1.亳州建投安天汽车贸易服务有限公司车辆信息明细表（一）</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2.亳州建投安天汽车贸易服务有限公司车辆信息明细表（二）</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3.安徽安行天下驾驶培训股份有限公司车辆信息明细表（一）</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4.安徽安行天下驾驶培训股份有限公司车辆信息明细表（二）</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注：出于信息安全要求，本次投保车辆行驶证件等信息未予挂网，投标人如需，可自行联系招标人索要。</w:t>
      </w:r>
    </w:p>
    <w:p>
      <w:pPr>
        <w:keepNext w:val="0"/>
        <w:keepLines w:val="0"/>
        <w:pageBreakBefore w:val="0"/>
        <w:widowControl w:val="0"/>
        <w:kinsoku/>
        <w:wordWrap w:val="0"/>
        <w:overflowPunct/>
        <w:topLinePunct w:val="0"/>
        <w:autoSpaceDE/>
        <w:autoSpaceDN/>
        <w:bidi w:val="0"/>
        <w:adjustRightInd/>
        <w:snapToGrid/>
        <w:spacing w:line="440" w:lineRule="exact"/>
        <w:ind w:firstLine="960" w:firstLineChars="4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tbl>
      <w:tblPr>
        <w:tblStyle w:val="15"/>
        <w:tblW w:w="5000" w:type="pct"/>
        <w:tblInd w:w="0" w:type="dxa"/>
        <w:shd w:val="clear" w:color="auto" w:fill="auto"/>
        <w:tblLayout w:type="autofit"/>
        <w:tblCellMar>
          <w:top w:w="0" w:type="dxa"/>
          <w:left w:w="0" w:type="dxa"/>
          <w:bottom w:w="0" w:type="dxa"/>
          <w:right w:w="0" w:type="dxa"/>
        </w:tblCellMar>
      </w:tblPr>
      <w:tblGrid>
        <w:gridCol w:w="384"/>
        <w:gridCol w:w="872"/>
        <w:gridCol w:w="1625"/>
        <w:gridCol w:w="2070"/>
        <w:gridCol w:w="1270"/>
        <w:gridCol w:w="1182"/>
        <w:gridCol w:w="923"/>
      </w:tblGrid>
      <w:tr>
        <w:tblPrEx>
          <w:shd w:val="clear" w:color="auto" w:fill="auto"/>
          <w:tblCellMar>
            <w:top w:w="0" w:type="dxa"/>
            <w:left w:w="0" w:type="dxa"/>
            <w:bottom w:w="0" w:type="dxa"/>
            <w:right w:w="0" w:type="dxa"/>
          </w:tblCellMar>
        </w:tblPrEx>
        <w:trPr>
          <w:trHeight w:val="96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亳州建投安天汽车贸易服务有限公司车辆信息明细表（一）</w:t>
            </w:r>
          </w:p>
        </w:tc>
      </w:tr>
      <w:tr>
        <w:tblPrEx>
          <w:tblCellMar>
            <w:top w:w="0" w:type="dxa"/>
            <w:left w:w="0" w:type="dxa"/>
            <w:bottom w:w="0" w:type="dxa"/>
            <w:right w:w="0" w:type="dxa"/>
          </w:tblCellMar>
        </w:tblPrEx>
        <w:trPr>
          <w:trHeight w:val="70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车辆牌照</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车辆识别代码</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车辆品牌</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车辆型号</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发动机号</w:t>
            </w:r>
          </w:p>
        </w:tc>
        <w:tc>
          <w:tcPr>
            <w:tcW w:w="549"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注册登记时间</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皖S7C558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LSGUL8AL7HA041851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2.0T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163386029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2017.1.25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皖SX5298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LS4UA84W2GE044949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2.0T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162150019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2016.9.26</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皖S9F609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LSVD62A43GN172580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6E2903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2017.3.22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皖S0L708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LSVX465N1J2042190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大众途观</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7M8153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2018.09.18</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皖SZ0G90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LSVUG60T2K2168205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大众途观L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666728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2019.12.20</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皖SR7H00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LZWADAGA4JE214679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721199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皖SA3M01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LZWADAGA1JE213828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721154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皖SL5X02</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LZWADAGA2JE213899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721211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皖SY6Y03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LZWADAGA9JE213849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820342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皖SM1P05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LZWADAGA5JE213881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820346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皖SA5H06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LZWADAGA7JE213848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820341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皖SP1F07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LZWADAGA2JE214714</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421389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皖SV3G08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LZWADAGA7JE213946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820311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皖SP1L09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LZWADAGA6JE214666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421359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皖SJ6X10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LZWADAGAXJE213889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820338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皖SQ6W11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LZWADAGA5JE213864</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820321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皖SW7Y12</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LZWADAGAXJE214668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421355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皖SE6N13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LZWADAGAXJE213827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皖SJ7C15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LZWADAGA0JE213903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820343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皖SG0T16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LZWADAGA7JE214675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421353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皖SYR017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LZWADAGA1JE214672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520042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皖SG7X18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LZWADAGA6JE214684</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820278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皖SG2R19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LZWADAGA5JE213883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820336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皖SY8P20 </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LZWADAGA8JE213907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820315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皖SA8H20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LZWADAGA8JE213860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721210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皖SC8L21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LZWADAGA6JE213873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721201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皖SR7K22 </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LZWADAGA8JE213857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721204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皖SF6A23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LZWADAGA3JE213880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820345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皖SU0G25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LZWADAGA8JE214667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421362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皖SC8P26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LZWADAGA6JE214683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520041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皖SR2E27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LZWADAGA6JE214697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421388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皖SF3E28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LZWADAGA2JE213904</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820348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皖SJ8N30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LZWADAGA2JE214678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421360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皖SDW031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LZWADAGA5JE214688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421410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皖SZ0G32</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LZWADAGA0JE214677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820351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皖SD07596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LA9AB2AB3K0LDN674</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东南纯电动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DNX3019020136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2019.06.05</w:t>
            </w:r>
          </w:p>
        </w:tc>
      </w:tr>
      <w:tr>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皖SR5X33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LZWADAGA6JE213856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820322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皖SL1Y35 </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LZWADAGA2JE214681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820350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皖SJ5X36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LZWADAGAXJE213391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720992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皖SP5Y37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LZWADAGA0JE214680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421357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皖SA7M38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LZWADAGA5JE213878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820323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皖S7F887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LSVD62A41GN172755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6E3114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2017.3.22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皖SW1386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LSVD76A42GN109796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A50842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2016.10.28</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皖SQ6293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LFV3A23C763514456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大众迈腾</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024739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皖SZ0051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LSGA84W9GE033589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161580590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2016.7.15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皖S1H757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LLSGUA8373HE012419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2.0T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171015628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2017.5.15</w:t>
            </w:r>
          </w:p>
        </w:tc>
      </w:tr>
      <w:tr>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皖S8H669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LLNC6ACB9GA018435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观致5</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CAGK61055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2017.05.08</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皖SV3571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LVVDB24B2GD204519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奇瑞瑞虎七</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ADG101813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2016.11.4</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皖S3E292</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LVTDB21B2GC031393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奇瑞瑞虎5 1.6L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ADGJ57998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2017.07.05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皖S9G151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LVTDB21B5HC002438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奇瑞瑞虎5 1.6L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ADGL60724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2017.07.05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皖SR5N33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LZWADAGA6JE214716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421411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2018.12.05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皖SV8523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LZWADA6F4176787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上汽通用五菱宏光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8FA0620672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2016.3.28</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皖SQ2137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LVDBUB2GB020202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奇瑞开瑞牌</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BLGA04366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2016.11.4</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皖S1G269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LFV2A2B55H4518747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大众捷达</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025228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2017.06.26</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皖S1G529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LDC643T48H3045966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爱丽舍 1.4L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6907180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2017.06.27</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皖S0G356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LFMAP86C0F0116482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丰田卡罗拉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F685054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2015.08.21</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皖S0F277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LFMAP86C6G0211016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丰田卡罗拉</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G559632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2016.04.12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皖S8J578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LVHGJ6620H6021777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本田哥瑞 1.4L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6021811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2017.07.05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皖S9G359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LFMA8E2A0H0252095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丰田威驰 1.4L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L251628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2017.06.26</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皖SW9831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LSVD76A48GN096195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025427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2016.8.09</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皖S9F975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LSD62A422GN172599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6E2897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2018.3.20</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皖S8A188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LSVD62A48GN107210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6D4370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2016.12.22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皖S8A919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LSVD62A47GN107246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6D4346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2016.12.22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皖SE8351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LSVDT6A41GN135483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040635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2016.10.28</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皖S7G353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LSVD77A47HN098365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107376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2017.09.29</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皖SV2277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LSVD62A44HN024102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6F9426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2018.01.19</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皖SV9102</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LSVD76A44GN096212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大众帕萨特1.8T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A42828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2016.8.09</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皖SX6305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LSVD76A4XGN109982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A51010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2016.10.17</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皖S0E985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LSVD62A4GN172600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6E2968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2017.3.22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皖SV2468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LSVCH6A46DN193223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V00231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2015.12.29</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皖S6D399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LJ12FAU44H4005650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江淮A60 1.6T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H3600612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2017.02.27</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皖S5D637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LJ12FAU48H4005621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江淮A60 1.6T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H3600940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2017.02.27</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皖S5E975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LVVDC21B9CD408004</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奇瑞G6</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AACN01233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2019.03.15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皖SN8N77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LSGUL8087232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2.0T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171065559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2017.5.15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皖S1C119 </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LSGUL8AL5HA039998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2.0T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163406022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2017.1.22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皖SX3291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LSGU83B5GE050324</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3.0</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161790226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2016.11.15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皖S0J535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LSGUA837HE008999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170885262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2017.06.06</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皖S9A690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LSGUA84W7GE064601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别克GL82.0T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16210484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2016.12.23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皖S9A619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LSGUA84W0GE064598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别克GL82.0T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162910478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2016.12.23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皖S1S313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LSGUD84X1GE000733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153231102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2016.3.11</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皖SX5758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LSGUD84X7GE003801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 2.4L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153620428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2016.3.11</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皖SD00593</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LA9AB2AB4K0LDN635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东南纯电动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DNX3019020134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2019.06.05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皖SD09386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LA9AB2AB4K0LDN716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东南纯电动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DNX3019020021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2019.06.05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皖SD00251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LA9AB2AB8K0LDN699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东南纯电动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DNX3019020172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2019.06.05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皖SZ8901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LL62H4C03AB010205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三菱帕杰罗</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XB00113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2010.7.5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皖SN3899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JTEBX3FJ7AK029796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丰田霸道</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2TR0941283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2010.10.25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皖SM8011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JTEB29J485143941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丰田霸道</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2TR0743122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2009.4.11</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皖SV3211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LSVAE45E1FN029842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斯柯达</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F7356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2015.6.10</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皖S0H600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LBEYCAFC2GS000868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现代悦纳</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GB131309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皖S6G835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LFMA8E2A7H0245998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丰田威驰 1.4L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L245492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2017.06.26</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皖S6D527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LVHGJ6622H6021859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本田哥瑞 1.4L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6021867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2017.07.05</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皖S8G337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LFV2A2BS5H4540022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大众捷达 1.4L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035021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2017.06.27</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皖S5G290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LDC643T41H3022111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爱丽舍 1.4L</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6903188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2017.06.27</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皖SZ6288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LFV2A1BS9D4098530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大众捷达</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G32390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2014.8.8</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皖S95666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LB1RE7494F8003552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奔驰凌特14座2.1T</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中型客车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32754411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2016.4.27</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皖S96666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LFMH5581FS000149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丰田柯斯达23座（汽油）</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中型客车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H09875</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2016.6.16</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皖SA6666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LFME55811FS007227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丰田柯斯达16座（汽油）</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中型客车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H105449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2016.6.17</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皖S99998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LFM55811HS009398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丰田柯斯达20座（柴油）</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中型客车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H159042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2017.5.12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皖S99777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LJ166D4E8H2003102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丰田柯斯达23座(柴油）</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中型客车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17001523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2017.5.12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皖SA5999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LKD41164HG001409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西沃38座</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6P16B003301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2017.4.11</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皖S99996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LKDG4214XGG001370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西沃51座</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52643320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2016.8.1</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皖SN3466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LSVD62A43N107079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大众帕萨特</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6D43787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2016.12.2</w:t>
            </w:r>
          </w:p>
        </w:tc>
      </w:tr>
      <w:tr>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皖SW9999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LSGUL8AL3HA085538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别克GL8</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171035649</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2019.03.08</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皖S7A719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LJNTU2G3GN113975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尼桑皮卡</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872735X</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2016.12.22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皖SA6099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LGDCS91L9GH105801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清障车</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16012308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2016.6.22</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皖SD19990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LJIEFKRP4G4046168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16829294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皖SD10555</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LJIEFARP8G4048232</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16912111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皖SD18777</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LJ1EFKRP5G4049623</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16829182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皖SD11178</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LJ1EFKRP1G4046175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16829272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皖SD16669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LJ1EFKRP3G4046226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16829264</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111</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皖SD18166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LJ1EFKRP5G4049760</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16912232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皖SD11711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LJ1EFKRP0G4046166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16829283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皖SD10070</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LJ1EFKRPXG4046188</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16829241</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114</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皖SD11999</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LJ1EFKRPXG4046157</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16826266</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115</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皖SD17771</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LJ1EFKRP3G4048235</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江淮电动</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16829063</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2016.12.13</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皖S2X606</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LSVAT4BR7FN203006</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上海大众桑塔納</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640407</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2016.1.19</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117</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皖S03567D</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LA9BCDBG4HSMC1161</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五洲龙电动大巴</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大型纯电动客车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17090300</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2017.12.21</w:t>
            </w:r>
          </w:p>
        </w:tc>
      </w:tr>
      <w:tr>
        <w:tblPrEx>
          <w:tblCellMar>
            <w:top w:w="0" w:type="dxa"/>
            <w:left w:w="0" w:type="dxa"/>
            <w:bottom w:w="0" w:type="dxa"/>
            <w:right w:w="0" w:type="dxa"/>
          </w:tblCellMar>
        </w:tblPrEx>
        <w:trPr>
          <w:trHeight w:val="540" w:hRule="atLeast"/>
        </w:trPr>
        <w:tc>
          <w:tcPr>
            <w:tcW w:w="22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118</w:t>
            </w:r>
          </w:p>
        </w:tc>
        <w:tc>
          <w:tcPr>
            <w:tcW w:w="52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皖S05852D</w:t>
            </w:r>
          </w:p>
        </w:tc>
        <w:tc>
          <w:tcPr>
            <w:tcW w:w="97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LA9BCDBG9HSMC1169</w:t>
            </w:r>
          </w:p>
        </w:tc>
        <w:tc>
          <w:tcPr>
            <w:tcW w:w="124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五洲龙电动大巴</w:t>
            </w:r>
          </w:p>
        </w:tc>
        <w:tc>
          <w:tcPr>
            <w:tcW w:w="76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大型纯电动客车</w:t>
            </w:r>
          </w:p>
        </w:tc>
        <w:tc>
          <w:tcPr>
            <w:tcW w:w="7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17090278</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2017.12.29</w:t>
            </w:r>
          </w:p>
        </w:tc>
      </w:tr>
      <w:tr>
        <w:tblPrEx>
          <w:tblCellMar>
            <w:top w:w="0" w:type="dxa"/>
            <w:left w:w="0" w:type="dxa"/>
            <w:bottom w:w="0" w:type="dxa"/>
            <w:right w:w="0" w:type="dxa"/>
          </w:tblCellMar>
        </w:tblPrEx>
        <w:trPr>
          <w:trHeight w:val="54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备注：以上118台车辆需购买交强险、第三者责任险（保额100万元）、车损险（含不计免赔）、车上人员责任险（保额10万元每座）、车船税。</w:t>
            </w:r>
          </w:p>
        </w:tc>
      </w:tr>
    </w:tbl>
    <w:p>
      <w:pPr>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br w:type="page"/>
      </w:r>
    </w:p>
    <w:tbl>
      <w:tblPr>
        <w:tblStyle w:val="15"/>
        <w:tblW w:w="5000" w:type="pct"/>
        <w:tblInd w:w="0" w:type="dxa"/>
        <w:shd w:val="clear" w:color="auto" w:fill="auto"/>
        <w:tblLayout w:type="autofit"/>
        <w:tblCellMar>
          <w:top w:w="0" w:type="dxa"/>
          <w:left w:w="0" w:type="dxa"/>
          <w:bottom w:w="0" w:type="dxa"/>
          <w:right w:w="0" w:type="dxa"/>
        </w:tblCellMar>
      </w:tblPr>
      <w:tblGrid>
        <w:gridCol w:w="581"/>
        <w:gridCol w:w="1037"/>
        <w:gridCol w:w="2054"/>
        <w:gridCol w:w="1141"/>
        <w:gridCol w:w="1141"/>
        <w:gridCol w:w="981"/>
        <w:gridCol w:w="1391"/>
      </w:tblGrid>
      <w:tr>
        <w:tblPrEx>
          <w:tblCellMar>
            <w:top w:w="0" w:type="dxa"/>
            <w:left w:w="0" w:type="dxa"/>
            <w:bottom w:w="0" w:type="dxa"/>
            <w:right w:w="0" w:type="dxa"/>
          </w:tblCellMar>
        </w:tblPrEx>
        <w:trPr>
          <w:trHeight w:val="94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亳州建投安天汽车贸易服务有限公司车辆信息明细表（二）</w:t>
            </w:r>
          </w:p>
        </w:tc>
      </w:tr>
      <w:tr>
        <w:tblPrEx>
          <w:tblCellMar>
            <w:top w:w="0" w:type="dxa"/>
            <w:left w:w="0" w:type="dxa"/>
            <w:bottom w:w="0" w:type="dxa"/>
            <w:right w:w="0" w:type="dxa"/>
          </w:tblCellMar>
        </w:tblPrEx>
        <w:trPr>
          <w:trHeight w:val="70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车牌号</w:t>
            </w:r>
          </w:p>
        </w:tc>
        <w:tc>
          <w:tcPr>
            <w:tcW w:w="123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车架号</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车辆品牌</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车辆型号</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发动机号</w:t>
            </w:r>
          </w:p>
        </w:tc>
        <w:tc>
          <w:tcPr>
            <w:tcW w:w="832"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注册登记时间</w:t>
            </w:r>
          </w:p>
        </w:tc>
      </w:tr>
      <w:tr>
        <w:tblPrEx>
          <w:tblCellMar>
            <w:top w:w="0" w:type="dxa"/>
            <w:left w:w="0" w:type="dxa"/>
            <w:bottom w:w="0" w:type="dxa"/>
            <w:right w:w="0" w:type="dxa"/>
          </w:tblCellMar>
        </w:tblPrEx>
        <w:trPr>
          <w:trHeight w:val="60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皖S8H866</w:t>
            </w:r>
          </w:p>
        </w:tc>
        <w:tc>
          <w:tcPr>
            <w:tcW w:w="123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LE4GG8BB0EL272247</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奔驰GLK</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80309687</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2013.10.14</w:t>
            </w:r>
          </w:p>
        </w:tc>
      </w:tr>
      <w:tr>
        <w:tblPrEx>
          <w:tblCellMar>
            <w:top w:w="0" w:type="dxa"/>
            <w:left w:w="0" w:type="dxa"/>
            <w:bottom w:w="0" w:type="dxa"/>
            <w:right w:w="0" w:type="dxa"/>
          </w:tblCellMar>
        </w:tblPrEx>
        <w:trPr>
          <w:trHeight w:val="600" w:hRule="atLeast"/>
        </w:trPr>
        <w:tc>
          <w:tcPr>
            <w:tcW w:w="34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6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皖S8G067</w:t>
            </w:r>
          </w:p>
        </w:tc>
        <w:tc>
          <w:tcPr>
            <w:tcW w:w="123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LFV3B28R9F3022441</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奥迪Q5</w:t>
            </w:r>
          </w:p>
        </w:tc>
        <w:tc>
          <w:tcPr>
            <w:tcW w:w="68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58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059514</w:t>
            </w:r>
          </w:p>
        </w:tc>
        <w:tc>
          <w:tcPr>
            <w:tcW w:w="832"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2015.04.08</w:t>
            </w:r>
          </w:p>
        </w:tc>
      </w:tr>
      <w:tr>
        <w:tblPrEx>
          <w:tblCellMar>
            <w:top w:w="0" w:type="dxa"/>
            <w:left w:w="0" w:type="dxa"/>
            <w:bottom w:w="0" w:type="dxa"/>
            <w:right w:w="0" w:type="dxa"/>
          </w:tblCellMar>
        </w:tblPrEx>
        <w:trPr>
          <w:trHeight w:val="60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备注：以上2台车辆需购买交强险、车船税。</w:t>
            </w:r>
          </w:p>
        </w:tc>
      </w:tr>
    </w:tbl>
    <w:p>
      <w:pPr>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br w:type="page"/>
      </w:r>
    </w:p>
    <w:tbl>
      <w:tblPr>
        <w:tblStyle w:val="15"/>
        <w:tblW w:w="5000" w:type="pct"/>
        <w:tblInd w:w="0" w:type="dxa"/>
        <w:shd w:val="clear" w:color="auto" w:fill="auto"/>
        <w:tblLayout w:type="autofit"/>
        <w:tblCellMar>
          <w:top w:w="0" w:type="dxa"/>
          <w:left w:w="0" w:type="dxa"/>
          <w:bottom w:w="0" w:type="dxa"/>
          <w:right w:w="0" w:type="dxa"/>
        </w:tblCellMar>
      </w:tblPr>
      <w:tblGrid>
        <w:gridCol w:w="518"/>
        <w:gridCol w:w="1072"/>
        <w:gridCol w:w="1807"/>
        <w:gridCol w:w="1008"/>
        <w:gridCol w:w="1492"/>
        <w:gridCol w:w="1181"/>
        <w:gridCol w:w="1248"/>
      </w:tblGrid>
      <w:tr>
        <w:tblPrEx>
          <w:shd w:val="clear" w:color="auto" w:fill="auto"/>
          <w:tblCellMar>
            <w:top w:w="0" w:type="dxa"/>
            <w:left w:w="0" w:type="dxa"/>
            <w:bottom w:w="0" w:type="dxa"/>
            <w:right w:w="0" w:type="dxa"/>
          </w:tblCellMar>
        </w:tblPrEx>
        <w:trPr>
          <w:trHeight w:val="94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安徽安行天下驾驶培训股份有限公司车辆信息明细表（一）</w:t>
            </w:r>
          </w:p>
        </w:tc>
      </w:tr>
      <w:tr>
        <w:tblPrEx>
          <w:tblCellMar>
            <w:top w:w="0" w:type="dxa"/>
            <w:left w:w="0" w:type="dxa"/>
            <w:bottom w:w="0" w:type="dxa"/>
            <w:right w:w="0" w:type="dxa"/>
          </w:tblCellMar>
        </w:tblPrEx>
        <w:trPr>
          <w:trHeight w:val="82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车辆牌照</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车辆识别代码</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车辆品牌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车辆型号</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发动机号</w:t>
            </w:r>
          </w:p>
        </w:tc>
        <w:tc>
          <w:tcPr>
            <w:tcW w:w="745"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注册登记时间</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皖S2419学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LVVDA11A8ED250247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MAEM00480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皖S2583学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LVVDA11A7FD042037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MAFB00199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皖S2407学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LVVDA11A1ED255127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MAEM00188</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皖S2585学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LVVDA11A2ED255153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MAEM00495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皖S2402学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LVVDA11A5ED235625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MAEL00478</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皖S2428学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LVVDA11A0ED255152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MAEM00502</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皖S2430学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LVVDA11A9ED235627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MAEL00182</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皖S2429学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LVVDA11A0ED214701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MAEL00094</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皖S1176学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LGAX2913XLC013151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FGGS8L00199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2020-6-10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皖S3958学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LGAX29139LC013139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FGGS8L00189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2020-6-10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皖S3575学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LGAX29130HC003302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FGGS8H00084</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2017-7-10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皖S2360学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LGAG19V20HC006835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FGGS8H00369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2018-2-1</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皖S3989学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LA9B9BAB8JCDFZ002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2018-2-1</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皖S2003学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LJ16BV5F3BB104189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合客牌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G2GJGB00020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2012-1-31</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皖S3552学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LGF1797G8HF104680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中型客车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FGGFAH00904</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2017-7-10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皖S3977学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LGAX29138LC013150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FGGS8L00250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2020-6-10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皖S2411学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LVVDA11A3ED251158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MAEM00052</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皖S1885学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LVVDA11A7DD150073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MADC02190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2013-4-17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皖S2403学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LVVDA11A0ED250243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MAEM00485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皖S2580学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LVVDA11AXFD042050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MAFB00207</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皖S2589学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LVVDA11A7FD042040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MAFB00220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皖S2426学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LVVDA11A8ED235618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MAEL00183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皖S2578学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LVVDA11A9FD042024</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MAFB00191</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皖S2572学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LVVDA11A3FD042052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MAFB00193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皖S2427学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LVVDA11A7ED251163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MAEM00050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皖S2579学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LVVDA11A1FD042020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MAFB00170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皖S2420学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LVVDA11AXED235619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MAEL00181</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皖S2576学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LVVDA11A1FD017442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MAEM00582</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皖S2423学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LVVDA11A1ED235623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MAEL00479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皖S2417学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LVVDA11A2ED251152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MAEM00337</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皖S2418学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LVVDA11A5ED251162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MAEM00470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皖S2587学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LVVDA11AXFD041982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MAFB00149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皖S2415学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LVVDA11A8ED255125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MAEM00469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皖S2330学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LVVDC21B2ED147267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FFEG05170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2014-8-8</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皖SA9746</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LGF1797GXHF104681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中型客车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FGGFAH00879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皖SC7915</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LGF1CA9T7KF155456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SC4FDK00110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2019-8-2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皖SC1621</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LJ16BV5F9BB104214</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江淮牌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公交车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G2GJGB00023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2012-2-6</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皖SA9752</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LGAX29133GC002983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FG304G00087</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2016-8-22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皖SA9743</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LGAX29137HC003295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FGGS8H00088</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皖SA9740</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LGAX29130HC003297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FGGS8H00091</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皖SA9850</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LGAX29132HC003298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FGGS8H00074</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皖SA9861</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LGAX29134HC003299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皖SA9726</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LGAX29137HC003300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FGGS8H00090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皖SA9749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LGAX29139HC003301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皖SA9797</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LJ16BV5F7BB104213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合客牌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公交车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G2GJGB00024</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皖SA9843</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LGF1CA9T4HF105168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SC4FAH00347</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皖SA9730</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LGAG19V28HC003259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皖SV565挂</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LA9BC1E73H8XJH420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皖S1E517</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LGAG19V26HC003258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皖SU522挂</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LA9BC1E73H8XJH417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皖S1E975</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LGAG19V24HC003257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FGGS8H00081</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皖SU589挂</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LA9BC1E78H8XJH445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东风牌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皖SAX019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LVVDA11A3FD042049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MAFB00233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皖SAX029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LVVDA11A1FD041983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MAFB00157</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皖SAX039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LVVDA11A5FD042053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MAFB00195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2015-3-16</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皖SAX049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LVVDA11A6FD076437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MAFD30084</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皖SAX059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LVVDA11A1FD041997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MAFB00196</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皖SAX069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LVVDA11A0FD017447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MAEM00579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2015-3-16</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皖SAX079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LVVDA11A2FD042009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MAFB00173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2015-3-16</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皖SAX089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LVVDA11A1FD042017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MAFB00180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2015-3-16</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皖SAX098</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LVVDA11A2FD042043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MAFB00215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皖SAX109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LVVDA11A3FD017443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MAEM00545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2015-3-16</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皖SAX117</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LVVDA11A1FD074496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MAFD20059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皖SAX129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LVVDA11A2FD017465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MAEM00578</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皖SAX139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LVVDA11A9FD042041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MAFB00194</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皖SAX149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LVVDA11A6FD017422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MAEM00539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皖SAX159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LVVDA11AXFD042002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MAFB00145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2015-3-16</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皖SAX165</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LVVDA11A9FD017429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MAEM00537</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皖SAX179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LVVDC21B0ED147266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FFEE09110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2014-8-8</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皖SAX187</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LVVDA11A1FD096434</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MAFE00350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皖SAX196</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LVVDA11A6FD080665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MAFD30085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皖SAX209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LVVDA11A1FD096420</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MAFE00335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皖SAX219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LVVDA11A5FD096422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MAFE00338</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皖SAX227</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LVVDA11A7FD096423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MAFE00333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皖SAX239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LVVDA11A3FD096421</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MAFE00146</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皖SAX249</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LVVDA11A6FD096428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MAFE00339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皖S0326学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LVVDA11A8FD096432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MAFE00336</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皖S2276学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LVVDA11A0FD096425</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MAFE00334</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皖S0933学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LVVDA11A4FD097416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MAFE00425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皖S1185学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LVVDA11A4FD076436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MAFD30065</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皖S2133学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LVVDA11A3FD074502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MAFD20053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皖S1192学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LVVDA11A3FD076444</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MAFD30088</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皖S0322学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LVVDA11A0FD074506</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MAFD20072</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皖S0526学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LVVDA11AXFD097422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MAFE00420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皖S2006学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LVVDA11A1FD076443</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MAFD30083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86</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皖S2412学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LVVDA11A8ED255139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MAEM00173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皖S2425学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LVVDA11A6ED215898</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MAEL00076</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皖S2410学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LVVDA11A5ED251159</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MAEM00049</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89</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皖S2421学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LVVDA11A0ED250212</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MAEM00177</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皖S2433学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LVVDA11A4ED255137</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MAEM00310</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w:t>
            </w:r>
          </w:p>
        </w:tc>
        <w:tc>
          <w:tcPr>
            <w:tcW w:w="644"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皖S2401学</w:t>
            </w:r>
          </w:p>
        </w:tc>
        <w:tc>
          <w:tcPr>
            <w:tcW w:w="1086"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LVVDA11A0ED215914</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89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09"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MAEL00073</w:t>
            </w:r>
          </w:p>
        </w:tc>
        <w:tc>
          <w:tcPr>
            <w:tcW w:w="74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备注：以上91台车辆需购买交强险、第三者责任险（保额100万元）、不计免赔险、车船税。</w:t>
            </w:r>
          </w:p>
        </w:tc>
      </w:tr>
    </w:tbl>
    <w:p>
      <w:pPr>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br w:type="page"/>
      </w:r>
    </w:p>
    <w:tbl>
      <w:tblPr>
        <w:tblStyle w:val="15"/>
        <w:tblW w:w="5000" w:type="pct"/>
        <w:tblInd w:w="0" w:type="dxa"/>
        <w:shd w:val="clear" w:color="auto" w:fill="auto"/>
        <w:tblLayout w:type="autofit"/>
        <w:tblCellMar>
          <w:top w:w="0" w:type="dxa"/>
          <w:left w:w="0" w:type="dxa"/>
          <w:bottom w:w="0" w:type="dxa"/>
          <w:right w:w="0" w:type="dxa"/>
        </w:tblCellMar>
      </w:tblPr>
      <w:tblGrid>
        <w:gridCol w:w="525"/>
        <w:gridCol w:w="1096"/>
        <w:gridCol w:w="1849"/>
        <w:gridCol w:w="1029"/>
        <w:gridCol w:w="1527"/>
        <w:gridCol w:w="1204"/>
        <w:gridCol w:w="1096"/>
      </w:tblGrid>
      <w:tr>
        <w:tblPrEx>
          <w:tblCellMar>
            <w:top w:w="0" w:type="dxa"/>
            <w:left w:w="0" w:type="dxa"/>
            <w:bottom w:w="0" w:type="dxa"/>
            <w:right w:w="0" w:type="dxa"/>
          </w:tblCellMar>
        </w:tblPrEx>
        <w:trPr>
          <w:trHeight w:val="94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32"/>
                <w:szCs w:val="32"/>
                <w:u w:val="none"/>
              </w:rPr>
            </w:pPr>
            <w:r>
              <w:rPr>
                <w:rFonts w:hint="eastAsia" w:ascii="方正小标宋简体" w:hAnsi="方正小标宋简体" w:eastAsia="方正小标宋简体" w:cs="方正小标宋简体"/>
                <w:i w:val="0"/>
                <w:color w:val="000000"/>
                <w:kern w:val="0"/>
                <w:sz w:val="32"/>
                <w:szCs w:val="32"/>
                <w:u w:val="none"/>
                <w:lang w:val="en-US" w:eastAsia="zh-CN" w:bidi="ar"/>
              </w:rPr>
              <w:t>安徽安行天下驾驶培训股份有限公司车辆信息明细表（二）</w:t>
            </w:r>
          </w:p>
        </w:tc>
      </w:tr>
      <w:tr>
        <w:tblPrEx>
          <w:tblCellMar>
            <w:top w:w="0" w:type="dxa"/>
            <w:left w:w="0" w:type="dxa"/>
            <w:bottom w:w="0" w:type="dxa"/>
            <w:right w:w="0" w:type="dxa"/>
          </w:tblCellMar>
        </w:tblPrEx>
        <w:trPr>
          <w:trHeight w:val="82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序号</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车辆牌照</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车辆识别代码</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车辆品牌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车辆型号</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发动机号</w:t>
            </w:r>
          </w:p>
        </w:tc>
        <w:tc>
          <w:tcPr>
            <w:tcW w:w="658" w:type="pc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8"/>
                <w:szCs w:val="28"/>
                <w:u w:val="none"/>
              </w:rPr>
            </w:pPr>
            <w:r>
              <w:rPr>
                <w:rFonts w:hint="eastAsia" w:ascii="宋体" w:hAnsi="宋体" w:eastAsia="宋体" w:cs="宋体"/>
                <w:b/>
                <w:i w:val="0"/>
                <w:color w:val="000000"/>
                <w:kern w:val="0"/>
                <w:sz w:val="28"/>
                <w:szCs w:val="28"/>
                <w:u w:val="none"/>
                <w:lang w:val="en-US" w:eastAsia="zh-CN" w:bidi="ar"/>
              </w:rPr>
              <w:t>注册登记时间</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皖S1570学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LVVDA11A0CD273518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MACG00900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皖S2405学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LVVDA11AXED255126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MAEM00051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皖S2406学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LVVDA11A7ED255133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MAEM00314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皖S2408学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LVVDA11A1ED255130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MAEM00176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皖S2409学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LVVDA11A2ED250227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MAEM00482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LVVDA11A6ED255138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MAEM00169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皖S2416学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LVVDA11AXED235622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MAEL00185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皖S2422学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LVVDA11A6ED255124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MAEM00171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皖S2431学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LVVDA11A3ED255128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MAEM00311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皖S2432学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LVVDA11A8ED251155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MAEM00488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2015-1-27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皖S3993学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LGAG19V20HC006897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FGGS8H00409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皖S0889学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LA9B9BAB6JCDFZ001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皖S1880学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LVVDA11AXDD150794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MADD00162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皖S2582学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LVVDA11A9ED255148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MAEM00475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2015-3-25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皖S4620学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LVVDC11BXJD042223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BBJA00442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皖S4606学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LVVDC11B1JD042224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BBJB00138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皖S4666学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LVVDC11B3JD042225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BBJB00142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皖S4668学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LVVDC11B5JD042226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BBJB00136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皖S4187学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LVVDC11B7JD042227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BBJB00154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皖S4661学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LVVDC11B2JD043317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BBJB00220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皖S4163学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LVVDC11B4JD043318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BBJB00132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皖S4697学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LVVDC11B6JD043319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BBJB00152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皖S4126学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LVVDC11B2JD043320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BBJB00197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皖S4616学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LVVDC11B4JD043321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BBJB00168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皖S4626学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LVVDC11B6JD043322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BBJB00140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皖S4652学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LVVDC11B8JD043323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BBJB00141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皖S4667学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LVVDC11BXJD043324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BBJB00133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皖S4195学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LVVDC11B1JD043325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BBJB00165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皖S4676学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LVVDC11B3JD043326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BBJB00204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皖S4609学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LVVDC11B5JD043327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BBJB00157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皖S4646学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LVVDC11B9JD043329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BBJB00139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皖S4188学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LVVDC11B5JD043330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BBJB00205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皖S4628学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LVVDC11B7JD043331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BBJB00135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皖S4688学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LVVDC11B0JD043333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BBJB00238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2018-3-15</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皖S2677学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LVVDA11A4FD080664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MAFD30087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皖S2676学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LVVDA11A6FD076440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MAFD30093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2015-4-29</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皖S1876学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LVVDA11A4DD153870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MADD00482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皖S1020学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LGF1CA9T4KF102763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SC4FDK00036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2019-5-29</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皖S3041学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LVVDC11B2HD108385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BTHE00171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皖S3588学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LVVDC11B6HD108387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BTHE00150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皖S3556学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LVVDC11B8HD108388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BTHE00143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皖S3600学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LVVDC11B7HD105434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BTHE00043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皖S3281学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LVVDC11B9HD105435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BTHE00056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皖S3580学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LVVDC11B4HD105438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BTHE00057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皖S3566学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LVVDC11B2HD105440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BTHE00071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皖S3302学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LVVDC11B4HD105441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BTHE00066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皖S3535学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LVVDC11B4HD108386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BTHE00146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皖S3359学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LVVDC11B8HD105443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BTHE00049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皖S3371学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LVVDC11B3HD105446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BTHE00070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皖S3253学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LVVDC11B7HD105448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BTHE00045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皖S3242学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LVVDC11B3HD102739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BTHE00023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皖S3351学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LVVDC11B1HD102741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BTHE00022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皖S3352学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LVVDC11B2HD102747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BTHD00177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皖S3325学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LVVDC11B4HD102748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BTHE00025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皖S3043学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LVVDC11B6HD108390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BTHE00188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皖S3382学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LVVDC11B8HD108391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BTHE00181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皖S3567学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LVVDC11B1HD108393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BTHE00163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皖S3321学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LVVDC11B3HD108394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BTHE00176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皖S3577学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LVVDC11B5HD108395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BTHE00154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皖S3565学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LVVDC11B4HD108467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BTHE00093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皖S3560学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LVVDC11B6HD108468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BTHE00165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皖S2843学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LVVDC11B8HD108469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BTHE00130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皖S3320学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LVVDC11B4HD108470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BTHE00185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皖S3357学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LVVDC11B8HD108472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BTHE00155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皖S3341学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LVVDC11B1HD108474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BTHE00168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皖S3362学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LVVDC11B3HD108475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BTHE00173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皖S3363学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LFMA7E2A5H0163920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J162971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皖S3328学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LFMA7E2A6H0163165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J162381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皖S3528学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LGF1797G1HF104682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中型客车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FGGFAH00892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皖S3326学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LAGX29134HC003285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皖S3313学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LGAX29139HC003296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皖S3353学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LGAX29136HC003305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FGGS8H00067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皖S3327学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LGAX29138HC003306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FGGS8H00103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皖S3372学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LGAX29136HC003286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皖S3379学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LGAX29138HC003287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皖S3395学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LGAX2913XHC003288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皖S3350学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LGAX29131HC003289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皖S3392学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LGAX2913XHC003291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FGGS8H00066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皖S3317学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LGAX29131HC003292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FGGS8H00086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皖S3209学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LGAX29133HC003293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FGGS8H00069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皖S3290学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LGAX29135HC003294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FGGS8H00068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皖S3518学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LGF1CA9T0HF105166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SC4FAH00361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皖S3505学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LGF1CA9T2HF105167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SC4FAH00358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皖S3273学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LGAG19V26HC003261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皖S3305学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LGAG19V24HC003260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皖S3578学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LGAX29132HC003303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FGGS8H00095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皖S3257学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LVVDC11B0HD102746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BTHE00030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皖S3347学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LVVDC11B6HD108471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BTHE00148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皖S3227学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LVVDC11B5HD108476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BTHE00132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皖S3507学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LVVDC11B7HD108477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BTHE00189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皖S3536学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LVVDC11B9HD108478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BTHE00184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皖S3526学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LVVDC11B0HD108479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BTHE00162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皖S3527学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LVVDC11B7HD108480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BTHE00144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皖S3533学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LVVDC11B9HD108481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BTHE00158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皖S3553学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LVVDC11B0HD108482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BTHE00169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皖S3396学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LVVDC11B2HD108483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BTHE00190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皖S3369学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LVVDC11B4HD108484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BTHE00134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皖S3303学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LVVDC11B6HD108485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BTHE00142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皖S3323学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LVVDC11B1HD108491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BTHE00166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皖S3585学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LVVDC11B3HD108492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BTHE00131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皖S3587学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LVVDC11B5HD108493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BTHE00186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皖S3583学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LVVDC11B7HD108494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BTHE00170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皖S3568学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LVVDC11B2HD108497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BTHE00164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皖S3319学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LVVDC11B4HD108498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BTHE00172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皖S3307学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LVVDC11B6HD108499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BTHE00101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皖S3373学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LVVDC11B9HD108500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BTHE00099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皖S3387学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LVVDC11B4HD108503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BTHE00113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皖S3310学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LVVDC11BXHD108506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BTHE00120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皖S3391学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LVVDC11B0HD108515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BTHE00110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皖S3316学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LVVDC11B0HD105436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BTHE00069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皖S3376学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LFMA7E2A3H0164662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J163864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皖S3579学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LGAX29138HC003290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FGGS8H00072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皖S3311学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LFMA7E2A5H0164999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J164176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皖S3397学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LVVDC11B0HD108501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BTHE00100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皖S3377学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LVVDC11B1HD108488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BTHE00145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皖S3331学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LVVDC11B6HD105439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BTHE00072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皖S3599学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LGAX29134HC003304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FGGS8H00092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皖S3256学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LFMA7E2A1H0165017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丰田牌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J163485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皖S1732学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LVVDA11A3CD434122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MACM02575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皖S1733学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LVVDA11A0CD434188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MACM02497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皖S1735学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LVVDA11A7CD434169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MACM02510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皖S1736学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LVVDA11A6CD434132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MACM02586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皖S1737学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LVVDA11A3CD434184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MACM02569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皖S1738学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LVVDA11A3CD434170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MACM02498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皖S1739学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LVVDA11A4CD434243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MACM02608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皖S1751学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LVVDA11A5CD434204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MACM02602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皖S1752学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LVVDA11A2CD434225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MACM02517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皖S1871学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LVVDA11A9DD150074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MADC02187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皖S1873学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LVVDA11A6DD150078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MADD00114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皖S1875学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LVVDA11A2DD150076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MADC02411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皖S1879学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LVVDA11A9DD148454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MADC02188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皖S1881学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LVVDA11A9DD150768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MADC02486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皖S1882学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LVVDA11A1DD148450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MADC02056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皖S1883学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LVVDA11A1DD150960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MADD00118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皖S1886学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LVVDA11A0DD150948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MADD00009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皖S1887学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LVVDA11A7DD50798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MADD00022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皖S1872学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LVVDA11A6DD153871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MADD00241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皖S1877学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LVVDA11A2DD148442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MADC02407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2013-4-17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皖S3201学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LA9BC1E74H8XJH457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皖S3378学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LA9BC1E72H8XJH456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2017-7-7</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皖S1222学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LGF1CA9T9KF155457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大型客车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SC4FDK00111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2019-7-31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皖S0087学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LGAW29134JC018189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FGGS7J00340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2019-7-2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皖SA9795</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LGAX29132GC002988</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FG304G00081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2016-8-22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皖SA9705</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LGAX29139GC002986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FG304G00079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2016-8-22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皖SA9771</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LGAX29131GC002982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FG304G00075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2016-8-22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皖SA9670</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LGAX29134GC002989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FG304G00086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2016-8-22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皖SA9720</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LGAX29137GC002985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FG304G00083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2016-8-22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皖SA9847</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LGAG19V20GC002797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FG304G00069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2016-8-22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皖S2771学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LVVDC21B6FD119120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FFFG02642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皖S2773学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LVVDC21B1FD102371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FFFF00306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皖S2775学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LVVDC21B8FD119121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小型自动挡汽车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FFFG02641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2015-8-12</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皖S1569学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LVVDA11A3CD273514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MACG00903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皖S1571学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LVVDA11A7CD273516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MACG00951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皖S1572学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LVVDA11AXCD273509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MACG00930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皖S1573学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LVVDA11A5CD273515</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MACG01014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皖S1576学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LVVDA11A8CD273511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MACG00904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皖S1577学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LVVDA11A6CD273510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MACG00932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皖S1579学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LVVDA11A4CD273506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MACG00993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皖S1580学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LVVDA11A2CD249396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MACF00973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皖S1585学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LVVDA11A2CD273519</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MACG00874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2012-7-23</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皖S3916学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LGAW29138HC006007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FGGS7H00434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2017-11-30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皖S3936学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LGAW29136HC005566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大型货车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FGGS7H00362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2017-11-30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皖S2002学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LJ16BV5FXBB104190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合客牌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公交车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G2GJGB00022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2012-1-31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皖S3269学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LGAG19V22GC004132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东风牌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牵引车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FG304G00157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2017-1-11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皖S1667学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LVVDA11A4CD386100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MACL01248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皖S1668学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LVVDA11A7CD386172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MACL01246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皖S1669学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LVVDA11A9CD386111</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MACL01168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168</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皖S1670学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LVVDA11AXCD386084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MACL01201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169</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皖S1671学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LVVDA11A5CD386137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MACL01237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170</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皖S1672学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LVVDA11A2CD386144</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MACL01253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皖S1673学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LVVDA11A3CD386136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MACL01247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172</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皖S1675学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LVVDA11A0CD386157</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MACL01204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皖S1676学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LVVDA11A6CD386163</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MACL00921</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174</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皖S1677学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LVVDA11A6CD386132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奇瑞牌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小型汽车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MACL01243</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2012-11-21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175</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皖SY4991</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LZSHCKZS3J8000232</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宗申牌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正三轮摩托车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8HC00486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2018-7-10</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176</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皖S3232学</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LA9BC1E78G8XJH136</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骏强牌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2017-1-11</w:t>
            </w:r>
          </w:p>
        </w:tc>
      </w:tr>
      <w:tr>
        <w:tblPrEx>
          <w:tblCellMar>
            <w:top w:w="0" w:type="dxa"/>
            <w:left w:w="0" w:type="dxa"/>
            <w:bottom w:w="0" w:type="dxa"/>
            <w:right w:w="0" w:type="dxa"/>
          </w:tblCellMar>
        </w:tblPrEx>
        <w:trPr>
          <w:trHeight w:val="480" w:hRule="atLeast"/>
        </w:trPr>
        <w:tc>
          <w:tcPr>
            <w:tcW w:w="315"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177</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皖SV595挂</w:t>
            </w:r>
          </w:p>
        </w:tc>
        <w:tc>
          <w:tcPr>
            <w:tcW w:w="1110"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LCF19NRX3G0Z02400</w:t>
            </w:r>
          </w:p>
        </w:tc>
        <w:tc>
          <w:tcPr>
            <w:tcW w:w="6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楚风牌</w:t>
            </w:r>
          </w:p>
        </w:tc>
        <w:tc>
          <w:tcPr>
            <w:tcW w:w="917"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挂车</w:t>
            </w:r>
          </w:p>
        </w:tc>
        <w:tc>
          <w:tcPr>
            <w:tcW w:w="723"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w:t>
            </w:r>
          </w:p>
        </w:tc>
        <w:tc>
          <w:tcPr>
            <w:tcW w:w="658" w:type="pc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2016-8-31</w:t>
            </w:r>
          </w:p>
        </w:tc>
      </w:tr>
      <w:tr>
        <w:tblPrEx>
          <w:tblCellMar>
            <w:top w:w="0" w:type="dxa"/>
            <w:left w:w="0" w:type="dxa"/>
            <w:bottom w:w="0" w:type="dxa"/>
            <w:right w:w="0" w:type="dxa"/>
          </w:tblCellMar>
        </w:tblPrEx>
        <w:trPr>
          <w:trHeight w:val="48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备注：以上177台车辆需购买交强险、车船税。</w:t>
            </w:r>
          </w:p>
        </w:tc>
      </w:tr>
    </w:tbl>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（或单位负责人）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80" w:name="_Toc152042576"/>
      <w:bookmarkStart w:id="81" w:name="_Toc300835209"/>
      <w:bookmarkStart w:id="82" w:name="_Toc247527827"/>
      <w:bookmarkStart w:id="83" w:name="_Toc152045787"/>
      <w:bookmarkStart w:id="84" w:name="_Toc144974856"/>
      <w:bookmarkStart w:id="85" w:name="_Toc247514246"/>
      <w:r>
        <w:rPr>
          <w:rFonts w:hint="default" w:ascii="Times New Roman" w:hAnsi="Times New Roman" w:cs="Times New Roman"/>
        </w:rPr>
        <w:t>目    录</w:t>
      </w:r>
      <w:bookmarkEnd w:id="80"/>
      <w:bookmarkEnd w:id="81"/>
      <w:bookmarkEnd w:id="82"/>
      <w:bookmarkEnd w:id="83"/>
      <w:bookmarkEnd w:id="84"/>
      <w:bookmarkEnd w:id="85"/>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或单位负责人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86" w:name="_Toc247514247"/>
      <w:bookmarkStart w:id="87" w:name="_Toc144974857"/>
      <w:bookmarkStart w:id="88" w:name="_Toc247527828"/>
      <w:bookmarkStart w:id="89" w:name="_Toc300835210"/>
      <w:bookmarkStart w:id="90" w:name="_Toc152042577"/>
      <w:bookmarkStart w:id="91" w:name="_Toc152045788"/>
      <w:r>
        <w:rPr>
          <w:rFonts w:hint="default" w:ascii="Times New Roman" w:hAnsi="Times New Roman" w:cs="Times New Roman"/>
        </w:rPr>
        <w:t>一、投标函</w:t>
      </w:r>
      <w:bookmarkEnd w:id="86"/>
      <w:bookmarkEnd w:id="87"/>
      <w:bookmarkEnd w:id="88"/>
      <w:bookmarkEnd w:id="89"/>
      <w:bookmarkEnd w:id="90"/>
      <w:bookmarkEnd w:id="91"/>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w:t>
      </w:r>
      <w:r>
        <w:rPr>
          <w:rFonts w:hint="default" w:ascii="Times New Roman" w:hAnsi="Times New Roman" w:cs="Times New Roman"/>
          <w:szCs w:val="21"/>
          <w:lang w:val="en-US" w:eastAsia="zh-CN"/>
        </w:rPr>
        <w:t>①</w:t>
      </w:r>
      <w:r>
        <w:rPr>
          <w:rFonts w:hint="eastAsia" w:ascii="Times New Roman" w:hAnsi="Times New Roman" w:cs="Times New Roman"/>
          <w:szCs w:val="21"/>
          <w:lang w:val="en-US" w:eastAsia="zh-CN"/>
        </w:rPr>
        <w:t>商业险部分自主定价系数</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r>
        <w:rPr>
          <w:rFonts w:hint="eastAsia" w:ascii="Times New Roman" w:hAnsi="Times New Roman" w:cs="Times New Roman"/>
          <w:szCs w:val="21"/>
          <w:u w:val="none"/>
          <w:lang w:val="en-US" w:eastAsia="zh-CN"/>
        </w:rPr>
        <w:t>的投标报价；</w:t>
      </w:r>
      <w:r>
        <w:rPr>
          <w:rFonts w:hint="default" w:ascii="Times New Roman" w:hAnsi="Times New Roman" w:cs="Times New Roman"/>
          <w:szCs w:val="21"/>
          <w:u w:val="none"/>
          <w:lang w:val="en-US" w:eastAsia="zh-CN"/>
        </w:rPr>
        <w:t>②</w:t>
      </w:r>
      <w:r>
        <w:rPr>
          <w:rFonts w:hint="eastAsia" w:ascii="Times New Roman" w:hAnsi="Times New Roman" w:cs="Times New Roman"/>
          <w:szCs w:val="21"/>
          <w:u w:val="none"/>
          <w:lang w:val="en-US" w:eastAsia="zh-CN"/>
        </w:rPr>
        <w:t>交强险、车船税部分执行国家有关规定，在国家政策允许范围内给予招标人最大优惠。服务期限：</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年，按合同约定完成招标范围内所有车辆的保险服务。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（1）投标函及投标函附录；（2）法定代表人（或单位负责人）身份证明或授权委托书；（3）投标保证金；（4）服务费用清单；（5）资格审查资料；（6）服务方案；（7）其他资料；.......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eastAsia" w:ascii="Times New Roman" w:hAnsi="Times New Roman" w:cs="Times New Roman" w:eastAsiaTheme="minorEastAsia"/>
          <w:szCs w:val="21"/>
          <w:lang w:eastAsia="zh-CN"/>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或单位负责人</w:t>
      </w:r>
      <w:r>
        <w:rPr>
          <w:rFonts w:hint="eastAsia" w:ascii="Times New Roman" w:hAnsi="Times New Roman" w:cs="Times New Roman"/>
          <w:szCs w:val="21"/>
          <w:lang w:eastAsia="zh-CN"/>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 w:val="20"/>
                <w:szCs w:val="20"/>
                <w:u w:val="single"/>
                <w:vertAlign w:val="baseline"/>
                <w:lang w:val="en-US" w:eastAsia="zh-CN"/>
              </w:rPr>
              <w:t>3</w:t>
            </w:r>
            <w:r>
              <w:rPr>
                <w:rFonts w:hint="eastAsia" w:ascii="Times New Roman" w:hAnsi="Times New Roman" w:cs="Times New Roman"/>
                <w:sz w:val="20"/>
                <w:szCs w:val="20"/>
                <w:u w:val="none"/>
                <w:vertAlign w:val="baseline"/>
                <w:lang w:val="en-US" w:eastAsia="zh-CN"/>
              </w:rPr>
              <w:t>年</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3</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1984"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eastAsia" w:ascii="Times New Roman" w:hAnsi="Times New Roman" w:cs="Times New Roman" w:eastAsiaTheme="minorEastAsia"/>
          <w:szCs w:val="21"/>
          <w:lang w:eastAsia="zh-CN"/>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或单位负责人</w:t>
      </w:r>
      <w:r>
        <w:rPr>
          <w:rFonts w:hint="eastAsia" w:ascii="Times New Roman" w:hAnsi="Times New Roman" w:cs="Times New Roman"/>
          <w:szCs w:val="21"/>
          <w:lang w:eastAsia="zh-CN"/>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92" w:name="_Toc144974860"/>
      <w:bookmarkStart w:id="93" w:name="_Toc152042580"/>
      <w:bookmarkStart w:id="94" w:name="_Toc300835213"/>
      <w:bookmarkStart w:id="95" w:name="_Toc152045791"/>
      <w:bookmarkStart w:id="96" w:name="_Toc247514283"/>
      <w:bookmarkStart w:id="97" w:name="_Toc247527831"/>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或单位负责人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92"/>
      <w:bookmarkEnd w:id="93"/>
      <w:bookmarkEnd w:id="94"/>
      <w:bookmarkEnd w:id="95"/>
      <w:bookmarkEnd w:id="96"/>
      <w:bookmarkEnd w:id="9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或单位负责人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或单位负责人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8" w:name="_Toc152042581"/>
      <w:bookmarkStart w:id="99" w:name="_Toc247527832"/>
      <w:bookmarkStart w:id="100" w:name="_Toc247514284"/>
      <w:bookmarkStart w:id="101" w:name="_Toc144974861"/>
      <w:bookmarkStart w:id="102" w:name="_Toc152045792"/>
      <w:bookmarkStart w:id="103" w:name="_Toc300835214"/>
      <w:r>
        <w:rPr>
          <w:rFonts w:hint="default" w:ascii="Times New Roman" w:hAnsi="Times New Roman" w:cs="Times New Roman"/>
        </w:rPr>
        <w:t>二、授权委托书</w:t>
      </w:r>
      <w:bookmarkEnd w:id="98"/>
      <w:bookmarkEnd w:id="99"/>
      <w:bookmarkEnd w:id="100"/>
      <w:bookmarkEnd w:id="101"/>
      <w:bookmarkEnd w:id="102"/>
      <w:bookmarkEnd w:id="10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或单位负责人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或单位负责人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注：本授权委托书需由投标人加盖单位公章并由其法定代表人（或单位负责人）和委托代理人签字。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或单位负责人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104" w:name="_Toc247527834"/>
      <w:bookmarkStart w:id="105" w:name="_Toc144974862"/>
      <w:bookmarkStart w:id="106" w:name="_Toc247514286"/>
      <w:bookmarkStart w:id="107" w:name="_Toc152042583"/>
      <w:bookmarkStart w:id="108" w:name="_Toc152045794"/>
      <w:bookmarkStart w:id="109"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104"/>
      <w:bookmarkEnd w:id="105"/>
      <w:bookmarkEnd w:id="106"/>
      <w:bookmarkEnd w:id="107"/>
      <w:bookmarkEnd w:id="108"/>
      <w:bookmarkEnd w:id="10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0"/>
    <w:p>
      <w:pPr>
        <w:rPr>
          <w:rFonts w:hint="default" w:ascii="Times New Roman" w:hAnsi="Times New Roman" w:cs="Times New Roman"/>
        </w:rPr>
      </w:pPr>
      <w:bookmarkStart w:id="111" w:name="_Toc247514287"/>
      <w:bookmarkStart w:id="112" w:name="_Toc144974863"/>
      <w:bookmarkStart w:id="113" w:name="_Toc152042584"/>
      <w:bookmarkStart w:id="114" w:name="_Toc247527835"/>
      <w:bookmarkStart w:id="115" w:name="_Toc300835218"/>
      <w:bookmarkStart w:id="116" w:name="_Toc152045795"/>
      <w:r>
        <w:rPr>
          <w:rFonts w:hint="default" w:ascii="Times New Roman" w:hAnsi="Times New Roman" w:cs="Times New Roman"/>
        </w:rPr>
        <w:br w:type="page"/>
      </w:r>
    </w:p>
    <w:p>
      <w:pPr>
        <w:pStyle w:val="3"/>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111"/>
      <w:bookmarkEnd w:id="112"/>
      <w:bookmarkEnd w:id="113"/>
      <w:bookmarkEnd w:id="114"/>
      <w:bookmarkEnd w:id="115"/>
      <w:bookmarkEnd w:id="116"/>
      <w:r>
        <w:rPr>
          <w:rFonts w:hint="eastAsia" w:ascii="Times New Roman" w:hAnsi="Times New Roman" w:cs="Times New Roman"/>
          <w:highlight w:val="none"/>
          <w:lang w:val="en-US" w:eastAsia="zh-CN"/>
        </w:rPr>
        <w:t>服务费用清单</w:t>
      </w: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pPr>
        <w:rPr>
          <w:rFonts w:hint="eastAsia" w:ascii="Times New Roman" w:hAnsi="Times New Roman" w:cs="Times New Roman"/>
          <w:lang w:val="en-US" w:eastAsia="zh-CN"/>
        </w:rPr>
      </w:pPr>
    </w:p>
    <w:p>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pPr>
        <w:rPr>
          <w:rFonts w:hint="default" w:ascii="Times New Roman" w:hAnsi="Times New Roman" w:cs="Times New Roman"/>
          <w:lang w:val="en-US" w:eastAsia="zh-CN"/>
        </w:rPr>
      </w:pPr>
    </w:p>
    <w:p>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117" w:name="_Toc247514288"/>
            <w:bookmarkStart w:id="118" w:name="_Toc144974864"/>
            <w:bookmarkStart w:id="119" w:name="_Toc152042585"/>
            <w:bookmarkStart w:id="120" w:name="_Toc152045796"/>
            <w:bookmarkStart w:id="121" w:name="_Toc247527836"/>
            <w:bookmarkStart w:id="122" w:name="_Toc300835221"/>
            <w:r>
              <w:rPr>
                <w:rFonts w:hint="eastAsia" w:ascii="Times New Roman" w:hAnsi="Times New Roman" w:cs="Times New Roman"/>
                <w:b/>
                <w:bCs/>
                <w:vertAlign w:val="baseline"/>
                <w:lang w:val="en-US" w:eastAsia="zh-CN"/>
              </w:rPr>
              <w:t>序号</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pPr>
              <w:jc w:val="center"/>
              <w:rPr>
                <w:rFonts w:hint="default" w:ascii="Times New Roman" w:hAnsi="Times New Roman" w:cs="Times New Roman"/>
                <w:vertAlign w:val="baseline"/>
              </w:rPr>
            </w:pPr>
          </w:p>
        </w:tc>
        <w:tc>
          <w:tcPr>
            <w:tcW w:w="2268"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注：投标人可根据车辆保险行业具体情况对本表格式进行调整。</w:t>
      </w:r>
    </w:p>
    <w:p>
      <w:pPr>
        <w:rPr>
          <w:rFonts w:hint="default" w:ascii="Times New Roman" w:hAnsi="Times New Roman" w:cs="Times New Roman"/>
        </w:rPr>
      </w:pPr>
      <w:r>
        <w:rPr>
          <w:rFonts w:hint="default" w:ascii="Times New Roman" w:hAnsi="Times New Roman" w:cs="Times New Roman"/>
        </w:rPr>
        <w:br w:type="page"/>
      </w:r>
    </w:p>
    <w:bookmarkEnd w:id="117"/>
    <w:bookmarkEnd w:id="118"/>
    <w:bookmarkEnd w:id="119"/>
    <w:bookmarkEnd w:id="120"/>
    <w:bookmarkEnd w:id="121"/>
    <w:bookmarkEnd w:id="122"/>
    <w:p>
      <w:pPr>
        <w:pStyle w:val="3"/>
        <w:jc w:val="center"/>
        <w:rPr>
          <w:rFonts w:hint="eastAsia"/>
          <w:highlight w:val="none"/>
        </w:rPr>
      </w:pPr>
      <w:bookmarkStart w:id="123" w:name="_Toc296602614"/>
      <w:bookmarkStart w:id="124" w:name="_Toc144974871"/>
      <w:bookmarkStart w:id="125" w:name="_Toc144974876"/>
      <w:bookmarkStart w:id="126" w:name="_Toc152042592"/>
      <w:bookmarkStart w:id="127" w:name="_Toc247085887"/>
      <w:bookmarkStart w:id="128" w:name="_Toc247514300"/>
      <w:bookmarkStart w:id="129" w:name="_Toc246996369"/>
      <w:bookmarkStart w:id="130" w:name="_Toc152045803"/>
      <w:bookmarkStart w:id="131" w:name="_Toc179632823"/>
      <w:bookmarkStart w:id="132" w:name="_Toc300835224"/>
      <w:bookmarkStart w:id="133" w:name="_Toc152045808"/>
      <w:bookmarkStart w:id="134" w:name="_Toc246997112"/>
      <w:bookmarkStart w:id="135" w:name="_Toc152042597"/>
      <w:bookmarkStart w:id="136" w:name="_Toc247527848"/>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法定代表人或</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①投标人应根据投标人须知第3.5.2项的要求在本表后附相关证明材料。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②</w:t>
      </w:r>
      <w:r>
        <w:rPr>
          <w:rFonts w:hint="eastAsia" w:ascii="Times New Roman" w:hAnsi="Times New Roman" w:cs="Times New Roman"/>
          <w:color w:val="auto"/>
          <w:highlight w:val="none"/>
          <w:lang w:val="en-US" w:eastAsia="zh-CN"/>
        </w:rPr>
        <w:t>投标人应提供总公司经审计的2019年度信息披露报告。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w:t>
      </w:r>
      <w:r>
        <w:rPr>
          <w:rFonts w:hint="eastAsia" w:ascii="Times New Roman" w:hAnsi="Times New Roman" w:cs="Times New Roman"/>
          <w:color w:val="auto"/>
          <w:highlight w:val="none"/>
          <w:lang w:val="en-US" w:eastAsia="zh-CN"/>
        </w:rPr>
        <w:t>应</w:t>
      </w:r>
      <w:r>
        <w:rPr>
          <w:rFonts w:hint="default" w:ascii="Times New Roman" w:hAnsi="Times New Roman" w:cs="Times New Roman"/>
          <w:color w:val="auto"/>
          <w:highlight w:val="none"/>
          <w:lang w:val="en-US" w:eastAsia="zh-CN"/>
        </w:rPr>
        <w:t>提供</w:t>
      </w:r>
      <w:r>
        <w:rPr>
          <w:rFonts w:hint="eastAsia" w:ascii="Times New Roman" w:hAnsi="Times New Roman" w:cs="Times New Roman"/>
          <w:color w:val="auto"/>
          <w:highlight w:val="none"/>
          <w:lang w:val="en-US" w:eastAsia="zh-CN"/>
        </w:rPr>
        <w:t>总公司</w:t>
      </w:r>
      <w:r>
        <w:rPr>
          <w:rFonts w:hint="default" w:ascii="Times New Roman" w:hAnsi="Times New Roman" w:cs="Times New Roman"/>
          <w:color w:val="auto"/>
          <w:highlight w:val="none"/>
          <w:lang w:val="en-US" w:eastAsia="zh-CN"/>
        </w:rPr>
        <w:t>经审计的</w:t>
      </w:r>
      <w:r>
        <w:rPr>
          <w:rFonts w:hint="eastAsia" w:ascii="Times New Roman" w:hAnsi="Times New Roman" w:cs="Times New Roman"/>
          <w:color w:val="auto"/>
          <w:highlight w:val="none"/>
          <w:lang w:val="en-US" w:eastAsia="zh-CN"/>
        </w:rPr>
        <w:t>2019年度</w:t>
      </w:r>
      <w:r>
        <w:rPr>
          <w:rFonts w:hint="default" w:ascii="Times New Roman" w:hAnsi="Times New Roman" w:cs="Times New Roman"/>
          <w:color w:val="auto"/>
          <w:highlight w:val="none"/>
          <w:lang w:val="en-US" w:eastAsia="zh-CN"/>
        </w:rPr>
        <w:t>信息披露报告，并装订入投标文件；投标人提供的信息披露报告与中国保险行业协会披露信息不一致的，以中国保险行业协会披露信息为准。</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“近年完成的类似项目情况表”应附中标通知书或合同协议书或发包人出具的证明文件；具体时间要求见投标人须知前附表，每张表格只填写一个项目，并标明序号。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highlight w:val="none"/>
        </w:rPr>
      </w:pPr>
      <w:r>
        <w:rPr>
          <w:rFonts w:hint="eastAsia" w:ascii="Times New Roman" w:hAnsi="Times New Roman"/>
          <w:highlight w:val="none"/>
          <w:lang w:val="en-US" w:eastAsia="zh-CN"/>
        </w:rPr>
        <w:t>附：3.5.5 “近年发生的诉讼及仲裁情况”应说明投标人败诉的</w:t>
      </w:r>
      <w:r>
        <w:rPr>
          <w:rFonts w:hint="eastAsia" w:ascii="Times New Roman" w:hAnsi="Times New Roman"/>
          <w:i w:val="0"/>
          <w:iCs w:val="0"/>
          <w:color w:val="auto"/>
          <w:highlight w:val="none"/>
          <w:u w:val="none"/>
          <w:lang w:val="en-US" w:eastAsia="zh-CN"/>
        </w:rPr>
        <w:t>服务</w:t>
      </w:r>
      <w:r>
        <w:rPr>
          <w:rFonts w:hint="eastAsia" w:ascii="Times New Roman" w:hAnsi="Times New Roman"/>
          <w:highlight w:val="none"/>
          <w:lang w:val="en-US" w:eastAsia="zh-CN"/>
        </w:rPr>
        <w:t>合同的相关情况，并附法院或仲裁机构作出的判决、裁决等有关法律文书复印件，具体时间要求见投标人须知前附表。</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（五）拟委任的主要人员汇总表</w:t>
      </w:r>
    </w:p>
    <w:tbl>
      <w:tblPr>
        <w:tblStyle w:val="16"/>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rPr>
          <w:rFonts w:hint="eastAsia"/>
          <w:i/>
          <w:iCs/>
          <w:color w:val="FF0000"/>
          <w:u w:val="single"/>
          <w:lang w:val="en-US" w:eastAsia="zh-CN"/>
        </w:rPr>
      </w:pP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（六）主要人员简历表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从事车辆保险服务工作年限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“拟委任的主要人员汇总表”应填报满足第二章投标人须知第1.4.1项规定的项目负责人和其他主要人员的相关信息。“主要人员简历表”中项目负责人应附身份证、学历证、职称证、执业资格证书和</w:t>
      </w:r>
      <w:r>
        <w:rPr>
          <w:rFonts w:hint="eastAsia" w:ascii="Times New Roman" w:hAnsi="Times New Roman" w:eastAsia="宋体" w:cs="Times New Roman"/>
          <w:i w:val="0"/>
          <w:iCs w:val="0"/>
          <w:color w:val="FF0000"/>
          <w:highlight w:val="none"/>
          <w:u w:val="single"/>
          <w:lang w:val="en-US" w:eastAsia="zh-CN"/>
        </w:rPr>
        <w:t>2020年6月以来连续3个月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的社保缴费证明复印件，管理过的项目业绩须附合同协议书复印件；其他主要人员应附身份证、学历证、职称证、有关证书和</w:t>
      </w:r>
      <w:r>
        <w:rPr>
          <w:rFonts w:hint="eastAsia" w:ascii="Times New Roman" w:hAnsi="Times New Roman" w:eastAsia="宋体" w:cs="Times New Roman"/>
          <w:i w:val="0"/>
          <w:iCs w:val="0"/>
          <w:color w:val="FF0000"/>
          <w:highlight w:val="none"/>
          <w:u w:val="single"/>
          <w:lang w:val="en-US" w:eastAsia="zh-CN"/>
        </w:rPr>
        <w:t>2020年6月以来连续3个月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注：投标人可根据车辆保险行业具体情况对下列格式进行调整。</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设计方案应包括（但不限于）下列内容：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137" w:name="_Toc300835233"/>
      <w:bookmarkStart w:id="138"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137"/>
      <w:bookmarkEnd w:id="138"/>
    </w:p>
    <w:p>
      <w:pPr>
        <w:ind w:firstLine="420" w:firstLineChars="200"/>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2609D3"/>
    <w:rsid w:val="002C069E"/>
    <w:rsid w:val="0040224D"/>
    <w:rsid w:val="00733B0B"/>
    <w:rsid w:val="00746178"/>
    <w:rsid w:val="00764376"/>
    <w:rsid w:val="00796B76"/>
    <w:rsid w:val="00850CC0"/>
    <w:rsid w:val="008A465F"/>
    <w:rsid w:val="00B00F2F"/>
    <w:rsid w:val="00B07197"/>
    <w:rsid w:val="00B7173A"/>
    <w:rsid w:val="00C81162"/>
    <w:rsid w:val="00FF308E"/>
    <w:rsid w:val="011E6004"/>
    <w:rsid w:val="01265F82"/>
    <w:rsid w:val="0145105E"/>
    <w:rsid w:val="01477ECF"/>
    <w:rsid w:val="015366DE"/>
    <w:rsid w:val="017D6531"/>
    <w:rsid w:val="01891D75"/>
    <w:rsid w:val="019846E3"/>
    <w:rsid w:val="019A0D37"/>
    <w:rsid w:val="01AC09B9"/>
    <w:rsid w:val="01BC6192"/>
    <w:rsid w:val="01CB0CDF"/>
    <w:rsid w:val="01CD2334"/>
    <w:rsid w:val="01E140D3"/>
    <w:rsid w:val="01F16263"/>
    <w:rsid w:val="01FB5FA7"/>
    <w:rsid w:val="02016132"/>
    <w:rsid w:val="021323E7"/>
    <w:rsid w:val="021D348F"/>
    <w:rsid w:val="02562B11"/>
    <w:rsid w:val="026E5FAB"/>
    <w:rsid w:val="02983D41"/>
    <w:rsid w:val="02A31129"/>
    <w:rsid w:val="02A46690"/>
    <w:rsid w:val="02AC508C"/>
    <w:rsid w:val="02BE075F"/>
    <w:rsid w:val="02C62A0C"/>
    <w:rsid w:val="02D15F15"/>
    <w:rsid w:val="02F4317E"/>
    <w:rsid w:val="03067649"/>
    <w:rsid w:val="0324584F"/>
    <w:rsid w:val="032652C7"/>
    <w:rsid w:val="033964DC"/>
    <w:rsid w:val="035021B2"/>
    <w:rsid w:val="03696450"/>
    <w:rsid w:val="038E65F9"/>
    <w:rsid w:val="03BD28F2"/>
    <w:rsid w:val="03C10800"/>
    <w:rsid w:val="03C96DCC"/>
    <w:rsid w:val="03F661CB"/>
    <w:rsid w:val="03FB71CD"/>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666E00"/>
    <w:rsid w:val="07723470"/>
    <w:rsid w:val="078A5688"/>
    <w:rsid w:val="07962EAB"/>
    <w:rsid w:val="07972327"/>
    <w:rsid w:val="07A526A3"/>
    <w:rsid w:val="07A85930"/>
    <w:rsid w:val="07EE56D8"/>
    <w:rsid w:val="08135F8A"/>
    <w:rsid w:val="081A64E8"/>
    <w:rsid w:val="083726B7"/>
    <w:rsid w:val="0838660F"/>
    <w:rsid w:val="0844736D"/>
    <w:rsid w:val="08554A0D"/>
    <w:rsid w:val="08563EE1"/>
    <w:rsid w:val="086D3DA1"/>
    <w:rsid w:val="08774BE1"/>
    <w:rsid w:val="088F5820"/>
    <w:rsid w:val="08903F11"/>
    <w:rsid w:val="08932D8F"/>
    <w:rsid w:val="08B42C1D"/>
    <w:rsid w:val="08BF001C"/>
    <w:rsid w:val="08ED571D"/>
    <w:rsid w:val="08F30303"/>
    <w:rsid w:val="09094C02"/>
    <w:rsid w:val="0922447E"/>
    <w:rsid w:val="09285EF9"/>
    <w:rsid w:val="092D0C4C"/>
    <w:rsid w:val="094319EC"/>
    <w:rsid w:val="09553317"/>
    <w:rsid w:val="095B2DC5"/>
    <w:rsid w:val="096213E6"/>
    <w:rsid w:val="09641BD1"/>
    <w:rsid w:val="0967298A"/>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DD0DF0"/>
    <w:rsid w:val="0AE12CD3"/>
    <w:rsid w:val="0AE617F3"/>
    <w:rsid w:val="0AEB40E8"/>
    <w:rsid w:val="0B2810DB"/>
    <w:rsid w:val="0B416906"/>
    <w:rsid w:val="0B44058A"/>
    <w:rsid w:val="0B5D1C2A"/>
    <w:rsid w:val="0B685C3C"/>
    <w:rsid w:val="0B7202E7"/>
    <w:rsid w:val="0B725051"/>
    <w:rsid w:val="0B8C63AF"/>
    <w:rsid w:val="0B991D46"/>
    <w:rsid w:val="0B9E2A8E"/>
    <w:rsid w:val="0B9F686D"/>
    <w:rsid w:val="0BB82A2B"/>
    <w:rsid w:val="0BC817F0"/>
    <w:rsid w:val="0C110CA2"/>
    <w:rsid w:val="0C175AC8"/>
    <w:rsid w:val="0C364F9E"/>
    <w:rsid w:val="0C773477"/>
    <w:rsid w:val="0C905D65"/>
    <w:rsid w:val="0C9F113B"/>
    <w:rsid w:val="0CAF0053"/>
    <w:rsid w:val="0CD3448B"/>
    <w:rsid w:val="0CF072F3"/>
    <w:rsid w:val="0D2466BD"/>
    <w:rsid w:val="0D3A1668"/>
    <w:rsid w:val="0D4965D9"/>
    <w:rsid w:val="0D4A67B7"/>
    <w:rsid w:val="0D5C2246"/>
    <w:rsid w:val="0D6A3C45"/>
    <w:rsid w:val="0D6B611E"/>
    <w:rsid w:val="0D7E1788"/>
    <w:rsid w:val="0D7F3B4D"/>
    <w:rsid w:val="0D84383E"/>
    <w:rsid w:val="0D887338"/>
    <w:rsid w:val="0DA13B17"/>
    <w:rsid w:val="0DA277FF"/>
    <w:rsid w:val="0DB8057F"/>
    <w:rsid w:val="0DC57869"/>
    <w:rsid w:val="0DD331D8"/>
    <w:rsid w:val="0DDB677F"/>
    <w:rsid w:val="0DE90B73"/>
    <w:rsid w:val="0E05197A"/>
    <w:rsid w:val="0E093A81"/>
    <w:rsid w:val="0E1201C4"/>
    <w:rsid w:val="0E3C08A3"/>
    <w:rsid w:val="0E493D37"/>
    <w:rsid w:val="0E5C46C9"/>
    <w:rsid w:val="0E626142"/>
    <w:rsid w:val="0E6D2ED0"/>
    <w:rsid w:val="0E6D3EE4"/>
    <w:rsid w:val="0E73304D"/>
    <w:rsid w:val="0E766E25"/>
    <w:rsid w:val="0E8168AC"/>
    <w:rsid w:val="0E92031F"/>
    <w:rsid w:val="0E9601D9"/>
    <w:rsid w:val="0EB07759"/>
    <w:rsid w:val="0EBD5C4C"/>
    <w:rsid w:val="0EDF4D5E"/>
    <w:rsid w:val="0EF860F0"/>
    <w:rsid w:val="0F024085"/>
    <w:rsid w:val="0F1438EF"/>
    <w:rsid w:val="0F463825"/>
    <w:rsid w:val="0F4B0F6A"/>
    <w:rsid w:val="0F575798"/>
    <w:rsid w:val="0F5F0514"/>
    <w:rsid w:val="0F5F5CB1"/>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1114551"/>
    <w:rsid w:val="112269D1"/>
    <w:rsid w:val="11356135"/>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E70A7"/>
    <w:rsid w:val="128E3C38"/>
    <w:rsid w:val="12981122"/>
    <w:rsid w:val="129E250A"/>
    <w:rsid w:val="12BF2922"/>
    <w:rsid w:val="12C942C8"/>
    <w:rsid w:val="12DC5F5E"/>
    <w:rsid w:val="12DC7F8C"/>
    <w:rsid w:val="12E2251E"/>
    <w:rsid w:val="12E82A0B"/>
    <w:rsid w:val="131873D2"/>
    <w:rsid w:val="131C5459"/>
    <w:rsid w:val="13212B64"/>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35238"/>
    <w:rsid w:val="13D81B1F"/>
    <w:rsid w:val="13ED6E9B"/>
    <w:rsid w:val="14061B66"/>
    <w:rsid w:val="142B5FE2"/>
    <w:rsid w:val="142C3159"/>
    <w:rsid w:val="14542872"/>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631036"/>
    <w:rsid w:val="158374C1"/>
    <w:rsid w:val="15A62ECC"/>
    <w:rsid w:val="15B14179"/>
    <w:rsid w:val="15BB515A"/>
    <w:rsid w:val="15C516BD"/>
    <w:rsid w:val="15E30544"/>
    <w:rsid w:val="15EA1C06"/>
    <w:rsid w:val="166266B1"/>
    <w:rsid w:val="166A29CC"/>
    <w:rsid w:val="16822D4F"/>
    <w:rsid w:val="16AE5D39"/>
    <w:rsid w:val="16C724D4"/>
    <w:rsid w:val="16D411E7"/>
    <w:rsid w:val="170756D4"/>
    <w:rsid w:val="170F4587"/>
    <w:rsid w:val="171C6910"/>
    <w:rsid w:val="172C7D14"/>
    <w:rsid w:val="176115DC"/>
    <w:rsid w:val="176D7525"/>
    <w:rsid w:val="17824660"/>
    <w:rsid w:val="178D4F75"/>
    <w:rsid w:val="178F2FF8"/>
    <w:rsid w:val="179121FE"/>
    <w:rsid w:val="17915931"/>
    <w:rsid w:val="17A95D2F"/>
    <w:rsid w:val="17AE37BE"/>
    <w:rsid w:val="17BB073A"/>
    <w:rsid w:val="17C24576"/>
    <w:rsid w:val="17C41ABF"/>
    <w:rsid w:val="18175D56"/>
    <w:rsid w:val="18276B10"/>
    <w:rsid w:val="18341AA2"/>
    <w:rsid w:val="183C0E63"/>
    <w:rsid w:val="187964F0"/>
    <w:rsid w:val="189B5F22"/>
    <w:rsid w:val="18A70256"/>
    <w:rsid w:val="18A944F8"/>
    <w:rsid w:val="18B117A1"/>
    <w:rsid w:val="18B30663"/>
    <w:rsid w:val="18B73074"/>
    <w:rsid w:val="18CA061B"/>
    <w:rsid w:val="18DA76F1"/>
    <w:rsid w:val="18E54122"/>
    <w:rsid w:val="19034C2D"/>
    <w:rsid w:val="1916127C"/>
    <w:rsid w:val="193D465D"/>
    <w:rsid w:val="193D4E12"/>
    <w:rsid w:val="195419D3"/>
    <w:rsid w:val="19605E78"/>
    <w:rsid w:val="196C4606"/>
    <w:rsid w:val="196C6238"/>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576A44"/>
    <w:rsid w:val="1D5835F0"/>
    <w:rsid w:val="1D5D4990"/>
    <w:rsid w:val="1D6539B3"/>
    <w:rsid w:val="1D8C5045"/>
    <w:rsid w:val="1D9244F8"/>
    <w:rsid w:val="1D931CEA"/>
    <w:rsid w:val="1DA0794B"/>
    <w:rsid w:val="1DB82722"/>
    <w:rsid w:val="1DC177D9"/>
    <w:rsid w:val="1DD1343B"/>
    <w:rsid w:val="1DDE608F"/>
    <w:rsid w:val="1E021573"/>
    <w:rsid w:val="1E1A236E"/>
    <w:rsid w:val="1E225BB3"/>
    <w:rsid w:val="1E2A6113"/>
    <w:rsid w:val="1E2D212B"/>
    <w:rsid w:val="1E2E1737"/>
    <w:rsid w:val="1E2E6E13"/>
    <w:rsid w:val="1E32182A"/>
    <w:rsid w:val="1E5A61EE"/>
    <w:rsid w:val="1E713E2F"/>
    <w:rsid w:val="1E927A94"/>
    <w:rsid w:val="1EA573D8"/>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71677"/>
    <w:rsid w:val="1F722047"/>
    <w:rsid w:val="1F904945"/>
    <w:rsid w:val="1F9E44D6"/>
    <w:rsid w:val="1FAA6A2E"/>
    <w:rsid w:val="1FC11059"/>
    <w:rsid w:val="1FD608B1"/>
    <w:rsid w:val="1FE570E2"/>
    <w:rsid w:val="1FE7673E"/>
    <w:rsid w:val="200E38F2"/>
    <w:rsid w:val="201E585F"/>
    <w:rsid w:val="20207229"/>
    <w:rsid w:val="20410B17"/>
    <w:rsid w:val="2049266D"/>
    <w:rsid w:val="20534B67"/>
    <w:rsid w:val="20557DC5"/>
    <w:rsid w:val="205A5C16"/>
    <w:rsid w:val="205B7D6A"/>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88758A"/>
    <w:rsid w:val="21927CFA"/>
    <w:rsid w:val="21A61686"/>
    <w:rsid w:val="21C13A32"/>
    <w:rsid w:val="21D660F7"/>
    <w:rsid w:val="21EE31A8"/>
    <w:rsid w:val="220940EA"/>
    <w:rsid w:val="220A4BCF"/>
    <w:rsid w:val="221E15AC"/>
    <w:rsid w:val="22225038"/>
    <w:rsid w:val="22270787"/>
    <w:rsid w:val="224D73DD"/>
    <w:rsid w:val="22592601"/>
    <w:rsid w:val="225F6B03"/>
    <w:rsid w:val="226D7B83"/>
    <w:rsid w:val="2293123C"/>
    <w:rsid w:val="22A570EC"/>
    <w:rsid w:val="22A80FFA"/>
    <w:rsid w:val="22B70712"/>
    <w:rsid w:val="22D43243"/>
    <w:rsid w:val="22D704E6"/>
    <w:rsid w:val="23146AE4"/>
    <w:rsid w:val="232E56FD"/>
    <w:rsid w:val="233F5F96"/>
    <w:rsid w:val="235B2F11"/>
    <w:rsid w:val="235F4D23"/>
    <w:rsid w:val="236D4028"/>
    <w:rsid w:val="237A75E1"/>
    <w:rsid w:val="238A4DFC"/>
    <w:rsid w:val="23B04AEE"/>
    <w:rsid w:val="23CA7A4D"/>
    <w:rsid w:val="23DD21F3"/>
    <w:rsid w:val="23DF7B34"/>
    <w:rsid w:val="240C05DA"/>
    <w:rsid w:val="24226CC5"/>
    <w:rsid w:val="24312A4A"/>
    <w:rsid w:val="244A5E9A"/>
    <w:rsid w:val="244C4BB8"/>
    <w:rsid w:val="24691193"/>
    <w:rsid w:val="246C3A46"/>
    <w:rsid w:val="247152E7"/>
    <w:rsid w:val="24881DAE"/>
    <w:rsid w:val="24BC7675"/>
    <w:rsid w:val="24E04616"/>
    <w:rsid w:val="24FF7718"/>
    <w:rsid w:val="251A7612"/>
    <w:rsid w:val="25237A22"/>
    <w:rsid w:val="25285AE1"/>
    <w:rsid w:val="252E0774"/>
    <w:rsid w:val="25481BCE"/>
    <w:rsid w:val="254E3439"/>
    <w:rsid w:val="255453E5"/>
    <w:rsid w:val="255D36DD"/>
    <w:rsid w:val="25812F8D"/>
    <w:rsid w:val="25814DB7"/>
    <w:rsid w:val="25824959"/>
    <w:rsid w:val="25987A23"/>
    <w:rsid w:val="25BC46FF"/>
    <w:rsid w:val="25C00CC8"/>
    <w:rsid w:val="25C517A2"/>
    <w:rsid w:val="25F5789E"/>
    <w:rsid w:val="25FD6A72"/>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C553C"/>
    <w:rsid w:val="280C4BFC"/>
    <w:rsid w:val="2813394B"/>
    <w:rsid w:val="281C1F63"/>
    <w:rsid w:val="281C54D8"/>
    <w:rsid w:val="283610D5"/>
    <w:rsid w:val="285F5293"/>
    <w:rsid w:val="28622D71"/>
    <w:rsid w:val="286E69FD"/>
    <w:rsid w:val="2874076E"/>
    <w:rsid w:val="28C56178"/>
    <w:rsid w:val="28D51A0C"/>
    <w:rsid w:val="28DF0877"/>
    <w:rsid w:val="28E349BC"/>
    <w:rsid w:val="28FA546B"/>
    <w:rsid w:val="28FE025E"/>
    <w:rsid w:val="29245F1A"/>
    <w:rsid w:val="29366359"/>
    <w:rsid w:val="29456427"/>
    <w:rsid w:val="29586D7A"/>
    <w:rsid w:val="29772B51"/>
    <w:rsid w:val="29791894"/>
    <w:rsid w:val="2984235F"/>
    <w:rsid w:val="29844E30"/>
    <w:rsid w:val="299400E6"/>
    <w:rsid w:val="29967FD2"/>
    <w:rsid w:val="29972080"/>
    <w:rsid w:val="29A52D8F"/>
    <w:rsid w:val="29B76175"/>
    <w:rsid w:val="29C56C3A"/>
    <w:rsid w:val="29D21D69"/>
    <w:rsid w:val="29D85278"/>
    <w:rsid w:val="29E1380C"/>
    <w:rsid w:val="29E16B08"/>
    <w:rsid w:val="29E85046"/>
    <w:rsid w:val="2A017BFD"/>
    <w:rsid w:val="2A0A71F8"/>
    <w:rsid w:val="2A4913A2"/>
    <w:rsid w:val="2A555F6F"/>
    <w:rsid w:val="2A5C5810"/>
    <w:rsid w:val="2A651A82"/>
    <w:rsid w:val="2A6D7B04"/>
    <w:rsid w:val="2A9154D8"/>
    <w:rsid w:val="2AA04C57"/>
    <w:rsid w:val="2AD750C3"/>
    <w:rsid w:val="2AE77D08"/>
    <w:rsid w:val="2AEA3011"/>
    <w:rsid w:val="2AF315E7"/>
    <w:rsid w:val="2B1C0596"/>
    <w:rsid w:val="2B200903"/>
    <w:rsid w:val="2B252D72"/>
    <w:rsid w:val="2B3E0375"/>
    <w:rsid w:val="2B492499"/>
    <w:rsid w:val="2B652A8D"/>
    <w:rsid w:val="2B6A2F63"/>
    <w:rsid w:val="2B6C55DB"/>
    <w:rsid w:val="2B8A2FFD"/>
    <w:rsid w:val="2B8D5640"/>
    <w:rsid w:val="2BBA2DA3"/>
    <w:rsid w:val="2BD90E44"/>
    <w:rsid w:val="2BDE1B83"/>
    <w:rsid w:val="2BF4029C"/>
    <w:rsid w:val="2C1C6937"/>
    <w:rsid w:val="2C202757"/>
    <w:rsid w:val="2C270D43"/>
    <w:rsid w:val="2C6436A6"/>
    <w:rsid w:val="2C7A2A8F"/>
    <w:rsid w:val="2C8D731E"/>
    <w:rsid w:val="2C9023A5"/>
    <w:rsid w:val="2C937549"/>
    <w:rsid w:val="2C9D6A04"/>
    <w:rsid w:val="2CB62598"/>
    <w:rsid w:val="2CBC136A"/>
    <w:rsid w:val="2CC57724"/>
    <w:rsid w:val="2CCD3F07"/>
    <w:rsid w:val="2CFE607B"/>
    <w:rsid w:val="2D095409"/>
    <w:rsid w:val="2D185752"/>
    <w:rsid w:val="2D204FAE"/>
    <w:rsid w:val="2D213A27"/>
    <w:rsid w:val="2D3A3199"/>
    <w:rsid w:val="2D3B27F8"/>
    <w:rsid w:val="2D4B38E7"/>
    <w:rsid w:val="2D5470D9"/>
    <w:rsid w:val="2D551303"/>
    <w:rsid w:val="2D6844C6"/>
    <w:rsid w:val="2D772574"/>
    <w:rsid w:val="2D7E63CF"/>
    <w:rsid w:val="2D893900"/>
    <w:rsid w:val="2D8D31B7"/>
    <w:rsid w:val="2D8D5835"/>
    <w:rsid w:val="2DA54623"/>
    <w:rsid w:val="2DAB1C25"/>
    <w:rsid w:val="2DCC12FC"/>
    <w:rsid w:val="2DCD34B4"/>
    <w:rsid w:val="2DD66E3A"/>
    <w:rsid w:val="2DF17D73"/>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F532F9"/>
    <w:rsid w:val="2EFA0191"/>
    <w:rsid w:val="2EFC22DC"/>
    <w:rsid w:val="2F336E4F"/>
    <w:rsid w:val="2F3D3E78"/>
    <w:rsid w:val="2F436846"/>
    <w:rsid w:val="2F4556CE"/>
    <w:rsid w:val="2F5B184C"/>
    <w:rsid w:val="2F6F3C93"/>
    <w:rsid w:val="2F716E21"/>
    <w:rsid w:val="2F754A27"/>
    <w:rsid w:val="2F7A423F"/>
    <w:rsid w:val="2F8349FB"/>
    <w:rsid w:val="2FA32A00"/>
    <w:rsid w:val="2FB1448A"/>
    <w:rsid w:val="2FC802AE"/>
    <w:rsid w:val="2FD03CC2"/>
    <w:rsid w:val="2FD11635"/>
    <w:rsid w:val="2FDC4B15"/>
    <w:rsid w:val="30027B6C"/>
    <w:rsid w:val="30030176"/>
    <w:rsid w:val="301C41BF"/>
    <w:rsid w:val="303048F7"/>
    <w:rsid w:val="30323D63"/>
    <w:rsid w:val="303474C0"/>
    <w:rsid w:val="30350DA4"/>
    <w:rsid w:val="303C233C"/>
    <w:rsid w:val="30536BCF"/>
    <w:rsid w:val="305C41A9"/>
    <w:rsid w:val="30820205"/>
    <w:rsid w:val="308665CC"/>
    <w:rsid w:val="308E41B5"/>
    <w:rsid w:val="30952C59"/>
    <w:rsid w:val="30975EA4"/>
    <w:rsid w:val="30B34C1F"/>
    <w:rsid w:val="30EE0209"/>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C83EB4"/>
    <w:rsid w:val="31C97505"/>
    <w:rsid w:val="31CD31BF"/>
    <w:rsid w:val="31DD064B"/>
    <w:rsid w:val="31E10F55"/>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8916BE"/>
    <w:rsid w:val="32974C7A"/>
    <w:rsid w:val="32B865E1"/>
    <w:rsid w:val="32BB4ABE"/>
    <w:rsid w:val="32C8549C"/>
    <w:rsid w:val="32CA16D9"/>
    <w:rsid w:val="32D34F70"/>
    <w:rsid w:val="32DB36D4"/>
    <w:rsid w:val="32E83928"/>
    <w:rsid w:val="32F45590"/>
    <w:rsid w:val="331337B2"/>
    <w:rsid w:val="33227B1F"/>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81276"/>
    <w:rsid w:val="34EB3E0C"/>
    <w:rsid w:val="34EC3ED5"/>
    <w:rsid w:val="34ED3DC3"/>
    <w:rsid w:val="34F85DA8"/>
    <w:rsid w:val="3509398E"/>
    <w:rsid w:val="353178AD"/>
    <w:rsid w:val="353A14F3"/>
    <w:rsid w:val="3547266B"/>
    <w:rsid w:val="354B62D7"/>
    <w:rsid w:val="3554479E"/>
    <w:rsid w:val="35562720"/>
    <w:rsid w:val="357A69BB"/>
    <w:rsid w:val="357D63E5"/>
    <w:rsid w:val="357F00D0"/>
    <w:rsid w:val="35894506"/>
    <w:rsid w:val="358B7232"/>
    <w:rsid w:val="35A377DB"/>
    <w:rsid w:val="35C44A8D"/>
    <w:rsid w:val="35E7387F"/>
    <w:rsid w:val="35E81F7A"/>
    <w:rsid w:val="35F52BF3"/>
    <w:rsid w:val="36041802"/>
    <w:rsid w:val="360530D8"/>
    <w:rsid w:val="3605698A"/>
    <w:rsid w:val="36162F1C"/>
    <w:rsid w:val="363277D2"/>
    <w:rsid w:val="36361B1F"/>
    <w:rsid w:val="366244D5"/>
    <w:rsid w:val="368F357B"/>
    <w:rsid w:val="36A82C1D"/>
    <w:rsid w:val="36B34449"/>
    <w:rsid w:val="36B91ADD"/>
    <w:rsid w:val="36C342D9"/>
    <w:rsid w:val="36C3654A"/>
    <w:rsid w:val="370F2E93"/>
    <w:rsid w:val="370F32ED"/>
    <w:rsid w:val="37223E78"/>
    <w:rsid w:val="374E35E0"/>
    <w:rsid w:val="37560CC6"/>
    <w:rsid w:val="376E331C"/>
    <w:rsid w:val="378D0CEB"/>
    <w:rsid w:val="379A026D"/>
    <w:rsid w:val="37A2207E"/>
    <w:rsid w:val="37A2434F"/>
    <w:rsid w:val="37ED32C0"/>
    <w:rsid w:val="37ED6D6E"/>
    <w:rsid w:val="380C3B20"/>
    <w:rsid w:val="3811299F"/>
    <w:rsid w:val="3813029C"/>
    <w:rsid w:val="38422CE2"/>
    <w:rsid w:val="38464281"/>
    <w:rsid w:val="385438E8"/>
    <w:rsid w:val="386E21B0"/>
    <w:rsid w:val="38AE496C"/>
    <w:rsid w:val="38B54D45"/>
    <w:rsid w:val="38B7072B"/>
    <w:rsid w:val="38D242CD"/>
    <w:rsid w:val="38DC6FB6"/>
    <w:rsid w:val="39021924"/>
    <w:rsid w:val="391762C0"/>
    <w:rsid w:val="39324B9F"/>
    <w:rsid w:val="393E0C7A"/>
    <w:rsid w:val="39470BCD"/>
    <w:rsid w:val="39821F75"/>
    <w:rsid w:val="398B5520"/>
    <w:rsid w:val="398C3DB7"/>
    <w:rsid w:val="39A27A80"/>
    <w:rsid w:val="39AB6275"/>
    <w:rsid w:val="39B63539"/>
    <w:rsid w:val="39C52E4C"/>
    <w:rsid w:val="39E17621"/>
    <w:rsid w:val="39F227B1"/>
    <w:rsid w:val="3A151290"/>
    <w:rsid w:val="3A201663"/>
    <w:rsid w:val="3A292038"/>
    <w:rsid w:val="3A524E6B"/>
    <w:rsid w:val="3A5E4DE2"/>
    <w:rsid w:val="3A7164C9"/>
    <w:rsid w:val="3A762A49"/>
    <w:rsid w:val="3A826354"/>
    <w:rsid w:val="3A9D28F5"/>
    <w:rsid w:val="3AB53AE3"/>
    <w:rsid w:val="3AB80239"/>
    <w:rsid w:val="3ABA012D"/>
    <w:rsid w:val="3ACD0EA1"/>
    <w:rsid w:val="3ACD43C9"/>
    <w:rsid w:val="3AFF2C64"/>
    <w:rsid w:val="3B2B107F"/>
    <w:rsid w:val="3B2F69DB"/>
    <w:rsid w:val="3B5E1380"/>
    <w:rsid w:val="3B79226F"/>
    <w:rsid w:val="3B904834"/>
    <w:rsid w:val="3B932344"/>
    <w:rsid w:val="3B963B4D"/>
    <w:rsid w:val="3B9B2E63"/>
    <w:rsid w:val="3B9D20F5"/>
    <w:rsid w:val="3BB33F88"/>
    <w:rsid w:val="3BD81B44"/>
    <w:rsid w:val="3BD91520"/>
    <w:rsid w:val="3BD93153"/>
    <w:rsid w:val="3BDA6996"/>
    <w:rsid w:val="3C0A3047"/>
    <w:rsid w:val="3C2E50FB"/>
    <w:rsid w:val="3C37637A"/>
    <w:rsid w:val="3C4A12AD"/>
    <w:rsid w:val="3C5125FC"/>
    <w:rsid w:val="3C5D4C2E"/>
    <w:rsid w:val="3C690ECB"/>
    <w:rsid w:val="3C860AC6"/>
    <w:rsid w:val="3C953A7D"/>
    <w:rsid w:val="3C960BC8"/>
    <w:rsid w:val="3C9848A1"/>
    <w:rsid w:val="3C9B05BB"/>
    <w:rsid w:val="3CA509B7"/>
    <w:rsid w:val="3CA509D1"/>
    <w:rsid w:val="3CD537E6"/>
    <w:rsid w:val="3CD93879"/>
    <w:rsid w:val="3CE728EF"/>
    <w:rsid w:val="3CE93C13"/>
    <w:rsid w:val="3D2571D3"/>
    <w:rsid w:val="3D29787E"/>
    <w:rsid w:val="3D3074C1"/>
    <w:rsid w:val="3D317B2F"/>
    <w:rsid w:val="3D5D0A53"/>
    <w:rsid w:val="3D7A2818"/>
    <w:rsid w:val="3D8106EA"/>
    <w:rsid w:val="3D834DF8"/>
    <w:rsid w:val="3DA352B1"/>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651EE9"/>
    <w:rsid w:val="3E70638E"/>
    <w:rsid w:val="3E784A78"/>
    <w:rsid w:val="3E8554F5"/>
    <w:rsid w:val="3EA51CD6"/>
    <w:rsid w:val="3EAE3E2C"/>
    <w:rsid w:val="3EB65E71"/>
    <w:rsid w:val="3EC33032"/>
    <w:rsid w:val="3EC61DB3"/>
    <w:rsid w:val="3EF62661"/>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D63B1"/>
    <w:rsid w:val="3FEF1AEF"/>
    <w:rsid w:val="3FF01019"/>
    <w:rsid w:val="40031733"/>
    <w:rsid w:val="40076D3D"/>
    <w:rsid w:val="400A2138"/>
    <w:rsid w:val="401F65F0"/>
    <w:rsid w:val="40342736"/>
    <w:rsid w:val="404470DB"/>
    <w:rsid w:val="404C2292"/>
    <w:rsid w:val="405D572D"/>
    <w:rsid w:val="407E7B1F"/>
    <w:rsid w:val="408D1EA0"/>
    <w:rsid w:val="408E2DBF"/>
    <w:rsid w:val="40982E53"/>
    <w:rsid w:val="409D2A1A"/>
    <w:rsid w:val="40A752D1"/>
    <w:rsid w:val="40B21FB5"/>
    <w:rsid w:val="40B95E2E"/>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6611D"/>
    <w:rsid w:val="42370B89"/>
    <w:rsid w:val="4252208C"/>
    <w:rsid w:val="425402BB"/>
    <w:rsid w:val="42564ADA"/>
    <w:rsid w:val="427456AF"/>
    <w:rsid w:val="42747A95"/>
    <w:rsid w:val="427E52C8"/>
    <w:rsid w:val="42841878"/>
    <w:rsid w:val="429A1379"/>
    <w:rsid w:val="42A3428D"/>
    <w:rsid w:val="42FA6BD0"/>
    <w:rsid w:val="42FB4E01"/>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903A1"/>
    <w:rsid w:val="439D6340"/>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A72CB4"/>
    <w:rsid w:val="44D243AA"/>
    <w:rsid w:val="44DC0CFE"/>
    <w:rsid w:val="44DC4FCA"/>
    <w:rsid w:val="44E15547"/>
    <w:rsid w:val="44EA12B2"/>
    <w:rsid w:val="44FD1C6D"/>
    <w:rsid w:val="45051DF1"/>
    <w:rsid w:val="451231AD"/>
    <w:rsid w:val="453E4B66"/>
    <w:rsid w:val="453F207E"/>
    <w:rsid w:val="454276A8"/>
    <w:rsid w:val="45465AD9"/>
    <w:rsid w:val="4577723A"/>
    <w:rsid w:val="457A6C83"/>
    <w:rsid w:val="45A31600"/>
    <w:rsid w:val="45E526C2"/>
    <w:rsid w:val="45EF4AA8"/>
    <w:rsid w:val="45EF5694"/>
    <w:rsid w:val="45F32D75"/>
    <w:rsid w:val="45F86B49"/>
    <w:rsid w:val="45FE4441"/>
    <w:rsid w:val="460934CE"/>
    <w:rsid w:val="460E6F64"/>
    <w:rsid w:val="461A7582"/>
    <w:rsid w:val="461F685B"/>
    <w:rsid w:val="46325B00"/>
    <w:rsid w:val="463A35BA"/>
    <w:rsid w:val="464478D6"/>
    <w:rsid w:val="46537026"/>
    <w:rsid w:val="46594972"/>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1D4366"/>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24047E"/>
    <w:rsid w:val="4924100D"/>
    <w:rsid w:val="49276380"/>
    <w:rsid w:val="4948117F"/>
    <w:rsid w:val="494B0B0D"/>
    <w:rsid w:val="497E20AD"/>
    <w:rsid w:val="49820EB7"/>
    <w:rsid w:val="498C0E72"/>
    <w:rsid w:val="499416E9"/>
    <w:rsid w:val="499B7FDA"/>
    <w:rsid w:val="49A63EAD"/>
    <w:rsid w:val="49B4166E"/>
    <w:rsid w:val="49BA2C9E"/>
    <w:rsid w:val="49C42ED0"/>
    <w:rsid w:val="49C51673"/>
    <w:rsid w:val="49D51633"/>
    <w:rsid w:val="49D86805"/>
    <w:rsid w:val="49F72310"/>
    <w:rsid w:val="49FD2EE4"/>
    <w:rsid w:val="4A0B4FDE"/>
    <w:rsid w:val="4A0E4738"/>
    <w:rsid w:val="4A343D11"/>
    <w:rsid w:val="4A497D35"/>
    <w:rsid w:val="4A8A37D8"/>
    <w:rsid w:val="4A8A64F2"/>
    <w:rsid w:val="4A8B4AB2"/>
    <w:rsid w:val="4ABE300E"/>
    <w:rsid w:val="4AD1058E"/>
    <w:rsid w:val="4AD9595B"/>
    <w:rsid w:val="4AE97387"/>
    <w:rsid w:val="4AF6154C"/>
    <w:rsid w:val="4AF93EAE"/>
    <w:rsid w:val="4B311212"/>
    <w:rsid w:val="4B373C21"/>
    <w:rsid w:val="4B3E6720"/>
    <w:rsid w:val="4B43535A"/>
    <w:rsid w:val="4B476348"/>
    <w:rsid w:val="4B625BF7"/>
    <w:rsid w:val="4B753465"/>
    <w:rsid w:val="4B770921"/>
    <w:rsid w:val="4B7E5905"/>
    <w:rsid w:val="4B7F01A8"/>
    <w:rsid w:val="4B916EFB"/>
    <w:rsid w:val="4BB21AF4"/>
    <w:rsid w:val="4BB54107"/>
    <w:rsid w:val="4BB67EEE"/>
    <w:rsid w:val="4BD13DC6"/>
    <w:rsid w:val="4BD17814"/>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D082D34"/>
    <w:rsid w:val="4D1C2C8C"/>
    <w:rsid w:val="4D1E77BE"/>
    <w:rsid w:val="4D245FC5"/>
    <w:rsid w:val="4D2B3B2C"/>
    <w:rsid w:val="4D8051B1"/>
    <w:rsid w:val="4DA943B0"/>
    <w:rsid w:val="4DB75561"/>
    <w:rsid w:val="4DC515BB"/>
    <w:rsid w:val="4DCB5984"/>
    <w:rsid w:val="4DD64458"/>
    <w:rsid w:val="4DDD243C"/>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F43B16"/>
    <w:rsid w:val="4F135FF8"/>
    <w:rsid w:val="4F1646F3"/>
    <w:rsid w:val="4F1E3B69"/>
    <w:rsid w:val="4F2B6C13"/>
    <w:rsid w:val="4F3153D3"/>
    <w:rsid w:val="4F5F3ED1"/>
    <w:rsid w:val="4F804E7C"/>
    <w:rsid w:val="4F85516A"/>
    <w:rsid w:val="4F944D8F"/>
    <w:rsid w:val="4FCA5221"/>
    <w:rsid w:val="4FEA7FBD"/>
    <w:rsid w:val="4FED0FB9"/>
    <w:rsid w:val="50245208"/>
    <w:rsid w:val="50315512"/>
    <w:rsid w:val="504430D6"/>
    <w:rsid w:val="505F23BC"/>
    <w:rsid w:val="505F4513"/>
    <w:rsid w:val="50697ABC"/>
    <w:rsid w:val="507410D2"/>
    <w:rsid w:val="509B702F"/>
    <w:rsid w:val="50A4392E"/>
    <w:rsid w:val="50A97681"/>
    <w:rsid w:val="50AE3B94"/>
    <w:rsid w:val="50AF7418"/>
    <w:rsid w:val="50C600F2"/>
    <w:rsid w:val="50C93813"/>
    <w:rsid w:val="50D03252"/>
    <w:rsid w:val="50E93575"/>
    <w:rsid w:val="50F04D4E"/>
    <w:rsid w:val="50F41527"/>
    <w:rsid w:val="50F57385"/>
    <w:rsid w:val="50F6016F"/>
    <w:rsid w:val="50FB1FB9"/>
    <w:rsid w:val="51132FF4"/>
    <w:rsid w:val="51151213"/>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712F73"/>
    <w:rsid w:val="52717995"/>
    <w:rsid w:val="528315FB"/>
    <w:rsid w:val="52990759"/>
    <w:rsid w:val="52A01177"/>
    <w:rsid w:val="52B87033"/>
    <w:rsid w:val="52BE5917"/>
    <w:rsid w:val="52D22288"/>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F4DD6"/>
    <w:rsid w:val="53B22D34"/>
    <w:rsid w:val="53B6236C"/>
    <w:rsid w:val="53BD6F30"/>
    <w:rsid w:val="53DE553F"/>
    <w:rsid w:val="53FC5A1A"/>
    <w:rsid w:val="540540F5"/>
    <w:rsid w:val="542913B3"/>
    <w:rsid w:val="543F18BA"/>
    <w:rsid w:val="54883400"/>
    <w:rsid w:val="54930B49"/>
    <w:rsid w:val="54932F58"/>
    <w:rsid w:val="549B63DD"/>
    <w:rsid w:val="54A81CB5"/>
    <w:rsid w:val="54BD0985"/>
    <w:rsid w:val="54C41B11"/>
    <w:rsid w:val="54CC32C5"/>
    <w:rsid w:val="54F859EA"/>
    <w:rsid w:val="54FF1FBE"/>
    <w:rsid w:val="550E49C6"/>
    <w:rsid w:val="5525118D"/>
    <w:rsid w:val="552E6032"/>
    <w:rsid w:val="55632353"/>
    <w:rsid w:val="55A47D96"/>
    <w:rsid w:val="55C94049"/>
    <w:rsid w:val="55DA287E"/>
    <w:rsid w:val="55DD1819"/>
    <w:rsid w:val="55EE6DAD"/>
    <w:rsid w:val="56073162"/>
    <w:rsid w:val="5609127C"/>
    <w:rsid w:val="561A1AAB"/>
    <w:rsid w:val="56243B92"/>
    <w:rsid w:val="563D619D"/>
    <w:rsid w:val="56413F2B"/>
    <w:rsid w:val="56537C47"/>
    <w:rsid w:val="568043DC"/>
    <w:rsid w:val="56A010C0"/>
    <w:rsid w:val="56A060CF"/>
    <w:rsid w:val="56AA3F63"/>
    <w:rsid w:val="56B96B8E"/>
    <w:rsid w:val="56C747B5"/>
    <w:rsid w:val="56CC4101"/>
    <w:rsid w:val="56D42684"/>
    <w:rsid w:val="56D53135"/>
    <w:rsid w:val="56DD2471"/>
    <w:rsid w:val="57181EE6"/>
    <w:rsid w:val="57210A6D"/>
    <w:rsid w:val="5744214A"/>
    <w:rsid w:val="574B480A"/>
    <w:rsid w:val="57501AFE"/>
    <w:rsid w:val="57543081"/>
    <w:rsid w:val="5789649C"/>
    <w:rsid w:val="57A373F0"/>
    <w:rsid w:val="57B12989"/>
    <w:rsid w:val="57C31CF0"/>
    <w:rsid w:val="57C83C57"/>
    <w:rsid w:val="57CF7F96"/>
    <w:rsid w:val="57E225F6"/>
    <w:rsid w:val="57E633B4"/>
    <w:rsid w:val="57EC2A0C"/>
    <w:rsid w:val="57F637B3"/>
    <w:rsid w:val="57FB2FB4"/>
    <w:rsid w:val="581B487A"/>
    <w:rsid w:val="581C6534"/>
    <w:rsid w:val="582014EC"/>
    <w:rsid w:val="582028C2"/>
    <w:rsid w:val="582908A2"/>
    <w:rsid w:val="583D07DD"/>
    <w:rsid w:val="584B6239"/>
    <w:rsid w:val="585011BC"/>
    <w:rsid w:val="585F1862"/>
    <w:rsid w:val="58620D26"/>
    <w:rsid w:val="58622549"/>
    <w:rsid w:val="58706FB1"/>
    <w:rsid w:val="587C5983"/>
    <w:rsid w:val="589B5B2C"/>
    <w:rsid w:val="58AE77D0"/>
    <w:rsid w:val="58E8415E"/>
    <w:rsid w:val="58FF1A45"/>
    <w:rsid w:val="59092BF1"/>
    <w:rsid w:val="591C580B"/>
    <w:rsid w:val="5926497A"/>
    <w:rsid w:val="595D3E12"/>
    <w:rsid w:val="596B5ED3"/>
    <w:rsid w:val="598446C5"/>
    <w:rsid w:val="59961EFB"/>
    <w:rsid w:val="59A11353"/>
    <w:rsid w:val="59B73771"/>
    <w:rsid w:val="59CF0329"/>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B626D"/>
    <w:rsid w:val="5BCF3C34"/>
    <w:rsid w:val="5BD32897"/>
    <w:rsid w:val="5BF50A44"/>
    <w:rsid w:val="5C295CCC"/>
    <w:rsid w:val="5C345941"/>
    <w:rsid w:val="5C381A3A"/>
    <w:rsid w:val="5C5C135C"/>
    <w:rsid w:val="5C787FE3"/>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5B91"/>
    <w:rsid w:val="5E8E438D"/>
    <w:rsid w:val="5E937CCC"/>
    <w:rsid w:val="5ECD4059"/>
    <w:rsid w:val="5EDF337C"/>
    <w:rsid w:val="5EF83794"/>
    <w:rsid w:val="5F0173CC"/>
    <w:rsid w:val="5F1A1A93"/>
    <w:rsid w:val="5F212DE2"/>
    <w:rsid w:val="5F287F7E"/>
    <w:rsid w:val="5F475677"/>
    <w:rsid w:val="5F484198"/>
    <w:rsid w:val="5F567498"/>
    <w:rsid w:val="5F8420E2"/>
    <w:rsid w:val="5F887220"/>
    <w:rsid w:val="5F9022AB"/>
    <w:rsid w:val="5FB537C3"/>
    <w:rsid w:val="5FB81E56"/>
    <w:rsid w:val="5FD85FDC"/>
    <w:rsid w:val="5FE725FA"/>
    <w:rsid w:val="5FEB78D3"/>
    <w:rsid w:val="5FEC00EE"/>
    <w:rsid w:val="5FF70F57"/>
    <w:rsid w:val="600458FB"/>
    <w:rsid w:val="600951D4"/>
    <w:rsid w:val="6010358A"/>
    <w:rsid w:val="601A25EF"/>
    <w:rsid w:val="60250EC1"/>
    <w:rsid w:val="603E1F21"/>
    <w:rsid w:val="603E7832"/>
    <w:rsid w:val="6044067F"/>
    <w:rsid w:val="60564383"/>
    <w:rsid w:val="605C6D51"/>
    <w:rsid w:val="607427E7"/>
    <w:rsid w:val="60793AF7"/>
    <w:rsid w:val="6099592B"/>
    <w:rsid w:val="60A13AB9"/>
    <w:rsid w:val="60A7744C"/>
    <w:rsid w:val="60C603C2"/>
    <w:rsid w:val="60CF04AB"/>
    <w:rsid w:val="60DB5486"/>
    <w:rsid w:val="60E82C1A"/>
    <w:rsid w:val="60EC0541"/>
    <w:rsid w:val="60F6028F"/>
    <w:rsid w:val="60FD245E"/>
    <w:rsid w:val="60FF2E22"/>
    <w:rsid w:val="61023605"/>
    <w:rsid w:val="61033EA8"/>
    <w:rsid w:val="61041F36"/>
    <w:rsid w:val="610A1613"/>
    <w:rsid w:val="6117702C"/>
    <w:rsid w:val="61251167"/>
    <w:rsid w:val="61432D9E"/>
    <w:rsid w:val="61656F66"/>
    <w:rsid w:val="61683AEB"/>
    <w:rsid w:val="61737A70"/>
    <w:rsid w:val="617D144B"/>
    <w:rsid w:val="61855138"/>
    <w:rsid w:val="618A70BC"/>
    <w:rsid w:val="618B76C7"/>
    <w:rsid w:val="61963F6D"/>
    <w:rsid w:val="61BD1F9D"/>
    <w:rsid w:val="61D27428"/>
    <w:rsid w:val="61D4550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A3D0D"/>
    <w:rsid w:val="633443AB"/>
    <w:rsid w:val="634161B6"/>
    <w:rsid w:val="634924E6"/>
    <w:rsid w:val="638857E1"/>
    <w:rsid w:val="63964A9A"/>
    <w:rsid w:val="63A445C5"/>
    <w:rsid w:val="63AB78F4"/>
    <w:rsid w:val="63C642C7"/>
    <w:rsid w:val="63C85688"/>
    <w:rsid w:val="63CD5666"/>
    <w:rsid w:val="63D01EF3"/>
    <w:rsid w:val="63D2038C"/>
    <w:rsid w:val="63E631E1"/>
    <w:rsid w:val="63E72800"/>
    <w:rsid w:val="63F66CE6"/>
    <w:rsid w:val="640E7E19"/>
    <w:rsid w:val="64477F3F"/>
    <w:rsid w:val="64745DFC"/>
    <w:rsid w:val="647527CB"/>
    <w:rsid w:val="648A0F84"/>
    <w:rsid w:val="648E4974"/>
    <w:rsid w:val="648F4377"/>
    <w:rsid w:val="649E65A7"/>
    <w:rsid w:val="64AE4937"/>
    <w:rsid w:val="64B70C4D"/>
    <w:rsid w:val="64C530D0"/>
    <w:rsid w:val="64C92A8D"/>
    <w:rsid w:val="64D14920"/>
    <w:rsid w:val="64DC22D2"/>
    <w:rsid w:val="64EA382F"/>
    <w:rsid w:val="64ED3306"/>
    <w:rsid w:val="6511603A"/>
    <w:rsid w:val="652763A9"/>
    <w:rsid w:val="653B0F51"/>
    <w:rsid w:val="65431C28"/>
    <w:rsid w:val="65434194"/>
    <w:rsid w:val="65477730"/>
    <w:rsid w:val="654912E0"/>
    <w:rsid w:val="655007CD"/>
    <w:rsid w:val="656A4332"/>
    <w:rsid w:val="65715D8E"/>
    <w:rsid w:val="65733372"/>
    <w:rsid w:val="65744876"/>
    <w:rsid w:val="657845AE"/>
    <w:rsid w:val="658F60B1"/>
    <w:rsid w:val="65991D3E"/>
    <w:rsid w:val="659E280B"/>
    <w:rsid w:val="65A95292"/>
    <w:rsid w:val="65B74A52"/>
    <w:rsid w:val="65B87761"/>
    <w:rsid w:val="65BD55BD"/>
    <w:rsid w:val="65C53449"/>
    <w:rsid w:val="65DA55D1"/>
    <w:rsid w:val="65E72587"/>
    <w:rsid w:val="65F27286"/>
    <w:rsid w:val="6602655A"/>
    <w:rsid w:val="66037BA1"/>
    <w:rsid w:val="660D45C7"/>
    <w:rsid w:val="661E771B"/>
    <w:rsid w:val="66280ABB"/>
    <w:rsid w:val="666717B3"/>
    <w:rsid w:val="6668032B"/>
    <w:rsid w:val="667C4290"/>
    <w:rsid w:val="668569A3"/>
    <w:rsid w:val="669C13AC"/>
    <w:rsid w:val="66B1624D"/>
    <w:rsid w:val="66C95898"/>
    <w:rsid w:val="66DC2CB9"/>
    <w:rsid w:val="66F8201A"/>
    <w:rsid w:val="66FF1E1B"/>
    <w:rsid w:val="671C5A04"/>
    <w:rsid w:val="6734528A"/>
    <w:rsid w:val="673F01D2"/>
    <w:rsid w:val="676777C3"/>
    <w:rsid w:val="677D4B8A"/>
    <w:rsid w:val="67802ACE"/>
    <w:rsid w:val="67804B33"/>
    <w:rsid w:val="67C132E8"/>
    <w:rsid w:val="67C40A09"/>
    <w:rsid w:val="67D020A7"/>
    <w:rsid w:val="67D600B8"/>
    <w:rsid w:val="67E4087E"/>
    <w:rsid w:val="6821192D"/>
    <w:rsid w:val="682A50A4"/>
    <w:rsid w:val="68337E89"/>
    <w:rsid w:val="68337EE8"/>
    <w:rsid w:val="683A6C76"/>
    <w:rsid w:val="6842321A"/>
    <w:rsid w:val="684675EC"/>
    <w:rsid w:val="68556FC7"/>
    <w:rsid w:val="685C5B46"/>
    <w:rsid w:val="688C0656"/>
    <w:rsid w:val="689B166D"/>
    <w:rsid w:val="68A477EF"/>
    <w:rsid w:val="68AE1735"/>
    <w:rsid w:val="68B037E5"/>
    <w:rsid w:val="68B72950"/>
    <w:rsid w:val="68D10AC8"/>
    <w:rsid w:val="68D60630"/>
    <w:rsid w:val="68ED7332"/>
    <w:rsid w:val="68F8555D"/>
    <w:rsid w:val="691D712E"/>
    <w:rsid w:val="69214FE0"/>
    <w:rsid w:val="697E1E2B"/>
    <w:rsid w:val="697E7396"/>
    <w:rsid w:val="6983176F"/>
    <w:rsid w:val="69975871"/>
    <w:rsid w:val="69A009FE"/>
    <w:rsid w:val="69A729C5"/>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B455F"/>
    <w:rsid w:val="6BF37DF1"/>
    <w:rsid w:val="6BFA3189"/>
    <w:rsid w:val="6C0B4C1B"/>
    <w:rsid w:val="6C3468D1"/>
    <w:rsid w:val="6C546532"/>
    <w:rsid w:val="6C630CE9"/>
    <w:rsid w:val="6C8A28F0"/>
    <w:rsid w:val="6C914CAA"/>
    <w:rsid w:val="6C9A6912"/>
    <w:rsid w:val="6CC17B62"/>
    <w:rsid w:val="6CEC0F34"/>
    <w:rsid w:val="6CEF01FA"/>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A910BB"/>
    <w:rsid w:val="6DB6586E"/>
    <w:rsid w:val="6DC237AE"/>
    <w:rsid w:val="6DF91502"/>
    <w:rsid w:val="6E01482E"/>
    <w:rsid w:val="6E0D1941"/>
    <w:rsid w:val="6E18292B"/>
    <w:rsid w:val="6E2013CD"/>
    <w:rsid w:val="6E402C35"/>
    <w:rsid w:val="6E403BCF"/>
    <w:rsid w:val="6E424CF7"/>
    <w:rsid w:val="6E96703D"/>
    <w:rsid w:val="6E984122"/>
    <w:rsid w:val="6EC4761A"/>
    <w:rsid w:val="6ED26905"/>
    <w:rsid w:val="6EE20566"/>
    <w:rsid w:val="6EEB6DD8"/>
    <w:rsid w:val="6EF513F6"/>
    <w:rsid w:val="6F166BCE"/>
    <w:rsid w:val="6F1D0027"/>
    <w:rsid w:val="6F1F0771"/>
    <w:rsid w:val="6F3669E2"/>
    <w:rsid w:val="6F3A0437"/>
    <w:rsid w:val="6F452492"/>
    <w:rsid w:val="6F4B64FF"/>
    <w:rsid w:val="6F4E1ABB"/>
    <w:rsid w:val="6F65489B"/>
    <w:rsid w:val="6F6F66FF"/>
    <w:rsid w:val="6F7227E7"/>
    <w:rsid w:val="6F86274A"/>
    <w:rsid w:val="6F886A39"/>
    <w:rsid w:val="6F8A6B50"/>
    <w:rsid w:val="6F9E4E98"/>
    <w:rsid w:val="6FB536E7"/>
    <w:rsid w:val="6FC169C6"/>
    <w:rsid w:val="700148B1"/>
    <w:rsid w:val="700708F2"/>
    <w:rsid w:val="701637CE"/>
    <w:rsid w:val="70192A9F"/>
    <w:rsid w:val="70262445"/>
    <w:rsid w:val="70575662"/>
    <w:rsid w:val="7068342F"/>
    <w:rsid w:val="70796EB7"/>
    <w:rsid w:val="70891E2B"/>
    <w:rsid w:val="709304FC"/>
    <w:rsid w:val="70B21D55"/>
    <w:rsid w:val="70BA4068"/>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A4E1C"/>
    <w:rsid w:val="71F8619A"/>
    <w:rsid w:val="72005730"/>
    <w:rsid w:val="72280301"/>
    <w:rsid w:val="7231753D"/>
    <w:rsid w:val="72386C6E"/>
    <w:rsid w:val="723A3057"/>
    <w:rsid w:val="72400885"/>
    <w:rsid w:val="724B6026"/>
    <w:rsid w:val="725273EA"/>
    <w:rsid w:val="725B1897"/>
    <w:rsid w:val="725F5B3C"/>
    <w:rsid w:val="72603689"/>
    <w:rsid w:val="726C47BC"/>
    <w:rsid w:val="72CD2240"/>
    <w:rsid w:val="72DC19E2"/>
    <w:rsid w:val="72DC648D"/>
    <w:rsid w:val="72E420AF"/>
    <w:rsid w:val="72E530D5"/>
    <w:rsid w:val="72EC4E12"/>
    <w:rsid w:val="72EF2AE7"/>
    <w:rsid w:val="73373DED"/>
    <w:rsid w:val="73391B68"/>
    <w:rsid w:val="733B2119"/>
    <w:rsid w:val="733F7A24"/>
    <w:rsid w:val="735C44F0"/>
    <w:rsid w:val="736A01CD"/>
    <w:rsid w:val="736B4D35"/>
    <w:rsid w:val="737010AC"/>
    <w:rsid w:val="73741988"/>
    <w:rsid w:val="73742A01"/>
    <w:rsid w:val="73814929"/>
    <w:rsid w:val="7391289C"/>
    <w:rsid w:val="7393399F"/>
    <w:rsid w:val="73984022"/>
    <w:rsid w:val="73C11347"/>
    <w:rsid w:val="73E2421D"/>
    <w:rsid w:val="74000D97"/>
    <w:rsid w:val="742D3750"/>
    <w:rsid w:val="74310474"/>
    <w:rsid w:val="74694C3B"/>
    <w:rsid w:val="746A6AAD"/>
    <w:rsid w:val="746D246B"/>
    <w:rsid w:val="747A4FBC"/>
    <w:rsid w:val="748B466B"/>
    <w:rsid w:val="74CC4EFB"/>
    <w:rsid w:val="74D469D0"/>
    <w:rsid w:val="74D94903"/>
    <w:rsid w:val="74DC7834"/>
    <w:rsid w:val="74E271F1"/>
    <w:rsid w:val="74F914E4"/>
    <w:rsid w:val="75197F39"/>
    <w:rsid w:val="75326EC3"/>
    <w:rsid w:val="754D60F6"/>
    <w:rsid w:val="7551327B"/>
    <w:rsid w:val="755D51F1"/>
    <w:rsid w:val="755F3E02"/>
    <w:rsid w:val="755F782E"/>
    <w:rsid w:val="75A16A9F"/>
    <w:rsid w:val="75BC6CCF"/>
    <w:rsid w:val="75D636FA"/>
    <w:rsid w:val="75E27D49"/>
    <w:rsid w:val="75FE7567"/>
    <w:rsid w:val="761867BE"/>
    <w:rsid w:val="76365AD0"/>
    <w:rsid w:val="763E44C0"/>
    <w:rsid w:val="76433653"/>
    <w:rsid w:val="7648216B"/>
    <w:rsid w:val="765D57EA"/>
    <w:rsid w:val="7688585F"/>
    <w:rsid w:val="76933A35"/>
    <w:rsid w:val="76BE3027"/>
    <w:rsid w:val="76CA616D"/>
    <w:rsid w:val="76DF0E9A"/>
    <w:rsid w:val="76F54CF0"/>
    <w:rsid w:val="76FD5906"/>
    <w:rsid w:val="77072866"/>
    <w:rsid w:val="770B684E"/>
    <w:rsid w:val="771D50F3"/>
    <w:rsid w:val="771F1990"/>
    <w:rsid w:val="77204CB1"/>
    <w:rsid w:val="77432F5D"/>
    <w:rsid w:val="77676DD8"/>
    <w:rsid w:val="776D12D7"/>
    <w:rsid w:val="777C1603"/>
    <w:rsid w:val="77A14CDE"/>
    <w:rsid w:val="77AA2F7D"/>
    <w:rsid w:val="77C96BD3"/>
    <w:rsid w:val="77D60033"/>
    <w:rsid w:val="77D800C3"/>
    <w:rsid w:val="77F547E0"/>
    <w:rsid w:val="78266CE5"/>
    <w:rsid w:val="7827421F"/>
    <w:rsid w:val="782B4A23"/>
    <w:rsid w:val="782F340C"/>
    <w:rsid w:val="78302F8F"/>
    <w:rsid w:val="784117AB"/>
    <w:rsid w:val="78510397"/>
    <w:rsid w:val="78542CE7"/>
    <w:rsid w:val="78552936"/>
    <w:rsid w:val="78731F0E"/>
    <w:rsid w:val="78754CBA"/>
    <w:rsid w:val="78962FA5"/>
    <w:rsid w:val="78A43903"/>
    <w:rsid w:val="78C148AC"/>
    <w:rsid w:val="78CA1FEE"/>
    <w:rsid w:val="78CB3FEB"/>
    <w:rsid w:val="793B5CE2"/>
    <w:rsid w:val="795C411F"/>
    <w:rsid w:val="7966323A"/>
    <w:rsid w:val="796834B3"/>
    <w:rsid w:val="797B3C8A"/>
    <w:rsid w:val="797F45FC"/>
    <w:rsid w:val="79830C32"/>
    <w:rsid w:val="79970647"/>
    <w:rsid w:val="79A11C25"/>
    <w:rsid w:val="79B847D4"/>
    <w:rsid w:val="79D9682C"/>
    <w:rsid w:val="79DB75C0"/>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783A23"/>
    <w:rsid w:val="7A7F2C76"/>
    <w:rsid w:val="7AAC462A"/>
    <w:rsid w:val="7AD14E20"/>
    <w:rsid w:val="7AD85F47"/>
    <w:rsid w:val="7AF84FA0"/>
    <w:rsid w:val="7AF909C6"/>
    <w:rsid w:val="7B1F3681"/>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3F76F0"/>
    <w:rsid w:val="7CA33449"/>
    <w:rsid w:val="7CA45FF7"/>
    <w:rsid w:val="7CE0350C"/>
    <w:rsid w:val="7D0A0BA4"/>
    <w:rsid w:val="7D107AF3"/>
    <w:rsid w:val="7D28386F"/>
    <w:rsid w:val="7D4253C7"/>
    <w:rsid w:val="7D4C5341"/>
    <w:rsid w:val="7D4E5EE6"/>
    <w:rsid w:val="7D800310"/>
    <w:rsid w:val="7D8901AD"/>
    <w:rsid w:val="7D8E577D"/>
    <w:rsid w:val="7D8F2C22"/>
    <w:rsid w:val="7D90536C"/>
    <w:rsid w:val="7D9A426A"/>
    <w:rsid w:val="7D9A7FCD"/>
    <w:rsid w:val="7DD17FD1"/>
    <w:rsid w:val="7DE70AC3"/>
    <w:rsid w:val="7DF245FC"/>
    <w:rsid w:val="7E006F08"/>
    <w:rsid w:val="7E3101B4"/>
    <w:rsid w:val="7E3172CD"/>
    <w:rsid w:val="7E333E03"/>
    <w:rsid w:val="7E391FE6"/>
    <w:rsid w:val="7E4D1B3B"/>
    <w:rsid w:val="7E750D96"/>
    <w:rsid w:val="7E841A66"/>
    <w:rsid w:val="7E916762"/>
    <w:rsid w:val="7EA916FD"/>
    <w:rsid w:val="7ED011E0"/>
    <w:rsid w:val="7EE53C64"/>
    <w:rsid w:val="7EEA29E2"/>
    <w:rsid w:val="7F541580"/>
    <w:rsid w:val="7F590594"/>
    <w:rsid w:val="7F667225"/>
    <w:rsid w:val="7F844A6E"/>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49</TotalTime>
  <ScaleCrop>false</ScaleCrop>
  <LinksUpToDate>false</LinksUpToDate>
  <CharactersWithSpaces>35017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2021-03-03T02:52:00Z</cp:lastPrinted>
  <dcterms:modified xsi:type="dcterms:W3CDTF">2021-03-04T07:57:10Z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