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hint="eastAsia" w:ascii="Times New Roman" w:hAnsi="Times New Roman" w:eastAsia="黑体" w:cs="Times New Roman"/>
          <w:kern w:val="0"/>
          <w:sz w:val="36"/>
          <w:szCs w:val="36"/>
          <w:lang w:eastAsia="zh-CN"/>
        </w:rPr>
      </w:pPr>
      <w:r>
        <w:rPr>
          <w:rFonts w:hint="eastAsia" w:ascii="Times New Roman" w:hAnsi="Times New Roman" w:eastAsia="黑体" w:cs="Times New Roman"/>
          <w:kern w:val="0"/>
          <w:sz w:val="36"/>
          <w:szCs w:val="36"/>
          <w:lang w:eastAsia="zh-CN"/>
        </w:rPr>
        <w:t>临漳公园、城北驾校公交首末站分体式群充直流充电桩采购安装项目</w:t>
      </w:r>
      <w:r>
        <w:rPr>
          <w:rFonts w:ascii="Times New Roman" w:hAnsi="Times New Roman" w:eastAsia="黑体" w:cs="Times New Roman"/>
          <w:kern w:val="0"/>
          <w:sz w:val="36"/>
          <w:szCs w:val="36"/>
        </w:rPr>
        <w:t>招标文件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p>
    <w:p>
      <w:pPr>
        <w:wordWrap w:val="0"/>
        <w:jc w:val="center"/>
        <w:rPr>
          <w:rFonts w:hint="eastAsia" w:ascii="Times New Roman" w:hAnsi="Times New Roman" w:eastAsia="楷体" w:cs="Times New Roman"/>
          <w:kern w:val="0"/>
          <w:sz w:val="28"/>
          <w:szCs w:val="28"/>
          <w:lang w:eastAsia="zh-CN"/>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lang w:eastAsia="zh-CN"/>
        </w:rPr>
        <w:t>BZJK-2020-054号</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firstLine="1280" w:firstLineChars="400"/>
        <w:jc w:val="left"/>
        <w:rPr>
          <w:rFonts w:hint="eastAsia" w:ascii="Times New Roman" w:hAnsi="Times New Roman" w:eastAsia="楷体" w:cs="Times New Roman"/>
          <w:kern w:val="0"/>
          <w:sz w:val="32"/>
          <w:szCs w:val="32"/>
          <w:lang w:eastAsia="zh-CN"/>
        </w:rPr>
      </w:pPr>
      <w:r>
        <w:rPr>
          <w:rFonts w:ascii="Times New Roman" w:hAnsi="Times New Roman" w:eastAsia="楷体" w:cs="Times New Roman"/>
          <w:kern w:val="0"/>
          <w:sz w:val="32"/>
          <w:szCs w:val="32"/>
        </w:rPr>
        <w:t>招标单位：</w:t>
      </w:r>
      <w:r>
        <w:rPr>
          <w:rFonts w:hint="eastAsia" w:ascii="Times New Roman" w:hAnsi="Times New Roman" w:eastAsia="楷体" w:cs="Times New Roman"/>
          <w:kern w:val="0"/>
          <w:sz w:val="32"/>
          <w:szCs w:val="32"/>
          <w:lang w:eastAsia="zh-CN"/>
        </w:rPr>
        <w:t>亳州市公共交通集团有限公司</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r>
        <w:rPr>
          <w:rFonts w:hint="eastAsia" w:ascii="Times New Roman" w:hAnsi="Times New Roman" w:eastAsia="楷体" w:cs="Times New Roman"/>
          <w:kern w:val="0"/>
          <w:sz w:val="32"/>
          <w:szCs w:val="32"/>
        </w:rPr>
        <w:t>二〇二〇年</w:t>
      </w:r>
      <w:r>
        <w:rPr>
          <w:rFonts w:hint="eastAsia" w:ascii="Times New Roman" w:hAnsi="Times New Roman" w:eastAsia="楷体" w:cs="Times New Roman"/>
          <w:kern w:val="0"/>
          <w:sz w:val="32"/>
          <w:szCs w:val="32"/>
          <w:lang w:val="en-US" w:eastAsia="zh-CN"/>
        </w:rPr>
        <w:t>十</w:t>
      </w:r>
      <w:r>
        <w:rPr>
          <w:rFonts w:hint="eastAsia" w:ascii="Times New Roman" w:hAnsi="Times New Roman" w:eastAsia="楷体" w:cs="Times New Roman"/>
          <w:kern w:val="0"/>
          <w:sz w:val="32"/>
          <w:szCs w:val="32"/>
        </w:rPr>
        <w:t>月</w:t>
      </w:r>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第一章 招标公告.....................................................................1</w:t>
      </w:r>
    </w:p>
    <w:p>
      <w:pPr>
        <w:wordWrap w:val="0"/>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lang w:val="en-US" w:eastAsia="zh-CN"/>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5</w:t>
      </w:r>
    </w:p>
    <w:p>
      <w:pPr>
        <w:wordWrap w:val="0"/>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11</w:t>
      </w:r>
    </w:p>
    <w:p>
      <w:pPr>
        <w:wordWrap w:val="0"/>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 xml:space="preserve">第四章 </w:t>
      </w:r>
      <w:r>
        <w:rPr>
          <w:rFonts w:hint="eastAsia" w:ascii="Times New Roman" w:hAnsi="Times New Roman" w:eastAsia="黑体" w:cs="Times New Roman"/>
          <w:kern w:val="0"/>
          <w:sz w:val="32"/>
          <w:szCs w:val="32"/>
          <w:lang w:val="en-US" w:eastAsia="zh-CN"/>
        </w:rPr>
        <w:t>采购内容及产品参数</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w:t>
      </w:r>
      <w:r>
        <w:rPr>
          <w:rFonts w:ascii="Times New Roman" w:hAnsi="Times New Roman" w:eastAsia="黑体" w:cs="Times New Roman"/>
          <w:kern w:val="0"/>
          <w:sz w:val="32"/>
          <w:szCs w:val="32"/>
        </w:rPr>
        <w:t>.......1</w:t>
      </w:r>
      <w:r>
        <w:rPr>
          <w:rFonts w:hint="eastAsia" w:ascii="Times New Roman" w:hAnsi="Times New Roman" w:eastAsia="黑体" w:cs="Times New Roman"/>
          <w:kern w:val="0"/>
          <w:sz w:val="32"/>
          <w:szCs w:val="32"/>
          <w:lang w:val="en-US" w:eastAsia="zh-CN"/>
        </w:rPr>
        <w:t>6</w:t>
      </w:r>
    </w:p>
    <w:p>
      <w:pPr>
        <w:wordWrap w:val="0"/>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第五章 合同条款.............................</w:t>
      </w:r>
      <w:r>
        <w:rPr>
          <w:rFonts w:hint="eastAsia" w:ascii="Times New Roman" w:hAnsi="Times New Roman" w:eastAsia="黑体" w:cs="Times New Roman"/>
          <w:kern w:val="0"/>
          <w:sz w:val="32"/>
          <w:szCs w:val="32"/>
          <w:lang w:val="en-US" w:eastAsia="zh-CN"/>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1</w:t>
      </w:r>
      <w:r>
        <w:rPr>
          <w:rFonts w:hint="eastAsia" w:ascii="Times New Roman" w:hAnsi="Times New Roman" w:eastAsia="黑体" w:cs="Times New Roman"/>
          <w:kern w:val="0"/>
          <w:sz w:val="32"/>
          <w:szCs w:val="32"/>
          <w:lang w:val="en-US" w:eastAsia="zh-CN"/>
        </w:rPr>
        <w:t>7</w:t>
      </w:r>
    </w:p>
    <w:p>
      <w:pPr>
        <w:wordWrap w:val="0"/>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六</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18</w:t>
      </w:r>
    </w:p>
    <w:p>
      <w:pPr>
        <w:wordWrap w:val="0"/>
        <w:rPr>
          <w:rFonts w:ascii="Times New Roman" w:hAnsi="Times New Roman" w:eastAsia="黑体" w:cs="Times New Roman"/>
          <w:kern w:val="0"/>
          <w:sz w:val="32"/>
          <w:szCs w:val="32"/>
        </w:rPr>
      </w:pP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17" w:right="1531" w:bottom="1417" w:left="1531" w:header="851" w:footer="992" w:gutter="0"/>
          <w:pgNumType w:fmt="numberInDash" w:start="1"/>
          <w:cols w:space="0" w:num="1"/>
          <w:docGrid w:type="lines" w:linePitch="312" w:charSpace="0"/>
        </w:sectPr>
      </w:pPr>
    </w:p>
    <w:p>
      <w:pPr>
        <w:wordWrap w:val="0"/>
        <w:spacing w:line="480" w:lineRule="exact"/>
        <w:jc w:val="center"/>
        <w:rPr>
          <w:rFonts w:ascii="Times New Roman" w:hAnsi="Times New Roman" w:eastAsia="仿宋_GB2312" w:cs="Times New Roman"/>
          <w:sz w:val="28"/>
          <w:szCs w:val="28"/>
        </w:rPr>
      </w:pPr>
      <w:r>
        <w:rPr>
          <w:rFonts w:hint="eastAsia" w:asciiTheme="majorEastAsia" w:hAnsiTheme="majorEastAsia" w:eastAsiaTheme="majorEastAsia" w:cstheme="majorEastAsia"/>
          <w:b/>
          <w:bCs/>
          <w:sz w:val="32"/>
          <w:szCs w:val="32"/>
        </w:rPr>
        <w:t>第一章 招标公告</w:t>
      </w:r>
    </w:p>
    <w:p>
      <w:pPr>
        <w:wordWrap w:val="0"/>
        <w:spacing w:line="480" w:lineRule="exact"/>
        <w:jc w:val="center"/>
        <w:rPr>
          <w:rFonts w:ascii="黑体" w:hAnsi="黑体" w:eastAsia="黑体" w:cs="黑体"/>
          <w:sz w:val="30"/>
          <w:szCs w:val="30"/>
        </w:rPr>
      </w:pPr>
      <w:r>
        <w:rPr>
          <w:rFonts w:hint="eastAsia" w:ascii="黑体" w:hAnsi="黑体" w:eastAsia="黑体" w:cs="黑体"/>
          <w:sz w:val="30"/>
          <w:szCs w:val="30"/>
          <w:lang w:eastAsia="zh-CN"/>
        </w:rPr>
        <w:t>临漳公园、城北驾校公交首末站分体式群充直流充电桩采购安装项目</w:t>
      </w:r>
      <w:r>
        <w:rPr>
          <w:rFonts w:hint="eastAsia" w:ascii="黑体" w:hAnsi="黑体" w:eastAsia="黑体" w:cs="黑体"/>
          <w:sz w:val="30"/>
          <w:szCs w:val="30"/>
        </w:rPr>
        <w:t>招标公告</w:t>
      </w:r>
      <w:bookmarkStart w:id="0" w:name="_Toc246996166"/>
      <w:bookmarkStart w:id="1" w:name="_Toc246996909"/>
      <w:bookmarkStart w:id="2" w:name="_Toc247085680"/>
      <w:bookmarkStart w:id="3" w:name="_Toc296602410"/>
      <w:bookmarkStart w:id="4" w:name="_Toc152045519"/>
      <w:bookmarkStart w:id="5" w:name="_Toc144974487"/>
      <w:bookmarkStart w:id="6" w:name="_Toc179632536"/>
      <w:bookmarkStart w:id="7" w:name="_Toc152042295"/>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w:t>
      </w:r>
      <w:r>
        <w:rPr>
          <w:rFonts w:hint="eastAsia" w:asciiTheme="minorEastAsia" w:hAnsiTheme="minorEastAsia" w:cstheme="minorEastAsia"/>
          <w:b/>
          <w:bCs/>
          <w:sz w:val="28"/>
          <w:szCs w:val="28"/>
        </w:rPr>
        <w:t>招标条件</w:t>
      </w:r>
      <w:bookmarkEnd w:id="0"/>
      <w:bookmarkEnd w:id="1"/>
      <w:bookmarkEnd w:id="2"/>
      <w:bookmarkEnd w:id="3"/>
      <w:bookmarkEnd w:id="4"/>
      <w:bookmarkEnd w:id="5"/>
      <w:bookmarkEnd w:id="6"/>
      <w:bookmarkEnd w:id="7"/>
      <w:r>
        <w:rPr>
          <w:rFonts w:hint="eastAsia" w:asciiTheme="minorEastAsia" w:hAnsiTheme="minorEastAsia" w:cstheme="minorEastAsia"/>
          <w:b/>
          <w:bCs/>
          <w:sz w:val="28"/>
          <w:szCs w:val="28"/>
        </w:rPr>
        <w:tab/>
      </w:r>
    </w:p>
    <w:p>
      <w:pPr>
        <w:wordWrap w:val="0"/>
        <w:spacing w:line="480" w:lineRule="exact"/>
        <w:ind w:firstLine="560" w:firstLineChars="200"/>
        <w:rPr>
          <w:rFonts w:asciiTheme="minorEastAsia" w:hAnsiTheme="minorEastAsia" w:cstheme="minorEastAsia"/>
          <w:sz w:val="28"/>
          <w:szCs w:val="28"/>
        </w:rPr>
      </w:pPr>
      <w:bookmarkStart w:id="8" w:name="_Toc152045520"/>
      <w:bookmarkStart w:id="9" w:name="_Toc296602411"/>
      <w:bookmarkStart w:id="10" w:name="_Toc247085681"/>
      <w:bookmarkStart w:id="11" w:name="_Toc152042296"/>
      <w:bookmarkStart w:id="12" w:name="_Toc179632537"/>
      <w:bookmarkStart w:id="13" w:name="_Toc246996910"/>
      <w:bookmarkStart w:id="14" w:name="_Toc246996167"/>
      <w:bookmarkStart w:id="15" w:name="_Toc144974488"/>
      <w:r>
        <w:rPr>
          <w:rFonts w:hint="eastAsia" w:asciiTheme="minorEastAsia" w:hAnsiTheme="minorEastAsia" w:cstheme="minorEastAsia"/>
          <w:sz w:val="28"/>
          <w:szCs w:val="28"/>
        </w:rPr>
        <w:t>本招标项目为</w:t>
      </w:r>
      <w:r>
        <w:rPr>
          <w:rFonts w:hint="eastAsia" w:asciiTheme="minorEastAsia" w:hAnsiTheme="minorEastAsia" w:cstheme="minorEastAsia"/>
          <w:sz w:val="28"/>
          <w:szCs w:val="28"/>
          <w:lang w:eastAsia="zh-CN"/>
        </w:rPr>
        <w:t>临漳公园、城北驾校公交首末站分体式群充直流充电桩采购安装项目</w:t>
      </w:r>
      <w:r>
        <w:rPr>
          <w:rFonts w:hint="eastAsia" w:asciiTheme="minorEastAsia" w:hAnsiTheme="minorEastAsia" w:cstheme="minorEastAsia"/>
          <w:sz w:val="28"/>
          <w:szCs w:val="28"/>
        </w:rPr>
        <w:t>（项目编号：</w:t>
      </w:r>
      <w:r>
        <w:rPr>
          <w:rFonts w:hint="eastAsia" w:asciiTheme="minorEastAsia" w:hAnsiTheme="minorEastAsia" w:cstheme="minorEastAsia"/>
          <w:sz w:val="28"/>
          <w:szCs w:val="28"/>
          <w:lang w:eastAsia="zh-CN"/>
        </w:rPr>
        <w:t>BZJK-2020-054号</w:t>
      </w:r>
      <w:r>
        <w:rPr>
          <w:rFonts w:hint="eastAsia" w:asciiTheme="minorEastAsia" w:hAnsiTheme="minorEastAsia" w:cstheme="minorEastAsia"/>
          <w:sz w:val="28"/>
          <w:szCs w:val="28"/>
        </w:rPr>
        <w:t>），招标人为</w:t>
      </w:r>
      <w:r>
        <w:rPr>
          <w:rFonts w:hint="eastAsia" w:asciiTheme="minorEastAsia" w:hAnsiTheme="minorEastAsia" w:cstheme="minorEastAsia"/>
          <w:sz w:val="28"/>
          <w:szCs w:val="28"/>
          <w:lang w:eastAsia="zh-CN"/>
        </w:rPr>
        <w:t>亳州市公共交通集团有限公司</w:t>
      </w:r>
      <w:r>
        <w:rPr>
          <w:rFonts w:hint="eastAsia" w:asciiTheme="minorEastAsia" w:hAnsiTheme="minorEastAsia" w:cstheme="minorEastAsia"/>
          <w:sz w:val="28"/>
          <w:szCs w:val="28"/>
        </w:rPr>
        <w:t>，建设资金来自</w:t>
      </w:r>
      <w:r>
        <w:rPr>
          <w:rFonts w:hint="eastAsia" w:asciiTheme="minorEastAsia" w:hAnsiTheme="minorEastAsia" w:cstheme="minorEastAsia"/>
          <w:sz w:val="28"/>
          <w:szCs w:val="28"/>
          <w:lang w:val="en-US" w:eastAsia="zh-CN"/>
        </w:rPr>
        <w:t>财政资金</w:t>
      </w:r>
      <w:r>
        <w:rPr>
          <w:rFonts w:hint="eastAsia" w:asciiTheme="minorEastAsia" w:hAnsiTheme="minorEastAsia" w:cstheme="minorEastAsia"/>
          <w:sz w:val="28"/>
          <w:szCs w:val="28"/>
        </w:rPr>
        <w:t>。项目已具备招标条件，现对该项目进行自主公开招标。</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sz w:val="28"/>
          <w:szCs w:val="28"/>
        </w:rPr>
        <w:t>相关事项</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（一）项目地点：临漳公园公交首末站位于林溪路与科技路交口西北角；城北驾校公交首末站位于汤陵北路北侧、老君大道（规划路）东侧，城北驾校对面。</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（二）招标范围：</w:t>
      </w:r>
      <w:r>
        <w:rPr>
          <w:rFonts w:hint="eastAsia" w:asciiTheme="minorEastAsia" w:hAnsiTheme="minorEastAsia" w:cstheme="minorEastAsia"/>
          <w:sz w:val="28"/>
          <w:szCs w:val="28"/>
          <w:lang w:eastAsia="zh-CN"/>
        </w:rPr>
        <w:t>以</w:t>
      </w:r>
      <w:r>
        <w:rPr>
          <w:rFonts w:hint="eastAsia" w:asciiTheme="minorEastAsia" w:hAnsiTheme="minorEastAsia" w:cstheme="minorEastAsia"/>
          <w:sz w:val="28"/>
          <w:szCs w:val="28"/>
          <w:lang w:val="en-US" w:eastAsia="zh-CN"/>
        </w:rPr>
        <w:t>项目</w:t>
      </w:r>
      <w:r>
        <w:rPr>
          <w:rFonts w:hint="eastAsia" w:asciiTheme="minorEastAsia" w:hAnsiTheme="minorEastAsia" w:cstheme="minorEastAsia"/>
          <w:sz w:val="28"/>
          <w:szCs w:val="28"/>
          <w:lang w:eastAsia="zh-CN"/>
        </w:rPr>
        <w:t>清单及技术参数要求为准，充电桩设备采购、电缆采购与埋设、运营管理系统、平台监控系统、调试、检测、成品保护、验收、交付相关资料、质量保修、产品保险等移交给甲方或甲方指定单位。</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（三）质量标准：符合国家、行业、地方现行相关规范合格标准，满足发包人要求。</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w:t>
      </w:r>
      <w:r>
        <w:rPr>
          <w:rFonts w:hint="eastAsia" w:asciiTheme="minorEastAsia" w:hAnsiTheme="minorEastAsia" w:cstheme="minorEastAsia"/>
          <w:sz w:val="28"/>
          <w:szCs w:val="28"/>
          <w:lang w:val="en-US" w:eastAsia="zh-CN"/>
        </w:rPr>
        <w:t>工期</w:t>
      </w:r>
      <w:r>
        <w:rPr>
          <w:rFonts w:hint="eastAsia" w:asciiTheme="minorEastAsia" w:hAnsiTheme="minorEastAsia" w:cstheme="minorEastAsia"/>
          <w:sz w:val="28"/>
          <w:szCs w:val="28"/>
        </w:rPr>
        <w:t>：自合同签订之日起至</w:t>
      </w:r>
      <w:r>
        <w:rPr>
          <w:rFonts w:hint="eastAsia" w:asciiTheme="minorEastAsia" w:hAnsiTheme="minorEastAsia" w:cstheme="minorEastAsia"/>
          <w:sz w:val="28"/>
          <w:szCs w:val="28"/>
          <w:lang w:val="en-US" w:eastAsia="zh-CN"/>
        </w:rPr>
        <w:t>40个日历天内完成</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shd w:val="clear" w:fill="FFFF00"/>
        </w:rPr>
      </w:pPr>
      <w:r>
        <w:rPr>
          <w:rFonts w:hint="eastAsia" w:asciiTheme="minorEastAsia" w:hAnsiTheme="minorEastAsia" w:cstheme="minorEastAsia"/>
          <w:sz w:val="28"/>
          <w:szCs w:val="28"/>
        </w:rPr>
        <w:t>（五）招标控制价（含税）：</w:t>
      </w:r>
      <w:r>
        <w:rPr>
          <w:rFonts w:hint="eastAsia" w:asciiTheme="minorEastAsia" w:hAnsiTheme="minorEastAsia" w:cstheme="minorEastAsia"/>
          <w:sz w:val="28"/>
          <w:szCs w:val="28"/>
          <w:shd w:val="clear" w:color="auto"/>
        </w:rPr>
        <w:t>按</w:t>
      </w:r>
      <w:r>
        <w:rPr>
          <w:rFonts w:hint="eastAsia" w:asciiTheme="minorEastAsia" w:hAnsiTheme="minorEastAsia" w:cstheme="minorEastAsia"/>
          <w:sz w:val="28"/>
          <w:szCs w:val="28"/>
          <w:u w:val="single"/>
          <w:shd w:val="clear" w:color="auto"/>
          <w:lang w:val="en-US" w:eastAsia="zh-CN"/>
        </w:rPr>
        <w:t>固定总价方式报价</w:t>
      </w:r>
      <w:r>
        <w:rPr>
          <w:rFonts w:hint="eastAsia" w:asciiTheme="minorEastAsia" w:hAnsiTheme="minorEastAsia" w:cstheme="minorEastAsia"/>
          <w:sz w:val="28"/>
          <w:szCs w:val="28"/>
          <w:shd w:val="clear" w:color="auto"/>
        </w:rPr>
        <w:t>，</w:t>
      </w:r>
      <w:r>
        <w:rPr>
          <w:rFonts w:hint="eastAsia" w:asciiTheme="minorEastAsia" w:hAnsiTheme="minorEastAsia" w:cstheme="minorEastAsia"/>
          <w:sz w:val="28"/>
          <w:szCs w:val="28"/>
          <w:shd w:val="clear" w:color="auto"/>
          <w:lang w:val="en-US" w:eastAsia="zh-CN"/>
        </w:rPr>
        <w:t>人民币大写：</w:t>
      </w:r>
      <w:r>
        <w:rPr>
          <w:rFonts w:hint="eastAsia" w:asciiTheme="minorEastAsia" w:hAnsiTheme="minorEastAsia" w:cstheme="minorEastAsia"/>
          <w:sz w:val="28"/>
          <w:szCs w:val="28"/>
          <w:shd w:val="clear" w:color="auto"/>
        </w:rPr>
        <w:t>叁佰零叁万元整（</w:t>
      </w:r>
      <w:r>
        <w:rPr>
          <w:rFonts w:hint="eastAsia" w:asciiTheme="minorEastAsia" w:hAnsiTheme="minorEastAsia" w:cstheme="minorEastAsia"/>
          <w:sz w:val="28"/>
          <w:szCs w:val="28"/>
          <w:shd w:val="clear" w:color="auto"/>
          <w:lang w:val="en-US" w:eastAsia="zh-CN"/>
        </w:rPr>
        <w:t>小写</w:t>
      </w:r>
      <w:r>
        <w:rPr>
          <w:rFonts w:hint="eastAsia" w:asciiTheme="minorEastAsia" w:hAnsiTheme="minorEastAsia" w:cstheme="minorEastAsia"/>
          <w:sz w:val="28"/>
          <w:szCs w:val="28"/>
          <w:shd w:val="clear" w:color="auto"/>
        </w:rPr>
        <w:t>：3030000.00元）</w:t>
      </w:r>
      <w:r>
        <w:rPr>
          <w:rFonts w:hint="eastAsia" w:asciiTheme="minorEastAsia" w:hAnsiTheme="minorEastAsia" w:cstheme="minorEastAsia"/>
          <w:sz w:val="28"/>
          <w:szCs w:val="28"/>
          <w:shd w:val="clear" w:color="auto"/>
          <w:lang w:eastAsia="zh-CN"/>
        </w:rPr>
        <w:t>。</w:t>
      </w:r>
      <w:r>
        <w:rPr>
          <w:rFonts w:hint="eastAsia" w:asciiTheme="minorEastAsia" w:hAnsiTheme="minorEastAsia" w:cstheme="minorEastAsia"/>
          <w:sz w:val="28"/>
          <w:szCs w:val="28"/>
          <w:shd w:val="clear" w:color="auto" w:fill="FFFF00"/>
          <w:lang w:eastAsia="zh-CN"/>
        </w:rPr>
        <w:t>投标报价不得高于最高投标限价，否则按无效投标处理；</w:t>
      </w:r>
      <w:r>
        <w:rPr>
          <w:rFonts w:hint="eastAsia" w:asciiTheme="minorEastAsia" w:hAnsiTheme="minorEastAsia" w:cstheme="minorEastAsia"/>
          <w:sz w:val="28"/>
          <w:szCs w:val="28"/>
          <w:shd w:val="clear" w:fill="FFFF00"/>
        </w:rPr>
        <w:t>投标报价包含设备采购、运输、安装、调试、检测、验收以及国家规定的增值税税金等全部费用，中标后不予调整，其他未尽事宜应统一考虑在报价内。</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（六）标段划分：一个标段。</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rPr>
        <w:t>三、投标人资格要求</w:t>
      </w:r>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（一）本次招标要求投标人须具有独立法人资格，具有有效的营业执照，</w:t>
      </w:r>
      <w:r>
        <w:rPr>
          <w:rFonts w:hint="eastAsia" w:asciiTheme="minorEastAsia" w:hAnsiTheme="minorEastAsia" w:cstheme="minorEastAsia"/>
          <w:sz w:val="28"/>
          <w:szCs w:val="28"/>
          <w:lang w:eastAsia="zh-CN"/>
        </w:rPr>
        <w:t>且营业范围包含投标产品的制造或销售</w:t>
      </w:r>
      <w:r>
        <w:rPr>
          <w:rFonts w:hint="eastAsia" w:asciiTheme="minorEastAsia" w:hAnsiTheme="minorEastAsia" w:cstheme="minorEastAsia"/>
          <w:sz w:val="28"/>
          <w:szCs w:val="28"/>
        </w:rPr>
        <w:t>；</w:t>
      </w:r>
    </w:p>
    <w:p>
      <w:pPr>
        <w:wordWrap w:val="0"/>
        <w:spacing w:line="480" w:lineRule="exact"/>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二</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投标人具有ISO9001质量管理体系认证证书、ISO14001环境管理体系认证证书和OHSAS8001职业健康安全管理体系认证证书（认证范围包含充电设备）</w:t>
      </w:r>
      <w:r>
        <w:rPr>
          <w:rFonts w:hint="eastAsia" w:asciiTheme="minorEastAsia" w:hAnsiTheme="minorEastAsia" w:cstheme="minorEastAsia"/>
          <w:sz w:val="28"/>
          <w:szCs w:val="28"/>
          <w:lang w:eastAsia="zh-CN"/>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三</w:t>
      </w:r>
      <w:r>
        <w:rPr>
          <w:rFonts w:hint="eastAsia" w:asciiTheme="minorEastAsia" w:hAnsiTheme="minorEastAsia" w:cstheme="minorEastAsia"/>
          <w:sz w:val="28"/>
          <w:szCs w:val="28"/>
        </w:rPr>
        <w:t>）投标人</w:t>
      </w:r>
      <w:r>
        <w:rPr>
          <w:rFonts w:hint="eastAsia" w:asciiTheme="minorEastAsia" w:hAnsiTheme="minorEastAsia" w:cstheme="minorEastAsia"/>
          <w:sz w:val="28"/>
          <w:szCs w:val="28"/>
          <w:lang w:val="en-US" w:eastAsia="zh-CN"/>
        </w:rPr>
        <w:t>须</w:t>
      </w:r>
      <w:r>
        <w:rPr>
          <w:rFonts w:hint="eastAsia" w:asciiTheme="minorEastAsia" w:hAnsiTheme="minorEastAsia" w:cstheme="minorEastAsia"/>
          <w:sz w:val="28"/>
          <w:szCs w:val="28"/>
        </w:rPr>
        <w:t>具有充电桩设备的研发制造能力，或经特许授权（代理商参加投标的，必须出具相关企业对本项目出具的唯一授权书）；</w:t>
      </w:r>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四</w:t>
      </w:r>
      <w:r>
        <w:rPr>
          <w:rFonts w:hint="eastAsia" w:asciiTheme="minorEastAsia" w:hAnsiTheme="minorEastAsia" w:cstheme="minorEastAsia"/>
          <w:sz w:val="28"/>
          <w:szCs w:val="28"/>
        </w:rPr>
        <w:t>）有依法缴纳税收的良好记录</w:t>
      </w:r>
      <w:r>
        <w:rPr>
          <w:rFonts w:hint="eastAsia" w:asciiTheme="minorEastAsia" w:hAnsiTheme="minorEastAsia" w:cstheme="minorEastAsia"/>
          <w:sz w:val="28"/>
          <w:szCs w:val="28"/>
          <w:lang w:eastAsia="zh-CN"/>
        </w:rPr>
        <w:t>，具有良好的商业信誉和健全的财务会计制度，</w:t>
      </w:r>
      <w:r>
        <w:rPr>
          <w:rFonts w:hint="eastAsia" w:asciiTheme="minorEastAsia" w:hAnsiTheme="minorEastAsia" w:cstheme="minorEastAsia"/>
          <w:sz w:val="28"/>
          <w:szCs w:val="28"/>
          <w:lang w:val="en-US" w:eastAsia="zh-CN"/>
        </w:rPr>
        <w:t>须提供近三年的企业财务状况</w:t>
      </w:r>
      <w:r>
        <w:rPr>
          <w:rFonts w:hint="eastAsia" w:asciiTheme="minorEastAsia" w:hAnsiTheme="minorEastAsia" w:cstheme="minorEastAsia"/>
          <w:sz w:val="28"/>
          <w:szCs w:val="28"/>
        </w:rPr>
        <w:t>；</w:t>
      </w:r>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五</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参加本次采购活动前三年内，在经营活动中没有重大违法违规记录；</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六</w:t>
      </w:r>
      <w:r>
        <w:rPr>
          <w:rFonts w:hint="eastAsia" w:asciiTheme="minorEastAsia" w:hAnsiTheme="minorEastAsia" w:cstheme="minorEastAsia"/>
          <w:sz w:val="28"/>
          <w:szCs w:val="28"/>
        </w:rPr>
        <w:t>）投标人存在以下不良信用记录情形之一的，不得推荐为中标候选人，更不得确定为中标人：</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1.投标人被人民法院列入失信被执行人的；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2.投标人或其法定代表人被人民检察院列入行贿犯罪档案的；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3.投标人被工商行政管理部门列入企业经营异常名录的；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4.投标人被税务部门列入重大税收违法案件当事人名单的；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5.投标人被人力资源社会保障行政部门列入拖欠农民工工资“黑名单”的。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r>
        <w:rPr>
          <w:rFonts w:hint="eastAsia" w:asciiTheme="minorEastAsia" w:hAnsiTheme="minorEastAsia" w:cstheme="minorEastAsia"/>
          <w:sz w:val="28"/>
          <w:szCs w:val="28"/>
          <w:shd w:val="clear" w:color="auto" w:fill="FFFF00"/>
        </w:rPr>
        <w:t>投标人须提供相关网站查询结果截图，并加盖投标人公章放入投标文件中。</w:t>
      </w:r>
    </w:p>
    <w:p>
      <w:pPr>
        <w:numPr>
          <w:ilvl w:val="0"/>
          <w:numId w:val="1"/>
        </w:num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本次招标</w:t>
      </w:r>
      <w:r>
        <w:rPr>
          <w:rFonts w:hint="eastAsia" w:asciiTheme="minorEastAsia" w:hAnsiTheme="minorEastAsia" w:cstheme="minorEastAsia"/>
          <w:sz w:val="28"/>
          <w:szCs w:val="28"/>
          <w:u w:val="single"/>
        </w:rPr>
        <w:t>不接受</w:t>
      </w:r>
      <w:r>
        <w:rPr>
          <w:rFonts w:hint="eastAsia" w:asciiTheme="minorEastAsia" w:hAnsiTheme="minorEastAsia" w:cstheme="minorEastAsia"/>
          <w:sz w:val="28"/>
          <w:szCs w:val="28"/>
        </w:rPr>
        <w:t>联合体投标。</w:t>
      </w:r>
    </w:p>
    <w:p>
      <w:pPr>
        <w:numPr>
          <w:ilvl w:val="0"/>
          <w:numId w:val="2"/>
        </w:numPr>
        <w:wordWrap w:val="0"/>
        <w:spacing w:line="480" w:lineRule="exact"/>
        <w:ind w:firstLine="562" w:firstLineChars="200"/>
        <w:rPr>
          <w:rFonts w:hint="eastAsia" w:asciiTheme="minorEastAsia" w:hAnsiTheme="minorEastAsia" w:cstheme="minorEastAsia"/>
          <w:b/>
          <w:bCs/>
          <w:sz w:val="28"/>
          <w:szCs w:val="28"/>
          <w:lang w:val="en-US" w:eastAsia="zh-CN"/>
        </w:rPr>
      </w:pPr>
      <w:r>
        <w:rPr>
          <w:rFonts w:hint="eastAsia" w:asciiTheme="minorEastAsia" w:hAnsiTheme="minorEastAsia" w:cstheme="minorEastAsia"/>
          <w:b/>
          <w:bCs/>
          <w:sz w:val="28"/>
          <w:szCs w:val="28"/>
          <w:lang w:val="en-US" w:eastAsia="zh-CN"/>
        </w:rPr>
        <w:t>采购要求（投标人必须响应，否则视为无效投标）</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1.中标方所有的充电数据接口要免费共享使用；</w:t>
      </w:r>
    </w:p>
    <w:p>
      <w:pPr>
        <w:wordWrap w:val="0"/>
        <w:spacing w:line="480" w:lineRule="exact"/>
        <w:ind w:firstLine="560" w:firstLineChars="200"/>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2.中标方要协调原充电桩企开放已装充电桩数据接口；</w:t>
      </w:r>
    </w:p>
    <w:p>
      <w:pPr>
        <w:wordWrap w:val="0"/>
        <w:spacing w:line="48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3.所有数据接入使用方现有的调度系统、ERP等平台产生的费用由中标方支付。</w:t>
      </w:r>
    </w:p>
    <w:p>
      <w:pPr>
        <w:wordWrap w:val="0"/>
        <w:spacing w:line="480" w:lineRule="exact"/>
        <w:ind w:firstLine="560" w:firstLineChars="200"/>
        <w:rPr>
          <w:rFonts w:hint="default"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4.投标人所提供的产品、设备须满足“第四章”采购清单及产品参数的要求。</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lang w:val="en-US" w:eastAsia="zh-CN"/>
        </w:rPr>
        <w:t>五</w:t>
      </w:r>
      <w:r>
        <w:rPr>
          <w:rFonts w:hint="eastAsia" w:asciiTheme="minorEastAsia" w:hAnsiTheme="minorEastAsia" w:cstheme="minorEastAsia"/>
          <w:b/>
          <w:bCs/>
          <w:sz w:val="28"/>
          <w:szCs w:val="28"/>
        </w:rPr>
        <w:t>、招标文件的获取</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凡有意参加投标者，请于投标文件递交截止时间前到亳州交通投资控股集团有限公司官网信息公开栏（www.bzjkjt.com）自行下载招标文件及其它附件。</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lang w:val="en-US" w:eastAsia="zh-CN"/>
        </w:rPr>
        <w:t>六</w:t>
      </w:r>
      <w:r>
        <w:rPr>
          <w:rFonts w:hint="eastAsia" w:asciiTheme="minorEastAsia" w:hAnsiTheme="minorEastAsia" w:cstheme="minorEastAsia"/>
          <w:b/>
          <w:bCs/>
          <w:sz w:val="28"/>
          <w:szCs w:val="28"/>
        </w:rPr>
        <w:t>、投标文件的递交</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（一）投标文件递交的截止时间（投标截止时间，下同）为</w:t>
      </w:r>
      <w:r>
        <w:rPr>
          <w:rFonts w:hint="eastAsia" w:asciiTheme="minorEastAsia" w:hAnsiTheme="minorEastAsia" w:cstheme="minorEastAsia"/>
          <w:sz w:val="28"/>
          <w:szCs w:val="28"/>
          <w:shd w:val="clear" w:fill="FFFF00"/>
          <w:lang w:eastAsia="zh-CN"/>
        </w:rPr>
        <w:t>2020年11月6日9时00分</w:t>
      </w:r>
      <w:r>
        <w:rPr>
          <w:rFonts w:hint="eastAsia" w:asciiTheme="minorEastAsia" w:hAnsiTheme="minorEastAsia" w:cstheme="minorEastAsia"/>
          <w:sz w:val="28"/>
          <w:szCs w:val="28"/>
          <w:shd w:val="clear" w:fill="FFFF00"/>
        </w:rPr>
        <w:t>，地点为亳州交通投资控股集团有限公司8楼会议室（药都大道与希夷大道交叉口东北角8楼）</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（二）逾期送达的、未送达指定地点的或者不按照招标文件要求密封的投标文件，招标人将予以拒收。</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lang w:val="en-US" w:eastAsia="zh-CN"/>
        </w:rPr>
        <w:t>七</w:t>
      </w:r>
      <w:r>
        <w:rPr>
          <w:rFonts w:hint="eastAsia" w:asciiTheme="minorEastAsia" w:hAnsiTheme="minorEastAsia" w:cstheme="minorEastAsia"/>
          <w:b/>
          <w:bCs/>
          <w:sz w:val="28"/>
          <w:szCs w:val="28"/>
        </w:rPr>
        <w:t>、发布公告的媒介</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本次招标公告同时在亳州交通投资控股集团有限公司官网（www.bzjkjt.com）、安徽省招标投标信息网（www.ahtba.org.cn）、中国招标投标公共服务平台（www.cebpubservice.com）上发布。</w:t>
      </w:r>
    </w:p>
    <w:p>
      <w:pPr>
        <w:wordWrap w:val="0"/>
        <w:spacing w:line="480" w:lineRule="exact"/>
        <w:ind w:firstLine="562" w:firstLineChars="200"/>
        <w:rPr>
          <w:rFonts w:asciiTheme="minorEastAsia" w:hAnsiTheme="minorEastAsia" w:cstheme="minorEastAsia"/>
          <w:b/>
          <w:bCs/>
          <w:sz w:val="28"/>
          <w:szCs w:val="28"/>
        </w:rPr>
      </w:pPr>
      <w:r>
        <w:rPr>
          <w:rFonts w:hint="eastAsia" w:asciiTheme="minorEastAsia" w:hAnsiTheme="minorEastAsia" w:cstheme="minorEastAsia"/>
          <w:b/>
          <w:bCs/>
          <w:sz w:val="28"/>
          <w:szCs w:val="28"/>
          <w:lang w:val="en-US" w:eastAsia="zh-CN"/>
        </w:rPr>
        <w:t>八</w:t>
      </w:r>
      <w:r>
        <w:rPr>
          <w:rFonts w:hint="eastAsia" w:asciiTheme="minorEastAsia" w:hAnsiTheme="minorEastAsia" w:cstheme="minorEastAsia"/>
          <w:b/>
          <w:bCs/>
          <w:sz w:val="28"/>
          <w:szCs w:val="28"/>
        </w:rPr>
        <w:t>、联系方式</w:t>
      </w:r>
    </w:p>
    <w:p>
      <w:pPr>
        <w:wordWrap w:val="0"/>
        <w:spacing w:line="480" w:lineRule="exact"/>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招 标 人：</w:t>
      </w:r>
      <w:r>
        <w:rPr>
          <w:rFonts w:hint="eastAsia" w:asciiTheme="minorEastAsia" w:hAnsiTheme="minorEastAsia" w:cstheme="minorEastAsia"/>
          <w:sz w:val="28"/>
          <w:szCs w:val="28"/>
          <w:lang w:eastAsia="zh-CN"/>
        </w:rPr>
        <w:t>亳州市公共交通集团有限公司</w:t>
      </w:r>
    </w:p>
    <w:p>
      <w:pPr>
        <w:wordWrap w:val="0"/>
        <w:spacing w:line="480" w:lineRule="exact"/>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地    址：亳州市谯城区药都大道1289号</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w:t>
      </w:r>
      <w:r>
        <w:rPr>
          <w:rFonts w:hint="eastAsia" w:asciiTheme="minorEastAsia" w:hAnsiTheme="minorEastAsia" w:cstheme="minorEastAsia"/>
          <w:sz w:val="28"/>
          <w:szCs w:val="28"/>
          <w:lang w:val="en-US" w:eastAsia="zh-CN"/>
        </w:rPr>
        <w:t>石工</w:t>
      </w:r>
    </w:p>
    <w:p>
      <w:pPr>
        <w:wordWrap w:val="0"/>
        <w:spacing w:line="480" w:lineRule="exact"/>
        <w:ind w:firstLine="560"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电    话：</w:t>
      </w:r>
      <w:r>
        <w:rPr>
          <w:rFonts w:hint="eastAsia" w:asciiTheme="minorEastAsia" w:hAnsiTheme="minorEastAsia" w:cstheme="minorEastAsia"/>
          <w:sz w:val="28"/>
          <w:szCs w:val="28"/>
          <w:lang w:val="en-US" w:eastAsia="zh-CN"/>
        </w:rPr>
        <w:t>15055805585</w:t>
      </w:r>
    </w:p>
    <w:p>
      <w:pPr>
        <w:wordWrap w:val="0"/>
        <w:spacing w:line="480" w:lineRule="exact"/>
        <w:ind w:firstLine="560" w:firstLineChars="200"/>
        <w:rPr>
          <w:rFonts w:asciiTheme="minorEastAsia" w:hAnsiTheme="minorEastAsia" w:cstheme="minorEastAsia"/>
          <w:sz w:val="28"/>
          <w:szCs w:val="28"/>
        </w:rPr>
      </w:pPr>
    </w:p>
    <w:p>
      <w:pPr>
        <w:wordWrap w:val="0"/>
        <w:spacing w:line="480" w:lineRule="exact"/>
        <w:ind w:firstLine="560" w:firstLineChars="200"/>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招标平台：亳州交控集团法务部（招投标中心）</w:t>
      </w:r>
      <w:r>
        <w:rPr>
          <w:rFonts w:hint="eastAsia" w:asciiTheme="minorEastAsia" w:hAnsiTheme="minorEastAsia" w:cstheme="minorEastAsia"/>
          <w:sz w:val="28"/>
          <w:szCs w:val="28"/>
          <w:lang w:val="en-US" w:eastAsia="zh-CN"/>
        </w:rPr>
        <w:t xml:space="preserve"> </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址：亳州市谯城区药都大道1289号</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人：田工</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话：0558-5190035</w:t>
      </w:r>
    </w:p>
    <w:p>
      <w:pPr>
        <w:wordWrap w:val="0"/>
        <w:spacing w:line="480" w:lineRule="exact"/>
        <w:rPr>
          <w:rFonts w:asciiTheme="minorEastAsia" w:hAnsiTheme="minorEastAsia" w:cstheme="minorEastAsia"/>
          <w:sz w:val="28"/>
          <w:szCs w:val="28"/>
        </w:rPr>
      </w:pPr>
    </w:p>
    <w:p>
      <w:pPr>
        <w:wordWrap w:val="0"/>
        <w:spacing w:line="480" w:lineRule="exact"/>
        <w:jc w:val="right"/>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lang w:eastAsia="zh-CN"/>
        </w:rPr>
        <w:t>亳州市公共交通集团有限公司</w:t>
      </w:r>
    </w:p>
    <w:p>
      <w:pPr>
        <w:wordWrap w:val="0"/>
        <w:spacing w:line="480" w:lineRule="exact"/>
        <w:ind w:firstLine="5320" w:firstLineChars="1900"/>
        <w:jc w:val="right"/>
        <w:rPr>
          <w:rFonts w:ascii="Times New Roman" w:hAnsi="Times New Roman" w:eastAsia="仿宋_GB2312" w:cs="Times New Roman"/>
          <w:kern w:val="0"/>
          <w:sz w:val="32"/>
          <w:szCs w:val="32"/>
        </w:rPr>
      </w:pPr>
      <w:r>
        <w:rPr>
          <w:rFonts w:hint="eastAsia" w:asciiTheme="minorEastAsia" w:hAnsiTheme="minorEastAsia" w:cstheme="minorEastAsia"/>
          <w:sz w:val="28"/>
          <w:szCs w:val="28"/>
        </w:rPr>
        <w:t>2020年</w:t>
      </w:r>
      <w:r>
        <w:rPr>
          <w:rFonts w:hint="eastAsia" w:asciiTheme="minorEastAsia" w:hAnsiTheme="minorEastAsia" w:cstheme="minorEastAsia"/>
          <w:sz w:val="28"/>
          <w:szCs w:val="28"/>
          <w:lang w:val="en-US" w:eastAsia="zh-CN"/>
        </w:rPr>
        <w:t>10</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29</w:t>
      </w:r>
      <w:bookmarkStart w:id="151" w:name="_GoBack"/>
      <w:bookmarkEnd w:id="151"/>
      <w:r>
        <w:rPr>
          <w:rFonts w:hint="eastAsia" w:asciiTheme="minorEastAsia" w:hAnsiTheme="minorEastAsia" w:cstheme="minorEastAsia"/>
          <w:sz w:val="28"/>
          <w:szCs w:val="28"/>
        </w:rPr>
        <w:t>日</w:t>
      </w:r>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tbl>
      <w:tblPr>
        <w:tblStyle w:val="15"/>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b/>
                <w:szCs w:val="21"/>
              </w:rPr>
            </w:pPr>
            <w:r>
              <w:rPr>
                <w:rFonts w:hint="eastAsia" w:asciiTheme="minorEastAsia" w:hAnsiTheme="minorEastAsia" w:cstheme="minorEastAsia"/>
                <w:b/>
                <w:szCs w:val="21"/>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b/>
                <w:szCs w:val="21"/>
              </w:rPr>
            </w:pPr>
            <w:r>
              <w:rPr>
                <w:rFonts w:hint="eastAsia" w:asciiTheme="minorEastAsia" w:hAnsiTheme="minorEastAsia" w:cstheme="minorEastAsia"/>
                <w:b/>
                <w:szCs w:val="21"/>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b/>
                <w:szCs w:val="21"/>
              </w:rPr>
            </w:pPr>
            <w:r>
              <w:rPr>
                <w:rFonts w:hint="eastAsia" w:asciiTheme="minorEastAsia" w:hAnsiTheme="minorEastAsia" w:cstheme="minorEastAsia"/>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资金来源</w:t>
            </w:r>
          </w:p>
        </w:tc>
        <w:tc>
          <w:tcPr>
            <w:tcW w:w="4339" w:type="dxa"/>
            <w:tcBorders>
              <w:top w:val="single" w:color="auto" w:sz="4" w:space="0"/>
              <w:left w:val="single" w:color="auto" w:sz="4" w:space="0"/>
              <w:bottom w:val="single" w:color="auto" w:sz="4" w:space="0"/>
              <w:right w:val="single" w:color="auto" w:sz="4" w:space="0"/>
            </w:tcBorders>
            <w:vAlign w:val="center"/>
          </w:tcPr>
          <w:p>
            <w:pPr>
              <w:tabs>
                <w:tab w:val="right" w:pos="4123"/>
              </w:tabs>
              <w:wordWrap w:val="0"/>
              <w:spacing w:line="430" w:lineRule="exact"/>
              <w:rPr>
                <w:rFonts w:asciiTheme="minorEastAsia" w:hAnsiTheme="minorEastAsia" w:cstheme="minorEastAsia"/>
                <w:szCs w:val="21"/>
              </w:rPr>
            </w:pPr>
            <w:r>
              <w:rPr>
                <w:rFonts w:hint="eastAsia" w:asciiTheme="minorEastAsia" w:hAnsiTheme="minorEastAsia" w:cstheme="minorEastAsia"/>
                <w:szCs w:val="21"/>
                <w:lang w:val="en-US" w:eastAsia="zh-CN"/>
              </w:rPr>
              <w:t>财政资金</w:t>
            </w:r>
            <w:r>
              <w:rPr>
                <w:rFonts w:hint="eastAsia" w:asciiTheme="minorEastAsia" w:hAnsiTheme="minorEastAsia" w:cstheme="minorEastAsia"/>
                <w:szCs w:val="21"/>
              </w:rPr>
              <w:t>。</w:t>
            </w:r>
          </w:p>
        </w:tc>
      </w:tr>
      <w:tr>
        <w:tblPrEx>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服务期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质量标准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投标人资质条件、能力、信誉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ind w:firstLine="420" w:firstLineChars="200"/>
              <w:rPr>
                <w:rFonts w:asciiTheme="minorEastAsia" w:hAnsiTheme="minorEastAsia" w:cstheme="minorEastAsia"/>
                <w:sz w:val="21"/>
                <w:szCs w:val="21"/>
              </w:rPr>
            </w:pPr>
            <w:r>
              <w:rPr>
                <w:rFonts w:hint="eastAsia" w:asciiTheme="minorEastAsia" w:hAnsiTheme="minorEastAsia" w:cstheme="minorEastAsia"/>
                <w:sz w:val="21"/>
                <w:szCs w:val="21"/>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不组织，自行踏勘现场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sym w:font="Wingdings 2" w:char="0052"/>
            </w:r>
            <w:r>
              <w:rPr>
                <w:rFonts w:hint="eastAsia" w:asciiTheme="minorEastAsia" w:hAnsiTheme="minorEastAsia" w:cstheme="minorEastAsia"/>
                <w:sz w:val="21"/>
                <w:szCs w:val="21"/>
              </w:rPr>
              <w:t>不分包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ind w:firstLine="420" w:firstLineChars="200"/>
              <w:rPr>
                <w:rFonts w:asciiTheme="minorEastAsia" w:hAnsiTheme="minorEastAsia" w:cstheme="minorEastAsia"/>
                <w:sz w:val="21"/>
                <w:szCs w:val="21"/>
              </w:rPr>
            </w:pPr>
            <w:r>
              <w:rPr>
                <w:rFonts w:hint="eastAsia" w:asciiTheme="minorEastAsia" w:hAnsiTheme="minorEastAsia" w:cstheme="minorEastAsia"/>
                <w:sz w:val="21"/>
                <w:szCs w:val="21"/>
              </w:rPr>
              <w:t>详见第一章招标公告、</w:t>
            </w:r>
            <w:r>
              <w:rPr>
                <w:rFonts w:hint="eastAsia" w:asciiTheme="minorEastAsia" w:hAnsiTheme="minorEastAsia" w:cstheme="minorEastAsia"/>
                <w:sz w:val="21"/>
                <w:szCs w:val="21"/>
                <w:lang w:val="en-US" w:eastAsia="zh-CN"/>
              </w:rPr>
              <w:t>第四章采购内容及发包人要求</w:t>
            </w:r>
            <w:r>
              <w:rPr>
                <w:rFonts w:hint="eastAsia" w:asciiTheme="minorEastAsia" w:hAnsiTheme="minorEastAsia" w:cstheme="minorEastAsia"/>
                <w:sz w:val="21"/>
                <w:szCs w:val="21"/>
              </w:rPr>
              <w:t>。</w:t>
            </w:r>
          </w:p>
        </w:tc>
      </w:tr>
      <w:tr>
        <w:tblPrEx>
          <w:tblCellMar>
            <w:top w:w="0" w:type="dxa"/>
            <w:left w:w="108" w:type="dxa"/>
            <w:bottom w:w="0" w:type="dxa"/>
            <w:right w:w="108" w:type="dxa"/>
          </w:tblCellMar>
        </w:tblPrEx>
        <w:trPr>
          <w:trHeight w:val="825"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ind w:firstLine="420" w:firstLineChars="200"/>
              <w:rPr>
                <w:rFonts w:asciiTheme="minorEastAsia" w:hAnsiTheme="minorEastAsia" w:cstheme="minorEastAsia"/>
                <w:sz w:val="21"/>
                <w:szCs w:val="21"/>
              </w:rPr>
            </w:pPr>
            <w:r>
              <w:rPr>
                <w:rFonts w:hint="eastAsia" w:asciiTheme="minorEastAsia" w:hAnsiTheme="minorEastAsia" w:cstheme="minorEastAsia"/>
                <w:sz w:val="21"/>
                <w:szCs w:val="21"/>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距投标截止时间止</w:t>
            </w:r>
            <w:r>
              <w:rPr>
                <w:rFonts w:hint="eastAsia" w:asciiTheme="minorEastAsia" w:hAnsiTheme="minorEastAsia" w:cstheme="minorEastAsia"/>
                <w:szCs w:val="21"/>
                <w:lang w:val="en-US" w:eastAsia="zh-CN"/>
              </w:rPr>
              <w:t>3</w:t>
            </w:r>
            <w:r>
              <w:rPr>
                <w:rFonts w:hint="eastAsia" w:asciiTheme="minorEastAsia" w:hAnsiTheme="minorEastAsia" w:cstheme="minorEastAsia"/>
                <w:szCs w:val="21"/>
              </w:rPr>
              <w:t>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u w:val="single"/>
              </w:rPr>
            </w:pPr>
            <w:r>
              <w:rPr>
                <w:rFonts w:hint="eastAsia" w:asciiTheme="minorEastAsia" w:hAnsiTheme="minorEastAsia" w:cstheme="minorEastAsia"/>
                <w:szCs w:val="21"/>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招标文件的澄清、修改及补充在亳州交通投资控股集团有限公司官网（www.bzjkjt.com）上的发布时间，视为投标人确认收到招标文件澄清、修改及补充的时间。</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shd w:val="clear" w:color="auto" w:fill="FFFF00"/>
              </w:rPr>
              <w:t>按</w:t>
            </w:r>
            <w:r>
              <w:rPr>
                <w:rFonts w:hint="eastAsia" w:asciiTheme="minorEastAsia" w:hAnsiTheme="minorEastAsia" w:cstheme="minorEastAsia"/>
                <w:szCs w:val="21"/>
                <w:shd w:val="clear" w:color="auto" w:fill="FFFF00"/>
                <w:lang w:val="en-US" w:eastAsia="zh-CN"/>
              </w:rPr>
              <w:t>固定总价报价</w:t>
            </w:r>
            <w:r>
              <w:rPr>
                <w:rFonts w:hint="eastAsia" w:asciiTheme="minorEastAsia" w:hAnsiTheme="minorEastAsia" w:cstheme="minorEastAsia"/>
                <w:szCs w:val="21"/>
                <w:shd w:val="clear" w:color="auto" w:fill="FFFF00"/>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宋体" w:hAnsi="宋体"/>
                <w:b/>
                <w:kern w:val="0"/>
                <w:szCs w:val="21"/>
              </w:rPr>
              <w:t>本项目按</w:t>
            </w:r>
            <w:r>
              <w:rPr>
                <w:rFonts w:hint="eastAsia" w:ascii="宋体" w:hAnsi="宋体"/>
                <w:b/>
                <w:kern w:val="0"/>
                <w:szCs w:val="21"/>
                <w:lang w:val="en-US" w:eastAsia="zh-CN"/>
              </w:rPr>
              <w:t>固定总价报价</w:t>
            </w:r>
            <w:r>
              <w:rPr>
                <w:rFonts w:hint="eastAsia" w:ascii="宋体" w:hAnsi="宋体"/>
                <w:b/>
                <w:kern w:val="0"/>
                <w:szCs w:val="21"/>
              </w:rPr>
              <w:t>，超过控制</w:t>
            </w:r>
            <w:r>
              <w:rPr>
                <w:rFonts w:hint="eastAsia" w:ascii="宋体" w:hAnsi="宋体"/>
                <w:b/>
                <w:kern w:val="0"/>
                <w:szCs w:val="21"/>
                <w:lang w:val="en-US" w:eastAsia="zh-CN"/>
              </w:rPr>
              <w:t>价</w:t>
            </w:r>
            <w:r>
              <w:rPr>
                <w:rFonts w:hint="eastAsia" w:ascii="宋体" w:hAnsi="宋体"/>
                <w:b/>
                <w:kern w:val="0"/>
                <w:szCs w:val="21"/>
              </w:rPr>
              <w:t>作为无效投标处理。</w:t>
            </w:r>
            <w:r>
              <w:rPr>
                <w:rFonts w:hint="eastAsia" w:asciiTheme="minorEastAsia" w:hAnsiTheme="minorEastAsia" w:cstheme="minorEastAsia"/>
                <w:szCs w:val="21"/>
              </w:rPr>
              <w:t>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投标截止之日起</w:t>
            </w:r>
            <w:r>
              <w:rPr>
                <w:rFonts w:hint="eastAsia" w:asciiTheme="minorEastAsia" w:hAnsiTheme="minorEastAsia" w:cstheme="minorEastAsia"/>
                <w:szCs w:val="21"/>
                <w:u w:val="single"/>
              </w:rPr>
              <w:t>90</w:t>
            </w:r>
            <w:r>
              <w:rPr>
                <w:rFonts w:hint="eastAsia" w:asciiTheme="minorEastAsia" w:hAnsiTheme="minorEastAsia" w:cstheme="minorEastAsia"/>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color w:val="FF0000"/>
                <w:szCs w:val="21"/>
              </w:rPr>
            </w:pPr>
            <w:r>
              <w:rPr>
                <w:rFonts w:hint="eastAsia" w:asciiTheme="minorEastAsia" w:hAnsiTheme="minorEastAsia" w:cstheme="minorEastAsia"/>
                <w:szCs w:val="21"/>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是否要求投标人递交投标保证金：</w:t>
            </w:r>
          </w:p>
          <w:p>
            <w:pPr>
              <w:wordWrap w:val="0"/>
              <w:spacing w:line="430" w:lineRule="exact"/>
              <w:rPr>
                <w:rFonts w:asciiTheme="minorEastAsia" w:hAnsiTheme="minorEastAsia" w:cstheme="minorEastAsia"/>
                <w:szCs w:val="21"/>
              </w:rPr>
            </w:pPr>
            <w:r>
              <w:rPr>
                <w:rFonts w:hint="eastAsia" w:asciiTheme="minorEastAsia" w:hAnsiTheme="minorEastAsia" w:cstheme="minorEastAsia"/>
                <w:color w:val="000000" w:themeColor="text1"/>
                <w:szCs w:val="21"/>
                <w14:textFill>
                  <w14:solidFill>
                    <w14:schemeClr w14:val="tx1"/>
                  </w14:solidFill>
                </w14:textFill>
              </w:rPr>
              <w:t>☑</w:t>
            </w:r>
            <w:r>
              <w:rPr>
                <w:rFonts w:hint="eastAsia" w:asciiTheme="minorEastAsia" w:hAnsiTheme="minorEastAsia" w:cstheme="minorEastAsia"/>
                <w:szCs w:val="21"/>
              </w:rPr>
              <w:t>要求</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投标保证金的形式：银行汇款或转账</w:t>
            </w:r>
          </w:p>
          <w:p>
            <w:pPr>
              <w:wordWrap w:val="0"/>
              <w:spacing w:line="430" w:lineRule="exact"/>
              <w:rPr>
                <w:rFonts w:asciiTheme="minorEastAsia" w:hAnsiTheme="minorEastAsia" w:cstheme="minorEastAsia"/>
                <w:color w:val="FF0000"/>
                <w:szCs w:val="21"/>
              </w:rPr>
            </w:pPr>
            <w:r>
              <w:rPr>
                <w:rFonts w:hint="eastAsia" w:asciiTheme="minorEastAsia" w:hAnsiTheme="minorEastAsia" w:cstheme="minorEastAsia"/>
                <w:szCs w:val="21"/>
                <w:shd w:val="clear" w:color="auto" w:fill="FFFF00"/>
              </w:rPr>
              <w:t>投标保证金的金额：人民币（大写）</w:t>
            </w:r>
            <w:r>
              <w:rPr>
                <w:rFonts w:hint="eastAsia" w:asciiTheme="minorEastAsia" w:hAnsiTheme="minorEastAsia" w:cstheme="minorEastAsia"/>
                <w:b/>
                <w:bCs/>
                <w:szCs w:val="21"/>
                <w:shd w:val="clear" w:color="auto" w:fill="FFFF00"/>
                <w:lang w:val="en-US" w:eastAsia="zh-CN"/>
              </w:rPr>
              <w:t>陆</w:t>
            </w:r>
            <w:r>
              <w:rPr>
                <w:rFonts w:hint="eastAsia" w:asciiTheme="minorEastAsia" w:hAnsiTheme="minorEastAsia" w:cstheme="minorEastAsia"/>
                <w:b/>
                <w:bCs/>
                <w:szCs w:val="21"/>
                <w:shd w:val="clear" w:color="auto" w:fill="FFFF00"/>
              </w:rPr>
              <w:t>万元整</w:t>
            </w:r>
            <w:r>
              <w:rPr>
                <w:rFonts w:hint="eastAsia" w:asciiTheme="minorEastAsia" w:hAnsiTheme="minorEastAsia" w:cstheme="minorEastAsia"/>
                <w:szCs w:val="21"/>
                <w:shd w:val="clear" w:color="auto" w:fill="FFFF00"/>
              </w:rPr>
              <w:t>，（小写）</w:t>
            </w:r>
            <w:r>
              <w:rPr>
                <w:rFonts w:hint="eastAsia" w:asciiTheme="minorEastAsia" w:hAnsiTheme="minorEastAsia" w:cstheme="minorEastAsia"/>
                <w:b/>
                <w:bCs/>
                <w:szCs w:val="21"/>
                <w:shd w:val="clear" w:color="auto" w:fill="FFFF00"/>
                <w:lang w:val="en-US" w:eastAsia="zh-CN"/>
              </w:rPr>
              <w:t>6</w:t>
            </w:r>
            <w:r>
              <w:rPr>
                <w:rFonts w:hint="eastAsia" w:asciiTheme="minorEastAsia" w:hAnsiTheme="minorEastAsia" w:cstheme="minorEastAsia"/>
                <w:b/>
                <w:bCs/>
                <w:szCs w:val="21"/>
                <w:shd w:val="clear" w:color="auto" w:fill="FFFF00"/>
              </w:rPr>
              <w:t>0000</w:t>
            </w:r>
            <w:r>
              <w:rPr>
                <w:rFonts w:hint="eastAsia" w:asciiTheme="minorEastAsia" w:hAnsiTheme="minorEastAsia" w:cstheme="minorEastAsia"/>
                <w:szCs w:val="21"/>
                <w:shd w:val="clear" w:color="auto" w:fill="FFFF00"/>
              </w:rPr>
              <w:t>元。</w:t>
            </w:r>
            <w:r>
              <w:rPr>
                <w:rFonts w:hint="eastAsia" w:asciiTheme="minorEastAsia" w:hAnsiTheme="minorEastAsia" w:cstheme="minorEastAsia"/>
                <w:color w:val="FF0000"/>
                <w:szCs w:val="21"/>
              </w:rPr>
              <w:t xml:space="preserve"> </w:t>
            </w:r>
          </w:p>
          <w:p>
            <w:pPr>
              <w:wordWrap w:val="0"/>
              <w:spacing w:line="430" w:lineRule="exact"/>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收取投标保证金的账号信息：</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开户名称：亳州交通投资控股集团有限公司</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开户银行：中国农业银行亳州分行营业部</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银行账号：12670801040009482</w:t>
            </w:r>
          </w:p>
          <w:p>
            <w:pPr>
              <w:wordWrap w:val="0"/>
              <w:spacing w:line="430" w:lineRule="exact"/>
              <w:rPr>
                <w:rFonts w:asciiTheme="minorEastAsia" w:hAnsiTheme="minorEastAsia" w:cstheme="minorEastAsia"/>
                <w:color w:val="FF0000"/>
                <w:szCs w:val="21"/>
              </w:rPr>
            </w:pPr>
          </w:p>
          <w:p>
            <w:pPr>
              <w:wordWrap w:val="0"/>
              <w:spacing w:line="430" w:lineRule="exact"/>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其他要求：</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投标保证金必须在投标截止时间前，由投标人在中华人民共和国境内注册经营的银行基本账户汇入到指定银行账号，确保银行记录可查询，转账或电汇时须在附言处备注</w:t>
            </w:r>
            <w:r>
              <w:rPr>
                <w:rFonts w:hint="eastAsia" w:asciiTheme="minorEastAsia" w:hAnsiTheme="minorEastAsia" w:cstheme="minorEastAsia"/>
                <w:color w:val="000000" w:themeColor="text1"/>
                <w:szCs w:val="21"/>
                <w:shd w:val="clear" w:fill="FFFF00"/>
                <w14:textFill>
                  <w14:solidFill>
                    <w14:schemeClr w14:val="tx1"/>
                  </w14:solidFill>
                </w14:textFill>
              </w:rPr>
              <w:t>“</w:t>
            </w:r>
            <w:r>
              <w:rPr>
                <w:rFonts w:hint="eastAsia" w:asciiTheme="minorEastAsia" w:hAnsiTheme="minorEastAsia" w:cstheme="minorEastAsia"/>
                <w:b/>
                <w:bCs/>
                <w:color w:val="000000" w:themeColor="text1"/>
                <w:szCs w:val="21"/>
                <w:shd w:val="clear" w:fill="FFFF00"/>
                <w:lang w:eastAsia="zh-CN"/>
                <w14:textFill>
                  <w14:solidFill>
                    <w14:schemeClr w14:val="tx1"/>
                  </w14:solidFill>
                </w14:textFill>
              </w:rPr>
              <w:t>BZJK-2020-054号</w:t>
            </w:r>
            <w:r>
              <w:rPr>
                <w:rFonts w:hint="eastAsia" w:asciiTheme="minorEastAsia" w:hAnsiTheme="minorEastAsia" w:cstheme="minorEastAsia"/>
                <w:b/>
                <w:bCs/>
                <w:color w:val="000000" w:themeColor="text1"/>
                <w:szCs w:val="21"/>
                <w:shd w:val="clear" w:fill="FFFF00"/>
                <w14:textFill>
                  <w14:solidFill>
                    <w14:schemeClr w14:val="tx1"/>
                  </w14:solidFill>
                </w14:textFill>
              </w:rPr>
              <w:t>保证金</w:t>
            </w:r>
            <w:r>
              <w:rPr>
                <w:rFonts w:hint="eastAsia" w:asciiTheme="minorEastAsia" w:hAnsiTheme="minorEastAsia" w:cstheme="minorEastAsia"/>
                <w:color w:val="000000" w:themeColor="text1"/>
                <w:szCs w:val="21"/>
                <w:shd w:val="clear" w:fill="FFFF00"/>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，否则，责任自负。</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投标保证金的退还（无息）：</w:t>
            </w:r>
          </w:p>
          <w:p>
            <w:pPr>
              <w:wordWrap w:val="0"/>
              <w:spacing w:line="430" w:lineRule="exact"/>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（1）招标不成功（或开标现场拒收投标文件）的，5日内直接退还至该投标人汇出帐户。</w:t>
            </w:r>
          </w:p>
          <w:p>
            <w:pPr>
              <w:wordWrap w:val="0"/>
              <w:spacing w:line="430" w:lineRule="exact"/>
              <w:ind w:firstLine="420" w:firstLineChars="200"/>
              <w:rPr>
                <w:rFonts w:asciiTheme="minorEastAsia" w:hAnsiTheme="minorEastAsia" w:cstheme="minorEastAsia"/>
                <w:color w:val="FF0000"/>
                <w:szCs w:val="21"/>
              </w:rPr>
            </w:pPr>
            <w:r>
              <w:rPr>
                <w:rFonts w:hint="eastAsia" w:asciiTheme="minorEastAsia" w:hAnsiTheme="minorEastAsia" w:cstheme="minorEastAsia"/>
                <w:color w:val="000000" w:themeColor="text1"/>
                <w:szCs w:val="21"/>
                <w14:textFill>
                  <w14:solidFill>
                    <w14:schemeClr w14:val="tx1"/>
                  </w14:solidFill>
                </w14:textFill>
              </w:rPr>
              <w:t>（2）中标侯选人公示期满且确定中标人后，未中标人的投标保证金在5日内直接退还至该投标人汇出帐户。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1.中标人无正当理由不与招标人订立合同，在签订合同时向招标人提出附加条件，或者不按照招标文件要求提交履约保证金的，取消其中标资格，投标保证金不予退还；</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2.投标人采用不正当手段（串通投标、弄虚作假、行贿等）骗取中标的；</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3.投标人经评标委员会认定为异常低价竞标或不以中标为目的的投标的；</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4.投标人在投标有效期内撤回投标文件的；</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b/>
                <w:bCs/>
                <w:szCs w:val="21"/>
              </w:rPr>
              <w:t>201</w:t>
            </w:r>
            <w:r>
              <w:rPr>
                <w:rFonts w:hint="eastAsia" w:asciiTheme="minorEastAsia" w:hAnsiTheme="minorEastAsia" w:cstheme="minorEastAsia"/>
                <w:b/>
                <w:bCs/>
                <w:szCs w:val="21"/>
                <w:lang w:val="en-US" w:eastAsia="zh-CN"/>
              </w:rPr>
              <w:t>7</w:t>
            </w:r>
            <w:r>
              <w:rPr>
                <w:rFonts w:hint="eastAsia" w:asciiTheme="minorEastAsia" w:hAnsiTheme="minorEastAsia" w:cstheme="minorEastAsia"/>
                <w:b/>
                <w:bCs/>
                <w:szCs w:val="21"/>
              </w:rPr>
              <w:t>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shd w:val="clear"/>
              <w:wordWrap w:val="0"/>
              <w:spacing w:line="430" w:lineRule="exact"/>
              <w:rPr>
                <w:rFonts w:asciiTheme="minorEastAsia" w:hAnsiTheme="minorEastAsia" w:cstheme="minorEastAsia"/>
                <w:b/>
                <w:bCs/>
                <w:color w:val="000000" w:themeColor="text1"/>
                <w:szCs w:val="21"/>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投标文件份数：正本1份、副本4份</w:t>
            </w:r>
          </w:p>
          <w:p>
            <w:pPr>
              <w:shd w:val="clear"/>
              <w:wordWrap w:val="0"/>
              <w:spacing w:line="430" w:lineRule="exact"/>
              <w:rPr>
                <w:rFonts w:hint="eastAsia" w:asciiTheme="minorEastAsia" w:hAnsiTheme="minorEastAsia" w:eastAsiaTheme="minorEastAsia" w:cstheme="minorEastAsia"/>
                <w:b/>
                <w:bCs/>
                <w:color w:val="000000" w:themeColor="text1"/>
                <w:szCs w:val="21"/>
                <w:lang w:eastAsia="zh-CN"/>
                <w14:textFill>
                  <w14:solidFill>
                    <w14:schemeClr w14:val="tx1"/>
                  </w14:solidFill>
                </w14:textFill>
              </w:rPr>
            </w:pPr>
            <w:r>
              <w:rPr>
                <w:rFonts w:hint="eastAsia" w:asciiTheme="minorEastAsia" w:hAnsiTheme="minorEastAsia" w:cstheme="minorEastAsia"/>
                <w:b/>
                <w:bCs/>
                <w:color w:val="000000" w:themeColor="text1"/>
                <w:szCs w:val="21"/>
                <w14:textFill>
                  <w14:solidFill>
                    <w14:schemeClr w14:val="tx1"/>
                  </w14:solidFill>
                </w14:textFill>
              </w:rPr>
              <w:t>是否要求提交电子版文件：</w:t>
            </w:r>
            <w:r>
              <w:rPr>
                <w:rFonts w:hint="eastAsia" w:asciiTheme="minorEastAsia" w:hAnsiTheme="minorEastAsia" w:cstheme="minorEastAsia"/>
                <w:b/>
                <w:bCs/>
                <w:color w:val="000000" w:themeColor="text1"/>
                <w:szCs w:val="21"/>
                <w:lang w:val="en-US" w:eastAsia="zh-CN"/>
                <w14:textFill>
                  <w14:solidFill>
                    <w14:schemeClr w14:val="tx1"/>
                  </w14:solidFill>
                </w14:textFill>
              </w:rPr>
              <w:t>是</w:t>
            </w:r>
          </w:p>
          <w:p>
            <w:pPr>
              <w:shd w:val="clear"/>
              <w:wordWrap w:val="0"/>
              <w:spacing w:line="430" w:lineRule="exact"/>
              <w:rPr>
                <w:rFonts w:hint="default" w:asciiTheme="minorEastAsia" w:hAnsiTheme="minorEastAsia" w:cstheme="minorEastAsia"/>
                <w:b/>
                <w:bCs/>
                <w:color w:val="000000" w:themeColor="text1"/>
                <w:szCs w:val="21"/>
                <w:lang w:val="en-US"/>
                <w14:textFill>
                  <w14:solidFill>
                    <w14:schemeClr w14:val="tx1"/>
                  </w14:solidFill>
                </w14:textFill>
              </w:rPr>
            </w:pPr>
            <w:r>
              <w:rPr>
                <w:rFonts w:hint="eastAsia" w:asciiTheme="minorEastAsia" w:hAnsiTheme="minorEastAsia" w:cstheme="minorEastAsia"/>
                <w:b/>
                <w:bCs/>
                <w:color w:val="000000" w:themeColor="text1"/>
                <w:szCs w:val="21"/>
                <w:shd w:val="clear" w:fill="FFFF00"/>
                <w14:textFill>
                  <w14:solidFill>
                    <w14:schemeClr w14:val="tx1"/>
                  </w14:solidFill>
                </w14:textFill>
              </w:rPr>
              <w:t>是否要求现场述标：</w:t>
            </w:r>
            <w:r>
              <w:rPr>
                <w:rFonts w:hint="eastAsia" w:asciiTheme="minorEastAsia" w:hAnsiTheme="minorEastAsia" w:cstheme="minorEastAsia"/>
                <w:b/>
                <w:bCs/>
                <w:color w:val="000000" w:themeColor="text1"/>
                <w:szCs w:val="21"/>
                <w:shd w:val="clear" w:fill="FFFF00"/>
                <w:lang w:val="en-US" w:eastAsia="zh-CN"/>
                <w14:textFill>
                  <w14:solidFill>
                    <w14:schemeClr w14:val="tx1"/>
                  </w14:solidFill>
                </w14:textFill>
              </w:rPr>
              <w:t>是，要求投标人现场演示手机APP和系统平台的功能（演示样品需满足招标人要求）</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其他要求：</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（1）所有正本与副本封装在一个密封袋中，且在投标文件封面标明“正本”或“副本”的字样；</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（2）投标文件应按要求密封，密封袋封口加盖投标单位印章；</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证书的复印件或扫描件，加盖投标人单位公章，装订入投标文件中。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rPr>
              <w:t>招标人名称：</w:t>
            </w:r>
            <w:r>
              <w:rPr>
                <w:rFonts w:hint="eastAsia" w:asciiTheme="minorEastAsia" w:hAnsiTheme="minorEastAsia" w:cstheme="minorEastAsia"/>
                <w:szCs w:val="21"/>
                <w:lang w:eastAsia="zh-CN"/>
              </w:rPr>
              <w:t>亳州市公共交通集团有限公司</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开标地址：亳州市谯城区药都大道1289号</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u w:val="single"/>
                <w:lang w:eastAsia="zh-CN"/>
              </w:rPr>
              <w:t>临漳公园、城北驾校公交首末站分体式群充直流充电桩采购安装项目</w:t>
            </w:r>
            <w:r>
              <w:rPr>
                <w:rFonts w:hint="eastAsia" w:asciiTheme="minorEastAsia" w:hAnsiTheme="minorEastAsia" w:cstheme="minorEastAsia"/>
                <w:szCs w:val="21"/>
              </w:rPr>
              <w:t>投标文件</w:t>
            </w:r>
          </w:p>
          <w:p>
            <w:pPr>
              <w:wordWrap w:val="0"/>
              <w:spacing w:line="430" w:lineRule="exact"/>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rPr>
              <w:t>招标项目编号：</w:t>
            </w:r>
            <w:r>
              <w:rPr>
                <w:rFonts w:hint="eastAsia" w:asciiTheme="minorEastAsia" w:hAnsiTheme="minorEastAsia" w:cstheme="minorEastAsia"/>
                <w:szCs w:val="21"/>
                <w:lang w:eastAsia="zh-CN"/>
              </w:rPr>
              <w:t>BZJK-2020-054号</w:t>
            </w:r>
          </w:p>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2020年11月6日9时00分</w:t>
            </w:r>
            <w:r>
              <w:rPr>
                <w:rFonts w:hint="eastAsia" w:asciiTheme="minorEastAsia" w:hAnsiTheme="minorEastAsia" w:cstheme="minorEastAsia"/>
                <w:szCs w:val="21"/>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eastAsia" w:asciiTheme="minorEastAsia" w:hAnsiTheme="minorEastAsia" w:eastAsiaTheme="minorEastAsia" w:cstheme="minorEastAsia"/>
                <w:szCs w:val="21"/>
                <w:lang w:eastAsia="zh-CN"/>
              </w:rPr>
            </w:pPr>
            <w:r>
              <w:rPr>
                <w:rFonts w:hint="eastAsia" w:asciiTheme="minorEastAsia" w:hAnsiTheme="minorEastAsia" w:cstheme="minorEastAsia"/>
                <w:szCs w:val="21"/>
                <w:lang w:eastAsia="zh-CN"/>
              </w:rPr>
              <w:t>2020年11月6日9时00分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4.2.2（A）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heme="minorEastAsia" w:hAnsiTheme="minorEastAsia" w:cstheme="minorEastAsia"/>
                <w:szCs w:val="21"/>
              </w:rPr>
            </w:pPr>
            <w:r>
              <w:rPr>
                <w:rFonts w:hint="eastAsia" w:asciiTheme="minorEastAsia" w:hAnsiTheme="minorEastAsia" w:cstheme="minorEastAsia"/>
                <w:szCs w:val="21"/>
              </w:rPr>
              <w:t>亳州交通投资控股集团有限公司8楼会议室（药都大道与希夷大道交叉口东北角8楼）</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投标文件是否退还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6"/>
              <w:wordWrap w:val="0"/>
              <w:spacing w:line="430" w:lineRule="exact"/>
              <w:rPr>
                <w:rFonts w:asciiTheme="minorEastAsia" w:hAnsiTheme="minorEastAsia" w:cstheme="minorEastAsia"/>
                <w:sz w:val="21"/>
                <w:szCs w:val="21"/>
              </w:rPr>
            </w:pPr>
            <w:r>
              <w:rPr>
                <w:rFonts w:hint="eastAsia" w:asciiTheme="minorEastAsia" w:hAnsiTheme="minorEastAsia" w:cstheme="minorEastAsia"/>
                <w:sz w:val="21"/>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5.1（A）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开标时间：同投标截止时间</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开标地点：同递交投标文件地点</w:t>
            </w:r>
          </w:p>
          <w:p>
            <w:pPr>
              <w:wordWrap w:val="0"/>
              <w:spacing w:line="430" w:lineRule="exact"/>
              <w:ind w:firstLine="422" w:firstLineChars="200"/>
              <w:rPr>
                <w:rFonts w:asciiTheme="minorEastAsia" w:hAnsiTheme="minorEastAsia" w:cstheme="minorEastAsia"/>
                <w:szCs w:val="21"/>
              </w:rPr>
            </w:pPr>
            <w:r>
              <w:rPr>
                <w:rFonts w:hint="eastAsia" w:asciiTheme="minorEastAsia" w:hAnsiTheme="minorEastAsia" w:cstheme="minorEastAsia"/>
                <w:b/>
                <w:bCs/>
                <w:szCs w:val="21"/>
                <w:shd w:val="clear" w:fill="FFFF00"/>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5.2（4）（A）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密封情况检查：由投标人代表、招标平台工作人员、监标人共同检查确认。</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评标委员会构成：</w:t>
            </w:r>
            <w:r>
              <w:rPr>
                <w:rFonts w:hint="eastAsia" w:asciiTheme="minorEastAsia" w:hAnsiTheme="minorEastAsia" w:cstheme="minorEastAsia"/>
                <w:szCs w:val="21"/>
                <w:u w:val="single"/>
              </w:rPr>
              <w:t>5</w:t>
            </w:r>
            <w:r>
              <w:rPr>
                <w:rFonts w:hint="eastAsia" w:asciiTheme="minorEastAsia" w:hAnsiTheme="minorEastAsia" w:cstheme="minorEastAsia"/>
                <w:szCs w:val="21"/>
              </w:rPr>
              <w:t>人，其中招标人代表</w:t>
            </w:r>
            <w:r>
              <w:rPr>
                <w:rFonts w:hint="eastAsia" w:asciiTheme="minorEastAsia" w:hAnsiTheme="minorEastAsia" w:cstheme="minorEastAsia"/>
                <w:szCs w:val="21"/>
                <w:u w:val="single"/>
              </w:rPr>
              <w:t>1</w:t>
            </w:r>
            <w:r>
              <w:rPr>
                <w:rFonts w:hint="eastAsia" w:asciiTheme="minorEastAsia" w:hAnsiTheme="minorEastAsia" w:cstheme="minorEastAsia"/>
                <w:szCs w:val="21"/>
              </w:rPr>
              <w:t>人，专家</w:t>
            </w:r>
            <w:r>
              <w:rPr>
                <w:rFonts w:hint="eastAsia" w:asciiTheme="minorEastAsia" w:hAnsiTheme="minorEastAsia" w:cstheme="minorEastAsia"/>
                <w:szCs w:val="21"/>
                <w:u w:val="single"/>
              </w:rPr>
              <w:t>4</w:t>
            </w:r>
            <w:r>
              <w:rPr>
                <w:rFonts w:hint="eastAsia" w:asciiTheme="minorEastAsia" w:hAnsiTheme="minorEastAsia" w:cstheme="minorEastAsia"/>
                <w:szCs w:val="21"/>
              </w:rPr>
              <w:t>人；</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中标候选人公示媒介及期限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公示媒介：亳州交通投资控股集团有限公司官网（www.bzjkjt.com）</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7.4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是否要求投标人提交履约保证金：</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☑要求</w:t>
            </w:r>
          </w:p>
          <w:p>
            <w:pPr>
              <w:wordWrap w:val="0"/>
              <w:spacing w:line="430" w:lineRule="exact"/>
              <w:rPr>
                <w:rFonts w:asciiTheme="minorEastAsia" w:hAnsiTheme="minorEastAsia" w:cstheme="minorEastAsia"/>
                <w:szCs w:val="21"/>
                <w:shd w:val="clear" w:color="auto" w:fill="FFFF00"/>
              </w:rPr>
            </w:pPr>
            <w:r>
              <w:rPr>
                <w:rFonts w:hint="eastAsia" w:asciiTheme="minorEastAsia" w:hAnsiTheme="minorEastAsia" w:cstheme="minorEastAsia"/>
                <w:szCs w:val="21"/>
              </w:rPr>
              <w:t>履约保证金金额：</w:t>
            </w:r>
            <w:r>
              <w:rPr>
                <w:rFonts w:hint="eastAsia" w:asciiTheme="minorEastAsia" w:hAnsiTheme="minorEastAsia" w:cstheme="minorEastAsia"/>
                <w:szCs w:val="21"/>
                <w:shd w:val="clear" w:color="auto" w:fill="FFFF00"/>
              </w:rPr>
              <w:t>中标价的10%</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履约保证金的形式：汇款</w:t>
            </w:r>
            <w:r>
              <w:rPr>
                <w:rFonts w:hint="eastAsia" w:asciiTheme="minorEastAsia" w:hAnsiTheme="minorEastAsia" w:cstheme="minorEastAsia"/>
                <w:szCs w:val="21"/>
                <w:lang w:eastAsia="zh-CN"/>
              </w:rPr>
              <w:t>、</w:t>
            </w:r>
            <w:r>
              <w:rPr>
                <w:rFonts w:hint="eastAsia" w:asciiTheme="minorEastAsia" w:hAnsiTheme="minorEastAsia" w:cstheme="minorEastAsia"/>
                <w:szCs w:val="21"/>
              </w:rPr>
              <w:t>转账</w:t>
            </w:r>
            <w:r>
              <w:rPr>
                <w:rFonts w:hint="eastAsia" w:asciiTheme="minorEastAsia" w:hAnsiTheme="minorEastAsia" w:cstheme="minorEastAsia"/>
                <w:szCs w:val="21"/>
                <w:lang w:val="en-US" w:eastAsia="zh-CN"/>
              </w:rPr>
              <w:t>或银行保函</w:t>
            </w:r>
            <w:r>
              <w:rPr>
                <w:rFonts w:hint="eastAsia" w:asciiTheme="minorEastAsia" w:hAnsiTheme="minorEastAsia" w:cstheme="minorEastAsia"/>
                <w:szCs w:val="21"/>
              </w:rPr>
              <w:t>。中标后，投标保证金自动转为履约保证金，履约保证金不足部分由中标人在收到中标通知书15日内从其基本账户开户行银行汇款、转账或开具保函，否则招标人有权选择第二中标候选人中标。中标人履约结束、验收合格后，无息退付履约保证金。</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履约保证金的退还：无违约行为发生或违约行为已处理的情况下，验收合格后10个工作日内退还全部履约保证金（无息）。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（1）投标人准备和参加投标活动发生的费用自理；</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（2）所有计量均采用中华人民共和国法定计量单位；</w:t>
            </w:r>
          </w:p>
          <w:p>
            <w:pPr>
              <w:wordWrap w:val="0"/>
              <w:spacing w:line="430" w:lineRule="exact"/>
              <w:rPr>
                <w:rFonts w:asciiTheme="minorEastAsia" w:hAnsiTheme="minorEastAsia" w:cstheme="minorEastAsia"/>
                <w:szCs w:val="21"/>
              </w:rPr>
            </w:pPr>
            <w:r>
              <w:rPr>
                <w:rFonts w:hint="eastAsia" w:asciiTheme="minorEastAsia" w:hAnsiTheme="minorEastAsia" w:cstheme="minorEastAsia"/>
                <w:szCs w:val="21"/>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heme="minorEastAsia" w:hAnsiTheme="minorEastAsia" w:cstheme="minorEastAsia"/>
                <w:szCs w:val="21"/>
              </w:rPr>
            </w:pPr>
            <w:r>
              <w:rPr>
                <w:rFonts w:hint="eastAsia" w:asciiTheme="minorEastAsia" w:hAnsiTheme="minorEastAsia" w:cstheme="minorEastAsia"/>
                <w:szCs w:val="21"/>
              </w:rPr>
              <w:t>……</w:t>
            </w:r>
          </w:p>
        </w:tc>
      </w:tr>
    </w:tbl>
    <w:p>
      <w:pPr>
        <w:spacing w:line="480" w:lineRule="exact"/>
        <w:rPr>
          <w:rFonts w:asciiTheme="majorEastAsia" w:hAnsiTheme="majorEastAsia" w:eastAsiaTheme="majorEastAsia" w:cstheme="majorEastAsia"/>
          <w:b/>
          <w:bCs/>
          <w:sz w:val="28"/>
          <w:szCs w:val="28"/>
        </w:rPr>
      </w:pPr>
    </w:p>
    <w:p>
      <w:pPr>
        <w:wordWrap w:val="0"/>
        <w:spacing w:line="400" w:lineRule="exact"/>
        <w:ind w:firstLine="420" w:firstLineChars="200"/>
        <w:rPr>
          <w:rFonts w:ascii="Times New Roman" w:hAnsi="Times New Roman" w:cs="Times New Roman"/>
          <w:color w:val="000000"/>
        </w:rPr>
      </w:pPr>
      <w:r>
        <w:rPr>
          <w:rFonts w:hint="eastAsia" w:ascii="黑体" w:hAnsi="黑体" w:eastAsia="黑体" w:cs="黑体"/>
          <w:color w:val="000000"/>
        </w:rPr>
        <w:t>说明：</w:t>
      </w:r>
      <w:r>
        <w:rPr>
          <w:rFonts w:ascii="Times New Roman" w:hAnsi="Times New Roman" w:cs="Times New Roman"/>
          <w:color w:val="000000"/>
        </w:rPr>
        <w:t>说明：投标人须知细则参照国家发改委印发的《标准招标文件》执行。招标文件相关内容与投标人须知前附表不一致的，以投标人须知前附表为准。</w:t>
      </w:r>
    </w:p>
    <w:p>
      <w:pPr>
        <w:wordWrap w:val="0"/>
        <w:spacing w:line="520" w:lineRule="exact"/>
        <w:jc w:val="cente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（综合评估法）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tbl>
      <w:tblPr>
        <w:tblStyle w:val="15"/>
        <w:tblW w:w="915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547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评审因素</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kern w:val="0"/>
                <w:szCs w:val="21"/>
              </w:rPr>
            </w:pPr>
            <w:r>
              <w:rPr>
                <w:rFonts w:hint="eastAsia" w:asciiTheme="minorEastAsia" w:hAnsiTheme="minorEastAsia" w:cstheme="minorEastAsia"/>
                <w:b/>
                <w:kern w:val="0"/>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投标人名称</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投标函签字盖章</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投标文件格式</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w:t>
            </w:r>
            <w:r>
              <w:rPr>
                <w:rFonts w:hint="eastAsia" w:asciiTheme="minorEastAsia" w:hAnsiTheme="minorEastAsia" w:cstheme="minorEastAsia"/>
                <w:kern w:val="0"/>
                <w:sz w:val="28"/>
                <w:szCs w:val="28"/>
                <w:lang w:val="en-US" w:eastAsia="zh-CN"/>
              </w:rPr>
              <w:t>六</w:t>
            </w:r>
            <w:r>
              <w:rPr>
                <w:rFonts w:hint="eastAsia" w:asciiTheme="minorEastAsia" w:hAnsiTheme="minorEastAsia" w:cstheme="minorEastAsia"/>
                <w:kern w:val="0"/>
                <w:sz w:val="28"/>
                <w:szCs w:val="28"/>
              </w:rPr>
              <w:t>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报价唯一</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营业执照</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资质要求</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3"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投标报价</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top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投标内容</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lang w:val="en-US" w:eastAsia="zh-CN"/>
              </w:rPr>
              <w:t>服务</w:t>
            </w:r>
            <w:r>
              <w:rPr>
                <w:rFonts w:hint="eastAsia" w:asciiTheme="minorEastAsia" w:hAnsiTheme="minorEastAsia" w:cstheme="minorEastAsia"/>
                <w:kern w:val="0"/>
                <w:sz w:val="28"/>
                <w:szCs w:val="28"/>
              </w:rPr>
              <w:t>期</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质量标准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投标有效期</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投标保证金</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其他要求</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条款内容</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分值构成</w:t>
            </w:r>
          </w:p>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（总分100分）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投标报价部分：</w:t>
            </w:r>
            <w:r>
              <w:rPr>
                <w:rFonts w:hint="eastAsia" w:asciiTheme="minorEastAsia" w:hAnsiTheme="minorEastAsia" w:cstheme="minorEastAsia"/>
                <w:kern w:val="0"/>
                <w:sz w:val="28"/>
                <w:szCs w:val="28"/>
                <w:u w:val="single"/>
                <w:lang w:val="en-US" w:eastAsia="zh-CN"/>
              </w:rPr>
              <w:t>35</w:t>
            </w:r>
            <w:r>
              <w:rPr>
                <w:rFonts w:hint="eastAsia" w:asciiTheme="minorEastAsia" w:hAnsiTheme="minorEastAsia" w:cstheme="minorEastAsia"/>
                <w:kern w:val="0"/>
                <w:sz w:val="28"/>
                <w:szCs w:val="28"/>
              </w:rPr>
              <w:t>分</w:t>
            </w:r>
          </w:p>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项目实施方案：</w:t>
            </w:r>
            <w:r>
              <w:rPr>
                <w:rFonts w:hint="eastAsia" w:asciiTheme="minorEastAsia" w:hAnsiTheme="minorEastAsia" w:cstheme="minorEastAsia"/>
                <w:kern w:val="0"/>
                <w:sz w:val="28"/>
                <w:szCs w:val="28"/>
                <w:u w:val="single"/>
                <w:lang w:val="en-US" w:eastAsia="zh-CN"/>
              </w:rPr>
              <w:t>1</w:t>
            </w:r>
            <w:r>
              <w:rPr>
                <w:rFonts w:hint="eastAsia" w:asciiTheme="minorEastAsia" w:hAnsiTheme="minorEastAsia" w:cstheme="minorEastAsia"/>
                <w:kern w:val="0"/>
                <w:sz w:val="28"/>
                <w:szCs w:val="28"/>
                <w:u w:val="single"/>
              </w:rPr>
              <w:t>0</w:t>
            </w:r>
            <w:r>
              <w:rPr>
                <w:rFonts w:hint="eastAsia" w:asciiTheme="minorEastAsia" w:hAnsiTheme="minorEastAsia" w:cstheme="minorEastAsia"/>
                <w:kern w:val="0"/>
                <w:sz w:val="28"/>
                <w:szCs w:val="28"/>
              </w:rPr>
              <w:t>分</w:t>
            </w:r>
          </w:p>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企业</w:t>
            </w:r>
            <w:r>
              <w:rPr>
                <w:rFonts w:hint="eastAsia" w:asciiTheme="minorEastAsia" w:hAnsiTheme="minorEastAsia" w:cstheme="minorEastAsia"/>
                <w:kern w:val="0"/>
                <w:sz w:val="28"/>
                <w:szCs w:val="28"/>
                <w:lang w:val="en-US" w:eastAsia="zh-CN"/>
              </w:rPr>
              <w:t>实力</w:t>
            </w: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 xml:space="preserve">    </w:t>
            </w:r>
            <w:r>
              <w:rPr>
                <w:rFonts w:hint="eastAsia" w:asciiTheme="minorEastAsia" w:hAnsiTheme="minorEastAsia" w:cstheme="minorEastAsia"/>
                <w:kern w:val="0"/>
                <w:sz w:val="28"/>
                <w:szCs w:val="28"/>
                <w:u w:val="single"/>
              </w:rPr>
              <w:t>1</w:t>
            </w:r>
            <w:r>
              <w:rPr>
                <w:rFonts w:hint="eastAsia" w:asciiTheme="minorEastAsia" w:hAnsiTheme="minorEastAsia" w:cstheme="minorEastAsia"/>
                <w:kern w:val="0"/>
                <w:sz w:val="28"/>
                <w:szCs w:val="28"/>
                <w:u w:val="single"/>
                <w:lang w:val="en-US" w:eastAsia="zh-CN"/>
              </w:rPr>
              <w:t>7</w:t>
            </w:r>
            <w:r>
              <w:rPr>
                <w:rFonts w:hint="eastAsia" w:asciiTheme="minorEastAsia" w:hAnsiTheme="minorEastAsia" w:cstheme="minorEastAsia"/>
                <w:kern w:val="0"/>
                <w:sz w:val="28"/>
                <w:szCs w:val="28"/>
              </w:rPr>
              <w:t>分</w:t>
            </w:r>
          </w:p>
          <w:p>
            <w:pPr>
              <w:wordWrap w:val="0"/>
              <w:spacing w:line="440" w:lineRule="exact"/>
              <w:rPr>
                <w:rFonts w:asciiTheme="minorEastAsia" w:hAnsiTheme="minorEastAsia" w:cstheme="minorEastAsia"/>
                <w:kern w:val="0"/>
                <w:sz w:val="28"/>
                <w:szCs w:val="28"/>
              </w:rPr>
            </w:pPr>
            <w:r>
              <w:rPr>
                <w:rFonts w:hint="eastAsia" w:asciiTheme="minorEastAsia" w:hAnsiTheme="minorEastAsia" w:cstheme="minorEastAsia"/>
                <w:kern w:val="0"/>
                <w:sz w:val="28"/>
                <w:szCs w:val="28"/>
              </w:rPr>
              <w:t>企业业绩部分：</w:t>
            </w:r>
            <w:r>
              <w:rPr>
                <w:rFonts w:hint="eastAsia" w:asciiTheme="minorEastAsia" w:hAnsiTheme="minorEastAsia" w:cstheme="minorEastAsia"/>
                <w:kern w:val="0"/>
                <w:sz w:val="28"/>
                <w:szCs w:val="28"/>
                <w:u w:val="single"/>
                <w:lang w:val="en-US" w:eastAsia="zh-CN"/>
              </w:rPr>
              <w:t>15</w:t>
            </w:r>
            <w:r>
              <w:rPr>
                <w:rFonts w:hint="eastAsia" w:asciiTheme="minorEastAsia" w:hAnsiTheme="minorEastAsia" w:cstheme="minorEastAsia"/>
                <w:kern w:val="0"/>
                <w:sz w:val="28"/>
                <w:szCs w:val="28"/>
              </w:rPr>
              <w:t>分</w:t>
            </w:r>
          </w:p>
          <w:p>
            <w:pPr>
              <w:wordWrap w:val="0"/>
              <w:spacing w:line="440" w:lineRule="exact"/>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lang w:val="en-US" w:eastAsia="zh-CN"/>
              </w:rPr>
              <w:t>企业软件能力</w:t>
            </w: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 xml:space="preserve"> </w:t>
            </w:r>
            <w:r>
              <w:rPr>
                <w:rFonts w:hint="eastAsia" w:asciiTheme="minorEastAsia" w:hAnsiTheme="minorEastAsia" w:cstheme="minorEastAsia"/>
                <w:kern w:val="0"/>
                <w:sz w:val="28"/>
                <w:szCs w:val="28"/>
                <w:u w:val="single"/>
                <w:lang w:val="en-US" w:eastAsia="zh-CN"/>
              </w:rPr>
              <w:t>8</w:t>
            </w:r>
            <w:r>
              <w:rPr>
                <w:rFonts w:hint="eastAsia" w:asciiTheme="minorEastAsia" w:hAnsiTheme="minorEastAsia" w:cstheme="minorEastAsia"/>
                <w:kern w:val="0"/>
                <w:sz w:val="28"/>
                <w:szCs w:val="28"/>
              </w:rPr>
              <w:t>分</w:t>
            </w:r>
          </w:p>
          <w:p>
            <w:pPr>
              <w:wordWrap w:val="0"/>
              <w:spacing w:line="440" w:lineRule="exact"/>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售后服务方案：</w:t>
            </w:r>
            <w:r>
              <w:rPr>
                <w:rFonts w:hint="eastAsia" w:asciiTheme="minorEastAsia" w:hAnsiTheme="minorEastAsia" w:cstheme="minorEastAsia"/>
                <w:kern w:val="0"/>
                <w:sz w:val="28"/>
                <w:szCs w:val="28"/>
                <w:u w:val="single"/>
              </w:rPr>
              <w:t>15</w:t>
            </w:r>
            <w:r>
              <w:rPr>
                <w:rFonts w:hint="eastAsia" w:asciiTheme="minorEastAsia" w:hAnsiTheme="minorEastAsia" w:cstheme="minorEastAsia"/>
                <w:kern w:val="0"/>
                <w:sz w:val="28"/>
                <w:szCs w:val="28"/>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评分因素</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投标报价（</w:t>
            </w:r>
            <w:r>
              <w:rPr>
                <w:rFonts w:hint="eastAsia" w:asciiTheme="minorEastAsia" w:hAnsiTheme="minorEastAsia" w:cstheme="minorEastAsia"/>
                <w:kern w:val="0"/>
                <w:sz w:val="28"/>
                <w:szCs w:val="28"/>
                <w:lang w:val="en-US" w:eastAsia="zh-CN"/>
              </w:rPr>
              <w:t>35</w:t>
            </w:r>
            <w:r>
              <w:rPr>
                <w:rFonts w:hint="eastAsia" w:asciiTheme="minorEastAsia" w:hAnsiTheme="minorEastAsia" w:cstheme="minorEastAsia"/>
                <w:kern w:val="0"/>
                <w:sz w:val="28"/>
                <w:szCs w:val="28"/>
              </w:rPr>
              <w:t>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取所有有效投标人报价的算术平均数作为评标基准价，若有效投标人大于或等于5家，则去掉最高价和最低价后取算术平均数作为评标基准价。</w:t>
            </w:r>
          </w:p>
          <w:p>
            <w:pPr>
              <w:wordWrap w:val="0"/>
              <w:spacing w:line="44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在所有有效投标报价中，投标报价与评标基准价相比，投标报价比评标基准价每低于（小于）1%扣1分，每高于（大于）1%扣1.5分。不足1%部分按直线插入法同比率计算得分（四舍五入保留两位小数）。</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若评标委员会认定该投标报价低于成本价的，可以否决其投标。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项目实施方案（</w:t>
            </w:r>
            <w:r>
              <w:rPr>
                <w:rFonts w:hint="eastAsia" w:asciiTheme="minorEastAsia" w:hAnsiTheme="minorEastAsia" w:cstheme="minorEastAsia"/>
                <w:kern w:val="0"/>
                <w:sz w:val="28"/>
                <w:szCs w:val="28"/>
                <w:lang w:val="en-US" w:eastAsia="zh-CN"/>
              </w:rPr>
              <w:t>1</w:t>
            </w:r>
            <w:r>
              <w:rPr>
                <w:rFonts w:hint="eastAsia" w:asciiTheme="minorEastAsia" w:hAnsiTheme="minorEastAsia" w:cstheme="minorEastAsia"/>
                <w:kern w:val="0"/>
                <w:sz w:val="28"/>
                <w:szCs w:val="28"/>
              </w:rPr>
              <w:t>0分）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 xml:space="preserve"> 提供针对本招标项目完整详细的且科学可行的项目实施方案：</w:t>
            </w:r>
          </w:p>
          <w:p>
            <w:pPr>
              <w:wordWrap w:val="0"/>
              <w:spacing w:line="44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1.项目实施方案科学合理，有明确的工程进度和管理措施，有明确的项目实施保障措施，对质量有详细的控制方案和措施，有详细、明确的验收方案，实施方案安排合理、可行。本项满分4分，评委根据投标文件对比，酌情给分，方案科学、完善、针对性强的得4分、合理、可行、细节待完善的得2分、欠合理、可行性较差、基本满足本项目需要的得1分，没有不得分；</w:t>
            </w:r>
          </w:p>
          <w:p>
            <w:pPr>
              <w:wordWrap w:val="0"/>
              <w:spacing w:line="44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2.制定科学、合理、规范的平台测试方案，包括测试方法及结果认定办法。本项满分3分，评委根据投标文件对比，酌情给分，方案科学、完善、针对性强的得3分、合理、可行、细节待完善的得2分、欠合理、可行性较差、基本满足本项目需要的得1分，没有不得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制定科学、合理，适应不同层次使用人员的平台操作培训方案，包括培训讲师安排、培训课程计划执行、培训规范制定等方案，评委根据投标文件对比，酌情给分，方案科学、完善、针对性强的得3分、合理、可行、细节待完善的得2分、欠合理、可行性较差、基本满足本项目需要的得1分，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3</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企业</w:t>
            </w:r>
            <w:r>
              <w:rPr>
                <w:rFonts w:hint="eastAsia" w:asciiTheme="minorEastAsia" w:hAnsiTheme="minorEastAsia" w:cstheme="minorEastAsia"/>
                <w:kern w:val="0"/>
                <w:sz w:val="28"/>
                <w:szCs w:val="28"/>
                <w:lang w:val="en-US" w:eastAsia="zh-CN"/>
              </w:rPr>
              <w:t>实力</w:t>
            </w:r>
            <w:r>
              <w:rPr>
                <w:rFonts w:hint="eastAsia" w:asciiTheme="minorEastAsia" w:hAnsiTheme="minorEastAsia" w:cstheme="minorEastAsia"/>
                <w:kern w:val="0"/>
                <w:sz w:val="28"/>
                <w:szCs w:val="28"/>
              </w:rPr>
              <w:t>（1</w:t>
            </w:r>
            <w:r>
              <w:rPr>
                <w:rFonts w:hint="eastAsia" w:asciiTheme="minorEastAsia" w:hAnsiTheme="minorEastAsia" w:cstheme="minorEastAsia"/>
                <w:kern w:val="0"/>
                <w:sz w:val="28"/>
                <w:szCs w:val="28"/>
                <w:lang w:val="en-US" w:eastAsia="zh-CN"/>
              </w:rPr>
              <w:t>7</w:t>
            </w:r>
            <w:r>
              <w:rPr>
                <w:rFonts w:hint="eastAsia" w:asciiTheme="minorEastAsia" w:hAnsiTheme="minorEastAsia" w:cstheme="minorEastAsia"/>
                <w:kern w:val="0"/>
                <w:sz w:val="28"/>
                <w:szCs w:val="28"/>
              </w:rPr>
              <w:t>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1.产品先进性：投标产品取得省级或以上认定的高新技术产品认证证书（充电桩类）的得3分；</w:t>
            </w:r>
          </w:p>
          <w:p>
            <w:pPr>
              <w:wordWrap w:val="0"/>
              <w:spacing w:line="44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2.提供有效的发明专利证书（充电桩类），每提供一份得1分，满分3分；</w:t>
            </w:r>
          </w:p>
          <w:p>
            <w:pPr>
              <w:wordWrap w:val="0"/>
              <w:spacing w:line="44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3.投标人每具有一项自主知识产权（充电桩类），得1分，满分3分；</w:t>
            </w:r>
          </w:p>
          <w:p>
            <w:pPr>
              <w:wordWrap w:val="0"/>
              <w:spacing w:line="44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4.投标人具有国家认可的产品检测机构（具备CMA及CNAS资质）出具的360KW或以上直流充电机检验报告得3分；</w:t>
            </w:r>
          </w:p>
          <w:p>
            <w:pPr>
              <w:wordWrap w:val="0"/>
              <w:spacing w:line="44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5.企业资信评估A等级认证的得1分，AA等级认证的得3分，AAA等级认证的得5分；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（须提供上述相关证明材料复印件加盖公章件放入投标文件，否则不得分）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1"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4</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企业业绩（</w:t>
            </w:r>
            <w:r>
              <w:rPr>
                <w:rFonts w:hint="eastAsia" w:asciiTheme="minorEastAsia" w:hAnsiTheme="minorEastAsia" w:cstheme="minorEastAsia"/>
                <w:kern w:val="0"/>
                <w:sz w:val="28"/>
                <w:szCs w:val="28"/>
                <w:lang w:val="en-US" w:eastAsia="zh-CN"/>
              </w:rPr>
              <w:t>15</w:t>
            </w:r>
            <w:r>
              <w:rPr>
                <w:rFonts w:hint="eastAsia" w:asciiTheme="minorEastAsia" w:hAnsiTheme="minorEastAsia" w:cstheme="minorEastAsia"/>
                <w:kern w:val="0"/>
                <w:sz w:val="28"/>
                <w:szCs w:val="28"/>
              </w:rPr>
              <w:t>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1.2017年1月1日至今，投标人每提供一个单项销售合同中直流充电桩功率至少360KW及以上供货业绩的得2分，最高得</w:t>
            </w:r>
            <w:r>
              <w:rPr>
                <w:rFonts w:hint="eastAsia" w:asciiTheme="minorEastAsia" w:hAnsiTheme="minorEastAsia" w:cstheme="minorEastAsia"/>
                <w:kern w:val="0"/>
                <w:sz w:val="28"/>
                <w:szCs w:val="28"/>
                <w:lang w:val="en-US" w:eastAsia="zh-CN"/>
              </w:rPr>
              <w:t>6</w:t>
            </w:r>
            <w:r>
              <w:rPr>
                <w:rFonts w:hint="eastAsia" w:asciiTheme="minorEastAsia" w:hAnsiTheme="minorEastAsia" w:cstheme="minorEastAsia"/>
                <w:kern w:val="0"/>
                <w:sz w:val="28"/>
                <w:szCs w:val="28"/>
              </w:rPr>
              <w:t>分。</w:t>
            </w:r>
          </w:p>
          <w:p>
            <w:pPr>
              <w:wordWrap w:val="0"/>
              <w:spacing w:line="44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2.2017年1月1日至今，投标人每提供一个单项销售合同金额在300万以上的得</w:t>
            </w:r>
            <w:r>
              <w:rPr>
                <w:rFonts w:hint="eastAsia" w:asciiTheme="minorEastAsia" w:hAnsiTheme="minorEastAsia" w:cstheme="minorEastAsia"/>
                <w:kern w:val="0"/>
                <w:sz w:val="28"/>
                <w:szCs w:val="28"/>
                <w:lang w:val="en-US" w:eastAsia="zh-CN"/>
              </w:rPr>
              <w:t>3</w:t>
            </w:r>
            <w:r>
              <w:rPr>
                <w:rFonts w:hint="eastAsia" w:asciiTheme="minorEastAsia" w:hAnsiTheme="minorEastAsia" w:cstheme="minorEastAsia"/>
                <w:kern w:val="0"/>
                <w:sz w:val="28"/>
                <w:szCs w:val="28"/>
              </w:rPr>
              <w:t>分，最高得</w:t>
            </w:r>
            <w:r>
              <w:rPr>
                <w:rFonts w:hint="eastAsia" w:asciiTheme="minorEastAsia" w:hAnsiTheme="minorEastAsia" w:cstheme="minorEastAsia"/>
                <w:kern w:val="0"/>
                <w:sz w:val="28"/>
                <w:szCs w:val="28"/>
                <w:lang w:val="en-US" w:eastAsia="zh-CN"/>
              </w:rPr>
              <w:t>9</w:t>
            </w:r>
            <w:r>
              <w:rPr>
                <w:rFonts w:hint="eastAsia" w:asciiTheme="minorEastAsia" w:hAnsiTheme="minorEastAsia" w:cstheme="minorEastAsia"/>
                <w:kern w:val="0"/>
                <w:sz w:val="28"/>
                <w:szCs w:val="28"/>
              </w:rPr>
              <w:t>分。</w:t>
            </w:r>
          </w:p>
          <w:p>
            <w:pPr>
              <w:wordWrap w:val="0"/>
              <w:spacing w:line="44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（业绩合同以合同签订时间为准。投标人须提供业绩合同复印件，加盖单位公章并装订入投标文件中）</w:t>
            </w:r>
          </w:p>
          <w:p>
            <w:pPr>
              <w:wordWrap w:val="0"/>
              <w:spacing w:line="440" w:lineRule="exact"/>
              <w:ind w:firstLine="480" w:firstLineChars="200"/>
              <w:rPr>
                <w:rFonts w:hint="eastAsia" w:asciiTheme="minorEastAsia" w:hAnsiTheme="minorEastAsia" w:cstheme="minorEastAsia"/>
                <w:kern w:val="0"/>
                <w:sz w:val="28"/>
                <w:szCs w:val="28"/>
              </w:rPr>
            </w:pPr>
            <w:r>
              <w:rPr>
                <w:rFonts w:hint="eastAsia" w:ascii="宋体" w:hAnsi="宋体" w:eastAsia="宋体" w:cs="宋体"/>
                <w:sz w:val="24"/>
                <w:szCs w:val="24"/>
                <w:shd w:val="clear" w:fill="FFFF00"/>
              </w:rPr>
              <w:t>（</w:t>
            </w:r>
            <w:r>
              <w:rPr>
                <w:rFonts w:hint="eastAsia" w:ascii="宋体" w:hAnsi="宋体" w:eastAsia="宋体" w:cs="宋体"/>
                <w:sz w:val="24"/>
                <w:szCs w:val="24"/>
                <w:shd w:val="clear" w:fill="FFFF00"/>
                <w:lang w:eastAsia="zh-CN"/>
              </w:rPr>
              <w:t>以上业绩</w:t>
            </w:r>
            <w:r>
              <w:rPr>
                <w:rFonts w:hint="eastAsia" w:ascii="宋体" w:hAnsi="宋体" w:eastAsia="宋体" w:cs="宋体"/>
                <w:sz w:val="24"/>
                <w:szCs w:val="24"/>
                <w:shd w:val="clear" w:fill="FFFF00"/>
                <w:lang w:val="en-US" w:eastAsia="zh-CN"/>
              </w:rPr>
              <w:t>重复计算</w:t>
            </w:r>
            <w:r>
              <w:rPr>
                <w:rFonts w:hint="eastAsia" w:ascii="宋体" w:hAnsi="宋体" w:eastAsia="宋体" w:cs="宋体"/>
                <w:sz w:val="24"/>
                <w:szCs w:val="24"/>
                <w:shd w:val="clear" w:fill="FFFF00"/>
                <w:lang w:eastAsia="zh-CN"/>
              </w:rPr>
              <w:t>，</w:t>
            </w:r>
            <w:r>
              <w:rPr>
                <w:rFonts w:hint="eastAsia" w:ascii="宋体" w:hAnsi="宋体" w:eastAsia="宋体" w:cs="宋体"/>
                <w:sz w:val="24"/>
                <w:szCs w:val="24"/>
                <w:shd w:val="clear" w:fill="FFFF00"/>
              </w:rPr>
              <w:t>合同业绩信息须能体现评审要素，以合同签订时间为准）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5</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lang w:val="en-US" w:eastAsia="zh-CN"/>
              </w:rPr>
              <w:t>企业软件能力</w:t>
            </w: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8</w:t>
            </w:r>
            <w:r>
              <w:rPr>
                <w:rFonts w:hint="eastAsia" w:asciiTheme="minorEastAsia" w:hAnsiTheme="minorEastAsia" w:cstheme="minorEastAsia"/>
                <w:kern w:val="0"/>
                <w:sz w:val="28"/>
                <w:szCs w:val="28"/>
              </w:rPr>
              <w:t>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560" w:firstLineChars="200"/>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投标人应具有自主研发、制造充电设备及后台监控系统的能力：</w:t>
            </w:r>
          </w:p>
          <w:p>
            <w:pPr>
              <w:wordWrap w:val="0"/>
              <w:spacing w:line="440" w:lineRule="exact"/>
              <w:ind w:firstLine="560" w:firstLineChars="200"/>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1.有关于充电桩后台监控系统的软件著作权，且管理平台支持后台监控得2分。</w:t>
            </w:r>
          </w:p>
          <w:p>
            <w:pPr>
              <w:wordWrap w:val="0"/>
              <w:spacing w:line="440" w:lineRule="exact"/>
              <w:ind w:firstLine="560" w:firstLineChars="200"/>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2.有充电桩主机控制器软件著作权，且管理平台支持后台控制得2分。</w:t>
            </w:r>
          </w:p>
          <w:p>
            <w:pPr>
              <w:wordWrap w:val="0"/>
              <w:spacing w:line="440" w:lineRule="exact"/>
              <w:ind w:firstLine="560" w:firstLineChars="200"/>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3.有充电APP苹果和安卓端软件著作权，且支持APP扫码充电得2分。</w:t>
            </w:r>
          </w:p>
          <w:p>
            <w:pPr>
              <w:wordWrap w:val="0"/>
              <w:spacing w:line="440" w:lineRule="exact"/>
              <w:ind w:firstLine="560" w:firstLineChars="200"/>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4.有充电微信小程序软件著作权得2分。</w:t>
            </w:r>
          </w:p>
          <w:p>
            <w:pPr>
              <w:wordWrap w:val="0"/>
              <w:spacing w:line="44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lang w:val="en-US" w:eastAsia="zh-CN"/>
              </w:rPr>
              <w:t>（须提供上述相关证明材料复印件加盖公章件放入投标文件，否则不得分）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heme="minorEastAsia" w:hAnsiTheme="minorEastAsia" w:eastAsia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6</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default"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售后服务方案（15分）</w:t>
            </w:r>
          </w:p>
        </w:tc>
        <w:tc>
          <w:tcPr>
            <w:tcW w:w="547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560" w:firstLineChars="200"/>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1.免费维保期3年，承诺每增加一年免费质保期加2分，满分10分；</w:t>
            </w:r>
          </w:p>
          <w:p>
            <w:pPr>
              <w:wordWrap w:val="0"/>
              <w:spacing w:line="440" w:lineRule="exact"/>
              <w:ind w:firstLine="560" w:firstLineChars="200"/>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2.对采购人提出维修保养技术指导等方面的响应程度及便利性：投标人有专业的维修服务队伍、制定出详细售后服务方案、安全管理制度。具备随时响应维修服务能力，2小时内做出服务响应，并在8小时内到维修现场，一般故障在12小时内修复，重大故障在24小时内修复，依据投标文件提供售后服务方案。</w:t>
            </w:r>
          </w:p>
          <w:p>
            <w:pPr>
              <w:wordWrap w:val="0"/>
              <w:spacing w:line="440" w:lineRule="exact"/>
              <w:ind w:firstLine="560" w:firstLineChars="200"/>
              <w:rPr>
                <w:rFonts w:hint="eastAsia" w:asciiTheme="minorEastAsia" w:hAnsi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评委对上述方案进行详细评审，项目实施方案科学、完善、针对性强的得5分、合理、可行、细节待完善的得2-3分、欠合理、可行性较差、基本满足本项目需要的得1分。没有的不得分。</w:t>
            </w:r>
          </w:p>
        </w:tc>
      </w:tr>
    </w:tbl>
    <w:p>
      <w:pPr>
        <w:wordWrap w:val="0"/>
        <w:spacing w:line="400" w:lineRule="exact"/>
        <w:jc w:val="left"/>
        <w:rPr>
          <w:rFonts w:asciiTheme="minorEastAsia" w:hAnsiTheme="minorEastAsia" w:cstheme="minorEastAsia"/>
          <w:b/>
          <w:bCs/>
          <w:szCs w:val="21"/>
        </w:rPr>
      </w:pPr>
      <w:bookmarkStart w:id="16" w:name="_Toc246996232"/>
      <w:bookmarkStart w:id="17" w:name="_Toc179632607"/>
      <w:bookmarkStart w:id="18" w:name="_Toc296602477"/>
      <w:bookmarkStart w:id="19" w:name="_Toc247085747"/>
      <w:bookmarkStart w:id="20" w:name="_Toc152045589"/>
      <w:bookmarkStart w:id="21" w:name="_Toc144974556"/>
      <w:bookmarkStart w:id="22" w:name="_Toc246996975"/>
      <w:bookmarkStart w:id="23" w:name="_Toc152042366"/>
    </w:p>
    <w:p>
      <w:pPr>
        <w:wordWrap w:val="0"/>
        <w:spacing w:line="400" w:lineRule="exact"/>
        <w:jc w:val="left"/>
        <w:rPr>
          <w:rFonts w:hint="eastAsia" w:asciiTheme="minorEastAsia" w:hAnsiTheme="minorEastAsia" w:cstheme="minorEastAsia"/>
          <w:b/>
          <w:bCs/>
          <w:sz w:val="28"/>
          <w:szCs w:val="28"/>
        </w:rPr>
      </w:pPr>
    </w:p>
    <w:p>
      <w:pPr>
        <w:wordWrap w:val="0"/>
        <w:spacing w:line="400" w:lineRule="exact"/>
        <w:jc w:val="left"/>
        <w:rPr>
          <w:rFonts w:asciiTheme="minorEastAsia" w:hAnsiTheme="minorEastAsia" w:cstheme="minorEastAsia"/>
          <w:b/>
          <w:bCs/>
          <w:sz w:val="28"/>
          <w:szCs w:val="28"/>
        </w:rPr>
      </w:pPr>
      <w:r>
        <w:rPr>
          <w:rFonts w:hint="eastAsia" w:asciiTheme="minorEastAsia" w:hAnsiTheme="minorEastAsia" w:cstheme="minorEastAsia"/>
          <w:b/>
          <w:bCs/>
          <w:sz w:val="28"/>
          <w:szCs w:val="28"/>
        </w:rPr>
        <w:t>1. 评标方法</w:t>
      </w:r>
    </w:p>
    <w:p>
      <w:pPr>
        <w:wordWrap w:val="0"/>
        <w:spacing w:line="400" w:lineRule="exact"/>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本次评标采用综合评估法。要求投标报价低于（小于）招标人发布招标控制价为有效报价，否则视为不以中标为目的的报价，不进入评审。评标委员会对满足招标文件实质性要求的投标文件，按照本章规定的评分标准进行打分，并按得分由高到低顺序推荐中标候选人，或根据招标人授权直接确定中标人，但投标报价低于其成本的除外。综合评分相等时，以投标报价低的优先；投标报价也相等的</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由评标委员会投票确定中标候选人排序。</w:t>
      </w:r>
    </w:p>
    <w:p>
      <w:pPr>
        <w:wordWrap w:val="0"/>
        <w:spacing w:line="440" w:lineRule="exact"/>
        <w:rPr>
          <w:rFonts w:asciiTheme="minorEastAsia" w:hAnsiTheme="minorEastAsia" w:cstheme="minorEastAsia"/>
          <w:b/>
          <w:bCs/>
          <w:kern w:val="0"/>
          <w:sz w:val="28"/>
          <w:szCs w:val="28"/>
        </w:rPr>
      </w:pPr>
      <w:bookmarkStart w:id="24" w:name="_Toc246996233"/>
      <w:bookmarkStart w:id="25" w:name="_Toc246996976"/>
      <w:bookmarkStart w:id="26" w:name="_Toc296602478"/>
      <w:bookmarkStart w:id="27" w:name="_Toc179632608"/>
      <w:bookmarkStart w:id="28" w:name="_Toc152042367"/>
      <w:bookmarkStart w:id="29" w:name="_Toc247085748"/>
      <w:bookmarkStart w:id="30" w:name="_Toc152045590"/>
      <w:bookmarkStart w:id="31" w:name="_Toc144974557"/>
      <w:r>
        <w:rPr>
          <w:rFonts w:hint="eastAsia" w:asciiTheme="minorEastAsia" w:hAnsiTheme="minorEastAsia" w:cstheme="minorEastAsia"/>
          <w:b/>
          <w:bCs/>
          <w:kern w:val="0"/>
          <w:sz w:val="28"/>
          <w:szCs w:val="28"/>
        </w:rPr>
        <w:t>2. 评审标准</w:t>
      </w:r>
      <w:bookmarkEnd w:id="24"/>
      <w:bookmarkEnd w:id="25"/>
      <w:bookmarkEnd w:id="26"/>
      <w:bookmarkEnd w:id="27"/>
      <w:bookmarkEnd w:id="28"/>
      <w:bookmarkEnd w:id="29"/>
      <w:bookmarkEnd w:id="30"/>
      <w:bookmarkEnd w:id="31"/>
    </w:p>
    <w:p>
      <w:pPr>
        <w:wordWrap w:val="0"/>
        <w:spacing w:line="440" w:lineRule="exact"/>
        <w:rPr>
          <w:rFonts w:asciiTheme="minorEastAsia" w:hAnsiTheme="minorEastAsia" w:cstheme="minorEastAsia"/>
          <w:b/>
          <w:bCs/>
          <w:kern w:val="0"/>
          <w:sz w:val="28"/>
          <w:szCs w:val="28"/>
        </w:rPr>
      </w:pPr>
      <w:bookmarkStart w:id="32" w:name="_Toc144974558"/>
      <w:bookmarkStart w:id="33" w:name="_Toc296602479"/>
      <w:bookmarkStart w:id="34" w:name="_Toc152042368"/>
      <w:bookmarkStart w:id="35" w:name="_Toc247085749"/>
      <w:bookmarkStart w:id="36" w:name="_Toc179632609"/>
      <w:bookmarkStart w:id="37" w:name="_Toc246996977"/>
      <w:bookmarkStart w:id="38" w:name="_Toc152045591"/>
      <w:bookmarkStart w:id="39" w:name="_Toc246996234"/>
      <w:r>
        <w:rPr>
          <w:rFonts w:hint="eastAsia" w:asciiTheme="minorEastAsia" w:hAnsiTheme="minorEastAsia" w:cstheme="minorEastAsia"/>
          <w:b/>
          <w:bCs/>
          <w:kern w:val="0"/>
          <w:sz w:val="28"/>
          <w:szCs w:val="28"/>
        </w:rPr>
        <w:t>2.1 初步评审标准</w:t>
      </w:r>
      <w:bookmarkEnd w:id="32"/>
      <w:bookmarkEnd w:id="33"/>
      <w:bookmarkEnd w:id="34"/>
      <w:bookmarkEnd w:id="35"/>
      <w:bookmarkEnd w:id="36"/>
      <w:bookmarkEnd w:id="37"/>
      <w:bookmarkEnd w:id="38"/>
      <w:bookmarkEnd w:id="39"/>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2.1.1 形式评审标准：见评标办法前附表。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2.1.2 资格评审标准：见评标办法前附表。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2.1.3 响应性评审标准：见评标办法前附表。</w:t>
      </w:r>
    </w:p>
    <w:p>
      <w:pPr>
        <w:wordWrap w:val="0"/>
        <w:spacing w:line="440" w:lineRule="exact"/>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2.2 分值构成与评分标准</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2.2.1 分值构成</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（1）投标报价部分：见评标办法前附表；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w:t>
      </w:r>
      <w:r>
        <w:rPr>
          <w:rFonts w:hint="eastAsia" w:asciiTheme="minorEastAsia" w:hAnsiTheme="minorEastAsia" w:cstheme="minorEastAsia"/>
          <w:kern w:val="0"/>
          <w:sz w:val="28"/>
          <w:szCs w:val="28"/>
          <w:lang w:eastAsia="zh-CN"/>
        </w:rPr>
        <w:t>项目实施方案</w:t>
      </w:r>
      <w:r>
        <w:rPr>
          <w:rFonts w:hint="eastAsia" w:asciiTheme="minorEastAsia" w:hAnsiTheme="minorEastAsia" w:cstheme="minorEastAsia"/>
          <w:kern w:val="0"/>
          <w:sz w:val="28"/>
          <w:szCs w:val="28"/>
        </w:rPr>
        <w:t>：见评标办法前附表；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（3）企业实力：</w:t>
      </w:r>
      <w:r>
        <w:rPr>
          <w:rFonts w:hint="eastAsia" w:asciiTheme="minorEastAsia" w:hAnsiTheme="minorEastAsia" w:cstheme="minorEastAsia"/>
          <w:kern w:val="0"/>
          <w:sz w:val="28"/>
          <w:szCs w:val="28"/>
          <w:lang w:val="en-US" w:eastAsia="zh-CN"/>
        </w:rPr>
        <w:t xml:space="preserve">    </w:t>
      </w:r>
      <w:r>
        <w:rPr>
          <w:rFonts w:hint="eastAsia" w:asciiTheme="minorEastAsia" w:hAnsiTheme="minorEastAsia" w:cstheme="minorEastAsia"/>
          <w:kern w:val="0"/>
          <w:sz w:val="28"/>
          <w:szCs w:val="28"/>
        </w:rPr>
        <w:t>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（4）企业业绩部分：见评标办法前附表；</w:t>
      </w:r>
    </w:p>
    <w:p>
      <w:pPr>
        <w:wordWrap w:val="0"/>
        <w:spacing w:line="42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（5）</w:t>
      </w:r>
      <w:r>
        <w:rPr>
          <w:rFonts w:hint="eastAsia" w:asciiTheme="minorEastAsia" w:hAnsiTheme="minorEastAsia" w:cstheme="minorEastAsia"/>
          <w:kern w:val="0"/>
          <w:sz w:val="28"/>
          <w:szCs w:val="28"/>
          <w:lang w:val="en-US" w:eastAsia="zh-CN"/>
        </w:rPr>
        <w:t>企业软件能力</w:t>
      </w:r>
      <w:r>
        <w:rPr>
          <w:rFonts w:hint="eastAsia" w:asciiTheme="minorEastAsia" w:hAnsiTheme="minorEastAsia" w:cstheme="minorEastAsia"/>
          <w:kern w:val="0"/>
          <w:sz w:val="28"/>
          <w:szCs w:val="28"/>
        </w:rPr>
        <w:t>：见评标办法前附表；</w:t>
      </w:r>
    </w:p>
    <w:p>
      <w:pPr>
        <w:wordWrap w:val="0"/>
        <w:spacing w:line="42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6</w:t>
      </w: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售后服务方案</w:t>
      </w:r>
      <w:r>
        <w:rPr>
          <w:rFonts w:hint="eastAsia" w:asciiTheme="minorEastAsia" w:hAnsiTheme="minorEastAsia" w:cstheme="minorEastAsia"/>
          <w:kern w:val="0"/>
          <w:sz w:val="28"/>
          <w:szCs w:val="28"/>
        </w:rPr>
        <w:t>：见评标办法前附表；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2.2.2 评标基准价计算</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评标基准价计算方法：见评标办法前附表。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2.2.3 投标报价的偏差率计算</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投标报价的偏差率计算公式：见评标办法前附表。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2.2.4 评分标准</w:t>
      </w:r>
    </w:p>
    <w:p>
      <w:pPr>
        <w:wordWrap w:val="0"/>
        <w:spacing w:line="420" w:lineRule="exact"/>
        <w:ind w:firstLine="560" w:firstLineChars="200"/>
        <w:rPr>
          <w:rFonts w:asciiTheme="minorEastAsia" w:hAnsiTheme="minorEastAsia" w:cstheme="minorEastAsia"/>
          <w:kern w:val="0"/>
          <w:sz w:val="28"/>
          <w:szCs w:val="28"/>
        </w:rPr>
      </w:pPr>
      <w:bookmarkStart w:id="40" w:name="_Toc246996979"/>
      <w:bookmarkStart w:id="41" w:name="_Toc247085751"/>
      <w:bookmarkStart w:id="42" w:name="_Toc296602481"/>
      <w:bookmarkStart w:id="43" w:name="_Toc179632611"/>
      <w:bookmarkStart w:id="44" w:name="_Toc246996236"/>
      <w:bookmarkStart w:id="45" w:name="_Toc152045593"/>
      <w:bookmarkStart w:id="46" w:name="_Toc152042370"/>
      <w:bookmarkStart w:id="47" w:name="_Toc144974560"/>
      <w:r>
        <w:rPr>
          <w:rFonts w:hint="eastAsia" w:asciiTheme="minorEastAsia" w:hAnsiTheme="minorEastAsia" w:cstheme="minorEastAsia"/>
          <w:kern w:val="0"/>
          <w:sz w:val="28"/>
          <w:szCs w:val="28"/>
        </w:rPr>
        <w:t>（1）投标报价部分：见评标办法前附表；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w:t>
      </w:r>
      <w:r>
        <w:rPr>
          <w:rFonts w:hint="eastAsia" w:asciiTheme="minorEastAsia" w:hAnsiTheme="minorEastAsia" w:cstheme="minorEastAsia"/>
          <w:kern w:val="0"/>
          <w:sz w:val="28"/>
          <w:szCs w:val="28"/>
          <w:lang w:eastAsia="zh-CN"/>
        </w:rPr>
        <w:t>项目实施方案</w:t>
      </w:r>
      <w:r>
        <w:rPr>
          <w:rFonts w:hint="eastAsia" w:asciiTheme="minorEastAsia" w:hAnsiTheme="minorEastAsia" w:cstheme="minorEastAsia"/>
          <w:kern w:val="0"/>
          <w:sz w:val="28"/>
          <w:szCs w:val="28"/>
        </w:rPr>
        <w:t>：见评标办法前附表；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（3）企业实力：</w:t>
      </w:r>
      <w:r>
        <w:rPr>
          <w:rFonts w:hint="eastAsia" w:asciiTheme="minorEastAsia" w:hAnsiTheme="minorEastAsia" w:cstheme="minorEastAsia"/>
          <w:kern w:val="0"/>
          <w:sz w:val="28"/>
          <w:szCs w:val="28"/>
          <w:lang w:val="en-US" w:eastAsia="zh-CN"/>
        </w:rPr>
        <w:t xml:space="preserve">    </w:t>
      </w:r>
      <w:r>
        <w:rPr>
          <w:rFonts w:hint="eastAsia" w:asciiTheme="minorEastAsia" w:hAnsiTheme="minorEastAsia" w:cstheme="minorEastAsia"/>
          <w:kern w:val="0"/>
          <w:sz w:val="28"/>
          <w:szCs w:val="28"/>
        </w:rPr>
        <w:t>见评标办法前附表；</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（4）企业业绩部分：见评标办法前附表；</w:t>
      </w:r>
    </w:p>
    <w:p>
      <w:pPr>
        <w:wordWrap w:val="0"/>
        <w:spacing w:line="42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（5）</w:t>
      </w:r>
      <w:r>
        <w:rPr>
          <w:rFonts w:hint="eastAsia" w:asciiTheme="minorEastAsia" w:hAnsiTheme="minorEastAsia" w:cstheme="minorEastAsia"/>
          <w:kern w:val="0"/>
          <w:sz w:val="28"/>
          <w:szCs w:val="28"/>
          <w:lang w:val="en-US" w:eastAsia="zh-CN"/>
        </w:rPr>
        <w:t>企业软件能力</w:t>
      </w:r>
      <w:r>
        <w:rPr>
          <w:rFonts w:hint="eastAsia" w:asciiTheme="minorEastAsia" w:hAnsiTheme="minorEastAsia" w:cstheme="minorEastAsia"/>
          <w:kern w:val="0"/>
          <w:sz w:val="28"/>
          <w:szCs w:val="28"/>
        </w:rPr>
        <w:t>：见评标办法前附表；</w:t>
      </w:r>
    </w:p>
    <w:p>
      <w:pPr>
        <w:wordWrap w:val="0"/>
        <w:spacing w:line="42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6</w:t>
      </w: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售后服务方案</w:t>
      </w:r>
      <w:r>
        <w:rPr>
          <w:rFonts w:hint="eastAsia" w:asciiTheme="minorEastAsia" w:hAnsiTheme="minorEastAsia" w:cstheme="minorEastAsia"/>
          <w:kern w:val="0"/>
          <w:sz w:val="28"/>
          <w:szCs w:val="28"/>
        </w:rPr>
        <w:t>：见评标办法前附表；</w:t>
      </w:r>
    </w:p>
    <w:p>
      <w:pPr>
        <w:wordWrap w:val="0"/>
        <w:spacing w:line="440" w:lineRule="exact"/>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3. 评标程序</w:t>
      </w:r>
      <w:bookmarkEnd w:id="40"/>
      <w:bookmarkEnd w:id="41"/>
      <w:bookmarkEnd w:id="42"/>
      <w:bookmarkEnd w:id="43"/>
      <w:bookmarkEnd w:id="44"/>
      <w:bookmarkEnd w:id="45"/>
      <w:bookmarkEnd w:id="46"/>
      <w:bookmarkEnd w:id="47"/>
    </w:p>
    <w:p>
      <w:pPr>
        <w:wordWrap w:val="0"/>
        <w:spacing w:line="440" w:lineRule="exact"/>
        <w:rPr>
          <w:rFonts w:asciiTheme="minorEastAsia" w:hAnsiTheme="minorEastAsia" w:cstheme="minorEastAsia"/>
          <w:b/>
          <w:bCs/>
          <w:kern w:val="0"/>
          <w:sz w:val="28"/>
          <w:szCs w:val="28"/>
        </w:rPr>
      </w:pPr>
      <w:bookmarkStart w:id="48" w:name="_Toc246996980"/>
      <w:bookmarkStart w:id="49" w:name="_Toc247085752"/>
      <w:bookmarkStart w:id="50" w:name="_Toc179632612"/>
      <w:bookmarkStart w:id="51" w:name="_Toc246996237"/>
      <w:bookmarkStart w:id="52" w:name="_Toc144974561"/>
      <w:bookmarkStart w:id="53" w:name="_Toc296602482"/>
      <w:bookmarkStart w:id="54" w:name="_Toc152042371"/>
      <w:bookmarkStart w:id="55" w:name="_Toc152045594"/>
      <w:r>
        <w:rPr>
          <w:rFonts w:hint="eastAsia" w:asciiTheme="minorEastAsia" w:hAnsiTheme="minorEastAsia" w:cstheme="minorEastAsia"/>
          <w:b/>
          <w:bCs/>
          <w:kern w:val="0"/>
          <w:sz w:val="28"/>
          <w:szCs w:val="28"/>
        </w:rPr>
        <w:t>3.1 初步评审</w:t>
      </w:r>
      <w:bookmarkEnd w:id="48"/>
      <w:bookmarkEnd w:id="49"/>
      <w:bookmarkEnd w:id="50"/>
      <w:bookmarkEnd w:id="51"/>
      <w:bookmarkEnd w:id="52"/>
      <w:bookmarkEnd w:id="53"/>
      <w:bookmarkEnd w:id="54"/>
      <w:bookmarkEnd w:id="55"/>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3.1.2 投标人有以下情形之一的，评标委员会应当否决其投标：</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（1）国家发改委发布的《中华人民共和国简明标准施工招标文件》第二章“投标人须知”细则中第1.4.3款规定的任何一种情形的；</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（2）串通投标或弄虚作假或有其他违法行为的；</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（3）不按评标委员会要求澄清、说明或补正的。</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3.1.3投标报价有算术错误的，评标委员会按以下原则对投标报价进行修正，修正的价格经投标人书面确认后具有约束力。投标人不接受修正价格的，评标委员会应当否决其投标。</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（1）投标文件中的大写金额与小写金额不一致的，以大写金额为准；</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（2）总价金额与依据单价计算出的结果不一致的，以单价金额为准修正总价，但单价金额小数点有明显错误的除外。</w:t>
      </w:r>
    </w:p>
    <w:p>
      <w:pPr>
        <w:wordWrap w:val="0"/>
        <w:spacing w:line="440" w:lineRule="exact"/>
        <w:rPr>
          <w:rFonts w:asciiTheme="minorEastAsia" w:hAnsiTheme="minorEastAsia" w:cstheme="minorEastAsia"/>
          <w:b/>
          <w:bCs/>
          <w:kern w:val="0"/>
          <w:sz w:val="28"/>
          <w:szCs w:val="28"/>
        </w:rPr>
      </w:pPr>
      <w:bookmarkStart w:id="56" w:name="_Toc152045595"/>
      <w:bookmarkStart w:id="57" w:name="_Toc144974562"/>
      <w:bookmarkStart w:id="58" w:name="_Toc246996238"/>
      <w:bookmarkStart w:id="59" w:name="_Toc247085753"/>
      <w:bookmarkStart w:id="60" w:name="_Toc179632613"/>
      <w:bookmarkStart w:id="61" w:name="_Toc296602483"/>
      <w:bookmarkStart w:id="62" w:name="_Toc152042372"/>
      <w:bookmarkStart w:id="63" w:name="_Toc246996981"/>
      <w:r>
        <w:rPr>
          <w:rFonts w:hint="eastAsia" w:asciiTheme="minorEastAsia" w:hAnsiTheme="minorEastAsia" w:cstheme="minorEastAsia"/>
          <w:b/>
          <w:bCs/>
          <w:kern w:val="0"/>
          <w:sz w:val="28"/>
          <w:szCs w:val="28"/>
        </w:rPr>
        <w:t>3.2 详细评审</w:t>
      </w:r>
      <w:bookmarkEnd w:id="56"/>
      <w:bookmarkEnd w:id="57"/>
      <w:bookmarkEnd w:id="58"/>
      <w:bookmarkEnd w:id="59"/>
      <w:bookmarkEnd w:id="60"/>
      <w:bookmarkEnd w:id="61"/>
      <w:bookmarkEnd w:id="62"/>
      <w:bookmarkEnd w:id="63"/>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3.2.1 评标委员会按本章规定的量化因素和分值进行打分，并计算出综合评估得分。</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（1）按本章规定的评审因素和分值对投标报价部分计算出得分A；</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（2）按本章规定的评审因素和分值对</w:t>
      </w:r>
      <w:r>
        <w:rPr>
          <w:rFonts w:hint="eastAsia" w:asciiTheme="minorEastAsia" w:hAnsiTheme="minorEastAsia" w:cstheme="minorEastAsia"/>
          <w:kern w:val="0"/>
          <w:sz w:val="28"/>
          <w:szCs w:val="28"/>
          <w:lang w:eastAsia="zh-CN"/>
        </w:rPr>
        <w:t>项目实施方案</w:t>
      </w:r>
      <w:r>
        <w:rPr>
          <w:rFonts w:hint="eastAsia" w:asciiTheme="minorEastAsia" w:hAnsiTheme="minorEastAsia" w:cstheme="minorEastAsia"/>
          <w:kern w:val="0"/>
          <w:sz w:val="28"/>
          <w:szCs w:val="28"/>
        </w:rPr>
        <w:t>计算出得分B；</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（3）按本章规定的评审因素和分值对</w:t>
      </w:r>
      <w:r>
        <w:rPr>
          <w:rFonts w:hint="eastAsia" w:asciiTheme="minorEastAsia" w:hAnsiTheme="minorEastAsia" w:cstheme="minorEastAsia"/>
          <w:kern w:val="0"/>
          <w:sz w:val="28"/>
          <w:szCs w:val="28"/>
          <w:lang w:val="en-US" w:eastAsia="zh-CN"/>
        </w:rPr>
        <w:t>企业实力</w:t>
      </w:r>
      <w:r>
        <w:rPr>
          <w:rFonts w:hint="eastAsia" w:asciiTheme="minorEastAsia" w:hAnsiTheme="minorEastAsia" w:cstheme="minorEastAsia"/>
          <w:kern w:val="0"/>
          <w:sz w:val="28"/>
          <w:szCs w:val="28"/>
        </w:rPr>
        <w:t>部分计算出得分C；</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（4）按本章规定的评审因素和分值对企业业绩部分计算出得分D；</w:t>
      </w:r>
    </w:p>
    <w:p>
      <w:pPr>
        <w:wordWrap w:val="0"/>
        <w:spacing w:line="42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（5）按本章规定的评审因素和分值对</w:t>
      </w:r>
      <w:r>
        <w:rPr>
          <w:rFonts w:hint="eastAsia" w:asciiTheme="minorEastAsia" w:hAnsiTheme="minorEastAsia" w:cstheme="minorEastAsia"/>
          <w:kern w:val="0"/>
          <w:sz w:val="28"/>
          <w:szCs w:val="28"/>
          <w:lang w:val="en-US" w:eastAsia="zh-CN"/>
        </w:rPr>
        <w:t>企业软件能力</w:t>
      </w:r>
      <w:r>
        <w:rPr>
          <w:rFonts w:hint="eastAsia" w:asciiTheme="minorEastAsia" w:hAnsiTheme="minorEastAsia" w:cstheme="minorEastAsia"/>
          <w:kern w:val="0"/>
          <w:sz w:val="28"/>
          <w:szCs w:val="28"/>
        </w:rPr>
        <w:t>计算出得分E；</w:t>
      </w:r>
    </w:p>
    <w:p>
      <w:pPr>
        <w:wordWrap w:val="0"/>
        <w:spacing w:line="420" w:lineRule="exact"/>
        <w:ind w:firstLine="560" w:firstLineChars="200"/>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rPr>
        <w:t>（</w:t>
      </w:r>
      <w:r>
        <w:rPr>
          <w:rFonts w:hint="eastAsia" w:asciiTheme="minorEastAsia" w:hAnsiTheme="minorEastAsia" w:cstheme="minorEastAsia"/>
          <w:kern w:val="0"/>
          <w:sz w:val="28"/>
          <w:szCs w:val="28"/>
          <w:lang w:val="en-US" w:eastAsia="zh-CN"/>
        </w:rPr>
        <w:t>6</w:t>
      </w:r>
      <w:r>
        <w:rPr>
          <w:rFonts w:hint="eastAsia" w:asciiTheme="minorEastAsia" w:hAnsiTheme="minorEastAsia" w:cstheme="minorEastAsia"/>
          <w:kern w:val="0"/>
          <w:sz w:val="28"/>
          <w:szCs w:val="28"/>
        </w:rPr>
        <w:t>）按本章规定的评审因素和分值对</w:t>
      </w:r>
      <w:r>
        <w:rPr>
          <w:rFonts w:hint="eastAsia" w:asciiTheme="minorEastAsia" w:hAnsiTheme="minorEastAsia" w:cstheme="minorEastAsia"/>
          <w:kern w:val="0"/>
          <w:sz w:val="28"/>
          <w:szCs w:val="28"/>
          <w:lang w:val="en-US" w:eastAsia="zh-CN"/>
        </w:rPr>
        <w:t>售后服务方案</w:t>
      </w:r>
      <w:r>
        <w:rPr>
          <w:rFonts w:hint="eastAsia" w:asciiTheme="minorEastAsia" w:hAnsiTheme="minorEastAsia" w:cstheme="minorEastAsia"/>
          <w:kern w:val="0"/>
          <w:sz w:val="28"/>
          <w:szCs w:val="28"/>
        </w:rPr>
        <w:t>计算出得分</w:t>
      </w:r>
      <w:r>
        <w:rPr>
          <w:rFonts w:hint="eastAsia" w:asciiTheme="minorEastAsia" w:hAnsiTheme="minorEastAsia" w:cstheme="minorEastAsia"/>
          <w:kern w:val="0"/>
          <w:sz w:val="28"/>
          <w:szCs w:val="28"/>
          <w:lang w:val="en-US" w:eastAsia="zh-CN"/>
        </w:rPr>
        <w:t>F</w:t>
      </w:r>
      <w:r>
        <w:rPr>
          <w:rFonts w:hint="eastAsia" w:asciiTheme="minorEastAsia" w:hAnsiTheme="minorEastAsia" w:cstheme="minorEastAsia"/>
          <w:kern w:val="0"/>
          <w:sz w:val="28"/>
          <w:szCs w:val="28"/>
        </w:rPr>
        <w:t>；</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3.2.2 评分分值计算保留小数点后两位，小数点后第三位“四舍五入”。</w:t>
      </w:r>
    </w:p>
    <w:p>
      <w:pPr>
        <w:wordWrap w:val="0"/>
        <w:spacing w:line="420" w:lineRule="exact"/>
        <w:ind w:firstLine="560" w:firstLineChars="200"/>
        <w:rPr>
          <w:rFonts w:hint="default" w:asciiTheme="minorEastAsia" w:hAnsiTheme="minorEastAsia" w:eastAsiaTheme="minorEastAsia" w:cstheme="minorEastAsia"/>
          <w:kern w:val="0"/>
          <w:sz w:val="28"/>
          <w:szCs w:val="28"/>
          <w:lang w:val="en-US" w:eastAsia="zh-CN"/>
        </w:rPr>
      </w:pPr>
      <w:r>
        <w:rPr>
          <w:rFonts w:hint="eastAsia" w:asciiTheme="minorEastAsia" w:hAnsiTheme="minorEastAsia" w:cstheme="minorEastAsia"/>
          <w:kern w:val="0"/>
          <w:sz w:val="28"/>
          <w:szCs w:val="28"/>
        </w:rPr>
        <w:t>3.2.3 投标人得分=A+B+C+D+E</w:t>
      </w:r>
      <w:r>
        <w:rPr>
          <w:rFonts w:hint="eastAsia" w:asciiTheme="minorEastAsia" w:hAnsiTheme="minorEastAsia" w:cstheme="minorEastAsia"/>
          <w:kern w:val="0"/>
          <w:sz w:val="28"/>
          <w:szCs w:val="28"/>
          <w:lang w:val="en-US" w:eastAsia="zh-CN"/>
        </w:rPr>
        <w:t>+F</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440" w:lineRule="exact"/>
        <w:rPr>
          <w:rFonts w:asciiTheme="minorEastAsia" w:hAnsiTheme="minorEastAsia" w:cstheme="minorEastAsia"/>
          <w:b/>
          <w:bCs/>
          <w:kern w:val="0"/>
          <w:sz w:val="28"/>
          <w:szCs w:val="28"/>
        </w:rPr>
      </w:pPr>
      <w:bookmarkStart w:id="64" w:name="_Toc144974563"/>
      <w:bookmarkStart w:id="65" w:name="_Toc246996982"/>
      <w:bookmarkStart w:id="66" w:name="_Toc179632614"/>
      <w:bookmarkStart w:id="67" w:name="_Toc247085754"/>
      <w:bookmarkStart w:id="68" w:name="_Toc246996239"/>
      <w:bookmarkStart w:id="69" w:name="_Toc296602484"/>
      <w:bookmarkStart w:id="70" w:name="_Toc152045596"/>
      <w:bookmarkStart w:id="71" w:name="_Toc152042373"/>
      <w:r>
        <w:rPr>
          <w:rFonts w:hint="eastAsia" w:asciiTheme="minorEastAsia" w:hAnsiTheme="minorEastAsia" w:cstheme="minorEastAsia"/>
          <w:b/>
          <w:bCs/>
          <w:kern w:val="0"/>
          <w:sz w:val="28"/>
          <w:szCs w:val="28"/>
        </w:rPr>
        <w:t>3.3 投标文件的澄清</w:t>
      </w:r>
      <w:bookmarkEnd w:id="64"/>
      <w:r>
        <w:rPr>
          <w:rFonts w:hint="eastAsia" w:asciiTheme="minorEastAsia" w:hAnsiTheme="minorEastAsia" w:cstheme="minorEastAsia"/>
          <w:b/>
          <w:bCs/>
          <w:kern w:val="0"/>
          <w:sz w:val="28"/>
          <w:szCs w:val="28"/>
        </w:rPr>
        <w:t>和补正</w:t>
      </w:r>
      <w:bookmarkEnd w:id="65"/>
      <w:bookmarkEnd w:id="66"/>
      <w:bookmarkEnd w:id="67"/>
      <w:bookmarkEnd w:id="68"/>
      <w:bookmarkEnd w:id="69"/>
      <w:bookmarkEnd w:id="70"/>
      <w:bookmarkEnd w:id="71"/>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3.3.2 澄清、说明或补正不得超出投标文件的范围且不得改变投标文件的实质性内容，并构成投标文件的组成部分。</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3.3.3 评标委员会对投标人提交的澄清、说明或补正有疑问的，可以要求投标人进一步澄清、说明或补正，直至满足评标委员会的要求。</w:t>
      </w:r>
    </w:p>
    <w:p>
      <w:pPr>
        <w:wordWrap w:val="0"/>
        <w:spacing w:line="440" w:lineRule="exact"/>
        <w:rPr>
          <w:rFonts w:asciiTheme="minorEastAsia" w:hAnsiTheme="minorEastAsia" w:cstheme="minorEastAsia"/>
          <w:b/>
          <w:bCs/>
          <w:kern w:val="0"/>
          <w:sz w:val="28"/>
          <w:szCs w:val="28"/>
        </w:rPr>
      </w:pPr>
      <w:bookmarkStart w:id="72" w:name="_Toc247085755"/>
      <w:bookmarkStart w:id="73" w:name="_Toc246996983"/>
      <w:bookmarkStart w:id="74" w:name="_Toc144974564"/>
      <w:bookmarkStart w:id="75" w:name="_Toc152042374"/>
      <w:bookmarkStart w:id="76" w:name="_Toc296602485"/>
      <w:bookmarkStart w:id="77" w:name="_Toc246996240"/>
      <w:bookmarkStart w:id="78" w:name="_Toc152045597"/>
      <w:bookmarkStart w:id="79" w:name="_Toc179632615"/>
      <w:r>
        <w:rPr>
          <w:rFonts w:hint="eastAsia" w:asciiTheme="minorEastAsia" w:hAnsiTheme="minorEastAsia" w:cstheme="minorEastAsia"/>
          <w:b/>
          <w:bCs/>
          <w:kern w:val="0"/>
          <w:sz w:val="28"/>
          <w:szCs w:val="28"/>
        </w:rPr>
        <w:t>3.4 评标结果</w:t>
      </w:r>
      <w:bookmarkEnd w:id="72"/>
      <w:bookmarkEnd w:id="73"/>
      <w:bookmarkEnd w:id="74"/>
      <w:bookmarkEnd w:id="75"/>
      <w:bookmarkEnd w:id="76"/>
      <w:bookmarkEnd w:id="77"/>
      <w:bookmarkEnd w:id="78"/>
      <w:bookmarkEnd w:id="79"/>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3.4.1 除第二章“投标人须知”前附表授权直接确定中标人外，评标委员会按照得分由高到低的顺序推荐中标候选人，并标明排序。</w:t>
      </w:r>
    </w:p>
    <w:p>
      <w:pPr>
        <w:wordWrap w:val="0"/>
        <w:spacing w:line="420" w:lineRule="exact"/>
        <w:ind w:firstLine="560" w:firstLineChars="200"/>
        <w:rPr>
          <w:rFonts w:asciiTheme="minorEastAsia" w:hAnsiTheme="minorEastAsia" w:cstheme="minorEastAsia"/>
          <w:kern w:val="0"/>
          <w:sz w:val="28"/>
          <w:szCs w:val="28"/>
        </w:rPr>
      </w:pPr>
      <w:r>
        <w:rPr>
          <w:rFonts w:hint="eastAsia" w:asciiTheme="minorEastAsia" w:hAnsiTheme="minorEastAsia" w:cstheme="minorEastAsia"/>
          <w:kern w:val="0"/>
          <w:sz w:val="28"/>
          <w:szCs w:val="28"/>
        </w:rPr>
        <w:t>3.4.2 评标委员会完成评标后，应当向招标人提交书面评标报告和中标候选人名单。</w:t>
      </w:r>
    </w:p>
    <w:p>
      <w:pPr>
        <w:wordWrap w:val="0"/>
        <w:spacing w:line="400" w:lineRule="exact"/>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第四章 </w:t>
      </w:r>
      <w:r>
        <w:rPr>
          <w:rFonts w:hint="eastAsia" w:asciiTheme="majorEastAsia" w:hAnsiTheme="majorEastAsia" w:eastAsiaTheme="majorEastAsia" w:cstheme="majorEastAsia"/>
          <w:b/>
          <w:bCs/>
          <w:sz w:val="32"/>
          <w:szCs w:val="32"/>
          <w:lang w:val="en-US" w:eastAsia="zh-CN"/>
        </w:rPr>
        <w:t>采购清单及产品参数</w:t>
      </w:r>
    </w:p>
    <w:p>
      <w:pPr>
        <w:pStyle w:val="5"/>
        <w:rPr>
          <w:rFonts w:hint="default"/>
          <w:b/>
          <w:bCs/>
          <w:lang w:val="en-US" w:eastAsia="zh-CN"/>
        </w:rPr>
      </w:pPr>
      <w:r>
        <w:rPr>
          <w:rFonts w:hint="eastAsia" w:ascii="仿宋" w:hAnsi="仿宋" w:eastAsia="仿宋" w:cs="仿宋"/>
          <w:b/>
          <w:bCs/>
          <w:sz w:val="32"/>
          <w:szCs w:val="32"/>
          <w:lang w:val="en-US" w:eastAsia="zh-CN"/>
        </w:rPr>
        <w:t>采购清单：</w:t>
      </w: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
        <w:gridCol w:w="1437"/>
        <w:gridCol w:w="1900"/>
        <w:gridCol w:w="1075"/>
        <w:gridCol w:w="1113"/>
        <w:gridCol w:w="2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临漳公园公交首末站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976" w:type="dxa"/>
            <w:vAlign w:val="top"/>
          </w:tcPr>
          <w:p>
            <w:pPr>
              <w:jc w:val="both"/>
              <w:rPr>
                <w:rFonts w:hint="default"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序号</w:t>
            </w:r>
          </w:p>
        </w:tc>
        <w:tc>
          <w:tcPr>
            <w:tcW w:w="1437"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名称</w:t>
            </w:r>
          </w:p>
        </w:tc>
        <w:tc>
          <w:tcPr>
            <w:tcW w:w="1900"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规格</w:t>
            </w:r>
          </w:p>
        </w:tc>
        <w:tc>
          <w:tcPr>
            <w:tcW w:w="1075" w:type="dxa"/>
            <w:vAlign w:val="top"/>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单位</w:t>
            </w:r>
          </w:p>
        </w:tc>
        <w:tc>
          <w:tcPr>
            <w:tcW w:w="1113"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数量</w:t>
            </w:r>
          </w:p>
        </w:tc>
        <w:tc>
          <w:tcPr>
            <w:tcW w:w="2021"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7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1437" w:type="dxa"/>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eastAsia="zh-CN"/>
              </w:rPr>
              <w:t>分体式直流充电桩</w:t>
            </w:r>
          </w:p>
        </w:tc>
        <w:tc>
          <w:tcPr>
            <w:tcW w:w="1900" w:type="dxa"/>
            <w:shd w:val="clear" w:color="auto" w:fill="auto"/>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eastAsia="zh-CN"/>
              </w:rPr>
              <w:t>360KW一拖六</w:t>
            </w:r>
          </w:p>
        </w:tc>
        <w:tc>
          <w:tcPr>
            <w:tcW w:w="1075" w:type="dxa"/>
            <w:shd w:val="clear" w:color="auto" w:fill="auto"/>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套</w:t>
            </w:r>
          </w:p>
        </w:tc>
        <w:tc>
          <w:tcPr>
            <w:tcW w:w="1113" w:type="dxa"/>
            <w:shd w:val="clear" w:color="auto" w:fill="auto"/>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w:t>
            </w:r>
          </w:p>
        </w:tc>
        <w:tc>
          <w:tcPr>
            <w:tcW w:w="2021" w:type="dxa"/>
          </w:tcPr>
          <w:p>
            <w:pPr>
              <w:jc w:val="center"/>
              <w:rPr>
                <w:rFonts w:hint="default" w:ascii="仿宋" w:hAnsi="仿宋" w:eastAsia="仿宋" w:cs="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w:t>
            </w:r>
          </w:p>
        </w:tc>
        <w:tc>
          <w:tcPr>
            <w:tcW w:w="1437" w:type="dxa"/>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eastAsia="zh-CN"/>
              </w:rPr>
              <w:t>分体式直流充电桩</w:t>
            </w:r>
          </w:p>
        </w:tc>
        <w:tc>
          <w:tcPr>
            <w:tcW w:w="1900" w:type="dxa"/>
            <w:shd w:val="clear" w:color="auto" w:fill="auto"/>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eastAsia="zh-CN"/>
              </w:rPr>
              <w:t>360KW一拖五</w:t>
            </w:r>
          </w:p>
        </w:tc>
        <w:tc>
          <w:tcPr>
            <w:tcW w:w="1075" w:type="dxa"/>
            <w:shd w:val="clear" w:color="auto" w:fill="auto"/>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套</w:t>
            </w:r>
          </w:p>
        </w:tc>
        <w:tc>
          <w:tcPr>
            <w:tcW w:w="1113" w:type="dxa"/>
            <w:shd w:val="clear" w:color="auto" w:fill="auto"/>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2021" w:type="dxa"/>
          </w:tcPr>
          <w:p>
            <w:pPr>
              <w:jc w:val="center"/>
              <w:rPr>
                <w:rFonts w:hint="default" w:ascii="仿宋" w:hAnsi="仿宋" w:eastAsia="仿宋" w:cs="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3</w:t>
            </w:r>
          </w:p>
        </w:tc>
        <w:tc>
          <w:tcPr>
            <w:tcW w:w="1437" w:type="dxa"/>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eastAsia="zh-CN"/>
              </w:rPr>
              <w:t>分体式直流充电桩</w:t>
            </w:r>
          </w:p>
        </w:tc>
        <w:tc>
          <w:tcPr>
            <w:tcW w:w="1900" w:type="dxa"/>
            <w:shd w:val="clear" w:color="auto" w:fill="auto"/>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eastAsia="zh-CN"/>
              </w:rPr>
              <w:t>360KW一拖七</w:t>
            </w:r>
          </w:p>
        </w:tc>
        <w:tc>
          <w:tcPr>
            <w:tcW w:w="1075" w:type="dxa"/>
            <w:shd w:val="clear" w:color="auto" w:fill="auto"/>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套</w:t>
            </w:r>
          </w:p>
        </w:tc>
        <w:tc>
          <w:tcPr>
            <w:tcW w:w="1113" w:type="dxa"/>
            <w:shd w:val="clear" w:color="auto" w:fill="auto"/>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2021" w:type="dxa"/>
          </w:tcPr>
          <w:p>
            <w:pPr>
              <w:jc w:val="center"/>
              <w:rPr>
                <w:rFonts w:hint="default" w:ascii="仿宋" w:hAnsi="仿宋" w:eastAsia="仿宋" w:cs="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4</w:t>
            </w:r>
          </w:p>
        </w:tc>
        <w:tc>
          <w:tcPr>
            <w:tcW w:w="1437"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24"/>
                <w:szCs w:val="24"/>
              </w:rPr>
              <w:t>电缆沟铺设</w:t>
            </w:r>
            <w:r>
              <w:rPr>
                <w:rFonts w:hint="eastAsia" w:ascii="仿宋" w:hAnsi="仿宋" w:eastAsia="仿宋" w:cs="仿宋"/>
                <w:sz w:val="24"/>
                <w:szCs w:val="24"/>
                <w:lang w:eastAsia="zh-CN"/>
              </w:rPr>
              <w:t>预埋</w:t>
            </w:r>
          </w:p>
        </w:tc>
        <w:tc>
          <w:tcPr>
            <w:tcW w:w="1900" w:type="dxa"/>
          </w:tcPr>
          <w:p>
            <w:pPr>
              <w:jc w:val="center"/>
              <w:rPr>
                <w:rFonts w:hint="default" w:ascii="仿宋" w:hAnsi="仿宋" w:eastAsia="仿宋" w:cs="仿宋"/>
                <w:sz w:val="32"/>
                <w:szCs w:val="32"/>
                <w:vertAlign w:val="baseline"/>
                <w:lang w:val="en-US" w:eastAsia="zh-CN"/>
              </w:rPr>
            </w:pPr>
          </w:p>
        </w:tc>
        <w:tc>
          <w:tcPr>
            <w:tcW w:w="1075" w:type="dxa"/>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项</w:t>
            </w:r>
          </w:p>
        </w:tc>
        <w:tc>
          <w:tcPr>
            <w:tcW w:w="1113"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2021"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24"/>
                <w:szCs w:val="24"/>
                <w:lang w:val="en-US" w:eastAsia="zh-CN"/>
              </w:rPr>
              <w:t>含预埋设计施工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5</w:t>
            </w:r>
          </w:p>
        </w:tc>
        <w:tc>
          <w:tcPr>
            <w:tcW w:w="1437"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24"/>
                <w:szCs w:val="24"/>
                <w:lang w:eastAsia="zh-CN"/>
              </w:rPr>
              <w:t>变压器到充电机</w:t>
            </w:r>
            <w:r>
              <w:rPr>
                <w:rFonts w:hint="eastAsia" w:ascii="仿宋" w:hAnsi="仿宋" w:eastAsia="仿宋" w:cs="仿宋"/>
                <w:sz w:val="24"/>
                <w:szCs w:val="24"/>
              </w:rPr>
              <w:t>电缆</w:t>
            </w:r>
          </w:p>
        </w:tc>
        <w:tc>
          <w:tcPr>
            <w:tcW w:w="1900"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24"/>
                <w:szCs w:val="24"/>
              </w:rPr>
              <w:t>YJV3*</w:t>
            </w:r>
            <w:r>
              <w:rPr>
                <w:rFonts w:hint="eastAsia" w:ascii="仿宋" w:hAnsi="仿宋" w:eastAsia="仿宋" w:cs="仿宋"/>
                <w:sz w:val="24"/>
                <w:szCs w:val="24"/>
                <w:lang w:val="en-US" w:eastAsia="zh-CN"/>
              </w:rPr>
              <w:t>150</w:t>
            </w:r>
            <w:r>
              <w:rPr>
                <w:rFonts w:hint="eastAsia" w:ascii="仿宋" w:hAnsi="仿宋" w:eastAsia="仿宋" w:cs="仿宋"/>
                <w:sz w:val="24"/>
                <w:szCs w:val="24"/>
              </w:rPr>
              <w:t>+2*</w:t>
            </w:r>
            <w:r>
              <w:rPr>
                <w:rFonts w:hint="default" w:ascii="仿宋" w:hAnsi="仿宋" w:eastAsia="仿宋" w:cs="仿宋"/>
                <w:sz w:val="24"/>
                <w:szCs w:val="24"/>
                <w:lang w:eastAsia="zh-CN"/>
              </w:rPr>
              <w:t>95</w:t>
            </w:r>
          </w:p>
        </w:tc>
        <w:tc>
          <w:tcPr>
            <w:tcW w:w="1075" w:type="dxa"/>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项</w:t>
            </w:r>
          </w:p>
        </w:tc>
        <w:tc>
          <w:tcPr>
            <w:tcW w:w="1113"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2021" w:type="dxa"/>
          </w:tcPr>
          <w:p>
            <w:pPr>
              <w:jc w:val="center"/>
              <w:rPr>
                <w:rFonts w:hint="eastAsia" w:ascii="仿宋" w:hAnsi="仿宋" w:eastAsia="仿宋" w:cs="仿宋"/>
                <w:sz w:val="32"/>
                <w:szCs w:val="32"/>
                <w:vertAlign w:val="baseline"/>
                <w:lang w:val="en-US" w:eastAsia="zh-CN"/>
              </w:rPr>
            </w:pPr>
            <w:r>
              <w:rPr>
                <w:rFonts w:hint="default" w:ascii="仿宋" w:hAnsi="仿宋" w:eastAsia="仿宋" w:cs="仿宋"/>
                <w:sz w:val="24"/>
                <w:szCs w:val="24"/>
                <w:lang w:eastAsia="zh-CN"/>
              </w:rPr>
              <w:t>符合国标要求，</w:t>
            </w:r>
            <w:r>
              <w:rPr>
                <w:rFonts w:hint="eastAsia" w:ascii="仿宋" w:hAnsi="仿宋" w:eastAsia="仿宋" w:cs="仿宋"/>
                <w:sz w:val="24"/>
                <w:szCs w:val="24"/>
                <w:lang w:val="en-US" w:eastAsia="zh-CN"/>
              </w:rPr>
              <w:t>根据现场情况以实际工程量报价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6</w:t>
            </w:r>
          </w:p>
        </w:tc>
        <w:tc>
          <w:tcPr>
            <w:tcW w:w="1437"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24"/>
                <w:szCs w:val="24"/>
                <w:lang w:eastAsia="zh-CN"/>
              </w:rPr>
              <w:t>充电机到充电枪</w:t>
            </w:r>
            <w:r>
              <w:rPr>
                <w:rFonts w:hint="eastAsia" w:ascii="仿宋" w:hAnsi="仿宋" w:eastAsia="仿宋" w:cs="仿宋"/>
                <w:sz w:val="24"/>
                <w:szCs w:val="24"/>
              </w:rPr>
              <w:t>电缆</w:t>
            </w:r>
          </w:p>
        </w:tc>
        <w:tc>
          <w:tcPr>
            <w:tcW w:w="1900"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24"/>
                <w:szCs w:val="24"/>
              </w:rPr>
              <w:t>YJV2*</w:t>
            </w:r>
            <w:r>
              <w:rPr>
                <w:rFonts w:hint="default" w:ascii="仿宋" w:hAnsi="仿宋" w:eastAsia="仿宋" w:cs="仿宋"/>
                <w:sz w:val="24"/>
                <w:szCs w:val="24"/>
              </w:rPr>
              <w:t>95</w:t>
            </w:r>
            <w:r>
              <w:rPr>
                <w:rFonts w:hint="eastAsia" w:ascii="仿宋" w:hAnsi="仿宋" w:eastAsia="仿宋" w:cs="仿宋"/>
                <w:sz w:val="24"/>
                <w:szCs w:val="24"/>
              </w:rPr>
              <w:t>+</w:t>
            </w:r>
            <w:r>
              <w:rPr>
                <w:rFonts w:hint="eastAsia" w:ascii="仿宋" w:hAnsi="仿宋" w:eastAsia="仿宋" w:cs="仿宋"/>
                <w:sz w:val="24"/>
                <w:szCs w:val="24"/>
                <w:lang w:val="en-US" w:eastAsia="zh-CN"/>
              </w:rPr>
              <w:t>50</w:t>
            </w:r>
          </w:p>
        </w:tc>
        <w:tc>
          <w:tcPr>
            <w:tcW w:w="1075"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项</w:t>
            </w:r>
          </w:p>
        </w:tc>
        <w:tc>
          <w:tcPr>
            <w:tcW w:w="1113"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2021" w:type="dxa"/>
          </w:tcPr>
          <w:p>
            <w:pPr>
              <w:jc w:val="center"/>
              <w:rPr>
                <w:rFonts w:hint="default" w:ascii="仿宋" w:hAnsi="仿宋" w:eastAsia="仿宋" w:cs="仿宋"/>
                <w:sz w:val="32"/>
                <w:szCs w:val="32"/>
                <w:vertAlign w:val="baseline"/>
                <w:lang w:val="en-US" w:eastAsia="zh-CN"/>
              </w:rPr>
            </w:pPr>
            <w:r>
              <w:rPr>
                <w:rFonts w:hint="default" w:ascii="仿宋" w:hAnsi="仿宋" w:eastAsia="仿宋" w:cs="仿宋"/>
                <w:sz w:val="24"/>
                <w:szCs w:val="24"/>
                <w:lang w:eastAsia="zh-CN"/>
              </w:rPr>
              <w:t>符合国标要求，</w:t>
            </w:r>
            <w:r>
              <w:rPr>
                <w:rFonts w:hint="eastAsia" w:ascii="仿宋" w:hAnsi="仿宋" w:eastAsia="仿宋" w:cs="仿宋"/>
                <w:sz w:val="24"/>
                <w:szCs w:val="24"/>
                <w:lang w:val="en-US" w:eastAsia="zh-CN"/>
              </w:rPr>
              <w:t>根据现场情况以实际工程量报价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7</w:t>
            </w:r>
          </w:p>
        </w:tc>
        <w:tc>
          <w:tcPr>
            <w:tcW w:w="1437"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24"/>
                <w:szCs w:val="24"/>
                <w:lang w:val="en-US" w:eastAsia="zh-CN"/>
              </w:rPr>
              <w:t>低压施工</w:t>
            </w:r>
          </w:p>
        </w:tc>
        <w:tc>
          <w:tcPr>
            <w:tcW w:w="1900" w:type="dxa"/>
          </w:tcPr>
          <w:p>
            <w:pPr>
              <w:jc w:val="center"/>
              <w:rPr>
                <w:rFonts w:hint="default" w:ascii="仿宋" w:hAnsi="仿宋" w:eastAsia="仿宋" w:cs="仿宋"/>
                <w:sz w:val="32"/>
                <w:szCs w:val="32"/>
                <w:vertAlign w:val="baseline"/>
                <w:lang w:val="en-US" w:eastAsia="zh-CN"/>
              </w:rPr>
            </w:pPr>
            <w:r>
              <w:rPr>
                <w:rFonts w:hint="default" w:ascii="仿宋" w:hAnsi="仿宋" w:eastAsia="仿宋" w:cs="仿宋"/>
                <w:sz w:val="24"/>
                <w:szCs w:val="24"/>
                <w:lang w:val="en-US" w:eastAsia="zh-CN"/>
              </w:rPr>
              <w:t>电缆放线、防火泥封堵等</w:t>
            </w:r>
          </w:p>
        </w:tc>
        <w:tc>
          <w:tcPr>
            <w:tcW w:w="1075"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项</w:t>
            </w:r>
          </w:p>
        </w:tc>
        <w:tc>
          <w:tcPr>
            <w:tcW w:w="1113" w:type="dxa"/>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2021" w:type="dxa"/>
          </w:tcPr>
          <w:p>
            <w:pPr>
              <w:jc w:val="center"/>
              <w:rPr>
                <w:rFonts w:hint="default" w:ascii="仿宋" w:hAnsi="仿宋" w:eastAsia="仿宋" w:cs="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8</w:t>
            </w:r>
          </w:p>
        </w:tc>
        <w:tc>
          <w:tcPr>
            <w:tcW w:w="1437"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24"/>
                <w:szCs w:val="24"/>
                <w:lang w:val="en-US" w:eastAsia="zh-CN"/>
              </w:rPr>
              <w:t>充电桩基础</w:t>
            </w:r>
          </w:p>
        </w:tc>
        <w:tc>
          <w:tcPr>
            <w:tcW w:w="1900" w:type="dxa"/>
          </w:tcPr>
          <w:p>
            <w:pPr>
              <w:jc w:val="center"/>
              <w:rPr>
                <w:rFonts w:hint="default" w:ascii="仿宋" w:hAnsi="仿宋" w:eastAsia="仿宋" w:cs="仿宋"/>
                <w:sz w:val="32"/>
                <w:szCs w:val="32"/>
                <w:vertAlign w:val="baseline"/>
                <w:lang w:val="en-US" w:eastAsia="zh-CN"/>
              </w:rPr>
            </w:pPr>
          </w:p>
        </w:tc>
        <w:tc>
          <w:tcPr>
            <w:tcW w:w="1075"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项</w:t>
            </w:r>
          </w:p>
        </w:tc>
        <w:tc>
          <w:tcPr>
            <w:tcW w:w="1113"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w:t>
            </w:r>
          </w:p>
        </w:tc>
        <w:tc>
          <w:tcPr>
            <w:tcW w:w="2021" w:type="dxa"/>
          </w:tcPr>
          <w:p>
            <w:pPr>
              <w:jc w:val="center"/>
              <w:rPr>
                <w:rFonts w:hint="default" w:ascii="仿宋" w:hAnsi="仿宋" w:eastAsia="仿宋" w:cs="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9</w:t>
            </w:r>
          </w:p>
        </w:tc>
        <w:tc>
          <w:tcPr>
            <w:tcW w:w="1437" w:type="dxa"/>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充电桩安装接线</w:t>
            </w:r>
          </w:p>
        </w:tc>
        <w:tc>
          <w:tcPr>
            <w:tcW w:w="1900" w:type="dxa"/>
          </w:tcPr>
          <w:p>
            <w:pPr>
              <w:jc w:val="center"/>
              <w:rPr>
                <w:rFonts w:hint="default" w:ascii="仿宋" w:hAnsi="仿宋" w:eastAsia="仿宋" w:cs="仿宋"/>
                <w:sz w:val="32"/>
                <w:szCs w:val="32"/>
                <w:vertAlign w:val="baseline"/>
                <w:lang w:val="en-US" w:eastAsia="zh-CN"/>
              </w:rPr>
            </w:pPr>
          </w:p>
        </w:tc>
        <w:tc>
          <w:tcPr>
            <w:tcW w:w="1075" w:type="dxa"/>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项</w:t>
            </w:r>
          </w:p>
        </w:tc>
        <w:tc>
          <w:tcPr>
            <w:tcW w:w="1113" w:type="dxa"/>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2021" w:type="dxa"/>
          </w:tcPr>
          <w:p>
            <w:pPr>
              <w:jc w:val="center"/>
              <w:rPr>
                <w:rFonts w:hint="default" w:ascii="仿宋" w:hAnsi="仿宋" w:eastAsia="仿宋" w:cs="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10</w:t>
            </w:r>
          </w:p>
        </w:tc>
        <w:tc>
          <w:tcPr>
            <w:tcW w:w="1437" w:type="dxa"/>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eastAsia="zh-CN"/>
              </w:rPr>
              <w:t>信号线缆</w:t>
            </w:r>
          </w:p>
        </w:tc>
        <w:tc>
          <w:tcPr>
            <w:tcW w:w="1900" w:type="dxa"/>
          </w:tcPr>
          <w:p>
            <w:pPr>
              <w:jc w:val="center"/>
              <w:rPr>
                <w:rFonts w:hint="default" w:ascii="仿宋" w:hAnsi="仿宋" w:eastAsia="仿宋" w:cs="仿宋"/>
                <w:sz w:val="32"/>
                <w:szCs w:val="32"/>
                <w:vertAlign w:val="baseline"/>
                <w:lang w:val="en-US" w:eastAsia="zh-CN"/>
              </w:rPr>
            </w:pPr>
          </w:p>
        </w:tc>
        <w:tc>
          <w:tcPr>
            <w:tcW w:w="1075"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项</w:t>
            </w:r>
          </w:p>
        </w:tc>
        <w:tc>
          <w:tcPr>
            <w:tcW w:w="1113"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w:t>
            </w:r>
          </w:p>
        </w:tc>
        <w:tc>
          <w:tcPr>
            <w:tcW w:w="2021" w:type="dxa"/>
          </w:tcPr>
          <w:p>
            <w:pPr>
              <w:jc w:val="center"/>
              <w:rPr>
                <w:rFonts w:hint="default" w:ascii="仿宋" w:hAnsi="仿宋" w:eastAsia="仿宋" w:cs="仿宋"/>
                <w:sz w:val="32"/>
                <w:szCs w:val="32"/>
                <w:vertAlign w:val="baseline"/>
                <w:lang w:val="en-US" w:eastAsia="zh-CN"/>
              </w:rPr>
            </w:pPr>
            <w:r>
              <w:rPr>
                <w:rFonts w:hint="default" w:ascii="仿宋" w:hAnsi="仿宋" w:eastAsia="仿宋" w:cs="仿宋"/>
                <w:sz w:val="24"/>
                <w:szCs w:val="24"/>
                <w:lang w:eastAsia="zh-CN"/>
              </w:rPr>
              <w:t>符合国标要求，</w:t>
            </w:r>
            <w:r>
              <w:rPr>
                <w:rFonts w:hint="eastAsia" w:ascii="仿宋" w:hAnsi="仿宋" w:eastAsia="仿宋" w:cs="仿宋"/>
                <w:sz w:val="24"/>
                <w:szCs w:val="24"/>
                <w:lang w:val="en-US" w:eastAsia="zh-CN"/>
              </w:rPr>
              <w:t>根据现场情况以实际工程量报价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11</w:t>
            </w:r>
          </w:p>
        </w:tc>
        <w:tc>
          <w:tcPr>
            <w:tcW w:w="1437" w:type="dxa"/>
          </w:tcPr>
          <w:p>
            <w:pPr>
              <w:jc w:val="center"/>
              <w:rPr>
                <w:rFonts w:hint="eastAsia" w:ascii="仿宋" w:hAnsi="仿宋" w:eastAsia="仿宋" w:cs="仿宋"/>
                <w:sz w:val="24"/>
                <w:szCs w:val="24"/>
                <w:lang w:eastAsia="zh-CN"/>
              </w:rPr>
            </w:pPr>
            <w:r>
              <w:rPr>
                <w:rFonts w:hint="eastAsia" w:ascii="仿宋" w:hAnsi="仿宋" w:eastAsia="仿宋" w:cs="仿宋"/>
                <w:sz w:val="24"/>
                <w:szCs w:val="24"/>
              </w:rPr>
              <w:t>视屏监控</w:t>
            </w:r>
          </w:p>
        </w:tc>
        <w:tc>
          <w:tcPr>
            <w:tcW w:w="1900"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24"/>
                <w:szCs w:val="24"/>
                <w:lang w:eastAsia="zh-CN"/>
              </w:rPr>
              <w:t>充电区域照明无死角</w:t>
            </w:r>
          </w:p>
        </w:tc>
        <w:tc>
          <w:tcPr>
            <w:tcW w:w="1075" w:type="dxa"/>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项</w:t>
            </w:r>
          </w:p>
        </w:tc>
        <w:tc>
          <w:tcPr>
            <w:tcW w:w="1113" w:type="dxa"/>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2021" w:type="dxa"/>
          </w:tcPr>
          <w:p>
            <w:pPr>
              <w:jc w:val="center"/>
              <w:rPr>
                <w:rFonts w:hint="default" w:ascii="仿宋" w:hAnsi="仿宋" w:eastAsia="仿宋" w:cs="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12</w:t>
            </w:r>
          </w:p>
        </w:tc>
        <w:tc>
          <w:tcPr>
            <w:tcW w:w="1437" w:type="dxa"/>
          </w:tcPr>
          <w:p>
            <w:pPr>
              <w:jc w:val="center"/>
              <w:rPr>
                <w:rFonts w:hint="eastAsia" w:ascii="仿宋" w:hAnsi="仿宋" w:eastAsia="仿宋" w:cs="仿宋"/>
                <w:sz w:val="24"/>
                <w:szCs w:val="24"/>
                <w:lang w:eastAsia="zh-CN"/>
              </w:rPr>
            </w:pPr>
            <w:r>
              <w:rPr>
                <w:rFonts w:hint="eastAsia" w:ascii="仿宋" w:hAnsi="仿宋" w:eastAsia="仿宋" w:cs="仿宋"/>
                <w:sz w:val="24"/>
                <w:szCs w:val="24"/>
              </w:rPr>
              <w:t>灭火器</w:t>
            </w:r>
          </w:p>
        </w:tc>
        <w:tc>
          <w:tcPr>
            <w:tcW w:w="1900"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24"/>
                <w:szCs w:val="24"/>
                <w:lang w:eastAsia="zh-CN"/>
              </w:rPr>
              <w:t>干粉灭火器</w:t>
            </w:r>
          </w:p>
        </w:tc>
        <w:tc>
          <w:tcPr>
            <w:tcW w:w="1075" w:type="dxa"/>
            <w:vAlign w:val="top"/>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个</w:t>
            </w:r>
          </w:p>
        </w:tc>
        <w:tc>
          <w:tcPr>
            <w:tcW w:w="1113" w:type="dxa"/>
            <w:vAlign w:val="top"/>
          </w:tcPr>
          <w:p>
            <w:pPr>
              <w:jc w:val="center"/>
              <w:rPr>
                <w:rFonts w:hint="default" w:ascii="仿宋" w:hAnsi="仿宋" w:eastAsia="仿宋" w:cs="仿宋"/>
                <w:sz w:val="24"/>
                <w:szCs w:val="24"/>
                <w:lang w:val="en-US" w:eastAsia="zh-CN"/>
              </w:rPr>
            </w:pPr>
          </w:p>
        </w:tc>
        <w:tc>
          <w:tcPr>
            <w:tcW w:w="2021"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kern w:val="0"/>
                <w:sz w:val="24"/>
                <w:szCs w:val="24"/>
                <w:lang w:val="en-US" w:eastAsia="zh-CN"/>
              </w:rPr>
              <w:t>E类场所A类火灾规定配备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13</w:t>
            </w:r>
          </w:p>
        </w:tc>
        <w:tc>
          <w:tcPr>
            <w:tcW w:w="1437" w:type="dxa"/>
          </w:tcPr>
          <w:p>
            <w:pPr>
              <w:jc w:val="center"/>
              <w:rPr>
                <w:rFonts w:hint="eastAsia" w:ascii="仿宋" w:hAnsi="仿宋" w:eastAsia="仿宋" w:cs="仿宋"/>
                <w:sz w:val="24"/>
                <w:szCs w:val="24"/>
              </w:rPr>
            </w:pPr>
            <w:r>
              <w:rPr>
                <w:rFonts w:hint="eastAsia" w:ascii="仿宋" w:hAnsi="仿宋" w:eastAsia="仿宋" w:cs="仿宋"/>
                <w:sz w:val="24"/>
                <w:szCs w:val="24"/>
                <w:lang w:eastAsia="zh-CN"/>
              </w:rPr>
              <w:t>标识标牌</w:t>
            </w:r>
          </w:p>
        </w:tc>
        <w:tc>
          <w:tcPr>
            <w:tcW w:w="1900"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24"/>
                <w:szCs w:val="24"/>
                <w:lang w:eastAsia="zh-CN"/>
              </w:rPr>
              <w:t>警示标志、信息标牌</w:t>
            </w:r>
          </w:p>
        </w:tc>
        <w:tc>
          <w:tcPr>
            <w:tcW w:w="1075" w:type="dxa"/>
            <w:vAlign w:val="top"/>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项</w:t>
            </w:r>
          </w:p>
        </w:tc>
        <w:tc>
          <w:tcPr>
            <w:tcW w:w="1113" w:type="dxa"/>
            <w:vAlign w:val="top"/>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2021" w:type="dxa"/>
          </w:tcPr>
          <w:p>
            <w:pPr>
              <w:jc w:val="center"/>
              <w:rPr>
                <w:rFonts w:hint="default" w:ascii="仿宋" w:hAnsi="仿宋" w:eastAsia="仿宋" w:cs="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14</w:t>
            </w:r>
          </w:p>
        </w:tc>
        <w:tc>
          <w:tcPr>
            <w:tcW w:w="1437" w:type="dxa"/>
            <w:vAlign w:val="top"/>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售后服务</w:t>
            </w:r>
          </w:p>
        </w:tc>
        <w:tc>
          <w:tcPr>
            <w:tcW w:w="1900" w:type="dxa"/>
            <w:vAlign w:val="top"/>
          </w:tcPr>
          <w:p>
            <w:pPr>
              <w:jc w:val="center"/>
              <w:rPr>
                <w:rFonts w:hint="default" w:ascii="仿宋" w:hAnsi="仿宋" w:eastAsia="仿宋" w:cs="仿宋"/>
                <w:kern w:val="2"/>
                <w:sz w:val="32"/>
                <w:szCs w:val="32"/>
                <w:vertAlign w:val="baseline"/>
                <w:lang w:val="en-US" w:eastAsia="zh-CN" w:bidi="ar-SA"/>
              </w:rPr>
            </w:pPr>
          </w:p>
        </w:tc>
        <w:tc>
          <w:tcPr>
            <w:tcW w:w="1075"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项</w:t>
            </w:r>
          </w:p>
        </w:tc>
        <w:tc>
          <w:tcPr>
            <w:tcW w:w="1113"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w:t>
            </w:r>
          </w:p>
        </w:tc>
        <w:tc>
          <w:tcPr>
            <w:tcW w:w="2021"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24"/>
                <w:szCs w:val="24"/>
                <w:lang w:val="en-US" w:eastAsia="zh-CN"/>
              </w:rPr>
              <w:t>免费质保3年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dxa"/>
            <w:vAlign w:val="top"/>
          </w:tcPr>
          <w:p>
            <w:pPr>
              <w:jc w:val="center"/>
              <w:rPr>
                <w:rFonts w:hint="eastAsia"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15</w:t>
            </w:r>
          </w:p>
        </w:tc>
        <w:tc>
          <w:tcPr>
            <w:tcW w:w="1437" w:type="dxa"/>
            <w:vAlign w:val="top"/>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其他</w:t>
            </w:r>
          </w:p>
        </w:tc>
        <w:tc>
          <w:tcPr>
            <w:tcW w:w="1900" w:type="dxa"/>
            <w:vAlign w:val="top"/>
          </w:tcPr>
          <w:p>
            <w:pPr>
              <w:jc w:val="center"/>
              <w:rPr>
                <w:rFonts w:hint="eastAsia" w:ascii="仿宋" w:hAnsi="仿宋" w:eastAsia="仿宋" w:cs="仿宋"/>
                <w:kern w:val="2"/>
                <w:sz w:val="32"/>
                <w:szCs w:val="32"/>
                <w:vertAlign w:val="baseline"/>
                <w:lang w:val="en-US" w:eastAsia="zh-CN" w:bidi="ar-SA"/>
              </w:rPr>
            </w:pPr>
            <w:r>
              <w:rPr>
                <w:rFonts w:hint="eastAsia" w:ascii="仿宋" w:hAnsi="仿宋" w:eastAsia="仿宋" w:cs="仿宋"/>
                <w:sz w:val="24"/>
                <w:szCs w:val="24"/>
                <w:lang w:eastAsia="zh-CN"/>
              </w:rPr>
              <w:t>其他辅材及措施费</w:t>
            </w:r>
          </w:p>
        </w:tc>
        <w:tc>
          <w:tcPr>
            <w:tcW w:w="1075" w:type="dxa"/>
            <w:vAlign w:val="top"/>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项</w:t>
            </w:r>
          </w:p>
        </w:tc>
        <w:tc>
          <w:tcPr>
            <w:tcW w:w="1113" w:type="dxa"/>
            <w:vAlign w:val="top"/>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w:t>
            </w:r>
          </w:p>
        </w:tc>
        <w:tc>
          <w:tcPr>
            <w:tcW w:w="2021" w:type="dxa"/>
            <w:vAlign w:val="top"/>
          </w:tcPr>
          <w:p>
            <w:pPr>
              <w:jc w:val="center"/>
              <w:rPr>
                <w:rFonts w:hint="default" w:ascii="仿宋" w:hAnsi="仿宋" w:eastAsia="仿宋" w:cs="仿宋"/>
                <w:kern w:val="2"/>
                <w:sz w:val="32"/>
                <w:szCs w:val="32"/>
                <w:vertAlign w:val="baseline"/>
                <w:lang w:val="en-US" w:eastAsia="zh-CN" w:bidi="ar-SA"/>
              </w:rPr>
            </w:pPr>
          </w:p>
        </w:tc>
      </w:tr>
    </w:tbl>
    <w:p>
      <w:pPr>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备注：临漳公园首末站充电桩车位共30个，其中西侧19个，东侧11个。</w:t>
      </w: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1545"/>
        <w:gridCol w:w="2655"/>
        <w:gridCol w:w="990"/>
        <w:gridCol w:w="795"/>
        <w:gridCol w:w="1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城北驾校公交首末站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vAlign w:val="top"/>
          </w:tcPr>
          <w:p>
            <w:pPr>
              <w:jc w:val="both"/>
              <w:rPr>
                <w:rFonts w:hint="default"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序号</w:t>
            </w:r>
          </w:p>
        </w:tc>
        <w:tc>
          <w:tcPr>
            <w:tcW w:w="1545"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名称</w:t>
            </w:r>
          </w:p>
        </w:tc>
        <w:tc>
          <w:tcPr>
            <w:tcW w:w="2655"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规格</w:t>
            </w:r>
          </w:p>
        </w:tc>
        <w:tc>
          <w:tcPr>
            <w:tcW w:w="990" w:type="dxa"/>
            <w:vAlign w:val="top"/>
          </w:tcPr>
          <w:p>
            <w:p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单位</w:t>
            </w:r>
          </w:p>
        </w:tc>
        <w:tc>
          <w:tcPr>
            <w:tcW w:w="795"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数量</w:t>
            </w:r>
          </w:p>
        </w:tc>
        <w:tc>
          <w:tcPr>
            <w:tcW w:w="1996"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1545" w:type="dxa"/>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eastAsia="zh-CN"/>
              </w:rPr>
              <w:t>分体式直流充电桩</w:t>
            </w:r>
          </w:p>
        </w:tc>
        <w:tc>
          <w:tcPr>
            <w:tcW w:w="2655" w:type="dxa"/>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eastAsia="zh-CN"/>
              </w:rPr>
              <w:t>360KW一拖六</w:t>
            </w:r>
          </w:p>
        </w:tc>
        <w:tc>
          <w:tcPr>
            <w:tcW w:w="990" w:type="dxa"/>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套</w:t>
            </w:r>
          </w:p>
        </w:tc>
        <w:tc>
          <w:tcPr>
            <w:tcW w:w="795" w:type="dxa"/>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w:t>
            </w:r>
          </w:p>
        </w:tc>
        <w:tc>
          <w:tcPr>
            <w:tcW w:w="1996" w:type="dxa"/>
          </w:tcPr>
          <w:p>
            <w:pPr>
              <w:jc w:val="center"/>
              <w:rPr>
                <w:rFonts w:hint="default" w:ascii="仿宋" w:hAnsi="仿宋" w:eastAsia="仿宋" w:cs="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2</w:t>
            </w:r>
          </w:p>
        </w:tc>
        <w:tc>
          <w:tcPr>
            <w:tcW w:w="1545" w:type="dxa"/>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eastAsia="zh-CN"/>
              </w:rPr>
              <w:t>分体式直流充电桩</w:t>
            </w:r>
          </w:p>
        </w:tc>
        <w:tc>
          <w:tcPr>
            <w:tcW w:w="2655" w:type="dxa"/>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eastAsia="zh-CN"/>
              </w:rPr>
              <w:t>360KW一拖七</w:t>
            </w:r>
          </w:p>
        </w:tc>
        <w:tc>
          <w:tcPr>
            <w:tcW w:w="990" w:type="dxa"/>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套</w:t>
            </w:r>
          </w:p>
        </w:tc>
        <w:tc>
          <w:tcPr>
            <w:tcW w:w="795" w:type="dxa"/>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w:t>
            </w:r>
          </w:p>
        </w:tc>
        <w:tc>
          <w:tcPr>
            <w:tcW w:w="1996" w:type="dxa"/>
          </w:tcPr>
          <w:p>
            <w:pPr>
              <w:jc w:val="center"/>
              <w:rPr>
                <w:rFonts w:hint="default" w:ascii="仿宋" w:hAnsi="仿宋" w:eastAsia="仿宋" w:cs="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3</w:t>
            </w:r>
          </w:p>
        </w:tc>
        <w:tc>
          <w:tcPr>
            <w:tcW w:w="1545"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24"/>
                <w:szCs w:val="24"/>
              </w:rPr>
              <w:t>电缆沟铺设</w:t>
            </w:r>
            <w:r>
              <w:rPr>
                <w:rFonts w:hint="eastAsia" w:ascii="仿宋" w:hAnsi="仿宋" w:eastAsia="仿宋" w:cs="仿宋"/>
                <w:sz w:val="24"/>
                <w:szCs w:val="24"/>
                <w:lang w:eastAsia="zh-CN"/>
              </w:rPr>
              <w:t>预埋</w:t>
            </w:r>
          </w:p>
        </w:tc>
        <w:tc>
          <w:tcPr>
            <w:tcW w:w="2655" w:type="dxa"/>
            <w:vAlign w:val="top"/>
          </w:tcPr>
          <w:p>
            <w:pPr>
              <w:jc w:val="center"/>
              <w:rPr>
                <w:rFonts w:hint="default" w:ascii="仿宋" w:hAnsi="仿宋" w:eastAsia="仿宋" w:cs="仿宋"/>
                <w:kern w:val="2"/>
                <w:sz w:val="32"/>
                <w:szCs w:val="32"/>
                <w:vertAlign w:val="baseline"/>
                <w:lang w:val="en-US" w:eastAsia="zh-CN" w:bidi="ar-SA"/>
              </w:rPr>
            </w:pPr>
          </w:p>
        </w:tc>
        <w:tc>
          <w:tcPr>
            <w:tcW w:w="990" w:type="dxa"/>
            <w:vAlign w:val="top"/>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项</w:t>
            </w:r>
          </w:p>
        </w:tc>
        <w:tc>
          <w:tcPr>
            <w:tcW w:w="795"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kern w:val="2"/>
                <w:sz w:val="32"/>
                <w:szCs w:val="32"/>
                <w:vertAlign w:val="baseline"/>
                <w:lang w:val="en-US" w:eastAsia="zh-CN" w:bidi="ar-SA"/>
              </w:rPr>
              <w:t>1</w:t>
            </w:r>
          </w:p>
        </w:tc>
        <w:tc>
          <w:tcPr>
            <w:tcW w:w="1996"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24"/>
                <w:szCs w:val="24"/>
                <w:lang w:val="en-US" w:eastAsia="zh-CN"/>
              </w:rPr>
              <w:t>含预埋设计施工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4</w:t>
            </w:r>
          </w:p>
        </w:tc>
        <w:tc>
          <w:tcPr>
            <w:tcW w:w="1545"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24"/>
                <w:szCs w:val="24"/>
                <w:lang w:eastAsia="zh-CN"/>
              </w:rPr>
              <w:t>变压器到充电机</w:t>
            </w:r>
            <w:r>
              <w:rPr>
                <w:rFonts w:hint="eastAsia" w:ascii="仿宋" w:hAnsi="仿宋" w:eastAsia="仿宋" w:cs="仿宋"/>
                <w:sz w:val="24"/>
                <w:szCs w:val="24"/>
              </w:rPr>
              <w:t>电缆</w:t>
            </w:r>
          </w:p>
        </w:tc>
        <w:tc>
          <w:tcPr>
            <w:tcW w:w="2655"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24"/>
                <w:szCs w:val="24"/>
              </w:rPr>
              <w:t>YJV3*</w:t>
            </w:r>
            <w:r>
              <w:rPr>
                <w:rFonts w:hint="eastAsia" w:ascii="仿宋" w:hAnsi="仿宋" w:eastAsia="仿宋" w:cs="仿宋"/>
                <w:sz w:val="24"/>
                <w:szCs w:val="24"/>
                <w:lang w:val="en-US" w:eastAsia="zh-CN"/>
              </w:rPr>
              <w:t>150</w:t>
            </w:r>
            <w:r>
              <w:rPr>
                <w:rFonts w:hint="eastAsia" w:ascii="仿宋" w:hAnsi="仿宋" w:eastAsia="仿宋" w:cs="仿宋"/>
                <w:sz w:val="24"/>
                <w:szCs w:val="24"/>
              </w:rPr>
              <w:t>+2*</w:t>
            </w:r>
            <w:r>
              <w:rPr>
                <w:rFonts w:hint="default" w:ascii="仿宋" w:hAnsi="仿宋" w:eastAsia="仿宋" w:cs="仿宋"/>
                <w:sz w:val="24"/>
                <w:szCs w:val="24"/>
                <w:lang w:eastAsia="zh-CN"/>
              </w:rPr>
              <w:t>95</w:t>
            </w:r>
          </w:p>
        </w:tc>
        <w:tc>
          <w:tcPr>
            <w:tcW w:w="990"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项</w:t>
            </w:r>
          </w:p>
        </w:tc>
        <w:tc>
          <w:tcPr>
            <w:tcW w:w="795"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kern w:val="2"/>
                <w:sz w:val="32"/>
                <w:szCs w:val="32"/>
                <w:vertAlign w:val="baseline"/>
                <w:lang w:val="en-US" w:eastAsia="zh-CN" w:bidi="ar-SA"/>
              </w:rPr>
              <w:t>1</w:t>
            </w:r>
          </w:p>
        </w:tc>
        <w:tc>
          <w:tcPr>
            <w:tcW w:w="1996" w:type="dxa"/>
            <w:vAlign w:val="top"/>
          </w:tcPr>
          <w:p>
            <w:pPr>
              <w:jc w:val="center"/>
              <w:rPr>
                <w:rFonts w:hint="default" w:ascii="仿宋" w:hAnsi="仿宋" w:eastAsia="仿宋" w:cs="仿宋"/>
                <w:kern w:val="2"/>
                <w:sz w:val="32"/>
                <w:szCs w:val="32"/>
                <w:vertAlign w:val="baseline"/>
                <w:lang w:val="en-US" w:eastAsia="zh-CN" w:bidi="ar-SA"/>
              </w:rPr>
            </w:pPr>
            <w:r>
              <w:rPr>
                <w:rFonts w:hint="default" w:ascii="仿宋" w:hAnsi="仿宋" w:eastAsia="仿宋" w:cs="仿宋"/>
                <w:sz w:val="24"/>
                <w:szCs w:val="24"/>
                <w:lang w:eastAsia="zh-CN"/>
              </w:rPr>
              <w:t>符合国标要求，</w:t>
            </w:r>
            <w:r>
              <w:rPr>
                <w:rFonts w:hint="eastAsia" w:ascii="仿宋" w:hAnsi="仿宋" w:eastAsia="仿宋" w:cs="仿宋"/>
                <w:sz w:val="24"/>
                <w:szCs w:val="24"/>
                <w:lang w:val="en-US" w:eastAsia="zh-CN"/>
              </w:rPr>
              <w:t>根据现场情况以实际工程量报价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5</w:t>
            </w:r>
          </w:p>
        </w:tc>
        <w:tc>
          <w:tcPr>
            <w:tcW w:w="1545"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24"/>
                <w:szCs w:val="24"/>
                <w:lang w:eastAsia="zh-CN"/>
              </w:rPr>
              <w:t>充电机到充电枪</w:t>
            </w:r>
            <w:r>
              <w:rPr>
                <w:rFonts w:hint="eastAsia" w:ascii="仿宋" w:hAnsi="仿宋" w:eastAsia="仿宋" w:cs="仿宋"/>
                <w:sz w:val="24"/>
                <w:szCs w:val="24"/>
              </w:rPr>
              <w:t>电缆</w:t>
            </w:r>
          </w:p>
        </w:tc>
        <w:tc>
          <w:tcPr>
            <w:tcW w:w="2655"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24"/>
                <w:szCs w:val="24"/>
              </w:rPr>
              <w:t>YJV2*</w:t>
            </w:r>
            <w:r>
              <w:rPr>
                <w:rFonts w:hint="default" w:ascii="仿宋" w:hAnsi="仿宋" w:eastAsia="仿宋" w:cs="仿宋"/>
                <w:sz w:val="24"/>
                <w:szCs w:val="24"/>
              </w:rPr>
              <w:t>95</w:t>
            </w:r>
            <w:r>
              <w:rPr>
                <w:rFonts w:hint="eastAsia" w:ascii="仿宋" w:hAnsi="仿宋" w:eastAsia="仿宋" w:cs="仿宋"/>
                <w:sz w:val="24"/>
                <w:szCs w:val="24"/>
              </w:rPr>
              <w:t>+</w:t>
            </w:r>
            <w:r>
              <w:rPr>
                <w:rFonts w:hint="eastAsia" w:ascii="仿宋" w:hAnsi="仿宋" w:eastAsia="仿宋" w:cs="仿宋"/>
                <w:sz w:val="24"/>
                <w:szCs w:val="24"/>
                <w:lang w:val="en-US" w:eastAsia="zh-CN"/>
              </w:rPr>
              <w:t>50</w:t>
            </w:r>
          </w:p>
        </w:tc>
        <w:tc>
          <w:tcPr>
            <w:tcW w:w="990"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项</w:t>
            </w:r>
          </w:p>
        </w:tc>
        <w:tc>
          <w:tcPr>
            <w:tcW w:w="795"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kern w:val="2"/>
                <w:sz w:val="32"/>
                <w:szCs w:val="32"/>
                <w:vertAlign w:val="baseline"/>
                <w:lang w:val="en-US" w:eastAsia="zh-CN" w:bidi="ar-SA"/>
              </w:rPr>
              <w:t>1</w:t>
            </w:r>
          </w:p>
        </w:tc>
        <w:tc>
          <w:tcPr>
            <w:tcW w:w="1996" w:type="dxa"/>
            <w:vAlign w:val="top"/>
          </w:tcPr>
          <w:p>
            <w:pPr>
              <w:jc w:val="center"/>
              <w:rPr>
                <w:rFonts w:hint="default" w:ascii="仿宋" w:hAnsi="仿宋" w:eastAsia="仿宋" w:cs="仿宋"/>
                <w:kern w:val="2"/>
                <w:sz w:val="32"/>
                <w:szCs w:val="32"/>
                <w:vertAlign w:val="baseline"/>
                <w:lang w:val="en-US" w:eastAsia="zh-CN" w:bidi="ar-SA"/>
              </w:rPr>
            </w:pPr>
            <w:r>
              <w:rPr>
                <w:rFonts w:hint="default" w:ascii="仿宋" w:hAnsi="仿宋" w:eastAsia="仿宋" w:cs="仿宋"/>
                <w:sz w:val="24"/>
                <w:szCs w:val="24"/>
                <w:lang w:eastAsia="zh-CN"/>
              </w:rPr>
              <w:t>符合国标要求，</w:t>
            </w:r>
            <w:r>
              <w:rPr>
                <w:rFonts w:hint="eastAsia" w:ascii="仿宋" w:hAnsi="仿宋" w:eastAsia="仿宋" w:cs="仿宋"/>
                <w:sz w:val="24"/>
                <w:szCs w:val="24"/>
                <w:lang w:val="en-US" w:eastAsia="zh-CN"/>
              </w:rPr>
              <w:t>根据现场情况以实际工程量报价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6</w:t>
            </w:r>
          </w:p>
        </w:tc>
        <w:tc>
          <w:tcPr>
            <w:tcW w:w="1545"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24"/>
                <w:szCs w:val="24"/>
                <w:lang w:val="en-US" w:eastAsia="zh-CN"/>
              </w:rPr>
              <w:t>低压施工</w:t>
            </w:r>
          </w:p>
        </w:tc>
        <w:tc>
          <w:tcPr>
            <w:tcW w:w="2655" w:type="dxa"/>
            <w:vAlign w:val="top"/>
          </w:tcPr>
          <w:p>
            <w:pPr>
              <w:jc w:val="center"/>
              <w:rPr>
                <w:rFonts w:hint="default" w:ascii="仿宋" w:hAnsi="仿宋" w:eastAsia="仿宋" w:cs="仿宋"/>
                <w:kern w:val="2"/>
                <w:sz w:val="32"/>
                <w:szCs w:val="32"/>
                <w:vertAlign w:val="baseline"/>
                <w:lang w:val="en-US" w:eastAsia="zh-CN" w:bidi="ar-SA"/>
              </w:rPr>
            </w:pPr>
            <w:r>
              <w:rPr>
                <w:rFonts w:hint="default" w:ascii="仿宋" w:hAnsi="仿宋" w:eastAsia="仿宋" w:cs="仿宋"/>
                <w:sz w:val="24"/>
                <w:szCs w:val="24"/>
                <w:lang w:val="en-US" w:eastAsia="zh-CN"/>
              </w:rPr>
              <w:t>电缆放线、防火泥封堵等</w:t>
            </w:r>
          </w:p>
        </w:tc>
        <w:tc>
          <w:tcPr>
            <w:tcW w:w="990"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项</w:t>
            </w:r>
          </w:p>
        </w:tc>
        <w:tc>
          <w:tcPr>
            <w:tcW w:w="795"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w:t>
            </w:r>
          </w:p>
        </w:tc>
        <w:tc>
          <w:tcPr>
            <w:tcW w:w="1996" w:type="dxa"/>
            <w:vAlign w:val="top"/>
          </w:tcPr>
          <w:p>
            <w:pPr>
              <w:jc w:val="center"/>
              <w:rPr>
                <w:rFonts w:hint="default" w:ascii="仿宋" w:hAnsi="仿宋" w:eastAsia="仿宋" w:cs="仿宋"/>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7</w:t>
            </w:r>
          </w:p>
        </w:tc>
        <w:tc>
          <w:tcPr>
            <w:tcW w:w="1545"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24"/>
                <w:szCs w:val="24"/>
                <w:lang w:val="en-US" w:eastAsia="zh-CN"/>
              </w:rPr>
              <w:t>充电桩基础</w:t>
            </w:r>
          </w:p>
        </w:tc>
        <w:tc>
          <w:tcPr>
            <w:tcW w:w="2655" w:type="dxa"/>
            <w:vAlign w:val="top"/>
          </w:tcPr>
          <w:p>
            <w:pPr>
              <w:jc w:val="center"/>
              <w:rPr>
                <w:rFonts w:hint="default" w:ascii="仿宋" w:hAnsi="仿宋" w:eastAsia="仿宋" w:cs="仿宋"/>
                <w:kern w:val="2"/>
                <w:sz w:val="32"/>
                <w:szCs w:val="32"/>
                <w:vertAlign w:val="baseline"/>
                <w:lang w:val="en-US" w:eastAsia="zh-CN" w:bidi="ar-SA"/>
              </w:rPr>
            </w:pPr>
          </w:p>
        </w:tc>
        <w:tc>
          <w:tcPr>
            <w:tcW w:w="990"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项</w:t>
            </w:r>
          </w:p>
        </w:tc>
        <w:tc>
          <w:tcPr>
            <w:tcW w:w="795"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w:t>
            </w:r>
          </w:p>
        </w:tc>
        <w:tc>
          <w:tcPr>
            <w:tcW w:w="1996" w:type="dxa"/>
            <w:vAlign w:val="top"/>
          </w:tcPr>
          <w:p>
            <w:pPr>
              <w:jc w:val="center"/>
              <w:rPr>
                <w:rFonts w:hint="default" w:ascii="仿宋" w:hAnsi="仿宋" w:eastAsia="仿宋" w:cs="仿宋"/>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8</w:t>
            </w:r>
          </w:p>
        </w:tc>
        <w:tc>
          <w:tcPr>
            <w:tcW w:w="1545" w:type="dxa"/>
            <w:vAlign w:val="top"/>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24"/>
                <w:szCs w:val="24"/>
                <w:lang w:val="en-US" w:eastAsia="zh-CN"/>
              </w:rPr>
              <w:t>充电桩安装接线</w:t>
            </w:r>
          </w:p>
        </w:tc>
        <w:tc>
          <w:tcPr>
            <w:tcW w:w="2655" w:type="dxa"/>
          </w:tcPr>
          <w:p>
            <w:pPr>
              <w:jc w:val="center"/>
              <w:rPr>
                <w:rFonts w:hint="default" w:ascii="仿宋" w:hAnsi="仿宋" w:eastAsia="仿宋" w:cs="仿宋"/>
                <w:sz w:val="32"/>
                <w:szCs w:val="32"/>
                <w:vertAlign w:val="baseline"/>
                <w:lang w:val="en-US" w:eastAsia="zh-CN"/>
              </w:rPr>
            </w:pPr>
          </w:p>
        </w:tc>
        <w:tc>
          <w:tcPr>
            <w:tcW w:w="990" w:type="dxa"/>
            <w:vAlign w:val="top"/>
          </w:tcPr>
          <w:p>
            <w:pPr>
              <w:jc w:val="center"/>
              <w:rPr>
                <w:rFonts w:hint="default" w:ascii="仿宋" w:hAnsi="仿宋" w:eastAsia="仿宋" w:cs="仿宋"/>
                <w:sz w:val="24"/>
                <w:szCs w:val="24"/>
                <w:lang w:val="en-US" w:eastAsia="zh-CN"/>
              </w:rPr>
            </w:pPr>
            <w:r>
              <w:rPr>
                <w:rFonts w:hint="eastAsia" w:ascii="仿宋" w:hAnsi="仿宋" w:eastAsia="仿宋" w:cs="仿宋"/>
                <w:kern w:val="2"/>
                <w:sz w:val="24"/>
                <w:szCs w:val="24"/>
                <w:lang w:val="en-US" w:eastAsia="zh-CN" w:bidi="ar-SA"/>
              </w:rPr>
              <w:t>项</w:t>
            </w:r>
          </w:p>
        </w:tc>
        <w:tc>
          <w:tcPr>
            <w:tcW w:w="795" w:type="dxa"/>
            <w:vAlign w:val="top"/>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1996" w:type="dxa"/>
          </w:tcPr>
          <w:p>
            <w:pPr>
              <w:jc w:val="center"/>
              <w:rPr>
                <w:rFonts w:hint="default" w:ascii="仿宋" w:hAnsi="仿宋" w:eastAsia="仿宋" w:cs="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9</w:t>
            </w:r>
          </w:p>
        </w:tc>
        <w:tc>
          <w:tcPr>
            <w:tcW w:w="1545" w:type="dxa"/>
            <w:vAlign w:val="top"/>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信号线缆</w:t>
            </w:r>
          </w:p>
        </w:tc>
        <w:tc>
          <w:tcPr>
            <w:tcW w:w="2655" w:type="dxa"/>
            <w:vAlign w:val="top"/>
          </w:tcPr>
          <w:p>
            <w:pPr>
              <w:jc w:val="center"/>
              <w:rPr>
                <w:rFonts w:hint="default" w:ascii="仿宋" w:hAnsi="仿宋" w:eastAsia="仿宋" w:cs="仿宋"/>
                <w:kern w:val="2"/>
                <w:sz w:val="32"/>
                <w:szCs w:val="32"/>
                <w:vertAlign w:val="baseline"/>
                <w:lang w:val="en-US" w:eastAsia="zh-CN" w:bidi="ar-SA"/>
              </w:rPr>
            </w:pPr>
          </w:p>
        </w:tc>
        <w:tc>
          <w:tcPr>
            <w:tcW w:w="990"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项</w:t>
            </w:r>
          </w:p>
        </w:tc>
        <w:tc>
          <w:tcPr>
            <w:tcW w:w="795"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w:t>
            </w:r>
          </w:p>
        </w:tc>
        <w:tc>
          <w:tcPr>
            <w:tcW w:w="1996" w:type="dxa"/>
            <w:vAlign w:val="top"/>
          </w:tcPr>
          <w:p>
            <w:pPr>
              <w:jc w:val="center"/>
              <w:rPr>
                <w:rFonts w:hint="default" w:ascii="仿宋" w:hAnsi="仿宋" w:eastAsia="仿宋" w:cs="仿宋"/>
                <w:kern w:val="2"/>
                <w:sz w:val="32"/>
                <w:szCs w:val="32"/>
                <w:vertAlign w:val="baseline"/>
                <w:lang w:val="en-US" w:eastAsia="zh-CN" w:bidi="ar-SA"/>
              </w:rPr>
            </w:pPr>
            <w:r>
              <w:rPr>
                <w:rFonts w:hint="default" w:ascii="仿宋" w:hAnsi="仿宋" w:eastAsia="仿宋" w:cs="仿宋"/>
                <w:sz w:val="24"/>
                <w:szCs w:val="24"/>
                <w:lang w:eastAsia="zh-CN"/>
              </w:rPr>
              <w:t>符合国标要求，</w:t>
            </w:r>
            <w:r>
              <w:rPr>
                <w:rFonts w:hint="eastAsia" w:ascii="仿宋" w:hAnsi="仿宋" w:eastAsia="仿宋" w:cs="仿宋"/>
                <w:sz w:val="24"/>
                <w:szCs w:val="24"/>
                <w:lang w:val="en-US" w:eastAsia="zh-CN"/>
              </w:rPr>
              <w:t>根据现场情况以实际工程量报价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10</w:t>
            </w:r>
          </w:p>
        </w:tc>
        <w:tc>
          <w:tcPr>
            <w:tcW w:w="1545" w:type="dxa"/>
            <w:vAlign w:val="top"/>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视屏监控</w:t>
            </w:r>
          </w:p>
        </w:tc>
        <w:tc>
          <w:tcPr>
            <w:tcW w:w="2655"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24"/>
                <w:szCs w:val="24"/>
                <w:lang w:eastAsia="zh-CN"/>
              </w:rPr>
              <w:t>充电区域照明无死角</w:t>
            </w:r>
          </w:p>
        </w:tc>
        <w:tc>
          <w:tcPr>
            <w:tcW w:w="990"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项</w:t>
            </w:r>
          </w:p>
        </w:tc>
        <w:tc>
          <w:tcPr>
            <w:tcW w:w="795"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w:t>
            </w:r>
          </w:p>
        </w:tc>
        <w:tc>
          <w:tcPr>
            <w:tcW w:w="1996" w:type="dxa"/>
            <w:vAlign w:val="top"/>
          </w:tcPr>
          <w:p>
            <w:pPr>
              <w:jc w:val="center"/>
              <w:rPr>
                <w:rFonts w:hint="default" w:ascii="仿宋" w:hAnsi="仿宋" w:eastAsia="仿宋" w:cs="仿宋"/>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11</w:t>
            </w:r>
          </w:p>
        </w:tc>
        <w:tc>
          <w:tcPr>
            <w:tcW w:w="1545" w:type="dxa"/>
            <w:vAlign w:val="top"/>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灭火器</w:t>
            </w:r>
          </w:p>
        </w:tc>
        <w:tc>
          <w:tcPr>
            <w:tcW w:w="2655"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24"/>
                <w:szCs w:val="24"/>
                <w:lang w:eastAsia="zh-CN"/>
              </w:rPr>
              <w:t>干粉灭火器</w:t>
            </w:r>
          </w:p>
        </w:tc>
        <w:tc>
          <w:tcPr>
            <w:tcW w:w="990"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个</w:t>
            </w:r>
          </w:p>
        </w:tc>
        <w:tc>
          <w:tcPr>
            <w:tcW w:w="795" w:type="dxa"/>
            <w:vAlign w:val="top"/>
          </w:tcPr>
          <w:p>
            <w:pPr>
              <w:jc w:val="center"/>
              <w:rPr>
                <w:rFonts w:hint="default" w:ascii="仿宋" w:hAnsi="仿宋" w:eastAsia="仿宋" w:cs="仿宋"/>
                <w:kern w:val="2"/>
                <w:sz w:val="24"/>
                <w:szCs w:val="24"/>
                <w:lang w:val="en-US" w:eastAsia="zh-CN" w:bidi="ar-SA"/>
              </w:rPr>
            </w:pPr>
          </w:p>
        </w:tc>
        <w:tc>
          <w:tcPr>
            <w:tcW w:w="1996"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kern w:val="0"/>
                <w:sz w:val="24"/>
                <w:szCs w:val="24"/>
                <w:lang w:val="en-US" w:eastAsia="zh-CN"/>
              </w:rPr>
              <w:t>E类场所A类火灾规定配备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12</w:t>
            </w:r>
          </w:p>
        </w:tc>
        <w:tc>
          <w:tcPr>
            <w:tcW w:w="1545" w:type="dxa"/>
            <w:vAlign w:val="top"/>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标识标牌</w:t>
            </w:r>
          </w:p>
        </w:tc>
        <w:tc>
          <w:tcPr>
            <w:tcW w:w="2655"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24"/>
                <w:szCs w:val="24"/>
                <w:lang w:eastAsia="zh-CN"/>
              </w:rPr>
              <w:t>警示标志、信息标牌</w:t>
            </w:r>
          </w:p>
        </w:tc>
        <w:tc>
          <w:tcPr>
            <w:tcW w:w="990"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项</w:t>
            </w:r>
          </w:p>
        </w:tc>
        <w:tc>
          <w:tcPr>
            <w:tcW w:w="795"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w:t>
            </w:r>
          </w:p>
        </w:tc>
        <w:tc>
          <w:tcPr>
            <w:tcW w:w="1996" w:type="dxa"/>
            <w:vAlign w:val="top"/>
          </w:tcPr>
          <w:p>
            <w:pPr>
              <w:jc w:val="center"/>
              <w:rPr>
                <w:rFonts w:hint="default" w:ascii="仿宋" w:hAnsi="仿宋" w:eastAsia="仿宋" w:cs="仿宋"/>
                <w:kern w:val="2"/>
                <w:sz w:val="32"/>
                <w:szCs w:val="3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13</w:t>
            </w:r>
          </w:p>
        </w:tc>
        <w:tc>
          <w:tcPr>
            <w:tcW w:w="1545" w:type="dxa"/>
            <w:vAlign w:val="top"/>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售后服务</w:t>
            </w:r>
          </w:p>
        </w:tc>
        <w:tc>
          <w:tcPr>
            <w:tcW w:w="2655" w:type="dxa"/>
            <w:vAlign w:val="top"/>
          </w:tcPr>
          <w:p>
            <w:pPr>
              <w:jc w:val="center"/>
              <w:rPr>
                <w:rFonts w:hint="default" w:ascii="仿宋" w:hAnsi="仿宋" w:eastAsia="仿宋" w:cs="仿宋"/>
                <w:kern w:val="2"/>
                <w:sz w:val="32"/>
                <w:szCs w:val="32"/>
                <w:vertAlign w:val="baseline"/>
                <w:lang w:val="en-US" w:eastAsia="zh-CN" w:bidi="ar-SA"/>
              </w:rPr>
            </w:pPr>
          </w:p>
        </w:tc>
        <w:tc>
          <w:tcPr>
            <w:tcW w:w="990"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项</w:t>
            </w:r>
          </w:p>
        </w:tc>
        <w:tc>
          <w:tcPr>
            <w:tcW w:w="795" w:type="dxa"/>
            <w:vAlign w:val="top"/>
          </w:tcPr>
          <w:p>
            <w:pPr>
              <w:jc w:val="center"/>
              <w:rPr>
                <w:rFonts w:hint="default"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w:t>
            </w:r>
          </w:p>
        </w:tc>
        <w:tc>
          <w:tcPr>
            <w:tcW w:w="1996" w:type="dxa"/>
            <w:vAlign w:val="top"/>
          </w:tcPr>
          <w:p>
            <w:pPr>
              <w:jc w:val="center"/>
              <w:rPr>
                <w:rFonts w:hint="default" w:ascii="仿宋" w:hAnsi="仿宋" w:eastAsia="仿宋" w:cs="仿宋"/>
                <w:kern w:val="2"/>
                <w:sz w:val="32"/>
                <w:szCs w:val="32"/>
                <w:vertAlign w:val="baseline"/>
                <w:lang w:val="en-US" w:eastAsia="zh-CN" w:bidi="ar-SA"/>
              </w:rPr>
            </w:pPr>
            <w:r>
              <w:rPr>
                <w:rFonts w:hint="eastAsia" w:ascii="仿宋" w:hAnsi="仿宋" w:eastAsia="仿宋" w:cs="仿宋"/>
                <w:sz w:val="24"/>
                <w:szCs w:val="24"/>
                <w:lang w:val="en-US" w:eastAsia="zh-CN"/>
              </w:rPr>
              <w:t>免费质保3年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1" w:type="dxa"/>
          </w:tcPr>
          <w:p>
            <w:p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14</w:t>
            </w:r>
          </w:p>
        </w:tc>
        <w:tc>
          <w:tcPr>
            <w:tcW w:w="1545" w:type="dxa"/>
            <w:vAlign w:val="top"/>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其他</w:t>
            </w:r>
          </w:p>
        </w:tc>
        <w:tc>
          <w:tcPr>
            <w:tcW w:w="2655" w:type="dxa"/>
            <w:vAlign w:val="top"/>
          </w:tcPr>
          <w:p>
            <w:pPr>
              <w:jc w:val="center"/>
              <w:rPr>
                <w:rFonts w:hint="eastAsia" w:ascii="仿宋" w:hAnsi="仿宋" w:eastAsia="仿宋" w:cs="仿宋"/>
                <w:kern w:val="2"/>
                <w:sz w:val="32"/>
                <w:szCs w:val="32"/>
                <w:vertAlign w:val="baseline"/>
                <w:lang w:val="en-US" w:eastAsia="zh-CN" w:bidi="ar-SA"/>
              </w:rPr>
            </w:pPr>
            <w:r>
              <w:rPr>
                <w:rFonts w:hint="eastAsia" w:ascii="仿宋" w:hAnsi="仿宋" w:eastAsia="仿宋" w:cs="仿宋"/>
                <w:sz w:val="24"/>
                <w:szCs w:val="24"/>
                <w:lang w:eastAsia="zh-CN"/>
              </w:rPr>
              <w:t>其他辅材及措施费</w:t>
            </w:r>
          </w:p>
        </w:tc>
        <w:tc>
          <w:tcPr>
            <w:tcW w:w="990" w:type="dxa"/>
            <w:vAlign w:val="top"/>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项</w:t>
            </w:r>
          </w:p>
        </w:tc>
        <w:tc>
          <w:tcPr>
            <w:tcW w:w="795" w:type="dxa"/>
            <w:vAlign w:val="top"/>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w:t>
            </w:r>
          </w:p>
        </w:tc>
        <w:tc>
          <w:tcPr>
            <w:tcW w:w="1996" w:type="dxa"/>
            <w:vAlign w:val="top"/>
          </w:tcPr>
          <w:p>
            <w:pPr>
              <w:jc w:val="center"/>
              <w:rPr>
                <w:rFonts w:hint="default" w:ascii="仿宋" w:hAnsi="仿宋" w:eastAsia="仿宋" w:cs="仿宋"/>
                <w:kern w:val="2"/>
                <w:sz w:val="32"/>
                <w:szCs w:val="32"/>
                <w:vertAlign w:val="baseline"/>
                <w:lang w:val="en-US" w:eastAsia="zh-CN" w:bidi="ar-SA"/>
              </w:rPr>
            </w:pPr>
          </w:p>
        </w:tc>
      </w:tr>
    </w:tbl>
    <w:p>
      <w:pPr>
        <w:ind w:firstLine="640"/>
        <w:jc w:val="left"/>
        <w:rPr>
          <w:rFonts w:hint="eastAsia" w:ascii="仿宋" w:hAnsi="仿宋" w:eastAsia="仿宋" w:cs="仿宋"/>
          <w:sz w:val="32"/>
          <w:szCs w:val="32"/>
          <w:lang w:eastAsia="zh-CN"/>
        </w:rPr>
      </w:pPr>
      <w:r>
        <w:rPr>
          <w:rFonts w:hint="eastAsia" w:ascii="仿宋" w:hAnsi="仿宋" w:eastAsia="仿宋" w:cs="仿宋"/>
          <w:sz w:val="32"/>
          <w:szCs w:val="32"/>
          <w:lang w:val="en-US" w:eastAsia="zh-CN"/>
        </w:rPr>
        <w:t>备注：</w:t>
      </w:r>
      <w:r>
        <w:rPr>
          <w:rFonts w:hint="eastAsia" w:ascii="仿宋" w:hAnsi="仿宋" w:eastAsia="仿宋" w:cs="仿宋"/>
          <w:sz w:val="32"/>
          <w:szCs w:val="32"/>
        </w:rPr>
        <w:t>城北驾校首末站充电桩</w:t>
      </w:r>
      <w:r>
        <w:rPr>
          <w:rFonts w:hint="eastAsia" w:ascii="仿宋" w:hAnsi="仿宋" w:eastAsia="仿宋" w:cs="仿宋"/>
          <w:sz w:val="32"/>
          <w:szCs w:val="32"/>
          <w:lang w:eastAsia="zh-CN"/>
        </w:rPr>
        <w:t>共</w:t>
      </w:r>
      <w:r>
        <w:rPr>
          <w:rFonts w:hint="eastAsia" w:ascii="仿宋" w:hAnsi="仿宋" w:eastAsia="仿宋" w:cs="仿宋"/>
          <w:sz w:val="32"/>
          <w:szCs w:val="32"/>
          <w:lang w:val="en-US" w:eastAsia="zh-CN"/>
        </w:rPr>
        <w:t>39</w:t>
      </w:r>
      <w:r>
        <w:rPr>
          <w:rFonts w:hint="eastAsia" w:ascii="仿宋" w:hAnsi="仿宋" w:eastAsia="仿宋" w:cs="仿宋"/>
          <w:sz w:val="32"/>
          <w:szCs w:val="32"/>
        </w:rPr>
        <w:t>个，</w:t>
      </w:r>
      <w:r>
        <w:rPr>
          <w:rFonts w:hint="eastAsia" w:ascii="仿宋" w:hAnsi="仿宋" w:eastAsia="仿宋" w:cs="仿宋"/>
          <w:sz w:val="32"/>
          <w:szCs w:val="32"/>
          <w:lang w:val="en-US" w:eastAsia="zh-CN"/>
        </w:rPr>
        <w:t>其中</w:t>
      </w:r>
      <w:r>
        <w:rPr>
          <w:rFonts w:hint="eastAsia" w:ascii="仿宋" w:hAnsi="仿宋" w:eastAsia="仿宋" w:cs="仿宋"/>
          <w:sz w:val="32"/>
          <w:szCs w:val="32"/>
        </w:rPr>
        <w:t>西侧19个，东侧2</w:t>
      </w:r>
      <w:r>
        <w:rPr>
          <w:rFonts w:hint="eastAsia" w:ascii="仿宋" w:hAnsi="仿宋" w:eastAsia="仿宋" w:cs="仿宋"/>
          <w:sz w:val="32"/>
          <w:szCs w:val="32"/>
          <w:lang w:val="en-US" w:eastAsia="zh-CN"/>
        </w:rPr>
        <w:t>0</w:t>
      </w:r>
      <w:r>
        <w:rPr>
          <w:rFonts w:hint="eastAsia" w:ascii="仿宋" w:hAnsi="仿宋" w:eastAsia="仿宋" w:cs="仿宋"/>
          <w:sz w:val="32"/>
          <w:szCs w:val="32"/>
        </w:rPr>
        <w:t>个</w:t>
      </w:r>
      <w:r>
        <w:rPr>
          <w:rFonts w:hint="eastAsia" w:ascii="仿宋" w:hAnsi="仿宋" w:eastAsia="仿宋" w:cs="仿宋"/>
          <w:sz w:val="32"/>
          <w:szCs w:val="32"/>
          <w:lang w:eastAsia="zh-CN"/>
        </w:rPr>
        <w:t>。</w:t>
      </w:r>
    </w:p>
    <w:p>
      <w:pPr>
        <w:ind w:firstLine="640"/>
        <w:jc w:val="left"/>
        <w:rPr>
          <w:rFonts w:hint="eastAsia" w:ascii="仿宋" w:hAnsi="仿宋" w:eastAsia="仿宋" w:cs="仿宋"/>
          <w:color w:val="auto"/>
          <w:sz w:val="32"/>
          <w:szCs w:val="32"/>
          <w:lang w:eastAsia="zh-CN"/>
        </w:rPr>
      </w:pPr>
    </w:p>
    <w:p>
      <w:pPr>
        <w:ind w:firstLine="640"/>
        <w:jc w:val="left"/>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平台操作硬件清单</w:t>
      </w: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134"/>
        <w:gridCol w:w="3402"/>
        <w:gridCol w:w="851"/>
        <w:gridCol w:w="897"/>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序号</w:t>
            </w:r>
          </w:p>
        </w:tc>
        <w:tc>
          <w:tcPr>
            <w:tcW w:w="1134"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名称</w:t>
            </w:r>
          </w:p>
        </w:tc>
        <w:tc>
          <w:tcPr>
            <w:tcW w:w="3402"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参数</w:t>
            </w:r>
          </w:p>
        </w:tc>
        <w:tc>
          <w:tcPr>
            <w:tcW w:w="851"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数量</w:t>
            </w:r>
          </w:p>
        </w:tc>
        <w:tc>
          <w:tcPr>
            <w:tcW w:w="897"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单位</w:t>
            </w:r>
          </w:p>
        </w:tc>
        <w:tc>
          <w:tcPr>
            <w:tcW w:w="1421"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1</w:t>
            </w:r>
          </w:p>
        </w:tc>
        <w:tc>
          <w:tcPr>
            <w:tcW w:w="1134"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显示屏</w:t>
            </w:r>
          </w:p>
        </w:tc>
        <w:tc>
          <w:tcPr>
            <w:tcW w:w="3402"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55寸LCD 拼接屏 </w:t>
            </w:r>
          </w:p>
        </w:tc>
        <w:tc>
          <w:tcPr>
            <w:tcW w:w="851"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4</w:t>
            </w:r>
          </w:p>
        </w:tc>
        <w:tc>
          <w:tcPr>
            <w:tcW w:w="897"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块</w:t>
            </w:r>
          </w:p>
        </w:tc>
        <w:tc>
          <w:tcPr>
            <w:tcW w:w="1421" w:type="dxa"/>
            <w:vAlign w:val="center"/>
          </w:tcPr>
          <w:p>
            <w:pPr>
              <w:jc w:val="center"/>
              <w:rPr>
                <w:rFonts w:hint="eastAsia" w:ascii="仿宋" w:hAnsi="仿宋" w:eastAsia="仿宋" w:cs="仿宋"/>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2</w:t>
            </w:r>
          </w:p>
        </w:tc>
        <w:tc>
          <w:tcPr>
            <w:tcW w:w="1134"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电脑终端</w:t>
            </w:r>
          </w:p>
        </w:tc>
        <w:tc>
          <w:tcPr>
            <w:tcW w:w="3402" w:type="dxa"/>
            <w:vAlign w:val="center"/>
          </w:tcPr>
          <w:p>
            <w:pPr>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英特尔 酷睿i</w:t>
            </w: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系列，主频3.2GHz 8GB DDR3；24寸显示器240G固态硬盘，集成显卡。</w:t>
            </w:r>
          </w:p>
        </w:tc>
        <w:tc>
          <w:tcPr>
            <w:tcW w:w="851"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3</w:t>
            </w:r>
          </w:p>
        </w:tc>
        <w:tc>
          <w:tcPr>
            <w:tcW w:w="897"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套</w:t>
            </w:r>
          </w:p>
        </w:tc>
        <w:tc>
          <w:tcPr>
            <w:tcW w:w="1421" w:type="dxa"/>
            <w:vAlign w:val="center"/>
          </w:tcPr>
          <w:p>
            <w:pPr>
              <w:jc w:val="center"/>
              <w:rPr>
                <w:rFonts w:hint="eastAsia" w:ascii="仿宋" w:hAnsi="仿宋" w:eastAsia="仿宋" w:cs="仿宋"/>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3</w:t>
            </w:r>
          </w:p>
        </w:tc>
        <w:tc>
          <w:tcPr>
            <w:tcW w:w="1134"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顶部LED屏</w:t>
            </w:r>
          </w:p>
        </w:tc>
        <w:tc>
          <w:tcPr>
            <w:tcW w:w="3402" w:type="dxa"/>
            <w:vAlign w:val="center"/>
          </w:tcPr>
          <w:p>
            <w:pPr>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P3.75 双色LED屏，30CM*300CM含免费发布操作软件平台。</w:t>
            </w:r>
          </w:p>
        </w:tc>
        <w:tc>
          <w:tcPr>
            <w:tcW w:w="851"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1</w:t>
            </w:r>
          </w:p>
        </w:tc>
        <w:tc>
          <w:tcPr>
            <w:tcW w:w="897"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套</w:t>
            </w:r>
          </w:p>
        </w:tc>
        <w:tc>
          <w:tcPr>
            <w:tcW w:w="1421" w:type="dxa"/>
            <w:vAlign w:val="center"/>
          </w:tcPr>
          <w:p>
            <w:pPr>
              <w:jc w:val="center"/>
              <w:rPr>
                <w:rFonts w:hint="eastAsia" w:ascii="仿宋" w:hAnsi="仿宋" w:eastAsia="仿宋" w:cs="仿宋"/>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4</w:t>
            </w:r>
          </w:p>
        </w:tc>
        <w:tc>
          <w:tcPr>
            <w:tcW w:w="1134"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电脑工作台</w:t>
            </w:r>
          </w:p>
        </w:tc>
        <w:tc>
          <w:tcPr>
            <w:tcW w:w="3402" w:type="dxa"/>
            <w:vAlign w:val="center"/>
          </w:tcPr>
          <w:p>
            <w:pPr>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高度0.75米，深度0.9米，宽2.4米，底柜0.6米。整体冷轧钢板，实木台面及侧板</w:t>
            </w:r>
          </w:p>
        </w:tc>
        <w:tc>
          <w:tcPr>
            <w:tcW w:w="851"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1</w:t>
            </w:r>
          </w:p>
        </w:tc>
        <w:tc>
          <w:tcPr>
            <w:tcW w:w="897"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套</w:t>
            </w:r>
          </w:p>
        </w:tc>
        <w:tc>
          <w:tcPr>
            <w:tcW w:w="1421" w:type="dxa"/>
            <w:vAlign w:val="center"/>
          </w:tcPr>
          <w:p>
            <w:pPr>
              <w:jc w:val="center"/>
              <w:rPr>
                <w:rFonts w:hint="eastAsia" w:ascii="仿宋" w:hAnsi="仿宋" w:eastAsia="仿宋" w:cs="仿宋"/>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5</w:t>
            </w:r>
          </w:p>
        </w:tc>
        <w:tc>
          <w:tcPr>
            <w:tcW w:w="1134"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电脑办公椅</w:t>
            </w:r>
          </w:p>
        </w:tc>
        <w:tc>
          <w:tcPr>
            <w:tcW w:w="3402"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耐用型皮质电脑办公椅</w:t>
            </w:r>
          </w:p>
        </w:tc>
        <w:tc>
          <w:tcPr>
            <w:tcW w:w="851"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3</w:t>
            </w:r>
          </w:p>
        </w:tc>
        <w:tc>
          <w:tcPr>
            <w:tcW w:w="897" w:type="dxa"/>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套</w:t>
            </w:r>
          </w:p>
        </w:tc>
        <w:tc>
          <w:tcPr>
            <w:tcW w:w="1421" w:type="dxa"/>
            <w:vAlign w:val="center"/>
          </w:tcPr>
          <w:p>
            <w:pPr>
              <w:jc w:val="center"/>
              <w:rPr>
                <w:rFonts w:hint="eastAsia" w:ascii="仿宋" w:hAnsi="仿宋" w:eastAsia="仿宋" w:cs="仿宋"/>
                <w:sz w:val="28"/>
                <w:szCs w:val="28"/>
                <w:lang w:eastAsia="zh-CN"/>
              </w:rPr>
            </w:pPr>
          </w:p>
        </w:tc>
      </w:tr>
    </w:tbl>
    <w:p>
      <w:pPr>
        <w:ind w:firstLine="640"/>
        <w:jc w:val="left"/>
        <w:rPr>
          <w:rFonts w:hint="eastAsia" w:ascii="仿宋" w:hAnsi="仿宋" w:eastAsia="仿宋" w:cs="仿宋"/>
          <w:color w:val="FF0000"/>
          <w:sz w:val="32"/>
          <w:szCs w:val="32"/>
          <w:lang w:eastAsia="zh-CN"/>
        </w:rPr>
      </w:pPr>
    </w:p>
    <w:p>
      <w:pPr>
        <w:ind w:firstLine="640"/>
        <w:jc w:val="left"/>
        <w:rPr>
          <w:rFonts w:hint="eastAsia" w:ascii="仿宋" w:hAnsi="仿宋" w:eastAsia="仿宋" w:cs="仿宋"/>
          <w:color w:val="FF0000"/>
          <w:sz w:val="32"/>
          <w:szCs w:val="32"/>
          <w:lang w:val="en-US" w:eastAsia="zh-CN"/>
        </w:rPr>
      </w:pPr>
      <w:r>
        <w:rPr>
          <w:rFonts w:hint="eastAsia" w:ascii="仿宋" w:hAnsi="仿宋" w:eastAsia="仿宋" w:cs="仿宋"/>
          <w:color w:val="auto"/>
          <w:sz w:val="32"/>
          <w:szCs w:val="32"/>
          <w:lang w:val="en-US" w:eastAsia="zh-CN"/>
        </w:rPr>
        <w:t>PC端</w:t>
      </w:r>
    </w:p>
    <w:tbl>
      <w:tblPr>
        <w:tblStyle w:val="28"/>
        <w:tblW w:w="9030" w:type="dxa"/>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40"/>
        <w:gridCol w:w="1800"/>
        <w:gridCol w:w="51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2040" w:type="dxa"/>
            <w:shd w:val="clear" w:color="auto" w:fill="BEBEBE"/>
          </w:tcPr>
          <w:p>
            <w:pPr>
              <w:pStyle w:val="27"/>
              <w:spacing w:before="1" w:line="360" w:lineRule="auto"/>
              <w:ind w:left="40"/>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en-US" w:bidi="ar-SA"/>
              </w:rPr>
              <w:t>主要功能</w:t>
            </w:r>
          </w:p>
        </w:tc>
        <w:tc>
          <w:tcPr>
            <w:tcW w:w="1800" w:type="dxa"/>
            <w:shd w:val="clear" w:color="auto" w:fill="BEBEBE"/>
          </w:tcPr>
          <w:p>
            <w:pPr>
              <w:pStyle w:val="27"/>
              <w:spacing w:before="1" w:line="360" w:lineRule="auto"/>
              <w:ind w:left="93" w:right="204"/>
              <w:jc w:val="center"/>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en-US" w:bidi="ar-SA"/>
              </w:rPr>
              <w:t>功能模块</w:t>
            </w:r>
          </w:p>
        </w:tc>
        <w:tc>
          <w:tcPr>
            <w:tcW w:w="5190" w:type="dxa"/>
            <w:shd w:val="clear" w:color="auto" w:fill="BEBEBE"/>
          </w:tcPr>
          <w:p>
            <w:pPr>
              <w:pStyle w:val="27"/>
              <w:spacing w:before="1" w:line="360" w:lineRule="auto"/>
              <w:ind w:left="1642" w:right="1754"/>
              <w:jc w:val="center"/>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en-US" w:bidi="ar-SA"/>
              </w:rPr>
              <w:t>具体功能需求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8" w:hRule="atLeast"/>
        </w:trPr>
        <w:tc>
          <w:tcPr>
            <w:tcW w:w="2040" w:type="dxa"/>
          </w:tcPr>
          <w:p>
            <w:pPr>
              <w:pStyle w:val="27"/>
              <w:spacing w:before="159" w:line="360" w:lineRule="auto"/>
              <w:ind w:right="148"/>
              <w:jc w:val="left"/>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运营商管理</w:t>
            </w:r>
          </w:p>
        </w:tc>
        <w:tc>
          <w:tcPr>
            <w:tcW w:w="1800" w:type="dxa"/>
          </w:tcPr>
          <w:p>
            <w:pPr>
              <w:pStyle w:val="27"/>
              <w:spacing w:line="360" w:lineRule="auto"/>
              <w:jc w:val="left"/>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运营商管理</w:t>
            </w:r>
          </w:p>
        </w:tc>
        <w:tc>
          <w:tcPr>
            <w:tcW w:w="5190" w:type="dxa"/>
          </w:tcPr>
          <w:p>
            <w:pPr>
              <w:pStyle w:val="7"/>
              <w:autoSpaceDE w:val="0"/>
              <w:autoSpaceDN w:val="0"/>
              <w:spacing w:line="360" w:lineRule="auto"/>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运营商信息的注册与管理以及运营商状态的设置。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2040" w:type="dxa"/>
          </w:tcPr>
          <w:p>
            <w:pPr>
              <w:pStyle w:val="27"/>
              <w:spacing w:line="360" w:lineRule="auto"/>
              <w:jc w:val="left"/>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场站管理</w:t>
            </w:r>
          </w:p>
        </w:tc>
        <w:tc>
          <w:tcPr>
            <w:tcW w:w="1800" w:type="dxa"/>
          </w:tcPr>
          <w:p>
            <w:pPr>
              <w:pStyle w:val="27"/>
              <w:spacing w:line="360" w:lineRule="auto"/>
              <w:ind w:right="204"/>
              <w:jc w:val="left"/>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场站管理</w:t>
            </w:r>
          </w:p>
        </w:tc>
        <w:tc>
          <w:tcPr>
            <w:tcW w:w="5190" w:type="dxa"/>
          </w:tcPr>
          <w:p>
            <w:pPr>
              <w:pStyle w:val="7"/>
              <w:autoSpaceDE w:val="0"/>
              <w:autoSpaceDN w:val="0"/>
              <w:spacing w:line="360" w:lineRule="auto"/>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场站的注册以及场站信息的查询，支持对场站信息进行编辑、删除、状态设置。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2040" w:type="dxa"/>
          </w:tcPr>
          <w:p>
            <w:pPr>
              <w:pStyle w:val="27"/>
              <w:spacing w:line="360" w:lineRule="auto"/>
              <w:jc w:val="left"/>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充电桩管理</w:t>
            </w:r>
          </w:p>
        </w:tc>
        <w:tc>
          <w:tcPr>
            <w:tcW w:w="1800" w:type="dxa"/>
          </w:tcPr>
          <w:p>
            <w:pPr>
              <w:pStyle w:val="27"/>
              <w:spacing w:line="360" w:lineRule="auto"/>
              <w:ind w:right="204"/>
              <w:jc w:val="left"/>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充电桩管理</w:t>
            </w:r>
          </w:p>
        </w:tc>
        <w:tc>
          <w:tcPr>
            <w:tcW w:w="5190" w:type="dxa"/>
          </w:tcPr>
          <w:p>
            <w:pPr>
              <w:pStyle w:val="7"/>
              <w:autoSpaceDE w:val="0"/>
              <w:autoSpaceDN w:val="0"/>
              <w:spacing w:line="360" w:lineRule="auto"/>
              <w:jc w:val="left"/>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管理充电桩的数据信息，可查看即时状态、远程控制启停。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2040" w:type="dxa"/>
          </w:tcPr>
          <w:p>
            <w:pPr>
              <w:pStyle w:val="27"/>
              <w:spacing w:line="360" w:lineRule="auto"/>
              <w:jc w:val="left"/>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订单与财务管理</w:t>
            </w:r>
          </w:p>
        </w:tc>
        <w:tc>
          <w:tcPr>
            <w:tcW w:w="1800" w:type="dxa"/>
          </w:tcPr>
          <w:p>
            <w:pPr>
              <w:pStyle w:val="27"/>
              <w:spacing w:line="360" w:lineRule="auto"/>
              <w:ind w:right="204"/>
              <w:jc w:val="left"/>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用户管理</w:t>
            </w:r>
          </w:p>
        </w:tc>
        <w:tc>
          <w:tcPr>
            <w:tcW w:w="5190" w:type="dxa"/>
          </w:tcPr>
          <w:p>
            <w:pPr>
              <w:pStyle w:val="7"/>
              <w:autoSpaceDE w:val="0"/>
              <w:autoSpaceDN w:val="0"/>
              <w:spacing w:line="360" w:lineRule="auto"/>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管理订单的收费、退费、强行中止订单等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2040" w:type="dxa"/>
          </w:tcPr>
          <w:p>
            <w:pPr>
              <w:pStyle w:val="27"/>
              <w:spacing w:line="360" w:lineRule="auto"/>
              <w:jc w:val="left"/>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统一接入标准</w:t>
            </w:r>
          </w:p>
        </w:tc>
        <w:tc>
          <w:tcPr>
            <w:tcW w:w="1800" w:type="dxa"/>
          </w:tcPr>
          <w:p>
            <w:pPr>
              <w:pStyle w:val="27"/>
              <w:spacing w:line="360" w:lineRule="auto"/>
              <w:ind w:right="204"/>
              <w:jc w:val="left"/>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各家设备接入</w:t>
            </w:r>
          </w:p>
        </w:tc>
        <w:tc>
          <w:tcPr>
            <w:tcW w:w="5190" w:type="dxa"/>
          </w:tcPr>
          <w:p>
            <w:pPr>
              <w:pStyle w:val="7"/>
              <w:autoSpaceDE w:val="0"/>
              <w:autoSpaceDN w:val="0"/>
              <w:spacing w:line="360" w:lineRule="auto"/>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提供设备接入的统一标准协议，由各运营商或桩企自行接入；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2040" w:type="dxa"/>
          </w:tcPr>
          <w:p>
            <w:pPr>
              <w:autoSpaceDE w:val="0"/>
              <w:autoSpaceDN w:val="0"/>
              <w:jc w:val="left"/>
              <w:rPr>
                <w:rFonts w:hint="eastAsia" w:ascii="仿宋" w:hAnsi="仿宋" w:eastAsia="仿宋" w:cs="仿宋"/>
                <w:kern w:val="2"/>
                <w:sz w:val="24"/>
                <w:szCs w:val="24"/>
                <w:lang w:val="zh-CN" w:eastAsia="en-US" w:bidi="ar-SA"/>
              </w:rPr>
            </w:pPr>
            <w:r>
              <w:rPr>
                <w:rFonts w:hint="eastAsia" w:ascii="仿宋" w:hAnsi="仿宋" w:eastAsia="仿宋" w:cs="仿宋"/>
                <w:kern w:val="2"/>
                <w:sz w:val="24"/>
                <w:szCs w:val="24"/>
                <w:lang w:val="zh-CN" w:eastAsia="zh-CN" w:bidi="ar-SA"/>
              </w:rPr>
              <w:t>系统运营管理</w:t>
            </w:r>
          </w:p>
        </w:tc>
        <w:tc>
          <w:tcPr>
            <w:tcW w:w="1800" w:type="dxa"/>
          </w:tcPr>
          <w:p>
            <w:pPr>
              <w:pStyle w:val="27"/>
              <w:spacing w:line="360" w:lineRule="auto"/>
              <w:ind w:right="204"/>
              <w:jc w:val="left"/>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运营管理</w:t>
            </w:r>
          </w:p>
        </w:tc>
        <w:tc>
          <w:tcPr>
            <w:tcW w:w="5190" w:type="dxa"/>
          </w:tcPr>
          <w:p>
            <w:pPr>
              <w:pStyle w:val="7"/>
              <w:autoSpaceDE w:val="0"/>
              <w:autoSpaceDN w:val="0"/>
              <w:spacing w:line="360" w:lineRule="auto"/>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收费、管理等系统规则的设置</w:t>
            </w:r>
          </w:p>
        </w:tc>
      </w:tr>
    </w:tbl>
    <w:p>
      <w:pPr>
        <w:jc w:val="left"/>
        <w:rPr>
          <w:rFonts w:hint="eastAsia" w:ascii="仿宋" w:hAnsi="仿宋" w:eastAsia="仿宋" w:cs="仿宋"/>
          <w:kern w:val="2"/>
          <w:sz w:val="24"/>
          <w:szCs w:val="24"/>
          <w:lang w:val="en-US" w:eastAsia="zh-CN" w:bidi="ar-SA"/>
        </w:rPr>
      </w:pPr>
    </w:p>
    <w:p>
      <w:pPr>
        <w:ind w:firstLine="320" w:firstLineChars="1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App端</w:t>
      </w:r>
    </w:p>
    <w:tbl>
      <w:tblPr>
        <w:tblStyle w:val="28"/>
        <w:tblW w:w="9045" w:type="dxa"/>
        <w:tblInd w:w="-27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52"/>
        <w:gridCol w:w="1417"/>
        <w:gridCol w:w="53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2252" w:type="dxa"/>
            <w:shd w:val="clear" w:color="auto" w:fill="BEBEBE"/>
          </w:tcPr>
          <w:p>
            <w:pPr>
              <w:pStyle w:val="27"/>
              <w:spacing w:before="1" w:line="360" w:lineRule="auto"/>
              <w:ind w:left="40"/>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en-US" w:bidi="ar-SA"/>
              </w:rPr>
              <w:t>主要功能</w:t>
            </w:r>
          </w:p>
        </w:tc>
        <w:tc>
          <w:tcPr>
            <w:tcW w:w="1417" w:type="dxa"/>
            <w:shd w:val="clear" w:color="auto" w:fill="BEBEBE"/>
          </w:tcPr>
          <w:p>
            <w:pPr>
              <w:pStyle w:val="27"/>
              <w:spacing w:before="1" w:line="360" w:lineRule="auto"/>
              <w:ind w:left="93" w:right="204"/>
              <w:jc w:val="center"/>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en-US" w:bidi="ar-SA"/>
              </w:rPr>
              <w:t>功能模块</w:t>
            </w:r>
          </w:p>
        </w:tc>
        <w:tc>
          <w:tcPr>
            <w:tcW w:w="5376" w:type="dxa"/>
            <w:shd w:val="clear" w:color="auto" w:fill="BEBEBE"/>
          </w:tcPr>
          <w:p>
            <w:pPr>
              <w:pStyle w:val="27"/>
              <w:spacing w:before="1" w:line="360" w:lineRule="auto"/>
              <w:ind w:left="1642" w:right="1754"/>
              <w:jc w:val="center"/>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en-US" w:bidi="ar-SA"/>
              </w:rPr>
              <w:t>具体功能需求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8" w:hRule="atLeast"/>
        </w:trPr>
        <w:tc>
          <w:tcPr>
            <w:tcW w:w="2252" w:type="dxa"/>
          </w:tcPr>
          <w:p>
            <w:pPr>
              <w:pStyle w:val="27"/>
              <w:spacing w:before="159" w:line="360" w:lineRule="auto"/>
              <w:ind w:right="148"/>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地图查询充电站</w:t>
            </w:r>
          </w:p>
        </w:tc>
        <w:tc>
          <w:tcPr>
            <w:tcW w:w="1417" w:type="dxa"/>
          </w:tcPr>
          <w:p>
            <w:pPr>
              <w:pStyle w:val="27"/>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地图查询充电站</w:t>
            </w:r>
          </w:p>
        </w:tc>
        <w:tc>
          <w:tcPr>
            <w:tcW w:w="5376" w:type="dxa"/>
          </w:tcPr>
          <w:p>
            <w:pPr>
              <w:pStyle w:val="7"/>
              <w:autoSpaceDE w:val="0"/>
              <w:autoSpaceDN w:val="0"/>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通过地图模式以用户位置为中心查看附近的可用充电站位置。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8" w:hRule="atLeast"/>
        </w:trPr>
        <w:tc>
          <w:tcPr>
            <w:tcW w:w="2252" w:type="dxa"/>
          </w:tcPr>
          <w:p>
            <w:pPr>
              <w:pStyle w:val="27"/>
              <w:spacing w:before="159" w:line="360" w:lineRule="auto"/>
              <w:ind w:right="148"/>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充电站列表</w:t>
            </w:r>
          </w:p>
        </w:tc>
        <w:tc>
          <w:tcPr>
            <w:tcW w:w="1417" w:type="dxa"/>
          </w:tcPr>
          <w:p>
            <w:pPr>
              <w:pStyle w:val="27"/>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充电站列表</w:t>
            </w:r>
          </w:p>
        </w:tc>
        <w:tc>
          <w:tcPr>
            <w:tcW w:w="5376" w:type="dxa"/>
          </w:tcPr>
          <w:p>
            <w:pPr>
              <w:pStyle w:val="7"/>
              <w:autoSpaceDE w:val="0"/>
              <w:autoSpaceDN w:val="0"/>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除了地图模式外还可以通过列表形式展示出所有电站信息，如电站名称、位置、距离用户当前位置有多远，并根据距离进行排序；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2252" w:type="dxa"/>
          </w:tcPr>
          <w:p>
            <w:pPr>
              <w:pStyle w:val="27"/>
              <w:spacing w:line="360" w:lineRule="auto"/>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充电站导航</w:t>
            </w:r>
          </w:p>
        </w:tc>
        <w:tc>
          <w:tcPr>
            <w:tcW w:w="1417" w:type="dxa"/>
          </w:tcPr>
          <w:p>
            <w:pPr>
              <w:pStyle w:val="27"/>
              <w:spacing w:line="360" w:lineRule="auto"/>
              <w:ind w:right="204"/>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充电站导航</w:t>
            </w:r>
          </w:p>
        </w:tc>
        <w:tc>
          <w:tcPr>
            <w:tcW w:w="5376" w:type="dxa"/>
          </w:tcPr>
          <w:p>
            <w:pPr>
              <w:pStyle w:val="7"/>
              <w:autoSpaceDE w:val="0"/>
              <w:autoSpaceDN w:val="0"/>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支持进行导航服务，带领用户到达指定充电站。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2252" w:type="dxa"/>
          </w:tcPr>
          <w:p>
            <w:pPr>
              <w:pStyle w:val="27"/>
              <w:spacing w:line="360" w:lineRule="auto"/>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查看电站详情</w:t>
            </w:r>
          </w:p>
        </w:tc>
        <w:tc>
          <w:tcPr>
            <w:tcW w:w="1417" w:type="dxa"/>
          </w:tcPr>
          <w:p>
            <w:pPr>
              <w:pStyle w:val="27"/>
              <w:spacing w:line="360" w:lineRule="auto"/>
              <w:ind w:right="204"/>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查看电站详情</w:t>
            </w:r>
          </w:p>
        </w:tc>
        <w:tc>
          <w:tcPr>
            <w:tcW w:w="5376" w:type="dxa"/>
          </w:tcPr>
          <w:p>
            <w:pPr>
              <w:pStyle w:val="7"/>
              <w:autoSpaceDE w:val="0"/>
              <w:autoSpaceDN w:val="0"/>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查看充电站详情信息，包含电站名称、位置、电桩充电类型、数量等。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2252" w:type="dxa"/>
          </w:tcPr>
          <w:p>
            <w:pPr>
              <w:pStyle w:val="27"/>
              <w:spacing w:line="360" w:lineRule="auto"/>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查看充电桩状态</w:t>
            </w:r>
          </w:p>
        </w:tc>
        <w:tc>
          <w:tcPr>
            <w:tcW w:w="1417" w:type="dxa"/>
          </w:tcPr>
          <w:p>
            <w:pPr>
              <w:pStyle w:val="27"/>
              <w:spacing w:line="360" w:lineRule="auto"/>
              <w:ind w:right="204"/>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查看充电桩状态</w:t>
            </w:r>
          </w:p>
        </w:tc>
        <w:tc>
          <w:tcPr>
            <w:tcW w:w="5376" w:type="dxa"/>
          </w:tcPr>
          <w:p>
            <w:pPr>
              <w:pStyle w:val="7"/>
              <w:autoSpaceDE w:val="0"/>
              <w:autoSpaceDN w:val="0"/>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查看每个充电桩编号、当前是否为空闲状态；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2252" w:type="dxa"/>
          </w:tcPr>
          <w:p>
            <w:pPr>
              <w:pStyle w:val="27"/>
              <w:spacing w:line="360" w:lineRule="auto"/>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收费标准</w:t>
            </w:r>
          </w:p>
        </w:tc>
        <w:tc>
          <w:tcPr>
            <w:tcW w:w="1417" w:type="dxa"/>
          </w:tcPr>
          <w:p>
            <w:pPr>
              <w:pStyle w:val="27"/>
              <w:spacing w:line="360" w:lineRule="auto"/>
              <w:ind w:right="204"/>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收费标准</w:t>
            </w:r>
          </w:p>
        </w:tc>
        <w:tc>
          <w:tcPr>
            <w:tcW w:w="5376" w:type="dxa"/>
          </w:tcPr>
          <w:p>
            <w:pPr>
              <w:pStyle w:val="7"/>
              <w:autoSpaceDE w:val="0"/>
              <w:autoSpaceDN w:val="0"/>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查看电桩的收费标准；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2252" w:type="dxa"/>
          </w:tcPr>
          <w:p>
            <w:pPr>
              <w:pStyle w:val="27"/>
              <w:spacing w:line="360" w:lineRule="auto"/>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开启充电</w:t>
            </w:r>
          </w:p>
        </w:tc>
        <w:tc>
          <w:tcPr>
            <w:tcW w:w="1417" w:type="dxa"/>
          </w:tcPr>
          <w:p>
            <w:pPr>
              <w:pStyle w:val="27"/>
              <w:spacing w:line="360" w:lineRule="auto"/>
              <w:ind w:right="204"/>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开启充电</w:t>
            </w:r>
          </w:p>
        </w:tc>
        <w:tc>
          <w:tcPr>
            <w:tcW w:w="5376" w:type="dxa"/>
          </w:tcPr>
          <w:p>
            <w:pPr>
              <w:pStyle w:val="7"/>
              <w:autoSpaceDE w:val="0"/>
              <w:autoSpaceDN w:val="0"/>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用户插枪后点击“充电”按钮后即可开始为车辆进行补电，开启订单同时计算充电度数和费用。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6" w:hRule="atLeast"/>
        </w:trPr>
        <w:tc>
          <w:tcPr>
            <w:tcW w:w="2252" w:type="dxa"/>
          </w:tcPr>
          <w:p>
            <w:pPr>
              <w:pStyle w:val="27"/>
              <w:spacing w:line="360" w:lineRule="auto"/>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断开充电</w:t>
            </w:r>
          </w:p>
        </w:tc>
        <w:tc>
          <w:tcPr>
            <w:tcW w:w="1417" w:type="dxa"/>
          </w:tcPr>
          <w:p>
            <w:pPr>
              <w:pStyle w:val="27"/>
              <w:spacing w:line="360" w:lineRule="auto"/>
              <w:ind w:right="204"/>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断开充电</w:t>
            </w:r>
          </w:p>
        </w:tc>
        <w:tc>
          <w:tcPr>
            <w:tcW w:w="5376" w:type="dxa"/>
          </w:tcPr>
          <w:p>
            <w:pPr>
              <w:autoSpaceDE w:val="0"/>
              <w:autoSpaceDN w:val="0"/>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点击“断开”按钮后系统会切断电源并结束充电订单，停止计费；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2252" w:type="dxa"/>
          </w:tcPr>
          <w:p>
            <w:pPr>
              <w:pStyle w:val="27"/>
              <w:spacing w:line="360" w:lineRule="auto"/>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实时充电信息</w:t>
            </w:r>
          </w:p>
        </w:tc>
        <w:tc>
          <w:tcPr>
            <w:tcW w:w="1417" w:type="dxa"/>
          </w:tcPr>
          <w:p>
            <w:pPr>
              <w:pStyle w:val="27"/>
              <w:spacing w:line="360" w:lineRule="auto"/>
              <w:ind w:right="204"/>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实时充电信息</w:t>
            </w:r>
          </w:p>
        </w:tc>
        <w:tc>
          <w:tcPr>
            <w:tcW w:w="5376" w:type="dxa"/>
          </w:tcPr>
          <w:p>
            <w:pPr>
              <w:pStyle w:val="7"/>
              <w:autoSpaceDE w:val="0"/>
              <w:autoSpaceDN w:val="0"/>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用户通过APP可以实时查看车辆当前充电度数以及产生的充电费用。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2252" w:type="dxa"/>
          </w:tcPr>
          <w:p>
            <w:pPr>
              <w:pStyle w:val="27"/>
              <w:spacing w:line="360" w:lineRule="auto"/>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支付充电费</w:t>
            </w:r>
          </w:p>
        </w:tc>
        <w:tc>
          <w:tcPr>
            <w:tcW w:w="1417" w:type="dxa"/>
          </w:tcPr>
          <w:p>
            <w:pPr>
              <w:pStyle w:val="27"/>
              <w:spacing w:line="360" w:lineRule="auto"/>
              <w:ind w:right="204"/>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支付充电费</w:t>
            </w:r>
          </w:p>
        </w:tc>
        <w:tc>
          <w:tcPr>
            <w:tcW w:w="5376" w:type="dxa"/>
          </w:tcPr>
          <w:p>
            <w:pPr>
              <w:pStyle w:val="7"/>
              <w:autoSpaceDE w:val="0"/>
              <w:autoSpaceDN w:val="0"/>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充电结束后用户需要支付充电费用，否则下次将无法使用。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2252" w:type="dxa"/>
          </w:tcPr>
          <w:p>
            <w:pPr>
              <w:pStyle w:val="27"/>
              <w:spacing w:line="360" w:lineRule="auto"/>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查看历史充电记录</w:t>
            </w:r>
          </w:p>
        </w:tc>
        <w:tc>
          <w:tcPr>
            <w:tcW w:w="1417" w:type="dxa"/>
          </w:tcPr>
          <w:p>
            <w:pPr>
              <w:pStyle w:val="27"/>
              <w:spacing w:line="360" w:lineRule="auto"/>
              <w:ind w:right="204"/>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查看历史充电记录</w:t>
            </w:r>
          </w:p>
        </w:tc>
        <w:tc>
          <w:tcPr>
            <w:tcW w:w="5376" w:type="dxa"/>
          </w:tcPr>
          <w:p>
            <w:pPr>
              <w:pStyle w:val="7"/>
              <w:autoSpaceDE w:val="0"/>
              <w:autoSpaceDN w:val="0"/>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查看历史充电记录，点击后可以查看每次充电详情。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2252" w:type="dxa"/>
          </w:tcPr>
          <w:p>
            <w:pPr>
              <w:pStyle w:val="27"/>
              <w:spacing w:line="360" w:lineRule="auto"/>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申请开具充电发票</w:t>
            </w:r>
          </w:p>
        </w:tc>
        <w:tc>
          <w:tcPr>
            <w:tcW w:w="1417" w:type="dxa"/>
          </w:tcPr>
          <w:p>
            <w:pPr>
              <w:pStyle w:val="27"/>
              <w:spacing w:line="360" w:lineRule="auto"/>
              <w:ind w:right="204"/>
              <w:rPr>
                <w:rFonts w:hint="eastAsia" w:ascii="仿宋" w:hAnsi="仿宋" w:eastAsia="仿宋" w:cs="仿宋"/>
                <w:kern w:val="2"/>
                <w:sz w:val="24"/>
                <w:szCs w:val="24"/>
                <w:lang w:val="en-US" w:eastAsia="en-US" w:bidi="ar-SA"/>
              </w:rPr>
            </w:pPr>
            <w:r>
              <w:rPr>
                <w:rFonts w:hint="eastAsia" w:ascii="仿宋" w:hAnsi="仿宋" w:eastAsia="仿宋" w:cs="仿宋"/>
                <w:kern w:val="2"/>
                <w:sz w:val="24"/>
                <w:szCs w:val="24"/>
                <w:lang w:val="en-US" w:eastAsia="zh-CN" w:bidi="ar-SA"/>
              </w:rPr>
              <w:t>申请开具充电发票</w:t>
            </w:r>
          </w:p>
        </w:tc>
        <w:tc>
          <w:tcPr>
            <w:tcW w:w="5376" w:type="dxa"/>
          </w:tcPr>
          <w:p>
            <w:pPr>
              <w:pStyle w:val="7"/>
              <w:autoSpaceDE w:val="0"/>
              <w:autoSpaceDN w:val="0"/>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查看充电历史记录，未开具发票的记录可以申请开发票，申请后由相关管理人员进行审核，通过后会将发票提供给申请人；</w:t>
            </w:r>
          </w:p>
        </w:tc>
      </w:tr>
    </w:tbl>
    <w:p>
      <w:pPr>
        <w:wordWrap w:val="0"/>
        <w:spacing w:line="440" w:lineRule="exact"/>
        <w:jc w:val="left"/>
        <w:rPr>
          <w:rFonts w:ascii="Times New Roman" w:hAnsi="Times New Roman" w:cs="Times New Roman"/>
          <w:sz w:val="28"/>
          <w:szCs w:val="28"/>
        </w:rPr>
      </w:pPr>
    </w:p>
    <w:p>
      <w:pPr>
        <w:ind w:firstLine="643" w:firstLineChars="200"/>
        <w:jc w:val="lef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技术参数及要求</w:t>
      </w:r>
    </w:p>
    <w:p>
      <w:pPr>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（1）分体式群充直流设备，每组充电机单枪平均功率不得低于</w:t>
      </w:r>
      <w:r>
        <w:rPr>
          <w:rFonts w:hint="eastAsia" w:ascii="仿宋" w:hAnsi="仿宋" w:eastAsia="仿宋" w:cs="仿宋"/>
          <w:color w:val="auto"/>
          <w:sz w:val="32"/>
          <w:szCs w:val="32"/>
          <w:lang w:val="en-US" w:eastAsia="zh-CN"/>
        </w:rPr>
        <w:t>设备总功率/枪数</w:t>
      </w:r>
      <w:r>
        <w:rPr>
          <w:rFonts w:hint="eastAsia" w:ascii="仿宋" w:hAnsi="仿宋" w:eastAsia="仿宋" w:cs="仿宋"/>
          <w:sz w:val="32"/>
          <w:szCs w:val="32"/>
          <w:lang w:val="en-US" w:eastAsia="zh-CN"/>
        </w:rPr>
        <w:t>，单枪最大功率不得低于150KW，全部采用国标250A充电枪，线径80MM²充电枪线（充电机到充电枪底部露出位置）为6米；</w:t>
      </w:r>
    </w:p>
    <w:p>
      <w:pPr>
        <w:pStyle w:val="5"/>
        <w:rPr>
          <w:rFonts w:hint="default"/>
          <w:color w:val="auto"/>
          <w:lang w:val="en-US" w:eastAsia="zh-CN"/>
        </w:rPr>
      </w:pPr>
      <w:r>
        <w:rPr>
          <w:rFonts w:hint="eastAsia" w:ascii="仿宋" w:hAnsi="仿宋" w:eastAsia="仿宋" w:cs="仿宋"/>
          <w:color w:val="auto"/>
          <w:sz w:val="32"/>
          <w:szCs w:val="32"/>
          <w:lang w:val="en-US" w:eastAsia="zh-CN"/>
        </w:rPr>
        <w:t>（2）如车型或电池更新，应免费升级设备保证正常使用；</w:t>
      </w:r>
    </w:p>
    <w:p>
      <w:pPr>
        <w:ind w:firstLine="64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（3）充电桩适用于现在各种车型配对，要求充电电压满足300V-750V；</w:t>
      </w:r>
    </w:p>
    <w:p>
      <w:pPr>
        <w:ind w:firstLine="640"/>
        <w:jc w:val="left"/>
        <w:rPr>
          <w:rFonts w:hint="default" w:eastAsia="仿宋"/>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充电公用系统平台</w:t>
      </w:r>
    </w:p>
    <w:p>
      <w:pPr>
        <w:pStyle w:val="5"/>
        <w:rPr>
          <w:rFonts w:hint="default" w:ascii="仿宋" w:hAnsi="仿宋" w:eastAsia="仿宋" w:cs="仿宋"/>
          <w:color w:val="0070C0"/>
          <w:sz w:val="32"/>
          <w:szCs w:val="32"/>
          <w:lang w:val="en-US" w:eastAsia="zh-CN"/>
        </w:rPr>
      </w:pPr>
      <w:r>
        <w:rPr>
          <w:rFonts w:hint="eastAsia" w:ascii="仿宋" w:hAnsi="仿宋" w:eastAsia="仿宋" w:cs="仿宋"/>
          <w:color w:val="auto"/>
          <w:sz w:val="32"/>
          <w:szCs w:val="32"/>
          <w:lang w:val="en-US" w:eastAsia="zh-CN"/>
        </w:rPr>
        <w:t>建设具有亳州公交统一标准的充电公用系统平台，用于解决多家充电运营商、多座充电场站，场站充电设备分属多家桩企的复杂情况，改变运营管理繁琐、效率低且成本高等问题。运营平台应实现PC端平台功能接口及</w:t>
      </w:r>
      <w:r>
        <w:rPr>
          <w:rFonts w:hint="eastAsia" w:ascii="仿宋" w:hAnsi="仿宋" w:eastAsia="仿宋" w:cs="仿宋"/>
          <w:kern w:val="2"/>
          <w:sz w:val="32"/>
          <w:szCs w:val="32"/>
          <w:lang w:val="en-US" w:eastAsia="zh-CN" w:bidi="ar-SA"/>
        </w:rPr>
        <w:t>App端</w:t>
      </w:r>
      <w:r>
        <w:rPr>
          <w:rFonts w:hint="eastAsia" w:ascii="仿宋" w:hAnsi="仿宋" w:eastAsia="仿宋" w:cs="仿宋"/>
          <w:color w:val="auto"/>
          <w:sz w:val="32"/>
          <w:szCs w:val="32"/>
          <w:lang w:val="en-US" w:eastAsia="zh-CN"/>
        </w:rPr>
        <w:t>功能接口所有功能需求，</w:t>
      </w:r>
      <w:r>
        <w:rPr>
          <w:rFonts w:hint="eastAsia" w:ascii="仿宋" w:hAnsi="仿宋" w:eastAsia="仿宋" w:cs="仿宋"/>
          <w:sz w:val="32"/>
          <w:szCs w:val="32"/>
          <w:lang w:val="en-US" w:eastAsia="zh-CN"/>
        </w:rPr>
        <w:t>APP</w:t>
      </w:r>
      <w:r>
        <w:rPr>
          <w:rFonts w:hint="eastAsia" w:ascii="仿宋" w:hAnsi="仿宋" w:eastAsia="仿宋" w:cs="仿宋"/>
          <w:color w:val="auto"/>
          <w:sz w:val="32"/>
          <w:szCs w:val="32"/>
          <w:lang w:val="en-US" w:eastAsia="zh-CN"/>
        </w:rPr>
        <w:t>分自主使用和社会使用两个功能区，自主使用仅查询功能，社会使用须具备上述接口所有功能。</w:t>
      </w:r>
      <w:r>
        <w:rPr>
          <w:rFonts w:hint="eastAsia" w:ascii="仿宋" w:hAnsi="仿宋" w:eastAsia="仿宋" w:cs="仿宋"/>
          <w:color w:val="auto"/>
          <w:sz w:val="32"/>
          <w:szCs w:val="32"/>
          <w:shd w:val="clear" w:fill="FFFF00"/>
          <w:lang w:val="en-US" w:eastAsia="zh-CN"/>
        </w:rPr>
        <w:t>公交充电桩运营平台建成后运营平台及密钥属亳州公交所有，建设方要终身提供免费升级及维护服务。</w:t>
      </w:r>
    </w:p>
    <w:p>
      <w:pPr>
        <w:pStyle w:val="5"/>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（5）技术规范及标准：</w:t>
      </w:r>
    </w:p>
    <w:tbl>
      <w:tblPr>
        <w:tblStyle w:val="15"/>
        <w:tblpPr w:leftFromText="180" w:rightFromText="180" w:vertAnchor="text" w:horzAnchor="page" w:tblpX="1294" w:tblpY="455"/>
        <w:tblOverlap w:val="never"/>
        <w:tblW w:w="8908" w:type="dxa"/>
        <w:tblInd w:w="0" w:type="dxa"/>
        <w:tblLayout w:type="fixed"/>
        <w:tblCellMar>
          <w:top w:w="0" w:type="dxa"/>
          <w:left w:w="108" w:type="dxa"/>
          <w:bottom w:w="0" w:type="dxa"/>
          <w:right w:w="108" w:type="dxa"/>
        </w:tblCellMar>
      </w:tblPr>
      <w:tblGrid>
        <w:gridCol w:w="900"/>
        <w:gridCol w:w="2575"/>
        <w:gridCol w:w="5433"/>
      </w:tblGrid>
      <w:tr>
        <w:tblPrEx>
          <w:tblCellMar>
            <w:top w:w="0" w:type="dxa"/>
            <w:left w:w="108" w:type="dxa"/>
            <w:bottom w:w="0" w:type="dxa"/>
            <w:right w:w="108" w:type="dxa"/>
          </w:tblCellMar>
        </w:tblPrEx>
        <w:trPr>
          <w:trHeight w:val="699" w:hRule="atLeast"/>
        </w:trPr>
        <w:tc>
          <w:tcPr>
            <w:tcW w:w="900" w:type="dxa"/>
            <w:tcBorders>
              <w:top w:val="single" w:color="auto" w:sz="4" w:space="0"/>
              <w:left w:val="single" w:color="auto" w:sz="4" w:space="0"/>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序号</w:t>
            </w:r>
          </w:p>
        </w:tc>
        <w:tc>
          <w:tcPr>
            <w:tcW w:w="2575" w:type="dxa"/>
            <w:tcBorders>
              <w:top w:val="single" w:color="auto" w:sz="4" w:space="0"/>
              <w:left w:val="nil"/>
              <w:bottom w:val="single" w:color="auto" w:sz="4" w:space="0"/>
              <w:right w:val="single" w:color="auto" w:sz="4" w:space="0"/>
            </w:tcBorders>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标 准 号</w:t>
            </w:r>
          </w:p>
        </w:tc>
        <w:tc>
          <w:tcPr>
            <w:tcW w:w="5433" w:type="dxa"/>
            <w:tcBorders>
              <w:top w:val="single" w:color="auto" w:sz="4" w:space="0"/>
              <w:left w:val="nil"/>
              <w:bottom w:val="single" w:color="auto" w:sz="4" w:space="0"/>
              <w:right w:val="single" w:color="auto" w:sz="4" w:space="0"/>
            </w:tcBorders>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技术规范及标准</w:t>
            </w:r>
          </w:p>
        </w:tc>
      </w:tr>
      <w:tr>
        <w:tblPrEx>
          <w:tblCellMar>
            <w:top w:w="0" w:type="dxa"/>
            <w:left w:w="108" w:type="dxa"/>
            <w:bottom w:w="0" w:type="dxa"/>
            <w:right w:w="108" w:type="dxa"/>
          </w:tblCellMar>
        </w:tblPrEx>
        <w:trPr>
          <w:trHeight w:val="480" w:hRule="atLeast"/>
        </w:trPr>
        <w:tc>
          <w:tcPr>
            <w:tcW w:w="900" w:type="dxa"/>
            <w:tcBorders>
              <w:top w:val="single" w:color="auto" w:sz="4" w:space="0"/>
              <w:left w:val="single" w:color="auto" w:sz="4" w:space="0"/>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1</w:t>
            </w:r>
          </w:p>
        </w:tc>
        <w:tc>
          <w:tcPr>
            <w:tcW w:w="2575" w:type="dxa"/>
            <w:tcBorders>
              <w:top w:val="single" w:color="auto" w:sz="4" w:space="0"/>
              <w:left w:val="nil"/>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GB/T 29316-2012</w:t>
            </w:r>
          </w:p>
        </w:tc>
        <w:tc>
          <w:tcPr>
            <w:tcW w:w="5433" w:type="dxa"/>
            <w:tcBorders>
              <w:top w:val="single" w:color="auto" w:sz="4" w:space="0"/>
              <w:left w:val="nil"/>
              <w:bottom w:val="single" w:color="auto" w:sz="4" w:space="0"/>
              <w:right w:val="single" w:color="auto" w:sz="4" w:space="0"/>
            </w:tcBorders>
            <w:noWrap/>
            <w:vAlign w:val="center"/>
          </w:tcPr>
          <w:p>
            <w:pPr>
              <w:wordWrap w:val="0"/>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电动汽车充换电设施电能质量技术要求</w:t>
            </w:r>
          </w:p>
        </w:tc>
      </w:tr>
      <w:tr>
        <w:tblPrEx>
          <w:tblCellMar>
            <w:top w:w="0" w:type="dxa"/>
            <w:left w:w="108" w:type="dxa"/>
            <w:bottom w:w="0" w:type="dxa"/>
            <w:right w:w="108" w:type="dxa"/>
          </w:tblCellMar>
        </w:tblPrEx>
        <w:trPr>
          <w:trHeight w:val="480" w:hRule="atLeast"/>
        </w:trPr>
        <w:tc>
          <w:tcPr>
            <w:tcW w:w="900" w:type="dxa"/>
            <w:tcBorders>
              <w:top w:val="nil"/>
              <w:left w:val="single" w:color="auto" w:sz="4" w:space="0"/>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2</w:t>
            </w:r>
          </w:p>
        </w:tc>
        <w:tc>
          <w:tcPr>
            <w:tcW w:w="2575" w:type="dxa"/>
            <w:tcBorders>
              <w:top w:val="nil"/>
              <w:left w:val="nil"/>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NB/T 33001-2010</w:t>
            </w:r>
          </w:p>
        </w:tc>
        <w:tc>
          <w:tcPr>
            <w:tcW w:w="5433" w:type="dxa"/>
            <w:tcBorders>
              <w:top w:val="nil"/>
              <w:left w:val="nil"/>
              <w:bottom w:val="single" w:color="auto" w:sz="4" w:space="0"/>
              <w:right w:val="single" w:color="auto" w:sz="4" w:space="0"/>
            </w:tcBorders>
            <w:noWrap/>
            <w:vAlign w:val="center"/>
          </w:tcPr>
          <w:p>
            <w:pPr>
              <w:wordWrap w:val="0"/>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电动汽车非车载传导式充电技术条件</w:t>
            </w:r>
          </w:p>
        </w:tc>
      </w:tr>
      <w:tr>
        <w:tblPrEx>
          <w:tblCellMar>
            <w:top w:w="0" w:type="dxa"/>
            <w:left w:w="108" w:type="dxa"/>
            <w:bottom w:w="0" w:type="dxa"/>
            <w:right w:w="108" w:type="dxa"/>
          </w:tblCellMar>
        </w:tblPrEx>
        <w:trPr>
          <w:trHeight w:val="480" w:hRule="atLeast"/>
        </w:trPr>
        <w:tc>
          <w:tcPr>
            <w:tcW w:w="900" w:type="dxa"/>
            <w:tcBorders>
              <w:top w:val="nil"/>
              <w:left w:val="single" w:color="auto" w:sz="4" w:space="0"/>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3</w:t>
            </w:r>
          </w:p>
        </w:tc>
        <w:tc>
          <w:tcPr>
            <w:tcW w:w="2575" w:type="dxa"/>
            <w:tcBorders>
              <w:top w:val="nil"/>
              <w:left w:val="nil"/>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GB/T 27930-2015</w:t>
            </w:r>
          </w:p>
        </w:tc>
        <w:tc>
          <w:tcPr>
            <w:tcW w:w="5433" w:type="dxa"/>
            <w:tcBorders>
              <w:top w:val="nil"/>
              <w:left w:val="nil"/>
              <w:bottom w:val="single" w:color="auto" w:sz="4" w:space="0"/>
              <w:right w:val="single" w:color="auto" w:sz="4" w:space="0"/>
            </w:tcBorders>
            <w:noWrap/>
            <w:vAlign w:val="center"/>
          </w:tcPr>
          <w:p>
            <w:pPr>
              <w:wordWrap w:val="0"/>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电动汽车非车载传导式充电机与电池管理系统之间的通信协议</w:t>
            </w:r>
          </w:p>
        </w:tc>
      </w:tr>
      <w:tr>
        <w:tblPrEx>
          <w:tblCellMar>
            <w:top w:w="0" w:type="dxa"/>
            <w:left w:w="108" w:type="dxa"/>
            <w:bottom w:w="0" w:type="dxa"/>
            <w:right w:w="108" w:type="dxa"/>
          </w:tblCellMar>
        </w:tblPrEx>
        <w:trPr>
          <w:trHeight w:val="480" w:hRule="atLeast"/>
        </w:trPr>
        <w:tc>
          <w:tcPr>
            <w:tcW w:w="900" w:type="dxa"/>
            <w:tcBorders>
              <w:top w:val="nil"/>
              <w:left w:val="single" w:color="auto" w:sz="4" w:space="0"/>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4</w:t>
            </w:r>
          </w:p>
        </w:tc>
        <w:tc>
          <w:tcPr>
            <w:tcW w:w="2575" w:type="dxa"/>
            <w:tcBorders>
              <w:top w:val="nil"/>
              <w:left w:val="nil"/>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GB/T 18487.1-2005</w:t>
            </w:r>
          </w:p>
        </w:tc>
        <w:tc>
          <w:tcPr>
            <w:tcW w:w="5433" w:type="dxa"/>
            <w:tcBorders>
              <w:top w:val="nil"/>
              <w:left w:val="nil"/>
              <w:bottom w:val="single" w:color="auto" w:sz="4" w:space="0"/>
              <w:right w:val="single" w:color="auto" w:sz="4" w:space="0"/>
            </w:tcBorders>
            <w:noWrap/>
            <w:vAlign w:val="center"/>
          </w:tcPr>
          <w:p>
            <w:pPr>
              <w:wordWrap w:val="0"/>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电动汽车传导充电系统  第1部分：通用要求 附录B</w:t>
            </w:r>
          </w:p>
        </w:tc>
      </w:tr>
      <w:tr>
        <w:tblPrEx>
          <w:tblCellMar>
            <w:top w:w="0" w:type="dxa"/>
            <w:left w:w="108" w:type="dxa"/>
            <w:bottom w:w="0" w:type="dxa"/>
            <w:right w:w="108" w:type="dxa"/>
          </w:tblCellMar>
        </w:tblPrEx>
        <w:trPr>
          <w:trHeight w:val="480" w:hRule="atLeast"/>
        </w:trPr>
        <w:tc>
          <w:tcPr>
            <w:tcW w:w="900" w:type="dxa"/>
            <w:tcBorders>
              <w:top w:val="nil"/>
              <w:left w:val="single" w:color="auto" w:sz="4" w:space="0"/>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5</w:t>
            </w:r>
          </w:p>
        </w:tc>
        <w:tc>
          <w:tcPr>
            <w:tcW w:w="2575" w:type="dxa"/>
            <w:tcBorders>
              <w:top w:val="nil"/>
              <w:left w:val="nil"/>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GB/T 29781-2013</w:t>
            </w:r>
          </w:p>
        </w:tc>
        <w:tc>
          <w:tcPr>
            <w:tcW w:w="5433" w:type="dxa"/>
            <w:tcBorders>
              <w:top w:val="nil"/>
              <w:left w:val="nil"/>
              <w:bottom w:val="single" w:color="auto" w:sz="4" w:space="0"/>
              <w:right w:val="single" w:color="auto" w:sz="4" w:space="0"/>
            </w:tcBorders>
            <w:noWrap/>
            <w:vAlign w:val="center"/>
          </w:tcPr>
          <w:p>
            <w:pPr>
              <w:wordWrap w:val="0"/>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电动汽车充电站通用要求</w:t>
            </w:r>
          </w:p>
        </w:tc>
      </w:tr>
      <w:tr>
        <w:tblPrEx>
          <w:tblCellMar>
            <w:top w:w="0" w:type="dxa"/>
            <w:left w:w="108" w:type="dxa"/>
            <w:bottom w:w="0" w:type="dxa"/>
            <w:right w:w="108" w:type="dxa"/>
          </w:tblCellMar>
        </w:tblPrEx>
        <w:trPr>
          <w:trHeight w:val="480" w:hRule="atLeast"/>
        </w:trPr>
        <w:tc>
          <w:tcPr>
            <w:tcW w:w="900" w:type="dxa"/>
            <w:tcBorders>
              <w:top w:val="nil"/>
              <w:left w:val="single" w:color="auto" w:sz="4" w:space="0"/>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6</w:t>
            </w:r>
          </w:p>
        </w:tc>
        <w:tc>
          <w:tcPr>
            <w:tcW w:w="2575" w:type="dxa"/>
            <w:tcBorders>
              <w:top w:val="nil"/>
              <w:left w:val="nil"/>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GB 50996-2014</w:t>
            </w:r>
          </w:p>
        </w:tc>
        <w:tc>
          <w:tcPr>
            <w:tcW w:w="5433" w:type="dxa"/>
            <w:tcBorders>
              <w:top w:val="nil"/>
              <w:left w:val="nil"/>
              <w:bottom w:val="single" w:color="auto" w:sz="4" w:space="0"/>
              <w:right w:val="single" w:color="auto" w:sz="4" w:space="0"/>
            </w:tcBorders>
            <w:noWrap/>
            <w:vAlign w:val="center"/>
          </w:tcPr>
          <w:p>
            <w:pPr>
              <w:wordWrap w:val="0"/>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电动汽车充电站设计规范</w:t>
            </w:r>
          </w:p>
        </w:tc>
      </w:tr>
      <w:tr>
        <w:tblPrEx>
          <w:tblCellMar>
            <w:top w:w="0" w:type="dxa"/>
            <w:left w:w="108" w:type="dxa"/>
            <w:bottom w:w="0" w:type="dxa"/>
            <w:right w:w="108" w:type="dxa"/>
          </w:tblCellMar>
        </w:tblPrEx>
        <w:trPr>
          <w:trHeight w:val="480" w:hRule="atLeast"/>
        </w:trPr>
        <w:tc>
          <w:tcPr>
            <w:tcW w:w="900" w:type="dxa"/>
            <w:tcBorders>
              <w:top w:val="nil"/>
              <w:left w:val="single" w:color="auto" w:sz="4" w:space="0"/>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7</w:t>
            </w:r>
          </w:p>
        </w:tc>
        <w:tc>
          <w:tcPr>
            <w:tcW w:w="2575" w:type="dxa"/>
            <w:tcBorders>
              <w:top w:val="nil"/>
              <w:left w:val="nil"/>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NB/T 33004-2013</w:t>
            </w:r>
          </w:p>
        </w:tc>
        <w:tc>
          <w:tcPr>
            <w:tcW w:w="5433" w:type="dxa"/>
            <w:tcBorders>
              <w:top w:val="nil"/>
              <w:left w:val="nil"/>
              <w:bottom w:val="single" w:color="auto" w:sz="4" w:space="0"/>
              <w:right w:val="single" w:color="auto" w:sz="4" w:space="0"/>
            </w:tcBorders>
            <w:noWrap/>
            <w:vAlign w:val="center"/>
          </w:tcPr>
          <w:p>
            <w:pPr>
              <w:wordWrap w:val="0"/>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电动汽车充换电设施工程施工和竣工验收规范</w:t>
            </w:r>
          </w:p>
        </w:tc>
      </w:tr>
      <w:tr>
        <w:tblPrEx>
          <w:tblCellMar>
            <w:top w:w="0" w:type="dxa"/>
            <w:left w:w="108" w:type="dxa"/>
            <w:bottom w:w="0" w:type="dxa"/>
            <w:right w:w="108" w:type="dxa"/>
          </w:tblCellMar>
        </w:tblPrEx>
        <w:trPr>
          <w:trHeight w:val="480" w:hRule="atLeast"/>
        </w:trPr>
        <w:tc>
          <w:tcPr>
            <w:tcW w:w="900" w:type="dxa"/>
            <w:tcBorders>
              <w:top w:val="nil"/>
              <w:left w:val="single" w:color="auto" w:sz="4" w:space="0"/>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8</w:t>
            </w:r>
          </w:p>
        </w:tc>
        <w:tc>
          <w:tcPr>
            <w:tcW w:w="2575" w:type="dxa"/>
            <w:tcBorders>
              <w:top w:val="nil"/>
              <w:left w:val="nil"/>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DL/T645-2007</w:t>
            </w:r>
          </w:p>
        </w:tc>
        <w:tc>
          <w:tcPr>
            <w:tcW w:w="5433" w:type="dxa"/>
            <w:tcBorders>
              <w:top w:val="nil"/>
              <w:left w:val="nil"/>
              <w:bottom w:val="single" w:color="auto" w:sz="4" w:space="0"/>
              <w:right w:val="single" w:color="auto" w:sz="4" w:space="0"/>
            </w:tcBorders>
            <w:noWrap/>
            <w:vAlign w:val="center"/>
          </w:tcPr>
          <w:p>
            <w:pPr>
              <w:wordWrap w:val="0"/>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多功能电能表通信协议</w:t>
            </w:r>
          </w:p>
        </w:tc>
      </w:tr>
      <w:tr>
        <w:tblPrEx>
          <w:tblCellMar>
            <w:top w:w="0" w:type="dxa"/>
            <w:left w:w="108" w:type="dxa"/>
            <w:bottom w:w="0" w:type="dxa"/>
            <w:right w:w="108" w:type="dxa"/>
          </w:tblCellMar>
        </w:tblPrEx>
        <w:trPr>
          <w:trHeight w:val="480" w:hRule="atLeast"/>
        </w:trPr>
        <w:tc>
          <w:tcPr>
            <w:tcW w:w="900" w:type="dxa"/>
            <w:tcBorders>
              <w:top w:val="single" w:color="auto" w:sz="4" w:space="0"/>
              <w:left w:val="single" w:color="auto" w:sz="4" w:space="0"/>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9</w:t>
            </w:r>
          </w:p>
        </w:tc>
        <w:tc>
          <w:tcPr>
            <w:tcW w:w="2575" w:type="dxa"/>
            <w:tcBorders>
              <w:top w:val="single" w:color="auto" w:sz="4" w:space="0"/>
              <w:left w:val="nil"/>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GB/T 20234.1-2015</w:t>
            </w:r>
          </w:p>
        </w:tc>
        <w:tc>
          <w:tcPr>
            <w:tcW w:w="5433" w:type="dxa"/>
            <w:tcBorders>
              <w:top w:val="single" w:color="auto" w:sz="4" w:space="0"/>
              <w:left w:val="nil"/>
              <w:bottom w:val="single" w:color="auto" w:sz="4" w:space="0"/>
              <w:right w:val="single" w:color="auto" w:sz="4" w:space="0"/>
            </w:tcBorders>
            <w:noWrap/>
            <w:vAlign w:val="center"/>
          </w:tcPr>
          <w:p>
            <w:pPr>
              <w:wordWrap w:val="0"/>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电动汽车传导充电用连接装置 第1部分：通用要求</w:t>
            </w:r>
          </w:p>
        </w:tc>
      </w:tr>
      <w:tr>
        <w:tblPrEx>
          <w:tblCellMar>
            <w:top w:w="0" w:type="dxa"/>
            <w:left w:w="108" w:type="dxa"/>
            <w:bottom w:w="0" w:type="dxa"/>
            <w:right w:w="108" w:type="dxa"/>
          </w:tblCellMar>
        </w:tblPrEx>
        <w:trPr>
          <w:trHeight w:val="480" w:hRule="atLeast"/>
        </w:trPr>
        <w:tc>
          <w:tcPr>
            <w:tcW w:w="900" w:type="dxa"/>
            <w:tcBorders>
              <w:top w:val="nil"/>
              <w:left w:val="single" w:color="auto" w:sz="4" w:space="0"/>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10</w:t>
            </w:r>
          </w:p>
        </w:tc>
        <w:tc>
          <w:tcPr>
            <w:tcW w:w="2575" w:type="dxa"/>
            <w:tcBorders>
              <w:top w:val="nil"/>
              <w:left w:val="nil"/>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GB/T 20234.3-2015</w:t>
            </w:r>
          </w:p>
        </w:tc>
        <w:tc>
          <w:tcPr>
            <w:tcW w:w="5433" w:type="dxa"/>
            <w:tcBorders>
              <w:top w:val="nil"/>
              <w:left w:val="nil"/>
              <w:bottom w:val="single" w:color="auto" w:sz="4" w:space="0"/>
              <w:right w:val="single" w:color="auto" w:sz="4" w:space="0"/>
            </w:tcBorders>
            <w:noWrap/>
            <w:vAlign w:val="center"/>
          </w:tcPr>
          <w:p>
            <w:pPr>
              <w:wordWrap w:val="0"/>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电动汽车传导充电用连接装置 第3部分：直流充电接口</w:t>
            </w:r>
          </w:p>
        </w:tc>
      </w:tr>
      <w:tr>
        <w:tblPrEx>
          <w:tblCellMar>
            <w:top w:w="0" w:type="dxa"/>
            <w:left w:w="108" w:type="dxa"/>
            <w:bottom w:w="0" w:type="dxa"/>
            <w:right w:w="108" w:type="dxa"/>
          </w:tblCellMar>
        </w:tblPrEx>
        <w:trPr>
          <w:trHeight w:val="480" w:hRule="atLeast"/>
        </w:trPr>
        <w:tc>
          <w:tcPr>
            <w:tcW w:w="900" w:type="dxa"/>
            <w:tcBorders>
              <w:top w:val="nil"/>
              <w:left w:val="single" w:color="auto" w:sz="4" w:space="0"/>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11</w:t>
            </w:r>
          </w:p>
        </w:tc>
        <w:tc>
          <w:tcPr>
            <w:tcW w:w="2575" w:type="dxa"/>
            <w:tcBorders>
              <w:top w:val="nil"/>
              <w:left w:val="nil"/>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GB/T 20234.2-2015</w:t>
            </w:r>
          </w:p>
        </w:tc>
        <w:tc>
          <w:tcPr>
            <w:tcW w:w="5433" w:type="dxa"/>
            <w:tcBorders>
              <w:top w:val="nil"/>
              <w:left w:val="nil"/>
              <w:bottom w:val="single" w:color="auto" w:sz="4" w:space="0"/>
              <w:right w:val="single" w:color="auto" w:sz="4" w:space="0"/>
            </w:tcBorders>
            <w:noWrap/>
            <w:vAlign w:val="center"/>
          </w:tcPr>
          <w:p>
            <w:pPr>
              <w:wordWrap w:val="0"/>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电动汽车传导充电用连接装置 第2部分:交流充电接口</w:t>
            </w:r>
          </w:p>
        </w:tc>
      </w:tr>
      <w:tr>
        <w:tblPrEx>
          <w:tblCellMar>
            <w:top w:w="0" w:type="dxa"/>
            <w:left w:w="108" w:type="dxa"/>
            <w:bottom w:w="0" w:type="dxa"/>
            <w:right w:w="108" w:type="dxa"/>
          </w:tblCellMar>
        </w:tblPrEx>
        <w:trPr>
          <w:trHeight w:val="480" w:hRule="atLeast"/>
        </w:trPr>
        <w:tc>
          <w:tcPr>
            <w:tcW w:w="900" w:type="dxa"/>
            <w:tcBorders>
              <w:top w:val="single" w:color="auto" w:sz="4" w:space="0"/>
              <w:left w:val="single" w:color="auto" w:sz="4" w:space="0"/>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12</w:t>
            </w:r>
          </w:p>
        </w:tc>
        <w:tc>
          <w:tcPr>
            <w:tcW w:w="2575" w:type="dxa"/>
            <w:tcBorders>
              <w:top w:val="single" w:color="auto" w:sz="4" w:space="0"/>
              <w:left w:val="nil"/>
              <w:bottom w:val="single" w:color="auto" w:sz="4" w:space="0"/>
              <w:right w:val="single" w:color="auto" w:sz="4" w:space="0"/>
            </w:tcBorders>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GB 4028-2008</w:t>
            </w:r>
          </w:p>
        </w:tc>
        <w:tc>
          <w:tcPr>
            <w:tcW w:w="5433" w:type="dxa"/>
            <w:tcBorders>
              <w:top w:val="single" w:color="auto" w:sz="4" w:space="0"/>
              <w:left w:val="nil"/>
              <w:bottom w:val="single" w:color="auto" w:sz="4" w:space="0"/>
              <w:right w:val="single" w:color="auto" w:sz="4" w:space="0"/>
            </w:tcBorders>
            <w:noWrap/>
            <w:vAlign w:val="center"/>
          </w:tcPr>
          <w:p>
            <w:pPr>
              <w:wordWrap w:val="0"/>
              <w:spacing w:line="520" w:lineRule="exact"/>
              <w:ind w:firstLine="480" w:firstLineChars="200"/>
              <w:jc w:val="left"/>
              <w:rPr>
                <w:rFonts w:ascii="宋体" w:hAnsi="宋体" w:eastAsia="宋体" w:cs="宋体"/>
                <w:kern w:val="0"/>
                <w:sz w:val="24"/>
              </w:rPr>
            </w:pPr>
            <w:r>
              <w:rPr>
                <w:rFonts w:hint="eastAsia" w:ascii="宋体" w:hAnsi="宋体" w:eastAsia="宋体" w:cs="宋体"/>
                <w:kern w:val="0"/>
                <w:sz w:val="24"/>
              </w:rPr>
              <w:t>外壳防护等级（IP代码）</w:t>
            </w:r>
          </w:p>
        </w:tc>
      </w:tr>
    </w:tbl>
    <w:p>
      <w:pPr>
        <w:pStyle w:val="5"/>
        <w:ind w:left="0" w:leftChars="0" w:firstLine="640" w:firstLineChars="0"/>
        <w:jc w:val="left"/>
        <w:rPr>
          <w:rFonts w:hint="eastAsia" w:ascii="仿宋" w:hAnsi="仿宋" w:eastAsia="仿宋" w:cs="仿宋"/>
          <w:sz w:val="32"/>
          <w:szCs w:val="32"/>
          <w:lang w:val="en-US" w:eastAsia="zh-CN"/>
        </w:rPr>
      </w:pPr>
    </w:p>
    <w:p>
      <w:pPr>
        <w:pStyle w:val="5"/>
        <w:jc w:val="left"/>
        <w:rPr>
          <w:rFonts w:hint="eastAsia" w:ascii="仿宋" w:hAnsi="仿宋" w:eastAsia="仿宋" w:cs="仿宋"/>
          <w:b w:val="0"/>
          <w:bCs w:val="0"/>
          <w:sz w:val="32"/>
          <w:szCs w:val="32"/>
          <w:lang w:val="en-US" w:eastAsia="zh-CN"/>
        </w:rPr>
      </w:pPr>
    </w:p>
    <w:p>
      <w:pPr>
        <w:pStyle w:val="5"/>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（6）直流充电桩技术参数</w:t>
      </w:r>
    </w:p>
    <w:tbl>
      <w:tblPr>
        <w:tblStyle w:val="15"/>
        <w:tblpPr w:leftFromText="180" w:rightFromText="180" w:vertAnchor="text" w:horzAnchor="page" w:tblpX="1281" w:tblpY="773"/>
        <w:tblOverlap w:val="never"/>
        <w:tblW w:w="88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97"/>
        <w:gridCol w:w="2581"/>
        <w:gridCol w:w="5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jc w:val="left"/>
              <w:rPr>
                <w:rFonts w:ascii="宋体" w:hAnsi="宋体" w:eastAsia="宋体" w:cs="宋体"/>
                <w:kern w:val="0"/>
                <w:sz w:val="24"/>
              </w:rPr>
            </w:pPr>
            <w:r>
              <w:rPr>
                <w:rFonts w:hint="eastAsia" w:ascii="宋体" w:hAnsi="宋体" w:eastAsia="宋体" w:cs="宋体"/>
                <w:kern w:val="0"/>
                <w:sz w:val="24"/>
              </w:rPr>
              <w:t>序号</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项目</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jc w:val="left"/>
              <w:rPr>
                <w:rFonts w:ascii="宋体" w:hAnsi="宋体" w:eastAsia="宋体" w:cs="宋体"/>
                <w:kern w:val="0"/>
                <w:sz w:val="24"/>
              </w:rPr>
            </w:pPr>
            <w:r>
              <w:rPr>
                <w:rFonts w:hint="eastAsia" w:ascii="宋体" w:hAnsi="宋体" w:eastAsia="宋体" w:cs="宋体"/>
                <w:kern w:val="0"/>
                <w:sz w:val="24"/>
              </w:rPr>
              <w:t>1</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交流输入电压</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三相380V（-15%，＋15％）AC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jc w:val="left"/>
              <w:rPr>
                <w:rFonts w:ascii="宋体" w:hAnsi="宋体" w:eastAsia="宋体" w:cs="宋体"/>
                <w:kern w:val="0"/>
                <w:sz w:val="24"/>
              </w:rPr>
            </w:pPr>
            <w:r>
              <w:rPr>
                <w:rFonts w:hint="eastAsia" w:ascii="宋体" w:hAnsi="宋体" w:eastAsia="宋体" w:cs="宋体"/>
                <w:kern w:val="0"/>
                <w:sz w:val="24"/>
              </w:rPr>
              <w:t>2</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交流输入频率</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50Hz±2%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jc w:val="left"/>
              <w:rPr>
                <w:rFonts w:ascii="宋体" w:hAnsi="宋体" w:eastAsia="宋体" w:cs="宋体"/>
                <w:kern w:val="0"/>
                <w:sz w:val="24"/>
              </w:rPr>
            </w:pPr>
            <w:r>
              <w:rPr>
                <w:rFonts w:hint="eastAsia" w:ascii="宋体" w:hAnsi="宋体" w:eastAsia="宋体" w:cs="宋体"/>
                <w:kern w:val="0"/>
                <w:sz w:val="24"/>
              </w:rPr>
              <w:t>3</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单枪平均功率</w:t>
            </w:r>
          </w:p>
        </w:tc>
        <w:tc>
          <w:tcPr>
            <w:tcW w:w="5055" w:type="dxa"/>
            <w:noWrap/>
            <w:vAlign w:val="center"/>
          </w:tcPr>
          <w:p>
            <w:pPr>
              <w:wordWrap w:val="0"/>
              <w:spacing w:line="520" w:lineRule="exact"/>
              <w:ind w:firstLine="480" w:firstLineChars="200"/>
              <w:rPr>
                <w:rFonts w:hint="default" w:ascii="宋体" w:hAnsi="宋体" w:eastAsia="宋体" w:cs="宋体"/>
                <w:kern w:val="0"/>
                <w:sz w:val="24"/>
                <w:lang w:val="en-US" w:eastAsia="zh-CN"/>
              </w:rPr>
            </w:pPr>
            <w:r>
              <w:rPr>
                <w:rFonts w:hint="eastAsia" w:ascii="宋体" w:hAnsi="宋体" w:eastAsia="宋体" w:cs="宋体"/>
                <w:kern w:val="0"/>
                <w:sz w:val="24"/>
                <w:lang w:eastAsia="zh-CN"/>
              </w:rPr>
              <w:t>根据拖带充电枪数，不低于设备总功率</w:t>
            </w:r>
            <w:r>
              <w:rPr>
                <w:rFonts w:hint="eastAsia" w:ascii="宋体" w:hAnsi="宋体" w:eastAsia="宋体" w:cs="宋体"/>
                <w:kern w:val="0"/>
                <w:sz w:val="24"/>
                <w:lang w:val="en-US" w:eastAsia="zh-CN"/>
              </w:rPr>
              <w:t>/枪数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jc w:val="left"/>
              <w:rPr>
                <w:rFonts w:ascii="宋体" w:hAnsi="宋体" w:eastAsia="宋体" w:cs="宋体"/>
                <w:kern w:val="0"/>
                <w:sz w:val="24"/>
              </w:rPr>
            </w:pPr>
            <w:r>
              <w:rPr>
                <w:rFonts w:hint="eastAsia" w:ascii="宋体" w:hAnsi="宋体" w:eastAsia="宋体" w:cs="宋体"/>
                <w:kern w:val="0"/>
                <w:sz w:val="24"/>
              </w:rPr>
              <w:t>4</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额定输出电流</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lang w:val="en-US" w:eastAsia="zh-CN"/>
              </w:rPr>
              <w:t>0</w:t>
            </w:r>
            <w:r>
              <w:rPr>
                <w:rFonts w:hint="eastAsia" w:ascii="宋体" w:hAnsi="宋体" w:eastAsia="宋体" w:cs="宋体"/>
                <w:kern w:val="0"/>
                <w:sz w:val="24"/>
              </w:rPr>
              <w:t>--250A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jc w:val="left"/>
              <w:rPr>
                <w:rFonts w:ascii="宋体" w:hAnsi="宋体" w:eastAsia="宋体" w:cs="宋体"/>
                <w:kern w:val="0"/>
                <w:sz w:val="24"/>
              </w:rPr>
            </w:pPr>
            <w:r>
              <w:rPr>
                <w:rFonts w:hint="eastAsia" w:ascii="宋体" w:hAnsi="宋体" w:eastAsia="宋体" w:cs="宋体"/>
                <w:kern w:val="0"/>
                <w:sz w:val="24"/>
              </w:rPr>
              <w:t>5</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结构形式</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lang w:eastAsia="zh-CN"/>
              </w:rPr>
              <w:t>分体</w:t>
            </w:r>
            <w:r>
              <w:rPr>
                <w:rFonts w:hint="eastAsia" w:ascii="宋体" w:hAnsi="宋体" w:eastAsia="宋体" w:cs="宋体"/>
                <w:kern w:val="0"/>
                <w:sz w:val="24"/>
              </w:rPr>
              <w:t>群充式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jc w:val="left"/>
              <w:rPr>
                <w:rFonts w:ascii="宋体" w:hAnsi="宋体" w:eastAsia="宋体" w:cs="宋体"/>
                <w:kern w:val="0"/>
                <w:sz w:val="24"/>
              </w:rPr>
            </w:pPr>
            <w:r>
              <w:rPr>
                <w:rFonts w:hint="eastAsia" w:ascii="宋体" w:hAnsi="宋体" w:eastAsia="宋体" w:cs="宋体"/>
                <w:kern w:val="0"/>
                <w:sz w:val="24"/>
              </w:rPr>
              <w:t>6</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环境温度</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不高于50℃，不低于-20℃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jc w:val="left"/>
              <w:rPr>
                <w:rFonts w:ascii="宋体" w:hAnsi="宋体" w:eastAsia="宋体" w:cs="宋体"/>
                <w:kern w:val="0"/>
                <w:sz w:val="24"/>
              </w:rPr>
            </w:pPr>
            <w:r>
              <w:rPr>
                <w:rFonts w:hint="eastAsia" w:ascii="宋体" w:hAnsi="宋体" w:eastAsia="宋体" w:cs="宋体"/>
                <w:kern w:val="0"/>
                <w:sz w:val="24"/>
              </w:rPr>
              <w:t>7</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额定频率</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50Hz±2%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jc w:val="left"/>
              <w:rPr>
                <w:rFonts w:ascii="宋体" w:hAnsi="宋体" w:eastAsia="宋体" w:cs="宋体"/>
                <w:kern w:val="0"/>
                <w:sz w:val="24"/>
              </w:rPr>
            </w:pPr>
            <w:r>
              <w:rPr>
                <w:rFonts w:hint="eastAsia" w:ascii="宋体" w:hAnsi="宋体" w:eastAsia="宋体" w:cs="宋体"/>
                <w:kern w:val="0"/>
                <w:sz w:val="24"/>
              </w:rPr>
              <w:t>8</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额定交流输入电压波动范围</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380V±15%（323～437V）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jc w:val="left"/>
              <w:rPr>
                <w:rFonts w:ascii="宋体" w:hAnsi="宋体" w:eastAsia="宋体" w:cs="宋体"/>
                <w:kern w:val="0"/>
                <w:sz w:val="24"/>
              </w:rPr>
            </w:pPr>
            <w:r>
              <w:rPr>
                <w:rFonts w:hint="eastAsia" w:ascii="宋体" w:hAnsi="宋体" w:eastAsia="宋体" w:cs="宋体"/>
                <w:kern w:val="0"/>
                <w:sz w:val="24"/>
              </w:rPr>
              <w:t>9</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IP防护等级</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IP54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jc w:val="left"/>
              <w:rPr>
                <w:rFonts w:ascii="宋体" w:hAnsi="宋体" w:eastAsia="宋体" w:cs="宋体"/>
                <w:kern w:val="0"/>
                <w:sz w:val="24"/>
              </w:rPr>
            </w:pPr>
            <w:r>
              <w:rPr>
                <w:rFonts w:hint="eastAsia" w:ascii="宋体" w:hAnsi="宋体" w:eastAsia="宋体" w:cs="宋体"/>
                <w:kern w:val="0"/>
                <w:sz w:val="24"/>
              </w:rPr>
              <w:t>10</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标称输出电压</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lang w:val="en-US" w:eastAsia="zh-CN"/>
              </w:rPr>
              <w:t>300</w:t>
            </w:r>
            <w:r>
              <w:rPr>
                <w:rFonts w:hint="eastAsia" w:ascii="宋体" w:hAnsi="宋体" w:eastAsia="宋体" w:cs="宋体"/>
                <w:kern w:val="0"/>
                <w:sz w:val="24"/>
              </w:rPr>
              <w:t>V-750V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jc w:val="left"/>
              <w:rPr>
                <w:rFonts w:ascii="宋体" w:hAnsi="宋体" w:eastAsia="宋体" w:cs="宋体"/>
                <w:kern w:val="0"/>
                <w:sz w:val="24"/>
              </w:rPr>
            </w:pPr>
            <w:r>
              <w:rPr>
                <w:rFonts w:hint="eastAsia" w:ascii="宋体" w:hAnsi="宋体" w:eastAsia="宋体" w:cs="宋体"/>
                <w:kern w:val="0"/>
                <w:sz w:val="24"/>
              </w:rPr>
              <w:t>11</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输出方式</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一机多枪、智能分配电流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jc w:val="left"/>
              <w:rPr>
                <w:rFonts w:ascii="宋体" w:hAnsi="宋体" w:eastAsia="宋体" w:cs="宋体"/>
                <w:kern w:val="0"/>
                <w:sz w:val="24"/>
              </w:rPr>
            </w:pPr>
            <w:r>
              <w:rPr>
                <w:rFonts w:hint="eastAsia" w:ascii="宋体" w:hAnsi="宋体" w:eastAsia="宋体" w:cs="宋体"/>
                <w:kern w:val="0"/>
                <w:sz w:val="24"/>
              </w:rPr>
              <w:t>12</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单枪最大功率</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不低于150kW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13</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功率因数</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≥0.99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14</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综合效率</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满载时，效率应大于等于93%。</w:t>
            </w:r>
          </w:p>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半载及以上，效率应大于等于92%。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15</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电流谐波总畸变率</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16</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输出电压误差</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17</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输出电流误差</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电流≥30A时，≤±1%；</w:t>
            </w:r>
          </w:p>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电流&lt;30A时，≤±0.3A。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18</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稳压精度</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19</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稳流精度</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20</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输出电压纹波系数</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21</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均流不平衡度</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22</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噪声要求</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 65dB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23</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负载调整率</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24</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电磁兼容要求</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符合GB/T 19826-2014中5.4的要求。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25</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操作方式</w:t>
            </w:r>
          </w:p>
        </w:tc>
        <w:tc>
          <w:tcPr>
            <w:tcW w:w="5055" w:type="dxa"/>
            <w:noWrap/>
            <w:vAlign w:val="center"/>
          </w:tcPr>
          <w:p>
            <w:pPr>
              <w:wordWrap w:val="0"/>
              <w:spacing w:line="520" w:lineRule="exact"/>
              <w:ind w:firstLine="480" w:firstLineChars="200"/>
              <w:rPr>
                <w:rFonts w:hint="eastAsia" w:ascii="宋体" w:hAnsi="宋体" w:eastAsia="宋体" w:cs="宋体"/>
                <w:kern w:val="0"/>
                <w:sz w:val="24"/>
                <w:lang w:eastAsia="zh-CN"/>
              </w:rPr>
            </w:pPr>
            <w:r>
              <w:rPr>
                <w:rFonts w:hint="eastAsia" w:ascii="宋体" w:hAnsi="宋体" w:eastAsia="宋体" w:cs="宋体"/>
                <w:kern w:val="0"/>
                <w:sz w:val="24"/>
              </w:rPr>
              <w:t>手机APP、本地触屏操作、</w:t>
            </w:r>
            <w:r>
              <w:rPr>
                <w:rFonts w:hint="eastAsia" w:ascii="宋体" w:hAnsi="宋体" w:eastAsia="宋体" w:cs="宋体"/>
                <w:kern w:val="0"/>
                <w:sz w:val="24"/>
                <w:lang w:eastAsia="zh-CN"/>
              </w:rPr>
              <w:t>平台管控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5" w:hRule="atLeast"/>
        </w:trPr>
        <w:tc>
          <w:tcPr>
            <w:tcW w:w="1197" w:type="dxa"/>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26</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大气压强</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80kPa～110kPa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1197" w:type="dxa"/>
            <w:noWrap/>
            <w:vAlign w:val="center"/>
          </w:tcPr>
          <w:p>
            <w:pPr>
              <w:wordWrap w:val="0"/>
              <w:spacing w:line="520" w:lineRule="exact"/>
              <w:rPr>
                <w:rFonts w:ascii="宋体" w:hAnsi="宋体" w:eastAsia="宋体" w:cs="宋体"/>
                <w:kern w:val="0"/>
                <w:sz w:val="24"/>
              </w:rPr>
            </w:pPr>
            <w:r>
              <w:rPr>
                <w:rFonts w:hint="eastAsia" w:ascii="宋体" w:hAnsi="宋体" w:eastAsia="宋体" w:cs="宋体"/>
                <w:kern w:val="0"/>
                <w:sz w:val="24"/>
              </w:rPr>
              <w:t>27</w:t>
            </w:r>
          </w:p>
        </w:tc>
        <w:tc>
          <w:tcPr>
            <w:tcW w:w="2581"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海拔高度</w:t>
            </w:r>
          </w:p>
        </w:tc>
        <w:tc>
          <w:tcPr>
            <w:tcW w:w="5055" w:type="dxa"/>
            <w:noWrap/>
            <w:vAlign w:val="center"/>
          </w:tcPr>
          <w:p>
            <w:pPr>
              <w:wordWrap w:val="0"/>
              <w:spacing w:line="520" w:lineRule="exact"/>
              <w:ind w:firstLine="480" w:firstLineChars="200"/>
              <w:rPr>
                <w:rFonts w:ascii="宋体" w:hAnsi="宋体" w:eastAsia="宋体" w:cs="宋体"/>
                <w:kern w:val="0"/>
                <w:sz w:val="24"/>
              </w:rPr>
            </w:pPr>
            <w:r>
              <w:rPr>
                <w:rFonts w:hint="eastAsia" w:ascii="宋体" w:hAnsi="宋体" w:eastAsia="宋体" w:cs="宋体"/>
                <w:kern w:val="0"/>
                <w:sz w:val="24"/>
              </w:rPr>
              <w:t>≤2000m</w:t>
            </w:r>
          </w:p>
        </w:tc>
      </w:tr>
    </w:tbl>
    <w:p>
      <w:pPr>
        <w:rPr>
          <w:rFonts w:ascii="Times New Roman" w:hAnsi="Times New Roman" w:eastAsia="仿宋_GB2312" w:cs="Times New Roman"/>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center"/>
        <w:rPr>
          <w:rFonts w:hint="eastAsia" w:asciiTheme="majorEastAsia" w:hAnsiTheme="majorEastAsia" w:eastAsiaTheme="majorEastAsia" w:cstheme="majorEastAsia"/>
          <w:b/>
          <w:bCs/>
          <w:sz w:val="32"/>
          <w:szCs w:val="32"/>
        </w:rPr>
      </w:pPr>
    </w:p>
    <w:p>
      <w:pPr>
        <w:spacing w:line="480" w:lineRule="exact"/>
        <w:jc w:val="both"/>
        <w:rPr>
          <w:rFonts w:hint="eastAsia" w:asciiTheme="majorEastAsia" w:hAnsiTheme="majorEastAsia" w:eastAsiaTheme="majorEastAsia" w:cstheme="majorEastAsia"/>
          <w:b/>
          <w:bCs/>
          <w:sz w:val="32"/>
          <w:szCs w:val="32"/>
        </w:rPr>
      </w:pP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第五章 </w:t>
      </w:r>
      <w:r>
        <w:rPr>
          <w:rFonts w:asciiTheme="majorEastAsia" w:hAnsiTheme="majorEastAsia" w:eastAsiaTheme="majorEastAsia" w:cstheme="majorEastAsia"/>
          <w:b/>
          <w:bCs/>
          <w:sz w:val="32"/>
          <w:szCs w:val="32"/>
        </w:rPr>
        <w:t>合同条款</w:t>
      </w:r>
    </w:p>
    <w:p>
      <w:pPr>
        <w:spacing w:line="480" w:lineRule="exact"/>
        <w:jc w:val="center"/>
        <w:rPr>
          <w:rFonts w:asciiTheme="majorEastAsia" w:hAnsiTheme="majorEastAsia" w:eastAsiaTheme="majorEastAsia" w:cstheme="majorEastAsia"/>
          <w:b/>
          <w:bCs/>
          <w:sz w:val="32"/>
          <w:szCs w:val="32"/>
        </w:rPr>
      </w:pPr>
    </w:p>
    <w:p>
      <w:pPr>
        <w:spacing w:line="48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合同条款前附表</w:t>
      </w:r>
    </w:p>
    <w:p>
      <w:pPr>
        <w:spacing w:line="480" w:lineRule="exact"/>
        <w:rPr>
          <w:rFonts w:asciiTheme="majorEastAsia" w:hAnsiTheme="majorEastAsia" w:eastAsiaTheme="majorEastAsia" w:cstheme="majorEastAsia"/>
          <w:b/>
          <w:bCs/>
          <w:sz w:val="32"/>
          <w:szCs w:val="32"/>
        </w:rPr>
      </w:pP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序号</w:t>
            </w:r>
          </w:p>
        </w:tc>
        <w:tc>
          <w:tcPr>
            <w:tcW w:w="1417" w:type="dxa"/>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条款名称</w:t>
            </w:r>
          </w:p>
        </w:tc>
        <w:tc>
          <w:tcPr>
            <w:tcW w:w="6253" w:type="dxa"/>
            <w:vAlign w:val="center"/>
          </w:tcPr>
          <w:p>
            <w:pPr>
              <w:wordWrap w:val="0"/>
              <w:spacing w:line="440" w:lineRule="exact"/>
              <w:jc w:val="center"/>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850" w:type="dxa"/>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1</w:t>
            </w:r>
          </w:p>
        </w:tc>
        <w:tc>
          <w:tcPr>
            <w:tcW w:w="1417" w:type="dxa"/>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付款人</w:t>
            </w:r>
          </w:p>
        </w:tc>
        <w:tc>
          <w:tcPr>
            <w:tcW w:w="6253" w:type="dxa"/>
            <w:vAlign w:val="center"/>
          </w:tcPr>
          <w:p>
            <w:pPr>
              <w:wordWrap w:val="0"/>
              <w:spacing w:line="440" w:lineRule="exact"/>
              <w:ind w:firstLine="560" w:firstLineChars="200"/>
              <w:rPr>
                <w:rFonts w:hint="eastAsia" w:asciiTheme="minorEastAsia" w:hAnsiTheme="minorEastAsia" w:eastAsiaTheme="minorEastAsia" w:cstheme="minorEastAsia"/>
                <w:kern w:val="0"/>
                <w:sz w:val="28"/>
                <w:szCs w:val="28"/>
                <w:lang w:eastAsia="zh-CN"/>
              </w:rPr>
            </w:pPr>
            <w:r>
              <w:rPr>
                <w:rFonts w:hint="eastAsia" w:asciiTheme="minorEastAsia" w:hAnsiTheme="minorEastAsia" w:cstheme="minorEastAsia"/>
                <w:kern w:val="0"/>
                <w:sz w:val="28"/>
                <w:szCs w:val="28"/>
                <w:lang w:eastAsia="zh-CN"/>
              </w:rPr>
              <w:t>亳州市公共交通集团有限公司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5" w:hRule="atLeast"/>
        </w:trPr>
        <w:tc>
          <w:tcPr>
            <w:tcW w:w="850" w:type="dxa"/>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2</w:t>
            </w:r>
          </w:p>
        </w:tc>
        <w:tc>
          <w:tcPr>
            <w:tcW w:w="1417" w:type="dxa"/>
            <w:vAlign w:val="center"/>
          </w:tcPr>
          <w:p>
            <w:pPr>
              <w:wordWrap w:val="0"/>
              <w:spacing w:line="440" w:lineRule="exact"/>
              <w:jc w:val="center"/>
              <w:rPr>
                <w:rFonts w:asciiTheme="minorEastAsia" w:hAnsiTheme="minorEastAsia" w:cstheme="minorEastAsia"/>
                <w:kern w:val="0"/>
                <w:sz w:val="28"/>
                <w:szCs w:val="28"/>
              </w:rPr>
            </w:pPr>
            <w:r>
              <w:rPr>
                <w:rFonts w:hint="eastAsia" w:asciiTheme="minorEastAsia" w:hAnsiTheme="minorEastAsia" w:cstheme="minorEastAsia"/>
                <w:kern w:val="0"/>
                <w:sz w:val="28"/>
                <w:szCs w:val="28"/>
              </w:rPr>
              <w:t>付款方式</w:t>
            </w:r>
          </w:p>
        </w:tc>
        <w:tc>
          <w:tcPr>
            <w:tcW w:w="6253" w:type="dxa"/>
            <w:vAlign w:val="center"/>
          </w:tcPr>
          <w:p>
            <w:pPr>
              <w:wordWrap w:val="0"/>
              <w:spacing w:line="440" w:lineRule="exact"/>
              <w:rPr>
                <w:rFonts w:hint="eastAsia" w:asciiTheme="minorEastAsia" w:hAnsiTheme="minorEastAsia" w:cstheme="minorEastAsia"/>
                <w:kern w:val="0"/>
                <w:sz w:val="28"/>
                <w:szCs w:val="28"/>
              </w:rPr>
            </w:pPr>
            <w:r>
              <w:rPr>
                <w:rFonts w:hint="eastAsia" w:asciiTheme="minorEastAsia" w:hAnsiTheme="minorEastAsia" w:cstheme="minorEastAsia"/>
                <w:kern w:val="0"/>
                <w:sz w:val="28"/>
                <w:szCs w:val="28"/>
                <w:lang w:val="en-US" w:eastAsia="zh-CN"/>
              </w:rPr>
              <w:t>设备</w:t>
            </w:r>
            <w:r>
              <w:rPr>
                <w:rFonts w:hint="eastAsia" w:asciiTheme="minorEastAsia" w:hAnsiTheme="minorEastAsia" w:cstheme="minorEastAsia"/>
                <w:kern w:val="0"/>
                <w:sz w:val="28"/>
                <w:szCs w:val="28"/>
              </w:rPr>
              <w:t>安装及调试完成可以正常使用后，验收</w:t>
            </w:r>
            <w:r>
              <w:rPr>
                <w:rFonts w:hint="eastAsia" w:asciiTheme="minorEastAsia" w:hAnsiTheme="minorEastAsia" w:cstheme="minorEastAsia"/>
                <w:kern w:val="0"/>
                <w:sz w:val="28"/>
                <w:szCs w:val="28"/>
                <w:lang w:val="en-US" w:eastAsia="zh-CN"/>
              </w:rPr>
              <w:t>合格后10日内</w:t>
            </w:r>
            <w:r>
              <w:rPr>
                <w:rFonts w:hint="eastAsia" w:asciiTheme="minorEastAsia" w:hAnsiTheme="minorEastAsia" w:cstheme="minorEastAsia"/>
                <w:kern w:val="0"/>
                <w:sz w:val="28"/>
                <w:szCs w:val="28"/>
              </w:rPr>
              <w:t>付款50%；按照甲方要求完成运营平台建设，验收</w:t>
            </w:r>
            <w:r>
              <w:rPr>
                <w:rFonts w:hint="eastAsia" w:asciiTheme="minorEastAsia" w:hAnsiTheme="minorEastAsia" w:cstheme="minorEastAsia"/>
                <w:kern w:val="0"/>
                <w:sz w:val="28"/>
                <w:szCs w:val="28"/>
                <w:lang w:val="en-US" w:eastAsia="zh-CN"/>
              </w:rPr>
              <w:t>合格</w:t>
            </w:r>
            <w:r>
              <w:rPr>
                <w:rFonts w:hint="eastAsia" w:asciiTheme="minorEastAsia" w:hAnsiTheme="minorEastAsia" w:cstheme="minorEastAsia"/>
                <w:kern w:val="0"/>
                <w:sz w:val="28"/>
                <w:szCs w:val="28"/>
              </w:rPr>
              <w:t>后</w:t>
            </w:r>
            <w:r>
              <w:rPr>
                <w:rFonts w:hint="eastAsia" w:asciiTheme="minorEastAsia" w:hAnsiTheme="minorEastAsia" w:cstheme="minorEastAsia"/>
                <w:kern w:val="0"/>
                <w:sz w:val="28"/>
                <w:szCs w:val="28"/>
                <w:lang w:val="en-US" w:eastAsia="zh-CN"/>
              </w:rPr>
              <w:t>10日内</w:t>
            </w:r>
            <w:r>
              <w:rPr>
                <w:rFonts w:hint="eastAsia" w:asciiTheme="minorEastAsia" w:hAnsiTheme="minorEastAsia" w:cstheme="minorEastAsia"/>
                <w:kern w:val="0"/>
                <w:sz w:val="28"/>
                <w:szCs w:val="28"/>
              </w:rPr>
              <w:t>付款至97%；余款3%作为质保金，质保结束后一次性付清。</w:t>
            </w:r>
          </w:p>
          <w:p>
            <w:pPr>
              <w:wordWrap w:val="0"/>
              <w:spacing w:line="440" w:lineRule="exact"/>
              <w:rPr>
                <w:rFonts w:hint="default" w:asciiTheme="minorEastAsia" w:hAnsiTheme="minorEastAsia" w:eastAsia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注：招标人付款前，中标人须提供等额增值税专用发票，否则招标人有权拒绝付款。</w:t>
            </w:r>
          </w:p>
        </w:tc>
      </w:tr>
    </w:tbl>
    <w:p>
      <w:pPr>
        <w:pStyle w:val="8"/>
        <w:wordWrap w:val="0"/>
        <w:snapToGrid w:val="0"/>
        <w:spacing w:line="400" w:lineRule="atLeast"/>
        <w:ind w:left="0" w:leftChars="0" w:firstLine="560" w:firstLineChars="200"/>
        <w:rPr>
          <w:rFonts w:ascii="Times New Roman" w:hAnsi="Times New Roman" w:cs="Times New Roman"/>
          <w:sz w:val="28"/>
          <w:szCs w:val="28"/>
        </w:rPr>
      </w:pPr>
      <w:r>
        <w:rPr>
          <w:rFonts w:hint="eastAsia" w:ascii="Times New Roman" w:hAnsi="Times New Roman" w:cs="Times New Roman"/>
          <w:sz w:val="28"/>
          <w:szCs w:val="28"/>
        </w:rPr>
        <w:t>合同</w:t>
      </w:r>
      <w:r>
        <w:rPr>
          <w:rFonts w:ascii="Times New Roman" w:hAnsi="Times New Roman" w:cs="Times New Roman"/>
          <w:sz w:val="28"/>
          <w:szCs w:val="28"/>
        </w:rPr>
        <w:t>内容由招标人与中标人在不违背招标文件要求和投标文件承诺的条件下友好协商签订。</w:t>
      </w:r>
      <w:bookmarkEnd w:id="16"/>
      <w:bookmarkEnd w:id="17"/>
      <w:bookmarkEnd w:id="18"/>
      <w:bookmarkEnd w:id="19"/>
      <w:bookmarkEnd w:id="20"/>
      <w:bookmarkEnd w:id="21"/>
      <w:bookmarkEnd w:id="22"/>
      <w:bookmarkEnd w:id="23"/>
    </w:p>
    <w:p>
      <w:pPr>
        <w:pStyle w:val="8"/>
        <w:wordWrap w:val="0"/>
        <w:snapToGrid w:val="0"/>
        <w:spacing w:line="400" w:lineRule="atLeast"/>
        <w:ind w:left="0" w:leftChars="0"/>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w:t>
      </w:r>
      <w:r>
        <w:rPr>
          <w:rFonts w:hint="eastAsia" w:asciiTheme="majorEastAsia" w:hAnsiTheme="majorEastAsia" w:eastAsiaTheme="majorEastAsia" w:cstheme="majorEastAsia"/>
          <w:b/>
          <w:bCs/>
          <w:sz w:val="32"/>
          <w:szCs w:val="32"/>
        </w:rPr>
        <w:t>六</w:t>
      </w:r>
      <w:r>
        <w:rPr>
          <w:rFonts w:asciiTheme="majorEastAsia" w:hAnsiTheme="majorEastAsia" w:eastAsiaTheme="majorEastAsia" w:cstheme="majorEastAsia"/>
          <w:b/>
          <w:bCs/>
          <w:sz w:val="32"/>
          <w:szCs w:val="32"/>
        </w:rPr>
        <w:t>章</w:t>
      </w:r>
      <w:r>
        <w:rPr>
          <w:rFonts w:hint="eastAsia" w:asciiTheme="majorEastAsia" w:hAnsiTheme="majorEastAsia" w:eastAsiaTheme="majorEastAsia" w:cstheme="majorEastAsia"/>
          <w:b/>
          <w:bCs/>
          <w:sz w:val="32"/>
          <w:szCs w:val="32"/>
        </w:rPr>
        <w:t xml:space="preserve"> </w:t>
      </w:r>
      <w:r>
        <w:rPr>
          <w:rFonts w:asciiTheme="majorEastAsia" w:hAnsiTheme="majorEastAsia" w:eastAsiaTheme="majorEastAsia" w:cstheme="majorEastAsia"/>
          <w:b/>
          <w:bCs/>
          <w:sz w:val="32"/>
          <w:szCs w:val="32"/>
        </w:rPr>
        <w:t>投标文件格式</w:t>
      </w:r>
    </w:p>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lang w:eastAsia="zh-CN"/>
        </w:rPr>
        <w:t>临漳公园、城北驾校公交首末站分体式群充直流充电桩采购安装项目</w:t>
      </w:r>
      <w:r>
        <w:rPr>
          <w:rFonts w:hint="eastAsia" w:ascii="Times New Roman" w:hAnsi="Times New Roman" w:eastAsia="黑体" w:cs="Times New Roman"/>
          <w:kern w:val="0"/>
          <w:sz w:val="32"/>
          <w:szCs w:val="32"/>
        </w:rPr>
        <w:t>投</w:t>
      </w:r>
      <w:r>
        <w:rPr>
          <w:rFonts w:ascii="Times New Roman" w:hAnsi="Times New Roman" w:eastAsia="黑体" w:cs="Times New Roman"/>
          <w:kern w:val="0"/>
          <w:sz w:val="32"/>
          <w:szCs w:val="32"/>
        </w:rPr>
        <w:t>标文件</w:t>
      </w:r>
    </w:p>
    <w:p>
      <w:pPr>
        <w:wordWrap w:val="0"/>
        <w:jc w:val="center"/>
        <w:rPr>
          <w:rFonts w:ascii="Times New Roman" w:hAnsi="Times New Roman" w:eastAsia="楷体" w:cs="Times New Roman"/>
          <w:kern w:val="0"/>
          <w:sz w:val="28"/>
          <w:szCs w:val="28"/>
        </w:rPr>
      </w:pPr>
    </w:p>
    <w:p>
      <w:pPr>
        <w:wordWrap w:val="0"/>
        <w:jc w:val="center"/>
        <w:rPr>
          <w:rFonts w:hint="eastAsia" w:ascii="Times New Roman" w:hAnsi="Times New Roman" w:eastAsia="楷体" w:cs="Times New Roman"/>
          <w:kern w:val="0"/>
          <w:sz w:val="28"/>
          <w:szCs w:val="28"/>
          <w:lang w:eastAsia="zh-CN"/>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lang w:eastAsia="zh-CN"/>
        </w:rPr>
        <w:t>BZJK-2020-054号</w:t>
      </w:r>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rPr>
        <w:t>投标</w:t>
      </w:r>
      <w:r>
        <w:rPr>
          <w:rFonts w:ascii="Times New Roman" w:hAnsi="Times New Roman" w:eastAsia="楷体" w:cs="Times New Roman"/>
          <w:kern w:val="0"/>
          <w:sz w:val="32"/>
          <w:szCs w:val="32"/>
        </w:rPr>
        <w:t>单位：</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rPr>
        <w:t>法定代表人或其委托代理人：</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w:t>
      </w:r>
      <w:r>
        <w:rPr>
          <w:rFonts w:hint="eastAsia" w:ascii="Times New Roman" w:hAnsi="Times New Roman" w:eastAsia="楷体" w:cs="Times New Roman"/>
          <w:kern w:val="0"/>
          <w:sz w:val="32"/>
          <w:szCs w:val="32"/>
          <w:lang w:eastAsia="zh-CN"/>
        </w:rPr>
        <w:t>签字或盖章</w:t>
      </w:r>
      <w:r>
        <w:rPr>
          <w:rFonts w:hint="eastAsia" w:ascii="Times New Roman" w:hAnsi="Times New Roman" w:eastAsia="楷体" w:cs="Times New Roman"/>
          <w:kern w:val="0"/>
          <w:sz w:val="32"/>
          <w:szCs w:val="32"/>
        </w:rPr>
        <w:t>）</w:t>
      </w:r>
    </w:p>
    <w:p>
      <w:pPr>
        <w:ind w:firstLine="1920" w:firstLineChars="600"/>
        <w:jc w:val="left"/>
        <w:rPr>
          <w:rFonts w:ascii="Times New Roman" w:hAnsi="Times New Roman" w:eastAsia="楷体" w:cs="Times New Roman"/>
          <w:kern w:val="0"/>
          <w:sz w:val="32"/>
          <w:szCs w:val="32"/>
        </w:rPr>
      </w:pP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年</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月</w:t>
      </w:r>
      <w:r>
        <w:rPr>
          <w:rFonts w:hint="eastAsia" w:ascii="Times New Roman" w:hAnsi="Times New Roman" w:eastAsia="楷体" w:cs="Times New Roman"/>
          <w:kern w:val="0"/>
          <w:sz w:val="32"/>
          <w:szCs w:val="32"/>
          <w:u w:val="single"/>
        </w:rPr>
        <w:t xml:space="preserve">       </w:t>
      </w:r>
      <w:r>
        <w:rPr>
          <w:rFonts w:hint="eastAsia" w:ascii="Times New Roman" w:hAnsi="Times New Roman" w:eastAsia="楷体" w:cs="Times New Roman"/>
          <w:kern w:val="0"/>
          <w:sz w:val="32"/>
          <w:szCs w:val="32"/>
        </w:rPr>
        <w:t>日</w:t>
      </w:r>
    </w:p>
    <w:p>
      <w:pPr>
        <w:wordWrap w:val="0"/>
        <w:spacing w:line="520" w:lineRule="exact"/>
        <w:rPr>
          <w:rFonts w:ascii="宋体" w:hAnsi="宋体" w:eastAsia="宋体" w:cs="宋体"/>
          <w:kern w:val="0"/>
          <w:sz w:val="24"/>
        </w:rPr>
      </w:pPr>
      <w:r>
        <w:rPr>
          <w:rFonts w:hint="eastAsia" w:ascii="宋体" w:hAnsi="宋体" w:eastAsia="宋体" w:cs="宋体"/>
          <w:kern w:val="0"/>
          <w:sz w:val="24"/>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一</w:t>
      </w:r>
      <w:r>
        <w:rPr>
          <w:rFonts w:hint="eastAsia" w:ascii="Times New Roman" w:hAnsi="Times New Roman" w:eastAsia="黑体" w:cs="Times New Roman"/>
          <w:kern w:val="0"/>
          <w:sz w:val="32"/>
          <w:szCs w:val="32"/>
        </w:rPr>
        <w:t>、投标函</w:t>
      </w:r>
    </w:p>
    <w:p>
      <w:pPr>
        <w:wordWrap w:val="0"/>
        <w:rPr>
          <w:rFonts w:ascii="Times New Roman" w:hAnsi="Times New Roman" w:eastAsia="黑体" w:cs="Times New Roman"/>
          <w:kern w:val="0"/>
          <w:sz w:val="32"/>
          <w:szCs w:val="32"/>
        </w:rPr>
      </w:pPr>
      <w:r>
        <w:rPr>
          <w:rFonts w:ascii="Times New Roman" w:hAnsi="Times New Roman" w:eastAsia="黑体" w:cs="Times New Roman"/>
          <w:kern w:val="0"/>
          <w:sz w:val="32"/>
          <w:szCs w:val="32"/>
        </w:rPr>
        <w:t>二</w:t>
      </w:r>
      <w:r>
        <w:rPr>
          <w:rFonts w:hint="eastAsia" w:ascii="Times New Roman" w:hAnsi="Times New Roman" w:eastAsia="黑体" w:cs="Times New Roman"/>
          <w:kern w:val="0"/>
          <w:sz w:val="32"/>
          <w:szCs w:val="32"/>
        </w:rPr>
        <w:t>、法定代表人身份证明</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三、授权委托书</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四、投标保证金</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五、</w:t>
      </w:r>
      <w:r>
        <w:rPr>
          <w:rFonts w:hint="eastAsia" w:ascii="Times New Roman" w:hAnsi="Times New Roman" w:eastAsia="黑体" w:cs="Times New Roman"/>
          <w:kern w:val="0"/>
          <w:sz w:val="32"/>
          <w:szCs w:val="32"/>
          <w:lang w:val="en-US" w:eastAsia="zh-CN"/>
        </w:rPr>
        <w:t>项目</w:t>
      </w:r>
      <w:r>
        <w:rPr>
          <w:rFonts w:hint="eastAsia" w:ascii="Times New Roman" w:hAnsi="Times New Roman" w:eastAsia="黑体" w:cs="Times New Roman"/>
          <w:kern w:val="0"/>
          <w:sz w:val="32"/>
          <w:szCs w:val="32"/>
        </w:rPr>
        <w:t>方案</w:t>
      </w:r>
    </w:p>
    <w:p>
      <w:pPr>
        <w:wordWrap w:val="0"/>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六、资格审查资料</w:t>
      </w:r>
    </w:p>
    <w:p>
      <w:pPr>
        <w:wordWrap w:val="0"/>
        <w:rPr>
          <w:rFonts w:hint="eastAsia" w:ascii="Times New Roman" w:hAnsi="Times New Roman" w:eastAsia="黑体" w:cs="Times New Roman"/>
          <w:kern w:val="0"/>
          <w:sz w:val="32"/>
          <w:szCs w:val="32"/>
          <w:lang w:val="en-US" w:eastAsia="zh-CN"/>
        </w:rPr>
      </w:pPr>
      <w:r>
        <w:rPr>
          <w:rFonts w:hint="eastAsia" w:ascii="Times New Roman" w:hAnsi="Times New Roman" w:eastAsia="黑体" w:cs="Times New Roman"/>
          <w:kern w:val="0"/>
          <w:sz w:val="32"/>
          <w:szCs w:val="32"/>
        </w:rPr>
        <w:t>七、</w:t>
      </w:r>
      <w:r>
        <w:rPr>
          <w:rFonts w:hint="eastAsia" w:ascii="Times New Roman" w:hAnsi="Times New Roman" w:eastAsia="黑体" w:cs="Times New Roman"/>
          <w:kern w:val="0"/>
          <w:sz w:val="32"/>
          <w:szCs w:val="32"/>
          <w:lang w:val="en-US" w:eastAsia="zh-CN"/>
        </w:rPr>
        <w:t>其他资料</w:t>
      </w:r>
    </w:p>
    <w:p>
      <w:pPr>
        <w:wordWrap w:val="0"/>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p>
    <w:p>
      <w:pPr>
        <w:wordWrap w:val="0"/>
        <w:rPr>
          <w:rFonts w:ascii="Times New Roman" w:hAnsi="Times New Roman" w:eastAsia="黑体" w:cs="Times New Roman"/>
          <w:kern w:val="0"/>
          <w:sz w:val="32"/>
          <w:szCs w:val="32"/>
        </w:rPr>
      </w:pPr>
    </w:p>
    <w:p>
      <w:pPr>
        <w:rPr>
          <w:rFonts w:ascii="宋体" w:hAnsi="宋体" w:eastAsia="宋体" w:cs="宋体"/>
          <w:b/>
          <w:bCs/>
          <w:kern w:val="0"/>
          <w:sz w:val="24"/>
        </w:rPr>
      </w:pPr>
      <w:r>
        <w:rPr>
          <w:rFonts w:hint="eastAsia" w:ascii="宋体" w:hAnsi="宋体" w:eastAsia="宋体" w:cs="宋体"/>
          <w:b/>
          <w:bCs/>
          <w:kern w:val="0"/>
          <w:sz w:val="24"/>
        </w:rPr>
        <w:br w:type="page"/>
      </w:r>
    </w:p>
    <w:p>
      <w:pPr>
        <w:pStyle w:val="3"/>
        <w:jc w:val="center"/>
        <w:rPr>
          <w:rFonts w:ascii="Times New Roman" w:hAnsi="Times New Roman" w:cs="Times New Roman"/>
        </w:rPr>
      </w:pPr>
      <w:bookmarkStart w:id="80" w:name="_Toc152045788"/>
      <w:bookmarkStart w:id="81" w:name="_Toc144974857"/>
      <w:bookmarkStart w:id="82" w:name="_Toc246997099"/>
      <w:bookmarkStart w:id="83" w:name="_Toc246996356"/>
      <w:bookmarkStart w:id="84" w:name="_Toc247085874"/>
      <w:bookmarkStart w:id="85" w:name="_Toc296602602"/>
      <w:bookmarkStart w:id="86" w:name="_Toc152042577"/>
      <w:bookmarkStart w:id="87" w:name="_Toc179632808"/>
      <w:r>
        <w:rPr>
          <w:rFonts w:ascii="Times New Roman" w:hAnsi="Times New Roman" w:cs="Times New Roman"/>
        </w:rPr>
        <w:t>一、投标函</w:t>
      </w:r>
      <w:bookmarkEnd w:id="80"/>
      <w:bookmarkEnd w:id="81"/>
      <w:bookmarkEnd w:id="82"/>
      <w:bookmarkEnd w:id="83"/>
      <w:bookmarkEnd w:id="84"/>
      <w:bookmarkEnd w:id="85"/>
      <w:bookmarkEnd w:id="86"/>
      <w:bookmarkEnd w:id="87"/>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rPr>
          <w:rFonts w:hint="default" w:ascii="Times New Roman" w:hAnsi="Times New Roman" w:cs="Times New Roman"/>
          <w:szCs w:val="21"/>
          <w:highlight w:val="none"/>
        </w:rPr>
      </w:pP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（项目名称）招标文件的全部内容，愿意以人民币（大写）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）的投标总报价</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含税</w:t>
      </w:r>
      <w:r>
        <w:rPr>
          <w:rFonts w:hint="eastAsia" w:ascii="Times New Roman" w:hAnsi="Times New Roman" w:cs="Times New Roman"/>
          <w:szCs w:val="21"/>
          <w:highlight w:val="none"/>
          <w:lang w:eastAsia="zh-CN"/>
        </w:rPr>
        <w:t>）</w:t>
      </w:r>
      <w:r>
        <w:rPr>
          <w:rFonts w:ascii="Times New Roman" w:hAnsi="Times New Roman"/>
          <w:szCs w:val="21"/>
        </w:rPr>
        <w:t>（其中，增值税税率为</w:t>
      </w:r>
      <w:r>
        <w:rPr>
          <w:rFonts w:ascii="Times New Roman" w:hAnsi="Times New Roman" w:eastAsia="黑体"/>
          <w:color w:val="000000"/>
          <w:szCs w:val="21"/>
          <w:u w:val="single"/>
        </w:rPr>
        <w:t xml:space="preserve">         </w:t>
      </w:r>
      <w:r>
        <w:rPr>
          <w:rFonts w:ascii="Times New Roman" w:hAnsi="Times New Roman" w:eastAsia="黑体"/>
          <w:color w:val="000000"/>
          <w:szCs w:val="21"/>
        </w:rPr>
        <w:t>）</w:t>
      </w:r>
      <w:r>
        <w:rPr>
          <w:rFonts w:hint="default" w:ascii="Times New Roman" w:hAnsi="Times New Roman" w:cs="Times New Roman"/>
          <w:szCs w:val="21"/>
          <w:highlight w:val="none"/>
        </w:rPr>
        <w:t>，工期</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，按合同约定实施和完成承包工程，修补工程中的任何缺陷，工程质量达到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质保期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年</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我方在此声明，所递交的投标文件及有关资料内容完整、真实和准确，且不存在第二章“投标人须知”第1.4.2项和第1.4.3项规定的任何一种情形。</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rPr>
          <w:rFonts w:hint="default" w:ascii="Times New Roman" w:hAnsi="Times New Roman" w:cs="Times New Roman"/>
          <w:szCs w:val="21"/>
          <w:highlight w:val="none"/>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签字或盖章</w:t>
      </w:r>
      <w:r>
        <w:rPr>
          <w:rFonts w:hint="default" w:ascii="Times New Roman" w:hAnsi="Times New Roman" w:cs="Times New Roman"/>
          <w:szCs w:val="21"/>
          <w:highlight w:val="none"/>
        </w:rPr>
        <w:t>）</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eastAsia="黑体" w:cs="Times New Roman"/>
          <w:szCs w:val="21"/>
          <w:highlight w:val="none"/>
        </w:rPr>
      </w:pPr>
    </w:p>
    <w:p>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3"/>
        <w:jc w:val="center"/>
      </w:pPr>
      <w:bookmarkStart w:id="88" w:name="_Toc179632811"/>
      <w:bookmarkStart w:id="89" w:name="_Toc246997102"/>
      <w:bookmarkStart w:id="90" w:name="_Toc296602605"/>
      <w:bookmarkStart w:id="91" w:name="_Toc152045791"/>
      <w:bookmarkStart w:id="92" w:name="_Toc247085877"/>
      <w:bookmarkStart w:id="93" w:name="_Toc152042580"/>
      <w:bookmarkStart w:id="94" w:name="_Toc144974860"/>
      <w:bookmarkStart w:id="95" w:name="_Toc246996359"/>
      <w:r>
        <w:t>二、法定代表人身份证明</w:t>
      </w:r>
      <w:bookmarkEnd w:id="88"/>
      <w:bookmarkEnd w:id="89"/>
      <w:bookmarkEnd w:id="90"/>
      <w:bookmarkEnd w:id="91"/>
      <w:bookmarkEnd w:id="92"/>
      <w:bookmarkEnd w:id="93"/>
      <w:bookmarkEnd w:id="94"/>
      <w:bookmarkEnd w:id="95"/>
    </w:p>
    <w:p>
      <w:pPr>
        <w:spacing w:line="440" w:lineRule="exact"/>
        <w:rPr>
          <w:sz w:val="20"/>
          <w:szCs w:val="20"/>
        </w:rPr>
      </w:pPr>
    </w:p>
    <w:p>
      <w:pPr>
        <w:spacing w:line="440" w:lineRule="exact"/>
        <w:rPr>
          <w:szCs w:val="21"/>
        </w:rPr>
      </w:pPr>
    </w:p>
    <w:p>
      <w:pPr>
        <w:spacing w:line="440" w:lineRule="exact"/>
        <w:rPr>
          <w:szCs w:val="21"/>
        </w:rPr>
      </w:pPr>
      <w:r>
        <w:rPr>
          <w:szCs w:val="21"/>
        </w:rPr>
        <w:t>投标人名称：</w:t>
      </w:r>
      <w:r>
        <w:rPr>
          <w:szCs w:val="21"/>
          <w:u w:val="single"/>
        </w:rPr>
        <w:t xml:space="preserve">                            </w:t>
      </w:r>
      <w:r>
        <w:rPr>
          <w:szCs w:val="21"/>
        </w:rPr>
        <w:t xml:space="preserve"> </w:t>
      </w:r>
    </w:p>
    <w:p>
      <w:pPr>
        <w:spacing w:line="440" w:lineRule="exact"/>
        <w:rPr>
          <w:szCs w:val="21"/>
        </w:rPr>
      </w:pPr>
      <w:r>
        <w:rPr>
          <w:szCs w:val="21"/>
        </w:rPr>
        <w:t>单位性质：</w:t>
      </w:r>
      <w:r>
        <w:rPr>
          <w:szCs w:val="21"/>
          <w:u w:val="single"/>
        </w:rPr>
        <w:t xml:space="preserve">                               </w:t>
      </w:r>
      <w:r>
        <w:rPr>
          <w:szCs w:val="21"/>
        </w:rPr>
        <w:t xml:space="preserve"> </w:t>
      </w:r>
    </w:p>
    <w:p>
      <w:pPr>
        <w:spacing w:line="440" w:lineRule="exact"/>
        <w:rPr>
          <w:szCs w:val="21"/>
        </w:rPr>
      </w:pPr>
      <w:r>
        <w:rPr>
          <w:szCs w:val="21"/>
        </w:rPr>
        <w:t>地址：</w:t>
      </w:r>
      <w:r>
        <w:rPr>
          <w:szCs w:val="21"/>
          <w:u w:val="single"/>
        </w:rPr>
        <w:t xml:space="preserve">                                   </w:t>
      </w:r>
    </w:p>
    <w:p>
      <w:pPr>
        <w:spacing w:line="440" w:lineRule="exact"/>
        <w:rPr>
          <w:szCs w:val="21"/>
        </w:rPr>
      </w:pPr>
      <w:r>
        <w:rPr>
          <w:szCs w:val="21"/>
        </w:rPr>
        <w:t>成立时间：</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40" w:lineRule="exact"/>
        <w:rPr>
          <w:szCs w:val="21"/>
        </w:rPr>
      </w:pPr>
      <w:r>
        <w:rPr>
          <w:szCs w:val="21"/>
        </w:rPr>
        <w:t>经营期限：</w:t>
      </w:r>
      <w:r>
        <w:rPr>
          <w:szCs w:val="21"/>
          <w:u w:val="single"/>
        </w:rPr>
        <w:t xml:space="preserve">                               </w:t>
      </w:r>
    </w:p>
    <w:p>
      <w:pPr>
        <w:spacing w:line="440" w:lineRule="exact"/>
        <w:rPr>
          <w:szCs w:val="21"/>
        </w:rPr>
      </w:pPr>
      <w:r>
        <w:rPr>
          <w:szCs w:val="21"/>
        </w:rPr>
        <w:t>姓名：</w:t>
      </w:r>
      <w:r>
        <w:rPr>
          <w:szCs w:val="21"/>
          <w:u w:val="single"/>
        </w:rPr>
        <w:t xml:space="preserve">        </w:t>
      </w:r>
      <w:r>
        <w:rPr>
          <w:rFonts w:hint="eastAsia"/>
          <w:szCs w:val="21"/>
          <w:u w:val="single"/>
        </w:rPr>
        <w:t xml:space="preserve"> </w:t>
      </w:r>
      <w:r>
        <w:rPr>
          <w:szCs w:val="21"/>
        </w:rPr>
        <w:t xml:space="preserve"> 性别：</w:t>
      </w:r>
      <w:r>
        <w:rPr>
          <w:szCs w:val="21"/>
          <w:u w:val="single"/>
        </w:rPr>
        <w:t xml:space="preserve">         </w:t>
      </w:r>
      <w:r>
        <w:rPr>
          <w:szCs w:val="21"/>
        </w:rPr>
        <w:t>年龄：</w:t>
      </w:r>
      <w:r>
        <w:rPr>
          <w:szCs w:val="21"/>
          <w:u w:val="single"/>
        </w:rPr>
        <w:t xml:space="preserve">        </w:t>
      </w:r>
      <w:r>
        <w:rPr>
          <w:szCs w:val="21"/>
        </w:rPr>
        <w:t>职务：</w:t>
      </w:r>
      <w:r>
        <w:rPr>
          <w:szCs w:val="21"/>
          <w:u w:val="single"/>
        </w:rPr>
        <w:t xml:space="preserve">        </w:t>
      </w:r>
    </w:p>
    <w:p>
      <w:pPr>
        <w:spacing w:line="440" w:lineRule="exact"/>
        <w:rPr>
          <w:szCs w:val="21"/>
        </w:rPr>
      </w:pPr>
      <w:r>
        <w:rPr>
          <w:szCs w:val="21"/>
        </w:rPr>
        <w:t>系</w:t>
      </w:r>
      <w:r>
        <w:rPr>
          <w:szCs w:val="21"/>
          <w:u w:val="single"/>
        </w:rPr>
        <w:t xml:space="preserve">                             </w:t>
      </w:r>
      <w:r>
        <w:rPr>
          <w:szCs w:val="21"/>
        </w:rPr>
        <w:t xml:space="preserve"> </w:t>
      </w:r>
      <w:r>
        <w:rPr>
          <w:rFonts w:hint="eastAsia"/>
          <w:szCs w:val="21"/>
        </w:rPr>
        <w:t>（</w:t>
      </w:r>
      <w:r>
        <w:rPr>
          <w:szCs w:val="21"/>
        </w:rPr>
        <w:t>投标人名称</w:t>
      </w:r>
      <w:r>
        <w:rPr>
          <w:rFonts w:hint="eastAsia"/>
          <w:szCs w:val="21"/>
        </w:rPr>
        <w:t>）</w:t>
      </w:r>
      <w:r>
        <w:rPr>
          <w:szCs w:val="21"/>
        </w:rPr>
        <w:t>的法定代表人。</w:t>
      </w:r>
    </w:p>
    <w:p>
      <w:pPr>
        <w:spacing w:line="440" w:lineRule="exact"/>
        <w:ind w:firstLine="420" w:firstLineChars="200"/>
        <w:rPr>
          <w:szCs w:val="21"/>
        </w:rPr>
      </w:pPr>
      <w:r>
        <w:rPr>
          <w:szCs w:val="21"/>
        </w:rPr>
        <w:t>特此证明。</w:t>
      </w:r>
    </w:p>
    <w:p>
      <w:pPr>
        <w:spacing w:line="440" w:lineRule="exact"/>
        <w:rPr>
          <w:szCs w:val="21"/>
        </w:rPr>
      </w:pPr>
    </w:p>
    <w:p>
      <w:pPr>
        <w:spacing w:line="440" w:lineRule="exact"/>
        <w:rPr>
          <w:szCs w:val="21"/>
        </w:rPr>
      </w:pPr>
    </w:p>
    <w:p>
      <w:pPr>
        <w:spacing w:line="440" w:lineRule="exact"/>
        <w:rPr>
          <w:szCs w:val="21"/>
        </w:rPr>
      </w:pPr>
      <w:r>
        <w:rPr>
          <w:szCs w:val="21"/>
        </w:rPr>
        <w:t xml:space="preserve">                          投标人：</w:t>
      </w:r>
      <w:r>
        <w:rPr>
          <w:szCs w:val="21"/>
          <w:u w:val="single"/>
        </w:rPr>
        <w:t xml:space="preserve">                 </w:t>
      </w:r>
      <w:r>
        <w:rPr>
          <w:szCs w:val="21"/>
        </w:rPr>
        <w:t>（盖单位章）</w:t>
      </w:r>
    </w:p>
    <w:p>
      <w:pPr>
        <w:spacing w:line="440" w:lineRule="exact"/>
        <w:rPr>
          <w:szCs w:val="21"/>
        </w:rPr>
      </w:pPr>
      <w:r>
        <w:rPr>
          <w:szCs w:val="21"/>
        </w:rPr>
        <w:t xml:space="preserve">                                </w:t>
      </w:r>
      <w:r>
        <w:rPr>
          <w:rFonts w:hint="eastAsia"/>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 xml:space="preserve">日           </w:t>
      </w:r>
    </w:p>
    <w:p>
      <w:pPr>
        <w:spacing w:line="440" w:lineRule="exact"/>
        <w:jc w:val="center"/>
        <w:rPr>
          <w:rFonts w:eastAsia="黑体"/>
          <w:sz w:val="20"/>
          <w:szCs w:val="20"/>
        </w:rPr>
      </w:pPr>
      <w:r>
        <w:rPr>
          <w:rFonts w:eastAsia="黑体"/>
          <w:sz w:val="20"/>
          <w:szCs w:val="20"/>
        </w:rPr>
        <w:br w:type="page"/>
      </w:r>
    </w:p>
    <w:p>
      <w:pPr>
        <w:pStyle w:val="3"/>
        <w:jc w:val="center"/>
      </w:pPr>
      <w:bookmarkStart w:id="96" w:name="_Toc179632812"/>
      <w:bookmarkStart w:id="97" w:name="_Toc246996360"/>
      <w:bookmarkStart w:id="98" w:name="_Toc144974861"/>
      <w:bookmarkStart w:id="99" w:name="_Toc296602606"/>
      <w:bookmarkStart w:id="100" w:name="_Toc152042581"/>
      <w:bookmarkStart w:id="101" w:name="_Toc247085878"/>
      <w:bookmarkStart w:id="102" w:name="_Toc152045792"/>
      <w:bookmarkStart w:id="103" w:name="_Toc246997103"/>
      <w:r>
        <w:rPr>
          <w:rFonts w:hint="eastAsia"/>
        </w:rPr>
        <w:t>三</w:t>
      </w:r>
      <w:r>
        <w:t>、授权委托书</w:t>
      </w:r>
      <w:bookmarkEnd w:id="96"/>
      <w:bookmarkEnd w:id="97"/>
      <w:bookmarkEnd w:id="98"/>
      <w:bookmarkEnd w:id="99"/>
      <w:bookmarkEnd w:id="100"/>
      <w:bookmarkEnd w:id="101"/>
      <w:bookmarkEnd w:id="102"/>
      <w:bookmarkEnd w:id="103"/>
    </w:p>
    <w:p>
      <w:pPr>
        <w:spacing w:line="440" w:lineRule="exact"/>
        <w:rPr>
          <w:rFonts w:eastAsia="黑体"/>
          <w:szCs w:val="21"/>
        </w:rPr>
      </w:pPr>
    </w:p>
    <w:p>
      <w:pPr>
        <w:topLinePunct/>
        <w:spacing w:line="440" w:lineRule="exact"/>
        <w:ind w:firstLine="420" w:firstLineChars="200"/>
        <w:rPr>
          <w:szCs w:val="21"/>
        </w:rPr>
      </w:pPr>
      <w:r>
        <w:rPr>
          <w:szCs w:val="21"/>
        </w:rPr>
        <w:t>本人</w:t>
      </w:r>
      <w:r>
        <w:rPr>
          <w:szCs w:val="21"/>
          <w:u w:val="single"/>
        </w:rPr>
        <w:t xml:space="preserve">       </w:t>
      </w:r>
      <w:r>
        <w:rPr>
          <w:szCs w:val="21"/>
        </w:rPr>
        <w:t>（姓名）系</w:t>
      </w:r>
      <w:r>
        <w:rPr>
          <w:szCs w:val="21"/>
          <w:u w:val="single"/>
        </w:rPr>
        <w:t xml:space="preserve">        </w:t>
      </w:r>
      <w:r>
        <w:rPr>
          <w:szCs w:val="21"/>
        </w:rPr>
        <w:t>（投标人名称）的法定代表人，现委托</w:t>
      </w:r>
      <w:r>
        <w:rPr>
          <w:szCs w:val="21"/>
          <w:u w:val="single"/>
        </w:rPr>
        <w:t xml:space="preserve">        </w:t>
      </w:r>
      <w:r>
        <w:rPr>
          <w:szCs w:val="21"/>
        </w:rPr>
        <w:t>（姓名）为我方代理人。代理人根据授权，以我方名义签署、澄清</w:t>
      </w:r>
      <w:r>
        <w:rPr>
          <w:rFonts w:hint="eastAsia"/>
          <w:szCs w:val="21"/>
        </w:rPr>
        <w:t>、说明、补正</w:t>
      </w:r>
      <w:r>
        <w:rPr>
          <w:szCs w:val="21"/>
        </w:rPr>
        <w:t>、递交、撤回、修改</w:t>
      </w:r>
      <w:r>
        <w:rPr>
          <w:szCs w:val="21"/>
          <w:u w:val="single"/>
        </w:rPr>
        <w:t xml:space="preserve">           </w:t>
      </w:r>
      <w:r>
        <w:rPr>
          <w:szCs w:val="21"/>
        </w:rPr>
        <w:t>（项目名称）投标文件、签订合同和处理有关事宜，其法律后果由我方承担。</w:t>
      </w:r>
    </w:p>
    <w:p>
      <w:pPr>
        <w:spacing w:line="440" w:lineRule="exact"/>
        <w:rPr>
          <w:szCs w:val="21"/>
        </w:rPr>
      </w:pPr>
      <w:r>
        <w:rPr>
          <w:szCs w:val="21"/>
        </w:rPr>
        <w:t xml:space="preserve">    委托期限：</w:t>
      </w:r>
      <w:r>
        <w:rPr>
          <w:szCs w:val="21"/>
          <w:u w:val="single"/>
        </w:rPr>
        <w:t xml:space="preserve">             </w:t>
      </w:r>
      <w:r>
        <w:rPr>
          <w:rFonts w:hint="eastAsia"/>
          <w:szCs w:val="21"/>
        </w:rPr>
        <w:t>。</w:t>
      </w:r>
    </w:p>
    <w:p>
      <w:pPr>
        <w:spacing w:line="440" w:lineRule="exact"/>
        <w:ind w:firstLine="420" w:firstLineChars="200"/>
        <w:rPr>
          <w:szCs w:val="21"/>
        </w:rPr>
      </w:pPr>
      <w:r>
        <w:rPr>
          <w:szCs w:val="21"/>
        </w:rPr>
        <w:t>代理人无转委托权。</w:t>
      </w:r>
    </w:p>
    <w:p>
      <w:pPr>
        <w:spacing w:line="440" w:lineRule="exact"/>
        <w:ind w:firstLine="420" w:firstLineChars="200"/>
        <w:rPr>
          <w:szCs w:val="21"/>
        </w:rPr>
      </w:pPr>
      <w:r>
        <w:rPr>
          <w:rFonts w:hint="eastAsia"/>
          <w:szCs w:val="21"/>
        </w:rPr>
        <w:t>附：法定代表人身份证明</w:t>
      </w:r>
    </w:p>
    <w:p>
      <w:pPr>
        <w:spacing w:line="440" w:lineRule="exact"/>
        <w:rPr>
          <w:szCs w:val="21"/>
        </w:rPr>
      </w:pPr>
    </w:p>
    <w:p>
      <w:pPr>
        <w:spacing w:line="440" w:lineRule="exact"/>
        <w:rPr>
          <w:szCs w:val="21"/>
        </w:rPr>
      </w:pPr>
    </w:p>
    <w:p>
      <w:pPr>
        <w:spacing w:line="440" w:lineRule="exact"/>
        <w:rPr>
          <w:szCs w:val="21"/>
        </w:rPr>
      </w:pPr>
      <w:r>
        <w:rPr>
          <w:szCs w:val="21"/>
        </w:rPr>
        <w:t>投标人：</w:t>
      </w:r>
      <w:r>
        <w:rPr>
          <w:szCs w:val="21"/>
          <w:u w:val="single"/>
        </w:rPr>
        <w:t xml:space="preserve">                               </w:t>
      </w:r>
      <w:r>
        <w:rPr>
          <w:szCs w:val="21"/>
        </w:rPr>
        <w:t>（盖单位章）</w:t>
      </w:r>
    </w:p>
    <w:p>
      <w:pPr>
        <w:spacing w:line="440" w:lineRule="exact"/>
        <w:rPr>
          <w:szCs w:val="21"/>
        </w:rPr>
      </w:pPr>
    </w:p>
    <w:p>
      <w:pPr>
        <w:spacing w:line="440" w:lineRule="exact"/>
        <w:rPr>
          <w:szCs w:val="21"/>
        </w:rPr>
      </w:pPr>
      <w:r>
        <w:rPr>
          <w:szCs w:val="21"/>
        </w:rPr>
        <w:t>法定代表人：</w:t>
      </w:r>
      <w:r>
        <w:rPr>
          <w:szCs w:val="21"/>
          <w:u w:val="single"/>
        </w:rPr>
        <w:t xml:space="preserve">                               </w:t>
      </w:r>
      <w:r>
        <w:rPr>
          <w:szCs w:val="21"/>
        </w:rPr>
        <w:t>（</w:t>
      </w:r>
      <w:r>
        <w:rPr>
          <w:rFonts w:hint="eastAsia"/>
          <w:szCs w:val="21"/>
          <w:lang w:eastAsia="zh-CN"/>
        </w:rPr>
        <w:t>签字或盖章</w:t>
      </w:r>
      <w:r>
        <w:rPr>
          <w:szCs w:val="21"/>
        </w:rPr>
        <w:t>）</w:t>
      </w:r>
    </w:p>
    <w:p>
      <w:pPr>
        <w:spacing w:line="440" w:lineRule="exact"/>
        <w:rPr>
          <w:szCs w:val="21"/>
        </w:rPr>
      </w:pPr>
    </w:p>
    <w:p>
      <w:pPr>
        <w:spacing w:line="440" w:lineRule="exact"/>
        <w:rPr>
          <w:szCs w:val="21"/>
        </w:rPr>
      </w:pPr>
      <w:r>
        <w:rPr>
          <w:szCs w:val="21"/>
        </w:rPr>
        <w:t>身份证号码：</w:t>
      </w:r>
      <w:r>
        <w:rPr>
          <w:szCs w:val="21"/>
          <w:u w:val="single"/>
        </w:rPr>
        <w:t xml:space="preserve">                                     </w:t>
      </w:r>
    </w:p>
    <w:p>
      <w:pPr>
        <w:spacing w:line="440" w:lineRule="exact"/>
        <w:rPr>
          <w:szCs w:val="21"/>
        </w:rPr>
      </w:pPr>
    </w:p>
    <w:p>
      <w:pPr>
        <w:spacing w:line="440" w:lineRule="exact"/>
        <w:rPr>
          <w:szCs w:val="21"/>
        </w:rPr>
      </w:pPr>
      <w:r>
        <w:rPr>
          <w:szCs w:val="21"/>
        </w:rPr>
        <w:t>委托代理人：</w:t>
      </w:r>
      <w:r>
        <w:rPr>
          <w:szCs w:val="21"/>
          <w:u w:val="single"/>
        </w:rPr>
        <w:t xml:space="preserve">                                   </w:t>
      </w:r>
      <w:r>
        <w:rPr>
          <w:szCs w:val="21"/>
        </w:rPr>
        <w:t>（</w:t>
      </w:r>
      <w:r>
        <w:rPr>
          <w:rFonts w:hint="eastAsia"/>
          <w:szCs w:val="21"/>
          <w:lang w:eastAsia="zh-CN"/>
        </w:rPr>
        <w:t>签字或盖章</w:t>
      </w:r>
      <w:r>
        <w:rPr>
          <w:szCs w:val="21"/>
        </w:rPr>
        <w:t xml:space="preserve">） </w:t>
      </w:r>
    </w:p>
    <w:p>
      <w:pPr>
        <w:spacing w:line="440" w:lineRule="exact"/>
        <w:rPr>
          <w:szCs w:val="21"/>
        </w:rPr>
      </w:pPr>
    </w:p>
    <w:p>
      <w:pPr>
        <w:spacing w:line="440" w:lineRule="exact"/>
        <w:rPr>
          <w:szCs w:val="21"/>
        </w:rPr>
      </w:pPr>
      <w:r>
        <w:rPr>
          <w:szCs w:val="21"/>
        </w:rPr>
        <w:t>身份证号码：</w:t>
      </w:r>
      <w:r>
        <w:rPr>
          <w:szCs w:val="21"/>
          <w:u w:val="single"/>
        </w:rPr>
        <w:t xml:space="preserve">                                      </w:t>
      </w:r>
    </w:p>
    <w:p>
      <w:pPr>
        <w:spacing w:line="440" w:lineRule="exact"/>
        <w:rPr>
          <w:szCs w:val="21"/>
        </w:rPr>
      </w:pPr>
    </w:p>
    <w:p>
      <w:pPr>
        <w:spacing w:line="440" w:lineRule="exact"/>
        <w:rPr>
          <w:szCs w:val="21"/>
        </w:rPr>
      </w:pPr>
    </w:p>
    <w:p>
      <w:pPr>
        <w:rPr>
          <w:rFonts w:ascii="宋体" w:hAnsi="宋体" w:eastAsia="宋体" w:cs="宋体"/>
          <w:b/>
          <w:bCs/>
          <w:kern w:val="0"/>
          <w:sz w:val="24"/>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rPr>
          <w:rFonts w:ascii="宋体" w:hAnsi="宋体" w:eastAsia="宋体" w:cs="宋体"/>
          <w:b/>
          <w:bCs/>
          <w:kern w:val="0"/>
          <w:sz w:val="24"/>
        </w:rPr>
      </w:pPr>
    </w:p>
    <w:p>
      <w:pPr>
        <w:rPr>
          <w:rFonts w:ascii="宋体" w:hAnsi="宋体" w:eastAsia="宋体" w:cs="宋体"/>
          <w:b/>
          <w:color w:val="000000"/>
          <w:kern w:val="0"/>
          <w:sz w:val="24"/>
        </w:rPr>
      </w:pPr>
      <w:r>
        <w:rPr>
          <w:rFonts w:hint="eastAsia" w:ascii="宋体" w:hAnsi="宋体" w:eastAsia="宋体" w:cs="宋体"/>
          <w:b/>
          <w:color w:val="000000"/>
          <w:kern w:val="0"/>
          <w:sz w:val="24"/>
        </w:rPr>
        <w:br w:type="page"/>
      </w:r>
    </w:p>
    <w:p>
      <w:pPr>
        <w:spacing w:line="400" w:lineRule="exact"/>
      </w:pPr>
    </w:p>
    <w:p>
      <w:pPr>
        <w:pStyle w:val="3"/>
        <w:jc w:val="center"/>
      </w:pPr>
      <w:bookmarkStart w:id="104" w:name="_Toc152042583"/>
      <w:bookmarkStart w:id="105" w:name="_Toc246997105"/>
      <w:bookmarkStart w:id="106" w:name="_Toc296602607"/>
      <w:bookmarkStart w:id="107" w:name="_Toc179632814"/>
      <w:bookmarkStart w:id="108" w:name="_Toc144974862"/>
      <w:bookmarkStart w:id="109" w:name="_Toc152045794"/>
      <w:bookmarkStart w:id="110" w:name="_Toc247085880"/>
      <w:bookmarkStart w:id="111" w:name="_Toc246996362"/>
      <w:r>
        <w:rPr>
          <w:rFonts w:hint="eastAsia"/>
        </w:rPr>
        <w:t>四</w:t>
      </w:r>
      <w:r>
        <w:t>、投标保证金</w:t>
      </w:r>
      <w:bookmarkEnd w:id="104"/>
      <w:bookmarkEnd w:id="105"/>
      <w:bookmarkEnd w:id="106"/>
      <w:bookmarkEnd w:id="107"/>
      <w:bookmarkEnd w:id="108"/>
      <w:bookmarkEnd w:id="109"/>
      <w:bookmarkEnd w:id="110"/>
      <w:bookmarkEnd w:id="111"/>
    </w:p>
    <w:p>
      <w:pPr>
        <w:wordWrap w:val="0"/>
        <w:snapToGrid w:val="0"/>
        <w:spacing w:line="520" w:lineRule="exact"/>
        <w:ind w:firstLine="403" w:firstLineChars="192"/>
        <w:rPr>
          <w:rFonts w:ascii="Times New Roman" w:hAnsi="Times New Roman" w:cs="Times New Roman"/>
          <w:bCs/>
          <w:color w:val="000000"/>
          <w:kern w:val="0"/>
          <w:szCs w:val="21"/>
        </w:rPr>
      </w:pPr>
      <w:r>
        <w:rPr>
          <w:rFonts w:ascii="Times New Roman" w:hAnsi="Times New Roman" w:cs="Times New Roman"/>
          <w:bCs/>
          <w:color w:val="000000"/>
          <w:kern w:val="0"/>
          <w:szCs w:val="21"/>
        </w:rPr>
        <w:t>1.</w:t>
      </w:r>
      <w:r>
        <w:rPr>
          <w:rFonts w:hint="eastAsia" w:ascii="Times New Roman" w:hAnsi="Times New Roman" w:cs="Times New Roman"/>
          <w:bCs/>
          <w:color w:val="000000"/>
          <w:kern w:val="0"/>
          <w:szCs w:val="21"/>
        </w:rPr>
        <w:t>中国</w:t>
      </w:r>
      <w:r>
        <w:rPr>
          <w:rFonts w:ascii="Times New Roman" w:hAnsi="Times New Roman" w:cs="Times New Roman"/>
          <w:bCs/>
          <w:color w:val="000000"/>
          <w:kern w:val="0"/>
          <w:szCs w:val="21"/>
        </w:rPr>
        <w:t>人民银行核发的《基本存款账户开户许可证》或基本存款账户开户银行出具的《基本存款账户信息》（加盖银行印章）：</w:t>
      </w: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03" w:firstLineChars="192"/>
        <w:rPr>
          <w:rFonts w:ascii="Times New Roman" w:hAnsi="Times New Roman" w:cs="Times New Roman"/>
          <w:bCs/>
          <w:color w:val="000000"/>
          <w:kern w:val="0"/>
          <w:szCs w:val="21"/>
        </w:rPr>
      </w:pPr>
      <w:r>
        <w:rPr>
          <w:rFonts w:ascii="Times New Roman" w:hAnsi="Times New Roman" w:cs="Times New Roman"/>
          <w:bCs/>
          <w:color w:val="000000"/>
          <w:kern w:val="0"/>
          <w:szCs w:val="21"/>
        </w:rPr>
        <w:t>2.保证金转账或电汇凭证：</w:t>
      </w:r>
    </w:p>
    <w:p>
      <w:pPr>
        <w:wordWrap w:val="0"/>
        <w:snapToGrid w:val="0"/>
        <w:spacing w:line="520" w:lineRule="exact"/>
        <w:ind w:firstLine="403" w:firstLineChars="192"/>
        <w:rPr>
          <w:rFonts w:ascii="Times New Roman" w:hAnsi="Times New Roman" w:cs="Times New Roman"/>
          <w:bCs/>
          <w:color w:val="000000"/>
          <w:kern w:val="0"/>
          <w:szCs w:val="21"/>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05" w:firstLineChars="192"/>
        <w:rPr>
          <w:rFonts w:eastAsia="黑体"/>
          <w:sz w:val="20"/>
          <w:szCs w:val="20"/>
        </w:rPr>
      </w:pPr>
      <w:r>
        <w:rPr>
          <w:rFonts w:ascii="Times New Roman" w:hAnsi="Times New Roman" w:cs="Times New Roman"/>
          <w:b/>
          <w:color w:val="000000"/>
          <w:kern w:val="0"/>
          <w:szCs w:val="21"/>
        </w:rPr>
        <w:t>备注：</w:t>
      </w:r>
      <w:r>
        <w:rPr>
          <w:rFonts w:ascii="Times New Roman" w:hAnsi="Times New Roman" w:cs="Times New Roman"/>
          <w:color w:val="000000"/>
          <w:kern w:val="0"/>
          <w:szCs w:val="21"/>
        </w:rPr>
        <w:t>缴纳保证金的开户行、账号等信息须与基本存款账户信息一致</w:t>
      </w:r>
      <w:r>
        <w:rPr>
          <w:rFonts w:hint="eastAsia" w:ascii="宋体" w:hAnsi="宋体" w:eastAsia="宋体" w:cs="宋体"/>
          <w:b/>
          <w:kern w:val="0"/>
          <w:sz w:val="24"/>
        </w:rPr>
        <w:br w:type="page"/>
      </w:r>
    </w:p>
    <w:p>
      <w:pPr>
        <w:pStyle w:val="3"/>
        <w:jc w:val="center"/>
        <w:rPr>
          <w:rFonts w:ascii="Times New Roman" w:hAnsi="Times New Roman" w:cs="Times New Roman"/>
        </w:rPr>
      </w:pPr>
      <w:bookmarkStart w:id="112" w:name="_Toc296602609"/>
      <w:bookmarkStart w:id="113" w:name="_Toc247085882"/>
      <w:bookmarkStart w:id="114" w:name="_Toc152045796"/>
      <w:bookmarkStart w:id="115" w:name="_Toc179632816"/>
      <w:bookmarkStart w:id="116" w:name="_Toc152042585"/>
      <w:bookmarkStart w:id="117" w:name="_Toc144974864"/>
      <w:bookmarkStart w:id="118" w:name="_Toc246996364"/>
      <w:bookmarkStart w:id="119" w:name="_Toc246997107"/>
      <w:r>
        <w:rPr>
          <w:rFonts w:ascii="Times New Roman" w:hAnsi="Times New Roman" w:cs="Times New Roman"/>
        </w:rPr>
        <w:t>五、</w:t>
      </w:r>
      <w:bookmarkEnd w:id="112"/>
      <w:bookmarkEnd w:id="113"/>
      <w:bookmarkEnd w:id="114"/>
      <w:bookmarkEnd w:id="115"/>
      <w:bookmarkEnd w:id="116"/>
      <w:bookmarkEnd w:id="117"/>
      <w:bookmarkEnd w:id="118"/>
      <w:bookmarkEnd w:id="119"/>
      <w:r>
        <w:rPr>
          <w:rFonts w:hint="eastAsia" w:ascii="Times New Roman" w:hAnsi="Times New Roman" w:cs="Times New Roman"/>
          <w:lang w:val="en-US" w:eastAsia="zh-CN"/>
        </w:rPr>
        <w:t>项目</w:t>
      </w:r>
      <w:r>
        <w:rPr>
          <w:rFonts w:hint="eastAsia" w:ascii="Times New Roman" w:hAnsi="Times New Roman" w:cs="Times New Roman"/>
        </w:rPr>
        <w:t>方案</w:t>
      </w:r>
    </w:p>
    <w:p>
      <w:pPr>
        <w:rPr>
          <w:rFonts w:eastAsia="黑体"/>
          <w:sz w:val="20"/>
          <w:szCs w:val="20"/>
        </w:rPr>
      </w:pPr>
      <w:r>
        <w:rPr>
          <w:rFonts w:hint="eastAsia" w:ascii="Times New Roman" w:hAnsi="Times New Roman" w:cs="Times New Roman"/>
          <w:sz w:val="28"/>
          <w:szCs w:val="28"/>
          <w:lang w:val="en-US" w:eastAsia="zh-CN"/>
        </w:rPr>
        <w:t>包括但不限于项目实施方案、售后服务方案</w:t>
      </w:r>
      <w:r>
        <w:rPr>
          <w:rFonts w:hint="eastAsia" w:ascii="Times New Roman" w:hAnsi="Times New Roman" w:cs="Times New Roman"/>
          <w:szCs w:val="21"/>
        </w:rPr>
        <w:br w:type="page"/>
      </w:r>
    </w:p>
    <w:p>
      <w:pPr>
        <w:topLinePunct/>
        <w:spacing w:line="440" w:lineRule="exact"/>
        <w:jc w:val="center"/>
        <w:rPr>
          <w:sz w:val="20"/>
        </w:rPr>
      </w:pPr>
    </w:p>
    <w:p>
      <w:pPr>
        <w:pStyle w:val="3"/>
        <w:jc w:val="center"/>
      </w:pPr>
      <w:bookmarkStart w:id="120" w:name="_Toc179632827"/>
      <w:bookmarkStart w:id="121" w:name="_Toc152045807"/>
      <w:bookmarkStart w:id="122" w:name="_Toc144974875"/>
      <w:bookmarkStart w:id="123" w:name="_Toc152042596"/>
      <w:bookmarkStart w:id="124" w:name="_Toc246996372"/>
      <w:bookmarkStart w:id="125" w:name="_Toc247085890"/>
      <w:bookmarkStart w:id="126" w:name="_Toc246997115"/>
      <w:bookmarkStart w:id="127" w:name="_Toc296602617"/>
      <w:r>
        <w:rPr>
          <w:rFonts w:hint="eastAsia"/>
          <w:lang w:val="en-US" w:eastAsia="zh-CN"/>
        </w:rPr>
        <w:t>六</w:t>
      </w:r>
      <w:r>
        <w:t>、资格审查资料</w:t>
      </w:r>
      <w:bookmarkEnd w:id="120"/>
      <w:bookmarkEnd w:id="121"/>
      <w:bookmarkEnd w:id="122"/>
      <w:bookmarkEnd w:id="123"/>
      <w:bookmarkEnd w:id="124"/>
      <w:bookmarkEnd w:id="125"/>
      <w:bookmarkEnd w:id="126"/>
      <w:bookmarkEnd w:id="127"/>
    </w:p>
    <w:p>
      <w:pPr>
        <w:pStyle w:val="4"/>
        <w:jc w:val="left"/>
      </w:pPr>
      <w:bookmarkStart w:id="128" w:name="_Toc246997116"/>
      <w:bookmarkStart w:id="129" w:name="_Toc179632828"/>
      <w:bookmarkStart w:id="130" w:name="_Toc247085891"/>
      <w:bookmarkStart w:id="131" w:name="_Toc152045808"/>
      <w:bookmarkStart w:id="132" w:name="_Toc296602618"/>
      <w:bookmarkStart w:id="133" w:name="_Toc144974876"/>
      <w:bookmarkStart w:id="134" w:name="_Toc152042597"/>
      <w:bookmarkStart w:id="135" w:name="_Toc246996373"/>
      <w:r>
        <w:t>（一）投标人基本情况表</w:t>
      </w:r>
      <w:bookmarkEnd w:id="128"/>
      <w:bookmarkEnd w:id="129"/>
      <w:bookmarkEnd w:id="130"/>
      <w:bookmarkEnd w:id="131"/>
      <w:bookmarkEnd w:id="132"/>
      <w:bookmarkEnd w:id="133"/>
      <w:bookmarkEnd w:id="134"/>
      <w:bookmarkEnd w:id="135"/>
    </w:p>
    <w:tbl>
      <w:tblPr>
        <w:tblStyle w:val="15"/>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总设计负责人</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bl>
    <w:p>
      <w:pPr>
        <w:spacing w:line="400" w:lineRule="exact"/>
        <w:rPr>
          <w:rFonts w:ascii="Times New Roman" w:hAnsi="Times New Roman"/>
          <w:color w:val="000000"/>
        </w:rPr>
      </w:pPr>
      <w:r>
        <w:rPr>
          <w:rFonts w:ascii="Times New Roman" w:hAnsi="Times New Roman"/>
          <w:color w:val="000000"/>
        </w:rPr>
        <w:t>注：</w:t>
      </w:r>
      <w:r>
        <w:rPr>
          <w:rFonts w:hint="eastAsia" w:ascii="Times New Roman" w:hAnsi="Times New Roman"/>
          <w:color w:val="000000"/>
        </w:rPr>
        <w:t>“投标人基本情况表”应附投标人</w:t>
      </w:r>
      <w:r>
        <w:rPr>
          <w:rFonts w:hint="eastAsia" w:ascii="Times New Roman" w:hAnsi="Times New Roman"/>
          <w:b/>
          <w:bCs/>
          <w:color w:val="000000"/>
        </w:rPr>
        <w:t>营业执照、资质证书</w:t>
      </w:r>
      <w:r>
        <w:rPr>
          <w:rFonts w:hint="eastAsia" w:ascii="Times New Roman" w:hAnsi="Times New Roman"/>
          <w:color w:val="000000"/>
        </w:rPr>
        <w:t>等材料的复印件，加盖投标人公章。</w:t>
      </w:r>
    </w:p>
    <w:p>
      <w:pPr>
        <w:spacing w:line="440" w:lineRule="exact"/>
        <w:ind w:firstLine="500" w:firstLineChars="250"/>
        <w:jc w:val="center"/>
        <w:rPr>
          <w:rFonts w:eastAsia="黑体"/>
          <w:sz w:val="20"/>
          <w:szCs w:val="20"/>
        </w:rPr>
      </w:pPr>
      <w:r>
        <w:rPr>
          <w:rFonts w:eastAsia="黑体"/>
          <w:sz w:val="20"/>
          <w:szCs w:val="20"/>
        </w:rPr>
        <w:br w:type="page"/>
      </w:r>
      <w:bookmarkStart w:id="136" w:name="_Toc144974881"/>
      <w:bookmarkStart w:id="137" w:name="_Toc179632833"/>
      <w:bookmarkStart w:id="138" w:name="_Toc152045813"/>
      <w:bookmarkStart w:id="139" w:name="_Toc152042602"/>
    </w:p>
    <w:p>
      <w:pPr>
        <w:pStyle w:val="4"/>
        <w:jc w:val="left"/>
      </w:pPr>
      <w:bookmarkStart w:id="140" w:name="_Toc152045810"/>
      <w:bookmarkStart w:id="141" w:name="_Toc144974878"/>
      <w:bookmarkStart w:id="142" w:name="_Toc296602620"/>
      <w:bookmarkStart w:id="143" w:name="_Toc247527850"/>
      <w:bookmarkStart w:id="144" w:name="_Toc265953296"/>
      <w:bookmarkStart w:id="145" w:name="_Toc152042599"/>
      <w:bookmarkStart w:id="146" w:name="_Toc247514302"/>
      <w:r>
        <w:t>（</w:t>
      </w:r>
      <w:r>
        <w:rPr>
          <w:rFonts w:hint="eastAsia"/>
        </w:rPr>
        <w:t>二</w:t>
      </w:r>
      <w:r>
        <w:t>）近年完成的类似项目情况表</w:t>
      </w:r>
      <w:bookmarkEnd w:id="140"/>
      <w:bookmarkEnd w:id="141"/>
      <w:bookmarkEnd w:id="142"/>
      <w:bookmarkEnd w:id="143"/>
      <w:bookmarkEnd w:id="144"/>
      <w:bookmarkEnd w:id="145"/>
      <w:bookmarkEnd w:id="146"/>
      <w:r>
        <w:rPr>
          <w:rFonts w:hint="eastAsia"/>
        </w:rPr>
        <w:t xml:space="preserve">   </w:t>
      </w:r>
    </w:p>
    <w:tbl>
      <w:tblPr>
        <w:tblStyle w:val="15"/>
        <w:tblW w:w="91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szCs w:val="21"/>
              </w:rPr>
            </w:pPr>
            <w:r>
              <w:rPr>
                <w:szCs w:val="21"/>
              </w:rPr>
              <w:t>项目名称</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szCs w:val="21"/>
              </w:rPr>
            </w:pPr>
            <w:r>
              <w:rPr>
                <w:szCs w:val="21"/>
              </w:rPr>
              <w:t>项目所在地</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szCs w:val="21"/>
              </w:rPr>
            </w:pPr>
            <w:r>
              <w:rPr>
                <w:szCs w:val="21"/>
              </w:rPr>
              <w:t>发包人名称</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szCs w:val="21"/>
              </w:rPr>
            </w:pPr>
            <w:r>
              <w:rPr>
                <w:szCs w:val="21"/>
              </w:rPr>
              <w:t>发包人地址</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szCs w:val="21"/>
              </w:rPr>
            </w:pPr>
            <w:r>
              <w:rPr>
                <w:szCs w:val="21"/>
              </w:rPr>
              <w:t>发包人电话</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szCs w:val="21"/>
              </w:rPr>
            </w:pPr>
            <w:r>
              <w:rPr>
                <w:szCs w:val="21"/>
              </w:rPr>
              <w:t>合同价格</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Cs w:val="21"/>
              </w:rPr>
            </w:pPr>
            <w:r>
              <w:rPr>
                <w:szCs w:val="21"/>
              </w:rPr>
              <w:t>开工日期</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vAlign w:val="center"/>
          </w:tcPr>
          <w:p>
            <w:pPr>
              <w:topLinePunct/>
              <w:spacing w:line="440" w:lineRule="exact"/>
              <w:jc w:val="center"/>
              <w:rPr>
                <w:szCs w:val="21"/>
              </w:rPr>
            </w:pPr>
            <w:r>
              <w:rPr>
                <w:rFonts w:hint="eastAsia"/>
              </w:rPr>
              <w:t>竣工</w:t>
            </w:r>
            <w:r>
              <w:rPr>
                <w:szCs w:val="21"/>
              </w:rPr>
              <w:t>日期</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vAlign w:val="center"/>
          </w:tcPr>
          <w:p>
            <w:pPr>
              <w:topLinePunct/>
              <w:spacing w:line="440" w:lineRule="exact"/>
              <w:jc w:val="center"/>
              <w:rPr>
                <w:szCs w:val="21"/>
              </w:rPr>
            </w:pPr>
            <w:r>
              <w:rPr>
                <w:szCs w:val="21"/>
              </w:rPr>
              <w:t>承担的工作</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vAlign w:val="center"/>
          </w:tcPr>
          <w:p>
            <w:pPr>
              <w:topLinePunct/>
              <w:spacing w:line="440" w:lineRule="exact"/>
              <w:jc w:val="center"/>
              <w:rPr>
                <w:szCs w:val="21"/>
              </w:rPr>
            </w:pPr>
            <w:r>
              <w:rPr>
                <w:szCs w:val="21"/>
              </w:rPr>
              <w:t>工程质量</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vAlign w:val="center"/>
          </w:tcPr>
          <w:p>
            <w:pPr>
              <w:topLinePunct/>
              <w:spacing w:line="440" w:lineRule="exact"/>
              <w:jc w:val="center"/>
              <w:rPr>
                <w:szCs w:val="21"/>
              </w:rPr>
            </w:pPr>
            <w:r>
              <w:rPr>
                <w:rFonts w:hint="eastAsia"/>
                <w:szCs w:val="21"/>
              </w:rPr>
              <w:t>总设计负责人</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vAlign w:val="center"/>
          </w:tcPr>
          <w:p>
            <w:pPr>
              <w:topLinePunct/>
              <w:spacing w:line="440" w:lineRule="exact"/>
              <w:jc w:val="center"/>
              <w:rPr>
                <w:szCs w:val="21"/>
              </w:rPr>
            </w:pPr>
            <w:r>
              <w:rPr>
                <w:szCs w:val="21"/>
              </w:rPr>
              <w:t>技术负责人</w:t>
            </w:r>
          </w:p>
        </w:tc>
        <w:tc>
          <w:tcPr>
            <w:tcW w:w="6923"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Cs w:val="21"/>
              </w:rPr>
            </w:pPr>
            <w:r>
              <w:rPr>
                <w:szCs w:val="21"/>
              </w:rPr>
              <w:t>项目描述</w:t>
            </w:r>
          </w:p>
        </w:tc>
        <w:tc>
          <w:tcPr>
            <w:tcW w:w="6923" w:type="dxa"/>
          </w:tcPr>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Cs w:val="21"/>
              </w:rPr>
            </w:pPr>
            <w:r>
              <w:rPr>
                <w:szCs w:val="21"/>
              </w:rPr>
              <w:t>备注</w:t>
            </w:r>
          </w:p>
        </w:tc>
        <w:tc>
          <w:tcPr>
            <w:tcW w:w="6923" w:type="dxa"/>
          </w:tcPr>
          <w:p>
            <w:pPr>
              <w:topLinePunct/>
              <w:spacing w:line="440" w:lineRule="exact"/>
              <w:rPr>
                <w:szCs w:val="21"/>
              </w:rPr>
            </w:pPr>
          </w:p>
        </w:tc>
      </w:tr>
    </w:tbl>
    <w:p>
      <w:pPr>
        <w:spacing w:line="440" w:lineRule="exact"/>
        <w:rPr>
          <w:rFonts w:ascii="Times New Roman" w:hAnsi="Times New Roman"/>
        </w:rPr>
      </w:pPr>
      <w:r>
        <w:rPr>
          <w:rFonts w:ascii="Times New Roman" w:hAnsi="Times New Roman"/>
        </w:rPr>
        <w:t>注：</w:t>
      </w:r>
      <w:r>
        <w:rPr>
          <w:rFonts w:hint="eastAsia" w:ascii="Times New Roman" w:hAnsi="Times New Roman"/>
          <w:color w:val="000000"/>
        </w:rPr>
        <w:t>“近年完成的类似项目情况表”应附合同协议书的复印件或扫描件，并加盖投标人公章；具体时间要求见投标人须知前附表，每张表格只填写一个项目，并标明序号。</w:t>
      </w:r>
    </w:p>
    <w:p>
      <w:pPr>
        <w:spacing w:line="440" w:lineRule="exact"/>
        <w:rPr>
          <w:rFonts w:eastAsia="黑体"/>
          <w:sz w:val="23"/>
          <w:szCs w:val="23"/>
        </w:rPr>
      </w:pPr>
    </w:p>
    <w:p>
      <w:pPr>
        <w:pStyle w:val="4"/>
        <w:ind w:firstLine="2891" w:firstLineChars="900"/>
      </w:pPr>
      <w:bookmarkStart w:id="147" w:name="_Toc246996374"/>
      <w:bookmarkStart w:id="148" w:name="_Toc246997117"/>
      <w:bookmarkStart w:id="149" w:name="_Toc247085892"/>
      <w:bookmarkStart w:id="150" w:name="_Toc296602622"/>
      <w:r>
        <w:rPr>
          <w:rFonts w:hint="eastAsia"/>
          <w:lang w:val="en-US" w:eastAsia="zh-CN"/>
        </w:rPr>
        <w:t>七、</w:t>
      </w:r>
      <w:r>
        <w:t>其他</w:t>
      </w:r>
      <w:r>
        <w:rPr>
          <w:rFonts w:hint="eastAsia"/>
        </w:rPr>
        <w:t>资</w:t>
      </w:r>
      <w:r>
        <w:t>料</w:t>
      </w:r>
      <w:bookmarkEnd w:id="136"/>
      <w:bookmarkEnd w:id="137"/>
      <w:bookmarkEnd w:id="138"/>
      <w:bookmarkEnd w:id="139"/>
      <w:bookmarkEnd w:id="147"/>
      <w:bookmarkEnd w:id="148"/>
      <w:bookmarkEnd w:id="149"/>
      <w:bookmarkEnd w:id="150"/>
    </w:p>
    <w:p>
      <w:pPr>
        <w:ind w:firstLine="420" w:firstLineChars="200"/>
      </w:pPr>
      <w:r>
        <w:rPr>
          <w:rFonts w:hint="eastAsia"/>
        </w:rPr>
        <w:t>第</w:t>
      </w:r>
      <w:r>
        <w:rPr>
          <w:rFonts w:hint="eastAsia"/>
          <w:lang w:val="en-US" w:eastAsia="zh-CN"/>
        </w:rPr>
        <w:t>六</w:t>
      </w:r>
      <w:r>
        <w:rPr>
          <w:rFonts w:hint="eastAsia"/>
        </w:rPr>
        <w:t>章“投标文件格式”未详尽列举，但招标文件要求或有必要提供的资料。</w:t>
      </w:r>
    </w:p>
    <w:p/>
    <w:p>
      <w:pPr>
        <w:tabs>
          <w:tab w:val="left" w:pos="720"/>
        </w:tabs>
        <w:spacing w:line="440" w:lineRule="exact"/>
        <w:rPr>
          <w:rFonts w:ascii="Times New Roman" w:hAnsi="Times New Roman" w:cs="Times New Roman"/>
          <w:szCs w:val="21"/>
        </w:rPr>
      </w:pPr>
    </w:p>
    <w:p>
      <w:pPr>
        <w:rPr>
          <w:rFonts w:ascii="宋体" w:hAnsi="宋体" w:eastAsia="宋体" w:cs="宋体"/>
          <w:kern w:val="0"/>
          <w:sz w:val="24"/>
        </w:rPr>
      </w:pPr>
    </w:p>
    <w:sectPr>
      <w:headerReference r:id="rId4" w:type="default"/>
      <w:footerReference r:id="rId5" w:type="default"/>
      <w:pgSz w:w="11906" w:h="16838"/>
      <w:pgMar w:top="1417" w:right="1417" w:bottom="1417" w:left="1417" w:header="851" w:footer="992" w:gutter="0"/>
      <w:pgNumType w:fmt="numberInDash"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0"/>
                            <w:rPr>
                              <w:rFonts w:asciiTheme="minorEastAsia" w:hAnsiTheme="minorEastAsia" w:cstheme="minorEastAsia"/>
                              <w:sz w:val="24"/>
                              <w:szCs w:val="24"/>
                            </w:rPr>
                          </w:pPr>
                          <w:r>
                            <w:rPr>
                              <w:rFonts w:hint="eastAsia" w:asciiTheme="minorEastAsia" w:hAnsiTheme="minorEastAsia" w:cstheme="minorEastAsia"/>
                              <w:sz w:val="24"/>
                              <w:szCs w:val="24"/>
                            </w:rPr>
                            <w:fldChar w:fldCharType="begin"/>
                          </w:r>
                          <w:r>
                            <w:rPr>
                              <w:rFonts w:hint="eastAsia" w:asciiTheme="minorEastAsia" w:hAnsiTheme="minorEastAsia" w:cstheme="minorEastAsia"/>
                              <w:sz w:val="24"/>
                              <w:szCs w:val="24"/>
                            </w:rPr>
                            <w:instrText xml:space="preserve"> PAGE  \* MERGEFORMAT </w:instrText>
                          </w:r>
                          <w:r>
                            <w:rPr>
                              <w:rFonts w:hint="eastAsia" w:asciiTheme="minorEastAsia" w:hAnsiTheme="minorEastAsia" w:cstheme="minorEastAsia"/>
                              <w:sz w:val="24"/>
                              <w:szCs w:val="24"/>
                            </w:rPr>
                            <w:fldChar w:fldCharType="separate"/>
                          </w:r>
                          <w:r>
                            <w:rPr>
                              <w:rFonts w:asciiTheme="minorEastAsia" w:hAnsiTheme="minorEastAsia" w:cstheme="minorEastAsia"/>
                              <w:sz w:val="24"/>
                              <w:szCs w:val="24"/>
                            </w:rPr>
                            <w:t>- 11 -</w:t>
                          </w:r>
                          <w:r>
                            <w:rPr>
                              <w:rFonts w:hint="eastAsia" w:asciiTheme="minorEastAsia" w:hAnsiTheme="minorEastAsia" w:cstheme="min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10"/>
                      <w:rPr>
                        <w:rFonts w:asciiTheme="minorEastAsia" w:hAnsiTheme="minorEastAsia" w:cstheme="minorEastAsia"/>
                        <w:sz w:val="24"/>
                        <w:szCs w:val="24"/>
                      </w:rPr>
                    </w:pPr>
                    <w:r>
                      <w:rPr>
                        <w:rFonts w:hint="eastAsia" w:asciiTheme="minorEastAsia" w:hAnsiTheme="minorEastAsia" w:cstheme="minorEastAsia"/>
                        <w:sz w:val="24"/>
                        <w:szCs w:val="24"/>
                      </w:rPr>
                      <w:fldChar w:fldCharType="begin"/>
                    </w:r>
                    <w:r>
                      <w:rPr>
                        <w:rFonts w:hint="eastAsia" w:asciiTheme="minorEastAsia" w:hAnsiTheme="minorEastAsia" w:cstheme="minorEastAsia"/>
                        <w:sz w:val="24"/>
                        <w:szCs w:val="24"/>
                      </w:rPr>
                      <w:instrText xml:space="preserve"> PAGE  \* MERGEFORMAT </w:instrText>
                    </w:r>
                    <w:r>
                      <w:rPr>
                        <w:rFonts w:hint="eastAsia" w:asciiTheme="minorEastAsia" w:hAnsiTheme="minorEastAsia" w:cstheme="minorEastAsia"/>
                        <w:sz w:val="24"/>
                        <w:szCs w:val="24"/>
                      </w:rPr>
                      <w:fldChar w:fldCharType="separate"/>
                    </w:r>
                    <w:r>
                      <w:rPr>
                        <w:rFonts w:asciiTheme="minorEastAsia" w:hAnsiTheme="minorEastAsia" w:cstheme="minorEastAsia"/>
                        <w:sz w:val="24"/>
                        <w:szCs w:val="24"/>
                      </w:rPr>
                      <w:t>- 11 -</w:t>
                    </w:r>
                    <w:r>
                      <w:rPr>
                        <w:rFonts w:hint="eastAsia" w:asciiTheme="minorEastAsia" w:hAnsiTheme="minorEastAsia" w:cstheme="minorEastAsia"/>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4BB60F"/>
    <w:multiLevelType w:val="singleLevel"/>
    <w:tmpl w:val="D34BB60F"/>
    <w:lvl w:ilvl="0" w:tentative="0">
      <w:start w:val="4"/>
      <w:numFmt w:val="chineseCounting"/>
      <w:suff w:val="nothing"/>
      <w:lvlText w:val="%1、"/>
      <w:lvlJc w:val="left"/>
      <w:rPr>
        <w:rFonts w:hint="eastAsia"/>
      </w:rPr>
    </w:lvl>
  </w:abstractNum>
  <w:abstractNum w:abstractNumId="1">
    <w:nsid w:val="E3F3B152"/>
    <w:multiLevelType w:val="singleLevel"/>
    <w:tmpl w:val="E3F3B152"/>
    <w:lvl w:ilvl="0" w:tentative="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CD3"/>
    <w:rsid w:val="00002415"/>
    <w:rsid w:val="000169BA"/>
    <w:rsid w:val="00032888"/>
    <w:rsid w:val="0004423C"/>
    <w:rsid w:val="001672C5"/>
    <w:rsid w:val="002C069E"/>
    <w:rsid w:val="00385ED4"/>
    <w:rsid w:val="003952D2"/>
    <w:rsid w:val="003C1E41"/>
    <w:rsid w:val="003E4AE5"/>
    <w:rsid w:val="00452862"/>
    <w:rsid w:val="00595CD3"/>
    <w:rsid w:val="005F40D5"/>
    <w:rsid w:val="006A01ED"/>
    <w:rsid w:val="006B6193"/>
    <w:rsid w:val="00733B0B"/>
    <w:rsid w:val="00764376"/>
    <w:rsid w:val="00796B76"/>
    <w:rsid w:val="007A38F6"/>
    <w:rsid w:val="0094179E"/>
    <w:rsid w:val="00AC359D"/>
    <w:rsid w:val="00B16195"/>
    <w:rsid w:val="00B96090"/>
    <w:rsid w:val="00BA48BC"/>
    <w:rsid w:val="00C83985"/>
    <w:rsid w:val="00D43468"/>
    <w:rsid w:val="00D60217"/>
    <w:rsid w:val="00DC7B4B"/>
    <w:rsid w:val="00E5665E"/>
    <w:rsid w:val="00FB5870"/>
    <w:rsid w:val="01033B68"/>
    <w:rsid w:val="011E1D37"/>
    <w:rsid w:val="01484F7A"/>
    <w:rsid w:val="019846E3"/>
    <w:rsid w:val="01CB0CDF"/>
    <w:rsid w:val="01CD2334"/>
    <w:rsid w:val="01F0419F"/>
    <w:rsid w:val="0204494F"/>
    <w:rsid w:val="02983D41"/>
    <w:rsid w:val="02AC508C"/>
    <w:rsid w:val="02B80415"/>
    <w:rsid w:val="02DA3EA0"/>
    <w:rsid w:val="03461261"/>
    <w:rsid w:val="034D6B3F"/>
    <w:rsid w:val="035021B2"/>
    <w:rsid w:val="03C10800"/>
    <w:rsid w:val="03C96DCC"/>
    <w:rsid w:val="03FB71CD"/>
    <w:rsid w:val="0426411F"/>
    <w:rsid w:val="042C575E"/>
    <w:rsid w:val="04382327"/>
    <w:rsid w:val="043F5557"/>
    <w:rsid w:val="04A52387"/>
    <w:rsid w:val="04CD15E8"/>
    <w:rsid w:val="04CF4810"/>
    <w:rsid w:val="04EC7DA2"/>
    <w:rsid w:val="055B5A78"/>
    <w:rsid w:val="0572490A"/>
    <w:rsid w:val="058253F2"/>
    <w:rsid w:val="05835B67"/>
    <w:rsid w:val="061F0438"/>
    <w:rsid w:val="06501BB5"/>
    <w:rsid w:val="06A8261F"/>
    <w:rsid w:val="06A848F7"/>
    <w:rsid w:val="06B76C9D"/>
    <w:rsid w:val="06D9502E"/>
    <w:rsid w:val="06EB4F76"/>
    <w:rsid w:val="06ED1728"/>
    <w:rsid w:val="06F4660D"/>
    <w:rsid w:val="07084A53"/>
    <w:rsid w:val="074267A8"/>
    <w:rsid w:val="074A7C93"/>
    <w:rsid w:val="075902DF"/>
    <w:rsid w:val="07666E00"/>
    <w:rsid w:val="077E0CB1"/>
    <w:rsid w:val="07972327"/>
    <w:rsid w:val="07A85930"/>
    <w:rsid w:val="07B47C56"/>
    <w:rsid w:val="08554A0D"/>
    <w:rsid w:val="086D3DA1"/>
    <w:rsid w:val="08774BE1"/>
    <w:rsid w:val="088F5820"/>
    <w:rsid w:val="08ED571D"/>
    <w:rsid w:val="09010B57"/>
    <w:rsid w:val="094D6307"/>
    <w:rsid w:val="097A1E3A"/>
    <w:rsid w:val="0984344D"/>
    <w:rsid w:val="09AF2C22"/>
    <w:rsid w:val="09C37FE6"/>
    <w:rsid w:val="0A0415E9"/>
    <w:rsid w:val="0A3B332D"/>
    <w:rsid w:val="0A8778A9"/>
    <w:rsid w:val="0A8C623B"/>
    <w:rsid w:val="0AB930A2"/>
    <w:rsid w:val="0B101DF6"/>
    <w:rsid w:val="0B5D1C2A"/>
    <w:rsid w:val="0BDE5EA1"/>
    <w:rsid w:val="0C110CA2"/>
    <w:rsid w:val="0C773477"/>
    <w:rsid w:val="0C9B3E91"/>
    <w:rsid w:val="0CD04859"/>
    <w:rsid w:val="0D230FCC"/>
    <w:rsid w:val="0D7F3B4D"/>
    <w:rsid w:val="0DA277FF"/>
    <w:rsid w:val="0DB8057F"/>
    <w:rsid w:val="0DC16FF8"/>
    <w:rsid w:val="0DDB677F"/>
    <w:rsid w:val="0E3C08A3"/>
    <w:rsid w:val="0E6D3EE4"/>
    <w:rsid w:val="0E8168AC"/>
    <w:rsid w:val="0E9601D9"/>
    <w:rsid w:val="0EB85A4B"/>
    <w:rsid w:val="0EDF4D5E"/>
    <w:rsid w:val="0EE30A0F"/>
    <w:rsid w:val="0F024085"/>
    <w:rsid w:val="0F136713"/>
    <w:rsid w:val="0F4B0F6A"/>
    <w:rsid w:val="0FA01399"/>
    <w:rsid w:val="0FC17C52"/>
    <w:rsid w:val="0FCA08C0"/>
    <w:rsid w:val="0FE42DE8"/>
    <w:rsid w:val="10032952"/>
    <w:rsid w:val="101038A7"/>
    <w:rsid w:val="101E2D38"/>
    <w:rsid w:val="1069417C"/>
    <w:rsid w:val="106C1E4B"/>
    <w:rsid w:val="107318D0"/>
    <w:rsid w:val="10BC2BBD"/>
    <w:rsid w:val="1143185A"/>
    <w:rsid w:val="116A6393"/>
    <w:rsid w:val="11800917"/>
    <w:rsid w:val="1197226B"/>
    <w:rsid w:val="11EA10CD"/>
    <w:rsid w:val="125A52C4"/>
    <w:rsid w:val="125B52FE"/>
    <w:rsid w:val="12655D96"/>
    <w:rsid w:val="128E3C38"/>
    <w:rsid w:val="128E7D25"/>
    <w:rsid w:val="12A81D67"/>
    <w:rsid w:val="12C942C8"/>
    <w:rsid w:val="12DC5F5E"/>
    <w:rsid w:val="12E82A0B"/>
    <w:rsid w:val="13274F9C"/>
    <w:rsid w:val="13417410"/>
    <w:rsid w:val="135107A8"/>
    <w:rsid w:val="136066CF"/>
    <w:rsid w:val="13657E31"/>
    <w:rsid w:val="1387094F"/>
    <w:rsid w:val="13D43313"/>
    <w:rsid w:val="13EB2557"/>
    <w:rsid w:val="13FE6EAA"/>
    <w:rsid w:val="14214371"/>
    <w:rsid w:val="147C6ADB"/>
    <w:rsid w:val="147E2423"/>
    <w:rsid w:val="1487273A"/>
    <w:rsid w:val="14A059A0"/>
    <w:rsid w:val="14B97B05"/>
    <w:rsid w:val="15021B62"/>
    <w:rsid w:val="150A21BA"/>
    <w:rsid w:val="15283931"/>
    <w:rsid w:val="15C0373F"/>
    <w:rsid w:val="15C516BD"/>
    <w:rsid w:val="160D1F40"/>
    <w:rsid w:val="16251DC7"/>
    <w:rsid w:val="166266B1"/>
    <w:rsid w:val="16C16BEA"/>
    <w:rsid w:val="170756D4"/>
    <w:rsid w:val="175A7B23"/>
    <w:rsid w:val="176115DC"/>
    <w:rsid w:val="17824660"/>
    <w:rsid w:val="17C41ABF"/>
    <w:rsid w:val="180816B7"/>
    <w:rsid w:val="18175D56"/>
    <w:rsid w:val="189B5F22"/>
    <w:rsid w:val="18A70256"/>
    <w:rsid w:val="18B66778"/>
    <w:rsid w:val="18B73074"/>
    <w:rsid w:val="19034C2D"/>
    <w:rsid w:val="1916127C"/>
    <w:rsid w:val="193F7015"/>
    <w:rsid w:val="19A73D74"/>
    <w:rsid w:val="19AA5416"/>
    <w:rsid w:val="19D70C6D"/>
    <w:rsid w:val="19E2271F"/>
    <w:rsid w:val="19E86E16"/>
    <w:rsid w:val="19F75A40"/>
    <w:rsid w:val="1A075570"/>
    <w:rsid w:val="1A270D5F"/>
    <w:rsid w:val="1A4D4CED"/>
    <w:rsid w:val="1A603799"/>
    <w:rsid w:val="1A797469"/>
    <w:rsid w:val="1A993684"/>
    <w:rsid w:val="1AB32BC9"/>
    <w:rsid w:val="1ADB0B95"/>
    <w:rsid w:val="1ADF15DF"/>
    <w:rsid w:val="1AEF7ACD"/>
    <w:rsid w:val="1B262D26"/>
    <w:rsid w:val="1B2D1E19"/>
    <w:rsid w:val="1B3B258E"/>
    <w:rsid w:val="1B652C95"/>
    <w:rsid w:val="1B663CAC"/>
    <w:rsid w:val="1B723039"/>
    <w:rsid w:val="1B7700FA"/>
    <w:rsid w:val="1B8C1172"/>
    <w:rsid w:val="1B8F1C0C"/>
    <w:rsid w:val="1BB12BB2"/>
    <w:rsid w:val="1BD12722"/>
    <w:rsid w:val="1C2B6CB4"/>
    <w:rsid w:val="1C355DEC"/>
    <w:rsid w:val="1CB07DF9"/>
    <w:rsid w:val="1CC3681B"/>
    <w:rsid w:val="1CCE393D"/>
    <w:rsid w:val="1CFF3217"/>
    <w:rsid w:val="1D3E4D83"/>
    <w:rsid w:val="1D5835F0"/>
    <w:rsid w:val="1D8C5045"/>
    <w:rsid w:val="1DC177D9"/>
    <w:rsid w:val="1E185123"/>
    <w:rsid w:val="1E225BB3"/>
    <w:rsid w:val="1E5E74EE"/>
    <w:rsid w:val="1EA573D8"/>
    <w:rsid w:val="1EB75191"/>
    <w:rsid w:val="1F04710F"/>
    <w:rsid w:val="1F3226ED"/>
    <w:rsid w:val="1F36160E"/>
    <w:rsid w:val="1F671677"/>
    <w:rsid w:val="1F877F5C"/>
    <w:rsid w:val="1F92487F"/>
    <w:rsid w:val="1FE570E2"/>
    <w:rsid w:val="20155C72"/>
    <w:rsid w:val="201E585F"/>
    <w:rsid w:val="20280E7D"/>
    <w:rsid w:val="202874E1"/>
    <w:rsid w:val="204003F7"/>
    <w:rsid w:val="2049266D"/>
    <w:rsid w:val="2099242E"/>
    <w:rsid w:val="209E1F8C"/>
    <w:rsid w:val="20AA4F71"/>
    <w:rsid w:val="20D658C9"/>
    <w:rsid w:val="20D95B5B"/>
    <w:rsid w:val="20E61D70"/>
    <w:rsid w:val="21015C26"/>
    <w:rsid w:val="211518DD"/>
    <w:rsid w:val="212B2F31"/>
    <w:rsid w:val="21327DB2"/>
    <w:rsid w:val="214C4EC5"/>
    <w:rsid w:val="2153567F"/>
    <w:rsid w:val="21A61686"/>
    <w:rsid w:val="21FF1874"/>
    <w:rsid w:val="22360BAA"/>
    <w:rsid w:val="22592601"/>
    <w:rsid w:val="227813EC"/>
    <w:rsid w:val="22EB33BA"/>
    <w:rsid w:val="232E0FF6"/>
    <w:rsid w:val="233F5F96"/>
    <w:rsid w:val="23614BEC"/>
    <w:rsid w:val="236D4028"/>
    <w:rsid w:val="23CB5BCE"/>
    <w:rsid w:val="23EA0518"/>
    <w:rsid w:val="23FC025A"/>
    <w:rsid w:val="244C4BB8"/>
    <w:rsid w:val="24691193"/>
    <w:rsid w:val="246C3A46"/>
    <w:rsid w:val="24725BA3"/>
    <w:rsid w:val="24CE12D0"/>
    <w:rsid w:val="24F00F12"/>
    <w:rsid w:val="251A7612"/>
    <w:rsid w:val="25987A23"/>
    <w:rsid w:val="25C85990"/>
    <w:rsid w:val="25F5789E"/>
    <w:rsid w:val="2608561B"/>
    <w:rsid w:val="26261861"/>
    <w:rsid w:val="26506FAD"/>
    <w:rsid w:val="26656277"/>
    <w:rsid w:val="26D16018"/>
    <w:rsid w:val="26DB3228"/>
    <w:rsid w:val="26DF6074"/>
    <w:rsid w:val="26E7668E"/>
    <w:rsid w:val="26FE679C"/>
    <w:rsid w:val="27301EDB"/>
    <w:rsid w:val="274B22E7"/>
    <w:rsid w:val="27676E9E"/>
    <w:rsid w:val="276C029F"/>
    <w:rsid w:val="27982DD4"/>
    <w:rsid w:val="27DD09CE"/>
    <w:rsid w:val="283610D5"/>
    <w:rsid w:val="283F0520"/>
    <w:rsid w:val="28505844"/>
    <w:rsid w:val="285F5293"/>
    <w:rsid w:val="28622D71"/>
    <w:rsid w:val="28A43CA2"/>
    <w:rsid w:val="28FA546B"/>
    <w:rsid w:val="28FE025E"/>
    <w:rsid w:val="292E1B61"/>
    <w:rsid w:val="297E5B08"/>
    <w:rsid w:val="2984235F"/>
    <w:rsid w:val="29967FD2"/>
    <w:rsid w:val="29C56C3A"/>
    <w:rsid w:val="29E1380C"/>
    <w:rsid w:val="29E85046"/>
    <w:rsid w:val="2A017BFD"/>
    <w:rsid w:val="2A095DAF"/>
    <w:rsid w:val="2A4116DF"/>
    <w:rsid w:val="2A757C71"/>
    <w:rsid w:val="2AD750C3"/>
    <w:rsid w:val="2AE77D08"/>
    <w:rsid w:val="2BA93DBE"/>
    <w:rsid w:val="2C270D43"/>
    <w:rsid w:val="2C3C4B33"/>
    <w:rsid w:val="2C6436A6"/>
    <w:rsid w:val="2C9023A5"/>
    <w:rsid w:val="2C9D6A04"/>
    <w:rsid w:val="2CB62598"/>
    <w:rsid w:val="2CDB6811"/>
    <w:rsid w:val="2CFC59B0"/>
    <w:rsid w:val="2CFE607B"/>
    <w:rsid w:val="2D095409"/>
    <w:rsid w:val="2D661E98"/>
    <w:rsid w:val="2D772574"/>
    <w:rsid w:val="2DF54D63"/>
    <w:rsid w:val="2E08610D"/>
    <w:rsid w:val="2E66167A"/>
    <w:rsid w:val="2E6C7EF1"/>
    <w:rsid w:val="2E6D1167"/>
    <w:rsid w:val="2E6F6584"/>
    <w:rsid w:val="2E933BCE"/>
    <w:rsid w:val="2E9C6490"/>
    <w:rsid w:val="2EA30015"/>
    <w:rsid w:val="2EFA0191"/>
    <w:rsid w:val="2F402D68"/>
    <w:rsid w:val="2FC042E9"/>
    <w:rsid w:val="2FFA5AAC"/>
    <w:rsid w:val="305C41A9"/>
    <w:rsid w:val="30880FC9"/>
    <w:rsid w:val="30FF4D69"/>
    <w:rsid w:val="3113559B"/>
    <w:rsid w:val="312721F0"/>
    <w:rsid w:val="3127420C"/>
    <w:rsid w:val="315523B1"/>
    <w:rsid w:val="31CD31BF"/>
    <w:rsid w:val="31E10F55"/>
    <w:rsid w:val="3219008D"/>
    <w:rsid w:val="32215B79"/>
    <w:rsid w:val="322241F2"/>
    <w:rsid w:val="322D5AFA"/>
    <w:rsid w:val="324224AE"/>
    <w:rsid w:val="32974C7A"/>
    <w:rsid w:val="32BB4ABE"/>
    <w:rsid w:val="32C8549C"/>
    <w:rsid w:val="332C3960"/>
    <w:rsid w:val="333A35DD"/>
    <w:rsid w:val="335E6197"/>
    <w:rsid w:val="338F53C2"/>
    <w:rsid w:val="339B7AA1"/>
    <w:rsid w:val="33B7637D"/>
    <w:rsid w:val="342A5DF5"/>
    <w:rsid w:val="344851FD"/>
    <w:rsid w:val="34777A4E"/>
    <w:rsid w:val="34E46F6F"/>
    <w:rsid w:val="35753594"/>
    <w:rsid w:val="357F00D0"/>
    <w:rsid w:val="35A0207B"/>
    <w:rsid w:val="36162F1C"/>
    <w:rsid w:val="368B2570"/>
    <w:rsid w:val="370F2E93"/>
    <w:rsid w:val="374E35E0"/>
    <w:rsid w:val="37560CC6"/>
    <w:rsid w:val="37F64DCB"/>
    <w:rsid w:val="3879686A"/>
    <w:rsid w:val="38BF4B32"/>
    <w:rsid w:val="38D242CD"/>
    <w:rsid w:val="393F4C9F"/>
    <w:rsid w:val="39412AC6"/>
    <w:rsid w:val="39821F75"/>
    <w:rsid w:val="398C3DB7"/>
    <w:rsid w:val="39B5079F"/>
    <w:rsid w:val="3A292038"/>
    <w:rsid w:val="3A524E6B"/>
    <w:rsid w:val="3A6A0EF6"/>
    <w:rsid w:val="3A9D28F5"/>
    <w:rsid w:val="3ACD43C9"/>
    <w:rsid w:val="3B2F69DB"/>
    <w:rsid w:val="3B326648"/>
    <w:rsid w:val="3B932344"/>
    <w:rsid w:val="3BB33F88"/>
    <w:rsid w:val="3BCE00FB"/>
    <w:rsid w:val="3BD93153"/>
    <w:rsid w:val="3BFE454C"/>
    <w:rsid w:val="3C205675"/>
    <w:rsid w:val="3C2E50FB"/>
    <w:rsid w:val="3C37637A"/>
    <w:rsid w:val="3C4A12AD"/>
    <w:rsid w:val="3C690ECB"/>
    <w:rsid w:val="3C960BC8"/>
    <w:rsid w:val="3CA30B68"/>
    <w:rsid w:val="3CC832CF"/>
    <w:rsid w:val="3CD33C5A"/>
    <w:rsid w:val="3CD93879"/>
    <w:rsid w:val="3D2408CB"/>
    <w:rsid w:val="3D2571D3"/>
    <w:rsid w:val="3D2F5198"/>
    <w:rsid w:val="3D786927"/>
    <w:rsid w:val="3D8106EA"/>
    <w:rsid w:val="3D834DF8"/>
    <w:rsid w:val="3DBF6748"/>
    <w:rsid w:val="3E0C7C6F"/>
    <w:rsid w:val="3E100FFC"/>
    <w:rsid w:val="3ED33E62"/>
    <w:rsid w:val="3F3C595E"/>
    <w:rsid w:val="3F3E46F8"/>
    <w:rsid w:val="3F59346C"/>
    <w:rsid w:val="3F657308"/>
    <w:rsid w:val="3F761337"/>
    <w:rsid w:val="3F8003ED"/>
    <w:rsid w:val="3FBB7E05"/>
    <w:rsid w:val="3FD0326B"/>
    <w:rsid w:val="3FD34D1A"/>
    <w:rsid w:val="40031733"/>
    <w:rsid w:val="404C2292"/>
    <w:rsid w:val="405D572D"/>
    <w:rsid w:val="4084657D"/>
    <w:rsid w:val="408D1EA0"/>
    <w:rsid w:val="409D2A1A"/>
    <w:rsid w:val="40B21FB5"/>
    <w:rsid w:val="40C17F9E"/>
    <w:rsid w:val="415978C8"/>
    <w:rsid w:val="415B4E71"/>
    <w:rsid w:val="415C1B4D"/>
    <w:rsid w:val="41773C2F"/>
    <w:rsid w:val="417843F2"/>
    <w:rsid w:val="418A1799"/>
    <w:rsid w:val="41B17185"/>
    <w:rsid w:val="41D04D3C"/>
    <w:rsid w:val="41F05895"/>
    <w:rsid w:val="42267790"/>
    <w:rsid w:val="425402BB"/>
    <w:rsid w:val="42FB4E01"/>
    <w:rsid w:val="4301585B"/>
    <w:rsid w:val="431B31A4"/>
    <w:rsid w:val="43412297"/>
    <w:rsid w:val="43413ED4"/>
    <w:rsid w:val="43636C3F"/>
    <w:rsid w:val="438073DF"/>
    <w:rsid w:val="43A02109"/>
    <w:rsid w:val="43DA0FE8"/>
    <w:rsid w:val="43FD7280"/>
    <w:rsid w:val="441C5686"/>
    <w:rsid w:val="44286086"/>
    <w:rsid w:val="44D463B1"/>
    <w:rsid w:val="44DC4FCA"/>
    <w:rsid w:val="453951D3"/>
    <w:rsid w:val="45A31600"/>
    <w:rsid w:val="45B26B66"/>
    <w:rsid w:val="45F32D75"/>
    <w:rsid w:val="45FE4441"/>
    <w:rsid w:val="463A35BA"/>
    <w:rsid w:val="46A86AC5"/>
    <w:rsid w:val="46AF0ACC"/>
    <w:rsid w:val="46C64114"/>
    <w:rsid w:val="46D1300B"/>
    <w:rsid w:val="471B210D"/>
    <w:rsid w:val="47330BB1"/>
    <w:rsid w:val="476E5DEA"/>
    <w:rsid w:val="478F05A0"/>
    <w:rsid w:val="47914A33"/>
    <w:rsid w:val="479B0044"/>
    <w:rsid w:val="47A4380D"/>
    <w:rsid w:val="47C041C7"/>
    <w:rsid w:val="47CD1E0C"/>
    <w:rsid w:val="481D4366"/>
    <w:rsid w:val="48236F85"/>
    <w:rsid w:val="485803F1"/>
    <w:rsid w:val="486942C4"/>
    <w:rsid w:val="48DA4A5F"/>
    <w:rsid w:val="48DC33A7"/>
    <w:rsid w:val="49206E20"/>
    <w:rsid w:val="494B0B0D"/>
    <w:rsid w:val="49820EB7"/>
    <w:rsid w:val="49A63EAD"/>
    <w:rsid w:val="49E85F00"/>
    <w:rsid w:val="4A8B4AB2"/>
    <w:rsid w:val="4AA6743B"/>
    <w:rsid w:val="4B311212"/>
    <w:rsid w:val="4B855737"/>
    <w:rsid w:val="4BAA0C4E"/>
    <w:rsid w:val="4BB54107"/>
    <w:rsid w:val="4BC46A0F"/>
    <w:rsid w:val="4BDC5109"/>
    <w:rsid w:val="4BE84FA7"/>
    <w:rsid w:val="4BF70C92"/>
    <w:rsid w:val="4BFD0513"/>
    <w:rsid w:val="4C005E77"/>
    <w:rsid w:val="4C1D0916"/>
    <w:rsid w:val="4C2B76C1"/>
    <w:rsid w:val="4C645A11"/>
    <w:rsid w:val="4CA36314"/>
    <w:rsid w:val="4D1C2C8C"/>
    <w:rsid w:val="4D1E77BE"/>
    <w:rsid w:val="4D245FC5"/>
    <w:rsid w:val="4DA943B0"/>
    <w:rsid w:val="4DCD69CD"/>
    <w:rsid w:val="4E033153"/>
    <w:rsid w:val="4E135BFA"/>
    <w:rsid w:val="4E355E12"/>
    <w:rsid w:val="4E9B1112"/>
    <w:rsid w:val="4EA06365"/>
    <w:rsid w:val="4EC82570"/>
    <w:rsid w:val="4EDF4B15"/>
    <w:rsid w:val="4EF43B16"/>
    <w:rsid w:val="4EFA0A9A"/>
    <w:rsid w:val="4F3567BE"/>
    <w:rsid w:val="4F8F074B"/>
    <w:rsid w:val="4F937A7E"/>
    <w:rsid w:val="4F944D8F"/>
    <w:rsid w:val="4FED0FB9"/>
    <w:rsid w:val="50091B45"/>
    <w:rsid w:val="502733EB"/>
    <w:rsid w:val="504951BC"/>
    <w:rsid w:val="5084650D"/>
    <w:rsid w:val="50A97681"/>
    <w:rsid w:val="50AE3B94"/>
    <w:rsid w:val="50B40168"/>
    <w:rsid w:val="50E67F92"/>
    <w:rsid w:val="50E93575"/>
    <w:rsid w:val="50F04D4E"/>
    <w:rsid w:val="51151213"/>
    <w:rsid w:val="515E6A1B"/>
    <w:rsid w:val="516C2A90"/>
    <w:rsid w:val="517112B4"/>
    <w:rsid w:val="5177537A"/>
    <w:rsid w:val="51891E06"/>
    <w:rsid w:val="51A1217B"/>
    <w:rsid w:val="51B430B5"/>
    <w:rsid w:val="51BC2004"/>
    <w:rsid w:val="51CB74F6"/>
    <w:rsid w:val="51DD02EA"/>
    <w:rsid w:val="522D1CB6"/>
    <w:rsid w:val="52660A26"/>
    <w:rsid w:val="52717995"/>
    <w:rsid w:val="52AA2641"/>
    <w:rsid w:val="52B87033"/>
    <w:rsid w:val="531B72EC"/>
    <w:rsid w:val="531E35FC"/>
    <w:rsid w:val="532C2C22"/>
    <w:rsid w:val="533E6E17"/>
    <w:rsid w:val="5343182D"/>
    <w:rsid w:val="535611D6"/>
    <w:rsid w:val="5367296E"/>
    <w:rsid w:val="53A201DA"/>
    <w:rsid w:val="540540F5"/>
    <w:rsid w:val="542913B3"/>
    <w:rsid w:val="543F18BA"/>
    <w:rsid w:val="54B01F1B"/>
    <w:rsid w:val="54F40E44"/>
    <w:rsid w:val="550E49C6"/>
    <w:rsid w:val="556456D8"/>
    <w:rsid w:val="55DA287E"/>
    <w:rsid w:val="55ED674F"/>
    <w:rsid w:val="56280E32"/>
    <w:rsid w:val="56537C47"/>
    <w:rsid w:val="56A010C0"/>
    <w:rsid w:val="56BC2B96"/>
    <w:rsid w:val="570A4051"/>
    <w:rsid w:val="572D3A39"/>
    <w:rsid w:val="57C83C57"/>
    <w:rsid w:val="582908A2"/>
    <w:rsid w:val="585F1862"/>
    <w:rsid w:val="58620D26"/>
    <w:rsid w:val="58706FB1"/>
    <w:rsid w:val="587C5983"/>
    <w:rsid w:val="58995AF0"/>
    <w:rsid w:val="591C580B"/>
    <w:rsid w:val="5921480B"/>
    <w:rsid w:val="5926497A"/>
    <w:rsid w:val="593E2700"/>
    <w:rsid w:val="59A11353"/>
    <w:rsid w:val="59D54D04"/>
    <w:rsid w:val="59E803D3"/>
    <w:rsid w:val="5A0336C4"/>
    <w:rsid w:val="5A0F0AA0"/>
    <w:rsid w:val="5A70211C"/>
    <w:rsid w:val="5AAB2A29"/>
    <w:rsid w:val="5AAC7307"/>
    <w:rsid w:val="5AD07CB2"/>
    <w:rsid w:val="5AD30828"/>
    <w:rsid w:val="5ADF000B"/>
    <w:rsid w:val="5AEF1DC1"/>
    <w:rsid w:val="5B570332"/>
    <w:rsid w:val="5B5A01A9"/>
    <w:rsid w:val="5B5F0395"/>
    <w:rsid w:val="5B6300A3"/>
    <w:rsid w:val="5B790B4E"/>
    <w:rsid w:val="5B7A2400"/>
    <w:rsid w:val="5BD32897"/>
    <w:rsid w:val="5C120AF2"/>
    <w:rsid w:val="5C2D5D3C"/>
    <w:rsid w:val="5C341C70"/>
    <w:rsid w:val="5C974816"/>
    <w:rsid w:val="5CA84DD0"/>
    <w:rsid w:val="5CA97228"/>
    <w:rsid w:val="5CBA57BD"/>
    <w:rsid w:val="5CBC1204"/>
    <w:rsid w:val="5CD22ECC"/>
    <w:rsid w:val="5CEE7B85"/>
    <w:rsid w:val="5CF73D69"/>
    <w:rsid w:val="5D4700C2"/>
    <w:rsid w:val="5D611A86"/>
    <w:rsid w:val="5D6C4615"/>
    <w:rsid w:val="5DDF2196"/>
    <w:rsid w:val="5DF84457"/>
    <w:rsid w:val="5E1672C2"/>
    <w:rsid w:val="5E1B6033"/>
    <w:rsid w:val="5E4903E4"/>
    <w:rsid w:val="5E6E3C24"/>
    <w:rsid w:val="5E7255BD"/>
    <w:rsid w:val="5F475677"/>
    <w:rsid w:val="5F567498"/>
    <w:rsid w:val="5F8420E2"/>
    <w:rsid w:val="5F887220"/>
    <w:rsid w:val="5F936651"/>
    <w:rsid w:val="5FB81E56"/>
    <w:rsid w:val="5FD85FDC"/>
    <w:rsid w:val="60250EC1"/>
    <w:rsid w:val="60752858"/>
    <w:rsid w:val="60A13AB9"/>
    <w:rsid w:val="60A7744C"/>
    <w:rsid w:val="60B72A3F"/>
    <w:rsid w:val="60CF04AB"/>
    <w:rsid w:val="60DB5486"/>
    <w:rsid w:val="60E82C1A"/>
    <w:rsid w:val="60EC0541"/>
    <w:rsid w:val="61012C26"/>
    <w:rsid w:val="61251167"/>
    <w:rsid w:val="61343ADA"/>
    <w:rsid w:val="61BB090B"/>
    <w:rsid w:val="61E36BF1"/>
    <w:rsid w:val="61EA093B"/>
    <w:rsid w:val="61EE51C5"/>
    <w:rsid w:val="62210A89"/>
    <w:rsid w:val="62453116"/>
    <w:rsid w:val="62533E9D"/>
    <w:rsid w:val="62923991"/>
    <w:rsid w:val="62D05CE2"/>
    <w:rsid w:val="62EF2EC7"/>
    <w:rsid w:val="62F26EC0"/>
    <w:rsid w:val="6307006F"/>
    <w:rsid w:val="632A3D0D"/>
    <w:rsid w:val="633443AB"/>
    <w:rsid w:val="638857E1"/>
    <w:rsid w:val="639438C2"/>
    <w:rsid w:val="63C21A10"/>
    <w:rsid w:val="63C85688"/>
    <w:rsid w:val="63CD5666"/>
    <w:rsid w:val="63D2038C"/>
    <w:rsid w:val="640E7E19"/>
    <w:rsid w:val="64620987"/>
    <w:rsid w:val="648E4974"/>
    <w:rsid w:val="649E65A7"/>
    <w:rsid w:val="64AF6AB4"/>
    <w:rsid w:val="64B70C4D"/>
    <w:rsid w:val="64ED3306"/>
    <w:rsid w:val="650367B5"/>
    <w:rsid w:val="65477730"/>
    <w:rsid w:val="65630712"/>
    <w:rsid w:val="656A4332"/>
    <w:rsid w:val="65733372"/>
    <w:rsid w:val="65991D3E"/>
    <w:rsid w:val="65B74A52"/>
    <w:rsid w:val="6602655A"/>
    <w:rsid w:val="6668032B"/>
    <w:rsid w:val="667C4290"/>
    <w:rsid w:val="66A955BE"/>
    <w:rsid w:val="66C95898"/>
    <w:rsid w:val="66DE4BA6"/>
    <w:rsid w:val="676777C3"/>
    <w:rsid w:val="67804B33"/>
    <w:rsid w:val="67C40A09"/>
    <w:rsid w:val="67D020A7"/>
    <w:rsid w:val="68435B06"/>
    <w:rsid w:val="685C5B46"/>
    <w:rsid w:val="689635E2"/>
    <w:rsid w:val="68D60630"/>
    <w:rsid w:val="68D6733B"/>
    <w:rsid w:val="69072A29"/>
    <w:rsid w:val="697E7396"/>
    <w:rsid w:val="69A009FE"/>
    <w:rsid w:val="69F86AAF"/>
    <w:rsid w:val="6A694BA1"/>
    <w:rsid w:val="6AB35438"/>
    <w:rsid w:val="6AD34458"/>
    <w:rsid w:val="6ADF25FC"/>
    <w:rsid w:val="6AE95DF1"/>
    <w:rsid w:val="6B1148AC"/>
    <w:rsid w:val="6B13637F"/>
    <w:rsid w:val="6B4A5562"/>
    <w:rsid w:val="6B565807"/>
    <w:rsid w:val="6B7A369F"/>
    <w:rsid w:val="6BAC2823"/>
    <w:rsid w:val="6C0B4E85"/>
    <w:rsid w:val="6C630CE9"/>
    <w:rsid w:val="6CED050F"/>
    <w:rsid w:val="6CF73CA4"/>
    <w:rsid w:val="6D05105B"/>
    <w:rsid w:val="6D207FCD"/>
    <w:rsid w:val="6D6A69AA"/>
    <w:rsid w:val="6DE1686E"/>
    <w:rsid w:val="6E010AB7"/>
    <w:rsid w:val="6E01482E"/>
    <w:rsid w:val="6E403BCF"/>
    <w:rsid w:val="6E424CF7"/>
    <w:rsid w:val="6E6E3D06"/>
    <w:rsid w:val="6EC4761A"/>
    <w:rsid w:val="6EF513F6"/>
    <w:rsid w:val="6F3669E2"/>
    <w:rsid w:val="6F3A0437"/>
    <w:rsid w:val="6F65489B"/>
    <w:rsid w:val="6F9E4E98"/>
    <w:rsid w:val="6FC10E4A"/>
    <w:rsid w:val="6FC169C6"/>
    <w:rsid w:val="6FCD5C0F"/>
    <w:rsid w:val="700148B1"/>
    <w:rsid w:val="70262445"/>
    <w:rsid w:val="709304FC"/>
    <w:rsid w:val="70941F33"/>
    <w:rsid w:val="70BA4068"/>
    <w:rsid w:val="70DA4423"/>
    <w:rsid w:val="71216399"/>
    <w:rsid w:val="71231B23"/>
    <w:rsid w:val="71304DDD"/>
    <w:rsid w:val="717E5C93"/>
    <w:rsid w:val="718621EE"/>
    <w:rsid w:val="71A3311F"/>
    <w:rsid w:val="71A74969"/>
    <w:rsid w:val="72005730"/>
    <w:rsid w:val="72122EDF"/>
    <w:rsid w:val="72386C6E"/>
    <w:rsid w:val="725273EA"/>
    <w:rsid w:val="726C47BC"/>
    <w:rsid w:val="72CD2240"/>
    <w:rsid w:val="72EC4E12"/>
    <w:rsid w:val="73124932"/>
    <w:rsid w:val="733F7A24"/>
    <w:rsid w:val="735C44F0"/>
    <w:rsid w:val="736A01CD"/>
    <w:rsid w:val="73864A43"/>
    <w:rsid w:val="7393399F"/>
    <w:rsid w:val="73984022"/>
    <w:rsid w:val="73E2421D"/>
    <w:rsid w:val="746A6AAD"/>
    <w:rsid w:val="747A4FBC"/>
    <w:rsid w:val="74801616"/>
    <w:rsid w:val="74D94903"/>
    <w:rsid w:val="74DC7834"/>
    <w:rsid w:val="75242D06"/>
    <w:rsid w:val="752D52CD"/>
    <w:rsid w:val="753F3E38"/>
    <w:rsid w:val="7551327B"/>
    <w:rsid w:val="755D7CD9"/>
    <w:rsid w:val="757D4314"/>
    <w:rsid w:val="75E27D49"/>
    <w:rsid w:val="76365AD0"/>
    <w:rsid w:val="765C1799"/>
    <w:rsid w:val="765D57EA"/>
    <w:rsid w:val="76862D0D"/>
    <w:rsid w:val="7688585F"/>
    <w:rsid w:val="769F77ED"/>
    <w:rsid w:val="76C94A99"/>
    <w:rsid w:val="76F34B31"/>
    <w:rsid w:val="76F54CF0"/>
    <w:rsid w:val="76FD5906"/>
    <w:rsid w:val="7700260E"/>
    <w:rsid w:val="770B684E"/>
    <w:rsid w:val="774404AD"/>
    <w:rsid w:val="779E73DD"/>
    <w:rsid w:val="77A14CDE"/>
    <w:rsid w:val="77AA2F7D"/>
    <w:rsid w:val="77D52023"/>
    <w:rsid w:val="78224823"/>
    <w:rsid w:val="782B4A23"/>
    <w:rsid w:val="783218CE"/>
    <w:rsid w:val="78510397"/>
    <w:rsid w:val="78754CBA"/>
    <w:rsid w:val="78CB3FEB"/>
    <w:rsid w:val="790F262A"/>
    <w:rsid w:val="7928248B"/>
    <w:rsid w:val="793B5CE2"/>
    <w:rsid w:val="79756B7F"/>
    <w:rsid w:val="797B3C8A"/>
    <w:rsid w:val="79C60CC8"/>
    <w:rsid w:val="7A067AFA"/>
    <w:rsid w:val="7A1E6BD3"/>
    <w:rsid w:val="7A2D7B6B"/>
    <w:rsid w:val="7A635327"/>
    <w:rsid w:val="7A7F2C76"/>
    <w:rsid w:val="7AAC462A"/>
    <w:rsid w:val="7AC44D18"/>
    <w:rsid w:val="7AF84FA0"/>
    <w:rsid w:val="7AF909C6"/>
    <w:rsid w:val="7B0763F5"/>
    <w:rsid w:val="7B691DC0"/>
    <w:rsid w:val="7B6F1B43"/>
    <w:rsid w:val="7B732126"/>
    <w:rsid w:val="7B794DB7"/>
    <w:rsid w:val="7B8C7A76"/>
    <w:rsid w:val="7B8E1216"/>
    <w:rsid w:val="7B9A1345"/>
    <w:rsid w:val="7BA5636F"/>
    <w:rsid w:val="7BCA6C86"/>
    <w:rsid w:val="7BFE2251"/>
    <w:rsid w:val="7C6369C9"/>
    <w:rsid w:val="7C89420B"/>
    <w:rsid w:val="7CD7135D"/>
    <w:rsid w:val="7D045491"/>
    <w:rsid w:val="7D0A0BA4"/>
    <w:rsid w:val="7D18358F"/>
    <w:rsid w:val="7D4253C7"/>
    <w:rsid w:val="7D8E577D"/>
    <w:rsid w:val="7D9A426A"/>
    <w:rsid w:val="7DE50A3D"/>
    <w:rsid w:val="7E0C1930"/>
    <w:rsid w:val="7E1D4DE9"/>
    <w:rsid w:val="7E295D69"/>
    <w:rsid w:val="7E333E03"/>
    <w:rsid w:val="7E391FE6"/>
    <w:rsid w:val="7E9C05F3"/>
    <w:rsid w:val="7EA916FD"/>
    <w:rsid w:val="7EE52AD4"/>
    <w:rsid w:val="7EEE7B02"/>
    <w:rsid w:val="7F8C24C9"/>
    <w:rsid w:val="7FAA1C29"/>
    <w:rsid w:val="7FEF65CD"/>
    <w:rsid w:val="7FF337B8"/>
    <w:rsid w:val="7FF52441"/>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0"/>
    <w:pPr>
      <w:ind w:firstLine="420" w:firstLineChars="200"/>
    </w:p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pPr>
      <w:autoSpaceDE w:val="0"/>
      <w:autoSpaceDN w:val="0"/>
      <w:jc w:val="left"/>
    </w:pPr>
    <w:rPr>
      <w:rFonts w:ascii="宋体" w:hAnsi="宋体" w:eastAsia="宋体" w:cs="宋体"/>
      <w:kern w:val="0"/>
      <w:sz w:val="22"/>
      <w:szCs w:val="22"/>
      <w:lang w:val="zh-CN" w:bidi="zh-CN"/>
    </w:rPr>
  </w:style>
  <w:style w:type="table" w:customStyle="1" w:styleId="28">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2077</Words>
  <Characters>11841</Characters>
  <Lines>98</Lines>
  <Paragraphs>27</Paragraphs>
  <TotalTime>38</TotalTime>
  <ScaleCrop>false</ScaleCrop>
  <LinksUpToDate>false</LinksUpToDate>
  <CharactersWithSpaces>13891</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2020-09-30T09:32:00Z</dcterms:created>
  <dc:creator>48323</dc:creator>
  <cp:lastModifiedBy>菲菲</cp:lastModifiedBy>
  <cp:lastPrinted>2020-10-28T10:20:00Z</cp:lastPrinted>
  <dcterms:modified xsi:type="dcterms:W3CDTF">2020-10-29T00:52:05Z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