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20" w:lineRule="exact"/>
        <w:jc w:val="center"/>
        <w:rPr>
          <w:rFonts w:ascii="Times New Roman" w:hAnsi="Times New Roman" w:eastAsia="黑体" w:cs="Times New Roman"/>
          <w:kern w:val="0"/>
          <w:sz w:val="32"/>
          <w:szCs w:val="32"/>
        </w:rPr>
      </w:pPr>
    </w:p>
    <w:p>
      <w:pPr>
        <w:wordWrap w:val="0"/>
        <w:spacing w:line="520" w:lineRule="exact"/>
        <w:jc w:val="center"/>
        <w:rPr>
          <w:rFonts w:ascii="Times New Roman" w:hAnsi="Times New Roman" w:eastAsia="黑体" w:cs="Times New Roman"/>
          <w:kern w:val="0"/>
          <w:sz w:val="32"/>
          <w:szCs w:val="32"/>
        </w:rPr>
      </w:pPr>
    </w:p>
    <w:p>
      <w:pPr>
        <w:wordWrap w:val="0"/>
        <w:jc w:val="center"/>
        <w:rPr>
          <w:rFonts w:ascii="Times New Roman" w:hAnsi="Times New Roman" w:eastAsia="楷体" w:cs="Times New Roman"/>
          <w:kern w:val="0"/>
          <w:sz w:val="28"/>
          <w:szCs w:val="28"/>
        </w:rPr>
      </w:pPr>
      <w:r>
        <w:rPr>
          <w:rFonts w:hint="eastAsia" w:ascii="Times New Roman" w:hAnsi="Times New Roman" w:eastAsia="黑体" w:cs="Times New Roman"/>
          <w:kern w:val="0"/>
          <w:sz w:val="52"/>
          <w:szCs w:val="52"/>
          <w:lang w:eastAsia="zh-CN"/>
        </w:rPr>
        <w:t>309省道</w:t>
      </w:r>
      <w:r>
        <w:rPr>
          <w:rFonts w:hint="eastAsia" w:ascii="Times New Roman" w:hAnsi="Times New Roman" w:eastAsia="黑体" w:cs="Times New Roman"/>
          <w:kern w:val="0"/>
          <w:sz w:val="52"/>
          <w:szCs w:val="52"/>
        </w:rPr>
        <w:t>一级公路（亳州段153.2公里）2020年度和2021年度公路养护工程设计项目</w:t>
      </w:r>
      <w:r>
        <w:rPr>
          <w:rFonts w:ascii="Times New Roman" w:hAnsi="Times New Roman" w:eastAsia="黑体" w:cs="Times New Roman"/>
          <w:kern w:val="0"/>
          <w:sz w:val="52"/>
          <w:szCs w:val="52"/>
        </w:rPr>
        <w:t>招标文件</w:t>
      </w:r>
    </w:p>
    <w:p>
      <w:pPr>
        <w:wordWrap w:val="0"/>
        <w:jc w:val="center"/>
        <w:rPr>
          <w:rFonts w:ascii="Times New Roman" w:hAnsi="Times New Roman" w:eastAsia="楷体" w:cs="Times New Roman"/>
          <w:kern w:val="0"/>
          <w:sz w:val="28"/>
          <w:szCs w:val="28"/>
        </w:rPr>
      </w:pPr>
    </w:p>
    <w:p>
      <w:pPr>
        <w:wordWrap w:val="0"/>
        <w:jc w:val="center"/>
        <w:rPr>
          <w:rFonts w:ascii="Times New Roman" w:hAnsi="Times New Roman" w:eastAsia="楷体" w:cs="Times New Roman"/>
          <w:kern w:val="0"/>
          <w:sz w:val="28"/>
          <w:szCs w:val="28"/>
        </w:rPr>
      </w:pPr>
    </w:p>
    <w:p>
      <w:pPr>
        <w:wordWrap w:val="0"/>
        <w:jc w:val="center"/>
        <w:rPr>
          <w:rFonts w:ascii="Times New Roman" w:hAnsi="Times New Roman" w:eastAsia="楷体" w:cs="Times New Roman"/>
          <w:kern w:val="0"/>
          <w:sz w:val="28"/>
          <w:szCs w:val="28"/>
        </w:rPr>
      </w:pPr>
      <w:r>
        <w:rPr>
          <w:rFonts w:ascii="Times New Roman" w:hAnsi="Times New Roman" w:eastAsia="楷体" w:cs="Times New Roman"/>
          <w:kern w:val="0"/>
          <w:sz w:val="28"/>
          <w:szCs w:val="28"/>
        </w:rPr>
        <w:t>项目编号：</w:t>
      </w:r>
      <w:r>
        <w:rPr>
          <w:rFonts w:hint="eastAsia" w:ascii="Times New Roman" w:hAnsi="Times New Roman" w:eastAsia="楷体" w:cs="Times New Roman"/>
          <w:kern w:val="0"/>
          <w:sz w:val="28"/>
          <w:szCs w:val="28"/>
        </w:rPr>
        <w:t>BZJK-2020-051号</w:t>
      </w:r>
    </w:p>
    <w:p>
      <w:pPr>
        <w:wordWrap w:val="0"/>
        <w:jc w:val="center"/>
        <w:rPr>
          <w:rFonts w:ascii="Times New Roman" w:hAnsi="Times New Roman" w:eastAsia="楷体" w:cs="Times New Roman"/>
          <w:kern w:val="0"/>
          <w:sz w:val="28"/>
          <w:szCs w:val="28"/>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ind w:firstLine="1280" w:firstLineChars="4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招标单位：</w:t>
      </w:r>
      <w:r>
        <w:rPr>
          <w:rFonts w:hint="eastAsia" w:ascii="Times New Roman" w:hAnsi="Times New Roman" w:eastAsia="楷体" w:cs="Times New Roman"/>
          <w:kern w:val="0"/>
          <w:sz w:val="32"/>
          <w:szCs w:val="32"/>
        </w:rPr>
        <w:t>安徽通达利交通建设管理有限公司</w:t>
      </w: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编制日期：</w:t>
      </w:r>
      <w:r>
        <w:rPr>
          <w:rFonts w:hint="eastAsia" w:ascii="Times New Roman" w:hAnsi="Times New Roman" w:eastAsia="楷体" w:cs="Times New Roman"/>
          <w:kern w:val="0"/>
          <w:sz w:val="32"/>
          <w:szCs w:val="32"/>
        </w:rPr>
        <w:t>二〇二〇年</w:t>
      </w:r>
      <w:r>
        <w:rPr>
          <w:rFonts w:hint="eastAsia" w:ascii="Times New Roman" w:hAnsi="Times New Roman" w:eastAsia="楷体" w:cs="Times New Roman"/>
          <w:kern w:val="0"/>
          <w:sz w:val="32"/>
          <w:szCs w:val="32"/>
          <w:lang w:val="en-US" w:eastAsia="zh-CN"/>
        </w:rPr>
        <w:t>十</w:t>
      </w:r>
      <w:r>
        <w:rPr>
          <w:rFonts w:hint="eastAsia" w:ascii="Times New Roman" w:hAnsi="Times New Roman" w:eastAsia="楷体" w:cs="Times New Roman"/>
          <w:kern w:val="0"/>
          <w:sz w:val="32"/>
          <w:szCs w:val="32"/>
        </w:rPr>
        <w:t>月</w:t>
      </w:r>
    </w:p>
    <w:p>
      <w:pPr>
        <w:wordWrap w:val="0"/>
        <w:ind w:firstLine="1280" w:firstLineChars="4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br w:type="page"/>
      </w:r>
    </w:p>
    <w:p>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目录</w:t>
      </w:r>
    </w:p>
    <w:p>
      <w:pPr>
        <w:wordWrap w:val="0"/>
        <w:jc w:val="center"/>
        <w:rPr>
          <w:rFonts w:ascii="Times New Roman" w:hAnsi="Times New Roman" w:eastAsia="黑体" w:cs="Times New Roman"/>
          <w:kern w:val="0"/>
          <w:sz w:val="32"/>
          <w:szCs w:val="32"/>
        </w:rPr>
      </w:pPr>
    </w:p>
    <w:p>
      <w:pPr>
        <w:wordWrap w:val="0"/>
        <w:rPr>
          <w:rFonts w:ascii="Times New Roman" w:hAnsi="Times New Roman" w:eastAsia="黑体" w:cs="Times New Roman"/>
          <w:kern w:val="0"/>
          <w:sz w:val="32"/>
          <w:szCs w:val="32"/>
        </w:rPr>
      </w:pPr>
      <w:r>
        <w:rPr>
          <w:rFonts w:ascii="Times New Roman" w:hAnsi="Times New Roman" w:eastAsia="黑体" w:cs="Times New Roman"/>
          <w:kern w:val="0"/>
          <w:sz w:val="32"/>
          <w:szCs w:val="32"/>
        </w:rPr>
        <w:t>第一章 招标公告.......................................................................1</w:t>
      </w:r>
    </w:p>
    <w:p>
      <w:pPr>
        <w:wordWrap w:val="0"/>
        <w:rPr>
          <w:rFonts w:hint="eastAsia" w:ascii="Times New Roman" w:hAnsi="Times New Roman" w:eastAsia="黑体" w:cs="Times New Roman"/>
          <w:kern w:val="0"/>
          <w:sz w:val="32"/>
          <w:szCs w:val="32"/>
          <w:lang w:eastAsia="zh-CN"/>
        </w:rPr>
      </w:pPr>
      <w:r>
        <w:rPr>
          <w:rFonts w:ascii="Times New Roman" w:hAnsi="Times New Roman" w:eastAsia="黑体" w:cs="Times New Roman"/>
          <w:kern w:val="0"/>
          <w:sz w:val="32"/>
          <w:szCs w:val="32"/>
        </w:rPr>
        <w:t>第二章 投标人须知...................................................................</w:t>
      </w:r>
      <w:r>
        <w:rPr>
          <w:rFonts w:hint="eastAsia" w:ascii="Times New Roman" w:hAnsi="Times New Roman" w:eastAsia="黑体" w:cs="Times New Roman"/>
          <w:kern w:val="0"/>
          <w:sz w:val="32"/>
          <w:szCs w:val="32"/>
          <w:lang w:val="en-US" w:eastAsia="zh-CN"/>
        </w:rPr>
        <w:t>5</w:t>
      </w:r>
    </w:p>
    <w:p>
      <w:pPr>
        <w:wordWrap w:val="0"/>
        <w:rPr>
          <w:rFonts w:hint="default" w:ascii="Times New Roman" w:hAnsi="Times New Roman" w:eastAsia="黑体" w:cs="Times New Roman"/>
          <w:kern w:val="0"/>
          <w:sz w:val="32"/>
          <w:szCs w:val="32"/>
          <w:lang w:val="en-US" w:eastAsia="zh-CN"/>
        </w:rPr>
      </w:pPr>
      <w:r>
        <w:rPr>
          <w:rFonts w:ascii="Times New Roman" w:hAnsi="Times New Roman" w:eastAsia="黑体" w:cs="Times New Roman"/>
          <w:kern w:val="0"/>
          <w:sz w:val="32"/>
          <w:szCs w:val="32"/>
        </w:rPr>
        <w:t>第三章 评标办法................................................................</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11</w:t>
      </w:r>
    </w:p>
    <w:p>
      <w:pPr>
        <w:wordWrap w:val="0"/>
        <w:rPr>
          <w:rFonts w:hint="eastAsia" w:ascii="Times New Roman" w:hAnsi="Times New Roman" w:eastAsia="黑体" w:cs="Times New Roman"/>
          <w:kern w:val="0"/>
          <w:sz w:val="32"/>
          <w:szCs w:val="32"/>
          <w:lang w:eastAsia="zh-CN"/>
        </w:rPr>
      </w:pPr>
      <w:r>
        <w:rPr>
          <w:rFonts w:ascii="Times New Roman" w:hAnsi="Times New Roman" w:eastAsia="黑体" w:cs="Times New Roman"/>
          <w:kern w:val="0"/>
          <w:sz w:val="32"/>
          <w:szCs w:val="32"/>
        </w:rPr>
        <w:t xml:space="preserve">第四章 </w:t>
      </w:r>
      <w:r>
        <w:rPr>
          <w:rFonts w:hint="eastAsia" w:ascii="Times New Roman" w:hAnsi="Times New Roman" w:eastAsia="黑体" w:cs="Times New Roman"/>
          <w:kern w:val="0"/>
          <w:sz w:val="32"/>
          <w:szCs w:val="32"/>
        </w:rPr>
        <w:t>发包人要求</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........1</w:t>
      </w:r>
      <w:r>
        <w:rPr>
          <w:rFonts w:hint="eastAsia" w:ascii="Times New Roman" w:hAnsi="Times New Roman" w:eastAsia="黑体" w:cs="Times New Roman"/>
          <w:kern w:val="0"/>
          <w:sz w:val="32"/>
          <w:szCs w:val="32"/>
          <w:lang w:val="en-US" w:eastAsia="zh-CN"/>
        </w:rPr>
        <w:t>6</w:t>
      </w:r>
    </w:p>
    <w:p>
      <w:pPr>
        <w:wordWrap w:val="0"/>
        <w:rPr>
          <w:rFonts w:hint="eastAsia" w:ascii="Times New Roman" w:hAnsi="Times New Roman" w:eastAsia="黑体" w:cs="Times New Roman"/>
          <w:kern w:val="0"/>
          <w:sz w:val="32"/>
          <w:szCs w:val="32"/>
          <w:lang w:eastAsia="zh-CN"/>
        </w:rPr>
      </w:pPr>
      <w:r>
        <w:rPr>
          <w:rFonts w:ascii="Times New Roman" w:hAnsi="Times New Roman" w:eastAsia="黑体" w:cs="Times New Roman"/>
          <w:kern w:val="0"/>
          <w:sz w:val="32"/>
          <w:szCs w:val="32"/>
        </w:rPr>
        <w:t>第五章 合同条款及格式.........................................................</w:t>
      </w:r>
      <w:r>
        <w:rPr>
          <w:rFonts w:hint="eastAsia" w:ascii="Times New Roman" w:hAnsi="Times New Roman" w:eastAsia="黑体" w:cs="Times New Roman"/>
          <w:kern w:val="0"/>
          <w:sz w:val="32"/>
          <w:szCs w:val="32"/>
        </w:rPr>
        <w:t>1</w:t>
      </w:r>
      <w:r>
        <w:rPr>
          <w:rFonts w:hint="eastAsia" w:ascii="Times New Roman" w:hAnsi="Times New Roman" w:eastAsia="黑体" w:cs="Times New Roman"/>
          <w:kern w:val="0"/>
          <w:sz w:val="32"/>
          <w:szCs w:val="32"/>
          <w:lang w:val="en-US" w:eastAsia="zh-CN"/>
        </w:rPr>
        <w:t>7</w:t>
      </w:r>
    </w:p>
    <w:p>
      <w:pPr>
        <w:wordWrap w:val="0"/>
        <w:rPr>
          <w:rFonts w:hint="default" w:ascii="Times New Roman" w:hAnsi="Times New Roman" w:eastAsia="黑体" w:cs="Times New Roman"/>
          <w:kern w:val="0"/>
          <w:sz w:val="32"/>
          <w:szCs w:val="32"/>
          <w:lang w:val="en-US" w:eastAsia="zh-CN"/>
        </w:rPr>
      </w:pPr>
      <w:r>
        <w:rPr>
          <w:rFonts w:ascii="Times New Roman" w:hAnsi="Times New Roman" w:eastAsia="黑体" w:cs="Times New Roman"/>
          <w:kern w:val="0"/>
          <w:sz w:val="32"/>
          <w:szCs w:val="32"/>
        </w:rPr>
        <w:t>第</w:t>
      </w:r>
      <w:r>
        <w:rPr>
          <w:rFonts w:hint="eastAsia" w:ascii="Times New Roman" w:hAnsi="Times New Roman" w:eastAsia="黑体" w:cs="Times New Roman"/>
          <w:kern w:val="0"/>
          <w:sz w:val="32"/>
          <w:szCs w:val="32"/>
        </w:rPr>
        <w:t>六</w:t>
      </w:r>
      <w:r>
        <w:rPr>
          <w:rFonts w:ascii="Times New Roman" w:hAnsi="Times New Roman" w:eastAsia="黑体" w:cs="Times New Roman"/>
          <w:kern w:val="0"/>
          <w:sz w:val="32"/>
          <w:szCs w:val="32"/>
        </w:rPr>
        <w:t xml:space="preserve">章 </w:t>
      </w:r>
      <w:r>
        <w:rPr>
          <w:rFonts w:hint="eastAsia" w:ascii="Times New Roman" w:hAnsi="Times New Roman" w:eastAsia="黑体" w:cs="Times New Roman"/>
          <w:kern w:val="0"/>
          <w:sz w:val="32"/>
          <w:szCs w:val="32"/>
        </w:rPr>
        <w:t>投标文件格式</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18</w:t>
      </w:r>
    </w:p>
    <w:p>
      <w:pPr>
        <w:wordWrap w:val="0"/>
        <w:rPr>
          <w:rFonts w:ascii="Times New Roman" w:hAnsi="Times New Roman" w:eastAsia="黑体" w:cs="Times New Roman"/>
          <w:kern w:val="0"/>
          <w:sz w:val="32"/>
          <w:szCs w:val="32"/>
        </w:rPr>
      </w:pPr>
    </w:p>
    <w:p>
      <w:pPr>
        <w:wordWrap w:val="0"/>
        <w:spacing w:line="400" w:lineRule="exact"/>
        <w:jc w:val="center"/>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520" w:lineRule="exact"/>
        <w:ind w:firstLine="1280" w:firstLineChars="400"/>
        <w:jc w:val="left"/>
        <w:rPr>
          <w:rFonts w:ascii="Times New Roman" w:hAnsi="Times New Roman" w:eastAsia="仿宋_GB2312" w:cs="Times New Roman"/>
          <w:kern w:val="0"/>
          <w:sz w:val="32"/>
          <w:szCs w:val="32"/>
        </w:rPr>
      </w:pPr>
    </w:p>
    <w:p>
      <w:pPr>
        <w:wordWrap w:val="0"/>
        <w:spacing w:line="520" w:lineRule="exact"/>
        <w:jc w:val="center"/>
        <w:rPr>
          <w:rFonts w:ascii="Times New Roman" w:hAnsi="Times New Roman" w:eastAsia="仿宋_GB2312" w:cs="Times New Roman"/>
          <w:kern w:val="0"/>
          <w:sz w:val="32"/>
          <w:szCs w:val="32"/>
        </w:rPr>
        <w:sectPr>
          <w:footerReference r:id="rId3" w:type="default"/>
          <w:pgSz w:w="11906" w:h="16838"/>
          <w:pgMar w:top="1417" w:right="1531" w:bottom="1417" w:left="1531" w:header="851" w:footer="992" w:gutter="0"/>
          <w:pgNumType w:fmt="numberInDash" w:start="1"/>
          <w:cols w:space="0" w:num="1"/>
          <w:docGrid w:type="lines" w:linePitch="312" w:charSpace="0"/>
        </w:sectPr>
      </w:pPr>
    </w:p>
    <w:p>
      <w:pPr>
        <w:wordWrap w:val="0"/>
        <w:spacing w:line="480" w:lineRule="exact"/>
        <w:jc w:val="center"/>
        <w:rPr>
          <w:rFonts w:ascii="Times New Roman" w:hAnsi="Times New Roman" w:eastAsia="仿宋_GB2312" w:cs="Times New Roman"/>
          <w:sz w:val="28"/>
          <w:szCs w:val="28"/>
        </w:rPr>
      </w:pPr>
      <w:r>
        <w:rPr>
          <w:rFonts w:hint="eastAsia" w:asciiTheme="majorEastAsia" w:hAnsiTheme="majorEastAsia" w:eastAsiaTheme="majorEastAsia" w:cstheme="majorEastAsia"/>
          <w:b/>
          <w:bCs/>
          <w:sz w:val="32"/>
          <w:szCs w:val="32"/>
        </w:rPr>
        <w:t>第一章 招标公告</w:t>
      </w:r>
    </w:p>
    <w:p>
      <w:pPr>
        <w:wordWrap w:val="0"/>
        <w:spacing w:line="480" w:lineRule="exact"/>
        <w:jc w:val="center"/>
        <w:rPr>
          <w:rFonts w:ascii="黑体" w:hAnsi="黑体" w:eastAsia="黑体" w:cs="黑体"/>
          <w:sz w:val="30"/>
          <w:szCs w:val="30"/>
        </w:rPr>
      </w:pPr>
      <w:r>
        <w:rPr>
          <w:rFonts w:hint="eastAsia" w:ascii="黑体" w:hAnsi="黑体" w:eastAsia="黑体" w:cs="黑体"/>
          <w:sz w:val="30"/>
          <w:szCs w:val="30"/>
          <w:lang w:eastAsia="zh-CN"/>
        </w:rPr>
        <w:t>309省道</w:t>
      </w:r>
      <w:r>
        <w:rPr>
          <w:rFonts w:hint="eastAsia" w:ascii="黑体" w:hAnsi="黑体" w:eastAsia="黑体" w:cs="黑体"/>
          <w:sz w:val="30"/>
          <w:szCs w:val="30"/>
        </w:rPr>
        <w:t>一级公路（亳州段153.2公里）2020年度和2021年度公路养护工程设计项目招标公告</w:t>
      </w:r>
      <w:bookmarkStart w:id="0" w:name="_Toc246996909"/>
      <w:bookmarkStart w:id="1" w:name="_Toc296602410"/>
      <w:bookmarkStart w:id="2" w:name="_Toc247085680"/>
      <w:bookmarkStart w:id="3" w:name="_Toc144974487"/>
      <w:bookmarkStart w:id="4" w:name="_Toc152045519"/>
      <w:bookmarkStart w:id="5" w:name="_Toc152042295"/>
      <w:bookmarkStart w:id="6" w:name="_Toc179632536"/>
      <w:bookmarkStart w:id="7" w:name="_Toc246996166"/>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一、</w:t>
      </w:r>
      <w:r>
        <w:rPr>
          <w:rFonts w:hint="eastAsia" w:asciiTheme="minorEastAsia" w:hAnsiTheme="minorEastAsia" w:cstheme="minorEastAsia"/>
          <w:b/>
          <w:bCs/>
          <w:sz w:val="28"/>
          <w:szCs w:val="28"/>
        </w:rPr>
        <w:t>招标条件</w:t>
      </w:r>
      <w:bookmarkEnd w:id="0"/>
      <w:bookmarkEnd w:id="1"/>
      <w:bookmarkEnd w:id="2"/>
      <w:bookmarkEnd w:id="3"/>
      <w:bookmarkEnd w:id="4"/>
      <w:bookmarkEnd w:id="5"/>
      <w:bookmarkEnd w:id="6"/>
      <w:bookmarkEnd w:id="7"/>
      <w:r>
        <w:rPr>
          <w:rFonts w:hint="eastAsia" w:asciiTheme="minorEastAsia" w:hAnsiTheme="minorEastAsia" w:cstheme="minorEastAsia"/>
          <w:b/>
          <w:bCs/>
          <w:sz w:val="28"/>
          <w:szCs w:val="28"/>
        </w:rPr>
        <w:tab/>
      </w:r>
    </w:p>
    <w:p>
      <w:pPr>
        <w:wordWrap w:val="0"/>
        <w:spacing w:line="480" w:lineRule="exact"/>
        <w:ind w:firstLine="560" w:firstLineChars="200"/>
        <w:rPr>
          <w:rFonts w:asciiTheme="minorEastAsia" w:hAnsiTheme="minorEastAsia" w:cstheme="minorEastAsia"/>
          <w:sz w:val="28"/>
          <w:szCs w:val="28"/>
        </w:rPr>
      </w:pPr>
      <w:bookmarkStart w:id="8" w:name="_Toc152045520"/>
      <w:bookmarkStart w:id="9" w:name="_Toc246996167"/>
      <w:bookmarkStart w:id="10" w:name="_Toc144974488"/>
      <w:bookmarkStart w:id="11" w:name="_Toc179632537"/>
      <w:bookmarkStart w:id="12" w:name="_Toc152042296"/>
      <w:bookmarkStart w:id="13" w:name="_Toc247085681"/>
      <w:bookmarkStart w:id="14" w:name="_Toc246996910"/>
      <w:bookmarkStart w:id="15" w:name="_Toc296602411"/>
      <w:r>
        <w:rPr>
          <w:rFonts w:hint="eastAsia" w:asciiTheme="minorEastAsia" w:hAnsiTheme="minorEastAsia" w:cstheme="minorEastAsia"/>
          <w:sz w:val="28"/>
          <w:szCs w:val="28"/>
        </w:rPr>
        <w:t>本招标项目为</w:t>
      </w:r>
      <w:r>
        <w:rPr>
          <w:rFonts w:hint="eastAsia" w:asciiTheme="minorEastAsia" w:hAnsiTheme="minorEastAsia" w:cstheme="minorEastAsia"/>
          <w:sz w:val="28"/>
          <w:szCs w:val="28"/>
          <w:lang w:eastAsia="zh-CN"/>
        </w:rPr>
        <w:t>309省道</w:t>
      </w:r>
      <w:r>
        <w:rPr>
          <w:rFonts w:hint="eastAsia" w:asciiTheme="minorEastAsia" w:hAnsiTheme="minorEastAsia" w:cstheme="minorEastAsia"/>
          <w:sz w:val="28"/>
          <w:szCs w:val="28"/>
        </w:rPr>
        <w:t>一级公路（亳州段153.2公里）2020年度和2021年度公路养护工程设计项目（项目编号：BZJK-2020-051号），招标人为安徽通达利交通建设管理有限公司，建设资金来自自筹资金。项目已具备招标条件，现对该项目进行自主公开招标。</w:t>
      </w:r>
    </w:p>
    <w:p>
      <w:pPr>
        <w:wordWrap w:val="0"/>
        <w:spacing w:line="480" w:lineRule="exact"/>
        <w:ind w:firstLine="562" w:firstLineChars="200"/>
        <w:rPr>
          <w:rFonts w:asciiTheme="minorEastAsia" w:hAnsiTheme="minorEastAsia" w:cstheme="minorEastAsia"/>
          <w:b/>
          <w:bCs/>
          <w:sz w:val="28"/>
          <w:szCs w:val="28"/>
        </w:rPr>
      </w:pPr>
      <w:r>
        <w:rPr>
          <w:rFonts w:hint="eastAsia" w:asciiTheme="minorEastAsia" w:hAnsiTheme="minorEastAsia" w:cstheme="minorEastAsia"/>
          <w:b/>
          <w:bCs/>
          <w:sz w:val="28"/>
          <w:szCs w:val="28"/>
        </w:rPr>
        <w:t>二、项目概况与</w:t>
      </w:r>
      <w:bookmarkEnd w:id="8"/>
      <w:bookmarkEnd w:id="9"/>
      <w:bookmarkEnd w:id="10"/>
      <w:bookmarkEnd w:id="11"/>
      <w:bookmarkEnd w:id="12"/>
      <w:bookmarkEnd w:id="13"/>
      <w:bookmarkEnd w:id="14"/>
      <w:bookmarkEnd w:id="15"/>
      <w:r>
        <w:rPr>
          <w:rFonts w:hint="eastAsia" w:asciiTheme="minorEastAsia" w:hAnsiTheme="minorEastAsia" w:cstheme="minorEastAsia"/>
          <w:b/>
          <w:bCs/>
          <w:sz w:val="28"/>
          <w:szCs w:val="28"/>
        </w:rPr>
        <w:t>相关事项</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（一）项目地点：309</w:t>
      </w:r>
      <w:r>
        <w:rPr>
          <w:rFonts w:hint="eastAsia" w:asciiTheme="minorEastAsia" w:hAnsiTheme="minorEastAsia" w:cstheme="minorEastAsia"/>
          <w:sz w:val="28"/>
          <w:szCs w:val="28"/>
          <w:lang w:val="en-US" w:eastAsia="zh-CN"/>
        </w:rPr>
        <w:t>省道</w:t>
      </w:r>
      <w:r>
        <w:rPr>
          <w:rFonts w:hint="eastAsia" w:asciiTheme="minorEastAsia" w:hAnsiTheme="minorEastAsia" w:cstheme="minorEastAsia"/>
          <w:sz w:val="28"/>
          <w:szCs w:val="28"/>
        </w:rPr>
        <w:t>（原307亳州段）一级公路，起点位于亳州市蒙城县与蚌埠市怀远县交界处（原307亳州段K123+841），终点位于亳州市谯城区（原307亳州段K253+012），全长153.2公里，道路等级为一级公路标准，双向4车道，沥青混凝土路面，全线设大桥2座，中桥25座，小桥48座，涵洞70道。</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（二）招标范围：</w:t>
      </w:r>
      <w:r>
        <w:rPr>
          <w:rFonts w:hint="eastAsia" w:asciiTheme="minorEastAsia" w:hAnsiTheme="minorEastAsia" w:cstheme="minorEastAsia"/>
          <w:sz w:val="28"/>
          <w:szCs w:val="28"/>
          <w:lang w:eastAsia="zh-CN"/>
        </w:rPr>
        <w:t>309省道</w:t>
      </w:r>
      <w:r>
        <w:rPr>
          <w:rFonts w:hint="eastAsia" w:asciiTheme="minorEastAsia" w:hAnsiTheme="minorEastAsia" w:cstheme="minorEastAsia"/>
          <w:sz w:val="28"/>
          <w:szCs w:val="28"/>
        </w:rPr>
        <w:t>一级公路（亳州段153.2公里）2020年度和2021年的公路养护工程项目的方案和施工图设计（包括但不限于公路小修保养、路面大中修、公路安全生命防护及桥梁大中修工程等），所提供的服务方案和施工图文件应符合公路现状，按技术处理后能够恢复原有道路设计水平的标准。要求提供的设计成果包括但不限于：方案设计文件、施工图设计文件、概预算文件等。</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（三）质量标准：符合国家、行业、地方现行相关规范合格标准，满足发包人要求。</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（四）服务周期：自合同签订之日起至施工缺陷期满。</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2020年度设计服务周期：方案设计，</w:t>
      </w:r>
      <w:r>
        <w:rPr>
          <w:rFonts w:hint="eastAsia" w:asciiTheme="minorEastAsia" w:hAnsiTheme="minorEastAsia" w:cstheme="minorEastAsia"/>
          <w:sz w:val="28"/>
          <w:szCs w:val="28"/>
          <w:lang w:val="en-US" w:eastAsia="zh-CN"/>
        </w:rPr>
        <w:t>接到甲方通知后，</w:t>
      </w:r>
      <w:r>
        <w:rPr>
          <w:rFonts w:hint="eastAsia" w:asciiTheme="minorEastAsia" w:hAnsiTheme="minorEastAsia" w:cstheme="minorEastAsia"/>
          <w:sz w:val="28"/>
          <w:szCs w:val="28"/>
        </w:rPr>
        <w:t>5天内向业主单位提交初步服务方案；施工图设计，服务方案评审通过后10天内完成并向业主提交施工图设计文件和工程量清单。</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2021年度设计服务周期：接到甲方通知后，20天完成内初步服务方案、30天完成内施工图设计文件和工程量清单。</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（五）招标控制价（含税）：</w:t>
      </w:r>
      <w:r>
        <w:rPr>
          <w:rFonts w:hint="eastAsia" w:asciiTheme="minorEastAsia" w:hAnsiTheme="minorEastAsia" w:cstheme="minorEastAsia"/>
          <w:sz w:val="28"/>
          <w:szCs w:val="28"/>
          <w:shd w:val="clear" w:color="auto" w:fill="FFFF00"/>
        </w:rPr>
        <w:t>按</w:t>
      </w:r>
      <w:r>
        <w:rPr>
          <w:rFonts w:hint="eastAsia" w:asciiTheme="minorEastAsia" w:hAnsiTheme="minorEastAsia" w:cstheme="minorEastAsia"/>
          <w:sz w:val="28"/>
          <w:szCs w:val="28"/>
          <w:u w:val="single"/>
          <w:shd w:val="clear" w:color="auto" w:fill="FFFF00"/>
        </w:rPr>
        <w:t>费率报价</w:t>
      </w:r>
      <w:r>
        <w:rPr>
          <w:rFonts w:hint="eastAsia" w:asciiTheme="minorEastAsia" w:hAnsiTheme="minorEastAsia" w:cstheme="minorEastAsia"/>
          <w:sz w:val="28"/>
          <w:szCs w:val="28"/>
          <w:shd w:val="clear" w:color="auto" w:fill="FFFF00"/>
        </w:rPr>
        <w:t>，最高不超过2.0%（小数点保留2位）。按</w:t>
      </w:r>
      <w:r>
        <w:rPr>
          <w:rFonts w:hint="eastAsia" w:asciiTheme="minorEastAsia" w:hAnsiTheme="minorEastAsia" w:cstheme="minorEastAsia"/>
          <w:sz w:val="28"/>
          <w:szCs w:val="28"/>
          <w:shd w:val="clear" w:color="auto" w:fill="FFFF00"/>
          <w:lang w:eastAsia="zh-CN"/>
        </w:rPr>
        <w:t>309省道</w:t>
      </w:r>
      <w:r>
        <w:rPr>
          <w:rFonts w:hint="eastAsia" w:asciiTheme="minorEastAsia" w:hAnsiTheme="minorEastAsia" w:cstheme="minorEastAsia"/>
          <w:sz w:val="28"/>
          <w:szCs w:val="28"/>
          <w:shd w:val="clear" w:color="auto" w:fill="FFFF00"/>
        </w:rPr>
        <w:t>一级公路（亳州段153.2公里）养护工程项目施工合同中标价为基数进行计算。</w:t>
      </w:r>
      <w:r>
        <w:rPr>
          <w:rFonts w:hint="eastAsia" w:asciiTheme="minorEastAsia" w:hAnsiTheme="minorEastAsia" w:cstheme="minorEastAsia"/>
          <w:sz w:val="28"/>
          <w:szCs w:val="28"/>
        </w:rPr>
        <w:t>本项目投标报价应为完成现状调查、勘察测绘、设计等各阶段工作内容以及审查、报批、专家论证、建议、缺陷责任期等后期服务所需的全部费用，中标后不予调整，其他未尽事宜应统一考虑在报价内。</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（六）标段划分：一个标段。</w:t>
      </w:r>
    </w:p>
    <w:p>
      <w:pPr>
        <w:wordWrap w:val="0"/>
        <w:spacing w:line="480" w:lineRule="exact"/>
        <w:ind w:firstLine="562" w:firstLineChars="200"/>
        <w:rPr>
          <w:rFonts w:asciiTheme="minorEastAsia" w:hAnsiTheme="minorEastAsia" w:cstheme="minorEastAsia"/>
          <w:b/>
          <w:bCs/>
          <w:sz w:val="28"/>
          <w:szCs w:val="28"/>
        </w:rPr>
      </w:pPr>
      <w:r>
        <w:rPr>
          <w:rFonts w:hint="eastAsia" w:asciiTheme="minorEastAsia" w:hAnsiTheme="minorEastAsia" w:cstheme="minorEastAsia"/>
          <w:b/>
          <w:bCs/>
          <w:sz w:val="28"/>
          <w:szCs w:val="28"/>
        </w:rPr>
        <w:t>三、投标人资格要求</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（一）本次招标要求投标人须具有独立法人资格，具有有效的营业执照，具备独立承担民事责任的能力；</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（二）资质要求：投标人具备建设行政主管部门颁发的公路行业（公路）设计专业甲级资质或工程设计综合甲级资质；</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（三）业绩要求：投标人提供2016年1月1日至今完成一级公路项目或项目包含一级公路的业绩具体要求如下：</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（1）路面大（中）修工程：单项业绩至少</w:t>
      </w:r>
      <w:r>
        <w:rPr>
          <w:rFonts w:asciiTheme="minorEastAsia" w:hAnsiTheme="minorEastAsia" w:cstheme="minorEastAsia"/>
          <w:sz w:val="28"/>
          <w:szCs w:val="28"/>
        </w:rPr>
        <w:t>2</w:t>
      </w:r>
      <w:r>
        <w:rPr>
          <w:rFonts w:hint="eastAsia" w:asciiTheme="minorEastAsia" w:hAnsiTheme="minorEastAsia" w:cstheme="minorEastAsia"/>
          <w:sz w:val="28"/>
          <w:szCs w:val="28"/>
        </w:rPr>
        <w:t>0公里。</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（2）路面预防性养护工程：单项业绩至少完成</w:t>
      </w:r>
      <w:r>
        <w:rPr>
          <w:rFonts w:asciiTheme="minorEastAsia" w:hAnsiTheme="minorEastAsia" w:cstheme="minorEastAsia"/>
          <w:sz w:val="28"/>
          <w:szCs w:val="28"/>
        </w:rPr>
        <w:t>2</w:t>
      </w:r>
      <w:r>
        <w:rPr>
          <w:rFonts w:hint="eastAsia" w:asciiTheme="minorEastAsia" w:hAnsiTheme="minorEastAsia" w:cstheme="minorEastAsia"/>
          <w:sz w:val="28"/>
          <w:szCs w:val="28"/>
        </w:rPr>
        <w:t>0公里。</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（3）公路</w:t>
      </w:r>
      <w:r>
        <w:rPr>
          <w:rFonts w:hint="eastAsia" w:asciiTheme="minorEastAsia" w:hAnsiTheme="minorEastAsia" w:cstheme="minorEastAsia"/>
          <w:sz w:val="28"/>
          <w:szCs w:val="28"/>
          <w:lang w:val="en-US" w:eastAsia="zh-CN"/>
        </w:rPr>
        <w:t>安全</w:t>
      </w:r>
      <w:r>
        <w:rPr>
          <w:rFonts w:hint="eastAsia" w:asciiTheme="minorEastAsia" w:hAnsiTheme="minorEastAsia" w:cstheme="minorEastAsia"/>
          <w:sz w:val="28"/>
          <w:szCs w:val="28"/>
        </w:rPr>
        <w:t>生命防护工程：单项业绩至少完成</w:t>
      </w:r>
      <w:r>
        <w:rPr>
          <w:rFonts w:asciiTheme="minorEastAsia" w:hAnsiTheme="minorEastAsia" w:cstheme="minorEastAsia"/>
          <w:sz w:val="28"/>
          <w:szCs w:val="28"/>
        </w:rPr>
        <w:t>2</w:t>
      </w:r>
      <w:r>
        <w:rPr>
          <w:rFonts w:hint="eastAsia" w:asciiTheme="minorEastAsia" w:hAnsiTheme="minorEastAsia" w:cstheme="minorEastAsia"/>
          <w:sz w:val="28"/>
          <w:szCs w:val="28"/>
        </w:rPr>
        <w:t>0公里。</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（4）桥梁大中修工程：单项业绩至少完成1座中桥或大桥。</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 xml:space="preserve">（5） </w:t>
      </w:r>
      <w:r>
        <w:rPr>
          <w:rFonts w:hint="eastAsia" w:asciiTheme="minorEastAsia" w:hAnsiTheme="minorEastAsia" w:cstheme="minorEastAsia"/>
          <w:sz w:val="28"/>
          <w:szCs w:val="28"/>
          <w:shd w:val="clear" w:color="auto" w:fill="FFFF00"/>
        </w:rPr>
        <w:t>以上业绩均需装订在相应投标书中</w:t>
      </w:r>
      <w:r>
        <w:rPr>
          <w:rFonts w:hint="eastAsia" w:asciiTheme="minorEastAsia" w:hAnsiTheme="minorEastAsia" w:cstheme="minorEastAsia"/>
          <w:sz w:val="28"/>
          <w:szCs w:val="28"/>
        </w:rPr>
        <w:t>（投标文件中需提供合同复印件并加盖公章）。</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（四）拟派人员要求：</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（1）总设计负责人：须具有正高级工程师资质证书或教授级或者研究员级证书；</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（2）桥梁工程项目、路面养护工程、公路安全生命防护工程设计负责人：各1名，须具有高级工程师职称证书；造价负责人：1名，具有交通部甲级造价工程师资格或其他同等级造价资格证书。</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shd w:val="clear" w:color="auto" w:fill="FFFF00"/>
        </w:rPr>
        <w:t>以上人员</w:t>
      </w:r>
      <w:r>
        <w:rPr>
          <w:rFonts w:asciiTheme="minorEastAsia" w:hAnsiTheme="minorEastAsia" w:cstheme="minorEastAsia"/>
          <w:sz w:val="28"/>
          <w:szCs w:val="28"/>
          <w:shd w:val="clear" w:color="auto" w:fill="FFFF00"/>
        </w:rPr>
        <w:t>须提供2020年</w:t>
      </w:r>
      <w:r>
        <w:rPr>
          <w:rFonts w:hint="eastAsia" w:asciiTheme="minorEastAsia" w:hAnsiTheme="minorEastAsia" w:cstheme="minorEastAsia"/>
          <w:sz w:val="28"/>
          <w:szCs w:val="28"/>
          <w:shd w:val="clear" w:color="auto" w:fill="FFFF00"/>
        </w:rPr>
        <w:t>3</w:t>
      </w:r>
      <w:r>
        <w:rPr>
          <w:rFonts w:asciiTheme="minorEastAsia" w:hAnsiTheme="minorEastAsia" w:cstheme="minorEastAsia"/>
          <w:sz w:val="28"/>
          <w:szCs w:val="28"/>
          <w:shd w:val="clear" w:color="auto" w:fill="FFFF00"/>
        </w:rPr>
        <w:t>月至今至少连续6个月的社会保险证明（指社会保险管理单位出具的社会保险证明，加盖社会保险管理单位的公章或电子章；如提供复印件或扫描件，加盖报价单位公章）。</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（五）投标人拟投入本项目的其他人员、设备、资金等方面具备相应的能力。</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（六）投标人存在以下不良信用记录情形之一的，不得推荐为中标候选人，更不得确定为中标人：</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1.投标人被人民法院列入失信被执行人的；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2.投标人或其法定代表人或拟派总设计负责人被人民检察院列入行贿犯罪档案的；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3.投标人被工商行政管理部门列入企业经营异常名录的；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4.投标人被税务部门列入重大税收违法案件当事人名单的；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5.投标人被人力资源社会保障行政部门列入拖欠农民工工资“黑名单”的。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以上情形以“信用中国”（www.creditchina.gov.cn）或其它指定媒介发布的为准，其它指定媒介有国家税务总局网站（www.chinatax.gov.cn）、中国政府采购网（www.ccgp.gov.cn）、最高人民法院网站（www.court.gov.cn）、国家企业信用信息公示系统网站（www.gsxt.gov.cn），有限制期限的按规定期限执行，无限制期限的按投标截止时间前6个月计算。</w:t>
      </w:r>
      <w:r>
        <w:rPr>
          <w:rFonts w:hint="eastAsia" w:asciiTheme="minorEastAsia" w:hAnsiTheme="minorEastAsia" w:cstheme="minorEastAsia"/>
          <w:sz w:val="28"/>
          <w:szCs w:val="28"/>
          <w:shd w:val="clear" w:color="auto" w:fill="FFFF00"/>
        </w:rPr>
        <w:t>投标人须提供相关网站查询结果截图，并加盖投标人公章放入投标文件中。</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（七）本次招标</w:t>
      </w:r>
      <w:r>
        <w:rPr>
          <w:rFonts w:hint="eastAsia" w:asciiTheme="minorEastAsia" w:hAnsiTheme="minorEastAsia" w:cstheme="minorEastAsia"/>
          <w:sz w:val="28"/>
          <w:szCs w:val="28"/>
          <w:u w:val="single"/>
        </w:rPr>
        <w:t>不接受</w:t>
      </w:r>
      <w:r>
        <w:rPr>
          <w:rFonts w:hint="eastAsia" w:asciiTheme="minorEastAsia" w:hAnsiTheme="minorEastAsia" w:cstheme="minorEastAsia"/>
          <w:sz w:val="28"/>
          <w:szCs w:val="28"/>
        </w:rPr>
        <w:t>联合体投标。</w:t>
      </w:r>
    </w:p>
    <w:p>
      <w:pPr>
        <w:wordWrap w:val="0"/>
        <w:spacing w:line="480" w:lineRule="exact"/>
        <w:ind w:firstLine="562" w:firstLineChars="200"/>
        <w:rPr>
          <w:rFonts w:asciiTheme="minorEastAsia" w:hAnsiTheme="minorEastAsia" w:cstheme="minorEastAsia"/>
          <w:b/>
          <w:bCs/>
          <w:sz w:val="28"/>
          <w:szCs w:val="28"/>
        </w:rPr>
      </w:pPr>
      <w:r>
        <w:rPr>
          <w:rFonts w:hint="eastAsia" w:asciiTheme="minorEastAsia" w:hAnsiTheme="minorEastAsia" w:cstheme="minorEastAsia"/>
          <w:b/>
          <w:bCs/>
          <w:sz w:val="28"/>
          <w:szCs w:val="28"/>
        </w:rPr>
        <w:t>四、招标文件的获取</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凡有意参加投标者，请于投标文件递交截止时间前到亳州交通投资控股集团有限公司官网信息公开栏（www.bzjkjt.com）自行下载招标文件及其它附件。</w:t>
      </w:r>
    </w:p>
    <w:p>
      <w:pPr>
        <w:wordWrap w:val="0"/>
        <w:spacing w:line="480" w:lineRule="exact"/>
        <w:ind w:firstLine="562" w:firstLineChars="200"/>
        <w:rPr>
          <w:rFonts w:asciiTheme="minorEastAsia" w:hAnsiTheme="minorEastAsia" w:cstheme="minorEastAsia"/>
          <w:b/>
          <w:bCs/>
          <w:sz w:val="28"/>
          <w:szCs w:val="28"/>
        </w:rPr>
      </w:pPr>
      <w:r>
        <w:rPr>
          <w:rFonts w:hint="eastAsia" w:asciiTheme="minorEastAsia" w:hAnsiTheme="minorEastAsia" w:cstheme="minorEastAsia"/>
          <w:b/>
          <w:bCs/>
          <w:sz w:val="28"/>
          <w:szCs w:val="28"/>
        </w:rPr>
        <w:t>五、投标文件的递交</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（一）投标文件递交的截止时间（投标截止时间，下同）为</w:t>
      </w:r>
      <w:r>
        <w:rPr>
          <w:rFonts w:hint="eastAsia" w:asciiTheme="minorEastAsia" w:hAnsiTheme="minorEastAsia" w:cstheme="minorEastAsia"/>
          <w:sz w:val="28"/>
          <w:szCs w:val="28"/>
          <w:lang w:eastAsia="zh-CN"/>
        </w:rPr>
        <w:t>2020年10月20日9时00分</w:t>
      </w:r>
      <w:r>
        <w:rPr>
          <w:rFonts w:hint="eastAsia" w:asciiTheme="minorEastAsia" w:hAnsiTheme="minorEastAsia" w:cstheme="minorEastAsia"/>
          <w:sz w:val="28"/>
          <w:szCs w:val="28"/>
        </w:rPr>
        <w:t>，地点为亳州交通投资控股集团有限公司8楼会议室（药都大道与希夷大道交叉口东北角8楼）。</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（二）逾期送达的、未送达指定地点的或者不按照招标文件要求密封的投标文件，招标人将予以拒收。</w:t>
      </w:r>
    </w:p>
    <w:p>
      <w:pPr>
        <w:wordWrap w:val="0"/>
        <w:spacing w:line="480" w:lineRule="exact"/>
        <w:ind w:firstLine="562" w:firstLineChars="200"/>
        <w:rPr>
          <w:rFonts w:asciiTheme="minorEastAsia" w:hAnsiTheme="minorEastAsia" w:cstheme="minorEastAsia"/>
          <w:b/>
          <w:bCs/>
          <w:sz w:val="28"/>
          <w:szCs w:val="28"/>
        </w:rPr>
      </w:pPr>
      <w:r>
        <w:rPr>
          <w:rFonts w:hint="eastAsia" w:asciiTheme="minorEastAsia" w:hAnsiTheme="minorEastAsia" w:cstheme="minorEastAsia"/>
          <w:b/>
          <w:bCs/>
          <w:sz w:val="28"/>
          <w:szCs w:val="28"/>
        </w:rPr>
        <w:t>六、发布公告的媒介</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本次招标公告同时在亳州交通投资控股集团有限公司官网（www.bzjkjt.com）、安徽省招标投标信息网（www.ahtba.org.cn）、中国招标投标公共服务平台（www.cebpubservice.com）上发布。</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七、联系方式</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 标 人：安徽通达利交通建设管理有限公司</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地    址：安徽省亳州市谯城区大杨镇省道309线亳州收费站</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联 系 人：</w:t>
      </w:r>
      <w:r>
        <w:rPr>
          <w:rFonts w:hint="eastAsia" w:asciiTheme="minorEastAsia" w:hAnsiTheme="minorEastAsia" w:cstheme="minorEastAsia"/>
          <w:sz w:val="28"/>
          <w:szCs w:val="28"/>
          <w:lang w:val="en-US" w:eastAsia="zh-CN"/>
        </w:rPr>
        <w:t xml:space="preserve">闫工 </w:t>
      </w:r>
      <w:r>
        <w:rPr>
          <w:rFonts w:hint="eastAsia" w:asciiTheme="minorEastAsia" w:hAnsiTheme="minorEastAsia" w:cstheme="minorEastAsia"/>
          <w:sz w:val="28"/>
          <w:szCs w:val="28"/>
        </w:rPr>
        <w:t>陈工</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 xml:space="preserve">电    话：17756789603 </w:t>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rPr>
        <w:t>18119960505</w:t>
      </w:r>
    </w:p>
    <w:p>
      <w:pPr>
        <w:wordWrap w:val="0"/>
        <w:spacing w:line="480" w:lineRule="exact"/>
        <w:ind w:firstLine="560" w:firstLineChars="200"/>
        <w:rPr>
          <w:rFonts w:asciiTheme="minorEastAsia" w:hAnsiTheme="minorEastAsia" w:cstheme="minorEastAsia"/>
          <w:sz w:val="28"/>
          <w:szCs w:val="28"/>
        </w:rPr>
      </w:pP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招标平台：亳州交控集团法务部（招投标中心）</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地    址：亳州市谯城区药都大道1289号</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联 系 人：田工</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电    话：0558-5190035</w:t>
      </w:r>
    </w:p>
    <w:p>
      <w:pPr>
        <w:wordWrap w:val="0"/>
        <w:spacing w:line="480" w:lineRule="exact"/>
        <w:rPr>
          <w:rFonts w:asciiTheme="minorEastAsia" w:hAnsiTheme="minorEastAsia" w:cstheme="minorEastAsia"/>
          <w:sz w:val="28"/>
          <w:szCs w:val="28"/>
        </w:rPr>
      </w:pPr>
    </w:p>
    <w:p>
      <w:pPr>
        <w:wordWrap w:val="0"/>
        <w:spacing w:line="480" w:lineRule="exact"/>
        <w:jc w:val="right"/>
        <w:rPr>
          <w:rFonts w:asciiTheme="minorEastAsia" w:hAnsiTheme="minorEastAsia" w:cstheme="minorEastAsia"/>
          <w:sz w:val="28"/>
          <w:szCs w:val="28"/>
        </w:rPr>
      </w:pPr>
      <w:r>
        <w:rPr>
          <w:rFonts w:hint="eastAsia" w:asciiTheme="minorEastAsia" w:hAnsiTheme="minorEastAsia" w:cstheme="minorEastAsia"/>
          <w:sz w:val="28"/>
          <w:szCs w:val="28"/>
        </w:rPr>
        <w:t>安徽通达利交通建设管理有限公司</w:t>
      </w:r>
    </w:p>
    <w:p>
      <w:pPr>
        <w:wordWrap w:val="0"/>
        <w:spacing w:line="480" w:lineRule="exact"/>
        <w:ind w:firstLine="5320" w:firstLineChars="1900"/>
        <w:jc w:val="right"/>
        <w:rPr>
          <w:rFonts w:ascii="Times New Roman" w:hAnsi="Times New Roman" w:eastAsia="仿宋_GB2312" w:cs="Times New Roman"/>
          <w:kern w:val="0"/>
          <w:sz w:val="32"/>
          <w:szCs w:val="32"/>
        </w:rPr>
      </w:pPr>
      <w:r>
        <w:rPr>
          <w:rFonts w:hint="eastAsia" w:asciiTheme="minorEastAsia" w:hAnsiTheme="minorEastAsia" w:cstheme="minorEastAsia"/>
          <w:sz w:val="28"/>
          <w:szCs w:val="28"/>
        </w:rPr>
        <w:t>2020年</w:t>
      </w:r>
      <w:r>
        <w:rPr>
          <w:rFonts w:hint="eastAsia" w:asciiTheme="minorEastAsia" w:hAnsiTheme="minorEastAsia" w:cstheme="minorEastAsia"/>
          <w:sz w:val="28"/>
          <w:szCs w:val="28"/>
          <w:lang w:val="en-US" w:eastAsia="zh-CN"/>
        </w:rPr>
        <w:t>10</w:t>
      </w:r>
      <w:r>
        <w:rPr>
          <w:rFonts w:hint="eastAsia" w:asciiTheme="minorEastAsia" w:hAnsiTheme="minorEastAsia" w:cstheme="minorEastAsia"/>
          <w:sz w:val="28"/>
          <w:szCs w:val="28"/>
        </w:rPr>
        <w:t>月</w:t>
      </w:r>
      <w:r>
        <w:rPr>
          <w:rFonts w:hint="eastAsia" w:asciiTheme="minorEastAsia" w:hAnsiTheme="minorEastAsia" w:cstheme="minorEastAsia"/>
          <w:sz w:val="28"/>
          <w:szCs w:val="28"/>
          <w:lang w:val="en-US" w:eastAsia="zh-CN"/>
        </w:rPr>
        <w:t>12</w:t>
      </w:r>
      <w:bookmarkStart w:id="198" w:name="_GoBack"/>
      <w:bookmarkEnd w:id="198"/>
      <w:r>
        <w:rPr>
          <w:rFonts w:hint="eastAsia" w:asciiTheme="minorEastAsia" w:hAnsiTheme="minorEastAsia" w:cstheme="minorEastAsia"/>
          <w:sz w:val="28"/>
          <w:szCs w:val="28"/>
        </w:rPr>
        <w:t>日</w:t>
      </w:r>
      <w:r>
        <w:rPr>
          <w:rFonts w:ascii="Times New Roman" w:hAnsi="Times New Roman" w:eastAsia="仿宋_GB2312" w:cs="Times New Roman"/>
          <w:kern w:val="0"/>
          <w:sz w:val="32"/>
          <w:szCs w:val="32"/>
        </w:rPr>
        <w:br w:type="page"/>
      </w:r>
    </w:p>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第二章 投标人须知</w:t>
      </w:r>
    </w:p>
    <w:p>
      <w:pPr>
        <w:spacing w:line="480" w:lineRule="exact"/>
        <w:rPr>
          <w:rFonts w:asciiTheme="majorEastAsia" w:hAnsiTheme="majorEastAsia" w:eastAsiaTheme="majorEastAsia" w:cstheme="majorEastAsia"/>
          <w:b/>
          <w:bCs/>
          <w:sz w:val="28"/>
          <w:szCs w:val="28"/>
        </w:rPr>
      </w:pPr>
    </w:p>
    <w:p>
      <w:pPr>
        <w:spacing w:line="48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投标人须知前附表</w:t>
      </w:r>
    </w:p>
    <w:tbl>
      <w:tblPr>
        <w:tblStyle w:val="14"/>
        <w:tblW w:w="9127" w:type="dxa"/>
        <w:tblInd w:w="0" w:type="dxa"/>
        <w:tblLayout w:type="fixed"/>
        <w:tblCellMar>
          <w:top w:w="0" w:type="dxa"/>
          <w:left w:w="108" w:type="dxa"/>
          <w:bottom w:w="0" w:type="dxa"/>
          <w:right w:w="108" w:type="dxa"/>
        </w:tblCellMar>
      </w:tblPr>
      <w:tblGrid>
        <w:gridCol w:w="1008"/>
        <w:gridCol w:w="3780"/>
        <w:gridCol w:w="4339"/>
      </w:tblGrid>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b/>
                <w:szCs w:val="21"/>
              </w:rPr>
            </w:pPr>
            <w:r>
              <w:rPr>
                <w:rFonts w:hint="eastAsia" w:asciiTheme="minorEastAsia" w:hAnsiTheme="minorEastAsia" w:cstheme="minorEastAsia"/>
                <w:b/>
                <w:szCs w:val="21"/>
              </w:rPr>
              <w:t>条款号</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b/>
                <w:szCs w:val="21"/>
              </w:rPr>
            </w:pPr>
            <w:r>
              <w:rPr>
                <w:rFonts w:hint="eastAsia" w:asciiTheme="minorEastAsia" w:hAnsiTheme="minorEastAsia" w:cstheme="minorEastAsia"/>
                <w:b/>
                <w:szCs w:val="21"/>
              </w:rPr>
              <w:t>条  款  名  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b/>
                <w:szCs w:val="21"/>
              </w:rPr>
            </w:pPr>
            <w:r>
              <w:rPr>
                <w:rFonts w:hint="eastAsia" w:asciiTheme="minorEastAsia" w:hAnsiTheme="minorEastAsia" w:cstheme="minorEastAsia"/>
                <w:b/>
                <w:szCs w:val="21"/>
              </w:rPr>
              <w:t>编  列  内  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招标人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招标平台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招标项目名称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项目概况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资金来源</w:t>
            </w:r>
          </w:p>
        </w:tc>
        <w:tc>
          <w:tcPr>
            <w:tcW w:w="4339" w:type="dxa"/>
            <w:tcBorders>
              <w:top w:val="single" w:color="auto" w:sz="4" w:space="0"/>
              <w:left w:val="single" w:color="auto" w:sz="4" w:space="0"/>
              <w:bottom w:val="single" w:color="auto" w:sz="4" w:space="0"/>
              <w:right w:val="single" w:color="auto" w:sz="4" w:space="0"/>
            </w:tcBorders>
            <w:vAlign w:val="center"/>
          </w:tcPr>
          <w:p>
            <w:pPr>
              <w:tabs>
                <w:tab w:val="right" w:pos="4123"/>
              </w:tabs>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企业自有资金。</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资金落实情况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已落实</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招标范围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服务期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1.3.3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质量标准</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投标人资质条件、能力、信誉</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1.4.2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是否接受联合体投标</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heme="minorEastAsia" w:hAnsiTheme="minorEastAsia" w:cstheme="minorEastAsia"/>
                <w:sz w:val="21"/>
                <w:szCs w:val="21"/>
              </w:rPr>
            </w:pPr>
            <w:r>
              <w:rPr>
                <w:rFonts w:hint="eastAsia" w:asciiTheme="minorEastAsia" w:hAnsiTheme="minorEastAsia" w:cstheme="minorEastAsia"/>
                <w:sz w:val="21"/>
                <w:szCs w:val="21"/>
              </w:rPr>
              <w:sym w:font="Wingdings 2" w:char="0052"/>
            </w:r>
            <w:r>
              <w:rPr>
                <w:rFonts w:hint="eastAsia" w:asciiTheme="minorEastAsia" w:hAnsiTheme="minorEastAsia" w:cstheme="minorEastAsia"/>
                <w:sz w:val="21"/>
                <w:szCs w:val="21"/>
              </w:rPr>
              <w:t>不接受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1.4.3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投标人不得存在的其他情形</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ind w:firstLine="420" w:firstLineChars="200"/>
              <w:rPr>
                <w:rFonts w:asciiTheme="minorEastAsia" w:hAnsiTheme="minorEastAsia" w:cstheme="minorEastAsia"/>
                <w:sz w:val="21"/>
                <w:szCs w:val="21"/>
              </w:rPr>
            </w:pPr>
            <w:r>
              <w:rPr>
                <w:rFonts w:hint="eastAsia" w:asciiTheme="minorEastAsia" w:hAnsiTheme="minorEastAsia" w:cstheme="minorEastAsia"/>
                <w:sz w:val="21"/>
                <w:szCs w:val="21"/>
              </w:rPr>
              <w:t>参照相关法律法规、国家发改委印发的《标准招标文件》有关规定执行。</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1.9.1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踏勘现场</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heme="minorEastAsia" w:hAnsiTheme="minorEastAsia" w:cstheme="minorEastAsia"/>
                <w:sz w:val="21"/>
                <w:szCs w:val="21"/>
              </w:rPr>
            </w:pPr>
            <w:r>
              <w:rPr>
                <w:rFonts w:hint="eastAsia" w:asciiTheme="minorEastAsia" w:hAnsiTheme="minorEastAsia" w:cstheme="minorEastAsia"/>
                <w:sz w:val="21"/>
                <w:szCs w:val="21"/>
              </w:rPr>
              <w:sym w:font="Wingdings 2" w:char="0052"/>
            </w:r>
            <w:r>
              <w:rPr>
                <w:rFonts w:hint="eastAsia" w:asciiTheme="minorEastAsia" w:hAnsiTheme="minorEastAsia" w:cstheme="minorEastAsia"/>
                <w:sz w:val="21"/>
                <w:szCs w:val="21"/>
              </w:rPr>
              <w:t>不组织，自行踏勘现场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1.10.1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投标预备会</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heme="minorEastAsia" w:hAnsiTheme="minorEastAsia" w:cstheme="minorEastAsia"/>
                <w:sz w:val="21"/>
                <w:szCs w:val="21"/>
              </w:rPr>
            </w:pPr>
            <w:r>
              <w:rPr>
                <w:rFonts w:hint="eastAsia" w:asciiTheme="minorEastAsia" w:hAnsiTheme="minorEastAsia" w:cstheme="minorEastAsia"/>
                <w:sz w:val="21"/>
                <w:szCs w:val="21"/>
              </w:rPr>
              <w:sym w:font="Wingdings 2" w:char="0052"/>
            </w:r>
            <w:r>
              <w:rPr>
                <w:rFonts w:hint="eastAsia" w:asciiTheme="minorEastAsia" w:hAnsiTheme="minorEastAsia" w:cstheme="minorEastAsia"/>
                <w:sz w:val="21"/>
                <w:szCs w:val="21"/>
              </w:rPr>
              <w:t>不召开</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分包</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heme="minorEastAsia" w:hAnsiTheme="minorEastAsia" w:cstheme="minorEastAsia"/>
                <w:sz w:val="21"/>
                <w:szCs w:val="21"/>
              </w:rPr>
            </w:pPr>
            <w:r>
              <w:rPr>
                <w:rFonts w:hint="eastAsia" w:asciiTheme="minorEastAsia" w:hAnsiTheme="minorEastAsia" w:cstheme="minorEastAsia"/>
                <w:sz w:val="21"/>
                <w:szCs w:val="21"/>
              </w:rPr>
              <w:sym w:font="Wingdings 2" w:char="0052"/>
            </w:r>
            <w:r>
              <w:rPr>
                <w:rFonts w:hint="eastAsia" w:asciiTheme="minorEastAsia" w:hAnsiTheme="minorEastAsia" w:cstheme="minorEastAsia"/>
                <w:sz w:val="21"/>
                <w:szCs w:val="21"/>
              </w:rPr>
              <w:t>不分包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实质性要求和条件</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ind w:firstLine="420" w:firstLineChars="200"/>
              <w:rPr>
                <w:rFonts w:asciiTheme="minorEastAsia" w:hAnsiTheme="minorEastAsia" w:cstheme="minorEastAsia"/>
                <w:sz w:val="21"/>
                <w:szCs w:val="21"/>
              </w:rPr>
            </w:pPr>
            <w:r>
              <w:rPr>
                <w:rFonts w:hint="eastAsia" w:asciiTheme="minorEastAsia" w:hAnsiTheme="minorEastAsia" w:cstheme="minorEastAsia"/>
                <w:sz w:val="21"/>
                <w:szCs w:val="21"/>
              </w:rPr>
              <w:t>详见第一章招标公告、</w:t>
            </w:r>
            <w:r>
              <w:rPr>
                <w:rFonts w:hint="eastAsia" w:asciiTheme="minorEastAsia" w:hAnsiTheme="minorEastAsia" w:cstheme="minorEastAsia"/>
                <w:sz w:val="21"/>
                <w:szCs w:val="21"/>
                <w:lang w:val="en-US" w:eastAsia="zh-CN"/>
              </w:rPr>
              <w:t>第四章发包人要求、</w:t>
            </w:r>
            <w:r>
              <w:rPr>
                <w:rFonts w:hint="eastAsia" w:asciiTheme="minorEastAsia" w:hAnsiTheme="minorEastAsia" w:cstheme="minorEastAsia"/>
                <w:sz w:val="21"/>
                <w:szCs w:val="21"/>
              </w:rPr>
              <w:t>第</w:t>
            </w:r>
            <w:r>
              <w:rPr>
                <w:rFonts w:hint="eastAsia" w:asciiTheme="minorEastAsia" w:hAnsiTheme="minorEastAsia" w:cstheme="minorEastAsia"/>
                <w:sz w:val="21"/>
                <w:szCs w:val="21"/>
                <w:lang w:val="en-US" w:eastAsia="zh-CN"/>
              </w:rPr>
              <w:t>五</w:t>
            </w:r>
            <w:r>
              <w:rPr>
                <w:rFonts w:hint="eastAsia" w:asciiTheme="minorEastAsia" w:hAnsiTheme="minorEastAsia" w:cstheme="minorEastAsia"/>
                <w:sz w:val="21"/>
                <w:szCs w:val="21"/>
              </w:rPr>
              <w:t>章合同条款。</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偏离</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ind w:firstLine="420" w:firstLineChars="200"/>
              <w:rPr>
                <w:rFonts w:asciiTheme="minorEastAsia" w:hAnsiTheme="minorEastAsia" w:cstheme="minorEastAsia"/>
                <w:sz w:val="21"/>
                <w:szCs w:val="21"/>
              </w:rPr>
            </w:pPr>
            <w:r>
              <w:rPr>
                <w:rFonts w:hint="eastAsia" w:asciiTheme="minorEastAsia" w:hAnsiTheme="minorEastAsia" w:cstheme="minorEastAsia"/>
                <w:sz w:val="21"/>
                <w:szCs w:val="21"/>
              </w:rPr>
              <w:t>评标委员会可根据具体情况要求投标人对细微偏差进行澄清，作为评标参考依据。</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构成招标文件的其他材料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招标人发出的澄清、修改及补充文件等。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2.2.1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投标人要求澄清招标文件</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距投标截止时间止5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2.2.2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招标文件澄清、修改及补充发出的形式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u w:val="single"/>
              </w:rPr>
            </w:pPr>
            <w:r>
              <w:rPr>
                <w:rFonts w:hint="eastAsia" w:asciiTheme="minorEastAsia" w:hAnsiTheme="minorEastAsia" w:cstheme="minorEastAsia"/>
                <w:szCs w:val="21"/>
              </w:rPr>
              <w:t>投标截止时间前，招标文件的澄清、修改及补充等将在亳州交通投资控股集团有限公司官网（www.bzjkjt.com）上进行发布。</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2.2.3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投标人确认收到招标文件澄清、修改及补充的时间与形式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招标文件的澄清、修改及补充在亳州交通投资控股集团有限公司官网（www.bzjkjt.com）上的发布时间，视为投标人确认收到招标文件澄清、修改及补充的时间。</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构成投标文件的其他材料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投标人的书面澄清、说明和补正（但不得改变投标文件的实质性内容）。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增值税税金的计算方法</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投标报价应包括国家规定的增值税税金，增值税税金按一般计税方法计算。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报价方式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shd w:val="clear" w:color="auto" w:fill="FFFF00"/>
              </w:rPr>
              <w:t>按费率报价。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3.2.4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最高投标限价</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宋体" w:hAnsi="宋体"/>
                <w:b/>
                <w:kern w:val="0"/>
                <w:szCs w:val="21"/>
              </w:rPr>
              <w:t>本项目按费率报价，超过控制作为无效投标处理。</w:t>
            </w:r>
            <w:r>
              <w:rPr>
                <w:rFonts w:hint="eastAsia" w:asciiTheme="minorEastAsia" w:hAnsiTheme="minorEastAsia" w:cstheme="minorEastAsia"/>
                <w:szCs w:val="21"/>
              </w:rPr>
              <w:t>最高投标限价：详见第一章招标公告。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3.2.5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投标报价的其他要求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投标有效期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投标截止之日起</w:t>
            </w:r>
            <w:r>
              <w:rPr>
                <w:rFonts w:hint="eastAsia" w:asciiTheme="minorEastAsia" w:hAnsiTheme="minorEastAsia" w:cstheme="minorEastAsia"/>
                <w:szCs w:val="21"/>
                <w:u w:val="single"/>
              </w:rPr>
              <w:t>90</w:t>
            </w:r>
            <w:r>
              <w:rPr>
                <w:rFonts w:hint="eastAsia" w:asciiTheme="minorEastAsia" w:hAnsiTheme="minorEastAsia" w:cstheme="minorEastAsia"/>
                <w:szCs w:val="21"/>
              </w:rPr>
              <w:t>天</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color w:val="FF0000"/>
                <w:szCs w:val="21"/>
              </w:rPr>
            </w:pPr>
            <w:r>
              <w:rPr>
                <w:rFonts w:hint="eastAsia" w:asciiTheme="minorEastAsia" w:hAnsiTheme="minorEastAsia" w:cstheme="minorEastAsia"/>
                <w:szCs w:val="21"/>
              </w:rPr>
              <w:t>投标保证金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是否要求投标人递交投标保证金：</w:t>
            </w:r>
          </w:p>
          <w:p>
            <w:pPr>
              <w:wordWrap w:val="0"/>
              <w:spacing w:line="430" w:lineRule="exact"/>
              <w:rPr>
                <w:rFonts w:asciiTheme="minorEastAsia" w:hAnsiTheme="minorEastAsia" w:cstheme="minorEastAsia"/>
                <w:szCs w:val="21"/>
              </w:rPr>
            </w:pPr>
            <w:r>
              <w:rPr>
                <w:rFonts w:hint="eastAsia" w:asciiTheme="minorEastAsia" w:hAnsiTheme="minorEastAsia" w:cstheme="minorEastAsia"/>
                <w:color w:val="000000" w:themeColor="text1"/>
                <w:szCs w:val="21"/>
              </w:rPr>
              <w:t>☑</w:t>
            </w:r>
            <w:r>
              <w:rPr>
                <w:rFonts w:hint="eastAsia" w:asciiTheme="minorEastAsia" w:hAnsiTheme="minorEastAsia" w:cstheme="minorEastAsia"/>
                <w:szCs w:val="21"/>
              </w:rPr>
              <w:t>要求</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投标保证金的形式：银行汇款或转账</w:t>
            </w:r>
          </w:p>
          <w:p>
            <w:pPr>
              <w:wordWrap w:val="0"/>
              <w:spacing w:line="430" w:lineRule="exact"/>
              <w:rPr>
                <w:rFonts w:asciiTheme="minorEastAsia" w:hAnsiTheme="minorEastAsia" w:cstheme="minorEastAsia"/>
                <w:color w:val="FF0000"/>
                <w:szCs w:val="21"/>
              </w:rPr>
            </w:pPr>
            <w:r>
              <w:rPr>
                <w:rFonts w:hint="eastAsia" w:asciiTheme="minorEastAsia" w:hAnsiTheme="minorEastAsia" w:cstheme="minorEastAsia"/>
                <w:szCs w:val="21"/>
                <w:shd w:val="clear" w:color="auto" w:fill="FFFF00"/>
              </w:rPr>
              <w:t>投标保证金的金额：人民币（大写）</w:t>
            </w:r>
            <w:r>
              <w:rPr>
                <w:rFonts w:hint="eastAsia" w:asciiTheme="minorEastAsia" w:hAnsiTheme="minorEastAsia" w:cstheme="minorEastAsia"/>
                <w:b/>
                <w:bCs/>
                <w:szCs w:val="21"/>
                <w:shd w:val="clear" w:color="auto" w:fill="FFFF00"/>
              </w:rPr>
              <w:t>壹万元整</w:t>
            </w:r>
            <w:r>
              <w:rPr>
                <w:rFonts w:hint="eastAsia" w:asciiTheme="minorEastAsia" w:hAnsiTheme="minorEastAsia" w:cstheme="minorEastAsia"/>
                <w:szCs w:val="21"/>
                <w:shd w:val="clear" w:color="auto" w:fill="FFFF00"/>
              </w:rPr>
              <w:t>，（小写）</w:t>
            </w:r>
            <w:r>
              <w:rPr>
                <w:rFonts w:hint="eastAsia" w:asciiTheme="minorEastAsia" w:hAnsiTheme="minorEastAsia" w:cstheme="minorEastAsia"/>
                <w:b/>
                <w:bCs/>
                <w:szCs w:val="21"/>
                <w:shd w:val="clear" w:color="auto" w:fill="FFFF00"/>
              </w:rPr>
              <w:t>10000</w:t>
            </w:r>
            <w:r>
              <w:rPr>
                <w:rFonts w:hint="eastAsia" w:asciiTheme="minorEastAsia" w:hAnsiTheme="minorEastAsia" w:cstheme="minorEastAsia"/>
                <w:szCs w:val="21"/>
                <w:shd w:val="clear" w:color="auto" w:fill="FFFF00"/>
              </w:rPr>
              <w:t>元。</w:t>
            </w:r>
            <w:r>
              <w:rPr>
                <w:rFonts w:hint="eastAsia" w:asciiTheme="minorEastAsia" w:hAnsiTheme="minorEastAsia" w:cstheme="minorEastAsia"/>
                <w:color w:val="FF0000"/>
                <w:szCs w:val="21"/>
              </w:rPr>
              <w:t xml:space="preserve"> </w:t>
            </w:r>
          </w:p>
          <w:p>
            <w:pPr>
              <w:wordWrap w:val="0"/>
              <w:spacing w:line="430" w:lineRule="exact"/>
              <w:rPr>
                <w:rFonts w:asciiTheme="minorEastAsia" w:hAnsiTheme="minorEastAsia" w:cstheme="minorEastAsia"/>
                <w:b/>
                <w:bCs/>
                <w:color w:val="000000" w:themeColor="text1"/>
                <w:szCs w:val="21"/>
              </w:rPr>
            </w:pPr>
            <w:r>
              <w:rPr>
                <w:rFonts w:hint="eastAsia" w:asciiTheme="minorEastAsia" w:hAnsiTheme="minorEastAsia" w:cstheme="minorEastAsia"/>
                <w:b/>
                <w:bCs/>
                <w:color w:val="000000" w:themeColor="text1"/>
                <w:szCs w:val="21"/>
              </w:rPr>
              <w:t>收取投标保证金的账号信息：</w:t>
            </w:r>
          </w:p>
          <w:p>
            <w:pPr>
              <w:wordWrap w:val="0"/>
              <w:spacing w:line="430" w:lineRule="exact"/>
              <w:ind w:firstLine="420" w:firstLineChars="200"/>
              <w:rPr>
                <w:rFonts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开户名称：亳州交通投资控股集团有限公司</w:t>
            </w:r>
          </w:p>
          <w:p>
            <w:pPr>
              <w:wordWrap w:val="0"/>
              <w:spacing w:line="430" w:lineRule="exact"/>
              <w:ind w:firstLine="420" w:firstLineChars="200"/>
              <w:rPr>
                <w:rFonts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开户银行：中国农业银行亳州分行营业部</w:t>
            </w:r>
          </w:p>
          <w:p>
            <w:pPr>
              <w:wordWrap w:val="0"/>
              <w:spacing w:line="430" w:lineRule="exact"/>
              <w:ind w:firstLine="420" w:firstLineChars="200"/>
              <w:rPr>
                <w:rFonts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银行账号：12670801040009482</w:t>
            </w:r>
          </w:p>
          <w:p>
            <w:pPr>
              <w:wordWrap w:val="0"/>
              <w:spacing w:line="430" w:lineRule="exact"/>
              <w:rPr>
                <w:rFonts w:asciiTheme="minorEastAsia" w:hAnsiTheme="minorEastAsia" w:cstheme="minorEastAsia"/>
                <w:color w:val="FF0000"/>
                <w:szCs w:val="21"/>
              </w:rPr>
            </w:pPr>
          </w:p>
          <w:p>
            <w:pPr>
              <w:wordWrap w:val="0"/>
              <w:spacing w:line="430" w:lineRule="exact"/>
              <w:rPr>
                <w:rFonts w:asciiTheme="minorEastAsia" w:hAnsiTheme="minorEastAsia" w:cstheme="minorEastAsia"/>
                <w:b/>
                <w:bCs/>
                <w:color w:val="000000" w:themeColor="text1"/>
                <w:szCs w:val="21"/>
              </w:rPr>
            </w:pPr>
            <w:r>
              <w:rPr>
                <w:rFonts w:hint="eastAsia" w:asciiTheme="minorEastAsia" w:hAnsiTheme="minorEastAsia" w:cstheme="minorEastAsia"/>
                <w:b/>
                <w:bCs/>
                <w:color w:val="000000" w:themeColor="text1"/>
                <w:szCs w:val="21"/>
              </w:rPr>
              <w:t>其他要求：</w:t>
            </w:r>
          </w:p>
          <w:p>
            <w:pPr>
              <w:wordWrap w:val="0"/>
              <w:spacing w:line="430" w:lineRule="exact"/>
              <w:ind w:firstLine="420" w:firstLineChars="200"/>
              <w:rPr>
                <w:rFonts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投标保证金必须在投标截止时间前，由投标人在中华人民共和国境内注册经营的银行基本账户汇入到指定银行账号，确保银行记录可查询，转账或电汇时须在附言处备注“</w:t>
            </w:r>
            <w:r>
              <w:rPr>
                <w:rFonts w:hint="eastAsia" w:asciiTheme="minorEastAsia" w:hAnsiTheme="minorEastAsia" w:cstheme="minorEastAsia"/>
                <w:b/>
                <w:bCs/>
                <w:color w:val="000000" w:themeColor="text1"/>
                <w:szCs w:val="21"/>
              </w:rPr>
              <w:t>BZJK-2020-051号保证金</w:t>
            </w:r>
            <w:r>
              <w:rPr>
                <w:rFonts w:hint="eastAsia" w:asciiTheme="minorEastAsia" w:hAnsiTheme="minorEastAsia" w:cstheme="minorEastAsia"/>
                <w:color w:val="000000" w:themeColor="text1"/>
                <w:szCs w:val="21"/>
              </w:rPr>
              <w:t>”，否则，责任自负。</w:t>
            </w:r>
          </w:p>
          <w:p>
            <w:pPr>
              <w:wordWrap w:val="0"/>
              <w:spacing w:line="430" w:lineRule="exact"/>
              <w:ind w:firstLine="420" w:firstLineChars="200"/>
              <w:rPr>
                <w:rFonts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投标保证金以到账时间为准，未按时汇入或非投标人基本账户汇出或收款银行账号错误无法判定保证金对应关系的，保证金无效；现金存入或以其他方式存入（转入）的视为无效。</w:t>
            </w:r>
          </w:p>
          <w:p>
            <w:pPr>
              <w:wordWrap w:val="0"/>
              <w:spacing w:line="430" w:lineRule="exact"/>
              <w:rPr>
                <w:rFonts w:asciiTheme="minorEastAsia" w:hAnsiTheme="minorEastAsia" w:cstheme="minorEastAsia"/>
                <w:b/>
                <w:bCs/>
                <w:color w:val="000000" w:themeColor="text1"/>
                <w:szCs w:val="21"/>
              </w:rPr>
            </w:pPr>
            <w:r>
              <w:rPr>
                <w:rFonts w:hint="eastAsia" w:asciiTheme="minorEastAsia" w:hAnsiTheme="minorEastAsia" w:cstheme="minorEastAsia"/>
                <w:b/>
                <w:bCs/>
                <w:color w:val="000000" w:themeColor="text1"/>
                <w:szCs w:val="21"/>
              </w:rPr>
              <w:t>投标保证金的退还（无息）：</w:t>
            </w:r>
          </w:p>
          <w:p>
            <w:pPr>
              <w:wordWrap w:val="0"/>
              <w:spacing w:line="430" w:lineRule="exact"/>
              <w:ind w:firstLine="420" w:firstLineChars="200"/>
              <w:rPr>
                <w:rFonts w:asciiTheme="minorEastAsia" w:hAnsiTheme="minorEastAsia" w:cstheme="minorEastAsia"/>
                <w:color w:val="000000" w:themeColor="text1"/>
                <w:szCs w:val="21"/>
              </w:rPr>
            </w:pPr>
            <w:r>
              <w:rPr>
                <w:rFonts w:hint="eastAsia" w:asciiTheme="minorEastAsia" w:hAnsiTheme="minorEastAsia" w:cstheme="minorEastAsia"/>
                <w:color w:val="000000" w:themeColor="text1"/>
                <w:szCs w:val="21"/>
              </w:rPr>
              <w:t>（1）招标不成功（或开标现场拒收投标文件）的，5日内直接退还至该投标人汇出帐户。</w:t>
            </w:r>
          </w:p>
          <w:p>
            <w:pPr>
              <w:wordWrap w:val="0"/>
              <w:spacing w:line="430" w:lineRule="exact"/>
              <w:ind w:firstLine="420" w:firstLineChars="200"/>
              <w:rPr>
                <w:rFonts w:asciiTheme="minorEastAsia" w:hAnsiTheme="minorEastAsia" w:cstheme="minorEastAsia"/>
                <w:color w:val="FF0000"/>
                <w:szCs w:val="21"/>
              </w:rPr>
            </w:pPr>
            <w:r>
              <w:rPr>
                <w:rFonts w:hint="eastAsia" w:asciiTheme="minorEastAsia" w:hAnsiTheme="minorEastAsia" w:cstheme="minorEastAsia"/>
                <w:color w:val="000000" w:themeColor="text1"/>
                <w:szCs w:val="21"/>
              </w:rPr>
              <w:t>（2）中标侯选人公示期满且确定中标人后，未中标人的投标保证金在5日内直接退还至该投标人汇出帐户。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3.4.4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其他不予退还投标保证金的情形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1.中标人无正当理由不与招标人订立合同，在签订合同时向招标人提出附加条件，或者不按照招标文件要求提交履约保证金的，取消其中标资格，投标保证金不予退还；</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2.投标人采用不正当手段（串通投标、弄虚作假、行贿等）骗取中标的；</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3.投标人经评标委员会认定为异常低价竞标或不以中标为目的的投标的；</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4.投标人在投标有效期内撤回投标文件的；</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5.国家法律法规规定的其他情形。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资格审查资料的特殊要求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3.5.3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近年完成的类似项目情况的时间要求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b/>
                <w:bCs/>
                <w:szCs w:val="21"/>
              </w:rPr>
              <w:t>2016年1月1日至今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3.7.3A（2）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投标文件份数及其他要求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b/>
                <w:bCs/>
                <w:color w:val="000000" w:themeColor="text1"/>
                <w:szCs w:val="21"/>
              </w:rPr>
            </w:pPr>
            <w:r>
              <w:rPr>
                <w:rFonts w:hint="eastAsia" w:asciiTheme="minorEastAsia" w:hAnsiTheme="minorEastAsia" w:cstheme="minorEastAsia"/>
                <w:b/>
                <w:bCs/>
                <w:color w:val="000000" w:themeColor="text1"/>
                <w:szCs w:val="21"/>
              </w:rPr>
              <w:t>投标文件份数：正本1份、副本4份</w:t>
            </w:r>
          </w:p>
          <w:p>
            <w:pPr>
              <w:wordWrap w:val="0"/>
              <w:spacing w:line="430" w:lineRule="exact"/>
              <w:rPr>
                <w:rFonts w:asciiTheme="minorEastAsia" w:hAnsiTheme="minorEastAsia" w:cstheme="minorEastAsia"/>
                <w:b/>
                <w:bCs/>
                <w:color w:val="000000" w:themeColor="text1"/>
                <w:szCs w:val="21"/>
              </w:rPr>
            </w:pPr>
            <w:r>
              <w:rPr>
                <w:rFonts w:hint="eastAsia" w:asciiTheme="minorEastAsia" w:hAnsiTheme="minorEastAsia" w:cstheme="minorEastAsia"/>
                <w:b/>
                <w:bCs/>
                <w:color w:val="000000" w:themeColor="text1"/>
                <w:szCs w:val="21"/>
              </w:rPr>
              <w:t>是否要求提交电子版文件：是，以U盘形式提交。</w:t>
            </w:r>
          </w:p>
          <w:p>
            <w:pPr>
              <w:wordWrap w:val="0"/>
              <w:spacing w:line="430" w:lineRule="exact"/>
              <w:rPr>
                <w:rFonts w:asciiTheme="minorEastAsia" w:hAnsiTheme="minorEastAsia" w:cstheme="minorEastAsia"/>
                <w:b/>
                <w:bCs/>
                <w:color w:val="000000" w:themeColor="text1"/>
                <w:szCs w:val="21"/>
              </w:rPr>
            </w:pPr>
            <w:r>
              <w:rPr>
                <w:rFonts w:hint="eastAsia" w:asciiTheme="minorEastAsia" w:hAnsiTheme="minorEastAsia" w:cstheme="minorEastAsia"/>
                <w:b/>
                <w:bCs/>
                <w:color w:val="000000" w:themeColor="text1"/>
                <w:szCs w:val="21"/>
              </w:rPr>
              <w:t>是否要求现场述标：否，</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其他要求：</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（1）所有正本与副本封装在一个密封袋中，且在投标文件封面标明“正本”或“副本”的字样；</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（2）投标文件应按要求密封，密封袋封口加盖投标单位印章；</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（3）投标文件须采用胶粘方式装订，装订应牢固、不易拆散和换页，不得采用活页装订。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3.7.3A（3）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投标文件是否需分册装订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不需要</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3.7.3（B）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投标文件所附证书证件要求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证书的复印件或扫描件，加盖投标人单位公章，装订入投标文件中。</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3.7.3（B）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投标文件签字或盖章要求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1）盖章：除另有规定外，投标文件封面、封套封口处及文件中规定盖章处均须加盖投标人公章（鲜章），不得使用其它如带有“专用章”、“合同章”、“财务章”、“业务章”、下属单位或分支机构印章代替，否则其投标无效；</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（2）签字：除文件另有规定外，均应为手写签字，否则其投标无效。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4.1.2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封套上应载明的信息</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招标人名称：亳州交通投资控股集团有限公司</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开标地址：亳州市谯城区药都大道1289号</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u w:val="single"/>
                <w:lang w:eastAsia="zh-CN"/>
              </w:rPr>
              <w:t>309省道</w:t>
            </w:r>
            <w:r>
              <w:rPr>
                <w:rFonts w:hint="eastAsia" w:asciiTheme="minorEastAsia" w:hAnsiTheme="minorEastAsia" w:cstheme="minorEastAsia"/>
                <w:szCs w:val="21"/>
                <w:u w:val="single"/>
              </w:rPr>
              <w:t>一级公路（亳州段153.2公里）2020年度和2021年度公路养护工程设计项目</w:t>
            </w:r>
            <w:r>
              <w:rPr>
                <w:rFonts w:hint="eastAsia" w:asciiTheme="minorEastAsia" w:hAnsiTheme="minorEastAsia" w:cstheme="minorEastAsia"/>
                <w:szCs w:val="21"/>
              </w:rPr>
              <w:t>投标文件</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招标项目编号：BZJK-2020-051号</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在</w:t>
            </w:r>
            <w:r>
              <w:rPr>
                <w:rFonts w:hint="eastAsia" w:asciiTheme="minorEastAsia" w:hAnsiTheme="minorEastAsia" w:cstheme="minorEastAsia"/>
                <w:szCs w:val="21"/>
                <w:lang w:eastAsia="zh-CN"/>
              </w:rPr>
              <w:t>2020年10月20日9时00分</w:t>
            </w:r>
            <w:r>
              <w:rPr>
                <w:rFonts w:hint="eastAsia" w:asciiTheme="minorEastAsia" w:hAnsiTheme="minorEastAsia" w:cstheme="minorEastAsia"/>
                <w:szCs w:val="21"/>
              </w:rPr>
              <w:t>前不得开启</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4.2.1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lang w:eastAsia="zh-CN"/>
              </w:rPr>
              <w:t>2020年10月20日9时00分</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4.2.2（A）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递交投标文件地点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亳州交通投资控股集团有限公司8楼会议室（药都大道与希夷大道交叉口东北角8楼）</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4.2.3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投标文件是否退还</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heme="minorEastAsia" w:hAnsiTheme="minorEastAsia" w:cstheme="minorEastAsia"/>
                <w:sz w:val="21"/>
                <w:szCs w:val="21"/>
              </w:rPr>
            </w:pPr>
            <w:r>
              <w:rPr>
                <w:rFonts w:hint="eastAsia" w:asciiTheme="minorEastAsia" w:hAnsiTheme="minorEastAsia" w:cstheme="minorEastAsia"/>
                <w:sz w:val="21"/>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5.1（A）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开标时间和地点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开标时间：同投标截止时间</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开标地点：同递交投标文件地点</w:t>
            </w:r>
          </w:p>
          <w:p>
            <w:pPr>
              <w:wordWrap w:val="0"/>
              <w:spacing w:line="430" w:lineRule="exact"/>
              <w:ind w:firstLine="422" w:firstLineChars="200"/>
              <w:rPr>
                <w:rFonts w:asciiTheme="minorEastAsia" w:hAnsiTheme="minorEastAsia" w:cstheme="minorEastAsia"/>
                <w:szCs w:val="21"/>
              </w:rPr>
            </w:pPr>
            <w:r>
              <w:rPr>
                <w:rFonts w:hint="eastAsia" w:asciiTheme="minorEastAsia" w:hAnsiTheme="minorEastAsia" w:cstheme="minorEastAsia"/>
                <w:b/>
                <w:bCs/>
                <w:szCs w:val="21"/>
              </w:rPr>
              <w:t>注：投标人代表应持有效身份证件参加开标会议，有效身份证件是指中华人民共和国第二代居民身份证，其他证明无效。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5.2（4）（A）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开标程序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密封情况检查：由投标人代表、招标平台工作人员、监标人共同检查确认。</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开标顺序：按签到正顺序开标。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6.1.1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评标委员会的组建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评标委员会构成：</w:t>
            </w:r>
            <w:r>
              <w:rPr>
                <w:rFonts w:hint="eastAsia" w:asciiTheme="minorEastAsia" w:hAnsiTheme="minorEastAsia" w:cstheme="minorEastAsia"/>
                <w:szCs w:val="21"/>
                <w:u w:val="single"/>
              </w:rPr>
              <w:t>5</w:t>
            </w:r>
            <w:r>
              <w:rPr>
                <w:rFonts w:hint="eastAsia" w:asciiTheme="minorEastAsia" w:hAnsiTheme="minorEastAsia" w:cstheme="minorEastAsia"/>
                <w:szCs w:val="21"/>
              </w:rPr>
              <w:t>人，其中招标人代表</w:t>
            </w:r>
            <w:r>
              <w:rPr>
                <w:rFonts w:hint="eastAsia" w:asciiTheme="minorEastAsia" w:hAnsiTheme="minorEastAsia" w:cstheme="minorEastAsia"/>
                <w:szCs w:val="21"/>
                <w:u w:val="single"/>
              </w:rPr>
              <w:t>1</w:t>
            </w:r>
            <w:r>
              <w:rPr>
                <w:rFonts w:hint="eastAsia" w:asciiTheme="minorEastAsia" w:hAnsiTheme="minorEastAsia" w:cstheme="minorEastAsia"/>
                <w:szCs w:val="21"/>
              </w:rPr>
              <w:t>人，专家</w:t>
            </w:r>
            <w:r>
              <w:rPr>
                <w:rFonts w:hint="eastAsia" w:asciiTheme="minorEastAsia" w:hAnsiTheme="minorEastAsia" w:cstheme="minorEastAsia"/>
                <w:szCs w:val="21"/>
                <w:u w:val="single"/>
              </w:rPr>
              <w:t>4</w:t>
            </w:r>
            <w:r>
              <w:rPr>
                <w:rFonts w:hint="eastAsia" w:asciiTheme="minorEastAsia" w:hAnsiTheme="minorEastAsia" w:cstheme="minorEastAsia"/>
                <w:szCs w:val="21"/>
              </w:rPr>
              <w:t>人；</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评标专家确定方式：按有关规定组建。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6.3.2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评标委员会推荐中标候选人的人数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3人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7.1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中标候选人公示媒介及期限</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公示媒介：亳州交通投资控股集团有限公司官网（www.bzjkjt.com）</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公示期限：3日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7.4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是否授权评标委员会确定中标人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7.6.1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履约保证金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是否要求投标人提交履约保证金：</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☑要求</w:t>
            </w:r>
          </w:p>
          <w:p>
            <w:pPr>
              <w:wordWrap w:val="0"/>
              <w:spacing w:line="430" w:lineRule="exact"/>
              <w:rPr>
                <w:rFonts w:asciiTheme="minorEastAsia" w:hAnsiTheme="minorEastAsia" w:cstheme="minorEastAsia"/>
                <w:szCs w:val="21"/>
                <w:shd w:val="clear" w:color="auto" w:fill="FFFF00"/>
              </w:rPr>
            </w:pPr>
            <w:r>
              <w:rPr>
                <w:rFonts w:hint="eastAsia" w:asciiTheme="minorEastAsia" w:hAnsiTheme="minorEastAsia" w:cstheme="minorEastAsia"/>
                <w:szCs w:val="21"/>
              </w:rPr>
              <w:t>履约保证金金额：</w:t>
            </w:r>
            <w:r>
              <w:rPr>
                <w:rFonts w:hint="eastAsia" w:asciiTheme="minorEastAsia" w:hAnsiTheme="minorEastAsia" w:cstheme="minorEastAsia"/>
                <w:szCs w:val="21"/>
                <w:shd w:val="clear" w:color="auto" w:fill="FFFF00"/>
              </w:rPr>
              <w:t>中标价的10%</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履约保证金的形式：汇款</w:t>
            </w:r>
            <w:r>
              <w:rPr>
                <w:rFonts w:hint="eastAsia" w:asciiTheme="minorEastAsia" w:hAnsiTheme="minorEastAsia" w:cstheme="minorEastAsia"/>
                <w:szCs w:val="21"/>
                <w:lang w:eastAsia="zh-CN"/>
              </w:rPr>
              <w:t>、</w:t>
            </w:r>
            <w:r>
              <w:rPr>
                <w:rFonts w:hint="eastAsia" w:asciiTheme="minorEastAsia" w:hAnsiTheme="minorEastAsia" w:cstheme="minorEastAsia"/>
                <w:szCs w:val="21"/>
              </w:rPr>
              <w:t>转账</w:t>
            </w:r>
            <w:r>
              <w:rPr>
                <w:rFonts w:hint="eastAsia" w:asciiTheme="minorEastAsia" w:hAnsiTheme="minorEastAsia" w:cstheme="minorEastAsia"/>
                <w:szCs w:val="21"/>
                <w:lang w:val="en-US" w:eastAsia="zh-CN"/>
              </w:rPr>
              <w:t>或银行保函</w:t>
            </w:r>
            <w:r>
              <w:rPr>
                <w:rFonts w:hint="eastAsia" w:asciiTheme="minorEastAsia" w:hAnsiTheme="minorEastAsia" w:cstheme="minorEastAsia"/>
                <w:szCs w:val="21"/>
              </w:rPr>
              <w:t>。中标后，投标保证金自动转为履约保证金，履约保证金不足部分由中标人在收到中标通知书15日内从其基本账户开户行银行汇款、转账或开具保函，否则招标人有权选择第二中标候选人中标。中标人履约结束、验收合格后，无息退付履约保证金。</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履约保证金的退还：无违约行为发生或违约行为已处理的情况下，设计成果验收合格后10个工作日内退还全部履约保证金（无息）。</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9</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是否采用电子招标投标</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10</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需要补充的其他内容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（1）投标人准备和参加投标活动发生的费用自理；</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（2）所有计量均采用中华人民共和国法定计量单位；</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（3）构成本招标文件的各个组成文件应互为解释，互为说明。如有不明确或不一致的，由招标人负责解释。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w:t>
            </w:r>
          </w:p>
        </w:tc>
        <w:tc>
          <w:tcPr>
            <w:tcW w:w="8119" w:type="dxa"/>
            <w:gridSpan w:val="2"/>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w:t>
            </w:r>
          </w:p>
        </w:tc>
      </w:tr>
    </w:tbl>
    <w:p>
      <w:pPr>
        <w:spacing w:line="480" w:lineRule="exact"/>
        <w:rPr>
          <w:rFonts w:asciiTheme="majorEastAsia" w:hAnsiTheme="majorEastAsia" w:eastAsiaTheme="majorEastAsia" w:cstheme="majorEastAsia"/>
          <w:b/>
          <w:bCs/>
          <w:sz w:val="28"/>
          <w:szCs w:val="28"/>
        </w:rPr>
      </w:pPr>
    </w:p>
    <w:p>
      <w:pPr>
        <w:wordWrap w:val="0"/>
        <w:spacing w:line="400" w:lineRule="exact"/>
        <w:ind w:firstLine="420" w:firstLineChars="200"/>
        <w:rPr>
          <w:rFonts w:ascii="Times New Roman" w:hAnsi="Times New Roman" w:cs="Times New Roman"/>
          <w:color w:val="000000"/>
        </w:rPr>
      </w:pPr>
      <w:r>
        <w:rPr>
          <w:rFonts w:hint="eastAsia" w:ascii="黑体" w:hAnsi="黑体" w:eastAsia="黑体" w:cs="黑体"/>
          <w:color w:val="000000"/>
        </w:rPr>
        <w:t>说明：</w:t>
      </w:r>
      <w:r>
        <w:rPr>
          <w:rFonts w:ascii="Times New Roman" w:hAnsi="Times New Roman" w:cs="Times New Roman"/>
          <w:color w:val="000000"/>
        </w:rPr>
        <w:t>说明：投标人须知细则参照国家发改委印发的《标准招标文件》执行。招标文件相关内容与投标人须知前附表不一致的，以投标人须知前附表为准。</w:t>
      </w:r>
    </w:p>
    <w:p>
      <w:pPr>
        <w:wordWrap w:val="0"/>
        <w:spacing w:line="520"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br w:type="page"/>
      </w:r>
    </w:p>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第三章 评标办法</w:t>
      </w:r>
      <w:r>
        <w:rPr>
          <w:rFonts w:hint="eastAsia" w:asciiTheme="majorEastAsia" w:hAnsiTheme="majorEastAsia" w:eastAsiaTheme="majorEastAsia" w:cstheme="majorEastAsia"/>
          <w:b/>
          <w:bCs/>
          <w:sz w:val="32"/>
          <w:szCs w:val="32"/>
        </w:rPr>
        <w:t>（综合评估法）</w:t>
      </w:r>
    </w:p>
    <w:p>
      <w:pPr>
        <w:spacing w:line="480" w:lineRule="exact"/>
        <w:jc w:val="center"/>
        <w:rPr>
          <w:rFonts w:asciiTheme="majorEastAsia" w:hAnsiTheme="majorEastAsia" w:eastAsiaTheme="majorEastAsia" w:cstheme="majorEastAsia"/>
          <w:b/>
          <w:bCs/>
          <w:sz w:val="28"/>
          <w:szCs w:val="28"/>
        </w:rPr>
      </w:pPr>
    </w:p>
    <w:p>
      <w:pPr>
        <w:spacing w:line="48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评标办法前附表</w:t>
      </w:r>
    </w:p>
    <w:tbl>
      <w:tblPr>
        <w:tblStyle w:val="14"/>
        <w:tblW w:w="915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547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b/>
                <w:kern w:val="0"/>
                <w:szCs w:val="21"/>
              </w:rPr>
            </w:pPr>
            <w:r>
              <w:rPr>
                <w:rFonts w:hint="eastAsia" w:asciiTheme="minorEastAsia" w:hAnsiTheme="minorEastAsia" w:cstheme="minorEastAsia"/>
                <w:b/>
                <w:kern w:val="0"/>
                <w:szCs w:val="21"/>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b/>
                <w:kern w:val="0"/>
                <w:szCs w:val="21"/>
              </w:rPr>
            </w:pPr>
            <w:r>
              <w:rPr>
                <w:rFonts w:hint="eastAsia" w:asciiTheme="minorEastAsia" w:hAnsiTheme="minorEastAsia" w:cstheme="minorEastAsia"/>
                <w:b/>
                <w:kern w:val="0"/>
                <w:szCs w:val="21"/>
              </w:rPr>
              <w:t>评审因素</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b/>
                <w:kern w:val="0"/>
                <w:szCs w:val="21"/>
              </w:rPr>
            </w:pPr>
            <w:r>
              <w:rPr>
                <w:rFonts w:hint="eastAsia" w:asciiTheme="minorEastAsia" w:hAnsiTheme="minorEastAsia" w:cstheme="minorEastAsia"/>
                <w:b/>
                <w:kern w:val="0"/>
                <w:szCs w:val="21"/>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2.1.1</w:t>
            </w:r>
          </w:p>
        </w:tc>
        <w:tc>
          <w:tcPr>
            <w:tcW w:w="850" w:type="dxa"/>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形式评审标准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投标人名称</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投标函签字盖章</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投标文件格式</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符合第七章“投标文件格式”的要求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报价唯一</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2.1.2</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资格评审标准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营业执照</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资质要求</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业绩要求</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项目人员</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2.1.3</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响应性评审标准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投标报价</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top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投标内容</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lang w:val="en-US" w:eastAsia="zh-CN"/>
              </w:rPr>
              <w:t>服务</w:t>
            </w:r>
            <w:r>
              <w:rPr>
                <w:rFonts w:hint="eastAsia" w:asciiTheme="minorEastAsia" w:hAnsiTheme="minorEastAsia" w:cstheme="minorEastAsia"/>
                <w:kern w:val="0"/>
                <w:sz w:val="28"/>
                <w:szCs w:val="28"/>
              </w:rPr>
              <w:t>期</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质量标准</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投标有效期</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投标保证金</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其他要求</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条款内容</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1</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分值构成</w:t>
            </w:r>
          </w:p>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（总分100分）</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投标报价部分：</w:t>
            </w:r>
            <w:r>
              <w:rPr>
                <w:rFonts w:asciiTheme="minorEastAsia" w:hAnsiTheme="minorEastAsia" w:cstheme="minorEastAsia"/>
                <w:kern w:val="0"/>
                <w:sz w:val="28"/>
                <w:szCs w:val="28"/>
                <w:u w:val="single"/>
              </w:rPr>
              <w:t>4</w:t>
            </w:r>
            <w:r>
              <w:rPr>
                <w:rFonts w:hint="eastAsia" w:asciiTheme="minorEastAsia" w:hAnsiTheme="minorEastAsia" w:cstheme="minorEastAsia"/>
                <w:kern w:val="0"/>
                <w:sz w:val="28"/>
                <w:szCs w:val="28"/>
                <w:u w:val="single"/>
              </w:rPr>
              <w:t>0</w:t>
            </w:r>
            <w:r>
              <w:rPr>
                <w:rFonts w:hint="eastAsia" w:asciiTheme="minorEastAsia" w:hAnsiTheme="minorEastAsia" w:cstheme="minorEastAsia"/>
                <w:kern w:val="0"/>
                <w:sz w:val="28"/>
                <w:szCs w:val="28"/>
              </w:rPr>
              <w:t>分</w:t>
            </w:r>
          </w:p>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服务方案：</w:t>
            </w:r>
            <w:r>
              <w:rPr>
                <w:rFonts w:asciiTheme="minorEastAsia" w:hAnsiTheme="minorEastAsia" w:cstheme="minorEastAsia"/>
                <w:kern w:val="0"/>
                <w:sz w:val="28"/>
                <w:szCs w:val="28"/>
                <w:u w:val="single"/>
              </w:rPr>
              <w:t>2</w:t>
            </w:r>
            <w:r>
              <w:rPr>
                <w:rFonts w:hint="eastAsia" w:asciiTheme="minorEastAsia" w:hAnsiTheme="minorEastAsia" w:cstheme="minorEastAsia"/>
                <w:kern w:val="0"/>
                <w:sz w:val="28"/>
                <w:szCs w:val="28"/>
                <w:u w:val="single"/>
              </w:rPr>
              <w:t>0</w:t>
            </w:r>
            <w:r>
              <w:rPr>
                <w:rFonts w:hint="eastAsia" w:asciiTheme="minorEastAsia" w:hAnsiTheme="minorEastAsia" w:cstheme="minorEastAsia"/>
                <w:kern w:val="0"/>
                <w:sz w:val="28"/>
                <w:szCs w:val="28"/>
              </w:rPr>
              <w:t>分</w:t>
            </w:r>
          </w:p>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企业荣誉部分：</w:t>
            </w:r>
            <w:r>
              <w:rPr>
                <w:rFonts w:hint="eastAsia" w:asciiTheme="minorEastAsia" w:hAnsiTheme="minorEastAsia" w:cstheme="minorEastAsia"/>
                <w:kern w:val="0"/>
                <w:sz w:val="28"/>
                <w:szCs w:val="28"/>
                <w:u w:val="single"/>
              </w:rPr>
              <w:t>10</w:t>
            </w:r>
            <w:r>
              <w:rPr>
                <w:rFonts w:hint="eastAsia" w:asciiTheme="minorEastAsia" w:hAnsiTheme="minorEastAsia" w:cstheme="minorEastAsia"/>
                <w:kern w:val="0"/>
                <w:sz w:val="28"/>
                <w:szCs w:val="28"/>
              </w:rPr>
              <w:t>分</w:t>
            </w:r>
          </w:p>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企业业绩部分：</w:t>
            </w:r>
            <w:r>
              <w:rPr>
                <w:rFonts w:hint="eastAsia" w:asciiTheme="minorEastAsia" w:hAnsiTheme="minorEastAsia" w:cstheme="minorEastAsia"/>
                <w:kern w:val="0"/>
                <w:sz w:val="28"/>
                <w:szCs w:val="28"/>
                <w:u w:val="single"/>
              </w:rPr>
              <w:t>20</w:t>
            </w:r>
            <w:r>
              <w:rPr>
                <w:rFonts w:hint="eastAsia" w:asciiTheme="minorEastAsia" w:hAnsiTheme="minorEastAsia" w:cstheme="minorEastAsia"/>
                <w:kern w:val="0"/>
                <w:sz w:val="28"/>
                <w:szCs w:val="28"/>
              </w:rPr>
              <w:t>分</w:t>
            </w:r>
          </w:p>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人员配备：</w:t>
            </w:r>
            <w:r>
              <w:rPr>
                <w:rFonts w:hint="eastAsia" w:asciiTheme="minorEastAsia" w:hAnsiTheme="minorEastAsia" w:cstheme="minorEastAsia"/>
                <w:kern w:val="0"/>
                <w:sz w:val="28"/>
                <w:szCs w:val="28"/>
                <w:u w:val="single"/>
              </w:rPr>
              <w:t>10</w:t>
            </w:r>
            <w:r>
              <w:rPr>
                <w:rFonts w:hint="eastAsia" w:asciiTheme="minorEastAsia" w:hAnsiTheme="minorEastAsia" w:cstheme="minorEastAsia"/>
                <w:kern w:val="0"/>
                <w:sz w:val="28"/>
                <w:szCs w:val="28"/>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评分因素</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1</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投标报价（</w:t>
            </w:r>
            <w:r>
              <w:rPr>
                <w:rFonts w:asciiTheme="minorEastAsia" w:hAnsiTheme="minorEastAsia" w:cstheme="minorEastAsia"/>
                <w:kern w:val="0"/>
                <w:sz w:val="28"/>
                <w:szCs w:val="28"/>
              </w:rPr>
              <w:t>4</w:t>
            </w:r>
            <w:r>
              <w:rPr>
                <w:rFonts w:hint="eastAsia" w:asciiTheme="minorEastAsia" w:hAnsiTheme="minorEastAsia" w:cstheme="minorEastAsia"/>
                <w:kern w:val="0"/>
                <w:sz w:val="28"/>
                <w:szCs w:val="28"/>
              </w:rPr>
              <w:t>0分）</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取所有有效投标人报价的算术平均数作为评标基准价。</w:t>
            </w:r>
          </w:p>
          <w:p>
            <w:p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在所有有效投标报价中，投标报价与评标基准价相比，投标报价比评标基准价每低于（小于）1%扣</w:t>
            </w:r>
            <w:r>
              <w:rPr>
                <w:rFonts w:hint="eastAsia" w:asciiTheme="minorEastAsia" w:hAnsiTheme="minorEastAsia" w:cstheme="minorEastAsia"/>
                <w:kern w:val="0"/>
                <w:sz w:val="28"/>
                <w:szCs w:val="28"/>
                <w:lang w:val="en-US" w:eastAsia="zh-CN"/>
              </w:rPr>
              <w:t>0.2</w:t>
            </w:r>
            <w:r>
              <w:rPr>
                <w:rFonts w:hint="eastAsia" w:asciiTheme="minorEastAsia" w:hAnsiTheme="minorEastAsia" w:cstheme="minorEastAsia"/>
                <w:kern w:val="0"/>
                <w:sz w:val="28"/>
                <w:szCs w:val="28"/>
              </w:rPr>
              <w:t>分，每高于（大于）1%扣</w:t>
            </w:r>
            <w:r>
              <w:rPr>
                <w:rFonts w:hint="eastAsia" w:asciiTheme="minorEastAsia" w:hAnsiTheme="minorEastAsia" w:cstheme="minorEastAsia"/>
                <w:kern w:val="0"/>
                <w:sz w:val="28"/>
                <w:szCs w:val="28"/>
                <w:lang w:val="en-US" w:eastAsia="zh-CN"/>
              </w:rPr>
              <w:t>0.4</w:t>
            </w:r>
            <w:r>
              <w:rPr>
                <w:rFonts w:hint="eastAsia" w:asciiTheme="minorEastAsia" w:hAnsiTheme="minorEastAsia" w:cstheme="minorEastAsia"/>
                <w:kern w:val="0"/>
                <w:sz w:val="28"/>
                <w:szCs w:val="28"/>
              </w:rPr>
              <w:t>分，不足1%部分按直线插入法同比率计算得分（四舍五入保留两位小数）。最多扣</w:t>
            </w:r>
            <w:r>
              <w:rPr>
                <w:rFonts w:asciiTheme="minorEastAsia" w:hAnsiTheme="minorEastAsia" w:cstheme="minorEastAsia"/>
                <w:kern w:val="0"/>
                <w:sz w:val="28"/>
                <w:szCs w:val="28"/>
              </w:rPr>
              <w:t>3</w:t>
            </w:r>
            <w:r>
              <w:rPr>
                <w:rFonts w:hint="eastAsia" w:asciiTheme="minorEastAsia" w:hAnsiTheme="minorEastAsia" w:cstheme="minorEastAsia"/>
                <w:kern w:val="0"/>
                <w:sz w:val="28"/>
                <w:szCs w:val="28"/>
              </w:rPr>
              <w:t>0分。</w:t>
            </w:r>
          </w:p>
          <w:p>
            <w:p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若评标委员会认定该投标报价低于成本价的，可以否决其投标。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2</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服务方案（</w:t>
            </w:r>
            <w:r>
              <w:rPr>
                <w:rFonts w:asciiTheme="minorEastAsia" w:hAnsiTheme="minorEastAsia" w:cstheme="minorEastAsia"/>
                <w:kern w:val="0"/>
                <w:sz w:val="28"/>
                <w:szCs w:val="28"/>
              </w:rPr>
              <w:t>2</w:t>
            </w:r>
            <w:r>
              <w:rPr>
                <w:rFonts w:hint="eastAsia" w:asciiTheme="minorEastAsia" w:hAnsiTheme="minorEastAsia" w:cstheme="minorEastAsia"/>
                <w:kern w:val="0"/>
                <w:sz w:val="28"/>
                <w:szCs w:val="28"/>
              </w:rPr>
              <w:t>0分）</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1.对本项目是否理解透彻，总设计思路是否明确，是否能够满足本工程设计要求。（</w:t>
            </w:r>
            <w:r>
              <w:rPr>
                <w:rFonts w:asciiTheme="minorEastAsia" w:hAnsiTheme="minorEastAsia" w:cstheme="minorEastAsia"/>
                <w:kern w:val="0"/>
                <w:sz w:val="28"/>
                <w:szCs w:val="28"/>
              </w:rPr>
              <w:t>4</w:t>
            </w:r>
            <w:r>
              <w:rPr>
                <w:rFonts w:hint="eastAsia" w:asciiTheme="minorEastAsia" w:hAnsiTheme="minorEastAsia" w:cstheme="minorEastAsia"/>
                <w:kern w:val="0"/>
                <w:sz w:val="28"/>
                <w:szCs w:val="28"/>
              </w:rPr>
              <w:t>分）</w:t>
            </w:r>
          </w:p>
          <w:p>
            <w:p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本项可打0～</w:t>
            </w:r>
            <w:r>
              <w:rPr>
                <w:rFonts w:asciiTheme="minorEastAsia" w:hAnsiTheme="minorEastAsia" w:cstheme="minorEastAsia"/>
                <w:kern w:val="0"/>
                <w:sz w:val="28"/>
                <w:szCs w:val="28"/>
              </w:rPr>
              <w:t>4</w:t>
            </w:r>
            <w:r>
              <w:rPr>
                <w:rFonts w:hint="eastAsia" w:asciiTheme="minorEastAsia" w:hAnsiTheme="minorEastAsia" w:cstheme="minorEastAsia"/>
                <w:kern w:val="0"/>
                <w:sz w:val="28"/>
                <w:szCs w:val="28"/>
              </w:rPr>
              <w:t>分，最高得</w:t>
            </w:r>
            <w:r>
              <w:rPr>
                <w:rFonts w:asciiTheme="minorEastAsia" w:hAnsiTheme="minorEastAsia" w:cstheme="minorEastAsia"/>
                <w:kern w:val="0"/>
                <w:sz w:val="28"/>
                <w:szCs w:val="28"/>
              </w:rPr>
              <w:t>4</w:t>
            </w:r>
            <w:r>
              <w:rPr>
                <w:rFonts w:hint="eastAsia" w:asciiTheme="minorEastAsia" w:hAnsiTheme="minorEastAsia" w:cstheme="minorEastAsia"/>
                <w:kern w:val="0"/>
                <w:sz w:val="28"/>
                <w:szCs w:val="28"/>
              </w:rPr>
              <w:t>分。</w:t>
            </w:r>
          </w:p>
          <w:p>
            <w:p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2.对本招标项目设计的特点、关键技术问题的认识及其对策措施方案。（</w:t>
            </w:r>
            <w:r>
              <w:rPr>
                <w:rFonts w:asciiTheme="minorEastAsia" w:hAnsiTheme="minorEastAsia" w:cstheme="minorEastAsia"/>
                <w:kern w:val="0"/>
                <w:sz w:val="28"/>
                <w:szCs w:val="28"/>
              </w:rPr>
              <w:t>4</w:t>
            </w:r>
            <w:r>
              <w:rPr>
                <w:rFonts w:hint="eastAsia" w:asciiTheme="minorEastAsia" w:hAnsiTheme="minorEastAsia" w:cstheme="minorEastAsia"/>
                <w:kern w:val="0"/>
                <w:sz w:val="28"/>
                <w:szCs w:val="28"/>
              </w:rPr>
              <w:t>分）</w:t>
            </w:r>
          </w:p>
          <w:p>
            <w:p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本项可打0～</w:t>
            </w:r>
            <w:r>
              <w:rPr>
                <w:rFonts w:asciiTheme="minorEastAsia" w:hAnsiTheme="minorEastAsia" w:cstheme="minorEastAsia"/>
                <w:kern w:val="0"/>
                <w:sz w:val="28"/>
                <w:szCs w:val="28"/>
              </w:rPr>
              <w:t>4</w:t>
            </w:r>
            <w:r>
              <w:rPr>
                <w:rFonts w:hint="eastAsia" w:asciiTheme="minorEastAsia" w:hAnsiTheme="minorEastAsia" w:cstheme="minorEastAsia"/>
                <w:kern w:val="0"/>
                <w:sz w:val="28"/>
                <w:szCs w:val="28"/>
              </w:rPr>
              <w:t>分，最高得</w:t>
            </w:r>
            <w:r>
              <w:rPr>
                <w:rFonts w:asciiTheme="minorEastAsia" w:hAnsiTheme="minorEastAsia" w:cstheme="minorEastAsia"/>
                <w:kern w:val="0"/>
                <w:sz w:val="28"/>
                <w:szCs w:val="28"/>
              </w:rPr>
              <w:t>4</w:t>
            </w:r>
            <w:r>
              <w:rPr>
                <w:rFonts w:hint="eastAsia" w:asciiTheme="minorEastAsia" w:hAnsiTheme="minorEastAsia" w:cstheme="minorEastAsia"/>
                <w:kern w:val="0"/>
                <w:sz w:val="28"/>
                <w:szCs w:val="28"/>
              </w:rPr>
              <w:t>分。</w:t>
            </w:r>
          </w:p>
          <w:p>
            <w:p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3.设计工作量及计划安排（</w:t>
            </w:r>
            <w:r>
              <w:rPr>
                <w:rFonts w:asciiTheme="minorEastAsia" w:hAnsiTheme="minorEastAsia" w:cstheme="minorEastAsia"/>
                <w:kern w:val="0"/>
                <w:sz w:val="28"/>
                <w:szCs w:val="28"/>
              </w:rPr>
              <w:t>4</w:t>
            </w:r>
            <w:r>
              <w:rPr>
                <w:rFonts w:hint="eastAsia" w:asciiTheme="minorEastAsia" w:hAnsiTheme="minorEastAsia" w:cstheme="minorEastAsia"/>
                <w:kern w:val="0"/>
                <w:sz w:val="28"/>
                <w:szCs w:val="28"/>
              </w:rPr>
              <w:t>分）</w:t>
            </w:r>
          </w:p>
          <w:p>
            <w:p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本项可打0～</w:t>
            </w:r>
            <w:r>
              <w:rPr>
                <w:rFonts w:asciiTheme="minorEastAsia" w:hAnsiTheme="minorEastAsia" w:cstheme="minorEastAsia"/>
                <w:kern w:val="0"/>
                <w:sz w:val="28"/>
                <w:szCs w:val="28"/>
              </w:rPr>
              <w:t>4</w:t>
            </w:r>
            <w:r>
              <w:rPr>
                <w:rFonts w:hint="eastAsia" w:asciiTheme="minorEastAsia" w:hAnsiTheme="minorEastAsia" w:cstheme="minorEastAsia"/>
                <w:kern w:val="0"/>
                <w:sz w:val="28"/>
                <w:szCs w:val="28"/>
              </w:rPr>
              <w:t>分，最高得</w:t>
            </w:r>
            <w:r>
              <w:rPr>
                <w:rFonts w:asciiTheme="minorEastAsia" w:hAnsiTheme="minorEastAsia" w:cstheme="minorEastAsia"/>
                <w:kern w:val="0"/>
                <w:sz w:val="28"/>
                <w:szCs w:val="28"/>
              </w:rPr>
              <w:t>4</w:t>
            </w:r>
            <w:r>
              <w:rPr>
                <w:rFonts w:hint="eastAsia" w:asciiTheme="minorEastAsia" w:hAnsiTheme="minorEastAsia" w:cstheme="minorEastAsia"/>
                <w:kern w:val="0"/>
                <w:sz w:val="28"/>
                <w:szCs w:val="28"/>
              </w:rPr>
              <w:t>分。</w:t>
            </w:r>
          </w:p>
          <w:p>
            <w:p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4.设计的质量保证措施、进度保证措施（</w:t>
            </w:r>
            <w:r>
              <w:rPr>
                <w:rFonts w:asciiTheme="minorEastAsia" w:hAnsiTheme="minorEastAsia" w:cstheme="minorEastAsia"/>
                <w:kern w:val="0"/>
                <w:sz w:val="28"/>
                <w:szCs w:val="28"/>
              </w:rPr>
              <w:t>4</w:t>
            </w:r>
            <w:r>
              <w:rPr>
                <w:rFonts w:hint="eastAsia" w:asciiTheme="minorEastAsia" w:hAnsiTheme="minorEastAsia" w:cstheme="minorEastAsia"/>
                <w:kern w:val="0"/>
                <w:sz w:val="28"/>
                <w:szCs w:val="28"/>
              </w:rPr>
              <w:t>分）</w:t>
            </w:r>
          </w:p>
          <w:p>
            <w:p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本项可打0～</w:t>
            </w:r>
            <w:r>
              <w:rPr>
                <w:rFonts w:asciiTheme="minorEastAsia" w:hAnsiTheme="minorEastAsia" w:cstheme="minorEastAsia"/>
                <w:kern w:val="0"/>
                <w:sz w:val="28"/>
                <w:szCs w:val="28"/>
              </w:rPr>
              <w:t>4</w:t>
            </w:r>
            <w:r>
              <w:rPr>
                <w:rFonts w:hint="eastAsia" w:asciiTheme="minorEastAsia" w:hAnsiTheme="minorEastAsia" w:cstheme="minorEastAsia"/>
                <w:kern w:val="0"/>
                <w:sz w:val="28"/>
                <w:szCs w:val="28"/>
              </w:rPr>
              <w:t>分，最高得</w:t>
            </w:r>
            <w:r>
              <w:rPr>
                <w:rFonts w:asciiTheme="minorEastAsia" w:hAnsiTheme="minorEastAsia" w:cstheme="minorEastAsia"/>
                <w:kern w:val="0"/>
                <w:sz w:val="28"/>
                <w:szCs w:val="28"/>
              </w:rPr>
              <w:t>4</w:t>
            </w:r>
            <w:r>
              <w:rPr>
                <w:rFonts w:hint="eastAsia" w:asciiTheme="minorEastAsia" w:hAnsiTheme="minorEastAsia" w:cstheme="minorEastAsia"/>
                <w:kern w:val="0"/>
                <w:sz w:val="28"/>
                <w:szCs w:val="28"/>
              </w:rPr>
              <w:t>分。</w:t>
            </w:r>
          </w:p>
          <w:p>
            <w:p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5.后续服务措施是否完善，是否能够满足本工程设计要求（</w:t>
            </w:r>
            <w:r>
              <w:rPr>
                <w:rFonts w:asciiTheme="minorEastAsia" w:hAnsiTheme="minorEastAsia" w:cstheme="minorEastAsia"/>
                <w:kern w:val="0"/>
                <w:sz w:val="28"/>
                <w:szCs w:val="28"/>
              </w:rPr>
              <w:t>4</w:t>
            </w:r>
            <w:r>
              <w:rPr>
                <w:rFonts w:hint="eastAsia" w:asciiTheme="minorEastAsia" w:hAnsiTheme="minorEastAsia" w:cstheme="minorEastAsia"/>
                <w:kern w:val="0"/>
                <w:sz w:val="28"/>
                <w:szCs w:val="28"/>
              </w:rPr>
              <w:t>分）</w:t>
            </w:r>
          </w:p>
          <w:p>
            <w:pPr>
              <w:wordWrap w:val="0"/>
              <w:spacing w:line="440" w:lineRule="exact"/>
              <w:ind w:firstLine="560" w:firstLineChars="200"/>
              <w:rPr>
                <w:rFonts w:asciiTheme="minorEastAsia" w:hAnsiTheme="minorEastAsia" w:cstheme="minorEastAsia"/>
                <w:kern w:val="0"/>
                <w:sz w:val="28"/>
                <w:szCs w:val="28"/>
              </w:rPr>
            </w:pPr>
            <w:r>
              <w:rPr>
                <w:rFonts w:asciiTheme="minorEastAsia" w:hAnsiTheme="minorEastAsia" w:cstheme="minorEastAsia"/>
                <w:kern w:val="0"/>
                <w:sz w:val="28"/>
                <w:szCs w:val="28"/>
              </w:rPr>
              <w:t>本项可打0～4分，最高得4分。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3</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企业荣誉（10分）</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201</w:t>
            </w:r>
            <w:r>
              <w:rPr>
                <w:rFonts w:asciiTheme="minorEastAsia" w:hAnsiTheme="minorEastAsia" w:cstheme="minorEastAsia"/>
                <w:kern w:val="0"/>
                <w:sz w:val="28"/>
                <w:szCs w:val="28"/>
              </w:rPr>
              <w:t>6</w:t>
            </w:r>
            <w:r>
              <w:rPr>
                <w:rFonts w:hint="eastAsia" w:asciiTheme="minorEastAsia" w:hAnsiTheme="minorEastAsia" w:cstheme="minorEastAsia"/>
                <w:kern w:val="0"/>
                <w:sz w:val="28"/>
                <w:szCs w:val="28"/>
              </w:rPr>
              <w:t>年至今获得公路工程优秀勘察奖或优秀设计奖（10分）</w:t>
            </w:r>
          </w:p>
          <w:p>
            <w:p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每提供一个奖项得5分，最高10分。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12" w:hRule="atLeast"/>
        </w:trPr>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4</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企业业绩（20分）</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除招标公告门槛业绩外，投标人每额外提供一个一级公路及以上养护设计项目业绩，得4分，本项满分20分，多分不计。业绩合同以合同签订时间为准。投标人须提供业绩合同复印件，加盖单位公章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5</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人员配备（10分）</w:t>
            </w:r>
          </w:p>
        </w:tc>
        <w:tc>
          <w:tcPr>
            <w:tcW w:w="5471" w:type="dxa"/>
            <w:tcBorders>
              <w:top w:val="single" w:color="auto" w:sz="4" w:space="0"/>
              <w:left w:val="single" w:color="auto" w:sz="4" w:space="0"/>
              <w:bottom w:val="single" w:color="auto" w:sz="4" w:space="0"/>
              <w:right w:val="single" w:color="auto" w:sz="4" w:space="0"/>
            </w:tcBorders>
            <w:vAlign w:val="center"/>
          </w:tcPr>
          <w:p>
            <w:pPr>
              <w:numPr>
                <w:ilvl w:val="0"/>
                <w:numId w:val="1"/>
              </w:num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总设计负责人1名，具有教授级职称证书的，得4分，没有不得分；</w:t>
            </w:r>
          </w:p>
          <w:p>
            <w:pPr>
              <w:numPr>
                <w:ilvl w:val="0"/>
                <w:numId w:val="1"/>
              </w:num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桥梁负责人1名，具有一级注册结构工程师证书的</w:t>
            </w:r>
            <w:r>
              <w:rPr>
                <w:rFonts w:asciiTheme="minorEastAsia" w:hAnsiTheme="minorEastAsia" w:cstheme="minorEastAsia"/>
                <w:kern w:val="0"/>
                <w:sz w:val="28"/>
                <w:szCs w:val="28"/>
              </w:rPr>
              <w:t>,</w:t>
            </w:r>
            <w:r>
              <w:rPr>
                <w:rFonts w:hint="eastAsia" w:asciiTheme="minorEastAsia" w:hAnsiTheme="minorEastAsia" w:cstheme="minorEastAsia"/>
                <w:kern w:val="0"/>
                <w:sz w:val="28"/>
                <w:szCs w:val="28"/>
              </w:rPr>
              <w:t>得2分，没有不得分；</w:t>
            </w:r>
          </w:p>
          <w:p>
            <w:pPr>
              <w:numPr>
                <w:ilvl w:val="0"/>
                <w:numId w:val="1"/>
              </w:num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道路负责人1名，具有高级工程师证书的，得2分，没有不得分；</w:t>
            </w:r>
          </w:p>
          <w:p>
            <w:pPr>
              <w:numPr>
                <w:ilvl w:val="0"/>
                <w:numId w:val="1"/>
              </w:num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公路生命防护工程负责人1名，具有高级工程师证书的，得2分，没有不得分；</w:t>
            </w:r>
          </w:p>
          <w:p>
            <w:p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注：须提供证书复印件加盖单位公章放入投标文件中。</w:t>
            </w:r>
          </w:p>
          <w:p>
            <w:pPr>
              <w:wordWrap w:val="0"/>
              <w:spacing w:line="440" w:lineRule="exact"/>
              <w:ind w:firstLine="560" w:firstLineChars="200"/>
              <w:rPr>
                <w:rFonts w:asciiTheme="minorEastAsia" w:hAnsiTheme="minorEastAsia" w:cstheme="minorEastAsia"/>
                <w:kern w:val="0"/>
                <w:sz w:val="28"/>
                <w:szCs w:val="28"/>
              </w:rPr>
            </w:pPr>
          </w:p>
        </w:tc>
      </w:tr>
    </w:tbl>
    <w:p>
      <w:pPr>
        <w:wordWrap w:val="0"/>
        <w:spacing w:line="400" w:lineRule="exact"/>
        <w:jc w:val="left"/>
        <w:rPr>
          <w:rFonts w:asciiTheme="minorEastAsia" w:hAnsiTheme="minorEastAsia" w:cstheme="minorEastAsia"/>
          <w:b/>
          <w:bCs/>
          <w:szCs w:val="21"/>
        </w:rPr>
      </w:pPr>
      <w:bookmarkStart w:id="16" w:name="_Toc179632607"/>
      <w:bookmarkStart w:id="17" w:name="_Toc246996975"/>
      <w:bookmarkStart w:id="18" w:name="_Toc296602477"/>
      <w:bookmarkStart w:id="19" w:name="_Toc144974556"/>
      <w:bookmarkStart w:id="20" w:name="_Toc247085747"/>
      <w:bookmarkStart w:id="21" w:name="_Toc152045589"/>
      <w:bookmarkStart w:id="22" w:name="_Toc152042366"/>
      <w:bookmarkStart w:id="23" w:name="_Toc246996232"/>
    </w:p>
    <w:p>
      <w:pPr>
        <w:wordWrap w:val="0"/>
        <w:spacing w:line="400" w:lineRule="exact"/>
        <w:jc w:val="left"/>
        <w:rPr>
          <w:rFonts w:asciiTheme="minorEastAsia" w:hAnsiTheme="minorEastAsia" w:cstheme="minorEastAsia"/>
          <w:b/>
          <w:bCs/>
          <w:sz w:val="28"/>
          <w:szCs w:val="28"/>
        </w:rPr>
      </w:pPr>
      <w:r>
        <w:rPr>
          <w:rFonts w:hint="eastAsia" w:asciiTheme="minorEastAsia" w:hAnsiTheme="minorEastAsia" w:cstheme="minorEastAsia"/>
          <w:b/>
          <w:bCs/>
          <w:sz w:val="28"/>
          <w:szCs w:val="28"/>
        </w:rPr>
        <w:t>1. 评标方法</w:t>
      </w:r>
    </w:p>
    <w:p>
      <w:pPr>
        <w:wordWrap w:val="0"/>
        <w:spacing w:line="40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本次评标采用综合评估法。要求投标报价低于（小于）招标人发布招标控制价为有效报价，否则视为不以中标为目的的报价，不进入评审。评标委员会对满足招标文件实质性要求的投标文件，按照本章规定的评分标准进行打分，并按得分由高到低顺序推荐中标候选人，或根据招标人授权直接确定中标人，但投标报价低于其成本的除外。综合评分相等时，以投标报价低的优先；投标报价也相等的，以企业业绩得分高的优先；如果企业业绩得分也相等，由评标委员会投票确定中标候选人排序。</w:t>
      </w:r>
    </w:p>
    <w:p>
      <w:pPr>
        <w:wordWrap w:val="0"/>
        <w:spacing w:line="440" w:lineRule="exact"/>
        <w:rPr>
          <w:rFonts w:asciiTheme="minorEastAsia" w:hAnsiTheme="minorEastAsia" w:cstheme="minorEastAsia"/>
          <w:b/>
          <w:bCs/>
          <w:kern w:val="0"/>
          <w:sz w:val="28"/>
          <w:szCs w:val="28"/>
        </w:rPr>
      </w:pPr>
      <w:bookmarkStart w:id="24" w:name="_Toc246996976"/>
      <w:bookmarkStart w:id="25" w:name="_Toc179632608"/>
      <w:bookmarkStart w:id="26" w:name="_Toc247085748"/>
      <w:bookmarkStart w:id="27" w:name="_Toc144974557"/>
      <w:bookmarkStart w:id="28" w:name="_Toc152042367"/>
      <w:bookmarkStart w:id="29" w:name="_Toc152045590"/>
      <w:bookmarkStart w:id="30" w:name="_Toc296602478"/>
      <w:bookmarkStart w:id="31" w:name="_Toc246996233"/>
      <w:r>
        <w:rPr>
          <w:rFonts w:hint="eastAsia" w:asciiTheme="minorEastAsia" w:hAnsiTheme="minorEastAsia" w:cstheme="minorEastAsia"/>
          <w:b/>
          <w:bCs/>
          <w:kern w:val="0"/>
          <w:sz w:val="28"/>
          <w:szCs w:val="28"/>
        </w:rPr>
        <w:t>2. 评审标准</w:t>
      </w:r>
      <w:bookmarkEnd w:id="24"/>
      <w:bookmarkEnd w:id="25"/>
      <w:bookmarkEnd w:id="26"/>
      <w:bookmarkEnd w:id="27"/>
      <w:bookmarkEnd w:id="28"/>
      <w:bookmarkEnd w:id="29"/>
      <w:bookmarkEnd w:id="30"/>
      <w:bookmarkEnd w:id="31"/>
    </w:p>
    <w:p>
      <w:pPr>
        <w:wordWrap w:val="0"/>
        <w:spacing w:line="440" w:lineRule="exact"/>
        <w:rPr>
          <w:rFonts w:asciiTheme="minorEastAsia" w:hAnsiTheme="minorEastAsia" w:cstheme="minorEastAsia"/>
          <w:b/>
          <w:bCs/>
          <w:kern w:val="0"/>
          <w:sz w:val="28"/>
          <w:szCs w:val="28"/>
        </w:rPr>
      </w:pPr>
      <w:bookmarkStart w:id="32" w:name="_Toc246996234"/>
      <w:bookmarkStart w:id="33" w:name="_Toc296602479"/>
      <w:bookmarkStart w:id="34" w:name="_Toc247085749"/>
      <w:bookmarkStart w:id="35" w:name="_Toc179632609"/>
      <w:bookmarkStart w:id="36" w:name="_Toc152045591"/>
      <w:bookmarkStart w:id="37" w:name="_Toc246996977"/>
      <w:bookmarkStart w:id="38" w:name="_Toc144974558"/>
      <w:bookmarkStart w:id="39" w:name="_Toc152042368"/>
      <w:r>
        <w:rPr>
          <w:rFonts w:hint="eastAsia" w:asciiTheme="minorEastAsia" w:hAnsiTheme="minorEastAsia" w:cstheme="minorEastAsia"/>
          <w:b/>
          <w:bCs/>
          <w:kern w:val="0"/>
          <w:sz w:val="28"/>
          <w:szCs w:val="28"/>
        </w:rPr>
        <w:t>2.1 初步评审标准</w:t>
      </w:r>
      <w:bookmarkEnd w:id="32"/>
      <w:bookmarkEnd w:id="33"/>
      <w:bookmarkEnd w:id="34"/>
      <w:bookmarkEnd w:id="35"/>
      <w:bookmarkEnd w:id="36"/>
      <w:bookmarkEnd w:id="37"/>
      <w:bookmarkEnd w:id="38"/>
      <w:bookmarkEnd w:id="39"/>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2.1.1 形式评审标准：见评标办法前附表。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2.1.2 资格评审标准：见评标办法前附表。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2.1.3 响应性评审标准：见评标办法前附表。</w:t>
      </w:r>
    </w:p>
    <w:p>
      <w:pPr>
        <w:wordWrap w:val="0"/>
        <w:spacing w:line="440" w:lineRule="exact"/>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2.2 分值构成与评分标准</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2.2.1 分值构成</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（1）投标报价部分：见评标办法前附表；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（2）服务方案部分：见评标办法前附表；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（3）企业荣誉部分：见评标办法前附表；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（4）企业业绩部分：见评标办法前附表；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（5）人员配备部分：见评标办法前附表；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2.2.2 评标基准价计算</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评标基准价计算方法：见评标办法前附表。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2.2.3 投标报价的偏差率计算</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投标报价的偏差率计算公式：见评标办法前附表。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2.2.4 评分标准</w:t>
      </w:r>
    </w:p>
    <w:p>
      <w:pPr>
        <w:wordWrap w:val="0"/>
        <w:spacing w:line="420" w:lineRule="exact"/>
        <w:ind w:firstLine="560" w:firstLineChars="200"/>
        <w:rPr>
          <w:rFonts w:asciiTheme="minorEastAsia" w:hAnsiTheme="minorEastAsia" w:cstheme="minorEastAsia"/>
          <w:kern w:val="0"/>
          <w:sz w:val="28"/>
          <w:szCs w:val="28"/>
        </w:rPr>
      </w:pPr>
      <w:bookmarkStart w:id="40" w:name="_Toc152042370"/>
      <w:bookmarkStart w:id="41" w:name="_Toc144974560"/>
      <w:bookmarkStart w:id="42" w:name="_Toc152045593"/>
      <w:bookmarkStart w:id="43" w:name="_Toc246996979"/>
      <w:bookmarkStart w:id="44" w:name="_Toc296602481"/>
      <w:bookmarkStart w:id="45" w:name="_Toc246996236"/>
      <w:bookmarkStart w:id="46" w:name="_Toc247085751"/>
      <w:bookmarkStart w:id="47" w:name="_Toc179632611"/>
      <w:r>
        <w:rPr>
          <w:rFonts w:hint="eastAsia" w:asciiTheme="minorEastAsia" w:hAnsiTheme="minorEastAsia" w:cstheme="minorEastAsia"/>
          <w:kern w:val="0"/>
          <w:sz w:val="28"/>
          <w:szCs w:val="28"/>
        </w:rPr>
        <w:t>（1）投标报价部分：见评标办法前附表；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（2）服务方案部分：见评标办法前附表；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（3）企业荣誉部分：见评标办法前附表；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（4）企业业绩部分：见评标办法前附表；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（5）人员配备部分：见评标办法前附表；</w:t>
      </w:r>
    </w:p>
    <w:p>
      <w:pPr>
        <w:wordWrap w:val="0"/>
        <w:spacing w:line="440" w:lineRule="exact"/>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3. 评标程序</w:t>
      </w:r>
      <w:bookmarkEnd w:id="40"/>
      <w:bookmarkEnd w:id="41"/>
      <w:bookmarkEnd w:id="42"/>
      <w:bookmarkEnd w:id="43"/>
      <w:bookmarkEnd w:id="44"/>
      <w:bookmarkEnd w:id="45"/>
      <w:bookmarkEnd w:id="46"/>
      <w:bookmarkEnd w:id="47"/>
    </w:p>
    <w:p>
      <w:pPr>
        <w:wordWrap w:val="0"/>
        <w:spacing w:line="440" w:lineRule="exact"/>
        <w:rPr>
          <w:rFonts w:asciiTheme="minorEastAsia" w:hAnsiTheme="minorEastAsia" w:cstheme="minorEastAsia"/>
          <w:b/>
          <w:bCs/>
          <w:kern w:val="0"/>
          <w:sz w:val="28"/>
          <w:szCs w:val="28"/>
        </w:rPr>
      </w:pPr>
      <w:bookmarkStart w:id="48" w:name="_Toc179632612"/>
      <w:bookmarkStart w:id="49" w:name="_Toc246996237"/>
      <w:bookmarkStart w:id="50" w:name="_Toc246996980"/>
      <w:bookmarkStart w:id="51" w:name="_Toc247085752"/>
      <w:bookmarkStart w:id="52" w:name="_Toc152042371"/>
      <w:bookmarkStart w:id="53" w:name="_Toc296602482"/>
      <w:bookmarkStart w:id="54" w:name="_Toc152045594"/>
      <w:bookmarkStart w:id="55" w:name="_Toc144974561"/>
      <w:r>
        <w:rPr>
          <w:rFonts w:hint="eastAsia" w:asciiTheme="minorEastAsia" w:hAnsiTheme="minorEastAsia" w:cstheme="minorEastAsia"/>
          <w:b/>
          <w:bCs/>
          <w:kern w:val="0"/>
          <w:sz w:val="28"/>
          <w:szCs w:val="28"/>
        </w:rPr>
        <w:t>3.1 初步评审</w:t>
      </w:r>
      <w:bookmarkEnd w:id="48"/>
      <w:bookmarkEnd w:id="49"/>
      <w:bookmarkEnd w:id="50"/>
      <w:bookmarkEnd w:id="51"/>
      <w:bookmarkEnd w:id="52"/>
      <w:bookmarkEnd w:id="53"/>
      <w:bookmarkEnd w:id="54"/>
      <w:bookmarkEnd w:id="55"/>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3.1.1评标委员会可以要求投标人提交第二章“投标人须知”规定的有关证明和证件的原件，以便核验。评标委员会依据本章规定的标准对投标文件进行初步评审。有一项不符合评审标准的，评标委员会应当否决其投标。</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3.1.2 投标人有以下情形之一的，评标委员会应当否决其投标：</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（1）国家发改委发布的《中华人民共和国简明标准施工招标文件》第二章“投标人须知”细则中第1.4.3款规定的任何一种情形的；</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（2）串通投标或弄虚作假或有其他违法行为的；</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（3）不按评标委员会要求澄清、说明或补正的。</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3.1.3投标报价有算术错误的，评标委员会按以下原则对投标报价进行修正，修正的价格经投标人书面确认后具有约束力。投标人不接受修正价格的，评标委员会应当否决其投标。</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（1）投标文件中的大写金额与小写金额不一致的，以大写金额为准；</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（2）总价金额与依据单价计算出的结果不一致的，以单价金额为准修正总价，但单价金额小数点有明显错误的除外。</w:t>
      </w:r>
    </w:p>
    <w:p>
      <w:pPr>
        <w:wordWrap w:val="0"/>
        <w:spacing w:line="440" w:lineRule="exact"/>
        <w:rPr>
          <w:rFonts w:asciiTheme="minorEastAsia" w:hAnsiTheme="minorEastAsia" w:cstheme="minorEastAsia"/>
          <w:b/>
          <w:bCs/>
          <w:kern w:val="0"/>
          <w:sz w:val="28"/>
          <w:szCs w:val="28"/>
        </w:rPr>
      </w:pPr>
      <w:bookmarkStart w:id="56" w:name="_Toc247085753"/>
      <w:bookmarkStart w:id="57" w:name="_Toc179632613"/>
      <w:bookmarkStart w:id="58" w:name="_Toc296602483"/>
      <w:bookmarkStart w:id="59" w:name="_Toc152042372"/>
      <w:bookmarkStart w:id="60" w:name="_Toc144974562"/>
      <w:bookmarkStart w:id="61" w:name="_Toc152045595"/>
      <w:bookmarkStart w:id="62" w:name="_Toc246996238"/>
      <w:bookmarkStart w:id="63" w:name="_Toc246996981"/>
      <w:r>
        <w:rPr>
          <w:rFonts w:hint="eastAsia" w:asciiTheme="minorEastAsia" w:hAnsiTheme="minorEastAsia" w:cstheme="minorEastAsia"/>
          <w:b/>
          <w:bCs/>
          <w:kern w:val="0"/>
          <w:sz w:val="28"/>
          <w:szCs w:val="28"/>
        </w:rPr>
        <w:t>3.2 详细评审</w:t>
      </w:r>
      <w:bookmarkEnd w:id="56"/>
      <w:bookmarkEnd w:id="57"/>
      <w:bookmarkEnd w:id="58"/>
      <w:bookmarkEnd w:id="59"/>
      <w:bookmarkEnd w:id="60"/>
      <w:bookmarkEnd w:id="61"/>
      <w:bookmarkEnd w:id="62"/>
      <w:bookmarkEnd w:id="63"/>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3.2.1 评标委员会按本章规定的量化因素和分值进行打分，并计算出综合评估得分。</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（1）按本章规定的评审因素和分值对投标报价部分计算出得分A；</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（2）按本章规定的评审因素和分值对服务方案部分计算出得分B；</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（3）按本章规定的评审因素和分值对企业荣誉部分计算出得分C；</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（4）按本章规定的评审因素和分值对企业业绩部分计算出得分D；</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（5）按本章规定的评审因素和分值对</w:t>
      </w:r>
      <w:r>
        <w:rPr>
          <w:rFonts w:hint="eastAsia" w:asciiTheme="minorEastAsia" w:hAnsiTheme="minorEastAsia" w:cstheme="minorEastAsia"/>
          <w:kern w:val="0"/>
          <w:sz w:val="28"/>
          <w:szCs w:val="28"/>
          <w:lang w:val="en-US" w:eastAsia="zh-CN"/>
        </w:rPr>
        <w:t>人员配备</w:t>
      </w:r>
      <w:r>
        <w:rPr>
          <w:rFonts w:hint="eastAsia" w:asciiTheme="minorEastAsia" w:hAnsiTheme="minorEastAsia" w:cstheme="minorEastAsia"/>
          <w:kern w:val="0"/>
          <w:sz w:val="28"/>
          <w:szCs w:val="28"/>
        </w:rPr>
        <w:t>部分计算出得分E；</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3.2.2 评分分值计算保留小数点后两位，小数点后第三位“四舍五入”。</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3.2.3 投标人得分=A+B+C+D+E</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3.2.4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wordWrap w:val="0"/>
        <w:spacing w:line="440" w:lineRule="exact"/>
        <w:rPr>
          <w:rFonts w:asciiTheme="minorEastAsia" w:hAnsiTheme="minorEastAsia" w:cstheme="minorEastAsia"/>
          <w:b/>
          <w:bCs/>
          <w:kern w:val="0"/>
          <w:sz w:val="28"/>
          <w:szCs w:val="28"/>
        </w:rPr>
      </w:pPr>
      <w:bookmarkStart w:id="64" w:name="_Toc144974563"/>
      <w:bookmarkStart w:id="65" w:name="_Toc152045596"/>
      <w:bookmarkStart w:id="66" w:name="_Toc152042373"/>
      <w:bookmarkStart w:id="67" w:name="_Toc296602484"/>
      <w:bookmarkStart w:id="68" w:name="_Toc179632614"/>
      <w:bookmarkStart w:id="69" w:name="_Toc246996982"/>
      <w:bookmarkStart w:id="70" w:name="_Toc247085754"/>
      <w:bookmarkStart w:id="71" w:name="_Toc246996239"/>
      <w:r>
        <w:rPr>
          <w:rFonts w:hint="eastAsia" w:asciiTheme="minorEastAsia" w:hAnsiTheme="minorEastAsia" w:cstheme="minorEastAsia"/>
          <w:b/>
          <w:bCs/>
          <w:kern w:val="0"/>
          <w:sz w:val="28"/>
          <w:szCs w:val="28"/>
        </w:rPr>
        <w:t>3.3 投标文件的澄清</w:t>
      </w:r>
      <w:bookmarkEnd w:id="64"/>
      <w:r>
        <w:rPr>
          <w:rFonts w:hint="eastAsia" w:asciiTheme="minorEastAsia" w:hAnsiTheme="minorEastAsia" w:cstheme="minorEastAsia"/>
          <w:b/>
          <w:bCs/>
          <w:kern w:val="0"/>
          <w:sz w:val="28"/>
          <w:szCs w:val="28"/>
        </w:rPr>
        <w:t>和补正</w:t>
      </w:r>
      <w:bookmarkEnd w:id="65"/>
      <w:bookmarkEnd w:id="66"/>
      <w:bookmarkEnd w:id="67"/>
      <w:bookmarkEnd w:id="68"/>
      <w:bookmarkEnd w:id="69"/>
      <w:bookmarkEnd w:id="70"/>
      <w:bookmarkEnd w:id="71"/>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3.3.2 澄清、说明或补正不得超出投标文件的范围且不得改变投标文件的实质性内容，并构成投标文件的组成部分。</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3.3.3 评标委员会对投标人提交的澄清、说明或补正有疑问的，可以要求投标人进一步澄清、说明或补正，直至满足评标委员会的要求。</w:t>
      </w:r>
    </w:p>
    <w:p>
      <w:pPr>
        <w:wordWrap w:val="0"/>
        <w:spacing w:line="440" w:lineRule="exact"/>
        <w:rPr>
          <w:rFonts w:asciiTheme="minorEastAsia" w:hAnsiTheme="minorEastAsia" w:cstheme="minorEastAsia"/>
          <w:b/>
          <w:bCs/>
          <w:kern w:val="0"/>
          <w:sz w:val="28"/>
          <w:szCs w:val="28"/>
        </w:rPr>
      </w:pPr>
      <w:bookmarkStart w:id="72" w:name="_Toc152042374"/>
      <w:bookmarkStart w:id="73" w:name="_Toc296602485"/>
      <w:bookmarkStart w:id="74" w:name="_Toc152045597"/>
      <w:bookmarkStart w:id="75" w:name="_Toc246996983"/>
      <w:bookmarkStart w:id="76" w:name="_Toc179632615"/>
      <w:bookmarkStart w:id="77" w:name="_Toc144974564"/>
      <w:bookmarkStart w:id="78" w:name="_Toc247085755"/>
      <w:bookmarkStart w:id="79" w:name="_Toc246996240"/>
      <w:r>
        <w:rPr>
          <w:rFonts w:hint="eastAsia" w:asciiTheme="minorEastAsia" w:hAnsiTheme="minorEastAsia" w:cstheme="minorEastAsia"/>
          <w:b/>
          <w:bCs/>
          <w:kern w:val="0"/>
          <w:sz w:val="28"/>
          <w:szCs w:val="28"/>
        </w:rPr>
        <w:t>3.4 评标结果</w:t>
      </w:r>
      <w:bookmarkEnd w:id="72"/>
      <w:bookmarkEnd w:id="73"/>
      <w:bookmarkEnd w:id="74"/>
      <w:bookmarkEnd w:id="75"/>
      <w:bookmarkEnd w:id="76"/>
      <w:bookmarkEnd w:id="77"/>
      <w:bookmarkEnd w:id="78"/>
      <w:bookmarkEnd w:id="79"/>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3.4.1 除第二章“投标人须知”前附表授权直接确定中标人外，评标委员会按照得分由高到低的顺序推荐中标候选人，并标明排序。</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3.4.2 评标委员会完成评标后，应当向招标人提交书面评标报告和中标候选人名单。</w:t>
      </w:r>
    </w:p>
    <w:p>
      <w:pPr>
        <w:wordWrap w:val="0"/>
        <w:spacing w:line="400" w:lineRule="exact"/>
        <w:ind w:firstLine="420" w:firstLineChars="200"/>
        <w:jc w:val="left"/>
        <w:rPr>
          <w:rFonts w:asciiTheme="minorEastAsia" w:hAnsiTheme="minorEastAsia" w:cstheme="minorEastAsia"/>
          <w:szCs w:val="21"/>
        </w:rPr>
      </w:pPr>
      <w:r>
        <w:rPr>
          <w:rFonts w:hint="eastAsia" w:asciiTheme="minorEastAsia" w:hAnsiTheme="minorEastAsia" w:cstheme="minorEastAsia"/>
          <w:szCs w:val="21"/>
        </w:rPr>
        <w:br w:type="page"/>
      </w:r>
    </w:p>
    <w:p>
      <w:pPr>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第四章 发包人要求</w:t>
      </w:r>
    </w:p>
    <w:p>
      <w:pPr>
        <w:spacing w:line="480" w:lineRule="exact"/>
        <w:jc w:val="center"/>
        <w:rPr>
          <w:rFonts w:asciiTheme="majorEastAsia" w:hAnsiTheme="majorEastAsia" w:eastAsiaTheme="majorEastAsia" w:cstheme="majorEastAsia"/>
          <w:b/>
          <w:bCs/>
          <w:sz w:val="32"/>
          <w:szCs w:val="32"/>
        </w:rPr>
      </w:pPr>
    </w:p>
    <w:p>
      <w:pPr>
        <w:numPr>
          <w:ilvl w:val="0"/>
          <w:numId w:val="2"/>
        </w:numPr>
        <w:wordWrap w:val="0"/>
        <w:spacing w:line="52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投标人的投标报价应是在综合考虑项目区域实际地理情况、成果编制成本、人员成本、风险因素、后续服务、方案整合修改优化、方案报批及最终成果形成的基础上进行的最终报价，应同时包含评审费、初步设计编制及评审费，施工图纸设计及审查费、评审所需费用等，为施工全过程提供服务的费用等。以上费用由投标人自行考虑包含在投标价款内，由中标单位支付，项目设计实施阶段不再支付中标人提出的任何费用变更。</w:t>
      </w:r>
    </w:p>
    <w:p>
      <w:pPr>
        <w:wordWrap w:val="0"/>
        <w:spacing w:line="52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二、本项目严禁转包及非法分包，否则发包人有权将中标人清退出场，中标人承担由此发生的所有费用，影响工程进度的，发包人有权向中标人索赔赶工费用等，影响进度特别严重的，发包人有权不支付中标人结算款。</w:t>
      </w:r>
    </w:p>
    <w:p>
      <w:pPr>
        <w:wordWrap w:val="0"/>
        <w:spacing w:line="440" w:lineRule="exact"/>
        <w:ind w:firstLine="560" w:firstLineChars="200"/>
        <w:jc w:val="left"/>
        <w:rPr>
          <w:rFonts w:ascii="Times New Roman" w:hAnsi="Times New Roman" w:cs="Times New Roman"/>
          <w:sz w:val="28"/>
          <w:szCs w:val="28"/>
        </w:rPr>
      </w:pPr>
    </w:p>
    <w:p>
      <w:pP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br w:type="page"/>
      </w:r>
    </w:p>
    <w:p>
      <w:pPr>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 xml:space="preserve">第五章 </w:t>
      </w:r>
      <w:r>
        <w:rPr>
          <w:rFonts w:asciiTheme="majorEastAsia" w:hAnsiTheme="majorEastAsia" w:eastAsiaTheme="majorEastAsia" w:cstheme="majorEastAsia"/>
          <w:b/>
          <w:bCs/>
          <w:sz w:val="32"/>
          <w:szCs w:val="32"/>
        </w:rPr>
        <w:t>合同条款</w:t>
      </w:r>
    </w:p>
    <w:p>
      <w:pPr>
        <w:spacing w:line="480" w:lineRule="exact"/>
        <w:jc w:val="center"/>
        <w:rPr>
          <w:rFonts w:asciiTheme="majorEastAsia" w:hAnsiTheme="majorEastAsia" w:eastAsiaTheme="majorEastAsia" w:cstheme="majorEastAsia"/>
          <w:b/>
          <w:bCs/>
          <w:sz w:val="32"/>
          <w:szCs w:val="32"/>
        </w:rPr>
      </w:pPr>
    </w:p>
    <w:p>
      <w:pPr>
        <w:spacing w:line="480" w:lineRule="exact"/>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合同条款前附表</w:t>
      </w:r>
    </w:p>
    <w:p>
      <w:pPr>
        <w:spacing w:line="480" w:lineRule="exact"/>
        <w:rPr>
          <w:rFonts w:asciiTheme="majorEastAsia" w:hAnsiTheme="majorEastAsia" w:eastAsiaTheme="majorEastAsia" w:cstheme="majorEastAsia"/>
          <w:b/>
          <w:bCs/>
          <w:sz w:val="32"/>
          <w:szCs w:val="32"/>
        </w:rPr>
      </w:pPr>
    </w:p>
    <w:tbl>
      <w:tblPr>
        <w:tblStyle w:val="15"/>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序号</w:t>
            </w:r>
          </w:p>
        </w:tc>
        <w:tc>
          <w:tcPr>
            <w:tcW w:w="1417" w:type="dxa"/>
            <w:vAlign w:val="center"/>
          </w:tcPr>
          <w:p>
            <w:pPr>
              <w:wordWrap w:val="0"/>
              <w:spacing w:line="440" w:lineRule="exact"/>
              <w:jc w:val="center"/>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条款名称</w:t>
            </w:r>
          </w:p>
        </w:tc>
        <w:tc>
          <w:tcPr>
            <w:tcW w:w="6253" w:type="dxa"/>
            <w:vAlign w:val="center"/>
          </w:tcPr>
          <w:p>
            <w:pPr>
              <w:wordWrap w:val="0"/>
              <w:spacing w:line="440" w:lineRule="exact"/>
              <w:jc w:val="center"/>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1</w:t>
            </w:r>
          </w:p>
        </w:tc>
        <w:tc>
          <w:tcPr>
            <w:tcW w:w="1417" w:type="dxa"/>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付款人</w:t>
            </w:r>
          </w:p>
        </w:tc>
        <w:tc>
          <w:tcPr>
            <w:tcW w:w="6253" w:type="dxa"/>
            <w:vAlign w:val="center"/>
          </w:tcPr>
          <w:p>
            <w:p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安徽通达利交通建设管理有限公司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2</w:t>
            </w:r>
          </w:p>
        </w:tc>
        <w:tc>
          <w:tcPr>
            <w:tcW w:w="1417" w:type="dxa"/>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付款方式</w:t>
            </w:r>
          </w:p>
        </w:tc>
        <w:tc>
          <w:tcPr>
            <w:tcW w:w="6253" w:type="dxa"/>
            <w:vAlign w:val="center"/>
          </w:tcPr>
          <w:p>
            <w:pPr>
              <w:wordWrap w:val="0"/>
              <w:spacing w:line="440" w:lineRule="exact"/>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1、项目设计依拟上报计划但不限于上报计划，设计费用依批准计划为准。设计费按照中标人费率报价据实结算（项目的施工中标价（不含暂定金）*中标人费率）；</w:t>
            </w:r>
          </w:p>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2、完成施工图设计并交付后，待养护工程项目上级批复资金到位后，支付80%，竣（交）工后，支付至100%；没实施的养护工程施工内容没有设计费用，投标单位自行考虑。</w:t>
            </w:r>
            <w:r>
              <w:rPr>
                <w:rFonts w:hint="eastAsia" w:asciiTheme="minorEastAsia" w:hAnsiTheme="minorEastAsia" w:cstheme="minorEastAsia"/>
                <w:kern w:val="0"/>
                <w:sz w:val="28"/>
                <w:szCs w:val="28"/>
                <w:lang w:val="en-US" w:eastAsia="zh-CN"/>
              </w:rPr>
              <w:t>招标人付款前，</w:t>
            </w:r>
            <w:r>
              <w:rPr>
                <w:rFonts w:hint="eastAsia" w:asciiTheme="minorEastAsia" w:hAnsiTheme="minorEastAsia" w:cstheme="minorEastAsia"/>
                <w:kern w:val="0"/>
                <w:sz w:val="28"/>
                <w:szCs w:val="28"/>
              </w:rPr>
              <w:t>中标人须提供等额增值税</w:t>
            </w:r>
            <w:r>
              <w:rPr>
                <w:rFonts w:hint="eastAsia" w:asciiTheme="minorEastAsia" w:hAnsiTheme="minorEastAsia" w:cstheme="minorEastAsia"/>
                <w:kern w:val="0"/>
                <w:sz w:val="28"/>
                <w:szCs w:val="28"/>
                <w:lang w:val="en-US" w:eastAsia="zh-CN"/>
              </w:rPr>
              <w:t>专用</w:t>
            </w:r>
            <w:r>
              <w:rPr>
                <w:rFonts w:hint="eastAsia" w:asciiTheme="minorEastAsia" w:hAnsiTheme="minorEastAsia" w:cstheme="minorEastAsia"/>
                <w:kern w:val="0"/>
                <w:sz w:val="28"/>
                <w:szCs w:val="28"/>
              </w:rPr>
              <w:t>发票。</w:t>
            </w:r>
          </w:p>
        </w:tc>
      </w:tr>
    </w:tbl>
    <w:p>
      <w:pPr>
        <w:pStyle w:val="7"/>
        <w:wordWrap w:val="0"/>
        <w:snapToGrid w:val="0"/>
        <w:spacing w:line="400" w:lineRule="atLeast"/>
        <w:ind w:left="0" w:leftChars="0" w:firstLine="560" w:firstLineChars="200"/>
        <w:rPr>
          <w:rFonts w:ascii="Times New Roman" w:hAnsi="Times New Roman" w:cs="Times New Roman"/>
          <w:sz w:val="28"/>
          <w:szCs w:val="28"/>
        </w:rPr>
      </w:pPr>
      <w:r>
        <w:rPr>
          <w:rFonts w:hint="eastAsia" w:ascii="Times New Roman" w:hAnsi="Times New Roman" w:cs="Times New Roman"/>
          <w:sz w:val="28"/>
          <w:szCs w:val="28"/>
        </w:rPr>
        <w:t>合同</w:t>
      </w:r>
      <w:r>
        <w:rPr>
          <w:rFonts w:ascii="Times New Roman" w:hAnsi="Times New Roman" w:cs="Times New Roman"/>
          <w:sz w:val="28"/>
          <w:szCs w:val="28"/>
        </w:rPr>
        <w:t>内容由招标人与中标人在不违背招标文件要求和投标文件承诺的条件下友好协商签订。</w:t>
      </w:r>
      <w:bookmarkEnd w:id="16"/>
      <w:bookmarkEnd w:id="17"/>
      <w:bookmarkEnd w:id="18"/>
      <w:bookmarkEnd w:id="19"/>
      <w:bookmarkEnd w:id="20"/>
      <w:bookmarkEnd w:id="21"/>
      <w:bookmarkEnd w:id="22"/>
      <w:bookmarkEnd w:id="23"/>
    </w:p>
    <w:p>
      <w:pPr>
        <w:pStyle w:val="7"/>
        <w:wordWrap w:val="0"/>
        <w:snapToGrid w:val="0"/>
        <w:spacing w:line="400" w:lineRule="atLeast"/>
        <w:ind w:left="0" w:leftChars="0"/>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br w:type="page"/>
      </w:r>
    </w:p>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w:t>
      </w:r>
      <w:r>
        <w:rPr>
          <w:rFonts w:hint="eastAsia" w:asciiTheme="majorEastAsia" w:hAnsiTheme="majorEastAsia" w:eastAsiaTheme="majorEastAsia" w:cstheme="majorEastAsia"/>
          <w:b/>
          <w:bCs/>
          <w:sz w:val="32"/>
          <w:szCs w:val="32"/>
        </w:rPr>
        <w:t>六</w:t>
      </w:r>
      <w:r>
        <w:rPr>
          <w:rFonts w:asciiTheme="majorEastAsia" w:hAnsiTheme="majorEastAsia" w:eastAsiaTheme="majorEastAsia" w:cstheme="majorEastAsia"/>
          <w:b/>
          <w:bCs/>
          <w:sz w:val="32"/>
          <w:szCs w:val="32"/>
        </w:rPr>
        <w:t>章</w:t>
      </w:r>
      <w:r>
        <w:rPr>
          <w:rFonts w:hint="eastAsia" w:asciiTheme="majorEastAsia" w:hAnsiTheme="majorEastAsia" w:eastAsiaTheme="majorEastAsia" w:cstheme="majorEastAsia"/>
          <w:b/>
          <w:bCs/>
          <w:sz w:val="32"/>
          <w:szCs w:val="32"/>
        </w:rPr>
        <w:t xml:space="preserve"> </w:t>
      </w:r>
      <w:r>
        <w:rPr>
          <w:rFonts w:asciiTheme="majorEastAsia" w:hAnsiTheme="majorEastAsia" w:eastAsiaTheme="majorEastAsia" w:cstheme="majorEastAsia"/>
          <w:b/>
          <w:bCs/>
          <w:sz w:val="32"/>
          <w:szCs w:val="32"/>
        </w:rPr>
        <w:t>投标文件格式</w:t>
      </w:r>
    </w:p>
    <w:p>
      <w:pPr>
        <w:wordWrap w:val="0"/>
        <w:spacing w:line="520" w:lineRule="exact"/>
        <w:jc w:val="center"/>
        <w:rPr>
          <w:rFonts w:ascii="Times New Roman" w:hAnsi="Times New Roman" w:eastAsia="黑体" w:cs="Times New Roman"/>
          <w:kern w:val="0"/>
          <w:sz w:val="32"/>
          <w:szCs w:val="32"/>
        </w:rPr>
      </w:pPr>
    </w:p>
    <w:p>
      <w:pPr>
        <w:wordWrap w:val="0"/>
        <w:spacing w:line="520" w:lineRule="exact"/>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lang w:eastAsia="zh-CN"/>
        </w:rPr>
        <w:t>309省道</w:t>
      </w:r>
      <w:r>
        <w:rPr>
          <w:rFonts w:hint="eastAsia" w:ascii="Times New Roman" w:hAnsi="Times New Roman" w:eastAsia="黑体" w:cs="Times New Roman"/>
          <w:kern w:val="0"/>
          <w:sz w:val="32"/>
          <w:szCs w:val="32"/>
        </w:rPr>
        <w:t>一级公路（亳州段153.2公里）2020年度和2021年度公路养护工程设计项目投</w:t>
      </w:r>
      <w:r>
        <w:rPr>
          <w:rFonts w:ascii="Times New Roman" w:hAnsi="Times New Roman" w:eastAsia="黑体" w:cs="Times New Roman"/>
          <w:kern w:val="0"/>
          <w:sz w:val="32"/>
          <w:szCs w:val="32"/>
        </w:rPr>
        <w:t>标文件</w:t>
      </w:r>
    </w:p>
    <w:p>
      <w:pPr>
        <w:wordWrap w:val="0"/>
        <w:jc w:val="center"/>
        <w:rPr>
          <w:rFonts w:ascii="Times New Roman" w:hAnsi="Times New Roman" w:eastAsia="楷体" w:cs="Times New Roman"/>
          <w:kern w:val="0"/>
          <w:sz w:val="28"/>
          <w:szCs w:val="28"/>
        </w:rPr>
      </w:pPr>
    </w:p>
    <w:p>
      <w:pPr>
        <w:wordWrap w:val="0"/>
        <w:jc w:val="center"/>
        <w:rPr>
          <w:rFonts w:ascii="Times New Roman" w:hAnsi="Times New Roman" w:eastAsia="楷体" w:cs="Times New Roman"/>
          <w:kern w:val="0"/>
          <w:sz w:val="28"/>
          <w:szCs w:val="28"/>
        </w:rPr>
      </w:pPr>
      <w:r>
        <w:rPr>
          <w:rFonts w:ascii="Times New Roman" w:hAnsi="Times New Roman" w:eastAsia="楷体" w:cs="Times New Roman"/>
          <w:kern w:val="0"/>
          <w:sz w:val="28"/>
          <w:szCs w:val="28"/>
        </w:rPr>
        <w:t>项目编号：</w:t>
      </w:r>
      <w:r>
        <w:rPr>
          <w:rFonts w:hint="eastAsia" w:ascii="Times New Roman" w:hAnsi="Times New Roman" w:eastAsia="楷体" w:cs="Times New Roman"/>
          <w:kern w:val="0"/>
          <w:sz w:val="28"/>
          <w:szCs w:val="28"/>
        </w:rPr>
        <w:t>BZJK-2020-051号</w:t>
      </w:r>
    </w:p>
    <w:p>
      <w:pPr>
        <w:wordWrap w:val="0"/>
        <w:jc w:val="center"/>
        <w:rPr>
          <w:rFonts w:ascii="Times New Roman" w:hAnsi="Times New Roman" w:eastAsia="楷体" w:cs="Times New Roman"/>
          <w:kern w:val="0"/>
          <w:sz w:val="28"/>
          <w:szCs w:val="28"/>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ind w:left="1260" w:leftChars="600"/>
        <w:jc w:val="left"/>
        <w:rPr>
          <w:rFonts w:ascii="Times New Roman" w:hAnsi="Times New Roman" w:eastAsia="楷体" w:cs="Times New Roman"/>
          <w:kern w:val="0"/>
          <w:sz w:val="32"/>
          <w:szCs w:val="32"/>
        </w:rPr>
      </w:pPr>
      <w:r>
        <w:rPr>
          <w:rFonts w:hint="eastAsia" w:ascii="Times New Roman" w:hAnsi="Times New Roman" w:eastAsia="楷体" w:cs="Times New Roman"/>
          <w:kern w:val="0"/>
          <w:sz w:val="32"/>
          <w:szCs w:val="32"/>
        </w:rPr>
        <w:t>投标</w:t>
      </w:r>
      <w:r>
        <w:rPr>
          <w:rFonts w:ascii="Times New Roman" w:hAnsi="Times New Roman" w:eastAsia="楷体" w:cs="Times New Roman"/>
          <w:kern w:val="0"/>
          <w:sz w:val="32"/>
          <w:szCs w:val="32"/>
        </w:rPr>
        <w:t>单位：</w:t>
      </w:r>
      <w:r>
        <w:rPr>
          <w:rFonts w:hint="eastAsia" w:ascii="Times New Roman" w:hAnsi="Times New Roman" w:eastAsia="楷体" w:cs="Times New Roman"/>
          <w:kern w:val="0"/>
          <w:sz w:val="32"/>
          <w:szCs w:val="32"/>
          <w:u w:val="single"/>
        </w:rPr>
        <w:t xml:space="preserve">                    </w:t>
      </w:r>
      <w:r>
        <w:rPr>
          <w:rFonts w:hint="eastAsia" w:ascii="Times New Roman" w:hAnsi="Times New Roman" w:eastAsia="楷体" w:cs="Times New Roman"/>
          <w:kern w:val="0"/>
          <w:sz w:val="32"/>
          <w:szCs w:val="32"/>
        </w:rPr>
        <w:t>（盖章）</w:t>
      </w:r>
    </w:p>
    <w:p>
      <w:pPr>
        <w:wordWrap w:val="0"/>
        <w:ind w:left="1260" w:leftChars="600"/>
        <w:jc w:val="left"/>
        <w:rPr>
          <w:rFonts w:ascii="Times New Roman" w:hAnsi="Times New Roman" w:eastAsia="楷体" w:cs="Times New Roman"/>
          <w:kern w:val="0"/>
          <w:sz w:val="32"/>
          <w:szCs w:val="32"/>
        </w:rPr>
      </w:pPr>
      <w:r>
        <w:rPr>
          <w:rFonts w:hint="eastAsia" w:ascii="Times New Roman" w:hAnsi="Times New Roman" w:eastAsia="楷体" w:cs="Times New Roman"/>
          <w:kern w:val="0"/>
          <w:sz w:val="32"/>
          <w:szCs w:val="32"/>
        </w:rPr>
        <w:t>法定代表人或其委托代理人：</w:t>
      </w:r>
      <w:r>
        <w:rPr>
          <w:rFonts w:hint="eastAsia" w:ascii="Times New Roman" w:hAnsi="Times New Roman" w:eastAsia="楷体" w:cs="Times New Roman"/>
          <w:kern w:val="0"/>
          <w:sz w:val="32"/>
          <w:szCs w:val="32"/>
          <w:u w:val="single"/>
        </w:rPr>
        <w:t xml:space="preserve">    </w:t>
      </w:r>
      <w:r>
        <w:rPr>
          <w:rFonts w:hint="eastAsia" w:ascii="Times New Roman" w:hAnsi="Times New Roman" w:eastAsia="楷体" w:cs="Times New Roman"/>
          <w:kern w:val="0"/>
          <w:sz w:val="32"/>
          <w:szCs w:val="32"/>
        </w:rPr>
        <w:t>（签字）</w:t>
      </w:r>
    </w:p>
    <w:p>
      <w:pPr>
        <w:ind w:firstLine="1920" w:firstLineChars="600"/>
        <w:jc w:val="left"/>
        <w:rPr>
          <w:rFonts w:ascii="Times New Roman" w:hAnsi="Times New Roman" w:eastAsia="楷体" w:cs="Times New Roman"/>
          <w:kern w:val="0"/>
          <w:sz w:val="32"/>
          <w:szCs w:val="32"/>
        </w:rPr>
      </w:pPr>
      <w:r>
        <w:rPr>
          <w:rFonts w:hint="eastAsia" w:ascii="Times New Roman" w:hAnsi="Times New Roman" w:eastAsia="楷体" w:cs="Times New Roman"/>
          <w:kern w:val="0"/>
          <w:sz w:val="32"/>
          <w:szCs w:val="32"/>
          <w:u w:val="single"/>
        </w:rPr>
        <w:t xml:space="preserve">       </w:t>
      </w:r>
      <w:r>
        <w:rPr>
          <w:rFonts w:hint="eastAsia" w:ascii="Times New Roman" w:hAnsi="Times New Roman" w:eastAsia="楷体" w:cs="Times New Roman"/>
          <w:kern w:val="0"/>
          <w:sz w:val="32"/>
          <w:szCs w:val="32"/>
        </w:rPr>
        <w:t>年</w:t>
      </w:r>
      <w:r>
        <w:rPr>
          <w:rFonts w:hint="eastAsia" w:ascii="Times New Roman" w:hAnsi="Times New Roman" w:eastAsia="楷体" w:cs="Times New Roman"/>
          <w:kern w:val="0"/>
          <w:sz w:val="32"/>
          <w:szCs w:val="32"/>
          <w:u w:val="single"/>
        </w:rPr>
        <w:t xml:space="preserve">       </w:t>
      </w:r>
      <w:r>
        <w:rPr>
          <w:rFonts w:hint="eastAsia" w:ascii="Times New Roman" w:hAnsi="Times New Roman" w:eastAsia="楷体" w:cs="Times New Roman"/>
          <w:kern w:val="0"/>
          <w:sz w:val="32"/>
          <w:szCs w:val="32"/>
        </w:rPr>
        <w:t>月</w:t>
      </w:r>
      <w:r>
        <w:rPr>
          <w:rFonts w:hint="eastAsia" w:ascii="Times New Roman" w:hAnsi="Times New Roman" w:eastAsia="楷体" w:cs="Times New Roman"/>
          <w:kern w:val="0"/>
          <w:sz w:val="32"/>
          <w:szCs w:val="32"/>
          <w:u w:val="single"/>
        </w:rPr>
        <w:t xml:space="preserve">       </w:t>
      </w:r>
      <w:r>
        <w:rPr>
          <w:rFonts w:hint="eastAsia" w:ascii="Times New Roman" w:hAnsi="Times New Roman" w:eastAsia="楷体" w:cs="Times New Roman"/>
          <w:kern w:val="0"/>
          <w:sz w:val="32"/>
          <w:szCs w:val="32"/>
        </w:rPr>
        <w:t>日</w:t>
      </w:r>
    </w:p>
    <w:p>
      <w:pPr>
        <w:wordWrap w:val="0"/>
        <w:spacing w:line="520" w:lineRule="exact"/>
        <w:rPr>
          <w:rFonts w:ascii="宋体" w:hAnsi="宋体" w:eastAsia="宋体" w:cs="宋体"/>
          <w:kern w:val="0"/>
          <w:sz w:val="24"/>
        </w:rPr>
      </w:pPr>
      <w:r>
        <w:rPr>
          <w:rFonts w:hint="eastAsia" w:ascii="宋体" w:hAnsi="宋体" w:eastAsia="宋体" w:cs="宋体"/>
          <w:kern w:val="0"/>
          <w:sz w:val="24"/>
        </w:rPr>
        <w:br w:type="page"/>
      </w:r>
    </w:p>
    <w:p>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目录</w:t>
      </w:r>
    </w:p>
    <w:p>
      <w:pPr>
        <w:wordWrap w:val="0"/>
        <w:jc w:val="center"/>
        <w:rPr>
          <w:rFonts w:ascii="Times New Roman" w:hAnsi="Times New Roman" w:eastAsia="黑体" w:cs="Times New Roman"/>
          <w:kern w:val="0"/>
          <w:sz w:val="32"/>
          <w:szCs w:val="32"/>
        </w:rPr>
      </w:pPr>
    </w:p>
    <w:p>
      <w:pPr>
        <w:wordWrap w:val="0"/>
        <w:rPr>
          <w:rFonts w:ascii="Times New Roman" w:hAnsi="Times New Roman" w:eastAsia="黑体" w:cs="Times New Roman"/>
          <w:kern w:val="0"/>
          <w:sz w:val="32"/>
          <w:szCs w:val="32"/>
        </w:rPr>
      </w:pPr>
      <w:r>
        <w:rPr>
          <w:rFonts w:ascii="Times New Roman" w:hAnsi="Times New Roman" w:eastAsia="黑体" w:cs="Times New Roman"/>
          <w:kern w:val="0"/>
          <w:sz w:val="32"/>
          <w:szCs w:val="32"/>
        </w:rPr>
        <w:t>一</w:t>
      </w:r>
      <w:r>
        <w:rPr>
          <w:rFonts w:hint="eastAsia" w:ascii="Times New Roman" w:hAnsi="Times New Roman" w:eastAsia="黑体" w:cs="Times New Roman"/>
          <w:kern w:val="0"/>
          <w:sz w:val="32"/>
          <w:szCs w:val="32"/>
        </w:rPr>
        <w:t>、投标函及投标函附录</w:t>
      </w:r>
    </w:p>
    <w:p>
      <w:pPr>
        <w:wordWrap w:val="0"/>
        <w:rPr>
          <w:rFonts w:ascii="Times New Roman" w:hAnsi="Times New Roman" w:eastAsia="黑体" w:cs="Times New Roman"/>
          <w:kern w:val="0"/>
          <w:sz w:val="32"/>
          <w:szCs w:val="32"/>
        </w:rPr>
      </w:pPr>
      <w:r>
        <w:rPr>
          <w:rFonts w:ascii="Times New Roman" w:hAnsi="Times New Roman" w:eastAsia="黑体" w:cs="Times New Roman"/>
          <w:kern w:val="0"/>
          <w:sz w:val="32"/>
          <w:szCs w:val="32"/>
        </w:rPr>
        <w:t>二</w:t>
      </w:r>
      <w:r>
        <w:rPr>
          <w:rFonts w:hint="eastAsia" w:ascii="Times New Roman" w:hAnsi="Times New Roman" w:eastAsia="黑体" w:cs="Times New Roman"/>
          <w:kern w:val="0"/>
          <w:sz w:val="32"/>
          <w:szCs w:val="32"/>
        </w:rPr>
        <w:t>、法定代表人身份证明</w:t>
      </w:r>
    </w:p>
    <w:p>
      <w:pPr>
        <w:wordWrap w:val="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三、授权委托书</w:t>
      </w:r>
    </w:p>
    <w:p>
      <w:pPr>
        <w:wordWrap w:val="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四、投标保证金</w:t>
      </w:r>
    </w:p>
    <w:p>
      <w:pPr>
        <w:wordWrap w:val="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五、服务方案</w:t>
      </w:r>
    </w:p>
    <w:p>
      <w:pPr>
        <w:wordWrap w:val="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六、项目管理机构</w:t>
      </w:r>
    </w:p>
    <w:p>
      <w:pPr>
        <w:wordWrap w:val="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七、资格审查资料</w:t>
      </w:r>
    </w:p>
    <w:p>
      <w:pPr>
        <w:wordWrap w:val="0"/>
        <w:rPr>
          <w:rFonts w:ascii="Times New Roman" w:hAnsi="Times New Roman" w:eastAsia="黑体" w:cs="Times New Roman"/>
          <w:kern w:val="0"/>
          <w:sz w:val="32"/>
          <w:szCs w:val="32"/>
        </w:rPr>
      </w:pPr>
    </w:p>
    <w:p>
      <w:pPr>
        <w:wordWrap w:val="0"/>
        <w:rPr>
          <w:rFonts w:ascii="Times New Roman" w:hAnsi="Times New Roman" w:eastAsia="黑体" w:cs="Times New Roman"/>
          <w:kern w:val="0"/>
          <w:sz w:val="32"/>
          <w:szCs w:val="32"/>
        </w:rPr>
      </w:pPr>
    </w:p>
    <w:p>
      <w:pPr>
        <w:wordWrap w:val="0"/>
        <w:rPr>
          <w:rFonts w:ascii="Times New Roman" w:hAnsi="Times New Roman" w:eastAsia="黑体" w:cs="Times New Roman"/>
          <w:kern w:val="0"/>
          <w:sz w:val="32"/>
          <w:szCs w:val="32"/>
        </w:rPr>
      </w:pPr>
    </w:p>
    <w:p>
      <w:pPr>
        <w:rPr>
          <w:rFonts w:ascii="宋体" w:hAnsi="宋体" w:eastAsia="宋体" w:cs="宋体"/>
          <w:b/>
          <w:bCs/>
          <w:kern w:val="0"/>
          <w:sz w:val="24"/>
        </w:rPr>
      </w:pPr>
      <w:r>
        <w:rPr>
          <w:rFonts w:hint="eastAsia" w:ascii="宋体" w:hAnsi="宋体" w:eastAsia="宋体" w:cs="宋体"/>
          <w:b/>
          <w:bCs/>
          <w:kern w:val="0"/>
          <w:sz w:val="24"/>
        </w:rPr>
        <w:br w:type="page"/>
      </w:r>
    </w:p>
    <w:p>
      <w:pPr>
        <w:pStyle w:val="3"/>
        <w:jc w:val="center"/>
        <w:rPr>
          <w:rFonts w:ascii="Times New Roman" w:hAnsi="Times New Roman" w:cs="Times New Roman"/>
        </w:rPr>
      </w:pPr>
      <w:bookmarkStart w:id="80" w:name="_Toc179632808"/>
      <w:bookmarkStart w:id="81" w:name="_Toc246997099"/>
      <w:bookmarkStart w:id="82" w:name="_Toc296602602"/>
      <w:bookmarkStart w:id="83" w:name="_Toc152045788"/>
      <w:bookmarkStart w:id="84" w:name="_Toc144974857"/>
      <w:bookmarkStart w:id="85" w:name="_Toc246996356"/>
      <w:bookmarkStart w:id="86" w:name="_Toc247085874"/>
      <w:bookmarkStart w:id="87" w:name="_Toc152042577"/>
      <w:r>
        <w:rPr>
          <w:rFonts w:ascii="Times New Roman" w:hAnsi="Times New Roman" w:cs="Times New Roman"/>
        </w:rPr>
        <w:t>一、投标函及投标函附录</w:t>
      </w:r>
      <w:bookmarkEnd w:id="80"/>
      <w:bookmarkEnd w:id="81"/>
      <w:bookmarkEnd w:id="82"/>
      <w:bookmarkEnd w:id="83"/>
      <w:bookmarkEnd w:id="84"/>
      <w:bookmarkEnd w:id="85"/>
      <w:bookmarkEnd w:id="86"/>
      <w:bookmarkEnd w:id="87"/>
    </w:p>
    <w:p>
      <w:pPr>
        <w:pStyle w:val="4"/>
        <w:jc w:val="center"/>
        <w:rPr>
          <w:rFonts w:ascii="Times New Roman" w:hAnsi="Times New Roman" w:cs="Times New Roman"/>
        </w:rPr>
      </w:pPr>
      <w:bookmarkStart w:id="88" w:name="_Toc144974858"/>
      <w:bookmarkStart w:id="89" w:name="_Toc152045789"/>
      <w:bookmarkStart w:id="90" w:name="_Toc152042578"/>
      <w:bookmarkStart w:id="91" w:name="_Toc179632809"/>
      <w:bookmarkStart w:id="92" w:name="_Toc296602603"/>
      <w:bookmarkStart w:id="93" w:name="_Toc247085875"/>
      <w:bookmarkStart w:id="94" w:name="_Toc246997100"/>
      <w:bookmarkStart w:id="95" w:name="_Toc246996357"/>
      <w:r>
        <w:rPr>
          <w:rFonts w:ascii="Times New Roman" w:hAnsi="Times New Roman" w:cs="Times New Roman"/>
        </w:rPr>
        <w:t>（一）投标函</w:t>
      </w:r>
      <w:bookmarkEnd w:id="88"/>
      <w:bookmarkEnd w:id="89"/>
      <w:bookmarkEnd w:id="90"/>
      <w:bookmarkEnd w:id="91"/>
      <w:bookmarkEnd w:id="92"/>
      <w:bookmarkEnd w:id="93"/>
      <w:bookmarkEnd w:id="94"/>
      <w:bookmarkEnd w:id="95"/>
    </w:p>
    <w:p>
      <w:pPr>
        <w:spacing w:line="440" w:lineRule="exact"/>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（招标人名称）：</w:t>
      </w:r>
    </w:p>
    <w:p>
      <w:pPr>
        <w:spacing w:line="440" w:lineRule="exact"/>
        <w:rPr>
          <w:rFonts w:ascii="Times New Roman" w:hAnsi="Times New Roman" w:cs="Times New Roman"/>
          <w:szCs w:val="21"/>
        </w:rPr>
      </w:pPr>
    </w:p>
    <w:p>
      <w:pPr>
        <w:numPr>
          <w:ilvl w:val="0"/>
          <w:numId w:val="3"/>
        </w:numPr>
        <w:spacing w:line="440" w:lineRule="exact"/>
        <w:ind w:firstLine="420" w:firstLineChars="200"/>
        <w:rPr>
          <w:rFonts w:ascii="Times New Roman" w:hAnsi="Times New Roman" w:cs="Times New Roman"/>
          <w:szCs w:val="21"/>
        </w:rPr>
      </w:pPr>
      <w:r>
        <w:rPr>
          <w:rFonts w:ascii="Times New Roman" w:hAnsi="Times New Roman" w:cs="Times New Roman"/>
          <w:szCs w:val="21"/>
        </w:rPr>
        <w:t>我方已仔细研究了</w:t>
      </w:r>
      <w:r>
        <w:rPr>
          <w:rFonts w:ascii="Times New Roman" w:hAnsi="Times New Roman" w:cs="Times New Roman"/>
          <w:szCs w:val="21"/>
          <w:u w:val="single"/>
        </w:rPr>
        <w:t xml:space="preserve">          </w:t>
      </w:r>
      <w:r>
        <w:rPr>
          <w:rFonts w:ascii="Times New Roman" w:hAnsi="Times New Roman" w:cs="Times New Roman"/>
          <w:szCs w:val="21"/>
        </w:rPr>
        <w:t>（项目名称）招标文件的全部内容，</w:t>
      </w:r>
      <w:r>
        <w:rPr>
          <w:rFonts w:hint="eastAsia" w:ascii="Times New Roman" w:hAnsi="Times New Roman" w:cs="Times New Roman"/>
          <w:szCs w:val="21"/>
        </w:rPr>
        <w:t>我方</w:t>
      </w:r>
      <w:r>
        <w:rPr>
          <w:rFonts w:ascii="Times New Roman" w:hAnsi="Times New Roman" w:cs="Times New Roman"/>
          <w:szCs w:val="21"/>
        </w:rPr>
        <w:t>愿意</w:t>
      </w:r>
      <w:r>
        <w:rPr>
          <w:rFonts w:hint="eastAsia" w:ascii="Times New Roman" w:hAnsi="Times New Roman" w:cs="Times New Roman"/>
          <w:szCs w:val="21"/>
        </w:rPr>
        <w:t>按招标人要求期限完成设计成果</w:t>
      </w:r>
      <w:r>
        <w:rPr>
          <w:rFonts w:ascii="Times New Roman" w:hAnsi="Times New Roman" w:cs="Times New Roman"/>
          <w:szCs w:val="21"/>
        </w:rPr>
        <w:t>，</w:t>
      </w:r>
      <w:r>
        <w:rPr>
          <w:rFonts w:hint="eastAsia" w:ascii="Times New Roman" w:hAnsi="Times New Roman" w:cs="Times New Roman"/>
          <w:szCs w:val="21"/>
        </w:rPr>
        <w:t xml:space="preserve">服务期 </w:t>
      </w:r>
      <w:r>
        <w:rPr>
          <w:rFonts w:hint="eastAsia" w:ascii="Times New Roman" w:hAnsi="Times New Roman" w:cs="Times New Roman"/>
          <w:szCs w:val="21"/>
          <w:u w:val="single"/>
        </w:rPr>
        <w:t xml:space="preserve">           </w:t>
      </w:r>
      <w:r>
        <w:rPr>
          <w:rFonts w:hint="eastAsia" w:ascii="Times New Roman" w:hAnsi="Times New Roman" w:cs="Times New Roman"/>
          <w:szCs w:val="21"/>
        </w:rPr>
        <w:t>。</w:t>
      </w:r>
      <w:r>
        <w:rPr>
          <w:rFonts w:ascii="Times New Roman" w:hAnsi="Times New Roman" w:cs="Times New Roman"/>
          <w:szCs w:val="21"/>
        </w:rPr>
        <w:t>按合同约定实施和完成承包</w:t>
      </w:r>
      <w:r>
        <w:rPr>
          <w:rFonts w:hint="eastAsia" w:ascii="Times New Roman" w:hAnsi="Times New Roman" w:cs="Times New Roman"/>
          <w:szCs w:val="21"/>
        </w:rPr>
        <w:t>项目</w:t>
      </w:r>
      <w:r>
        <w:rPr>
          <w:rFonts w:ascii="Times New Roman" w:hAnsi="Times New Roman" w:cs="Times New Roman"/>
          <w:szCs w:val="21"/>
        </w:rPr>
        <w:t>，修补</w:t>
      </w:r>
      <w:r>
        <w:rPr>
          <w:rFonts w:hint="eastAsia" w:ascii="Times New Roman" w:hAnsi="Times New Roman" w:cs="Times New Roman"/>
          <w:szCs w:val="21"/>
        </w:rPr>
        <w:t>设计</w:t>
      </w:r>
      <w:r>
        <w:rPr>
          <w:rFonts w:ascii="Times New Roman" w:hAnsi="Times New Roman" w:cs="Times New Roman"/>
          <w:szCs w:val="21"/>
        </w:rPr>
        <w:t>中的任何缺陷，质量</w:t>
      </w:r>
      <w:r>
        <w:rPr>
          <w:rFonts w:hint="eastAsia" w:ascii="Times New Roman" w:hAnsi="Times New Roman" w:cs="Times New Roman"/>
          <w:szCs w:val="21"/>
        </w:rPr>
        <w:t>标准</w:t>
      </w:r>
      <w:r>
        <w:rPr>
          <w:rFonts w:ascii="Times New Roman" w:hAnsi="Times New Roman" w:cs="Times New Roman"/>
          <w:szCs w:val="21"/>
        </w:rPr>
        <w:t>达到</w:t>
      </w:r>
      <w:r>
        <w:rPr>
          <w:rFonts w:ascii="Times New Roman" w:hAnsi="Times New Roman" w:cs="Times New Roman"/>
          <w:szCs w:val="21"/>
          <w:u w:val="single"/>
        </w:rPr>
        <w:t xml:space="preserve">      </w:t>
      </w:r>
      <w:r>
        <w:rPr>
          <w:rFonts w:ascii="Times New Roman" w:hAnsi="Times New Roman" w:cs="Times New Roman"/>
          <w:szCs w:val="21"/>
        </w:rPr>
        <w:t>。</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2．我方承诺在招标文件规定的投标有效期内不修改、撤销投标文件。</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3．随同本投标函提交投标保证金一份，金额为人民币（大写）</w:t>
      </w:r>
      <w:r>
        <w:rPr>
          <w:rFonts w:ascii="Times New Roman" w:hAnsi="Times New Roman" w:cs="Times New Roman"/>
          <w:szCs w:val="21"/>
          <w:u w:val="single"/>
        </w:rPr>
        <w:t xml:space="preserve">        </w:t>
      </w:r>
      <w:r>
        <w:rPr>
          <w:rFonts w:ascii="Times New Roman" w:hAnsi="Times New Roman" w:cs="Times New Roman"/>
          <w:szCs w:val="21"/>
        </w:rPr>
        <w:t>（¥</w:t>
      </w:r>
      <w:r>
        <w:rPr>
          <w:rFonts w:ascii="Times New Roman" w:hAnsi="Times New Roman" w:cs="Times New Roman"/>
          <w:szCs w:val="21"/>
          <w:u w:val="single"/>
        </w:rPr>
        <w:t xml:space="preserve">       </w:t>
      </w:r>
      <w:r>
        <w:rPr>
          <w:rFonts w:ascii="Times New Roman" w:hAnsi="Times New Roman" w:cs="Times New Roman"/>
          <w:szCs w:val="21"/>
        </w:rPr>
        <w:t>）。</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4．如我方中标：</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（2）随同本投标函递交的投标函附录属于合同文件的组成部分。</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（3）我方承诺按照招标文件规定向你方递交履约担保。</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（4）我方承诺在合同约定的期限内完成并移交全部合同工程。</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5．</w:t>
      </w:r>
      <w:r>
        <w:rPr>
          <w:rFonts w:ascii="Times New Roman" w:hAnsi="Times New Roman" w:cs="Times New Roman"/>
        </w:rPr>
        <w:t>我方在此声明，所递交的投标文件及有关资料内容完整、真实和准确，且不存在第二章“投标人须知”第1.4.2项和第1.4.3项规定的任何一种情形。</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6．</w:t>
      </w:r>
      <w:r>
        <w:rPr>
          <w:rFonts w:ascii="Times New Roman" w:hAnsi="Times New Roman" w:cs="Times New Roman"/>
          <w:szCs w:val="21"/>
          <w:u w:val="single"/>
        </w:rPr>
        <w:t xml:space="preserve">                                       </w:t>
      </w:r>
      <w:r>
        <w:rPr>
          <w:rFonts w:ascii="Times New Roman" w:hAnsi="Times New Roman" w:cs="Times New Roman"/>
          <w:szCs w:val="21"/>
        </w:rPr>
        <w:t>（其他补充说明）。</w:t>
      </w:r>
    </w:p>
    <w:p>
      <w:pPr>
        <w:spacing w:line="440" w:lineRule="exact"/>
        <w:rPr>
          <w:rFonts w:ascii="Times New Roman" w:hAnsi="Times New Roman" w:cs="Times New Roman"/>
          <w:szCs w:val="21"/>
        </w:rPr>
      </w:pP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投 标 人：</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法定代表人或其委托代理人：</w:t>
      </w:r>
      <w:r>
        <w:rPr>
          <w:rFonts w:ascii="Times New Roman" w:hAnsi="Times New Roman" w:cs="Times New Roman"/>
          <w:szCs w:val="21"/>
          <w:u w:val="single"/>
        </w:rPr>
        <w:t xml:space="preserve">          </w:t>
      </w:r>
      <w:r>
        <w:rPr>
          <w:rFonts w:ascii="Times New Roman" w:hAnsi="Times New Roman" w:cs="Times New Roman"/>
          <w:szCs w:val="21"/>
        </w:rPr>
        <w:t>（签字）</w:t>
      </w: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地址：</w:t>
      </w:r>
      <w:r>
        <w:rPr>
          <w:rFonts w:ascii="Times New Roman" w:hAnsi="Times New Roman" w:cs="Times New Roman"/>
          <w:szCs w:val="21"/>
          <w:u w:val="single"/>
        </w:rPr>
        <w:t xml:space="preserve">                                     </w:t>
      </w: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电话：</w:t>
      </w:r>
      <w:r>
        <w:rPr>
          <w:rFonts w:ascii="Times New Roman" w:hAnsi="Times New Roman" w:cs="Times New Roman"/>
          <w:szCs w:val="21"/>
          <w:u w:val="single"/>
        </w:rPr>
        <w:t xml:space="preserve">                                     </w:t>
      </w: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传真：</w:t>
      </w:r>
      <w:r>
        <w:rPr>
          <w:rFonts w:ascii="Times New Roman" w:hAnsi="Times New Roman" w:cs="Times New Roman"/>
          <w:szCs w:val="21"/>
          <w:u w:val="single"/>
        </w:rPr>
        <w:t xml:space="preserve">                                     </w:t>
      </w: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邮政编码：</w:t>
      </w:r>
      <w:r>
        <w:rPr>
          <w:rFonts w:ascii="Times New Roman" w:hAnsi="Times New Roman" w:cs="Times New Roman"/>
          <w:szCs w:val="21"/>
          <w:u w:val="single"/>
        </w:rPr>
        <w:t xml:space="preserve">                                 </w:t>
      </w:r>
    </w:p>
    <w:p>
      <w:pPr>
        <w:spacing w:line="440" w:lineRule="exact"/>
        <w:ind w:firstLine="5040" w:firstLineChars="2400"/>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p>
      <w:pPr>
        <w:spacing w:line="440" w:lineRule="exact"/>
        <w:rPr>
          <w:rFonts w:ascii="Times New Roman" w:hAnsi="Times New Roman" w:eastAsia="黑体" w:cs="Times New Roman"/>
          <w:szCs w:val="21"/>
        </w:rPr>
      </w:pPr>
    </w:p>
    <w:p>
      <w:pPr>
        <w:spacing w:line="440" w:lineRule="exact"/>
        <w:rPr>
          <w:rFonts w:ascii="Times New Roman" w:hAnsi="Times New Roman" w:eastAsia="黑体" w:cs="Times New Roman"/>
          <w:sz w:val="20"/>
          <w:szCs w:val="20"/>
        </w:rPr>
      </w:pPr>
      <w:r>
        <w:rPr>
          <w:rFonts w:ascii="Times New Roman" w:hAnsi="Times New Roman" w:eastAsia="黑体" w:cs="Times New Roman"/>
          <w:sz w:val="20"/>
          <w:szCs w:val="20"/>
        </w:rPr>
        <w:br w:type="page"/>
      </w:r>
    </w:p>
    <w:p>
      <w:pPr>
        <w:pStyle w:val="4"/>
        <w:jc w:val="center"/>
        <w:rPr>
          <w:rFonts w:ascii="Times New Roman" w:hAnsi="Times New Roman" w:cs="Times New Roman"/>
        </w:rPr>
      </w:pPr>
      <w:bookmarkStart w:id="96" w:name="_Toc144974859"/>
      <w:bookmarkStart w:id="97" w:name="_Toc246996358"/>
      <w:bookmarkStart w:id="98" w:name="_Toc247085876"/>
      <w:bookmarkStart w:id="99" w:name="_Toc296602604"/>
      <w:bookmarkStart w:id="100" w:name="_Toc246997101"/>
      <w:bookmarkStart w:id="101" w:name="_Toc179632810"/>
      <w:bookmarkStart w:id="102" w:name="_Toc152045790"/>
      <w:bookmarkStart w:id="103" w:name="_Toc152042579"/>
      <w:r>
        <w:rPr>
          <w:rFonts w:ascii="Times New Roman" w:hAnsi="Times New Roman" w:cs="Times New Roman"/>
        </w:rPr>
        <w:t>（二）投标函附录</w:t>
      </w:r>
      <w:bookmarkEnd w:id="96"/>
      <w:bookmarkEnd w:id="97"/>
      <w:bookmarkEnd w:id="98"/>
      <w:bookmarkEnd w:id="99"/>
      <w:bookmarkEnd w:id="100"/>
      <w:bookmarkEnd w:id="101"/>
      <w:bookmarkEnd w:id="102"/>
      <w:bookmarkEnd w:id="103"/>
    </w:p>
    <w:p>
      <w:pPr>
        <w:spacing w:line="440" w:lineRule="exact"/>
        <w:rPr>
          <w:rFonts w:ascii="Times New Roman" w:hAnsi="Times New Roman" w:eastAsia="黑体" w:cs="Times New Roman"/>
          <w:sz w:val="20"/>
          <w:szCs w:val="20"/>
        </w:rPr>
      </w:pPr>
    </w:p>
    <w:tbl>
      <w:tblPr>
        <w:tblStyle w:val="14"/>
        <w:tblW w:w="85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2337"/>
        <w:gridCol w:w="4864"/>
        <w:gridCol w:w="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0" w:type="dxa"/>
            <w:vAlign w:val="center"/>
          </w:tcPr>
          <w:p>
            <w:pPr>
              <w:spacing w:line="440" w:lineRule="exact"/>
              <w:jc w:val="center"/>
              <w:rPr>
                <w:rFonts w:ascii="Times New Roman" w:hAnsi="Times New Roman" w:cs="Times New Roman"/>
                <w:b/>
                <w:szCs w:val="21"/>
              </w:rPr>
            </w:pPr>
            <w:r>
              <w:rPr>
                <w:rFonts w:ascii="Times New Roman" w:hAnsi="Times New Roman" w:cs="Times New Roman"/>
                <w:b/>
                <w:szCs w:val="21"/>
              </w:rPr>
              <w:t>序号</w:t>
            </w:r>
          </w:p>
        </w:tc>
        <w:tc>
          <w:tcPr>
            <w:tcW w:w="2337" w:type="dxa"/>
            <w:vAlign w:val="center"/>
          </w:tcPr>
          <w:p>
            <w:pPr>
              <w:spacing w:line="440" w:lineRule="exact"/>
              <w:jc w:val="center"/>
              <w:rPr>
                <w:rFonts w:ascii="Times New Roman" w:hAnsi="Times New Roman" w:cs="Times New Roman"/>
                <w:b/>
                <w:szCs w:val="21"/>
              </w:rPr>
            </w:pPr>
            <w:r>
              <w:rPr>
                <w:rFonts w:ascii="Times New Roman" w:hAnsi="Times New Roman" w:cs="Times New Roman"/>
                <w:b/>
                <w:szCs w:val="21"/>
              </w:rPr>
              <w:t>条款名称</w:t>
            </w:r>
          </w:p>
        </w:tc>
        <w:tc>
          <w:tcPr>
            <w:tcW w:w="4864" w:type="dxa"/>
            <w:vAlign w:val="center"/>
          </w:tcPr>
          <w:p>
            <w:pPr>
              <w:spacing w:line="440" w:lineRule="exact"/>
              <w:jc w:val="center"/>
              <w:rPr>
                <w:rFonts w:ascii="Times New Roman" w:hAnsi="Times New Roman" w:cs="Times New Roman"/>
                <w:b/>
                <w:szCs w:val="21"/>
              </w:rPr>
            </w:pPr>
            <w:r>
              <w:rPr>
                <w:rFonts w:ascii="Times New Roman" w:hAnsi="Times New Roman" w:cs="Times New Roman"/>
                <w:b/>
                <w:szCs w:val="21"/>
              </w:rPr>
              <w:t>约定内容</w:t>
            </w:r>
          </w:p>
        </w:tc>
        <w:tc>
          <w:tcPr>
            <w:tcW w:w="718" w:type="dxa"/>
            <w:vAlign w:val="center"/>
          </w:tcPr>
          <w:p>
            <w:pPr>
              <w:spacing w:line="440" w:lineRule="exact"/>
              <w:jc w:val="center"/>
              <w:rPr>
                <w:rFonts w:ascii="Times New Roman" w:hAnsi="Times New Roman" w:cs="Times New Roman"/>
                <w:b/>
                <w:szCs w:val="21"/>
              </w:rPr>
            </w:pPr>
            <w:r>
              <w:rPr>
                <w:rFonts w:ascii="Times New Roman" w:hAnsi="Times New Roman" w:cs="Times New Roman"/>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0" w:type="dxa"/>
            <w:vAlign w:val="center"/>
          </w:tcPr>
          <w:p>
            <w:pPr>
              <w:spacing w:line="440" w:lineRule="exact"/>
              <w:jc w:val="center"/>
              <w:rPr>
                <w:rFonts w:ascii="Times New Roman" w:hAnsi="Times New Roman" w:cs="Times New Roman"/>
                <w:szCs w:val="21"/>
              </w:rPr>
            </w:pPr>
            <w:r>
              <w:rPr>
                <w:rFonts w:hint="eastAsia" w:ascii="Times New Roman" w:hAnsi="Times New Roman" w:cs="Times New Roman"/>
                <w:szCs w:val="21"/>
              </w:rPr>
              <w:t>1</w:t>
            </w:r>
          </w:p>
        </w:tc>
        <w:tc>
          <w:tcPr>
            <w:tcW w:w="2337" w:type="dxa"/>
            <w:vAlign w:val="center"/>
          </w:tcPr>
          <w:p>
            <w:pPr>
              <w:spacing w:line="440" w:lineRule="exact"/>
              <w:jc w:val="center"/>
              <w:rPr>
                <w:rFonts w:ascii="Times New Roman" w:hAnsi="Times New Roman" w:cs="Times New Roman"/>
                <w:szCs w:val="21"/>
              </w:rPr>
            </w:pPr>
            <w:r>
              <w:rPr>
                <w:rFonts w:hint="eastAsia" w:ascii="Times New Roman" w:hAnsi="Times New Roman" w:cs="Times New Roman"/>
                <w:szCs w:val="21"/>
              </w:rPr>
              <w:t>项目名称</w:t>
            </w:r>
          </w:p>
        </w:tc>
        <w:tc>
          <w:tcPr>
            <w:tcW w:w="4864" w:type="dxa"/>
            <w:vAlign w:val="center"/>
          </w:tcPr>
          <w:p>
            <w:pPr>
              <w:spacing w:line="440" w:lineRule="exact"/>
              <w:rPr>
                <w:rFonts w:ascii="Times New Roman" w:hAnsi="Times New Roman" w:cs="Times New Roman"/>
                <w:szCs w:val="21"/>
              </w:rPr>
            </w:pPr>
          </w:p>
        </w:tc>
        <w:tc>
          <w:tcPr>
            <w:tcW w:w="718" w:type="dxa"/>
            <w:vAlign w:val="center"/>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0" w:type="dxa"/>
            <w:vAlign w:val="center"/>
          </w:tcPr>
          <w:p>
            <w:pPr>
              <w:spacing w:line="440" w:lineRule="exact"/>
              <w:jc w:val="center"/>
              <w:rPr>
                <w:rFonts w:ascii="Times New Roman" w:hAnsi="Times New Roman" w:cs="Times New Roman"/>
                <w:szCs w:val="21"/>
              </w:rPr>
            </w:pPr>
            <w:r>
              <w:rPr>
                <w:rFonts w:hint="eastAsia" w:ascii="Times New Roman" w:hAnsi="Times New Roman" w:cs="Times New Roman"/>
                <w:szCs w:val="21"/>
              </w:rPr>
              <w:t>2</w:t>
            </w:r>
          </w:p>
        </w:tc>
        <w:tc>
          <w:tcPr>
            <w:tcW w:w="2337" w:type="dxa"/>
            <w:vAlign w:val="center"/>
          </w:tcPr>
          <w:p>
            <w:pPr>
              <w:spacing w:line="440" w:lineRule="exact"/>
              <w:jc w:val="center"/>
              <w:rPr>
                <w:rFonts w:ascii="Times New Roman" w:hAnsi="Times New Roman" w:cs="Times New Roman"/>
                <w:szCs w:val="21"/>
              </w:rPr>
            </w:pPr>
            <w:r>
              <w:rPr>
                <w:rFonts w:hint="eastAsia" w:ascii="Times New Roman" w:hAnsi="Times New Roman" w:cs="Times New Roman"/>
                <w:szCs w:val="21"/>
              </w:rPr>
              <w:t>投标报价（按费率%报价）</w:t>
            </w:r>
          </w:p>
        </w:tc>
        <w:tc>
          <w:tcPr>
            <w:tcW w:w="4864" w:type="dxa"/>
            <w:vAlign w:val="center"/>
          </w:tcPr>
          <w:p>
            <w:pPr>
              <w:spacing w:line="440" w:lineRule="exact"/>
              <w:ind w:firstLine="630" w:firstLineChars="300"/>
              <w:rPr>
                <w:rFonts w:ascii="Times New Roman" w:hAnsi="Times New Roman" w:cs="Times New Roman"/>
                <w:szCs w:val="21"/>
              </w:rPr>
            </w:pPr>
            <w:r>
              <w:rPr>
                <w:rFonts w:hint="eastAsia" w:ascii="Times New Roman" w:hAnsi="Times New Roman" w:cs="Times New Roman"/>
                <w:szCs w:val="21"/>
              </w:rPr>
              <w:t>投标报价为     %（小数点保留2位）</w:t>
            </w:r>
          </w:p>
        </w:tc>
        <w:tc>
          <w:tcPr>
            <w:tcW w:w="718" w:type="dxa"/>
            <w:vAlign w:val="center"/>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650" w:type="dxa"/>
            <w:vAlign w:val="center"/>
          </w:tcPr>
          <w:p>
            <w:pPr>
              <w:spacing w:line="440" w:lineRule="exact"/>
              <w:jc w:val="center"/>
              <w:rPr>
                <w:rFonts w:ascii="Times New Roman" w:hAnsi="Times New Roman" w:cs="Times New Roman"/>
                <w:szCs w:val="21"/>
              </w:rPr>
            </w:pPr>
            <w:r>
              <w:rPr>
                <w:rFonts w:hint="eastAsia" w:ascii="Times New Roman" w:hAnsi="Times New Roman" w:cs="Times New Roman"/>
                <w:szCs w:val="21"/>
              </w:rPr>
              <w:t>3</w:t>
            </w:r>
          </w:p>
        </w:tc>
        <w:tc>
          <w:tcPr>
            <w:tcW w:w="2337" w:type="dxa"/>
            <w:vAlign w:val="center"/>
          </w:tcPr>
          <w:p>
            <w:pPr>
              <w:spacing w:line="440" w:lineRule="exact"/>
              <w:jc w:val="center"/>
              <w:rPr>
                <w:rFonts w:ascii="Times New Roman" w:hAnsi="Times New Roman" w:cs="Times New Roman"/>
                <w:szCs w:val="21"/>
              </w:rPr>
            </w:pPr>
            <w:r>
              <w:rPr>
                <w:rFonts w:hint="eastAsia" w:ascii="Times New Roman" w:hAnsi="Times New Roman" w:cs="Times New Roman"/>
                <w:szCs w:val="21"/>
              </w:rPr>
              <w:t>总设计负责人</w:t>
            </w:r>
          </w:p>
        </w:tc>
        <w:tc>
          <w:tcPr>
            <w:tcW w:w="4864" w:type="dxa"/>
            <w:vAlign w:val="center"/>
          </w:tcPr>
          <w:p>
            <w:pPr>
              <w:spacing w:line="440" w:lineRule="exact"/>
              <w:rPr>
                <w:rFonts w:ascii="Times New Roman" w:hAnsi="Times New Roman" w:cs="Times New Roman"/>
                <w:szCs w:val="21"/>
                <w:u w:val="single"/>
              </w:rPr>
            </w:pPr>
            <w:r>
              <w:rPr>
                <w:rFonts w:ascii="Times New Roman" w:hAnsi="Times New Roman" w:cs="Times New Roman"/>
                <w:szCs w:val="21"/>
              </w:rPr>
              <w:t>姓名：</w:t>
            </w:r>
            <w:r>
              <w:rPr>
                <w:rFonts w:ascii="Times New Roman" w:hAnsi="Times New Roman" w:cs="Times New Roman"/>
                <w:szCs w:val="21"/>
                <w:u w:val="single"/>
              </w:rPr>
              <w:t xml:space="preserve">           </w:t>
            </w:r>
          </w:p>
          <w:p>
            <w:pPr>
              <w:spacing w:line="440" w:lineRule="exact"/>
              <w:rPr>
                <w:rFonts w:ascii="Times New Roman" w:hAnsi="Times New Roman" w:cs="Times New Roman"/>
                <w:szCs w:val="21"/>
                <w:u w:val="single"/>
              </w:rPr>
            </w:pPr>
            <w:r>
              <w:rPr>
                <w:rFonts w:hint="eastAsia" w:ascii="Times New Roman" w:hAnsi="Times New Roman" w:cs="Times New Roman"/>
                <w:szCs w:val="21"/>
              </w:rPr>
              <w:t>身份证件号：</w:t>
            </w:r>
            <w:r>
              <w:rPr>
                <w:rFonts w:ascii="Times New Roman" w:hAnsi="Times New Roman" w:cs="Times New Roman"/>
                <w:szCs w:val="21"/>
                <w:u w:val="single"/>
              </w:rPr>
              <w:t xml:space="preserve">           </w:t>
            </w:r>
          </w:p>
        </w:tc>
        <w:tc>
          <w:tcPr>
            <w:tcW w:w="718" w:type="dxa"/>
            <w:vAlign w:val="center"/>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650" w:type="dxa"/>
            <w:vAlign w:val="center"/>
          </w:tcPr>
          <w:p>
            <w:pPr>
              <w:spacing w:line="440" w:lineRule="exact"/>
              <w:jc w:val="center"/>
              <w:rPr>
                <w:rFonts w:hint="eastAsia" w:ascii="Times New Roman" w:hAnsi="Times New Roman" w:cs="Times New Roman"/>
                <w:szCs w:val="21"/>
              </w:rPr>
            </w:pPr>
            <w:r>
              <w:rPr>
                <w:rFonts w:hint="eastAsia" w:ascii="Times New Roman" w:hAnsi="Times New Roman" w:cs="Times New Roman"/>
                <w:szCs w:val="21"/>
              </w:rPr>
              <w:t>4</w:t>
            </w:r>
          </w:p>
        </w:tc>
        <w:tc>
          <w:tcPr>
            <w:tcW w:w="2337" w:type="dxa"/>
            <w:vAlign w:val="center"/>
          </w:tcPr>
          <w:p>
            <w:pPr>
              <w:spacing w:line="440" w:lineRule="exact"/>
              <w:jc w:val="center"/>
              <w:rPr>
                <w:rFonts w:hint="eastAsia" w:ascii="Times New Roman" w:hAnsi="Times New Roman" w:cs="Times New Roman"/>
                <w:szCs w:val="21"/>
              </w:rPr>
            </w:pPr>
            <w:r>
              <w:rPr>
                <w:rFonts w:hint="eastAsia" w:ascii="Times New Roman" w:hAnsi="Times New Roman" w:cs="Times New Roman"/>
                <w:szCs w:val="21"/>
              </w:rPr>
              <w:t>是否响应招标文件</w:t>
            </w:r>
          </w:p>
        </w:tc>
        <w:tc>
          <w:tcPr>
            <w:tcW w:w="4864" w:type="dxa"/>
            <w:vAlign w:val="center"/>
          </w:tcPr>
          <w:p>
            <w:pPr>
              <w:autoSpaceDN w:val="0"/>
              <w:spacing w:line="360" w:lineRule="auto"/>
              <w:jc w:val="center"/>
              <w:rPr>
                <w:rFonts w:ascii="Times New Roman" w:hAnsi="Times New Roman" w:cs="Times New Roman"/>
                <w:szCs w:val="21"/>
              </w:rPr>
            </w:pPr>
            <w:r>
              <w:rPr>
                <w:rFonts w:hint="eastAsia" w:ascii="Times New Roman" w:hAnsi="Times New Roman" w:cs="Times New Roman"/>
                <w:szCs w:val="21"/>
                <w:shd w:val="clear" w:fill="FFFF00"/>
              </w:rPr>
              <w:t>请填写“响应”或者“不响应”</w:t>
            </w:r>
          </w:p>
        </w:tc>
        <w:tc>
          <w:tcPr>
            <w:tcW w:w="718" w:type="dxa"/>
            <w:vAlign w:val="center"/>
          </w:tcPr>
          <w:p>
            <w:pPr>
              <w:spacing w:line="440" w:lineRule="exact"/>
              <w:jc w:val="center"/>
              <w:rPr>
                <w:rFonts w:ascii="Times New Roman" w:hAnsi="Times New Roman" w:cs="Times New Roman"/>
                <w:szCs w:val="21"/>
              </w:rPr>
            </w:pPr>
          </w:p>
        </w:tc>
      </w:tr>
    </w:tbl>
    <w:p>
      <w:pPr>
        <w:spacing w:line="440" w:lineRule="exact"/>
        <w:ind w:firstLine="400" w:firstLineChars="200"/>
        <w:rPr>
          <w:rFonts w:ascii="Times New Roman" w:hAnsi="Times New Roman" w:cs="Times New Roman"/>
          <w:sz w:val="20"/>
          <w:szCs w:val="20"/>
        </w:rPr>
      </w:pPr>
      <w:r>
        <w:rPr>
          <w:rFonts w:ascii="Times New Roman" w:hAnsi="Times New Roman" w:cs="Times New Roman"/>
          <w:sz w:val="20"/>
          <w:szCs w:val="20"/>
        </w:rPr>
        <w:t>注：1.表中投标报价即为</w:t>
      </w:r>
      <w:r>
        <w:rPr>
          <w:rFonts w:hint="eastAsia" w:ascii="Times New Roman" w:hAnsi="Times New Roman" w:cs="Times New Roman"/>
          <w:sz w:val="20"/>
          <w:szCs w:val="20"/>
        </w:rPr>
        <w:t>最终</w:t>
      </w:r>
      <w:r>
        <w:rPr>
          <w:rFonts w:ascii="Times New Roman" w:hAnsi="Times New Roman" w:cs="Times New Roman"/>
          <w:sz w:val="20"/>
          <w:szCs w:val="20"/>
        </w:rPr>
        <w:t>报价，并作为评审及</w:t>
      </w:r>
      <w:r>
        <w:rPr>
          <w:rFonts w:hint="eastAsia" w:ascii="Times New Roman" w:hAnsi="Times New Roman" w:cs="Times New Roman"/>
          <w:sz w:val="20"/>
          <w:szCs w:val="20"/>
        </w:rPr>
        <w:t>定</w:t>
      </w:r>
      <w:r>
        <w:rPr>
          <w:rFonts w:ascii="Times New Roman" w:hAnsi="Times New Roman" w:cs="Times New Roman"/>
          <w:sz w:val="20"/>
          <w:szCs w:val="20"/>
        </w:rPr>
        <w:t>标依据。任何有选择或有条件的投标报价或者表中填写多个报价，均为无效报价</w:t>
      </w:r>
      <w:r>
        <w:rPr>
          <w:rFonts w:hint="eastAsia" w:ascii="Times New Roman" w:hAnsi="Times New Roman" w:cs="Times New Roman"/>
          <w:sz w:val="20"/>
          <w:szCs w:val="20"/>
        </w:rPr>
        <w:t>；</w:t>
      </w:r>
    </w:p>
    <w:p>
      <w:pPr>
        <w:spacing w:line="440" w:lineRule="exact"/>
        <w:ind w:firstLine="800" w:firstLineChars="400"/>
        <w:rPr>
          <w:rFonts w:ascii="Times New Roman" w:hAnsi="Times New Roman" w:cs="Times New Roman"/>
          <w:sz w:val="20"/>
          <w:szCs w:val="20"/>
        </w:rPr>
      </w:pPr>
      <w:r>
        <w:rPr>
          <w:rFonts w:hint="eastAsia" w:ascii="Times New Roman" w:hAnsi="Times New Roman" w:cs="Times New Roman"/>
          <w:sz w:val="20"/>
          <w:szCs w:val="20"/>
        </w:rPr>
        <w:t>2.投标</w:t>
      </w:r>
      <w:r>
        <w:rPr>
          <w:rFonts w:ascii="Times New Roman" w:hAnsi="Times New Roman" w:cs="Times New Roman"/>
          <w:sz w:val="20"/>
          <w:szCs w:val="20"/>
        </w:rPr>
        <w:t>报价</w:t>
      </w:r>
      <w:r>
        <w:rPr>
          <w:rFonts w:hint="eastAsia" w:ascii="Times New Roman" w:hAnsi="Times New Roman" w:cs="Times New Roman"/>
          <w:sz w:val="20"/>
          <w:szCs w:val="20"/>
        </w:rPr>
        <w:t>应包括</w:t>
      </w:r>
      <w:r>
        <w:rPr>
          <w:rFonts w:ascii="Times New Roman" w:hAnsi="Times New Roman" w:cs="Times New Roman"/>
          <w:sz w:val="20"/>
          <w:szCs w:val="20"/>
        </w:rPr>
        <w:t>全部费用；</w:t>
      </w:r>
    </w:p>
    <w:p>
      <w:pPr>
        <w:spacing w:line="440" w:lineRule="exact"/>
        <w:ind w:firstLine="400" w:firstLineChars="200"/>
        <w:rPr>
          <w:rFonts w:asciiTheme="minorEastAsia" w:hAnsiTheme="minorEastAsia" w:cstheme="minorEastAsia"/>
          <w:sz w:val="20"/>
          <w:szCs w:val="20"/>
        </w:rPr>
      </w:pPr>
    </w:p>
    <w:p>
      <w:pPr>
        <w:spacing w:line="440" w:lineRule="exact"/>
        <w:ind w:firstLine="400" w:firstLineChars="200"/>
        <w:rPr>
          <w:rFonts w:asciiTheme="minorEastAsia" w:hAnsiTheme="minorEastAsia" w:cstheme="minorEastAsia"/>
          <w:sz w:val="20"/>
          <w:szCs w:val="20"/>
        </w:rPr>
      </w:pP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投 标 人：</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法定代表人或其委托代理人：</w:t>
      </w:r>
      <w:r>
        <w:rPr>
          <w:rFonts w:ascii="Times New Roman" w:hAnsi="Times New Roman" w:cs="Times New Roman"/>
          <w:szCs w:val="21"/>
          <w:u w:val="single"/>
        </w:rPr>
        <w:t xml:space="preserve">          </w:t>
      </w:r>
      <w:r>
        <w:rPr>
          <w:rFonts w:ascii="Times New Roman" w:hAnsi="Times New Roman" w:cs="Times New Roman"/>
          <w:szCs w:val="21"/>
        </w:rPr>
        <w:t>（签字）</w:t>
      </w:r>
    </w:p>
    <w:p>
      <w:pPr>
        <w:spacing w:line="440" w:lineRule="exact"/>
        <w:ind w:firstLine="5040" w:firstLineChars="2400"/>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p>
      <w:pPr>
        <w:rPr>
          <w:rFonts w:eastAsia="黑体"/>
          <w:sz w:val="20"/>
          <w:szCs w:val="20"/>
        </w:rPr>
      </w:pPr>
      <w:r>
        <w:rPr>
          <w:rFonts w:hint="eastAsia" w:ascii="宋体" w:hAnsi="宋体" w:eastAsia="宋体" w:cs="宋体"/>
          <w:b/>
          <w:bCs/>
          <w:kern w:val="0"/>
          <w:sz w:val="24"/>
        </w:rPr>
        <w:br w:type="page"/>
      </w:r>
    </w:p>
    <w:p>
      <w:pPr>
        <w:pStyle w:val="3"/>
        <w:jc w:val="center"/>
      </w:pPr>
      <w:bookmarkStart w:id="104" w:name="_Toc152045791"/>
      <w:bookmarkStart w:id="105" w:name="_Toc296602605"/>
      <w:bookmarkStart w:id="106" w:name="_Toc247085877"/>
      <w:bookmarkStart w:id="107" w:name="_Toc246996359"/>
      <w:bookmarkStart w:id="108" w:name="_Toc179632811"/>
      <w:bookmarkStart w:id="109" w:name="_Toc152042580"/>
      <w:bookmarkStart w:id="110" w:name="_Toc246997102"/>
      <w:bookmarkStart w:id="111" w:name="_Toc144974860"/>
      <w:r>
        <w:t>二、法定代表人身份证明</w:t>
      </w:r>
      <w:bookmarkEnd w:id="104"/>
      <w:bookmarkEnd w:id="105"/>
      <w:bookmarkEnd w:id="106"/>
      <w:bookmarkEnd w:id="107"/>
      <w:bookmarkEnd w:id="108"/>
      <w:bookmarkEnd w:id="109"/>
      <w:bookmarkEnd w:id="110"/>
      <w:bookmarkEnd w:id="111"/>
    </w:p>
    <w:p>
      <w:pPr>
        <w:spacing w:line="440" w:lineRule="exact"/>
        <w:rPr>
          <w:sz w:val="20"/>
          <w:szCs w:val="20"/>
        </w:rPr>
      </w:pPr>
    </w:p>
    <w:p>
      <w:pPr>
        <w:spacing w:line="440" w:lineRule="exact"/>
        <w:rPr>
          <w:szCs w:val="21"/>
        </w:rPr>
      </w:pPr>
    </w:p>
    <w:p>
      <w:pPr>
        <w:spacing w:line="440" w:lineRule="exact"/>
        <w:rPr>
          <w:szCs w:val="21"/>
        </w:rPr>
      </w:pPr>
      <w:r>
        <w:rPr>
          <w:szCs w:val="21"/>
        </w:rPr>
        <w:t>投标人名称：</w:t>
      </w:r>
      <w:r>
        <w:rPr>
          <w:szCs w:val="21"/>
          <w:u w:val="single"/>
        </w:rPr>
        <w:t xml:space="preserve">                            </w:t>
      </w:r>
      <w:r>
        <w:rPr>
          <w:szCs w:val="21"/>
        </w:rPr>
        <w:t xml:space="preserve"> </w:t>
      </w:r>
    </w:p>
    <w:p>
      <w:pPr>
        <w:spacing w:line="440" w:lineRule="exact"/>
        <w:rPr>
          <w:szCs w:val="21"/>
        </w:rPr>
      </w:pPr>
      <w:r>
        <w:rPr>
          <w:szCs w:val="21"/>
        </w:rPr>
        <w:t>单位性质：</w:t>
      </w:r>
      <w:r>
        <w:rPr>
          <w:szCs w:val="21"/>
          <w:u w:val="single"/>
        </w:rPr>
        <w:t xml:space="preserve">                               </w:t>
      </w:r>
      <w:r>
        <w:rPr>
          <w:szCs w:val="21"/>
        </w:rPr>
        <w:t xml:space="preserve"> </w:t>
      </w:r>
    </w:p>
    <w:p>
      <w:pPr>
        <w:spacing w:line="440" w:lineRule="exact"/>
        <w:rPr>
          <w:szCs w:val="21"/>
        </w:rPr>
      </w:pPr>
      <w:r>
        <w:rPr>
          <w:szCs w:val="21"/>
        </w:rPr>
        <w:t>地址：</w:t>
      </w:r>
      <w:r>
        <w:rPr>
          <w:szCs w:val="21"/>
          <w:u w:val="single"/>
        </w:rPr>
        <w:t xml:space="preserve">                                   </w:t>
      </w:r>
    </w:p>
    <w:p>
      <w:pPr>
        <w:spacing w:line="440" w:lineRule="exact"/>
        <w:rPr>
          <w:szCs w:val="21"/>
        </w:rPr>
      </w:pPr>
      <w:r>
        <w:rPr>
          <w:szCs w:val="21"/>
        </w:rPr>
        <w:t>成立时间：</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spacing w:line="440" w:lineRule="exact"/>
        <w:rPr>
          <w:szCs w:val="21"/>
        </w:rPr>
      </w:pPr>
      <w:r>
        <w:rPr>
          <w:szCs w:val="21"/>
        </w:rPr>
        <w:t>经营期限：</w:t>
      </w:r>
      <w:r>
        <w:rPr>
          <w:szCs w:val="21"/>
          <w:u w:val="single"/>
        </w:rPr>
        <w:t xml:space="preserve">                               </w:t>
      </w:r>
    </w:p>
    <w:p>
      <w:pPr>
        <w:spacing w:line="440" w:lineRule="exact"/>
        <w:rPr>
          <w:szCs w:val="21"/>
        </w:rPr>
      </w:pPr>
      <w:r>
        <w:rPr>
          <w:szCs w:val="21"/>
        </w:rPr>
        <w:t>姓名：</w:t>
      </w:r>
      <w:r>
        <w:rPr>
          <w:szCs w:val="21"/>
          <w:u w:val="single"/>
        </w:rPr>
        <w:t xml:space="preserve">        </w:t>
      </w:r>
      <w:r>
        <w:rPr>
          <w:rFonts w:hint="eastAsia"/>
          <w:szCs w:val="21"/>
          <w:u w:val="single"/>
        </w:rPr>
        <w:t xml:space="preserve"> </w:t>
      </w:r>
      <w:r>
        <w:rPr>
          <w:szCs w:val="21"/>
        </w:rPr>
        <w:t xml:space="preserve"> 性别：</w:t>
      </w:r>
      <w:r>
        <w:rPr>
          <w:szCs w:val="21"/>
          <w:u w:val="single"/>
        </w:rPr>
        <w:t xml:space="preserve">         </w:t>
      </w:r>
      <w:r>
        <w:rPr>
          <w:szCs w:val="21"/>
        </w:rPr>
        <w:t>年龄：</w:t>
      </w:r>
      <w:r>
        <w:rPr>
          <w:szCs w:val="21"/>
          <w:u w:val="single"/>
        </w:rPr>
        <w:t xml:space="preserve">        </w:t>
      </w:r>
      <w:r>
        <w:rPr>
          <w:szCs w:val="21"/>
        </w:rPr>
        <w:t>职务：</w:t>
      </w:r>
      <w:r>
        <w:rPr>
          <w:szCs w:val="21"/>
          <w:u w:val="single"/>
        </w:rPr>
        <w:t xml:space="preserve">        </w:t>
      </w:r>
    </w:p>
    <w:p>
      <w:pPr>
        <w:spacing w:line="440" w:lineRule="exact"/>
        <w:rPr>
          <w:szCs w:val="21"/>
        </w:rPr>
      </w:pPr>
      <w:r>
        <w:rPr>
          <w:szCs w:val="21"/>
        </w:rPr>
        <w:t>系</w:t>
      </w:r>
      <w:r>
        <w:rPr>
          <w:szCs w:val="21"/>
          <w:u w:val="single"/>
        </w:rPr>
        <w:t xml:space="preserve">                             </w:t>
      </w:r>
      <w:r>
        <w:rPr>
          <w:szCs w:val="21"/>
        </w:rPr>
        <w:t xml:space="preserve"> </w:t>
      </w:r>
      <w:r>
        <w:rPr>
          <w:rFonts w:hint="eastAsia"/>
          <w:szCs w:val="21"/>
        </w:rPr>
        <w:t>（</w:t>
      </w:r>
      <w:r>
        <w:rPr>
          <w:szCs w:val="21"/>
        </w:rPr>
        <w:t>投标人名称</w:t>
      </w:r>
      <w:r>
        <w:rPr>
          <w:rFonts w:hint="eastAsia"/>
          <w:szCs w:val="21"/>
        </w:rPr>
        <w:t>）</w:t>
      </w:r>
      <w:r>
        <w:rPr>
          <w:szCs w:val="21"/>
        </w:rPr>
        <w:t>的法定代表人。</w:t>
      </w:r>
    </w:p>
    <w:p>
      <w:pPr>
        <w:spacing w:line="440" w:lineRule="exact"/>
        <w:ind w:firstLine="420" w:firstLineChars="200"/>
        <w:rPr>
          <w:szCs w:val="21"/>
        </w:rPr>
      </w:pPr>
      <w:r>
        <w:rPr>
          <w:szCs w:val="21"/>
        </w:rPr>
        <w:t>特此证明。</w:t>
      </w:r>
    </w:p>
    <w:p>
      <w:pPr>
        <w:spacing w:line="440" w:lineRule="exact"/>
        <w:rPr>
          <w:szCs w:val="21"/>
        </w:rPr>
      </w:pPr>
    </w:p>
    <w:p>
      <w:pPr>
        <w:spacing w:line="440" w:lineRule="exact"/>
        <w:rPr>
          <w:szCs w:val="21"/>
        </w:rPr>
      </w:pPr>
    </w:p>
    <w:p>
      <w:pPr>
        <w:spacing w:line="440" w:lineRule="exact"/>
        <w:rPr>
          <w:szCs w:val="21"/>
        </w:rPr>
      </w:pPr>
      <w:r>
        <w:rPr>
          <w:szCs w:val="21"/>
        </w:rPr>
        <w:t xml:space="preserve">                          投标人：</w:t>
      </w:r>
      <w:r>
        <w:rPr>
          <w:szCs w:val="21"/>
          <w:u w:val="single"/>
        </w:rPr>
        <w:t xml:space="preserve">                 </w:t>
      </w:r>
      <w:r>
        <w:rPr>
          <w:szCs w:val="21"/>
        </w:rPr>
        <w:t>（盖单位章）</w:t>
      </w:r>
    </w:p>
    <w:p>
      <w:pPr>
        <w:spacing w:line="440" w:lineRule="exact"/>
        <w:rPr>
          <w:szCs w:val="21"/>
        </w:rPr>
      </w:pPr>
      <w:r>
        <w:rPr>
          <w:szCs w:val="21"/>
        </w:rPr>
        <w:t xml:space="preserve">                                </w:t>
      </w:r>
      <w:r>
        <w:rPr>
          <w:rFonts w:hint="eastAsia"/>
          <w:szCs w:val="21"/>
        </w:rPr>
        <w:t xml:space="preserve">   </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 xml:space="preserve">日           </w:t>
      </w:r>
    </w:p>
    <w:p>
      <w:pPr>
        <w:spacing w:line="440" w:lineRule="exact"/>
        <w:jc w:val="center"/>
        <w:rPr>
          <w:rFonts w:eastAsia="黑体"/>
          <w:sz w:val="20"/>
          <w:szCs w:val="20"/>
        </w:rPr>
      </w:pPr>
      <w:r>
        <w:rPr>
          <w:rFonts w:eastAsia="黑体"/>
          <w:sz w:val="20"/>
          <w:szCs w:val="20"/>
        </w:rPr>
        <w:br w:type="page"/>
      </w:r>
    </w:p>
    <w:p>
      <w:pPr>
        <w:pStyle w:val="3"/>
        <w:jc w:val="center"/>
      </w:pPr>
      <w:bookmarkStart w:id="112" w:name="_Toc247085878"/>
      <w:bookmarkStart w:id="113" w:name="_Toc152045792"/>
      <w:bookmarkStart w:id="114" w:name="_Toc152042581"/>
      <w:bookmarkStart w:id="115" w:name="_Toc179632812"/>
      <w:bookmarkStart w:id="116" w:name="_Toc144974861"/>
      <w:bookmarkStart w:id="117" w:name="_Toc246996360"/>
      <w:bookmarkStart w:id="118" w:name="_Toc246997103"/>
      <w:bookmarkStart w:id="119" w:name="_Toc296602606"/>
      <w:r>
        <w:rPr>
          <w:rFonts w:hint="eastAsia"/>
        </w:rPr>
        <w:t>三</w:t>
      </w:r>
      <w:r>
        <w:t>、授权委托书</w:t>
      </w:r>
      <w:bookmarkEnd w:id="112"/>
      <w:bookmarkEnd w:id="113"/>
      <w:bookmarkEnd w:id="114"/>
      <w:bookmarkEnd w:id="115"/>
      <w:bookmarkEnd w:id="116"/>
      <w:bookmarkEnd w:id="117"/>
      <w:bookmarkEnd w:id="118"/>
      <w:bookmarkEnd w:id="119"/>
    </w:p>
    <w:p>
      <w:pPr>
        <w:spacing w:line="440" w:lineRule="exact"/>
        <w:rPr>
          <w:rFonts w:eastAsia="黑体"/>
          <w:szCs w:val="21"/>
        </w:rPr>
      </w:pPr>
    </w:p>
    <w:p>
      <w:pPr>
        <w:topLinePunct/>
        <w:spacing w:line="440" w:lineRule="exact"/>
        <w:ind w:firstLine="420" w:firstLineChars="200"/>
        <w:rPr>
          <w:szCs w:val="21"/>
        </w:rPr>
      </w:pPr>
      <w:r>
        <w:rPr>
          <w:szCs w:val="21"/>
        </w:rPr>
        <w:t>本人</w:t>
      </w:r>
      <w:r>
        <w:rPr>
          <w:szCs w:val="21"/>
          <w:u w:val="single"/>
        </w:rPr>
        <w:t xml:space="preserve">       </w:t>
      </w:r>
      <w:r>
        <w:rPr>
          <w:szCs w:val="21"/>
        </w:rPr>
        <w:t>（姓名）系</w:t>
      </w:r>
      <w:r>
        <w:rPr>
          <w:szCs w:val="21"/>
          <w:u w:val="single"/>
        </w:rPr>
        <w:t xml:space="preserve">        </w:t>
      </w:r>
      <w:r>
        <w:rPr>
          <w:szCs w:val="21"/>
        </w:rPr>
        <w:t>（投标人名称）的法定代表人，现委托</w:t>
      </w:r>
      <w:r>
        <w:rPr>
          <w:szCs w:val="21"/>
          <w:u w:val="single"/>
        </w:rPr>
        <w:t xml:space="preserve">        </w:t>
      </w:r>
      <w:r>
        <w:rPr>
          <w:szCs w:val="21"/>
        </w:rPr>
        <w:t>（姓名）为我方代理人。代理人根据授权，以我方名义签署、澄清</w:t>
      </w:r>
      <w:r>
        <w:rPr>
          <w:rFonts w:hint="eastAsia"/>
          <w:szCs w:val="21"/>
        </w:rPr>
        <w:t>、说明、补正</w:t>
      </w:r>
      <w:r>
        <w:rPr>
          <w:szCs w:val="21"/>
        </w:rPr>
        <w:t>、递交、撤回、修改</w:t>
      </w:r>
      <w:r>
        <w:rPr>
          <w:szCs w:val="21"/>
          <w:u w:val="single"/>
        </w:rPr>
        <w:t xml:space="preserve">           </w:t>
      </w:r>
      <w:r>
        <w:rPr>
          <w:szCs w:val="21"/>
        </w:rPr>
        <w:t>（项目名称）投标文件、签订合同和处理有关事宜，其法律后果由我方承担。</w:t>
      </w:r>
    </w:p>
    <w:p>
      <w:pPr>
        <w:spacing w:line="440" w:lineRule="exact"/>
        <w:rPr>
          <w:szCs w:val="21"/>
        </w:rPr>
      </w:pPr>
      <w:r>
        <w:rPr>
          <w:szCs w:val="21"/>
        </w:rPr>
        <w:t xml:space="preserve">    委托期限：</w:t>
      </w:r>
      <w:r>
        <w:rPr>
          <w:szCs w:val="21"/>
          <w:u w:val="single"/>
        </w:rPr>
        <w:t xml:space="preserve">             </w:t>
      </w:r>
      <w:r>
        <w:rPr>
          <w:rFonts w:hint="eastAsia"/>
          <w:szCs w:val="21"/>
        </w:rPr>
        <w:t>。</w:t>
      </w:r>
    </w:p>
    <w:p>
      <w:pPr>
        <w:spacing w:line="440" w:lineRule="exact"/>
        <w:ind w:firstLine="420" w:firstLineChars="200"/>
        <w:rPr>
          <w:szCs w:val="21"/>
        </w:rPr>
      </w:pPr>
      <w:r>
        <w:rPr>
          <w:szCs w:val="21"/>
        </w:rPr>
        <w:t>代理人无转委托权。</w:t>
      </w:r>
    </w:p>
    <w:p>
      <w:pPr>
        <w:spacing w:line="440" w:lineRule="exact"/>
        <w:ind w:firstLine="420" w:firstLineChars="200"/>
        <w:rPr>
          <w:szCs w:val="21"/>
        </w:rPr>
      </w:pPr>
      <w:r>
        <w:rPr>
          <w:rFonts w:hint="eastAsia"/>
          <w:szCs w:val="21"/>
        </w:rPr>
        <w:t>附：法定代表人身份证明</w:t>
      </w:r>
    </w:p>
    <w:p>
      <w:pPr>
        <w:spacing w:line="440" w:lineRule="exact"/>
        <w:rPr>
          <w:szCs w:val="21"/>
        </w:rPr>
      </w:pPr>
    </w:p>
    <w:p>
      <w:pPr>
        <w:spacing w:line="440" w:lineRule="exact"/>
        <w:rPr>
          <w:szCs w:val="21"/>
        </w:rPr>
      </w:pPr>
    </w:p>
    <w:p>
      <w:pPr>
        <w:spacing w:line="440" w:lineRule="exact"/>
        <w:rPr>
          <w:szCs w:val="21"/>
        </w:rPr>
      </w:pPr>
      <w:r>
        <w:rPr>
          <w:szCs w:val="21"/>
        </w:rPr>
        <w:t>投标人：</w:t>
      </w:r>
      <w:r>
        <w:rPr>
          <w:szCs w:val="21"/>
          <w:u w:val="single"/>
        </w:rPr>
        <w:t xml:space="preserve">                               </w:t>
      </w:r>
      <w:r>
        <w:rPr>
          <w:szCs w:val="21"/>
        </w:rPr>
        <w:t>（盖单位章）</w:t>
      </w:r>
    </w:p>
    <w:p>
      <w:pPr>
        <w:spacing w:line="440" w:lineRule="exact"/>
        <w:rPr>
          <w:szCs w:val="21"/>
        </w:rPr>
      </w:pPr>
    </w:p>
    <w:p>
      <w:pPr>
        <w:spacing w:line="440" w:lineRule="exact"/>
        <w:rPr>
          <w:szCs w:val="21"/>
        </w:rPr>
      </w:pPr>
      <w:r>
        <w:rPr>
          <w:szCs w:val="21"/>
        </w:rPr>
        <w:t>法定代表人：</w:t>
      </w:r>
      <w:r>
        <w:rPr>
          <w:szCs w:val="21"/>
          <w:u w:val="single"/>
        </w:rPr>
        <w:t xml:space="preserve">                               </w:t>
      </w:r>
      <w:r>
        <w:rPr>
          <w:szCs w:val="21"/>
        </w:rPr>
        <w:t>（签字）</w:t>
      </w:r>
    </w:p>
    <w:p>
      <w:pPr>
        <w:spacing w:line="440" w:lineRule="exact"/>
        <w:rPr>
          <w:szCs w:val="21"/>
        </w:rPr>
      </w:pPr>
    </w:p>
    <w:p>
      <w:pPr>
        <w:spacing w:line="440" w:lineRule="exact"/>
        <w:rPr>
          <w:szCs w:val="21"/>
        </w:rPr>
      </w:pPr>
      <w:r>
        <w:rPr>
          <w:szCs w:val="21"/>
        </w:rPr>
        <w:t>身份证号码：</w:t>
      </w:r>
      <w:r>
        <w:rPr>
          <w:szCs w:val="21"/>
          <w:u w:val="single"/>
        </w:rPr>
        <w:t xml:space="preserve">                                     </w:t>
      </w:r>
    </w:p>
    <w:p>
      <w:pPr>
        <w:spacing w:line="440" w:lineRule="exact"/>
        <w:rPr>
          <w:szCs w:val="21"/>
        </w:rPr>
      </w:pPr>
    </w:p>
    <w:p>
      <w:pPr>
        <w:spacing w:line="440" w:lineRule="exact"/>
        <w:rPr>
          <w:szCs w:val="21"/>
        </w:rPr>
      </w:pPr>
      <w:r>
        <w:rPr>
          <w:szCs w:val="21"/>
        </w:rPr>
        <w:t>委托代理人：</w:t>
      </w:r>
      <w:r>
        <w:rPr>
          <w:szCs w:val="21"/>
          <w:u w:val="single"/>
        </w:rPr>
        <w:t xml:space="preserve">                                   </w:t>
      </w:r>
      <w:r>
        <w:rPr>
          <w:szCs w:val="21"/>
        </w:rPr>
        <w:t xml:space="preserve">（签字） </w:t>
      </w:r>
    </w:p>
    <w:p>
      <w:pPr>
        <w:spacing w:line="440" w:lineRule="exact"/>
        <w:rPr>
          <w:szCs w:val="21"/>
        </w:rPr>
      </w:pPr>
    </w:p>
    <w:p>
      <w:pPr>
        <w:spacing w:line="440" w:lineRule="exact"/>
        <w:rPr>
          <w:szCs w:val="21"/>
        </w:rPr>
      </w:pPr>
      <w:r>
        <w:rPr>
          <w:szCs w:val="21"/>
        </w:rPr>
        <w:t>身份证号码：</w:t>
      </w:r>
      <w:r>
        <w:rPr>
          <w:szCs w:val="21"/>
          <w:u w:val="single"/>
        </w:rPr>
        <w:t xml:space="preserve">                                      </w:t>
      </w:r>
    </w:p>
    <w:p>
      <w:pPr>
        <w:spacing w:line="440" w:lineRule="exact"/>
        <w:rPr>
          <w:szCs w:val="21"/>
        </w:rPr>
      </w:pPr>
    </w:p>
    <w:p>
      <w:pPr>
        <w:spacing w:line="440" w:lineRule="exact"/>
        <w:rPr>
          <w:szCs w:val="21"/>
        </w:rPr>
      </w:pPr>
    </w:p>
    <w:p>
      <w:pPr>
        <w:rPr>
          <w:rFonts w:ascii="宋体" w:hAnsi="宋体" w:eastAsia="宋体" w:cs="宋体"/>
          <w:b/>
          <w:bCs/>
          <w:kern w:val="0"/>
          <w:sz w:val="24"/>
        </w:rPr>
      </w:pP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rPr>
          <w:rFonts w:ascii="宋体" w:hAnsi="宋体" w:eastAsia="宋体" w:cs="宋体"/>
          <w:b/>
          <w:bCs/>
          <w:kern w:val="0"/>
          <w:sz w:val="24"/>
        </w:rPr>
      </w:pPr>
    </w:p>
    <w:p>
      <w:pPr>
        <w:rPr>
          <w:rFonts w:ascii="宋体" w:hAnsi="宋体" w:eastAsia="宋体" w:cs="宋体"/>
          <w:b/>
          <w:color w:val="000000"/>
          <w:kern w:val="0"/>
          <w:sz w:val="24"/>
        </w:rPr>
      </w:pPr>
      <w:r>
        <w:rPr>
          <w:rFonts w:hint="eastAsia" w:ascii="宋体" w:hAnsi="宋体" w:eastAsia="宋体" w:cs="宋体"/>
          <w:b/>
          <w:color w:val="000000"/>
          <w:kern w:val="0"/>
          <w:sz w:val="24"/>
        </w:rPr>
        <w:br w:type="page"/>
      </w:r>
    </w:p>
    <w:p>
      <w:pPr>
        <w:spacing w:line="400" w:lineRule="exact"/>
      </w:pPr>
    </w:p>
    <w:p>
      <w:pPr>
        <w:pStyle w:val="3"/>
        <w:jc w:val="center"/>
      </w:pPr>
      <w:bookmarkStart w:id="120" w:name="_Toc152045794"/>
      <w:bookmarkStart w:id="121" w:name="_Toc296602607"/>
      <w:bookmarkStart w:id="122" w:name="_Toc246996362"/>
      <w:bookmarkStart w:id="123" w:name="_Toc152042583"/>
      <w:bookmarkStart w:id="124" w:name="_Toc179632814"/>
      <w:bookmarkStart w:id="125" w:name="_Toc246997105"/>
      <w:bookmarkStart w:id="126" w:name="_Toc247085880"/>
      <w:bookmarkStart w:id="127" w:name="_Toc144974862"/>
      <w:r>
        <w:rPr>
          <w:rFonts w:hint="eastAsia"/>
        </w:rPr>
        <w:t>四</w:t>
      </w:r>
      <w:r>
        <w:t>、投标保证金</w:t>
      </w:r>
      <w:bookmarkEnd w:id="120"/>
      <w:bookmarkEnd w:id="121"/>
      <w:bookmarkEnd w:id="122"/>
      <w:bookmarkEnd w:id="123"/>
      <w:bookmarkEnd w:id="124"/>
      <w:bookmarkEnd w:id="125"/>
      <w:bookmarkEnd w:id="126"/>
      <w:bookmarkEnd w:id="127"/>
    </w:p>
    <w:p>
      <w:pPr>
        <w:wordWrap w:val="0"/>
        <w:snapToGrid w:val="0"/>
        <w:spacing w:line="520" w:lineRule="exact"/>
        <w:ind w:firstLine="403" w:firstLineChars="192"/>
        <w:rPr>
          <w:rFonts w:ascii="Times New Roman" w:hAnsi="Times New Roman" w:cs="Times New Roman"/>
          <w:bCs/>
          <w:color w:val="000000"/>
          <w:kern w:val="0"/>
          <w:szCs w:val="21"/>
        </w:rPr>
      </w:pPr>
      <w:r>
        <w:rPr>
          <w:rFonts w:ascii="Times New Roman" w:hAnsi="Times New Roman" w:cs="Times New Roman"/>
          <w:bCs/>
          <w:color w:val="000000"/>
          <w:kern w:val="0"/>
          <w:szCs w:val="21"/>
        </w:rPr>
        <w:t>1.</w:t>
      </w:r>
      <w:r>
        <w:rPr>
          <w:rFonts w:hint="eastAsia" w:ascii="Times New Roman" w:hAnsi="Times New Roman" w:cs="Times New Roman"/>
          <w:bCs/>
          <w:color w:val="000000"/>
          <w:kern w:val="0"/>
          <w:szCs w:val="21"/>
        </w:rPr>
        <w:t>中国</w:t>
      </w:r>
      <w:r>
        <w:rPr>
          <w:rFonts w:ascii="Times New Roman" w:hAnsi="Times New Roman" w:cs="Times New Roman"/>
          <w:bCs/>
          <w:color w:val="000000"/>
          <w:kern w:val="0"/>
          <w:szCs w:val="21"/>
        </w:rPr>
        <w:t>人民银行核发的《基本存款账户开户许可证》或基本存款账户开户银行出具的《基本存款账户信息》（加盖银行印章）：</w:t>
      </w:r>
    </w:p>
    <w:p>
      <w:pPr>
        <w:wordWrap w:val="0"/>
        <w:snapToGrid w:val="0"/>
        <w:spacing w:line="520" w:lineRule="exact"/>
        <w:ind w:firstLine="403" w:firstLineChars="192"/>
        <w:rPr>
          <w:rFonts w:ascii="Times New Roman" w:hAnsi="Times New Roman" w:cs="Times New Roman"/>
          <w:bCs/>
          <w:color w:val="000000"/>
          <w:kern w:val="0"/>
          <w:szCs w:val="21"/>
        </w:rPr>
      </w:pPr>
    </w:p>
    <w:p>
      <w:pPr>
        <w:wordWrap w:val="0"/>
        <w:snapToGrid w:val="0"/>
        <w:spacing w:line="520" w:lineRule="exact"/>
        <w:ind w:firstLine="403" w:firstLineChars="192"/>
        <w:rPr>
          <w:rFonts w:ascii="Times New Roman" w:hAnsi="Times New Roman" w:cs="Times New Roman"/>
          <w:bCs/>
          <w:color w:val="000000"/>
          <w:kern w:val="0"/>
          <w:szCs w:val="21"/>
        </w:rPr>
      </w:pPr>
    </w:p>
    <w:p>
      <w:pPr>
        <w:wordWrap w:val="0"/>
        <w:snapToGrid w:val="0"/>
        <w:spacing w:line="520" w:lineRule="exact"/>
        <w:ind w:firstLine="403" w:firstLineChars="192"/>
        <w:rPr>
          <w:rFonts w:ascii="Times New Roman" w:hAnsi="Times New Roman" w:cs="Times New Roman"/>
          <w:bCs/>
          <w:color w:val="000000"/>
          <w:kern w:val="0"/>
          <w:szCs w:val="21"/>
        </w:rPr>
      </w:pPr>
    </w:p>
    <w:p>
      <w:pPr>
        <w:wordWrap w:val="0"/>
        <w:snapToGrid w:val="0"/>
        <w:spacing w:line="520" w:lineRule="exact"/>
        <w:ind w:firstLine="403" w:firstLineChars="192"/>
        <w:rPr>
          <w:rFonts w:ascii="Times New Roman" w:hAnsi="Times New Roman" w:cs="Times New Roman"/>
          <w:bCs/>
          <w:color w:val="000000"/>
          <w:kern w:val="0"/>
          <w:szCs w:val="21"/>
        </w:rPr>
      </w:pPr>
    </w:p>
    <w:p>
      <w:pPr>
        <w:wordWrap w:val="0"/>
        <w:snapToGrid w:val="0"/>
        <w:spacing w:line="520" w:lineRule="exact"/>
        <w:ind w:firstLine="403" w:firstLineChars="192"/>
        <w:rPr>
          <w:rFonts w:ascii="Times New Roman" w:hAnsi="Times New Roman" w:cs="Times New Roman"/>
          <w:bCs/>
          <w:color w:val="000000"/>
          <w:kern w:val="0"/>
          <w:szCs w:val="21"/>
        </w:rPr>
      </w:pPr>
      <w:r>
        <w:rPr>
          <w:rFonts w:ascii="Times New Roman" w:hAnsi="Times New Roman" w:cs="Times New Roman"/>
          <w:bCs/>
          <w:color w:val="000000"/>
          <w:kern w:val="0"/>
          <w:szCs w:val="21"/>
        </w:rPr>
        <w:t>2.保证金转账或电汇凭证：</w:t>
      </w:r>
    </w:p>
    <w:p>
      <w:pPr>
        <w:wordWrap w:val="0"/>
        <w:snapToGrid w:val="0"/>
        <w:spacing w:line="520" w:lineRule="exact"/>
        <w:ind w:firstLine="403" w:firstLineChars="192"/>
        <w:rPr>
          <w:rFonts w:ascii="Times New Roman" w:hAnsi="Times New Roman" w:cs="Times New Roman"/>
          <w:bCs/>
          <w:color w:val="000000"/>
          <w:kern w:val="0"/>
          <w:szCs w:val="21"/>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05" w:firstLineChars="192"/>
        <w:rPr>
          <w:rFonts w:eastAsia="黑体"/>
          <w:sz w:val="20"/>
          <w:szCs w:val="20"/>
        </w:rPr>
      </w:pPr>
      <w:r>
        <w:rPr>
          <w:rFonts w:ascii="Times New Roman" w:hAnsi="Times New Roman" w:cs="Times New Roman"/>
          <w:b/>
          <w:color w:val="000000"/>
          <w:kern w:val="0"/>
          <w:szCs w:val="21"/>
        </w:rPr>
        <w:t>备注：</w:t>
      </w:r>
      <w:r>
        <w:rPr>
          <w:rFonts w:ascii="Times New Roman" w:hAnsi="Times New Roman" w:cs="Times New Roman"/>
          <w:color w:val="000000"/>
          <w:kern w:val="0"/>
          <w:szCs w:val="21"/>
        </w:rPr>
        <w:t>缴纳保证金的开户行、账号等信息须与基本存款账户信息一致</w:t>
      </w:r>
      <w:r>
        <w:rPr>
          <w:rFonts w:hint="eastAsia" w:ascii="宋体" w:hAnsi="宋体" w:eastAsia="宋体" w:cs="宋体"/>
          <w:b/>
          <w:kern w:val="0"/>
          <w:sz w:val="24"/>
        </w:rPr>
        <w:br w:type="page"/>
      </w:r>
    </w:p>
    <w:p>
      <w:pPr>
        <w:pStyle w:val="3"/>
        <w:jc w:val="center"/>
        <w:rPr>
          <w:rFonts w:ascii="Times New Roman" w:hAnsi="Times New Roman" w:cs="Times New Roman"/>
        </w:rPr>
      </w:pPr>
      <w:bookmarkStart w:id="128" w:name="_Toc246996364"/>
      <w:bookmarkStart w:id="129" w:name="_Toc247085882"/>
      <w:bookmarkStart w:id="130" w:name="_Toc152045796"/>
      <w:bookmarkStart w:id="131" w:name="_Toc246997107"/>
      <w:bookmarkStart w:id="132" w:name="_Toc152042585"/>
      <w:bookmarkStart w:id="133" w:name="_Toc296602609"/>
      <w:bookmarkStart w:id="134" w:name="_Toc144974864"/>
      <w:bookmarkStart w:id="135" w:name="_Toc179632816"/>
      <w:r>
        <w:rPr>
          <w:rFonts w:ascii="Times New Roman" w:hAnsi="Times New Roman" w:cs="Times New Roman"/>
        </w:rPr>
        <w:t>五、</w:t>
      </w:r>
      <w:bookmarkEnd w:id="128"/>
      <w:bookmarkEnd w:id="129"/>
      <w:bookmarkEnd w:id="130"/>
      <w:bookmarkEnd w:id="131"/>
      <w:bookmarkEnd w:id="132"/>
      <w:bookmarkEnd w:id="133"/>
      <w:bookmarkEnd w:id="134"/>
      <w:bookmarkEnd w:id="135"/>
      <w:r>
        <w:rPr>
          <w:rFonts w:hint="eastAsia" w:ascii="Times New Roman" w:hAnsi="Times New Roman" w:cs="Times New Roman"/>
        </w:rPr>
        <w:t>服务方案</w:t>
      </w:r>
    </w:p>
    <w:p>
      <w:pPr>
        <w:spacing w:line="440" w:lineRule="exact"/>
        <w:ind w:firstLine="630" w:firstLineChars="300"/>
        <w:rPr>
          <w:rFonts w:ascii="Times New Roman" w:hAnsi="Times New Roman" w:eastAsia="黑体" w:cs="Times New Roman"/>
          <w:szCs w:val="21"/>
        </w:rPr>
      </w:pPr>
      <w:r>
        <w:rPr>
          <w:rFonts w:ascii="Times New Roman" w:hAnsi="Times New Roman" w:eastAsia="黑体" w:cs="Times New Roman"/>
          <w:szCs w:val="21"/>
        </w:rPr>
        <w:t>服务方案应包括（但不限于）下列内容：</w:t>
      </w:r>
    </w:p>
    <w:p>
      <w:pPr>
        <w:tabs>
          <w:tab w:val="left" w:pos="720"/>
        </w:tabs>
        <w:spacing w:line="440" w:lineRule="exact"/>
        <w:ind w:left="630" w:leftChars="300"/>
        <w:rPr>
          <w:rFonts w:ascii="Times New Roman" w:hAnsi="Times New Roman" w:cs="Times New Roman"/>
          <w:szCs w:val="21"/>
        </w:rPr>
      </w:pPr>
      <w:r>
        <w:rPr>
          <w:rFonts w:hint="eastAsia" w:ascii="Times New Roman" w:hAnsi="Times New Roman" w:cs="Times New Roman"/>
          <w:szCs w:val="21"/>
        </w:rPr>
        <w:t>一、项目概况；</w:t>
      </w:r>
    </w:p>
    <w:p>
      <w:pPr>
        <w:tabs>
          <w:tab w:val="left" w:pos="720"/>
        </w:tabs>
        <w:spacing w:line="440" w:lineRule="exact"/>
        <w:ind w:left="630" w:leftChars="300"/>
        <w:rPr>
          <w:rFonts w:ascii="Times New Roman" w:hAnsi="Times New Roman" w:cs="Times New Roman"/>
          <w:szCs w:val="21"/>
        </w:rPr>
      </w:pPr>
      <w:r>
        <w:rPr>
          <w:rFonts w:hint="eastAsia" w:ascii="Times New Roman" w:hAnsi="Times New Roman" w:cs="Times New Roman"/>
          <w:szCs w:val="21"/>
        </w:rPr>
        <w:t>二、工作范围、工作内容；</w:t>
      </w:r>
    </w:p>
    <w:p>
      <w:pPr>
        <w:tabs>
          <w:tab w:val="left" w:pos="720"/>
        </w:tabs>
        <w:spacing w:line="440" w:lineRule="exact"/>
        <w:ind w:left="630" w:leftChars="300"/>
        <w:rPr>
          <w:rFonts w:ascii="Times New Roman" w:hAnsi="Times New Roman" w:cs="Times New Roman"/>
          <w:szCs w:val="21"/>
        </w:rPr>
      </w:pPr>
      <w:r>
        <w:rPr>
          <w:rFonts w:hint="eastAsia" w:ascii="Times New Roman" w:hAnsi="Times New Roman" w:cs="Times New Roman"/>
          <w:szCs w:val="21"/>
        </w:rPr>
        <w:t>三、工作依据、工作目标；</w:t>
      </w:r>
    </w:p>
    <w:p>
      <w:pPr>
        <w:tabs>
          <w:tab w:val="left" w:pos="720"/>
        </w:tabs>
        <w:spacing w:line="440" w:lineRule="exact"/>
        <w:ind w:left="630" w:leftChars="300"/>
        <w:rPr>
          <w:rFonts w:ascii="Times New Roman" w:hAnsi="Times New Roman" w:cs="Times New Roman"/>
          <w:szCs w:val="21"/>
        </w:rPr>
      </w:pPr>
      <w:r>
        <w:rPr>
          <w:rFonts w:hint="eastAsia" w:ascii="Times New Roman" w:hAnsi="Times New Roman" w:cs="Times New Roman"/>
          <w:szCs w:val="21"/>
        </w:rPr>
        <w:t>四、机构设置（框图）、岗位职责；</w:t>
      </w:r>
    </w:p>
    <w:p>
      <w:pPr>
        <w:tabs>
          <w:tab w:val="left" w:pos="720"/>
        </w:tabs>
        <w:spacing w:line="440" w:lineRule="exact"/>
        <w:ind w:left="630" w:leftChars="300"/>
        <w:rPr>
          <w:rFonts w:ascii="Times New Roman" w:hAnsi="Times New Roman" w:cs="Times New Roman"/>
          <w:szCs w:val="21"/>
        </w:rPr>
      </w:pPr>
      <w:r>
        <w:rPr>
          <w:rFonts w:hint="eastAsia" w:ascii="Times New Roman" w:hAnsi="Times New Roman" w:cs="Times New Roman"/>
          <w:szCs w:val="21"/>
        </w:rPr>
        <w:t>五、说明和方案；</w:t>
      </w:r>
    </w:p>
    <w:p>
      <w:pPr>
        <w:tabs>
          <w:tab w:val="left" w:pos="720"/>
        </w:tabs>
        <w:spacing w:line="440" w:lineRule="exact"/>
        <w:ind w:left="630" w:leftChars="300"/>
        <w:rPr>
          <w:rFonts w:ascii="Times New Roman" w:hAnsi="Times New Roman" w:cs="Times New Roman"/>
          <w:szCs w:val="21"/>
        </w:rPr>
      </w:pPr>
      <w:r>
        <w:rPr>
          <w:rFonts w:hint="eastAsia" w:ascii="Times New Roman" w:hAnsi="Times New Roman" w:cs="Times New Roman"/>
          <w:szCs w:val="21"/>
        </w:rPr>
        <w:t>六、拟投入的人员；</w:t>
      </w:r>
    </w:p>
    <w:p>
      <w:pPr>
        <w:tabs>
          <w:tab w:val="left" w:pos="720"/>
        </w:tabs>
        <w:spacing w:line="440" w:lineRule="exact"/>
        <w:ind w:left="630" w:leftChars="300"/>
        <w:rPr>
          <w:rFonts w:ascii="Times New Roman" w:hAnsi="Times New Roman" w:cs="Times New Roman"/>
          <w:szCs w:val="21"/>
        </w:rPr>
      </w:pPr>
      <w:r>
        <w:rPr>
          <w:rFonts w:hint="eastAsia" w:ascii="Times New Roman" w:hAnsi="Times New Roman" w:cs="Times New Roman"/>
          <w:szCs w:val="21"/>
        </w:rPr>
        <w:t xml:space="preserve">七、工作质量、进度、保密等保证措施； </w:t>
      </w:r>
    </w:p>
    <w:p>
      <w:pPr>
        <w:tabs>
          <w:tab w:val="left" w:pos="720"/>
        </w:tabs>
        <w:spacing w:line="440" w:lineRule="exact"/>
        <w:ind w:left="630" w:leftChars="300"/>
        <w:rPr>
          <w:rFonts w:ascii="Times New Roman" w:hAnsi="Times New Roman" w:cs="Times New Roman"/>
          <w:szCs w:val="21"/>
        </w:rPr>
      </w:pPr>
      <w:r>
        <w:rPr>
          <w:rFonts w:hint="eastAsia" w:ascii="Times New Roman" w:hAnsi="Times New Roman" w:cs="Times New Roman"/>
          <w:szCs w:val="21"/>
        </w:rPr>
        <w:t>八、工作重点、难点分析；</w:t>
      </w:r>
    </w:p>
    <w:p>
      <w:pPr>
        <w:tabs>
          <w:tab w:val="left" w:pos="720"/>
        </w:tabs>
        <w:spacing w:line="440" w:lineRule="exact"/>
        <w:ind w:left="630" w:leftChars="300"/>
        <w:rPr>
          <w:rFonts w:ascii="Times New Roman" w:hAnsi="Times New Roman" w:cs="Times New Roman"/>
          <w:szCs w:val="21"/>
        </w:rPr>
      </w:pPr>
      <w:r>
        <w:rPr>
          <w:rFonts w:hint="eastAsia" w:ascii="Times New Roman" w:hAnsi="Times New Roman" w:cs="Times New Roman"/>
          <w:szCs w:val="21"/>
        </w:rPr>
        <w:t>九、对本项目的合理化建议。</w:t>
      </w:r>
    </w:p>
    <w:p>
      <w:pPr>
        <w:rPr>
          <w:rFonts w:eastAsia="黑体"/>
          <w:sz w:val="20"/>
          <w:szCs w:val="20"/>
        </w:rPr>
      </w:pPr>
      <w:r>
        <w:rPr>
          <w:rFonts w:hint="eastAsia" w:ascii="Times New Roman" w:hAnsi="Times New Roman" w:cs="Times New Roman"/>
          <w:szCs w:val="21"/>
        </w:rPr>
        <w:br w:type="page"/>
      </w:r>
    </w:p>
    <w:p>
      <w:pPr>
        <w:pStyle w:val="3"/>
        <w:jc w:val="center"/>
        <w:rPr>
          <w:sz w:val="23"/>
          <w:szCs w:val="23"/>
        </w:rPr>
      </w:pPr>
      <w:bookmarkStart w:id="136" w:name="_Toc247085887"/>
      <w:bookmarkStart w:id="137" w:name="_Toc152042592"/>
      <w:bookmarkStart w:id="138" w:name="_Toc246997112"/>
      <w:bookmarkStart w:id="139" w:name="_Toc152045803"/>
      <w:bookmarkStart w:id="140" w:name="_Toc179632823"/>
      <w:bookmarkStart w:id="141" w:name="_Toc144974871"/>
      <w:bookmarkStart w:id="142" w:name="_Toc246996369"/>
      <w:bookmarkStart w:id="143" w:name="_Toc296602614"/>
      <w:r>
        <w:rPr>
          <w:rFonts w:hint="eastAsia"/>
        </w:rPr>
        <w:t>六</w:t>
      </w:r>
      <w:r>
        <w:t>、项目管理机构</w:t>
      </w:r>
      <w:bookmarkEnd w:id="136"/>
      <w:bookmarkEnd w:id="137"/>
      <w:bookmarkEnd w:id="138"/>
      <w:bookmarkEnd w:id="139"/>
      <w:bookmarkEnd w:id="140"/>
      <w:bookmarkEnd w:id="141"/>
      <w:bookmarkEnd w:id="142"/>
      <w:bookmarkEnd w:id="143"/>
    </w:p>
    <w:p>
      <w:pPr>
        <w:pStyle w:val="4"/>
        <w:jc w:val="left"/>
        <w:rPr>
          <w:rFonts w:eastAsia="黑体"/>
          <w:sz w:val="23"/>
          <w:szCs w:val="23"/>
        </w:rPr>
      </w:pPr>
      <w:bookmarkStart w:id="144" w:name="_Toc246997113"/>
      <w:bookmarkStart w:id="145" w:name="_Toc246996370"/>
      <w:bookmarkStart w:id="146" w:name="_Toc152042593"/>
      <w:bookmarkStart w:id="147" w:name="_Toc144974872"/>
      <w:bookmarkStart w:id="148" w:name="_Toc179632824"/>
      <w:bookmarkStart w:id="149" w:name="_Toc296602615"/>
      <w:bookmarkStart w:id="150" w:name="_Toc152045804"/>
      <w:bookmarkStart w:id="151" w:name="_Toc247085888"/>
      <w:r>
        <w:t>（一）项目管理机构组成表</w:t>
      </w:r>
      <w:bookmarkEnd w:id="144"/>
      <w:bookmarkEnd w:id="145"/>
      <w:bookmarkEnd w:id="146"/>
      <w:bookmarkEnd w:id="147"/>
      <w:bookmarkEnd w:id="148"/>
      <w:bookmarkEnd w:id="149"/>
      <w:bookmarkEnd w:id="150"/>
      <w:bookmarkEnd w:id="151"/>
    </w:p>
    <w:tbl>
      <w:tblPr>
        <w:tblStyle w:val="14"/>
        <w:tblW w:w="92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13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47" w:type="dxa"/>
            <w:vMerge w:val="restart"/>
            <w:vAlign w:val="center"/>
          </w:tcPr>
          <w:p>
            <w:pPr>
              <w:spacing w:line="440" w:lineRule="exact"/>
              <w:jc w:val="center"/>
              <w:rPr>
                <w:szCs w:val="21"/>
              </w:rPr>
            </w:pPr>
            <w:r>
              <w:rPr>
                <w:szCs w:val="21"/>
              </w:rPr>
              <w:t>职务</w:t>
            </w:r>
          </w:p>
        </w:tc>
        <w:tc>
          <w:tcPr>
            <w:tcW w:w="721" w:type="dxa"/>
            <w:vMerge w:val="restart"/>
            <w:vAlign w:val="center"/>
          </w:tcPr>
          <w:p>
            <w:pPr>
              <w:spacing w:line="440" w:lineRule="exact"/>
              <w:jc w:val="center"/>
              <w:rPr>
                <w:szCs w:val="21"/>
              </w:rPr>
            </w:pPr>
            <w:r>
              <w:rPr>
                <w:szCs w:val="21"/>
              </w:rPr>
              <w:t>姓名</w:t>
            </w:r>
          </w:p>
        </w:tc>
        <w:tc>
          <w:tcPr>
            <w:tcW w:w="719" w:type="dxa"/>
            <w:vMerge w:val="restart"/>
            <w:vAlign w:val="center"/>
          </w:tcPr>
          <w:p>
            <w:pPr>
              <w:spacing w:line="440" w:lineRule="exact"/>
              <w:jc w:val="center"/>
              <w:rPr>
                <w:szCs w:val="21"/>
              </w:rPr>
            </w:pPr>
            <w:r>
              <w:rPr>
                <w:szCs w:val="21"/>
              </w:rPr>
              <w:t>职称</w:t>
            </w:r>
          </w:p>
        </w:tc>
        <w:tc>
          <w:tcPr>
            <w:tcW w:w="5763" w:type="dxa"/>
            <w:gridSpan w:val="5"/>
            <w:vAlign w:val="center"/>
          </w:tcPr>
          <w:p>
            <w:pPr>
              <w:spacing w:line="440" w:lineRule="exact"/>
              <w:jc w:val="center"/>
              <w:rPr>
                <w:szCs w:val="21"/>
              </w:rPr>
            </w:pPr>
            <w:r>
              <w:rPr>
                <w:szCs w:val="21"/>
              </w:rPr>
              <w:t>执业或职业资格证明</w:t>
            </w:r>
          </w:p>
        </w:tc>
        <w:tc>
          <w:tcPr>
            <w:tcW w:w="1355" w:type="dxa"/>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47" w:type="dxa"/>
            <w:vMerge w:val="continue"/>
            <w:vAlign w:val="center"/>
          </w:tcPr>
          <w:p>
            <w:pPr>
              <w:spacing w:line="440" w:lineRule="exact"/>
              <w:jc w:val="center"/>
              <w:rPr>
                <w:szCs w:val="21"/>
              </w:rPr>
            </w:pPr>
          </w:p>
        </w:tc>
        <w:tc>
          <w:tcPr>
            <w:tcW w:w="721" w:type="dxa"/>
            <w:vMerge w:val="continue"/>
            <w:vAlign w:val="center"/>
          </w:tcPr>
          <w:p>
            <w:pPr>
              <w:spacing w:line="440" w:lineRule="exact"/>
              <w:jc w:val="center"/>
              <w:rPr>
                <w:szCs w:val="21"/>
              </w:rPr>
            </w:pPr>
          </w:p>
        </w:tc>
        <w:tc>
          <w:tcPr>
            <w:tcW w:w="719" w:type="dxa"/>
            <w:vMerge w:val="continue"/>
            <w:vAlign w:val="center"/>
          </w:tcPr>
          <w:p>
            <w:pPr>
              <w:spacing w:line="440" w:lineRule="exact"/>
              <w:jc w:val="center"/>
              <w:rPr>
                <w:szCs w:val="21"/>
              </w:rPr>
            </w:pPr>
          </w:p>
        </w:tc>
        <w:tc>
          <w:tcPr>
            <w:tcW w:w="1081" w:type="dxa"/>
            <w:vAlign w:val="center"/>
          </w:tcPr>
          <w:p>
            <w:pPr>
              <w:spacing w:line="440" w:lineRule="exact"/>
              <w:jc w:val="center"/>
              <w:rPr>
                <w:szCs w:val="21"/>
              </w:rPr>
            </w:pPr>
            <w:r>
              <w:rPr>
                <w:szCs w:val="21"/>
              </w:rPr>
              <w:t>证书名称</w:t>
            </w:r>
          </w:p>
        </w:tc>
        <w:tc>
          <w:tcPr>
            <w:tcW w:w="719" w:type="dxa"/>
            <w:vAlign w:val="center"/>
          </w:tcPr>
          <w:p>
            <w:pPr>
              <w:spacing w:line="440" w:lineRule="exact"/>
              <w:jc w:val="center"/>
              <w:rPr>
                <w:szCs w:val="21"/>
              </w:rPr>
            </w:pPr>
            <w:r>
              <w:rPr>
                <w:szCs w:val="21"/>
              </w:rPr>
              <w:t>级别</w:t>
            </w:r>
          </w:p>
        </w:tc>
        <w:tc>
          <w:tcPr>
            <w:tcW w:w="721" w:type="dxa"/>
            <w:vAlign w:val="center"/>
          </w:tcPr>
          <w:p>
            <w:pPr>
              <w:spacing w:line="440" w:lineRule="exact"/>
              <w:jc w:val="center"/>
              <w:rPr>
                <w:szCs w:val="21"/>
              </w:rPr>
            </w:pPr>
            <w:r>
              <w:rPr>
                <w:szCs w:val="21"/>
              </w:rPr>
              <w:t>证号</w:t>
            </w:r>
          </w:p>
        </w:tc>
        <w:tc>
          <w:tcPr>
            <w:tcW w:w="719" w:type="dxa"/>
            <w:vAlign w:val="center"/>
          </w:tcPr>
          <w:p>
            <w:pPr>
              <w:spacing w:line="440" w:lineRule="exact"/>
              <w:jc w:val="center"/>
              <w:rPr>
                <w:szCs w:val="21"/>
              </w:rPr>
            </w:pPr>
            <w:r>
              <w:rPr>
                <w:szCs w:val="21"/>
              </w:rPr>
              <w:t>专业</w:t>
            </w:r>
          </w:p>
        </w:tc>
        <w:tc>
          <w:tcPr>
            <w:tcW w:w="2523" w:type="dxa"/>
            <w:vAlign w:val="center"/>
          </w:tcPr>
          <w:p>
            <w:pPr>
              <w:spacing w:line="440" w:lineRule="exact"/>
              <w:jc w:val="center"/>
              <w:rPr>
                <w:szCs w:val="21"/>
              </w:rPr>
            </w:pPr>
            <w:r>
              <w:rPr>
                <w:rFonts w:hint="eastAsia"/>
                <w:szCs w:val="21"/>
              </w:rPr>
              <w:t>社会保险</w:t>
            </w:r>
          </w:p>
        </w:tc>
        <w:tc>
          <w:tcPr>
            <w:tcW w:w="1355" w:type="dxa"/>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vAlign w:val="center"/>
          </w:tcPr>
          <w:p>
            <w:pPr>
              <w:spacing w:line="440" w:lineRule="exact"/>
              <w:jc w:val="center"/>
              <w:rPr>
                <w:szCs w:val="21"/>
              </w:rPr>
            </w:pPr>
          </w:p>
        </w:tc>
        <w:tc>
          <w:tcPr>
            <w:tcW w:w="721" w:type="dxa"/>
            <w:vAlign w:val="center"/>
          </w:tcPr>
          <w:p>
            <w:pPr>
              <w:spacing w:line="440" w:lineRule="exact"/>
              <w:jc w:val="center"/>
              <w:rPr>
                <w:szCs w:val="21"/>
              </w:rPr>
            </w:pPr>
          </w:p>
        </w:tc>
        <w:tc>
          <w:tcPr>
            <w:tcW w:w="719" w:type="dxa"/>
            <w:vAlign w:val="center"/>
          </w:tcPr>
          <w:p>
            <w:pPr>
              <w:spacing w:line="440" w:lineRule="exact"/>
              <w:jc w:val="center"/>
              <w:rPr>
                <w:szCs w:val="21"/>
              </w:rPr>
            </w:pPr>
          </w:p>
        </w:tc>
        <w:tc>
          <w:tcPr>
            <w:tcW w:w="1081" w:type="dxa"/>
            <w:vAlign w:val="center"/>
          </w:tcPr>
          <w:p>
            <w:pPr>
              <w:spacing w:line="440" w:lineRule="exact"/>
              <w:jc w:val="center"/>
              <w:rPr>
                <w:szCs w:val="21"/>
              </w:rPr>
            </w:pPr>
          </w:p>
        </w:tc>
        <w:tc>
          <w:tcPr>
            <w:tcW w:w="719" w:type="dxa"/>
            <w:vAlign w:val="center"/>
          </w:tcPr>
          <w:p>
            <w:pPr>
              <w:spacing w:line="440" w:lineRule="exact"/>
              <w:jc w:val="center"/>
              <w:rPr>
                <w:szCs w:val="21"/>
              </w:rPr>
            </w:pPr>
          </w:p>
        </w:tc>
        <w:tc>
          <w:tcPr>
            <w:tcW w:w="721" w:type="dxa"/>
            <w:vAlign w:val="center"/>
          </w:tcPr>
          <w:p>
            <w:pPr>
              <w:spacing w:line="440" w:lineRule="exact"/>
              <w:jc w:val="center"/>
              <w:rPr>
                <w:szCs w:val="21"/>
              </w:rPr>
            </w:pPr>
          </w:p>
        </w:tc>
        <w:tc>
          <w:tcPr>
            <w:tcW w:w="719" w:type="dxa"/>
            <w:vAlign w:val="center"/>
          </w:tcPr>
          <w:p>
            <w:pPr>
              <w:spacing w:line="440" w:lineRule="exact"/>
              <w:jc w:val="center"/>
              <w:rPr>
                <w:szCs w:val="21"/>
              </w:rPr>
            </w:pPr>
          </w:p>
        </w:tc>
        <w:tc>
          <w:tcPr>
            <w:tcW w:w="2523" w:type="dxa"/>
            <w:vAlign w:val="center"/>
          </w:tcPr>
          <w:p>
            <w:pPr>
              <w:spacing w:line="440" w:lineRule="exact"/>
              <w:jc w:val="center"/>
              <w:rPr>
                <w:szCs w:val="21"/>
              </w:rPr>
            </w:pPr>
          </w:p>
        </w:tc>
        <w:tc>
          <w:tcPr>
            <w:tcW w:w="1355" w:type="dxa"/>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1355"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1355"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1355"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1355"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1355"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1355"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1355"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1355"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355"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355"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355"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355"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355"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355"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355"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355"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355"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355"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sz w:val="20"/>
        </w:rPr>
      </w:pPr>
      <w:r>
        <w:rPr>
          <w:sz w:val="20"/>
        </w:rPr>
        <w:br w:type="page"/>
      </w:r>
    </w:p>
    <w:p>
      <w:pPr>
        <w:pStyle w:val="4"/>
        <w:jc w:val="left"/>
        <w:rPr>
          <w:rFonts w:eastAsia="黑体"/>
          <w:sz w:val="23"/>
          <w:szCs w:val="23"/>
        </w:rPr>
      </w:pPr>
      <w:bookmarkStart w:id="152" w:name="_Toc152042594"/>
      <w:bookmarkStart w:id="153" w:name="_Toc296602616"/>
      <w:bookmarkStart w:id="154" w:name="_Toc179632825"/>
      <w:bookmarkStart w:id="155" w:name="_Toc247085889"/>
      <w:bookmarkStart w:id="156" w:name="_Toc152045805"/>
      <w:bookmarkStart w:id="157" w:name="_Toc144974873"/>
      <w:bookmarkStart w:id="158" w:name="_Toc246996371"/>
      <w:bookmarkStart w:id="159" w:name="_Toc246997114"/>
      <w:r>
        <w:t>（二）</w:t>
      </w:r>
      <w:r>
        <w:rPr>
          <w:rFonts w:hint="eastAsia"/>
        </w:rPr>
        <w:t>总设计负责人</w:t>
      </w:r>
      <w:r>
        <w:t>简历表</w:t>
      </w:r>
      <w:bookmarkEnd w:id="152"/>
      <w:bookmarkEnd w:id="153"/>
      <w:bookmarkEnd w:id="154"/>
      <w:bookmarkEnd w:id="155"/>
      <w:bookmarkEnd w:id="156"/>
      <w:bookmarkEnd w:id="157"/>
      <w:bookmarkEnd w:id="158"/>
      <w:bookmarkEnd w:id="159"/>
    </w:p>
    <w:tbl>
      <w:tblPr>
        <w:tblStyle w:val="1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86" w:type="dxa"/>
            <w:vAlign w:val="center"/>
          </w:tcPr>
          <w:p>
            <w:pPr>
              <w:spacing w:line="440" w:lineRule="exact"/>
              <w:jc w:val="center"/>
              <w:rPr>
                <w:rFonts w:ascii="宋体" w:hAnsi="宋体"/>
                <w:szCs w:val="21"/>
              </w:rPr>
            </w:pPr>
            <w:r>
              <w:rPr>
                <w:rFonts w:ascii="宋体" w:hAnsi="宋体"/>
                <w:szCs w:val="21"/>
              </w:rPr>
              <w:t>姓  名</w:t>
            </w:r>
          </w:p>
        </w:tc>
        <w:tc>
          <w:tcPr>
            <w:tcW w:w="1079" w:type="dxa"/>
            <w:gridSpan w:val="2"/>
            <w:vAlign w:val="center"/>
          </w:tcPr>
          <w:p>
            <w:pPr>
              <w:spacing w:line="440" w:lineRule="exact"/>
              <w:jc w:val="center"/>
              <w:rPr>
                <w:rFonts w:ascii="宋体" w:hAnsi="宋体"/>
                <w:szCs w:val="21"/>
              </w:rPr>
            </w:pPr>
          </w:p>
        </w:tc>
        <w:tc>
          <w:tcPr>
            <w:tcW w:w="927" w:type="dxa"/>
            <w:vAlign w:val="center"/>
          </w:tcPr>
          <w:p>
            <w:pPr>
              <w:spacing w:line="440" w:lineRule="exact"/>
              <w:jc w:val="center"/>
              <w:rPr>
                <w:rFonts w:ascii="宋体" w:hAnsi="宋体"/>
                <w:szCs w:val="21"/>
              </w:rPr>
            </w:pPr>
            <w:r>
              <w:rPr>
                <w:rFonts w:ascii="宋体" w:hAnsi="宋体"/>
                <w:szCs w:val="21"/>
              </w:rPr>
              <w:t>年 龄</w:t>
            </w:r>
          </w:p>
        </w:tc>
        <w:tc>
          <w:tcPr>
            <w:tcW w:w="1065" w:type="dxa"/>
            <w:vAlign w:val="center"/>
          </w:tcPr>
          <w:p>
            <w:pPr>
              <w:spacing w:line="440" w:lineRule="exact"/>
              <w:jc w:val="center"/>
              <w:rPr>
                <w:rFonts w:ascii="宋体" w:hAnsi="宋体"/>
                <w:szCs w:val="21"/>
              </w:rPr>
            </w:pPr>
          </w:p>
        </w:tc>
        <w:tc>
          <w:tcPr>
            <w:tcW w:w="2130" w:type="dxa"/>
            <w:gridSpan w:val="3"/>
            <w:vAlign w:val="center"/>
          </w:tcPr>
          <w:p>
            <w:pPr>
              <w:spacing w:line="440" w:lineRule="exact"/>
              <w:jc w:val="center"/>
              <w:rPr>
                <w:rFonts w:ascii="宋体" w:hAnsi="宋体"/>
                <w:szCs w:val="21"/>
              </w:rPr>
            </w:pPr>
            <w:r>
              <w:rPr>
                <w:rFonts w:ascii="宋体" w:hAnsi="宋体"/>
                <w:szCs w:val="21"/>
              </w:rPr>
              <w:t>学历</w:t>
            </w:r>
          </w:p>
        </w:tc>
        <w:tc>
          <w:tcPr>
            <w:tcW w:w="2135" w:type="dxa"/>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vAlign w:val="center"/>
          </w:tcPr>
          <w:p>
            <w:pPr>
              <w:spacing w:line="440" w:lineRule="exact"/>
              <w:jc w:val="center"/>
              <w:rPr>
                <w:rFonts w:ascii="宋体" w:hAnsi="宋体"/>
                <w:szCs w:val="21"/>
              </w:rPr>
            </w:pPr>
            <w:r>
              <w:rPr>
                <w:rFonts w:ascii="宋体" w:hAnsi="宋体"/>
                <w:szCs w:val="21"/>
              </w:rPr>
              <w:t>职  称</w:t>
            </w:r>
          </w:p>
        </w:tc>
        <w:tc>
          <w:tcPr>
            <w:tcW w:w="1079" w:type="dxa"/>
            <w:gridSpan w:val="2"/>
            <w:vAlign w:val="center"/>
          </w:tcPr>
          <w:p>
            <w:pPr>
              <w:spacing w:line="440" w:lineRule="exact"/>
              <w:jc w:val="center"/>
              <w:rPr>
                <w:rFonts w:ascii="宋体" w:hAnsi="宋体"/>
                <w:szCs w:val="21"/>
              </w:rPr>
            </w:pPr>
          </w:p>
        </w:tc>
        <w:tc>
          <w:tcPr>
            <w:tcW w:w="927" w:type="dxa"/>
            <w:vAlign w:val="center"/>
          </w:tcPr>
          <w:p>
            <w:pPr>
              <w:spacing w:line="440" w:lineRule="exact"/>
              <w:jc w:val="center"/>
              <w:rPr>
                <w:rFonts w:ascii="宋体" w:hAnsi="宋体"/>
                <w:szCs w:val="21"/>
              </w:rPr>
            </w:pPr>
            <w:r>
              <w:rPr>
                <w:rFonts w:ascii="宋体" w:hAnsi="宋体"/>
                <w:szCs w:val="21"/>
              </w:rPr>
              <w:t>职 务</w:t>
            </w:r>
          </w:p>
        </w:tc>
        <w:tc>
          <w:tcPr>
            <w:tcW w:w="1065" w:type="dxa"/>
            <w:vAlign w:val="center"/>
          </w:tcPr>
          <w:p>
            <w:pPr>
              <w:spacing w:line="440" w:lineRule="exact"/>
              <w:jc w:val="center"/>
              <w:rPr>
                <w:rFonts w:ascii="宋体" w:hAnsi="宋体"/>
                <w:szCs w:val="21"/>
              </w:rPr>
            </w:pPr>
          </w:p>
        </w:tc>
        <w:tc>
          <w:tcPr>
            <w:tcW w:w="2130" w:type="dxa"/>
            <w:gridSpan w:val="3"/>
            <w:vAlign w:val="center"/>
          </w:tcPr>
          <w:p>
            <w:pPr>
              <w:spacing w:line="440" w:lineRule="exact"/>
              <w:jc w:val="center"/>
              <w:rPr>
                <w:rFonts w:ascii="宋体" w:hAnsi="宋体"/>
                <w:szCs w:val="21"/>
              </w:rPr>
            </w:pPr>
            <w:r>
              <w:rPr>
                <w:rFonts w:ascii="宋体" w:hAnsi="宋体"/>
                <w:szCs w:val="21"/>
              </w:rPr>
              <w:t>拟在本合同任职</w:t>
            </w:r>
          </w:p>
        </w:tc>
        <w:tc>
          <w:tcPr>
            <w:tcW w:w="2135" w:type="dxa"/>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vAlign w:val="center"/>
          </w:tcPr>
          <w:p>
            <w:pPr>
              <w:spacing w:line="440" w:lineRule="exact"/>
              <w:rPr>
                <w:rFonts w:ascii="宋体" w:hAnsi="宋体"/>
                <w:szCs w:val="21"/>
              </w:rPr>
            </w:pPr>
            <w:r>
              <w:rPr>
                <w:rFonts w:ascii="宋体" w:hAnsi="宋体"/>
                <w:szCs w:val="21"/>
              </w:rPr>
              <w:t>毕业学校</w:t>
            </w:r>
          </w:p>
        </w:tc>
        <w:tc>
          <w:tcPr>
            <w:tcW w:w="7336" w:type="dxa"/>
            <w:gridSpan w:val="8"/>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9"/>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vAlign w:val="center"/>
          </w:tcPr>
          <w:p>
            <w:pPr>
              <w:spacing w:line="440" w:lineRule="exact"/>
              <w:rPr>
                <w:rFonts w:ascii="宋体" w:hAnsi="宋体"/>
                <w:szCs w:val="21"/>
              </w:rPr>
            </w:pPr>
            <w:r>
              <w:rPr>
                <w:rFonts w:ascii="宋体" w:hAnsi="宋体"/>
                <w:szCs w:val="21"/>
              </w:rPr>
              <w:t>时  间</w:t>
            </w:r>
          </w:p>
        </w:tc>
        <w:tc>
          <w:tcPr>
            <w:tcW w:w="3420" w:type="dxa"/>
            <w:gridSpan w:val="4"/>
            <w:vAlign w:val="center"/>
          </w:tcPr>
          <w:p>
            <w:pPr>
              <w:spacing w:line="440" w:lineRule="exact"/>
              <w:rPr>
                <w:rFonts w:ascii="宋体" w:hAnsi="宋体"/>
                <w:szCs w:val="21"/>
              </w:rPr>
            </w:pPr>
            <w:r>
              <w:rPr>
                <w:rFonts w:ascii="宋体" w:hAnsi="宋体"/>
                <w:szCs w:val="21"/>
              </w:rPr>
              <w:t>参加过的类似项目</w:t>
            </w:r>
          </w:p>
        </w:tc>
        <w:tc>
          <w:tcPr>
            <w:tcW w:w="1261" w:type="dxa"/>
            <w:vAlign w:val="center"/>
          </w:tcPr>
          <w:p>
            <w:pPr>
              <w:spacing w:line="440" w:lineRule="exact"/>
              <w:rPr>
                <w:rFonts w:ascii="宋体" w:hAnsi="宋体"/>
                <w:szCs w:val="21"/>
              </w:rPr>
            </w:pPr>
            <w:r>
              <w:rPr>
                <w:rFonts w:ascii="宋体" w:hAnsi="宋体"/>
                <w:szCs w:val="21"/>
              </w:rPr>
              <w:t>担任职务</w:t>
            </w:r>
          </w:p>
        </w:tc>
        <w:tc>
          <w:tcPr>
            <w:tcW w:w="2296" w:type="dxa"/>
            <w:gridSpan w:val="2"/>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bl>
    <w:p>
      <w:pPr>
        <w:spacing w:line="400" w:lineRule="exact"/>
        <w:ind w:firstLine="420" w:firstLineChars="200"/>
      </w:pPr>
      <w:r>
        <w:rPr>
          <w:rFonts w:hint="eastAsia"/>
        </w:rPr>
        <w:t>注：应附身份证、职称证、学历证、社会保险复印件等，并加盖单位公章。</w:t>
      </w:r>
    </w:p>
    <w:p>
      <w:pPr>
        <w:topLinePunct/>
        <w:spacing w:line="440" w:lineRule="exact"/>
        <w:jc w:val="center"/>
        <w:rPr>
          <w:rFonts w:eastAsia="黑体"/>
          <w:sz w:val="27"/>
          <w:szCs w:val="27"/>
        </w:rPr>
      </w:pPr>
      <w:r>
        <w:br w:type="page"/>
      </w:r>
    </w:p>
    <w:p>
      <w:pPr>
        <w:pStyle w:val="3"/>
        <w:jc w:val="center"/>
      </w:pPr>
      <w:bookmarkStart w:id="160" w:name="_Toc246996372"/>
      <w:bookmarkStart w:id="161" w:name="_Toc152042596"/>
      <w:bookmarkStart w:id="162" w:name="_Toc247085890"/>
      <w:bookmarkStart w:id="163" w:name="_Toc246997115"/>
      <w:bookmarkStart w:id="164" w:name="_Toc296602617"/>
      <w:bookmarkStart w:id="165" w:name="_Toc179632827"/>
      <w:bookmarkStart w:id="166" w:name="_Toc152045807"/>
      <w:bookmarkStart w:id="167" w:name="_Toc144974875"/>
      <w:r>
        <w:rPr>
          <w:rFonts w:hint="eastAsia"/>
        </w:rPr>
        <w:t>七</w:t>
      </w:r>
      <w:r>
        <w:t>、资格审查资料</w:t>
      </w:r>
      <w:bookmarkEnd w:id="160"/>
      <w:bookmarkEnd w:id="161"/>
      <w:bookmarkEnd w:id="162"/>
      <w:bookmarkEnd w:id="163"/>
      <w:bookmarkEnd w:id="164"/>
      <w:bookmarkEnd w:id="165"/>
      <w:bookmarkEnd w:id="166"/>
      <w:bookmarkEnd w:id="167"/>
    </w:p>
    <w:p>
      <w:pPr>
        <w:pStyle w:val="4"/>
        <w:jc w:val="left"/>
      </w:pPr>
      <w:bookmarkStart w:id="168" w:name="_Toc179632828"/>
      <w:bookmarkStart w:id="169" w:name="_Toc247085891"/>
      <w:bookmarkStart w:id="170" w:name="_Toc144974876"/>
      <w:bookmarkStart w:id="171" w:name="_Toc152042597"/>
      <w:bookmarkStart w:id="172" w:name="_Toc246996373"/>
      <w:bookmarkStart w:id="173" w:name="_Toc246997116"/>
      <w:bookmarkStart w:id="174" w:name="_Toc296602618"/>
      <w:bookmarkStart w:id="175" w:name="_Toc152045808"/>
      <w:r>
        <w:t>（一）投标人基本情况表</w:t>
      </w:r>
      <w:bookmarkEnd w:id="168"/>
      <w:bookmarkEnd w:id="169"/>
      <w:bookmarkEnd w:id="170"/>
      <w:bookmarkEnd w:id="171"/>
      <w:bookmarkEnd w:id="172"/>
      <w:bookmarkEnd w:id="173"/>
      <w:bookmarkEnd w:id="174"/>
      <w:bookmarkEnd w:id="175"/>
    </w:p>
    <w:tbl>
      <w:tblPr>
        <w:tblStyle w:val="14"/>
        <w:tblW w:w="856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61"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总设计负责人</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bl>
    <w:p>
      <w:pPr>
        <w:spacing w:line="400" w:lineRule="exact"/>
        <w:rPr>
          <w:rFonts w:ascii="Times New Roman" w:hAnsi="Times New Roman"/>
          <w:color w:val="000000"/>
        </w:rPr>
      </w:pPr>
      <w:r>
        <w:rPr>
          <w:rFonts w:ascii="Times New Roman" w:hAnsi="Times New Roman"/>
          <w:color w:val="000000"/>
        </w:rPr>
        <w:t>注：</w:t>
      </w:r>
      <w:r>
        <w:rPr>
          <w:rFonts w:hint="eastAsia" w:ascii="Times New Roman" w:hAnsi="Times New Roman"/>
          <w:color w:val="000000"/>
        </w:rPr>
        <w:t>“投标人基本情况表”应附投标人</w:t>
      </w:r>
      <w:r>
        <w:rPr>
          <w:rFonts w:hint="eastAsia" w:ascii="Times New Roman" w:hAnsi="Times New Roman"/>
          <w:b/>
          <w:bCs/>
          <w:color w:val="000000"/>
        </w:rPr>
        <w:t>营业执照、资质证书</w:t>
      </w:r>
      <w:r>
        <w:rPr>
          <w:rFonts w:hint="eastAsia" w:ascii="Times New Roman" w:hAnsi="Times New Roman"/>
          <w:color w:val="000000"/>
        </w:rPr>
        <w:t>等材料的复印件，加盖投标人公章。</w:t>
      </w:r>
    </w:p>
    <w:p>
      <w:pPr>
        <w:topLinePunct/>
        <w:spacing w:line="440" w:lineRule="exact"/>
        <w:rPr>
          <w:sz w:val="20"/>
        </w:rPr>
      </w:pPr>
    </w:p>
    <w:p>
      <w:pPr>
        <w:spacing w:line="440" w:lineRule="exact"/>
        <w:ind w:firstLine="500" w:firstLineChars="250"/>
        <w:jc w:val="center"/>
        <w:rPr>
          <w:rFonts w:eastAsia="黑体"/>
          <w:sz w:val="20"/>
          <w:szCs w:val="20"/>
        </w:rPr>
      </w:pPr>
      <w:r>
        <w:rPr>
          <w:rFonts w:eastAsia="黑体"/>
          <w:sz w:val="20"/>
          <w:szCs w:val="20"/>
        </w:rPr>
        <w:br w:type="page"/>
      </w:r>
      <w:bookmarkStart w:id="176" w:name="_Toc144974881"/>
      <w:bookmarkStart w:id="177" w:name="_Toc152045813"/>
      <w:bookmarkStart w:id="178" w:name="_Toc152042602"/>
      <w:bookmarkStart w:id="179" w:name="_Toc179632833"/>
    </w:p>
    <w:p>
      <w:pPr>
        <w:pStyle w:val="4"/>
        <w:jc w:val="left"/>
      </w:pPr>
      <w:bookmarkStart w:id="180" w:name="_Toc247514302"/>
      <w:bookmarkStart w:id="181" w:name="_Toc296602620"/>
      <w:bookmarkStart w:id="182" w:name="_Toc247527850"/>
      <w:bookmarkStart w:id="183" w:name="_Toc265953296"/>
      <w:bookmarkStart w:id="184" w:name="_Toc152042599"/>
      <w:bookmarkStart w:id="185" w:name="_Toc152045810"/>
      <w:bookmarkStart w:id="186" w:name="_Toc144974878"/>
      <w:r>
        <w:t>（</w:t>
      </w:r>
      <w:r>
        <w:rPr>
          <w:rFonts w:hint="eastAsia"/>
        </w:rPr>
        <w:t>二</w:t>
      </w:r>
      <w:r>
        <w:t>）近年完成的类似项目情况表</w:t>
      </w:r>
      <w:bookmarkEnd w:id="180"/>
      <w:bookmarkEnd w:id="181"/>
      <w:bookmarkEnd w:id="182"/>
      <w:bookmarkEnd w:id="183"/>
      <w:bookmarkEnd w:id="184"/>
      <w:bookmarkEnd w:id="185"/>
      <w:bookmarkEnd w:id="186"/>
      <w:r>
        <w:rPr>
          <w:rFonts w:hint="eastAsia"/>
        </w:rPr>
        <w:t xml:space="preserve">   </w:t>
      </w:r>
    </w:p>
    <w:tbl>
      <w:tblPr>
        <w:tblStyle w:val="14"/>
        <w:tblW w:w="91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szCs w:val="21"/>
              </w:rPr>
            </w:pPr>
            <w:r>
              <w:rPr>
                <w:szCs w:val="21"/>
              </w:rPr>
              <w:t>项目名称</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vAlign w:val="center"/>
          </w:tcPr>
          <w:p>
            <w:pPr>
              <w:topLinePunct/>
              <w:spacing w:line="440" w:lineRule="exact"/>
              <w:jc w:val="center"/>
              <w:rPr>
                <w:szCs w:val="21"/>
              </w:rPr>
            </w:pPr>
            <w:r>
              <w:rPr>
                <w:szCs w:val="21"/>
              </w:rPr>
              <w:t>项目所在地</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vAlign w:val="center"/>
          </w:tcPr>
          <w:p>
            <w:pPr>
              <w:topLinePunct/>
              <w:spacing w:line="440" w:lineRule="exact"/>
              <w:jc w:val="center"/>
              <w:rPr>
                <w:szCs w:val="21"/>
              </w:rPr>
            </w:pPr>
            <w:r>
              <w:rPr>
                <w:szCs w:val="21"/>
              </w:rPr>
              <w:t>发包人名称</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vAlign w:val="center"/>
          </w:tcPr>
          <w:p>
            <w:pPr>
              <w:topLinePunct/>
              <w:spacing w:line="440" w:lineRule="exact"/>
              <w:jc w:val="center"/>
              <w:rPr>
                <w:szCs w:val="21"/>
              </w:rPr>
            </w:pPr>
            <w:r>
              <w:rPr>
                <w:szCs w:val="21"/>
              </w:rPr>
              <w:t>发包人地址</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vAlign w:val="center"/>
          </w:tcPr>
          <w:p>
            <w:pPr>
              <w:topLinePunct/>
              <w:spacing w:line="440" w:lineRule="exact"/>
              <w:jc w:val="center"/>
              <w:rPr>
                <w:szCs w:val="21"/>
              </w:rPr>
            </w:pPr>
            <w:r>
              <w:rPr>
                <w:szCs w:val="21"/>
              </w:rPr>
              <w:t>发包人电话</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szCs w:val="21"/>
              </w:rPr>
            </w:pPr>
            <w:r>
              <w:rPr>
                <w:szCs w:val="21"/>
              </w:rPr>
              <w:t>合同价格</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szCs w:val="21"/>
              </w:rPr>
            </w:pPr>
            <w:r>
              <w:rPr>
                <w:szCs w:val="21"/>
              </w:rPr>
              <w:t>开工日期</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vAlign w:val="center"/>
          </w:tcPr>
          <w:p>
            <w:pPr>
              <w:topLinePunct/>
              <w:spacing w:line="440" w:lineRule="exact"/>
              <w:jc w:val="center"/>
              <w:rPr>
                <w:szCs w:val="21"/>
              </w:rPr>
            </w:pPr>
            <w:r>
              <w:rPr>
                <w:rFonts w:hint="eastAsia"/>
              </w:rPr>
              <w:t>竣工</w:t>
            </w:r>
            <w:r>
              <w:rPr>
                <w:szCs w:val="21"/>
              </w:rPr>
              <w:t>日期</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vAlign w:val="center"/>
          </w:tcPr>
          <w:p>
            <w:pPr>
              <w:topLinePunct/>
              <w:spacing w:line="440" w:lineRule="exact"/>
              <w:jc w:val="center"/>
              <w:rPr>
                <w:szCs w:val="21"/>
              </w:rPr>
            </w:pPr>
            <w:r>
              <w:rPr>
                <w:szCs w:val="21"/>
              </w:rPr>
              <w:t>承担的工作</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vAlign w:val="center"/>
          </w:tcPr>
          <w:p>
            <w:pPr>
              <w:topLinePunct/>
              <w:spacing w:line="440" w:lineRule="exact"/>
              <w:jc w:val="center"/>
              <w:rPr>
                <w:szCs w:val="21"/>
              </w:rPr>
            </w:pPr>
            <w:r>
              <w:rPr>
                <w:szCs w:val="21"/>
              </w:rPr>
              <w:t>工程质量</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vAlign w:val="center"/>
          </w:tcPr>
          <w:p>
            <w:pPr>
              <w:topLinePunct/>
              <w:spacing w:line="440" w:lineRule="exact"/>
              <w:jc w:val="center"/>
              <w:rPr>
                <w:szCs w:val="21"/>
              </w:rPr>
            </w:pPr>
            <w:r>
              <w:rPr>
                <w:rFonts w:hint="eastAsia"/>
                <w:szCs w:val="21"/>
              </w:rPr>
              <w:t>总设计负责人</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vAlign w:val="center"/>
          </w:tcPr>
          <w:p>
            <w:pPr>
              <w:topLinePunct/>
              <w:spacing w:line="440" w:lineRule="exact"/>
              <w:jc w:val="center"/>
              <w:rPr>
                <w:szCs w:val="21"/>
              </w:rPr>
            </w:pPr>
            <w:r>
              <w:rPr>
                <w:szCs w:val="21"/>
              </w:rPr>
              <w:t>技术负责人</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szCs w:val="21"/>
              </w:rPr>
            </w:pPr>
            <w:r>
              <w:rPr>
                <w:szCs w:val="21"/>
              </w:rPr>
              <w:t>项目描述</w:t>
            </w:r>
          </w:p>
        </w:tc>
        <w:tc>
          <w:tcPr>
            <w:tcW w:w="6923" w:type="dxa"/>
          </w:tcPr>
          <w:p>
            <w:pPr>
              <w:topLinePunct/>
              <w:spacing w:line="440" w:lineRule="exact"/>
              <w:rPr>
                <w:szCs w:val="21"/>
              </w:rPr>
            </w:pPr>
          </w:p>
          <w:p>
            <w:pPr>
              <w:topLinePunct/>
              <w:spacing w:line="440" w:lineRule="exact"/>
              <w:rPr>
                <w:szCs w:val="21"/>
              </w:rPr>
            </w:pPr>
          </w:p>
          <w:p>
            <w:pPr>
              <w:topLinePunct/>
              <w:spacing w:line="440" w:lineRule="exact"/>
              <w:rPr>
                <w:szCs w:val="21"/>
              </w:rPr>
            </w:pPr>
          </w:p>
          <w:p>
            <w:pPr>
              <w:topLinePunct/>
              <w:spacing w:line="440" w:lineRule="exact"/>
              <w:rPr>
                <w:szCs w:val="21"/>
              </w:rPr>
            </w:pPr>
          </w:p>
          <w:p>
            <w:pPr>
              <w:topLinePunct/>
              <w:spacing w:line="440" w:lineRule="exact"/>
              <w:rPr>
                <w:szCs w:val="21"/>
              </w:rPr>
            </w:pPr>
          </w:p>
          <w:p>
            <w:pPr>
              <w:topLinePunct/>
              <w:spacing w:line="440" w:lineRule="exact"/>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szCs w:val="21"/>
              </w:rPr>
            </w:pPr>
            <w:r>
              <w:rPr>
                <w:szCs w:val="21"/>
              </w:rPr>
              <w:t>备注</w:t>
            </w:r>
          </w:p>
        </w:tc>
        <w:tc>
          <w:tcPr>
            <w:tcW w:w="6923" w:type="dxa"/>
          </w:tcPr>
          <w:p>
            <w:pPr>
              <w:topLinePunct/>
              <w:spacing w:line="440" w:lineRule="exact"/>
              <w:rPr>
                <w:szCs w:val="21"/>
              </w:rPr>
            </w:pPr>
          </w:p>
        </w:tc>
      </w:tr>
    </w:tbl>
    <w:p>
      <w:pPr>
        <w:spacing w:line="440" w:lineRule="exact"/>
        <w:rPr>
          <w:rFonts w:ascii="Times New Roman" w:hAnsi="Times New Roman"/>
        </w:rPr>
      </w:pPr>
      <w:r>
        <w:rPr>
          <w:rFonts w:ascii="Times New Roman" w:hAnsi="Times New Roman"/>
        </w:rPr>
        <w:t>注：</w:t>
      </w:r>
      <w:r>
        <w:rPr>
          <w:rFonts w:hint="eastAsia" w:ascii="Times New Roman" w:hAnsi="Times New Roman"/>
          <w:color w:val="000000"/>
        </w:rPr>
        <w:t>“近年完成的类似项目情况表”应附合同协议书的复印件或扫描件，并加盖投标人公章；具体时间要求见投标人须知前附表，每张表格只填写一个项目，并标明序号。</w:t>
      </w:r>
    </w:p>
    <w:p>
      <w:pPr>
        <w:spacing w:line="440" w:lineRule="exact"/>
        <w:rPr>
          <w:rFonts w:eastAsia="黑体"/>
          <w:sz w:val="23"/>
          <w:szCs w:val="23"/>
        </w:rPr>
      </w:pPr>
    </w:p>
    <w:p>
      <w:pPr>
        <w:pStyle w:val="4"/>
        <w:jc w:val="left"/>
        <w:rPr>
          <w:rFonts w:eastAsia="黑体"/>
          <w:sz w:val="20"/>
          <w:szCs w:val="20"/>
        </w:rPr>
      </w:pPr>
      <w:bookmarkStart w:id="187" w:name="_Toc247514303"/>
      <w:bookmarkStart w:id="188" w:name="_Toc144974879"/>
      <w:bookmarkStart w:id="189" w:name="_Toc247527851"/>
      <w:bookmarkStart w:id="190" w:name="_Toc152045811"/>
      <w:bookmarkStart w:id="191" w:name="_Toc152042600"/>
      <w:bookmarkStart w:id="192" w:name="_Toc296602621"/>
      <w:bookmarkStart w:id="193" w:name="_Toc265953297"/>
      <w:r>
        <w:t>（</w:t>
      </w:r>
      <w:r>
        <w:rPr>
          <w:rFonts w:hint="eastAsia"/>
        </w:rPr>
        <w:t>三</w:t>
      </w:r>
      <w:r>
        <w:t>）正在</w:t>
      </w:r>
      <w:r>
        <w:rPr>
          <w:rFonts w:hint="eastAsia"/>
        </w:rPr>
        <w:t>实施</w:t>
      </w:r>
      <w:r>
        <w:t>的和新承接的项目情况表</w:t>
      </w:r>
      <w:bookmarkEnd w:id="187"/>
      <w:bookmarkEnd w:id="188"/>
      <w:bookmarkEnd w:id="189"/>
      <w:bookmarkEnd w:id="190"/>
      <w:bookmarkEnd w:id="191"/>
      <w:bookmarkEnd w:id="192"/>
      <w:bookmarkEnd w:id="193"/>
    </w:p>
    <w:tbl>
      <w:tblPr>
        <w:tblStyle w:val="14"/>
        <w:tblW w:w="91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7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vAlign w:val="center"/>
          </w:tcPr>
          <w:p>
            <w:pPr>
              <w:topLinePunct/>
              <w:spacing w:line="440" w:lineRule="exact"/>
              <w:jc w:val="center"/>
              <w:rPr>
                <w:szCs w:val="21"/>
              </w:rPr>
            </w:pPr>
            <w:r>
              <w:rPr>
                <w:szCs w:val="21"/>
              </w:rPr>
              <w:t>项目名称</w:t>
            </w:r>
          </w:p>
        </w:tc>
        <w:tc>
          <w:tcPr>
            <w:tcW w:w="705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vAlign w:val="center"/>
          </w:tcPr>
          <w:p>
            <w:pPr>
              <w:topLinePunct/>
              <w:spacing w:line="440" w:lineRule="exact"/>
              <w:jc w:val="center"/>
              <w:rPr>
                <w:szCs w:val="21"/>
              </w:rPr>
            </w:pPr>
            <w:r>
              <w:rPr>
                <w:szCs w:val="21"/>
              </w:rPr>
              <w:t>项目所在地</w:t>
            </w:r>
          </w:p>
        </w:tc>
        <w:tc>
          <w:tcPr>
            <w:tcW w:w="705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vAlign w:val="center"/>
          </w:tcPr>
          <w:p>
            <w:pPr>
              <w:topLinePunct/>
              <w:spacing w:line="440" w:lineRule="exact"/>
              <w:jc w:val="center"/>
              <w:rPr>
                <w:szCs w:val="21"/>
              </w:rPr>
            </w:pPr>
            <w:r>
              <w:rPr>
                <w:szCs w:val="21"/>
              </w:rPr>
              <w:t>发包人名称</w:t>
            </w:r>
          </w:p>
        </w:tc>
        <w:tc>
          <w:tcPr>
            <w:tcW w:w="705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vAlign w:val="center"/>
          </w:tcPr>
          <w:p>
            <w:pPr>
              <w:topLinePunct/>
              <w:spacing w:line="440" w:lineRule="exact"/>
              <w:jc w:val="center"/>
              <w:rPr>
                <w:szCs w:val="21"/>
              </w:rPr>
            </w:pPr>
            <w:r>
              <w:rPr>
                <w:szCs w:val="21"/>
              </w:rPr>
              <w:t>发包人地址</w:t>
            </w:r>
          </w:p>
        </w:tc>
        <w:tc>
          <w:tcPr>
            <w:tcW w:w="705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vAlign w:val="center"/>
          </w:tcPr>
          <w:p>
            <w:pPr>
              <w:topLinePunct/>
              <w:spacing w:line="440" w:lineRule="exact"/>
              <w:jc w:val="center"/>
              <w:rPr>
                <w:szCs w:val="21"/>
              </w:rPr>
            </w:pPr>
            <w:r>
              <w:rPr>
                <w:szCs w:val="21"/>
              </w:rPr>
              <w:t>发包人电话</w:t>
            </w:r>
          </w:p>
        </w:tc>
        <w:tc>
          <w:tcPr>
            <w:tcW w:w="705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vAlign w:val="center"/>
          </w:tcPr>
          <w:p>
            <w:pPr>
              <w:topLinePunct/>
              <w:spacing w:line="440" w:lineRule="exact"/>
              <w:jc w:val="center"/>
              <w:rPr>
                <w:szCs w:val="21"/>
              </w:rPr>
            </w:pPr>
            <w:r>
              <w:rPr>
                <w:szCs w:val="21"/>
              </w:rPr>
              <w:t>签约合同价</w:t>
            </w:r>
          </w:p>
        </w:tc>
        <w:tc>
          <w:tcPr>
            <w:tcW w:w="705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vAlign w:val="center"/>
          </w:tcPr>
          <w:p>
            <w:pPr>
              <w:topLinePunct/>
              <w:spacing w:line="440" w:lineRule="exact"/>
              <w:jc w:val="center"/>
              <w:rPr>
                <w:szCs w:val="21"/>
              </w:rPr>
            </w:pPr>
            <w:r>
              <w:rPr>
                <w:szCs w:val="21"/>
              </w:rPr>
              <w:t>开工日期</w:t>
            </w:r>
          </w:p>
        </w:tc>
        <w:tc>
          <w:tcPr>
            <w:tcW w:w="705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vAlign w:val="center"/>
          </w:tcPr>
          <w:p>
            <w:pPr>
              <w:topLinePunct/>
              <w:spacing w:line="440" w:lineRule="exact"/>
              <w:jc w:val="center"/>
              <w:rPr>
                <w:szCs w:val="21"/>
              </w:rPr>
            </w:pPr>
            <w:r>
              <w:rPr>
                <w:szCs w:val="21"/>
              </w:rPr>
              <w:t>计划</w:t>
            </w:r>
            <w:r>
              <w:rPr>
                <w:rFonts w:hint="eastAsia"/>
              </w:rPr>
              <w:t>竣工</w:t>
            </w:r>
            <w:r>
              <w:rPr>
                <w:szCs w:val="21"/>
              </w:rPr>
              <w:t>日期</w:t>
            </w:r>
          </w:p>
        </w:tc>
        <w:tc>
          <w:tcPr>
            <w:tcW w:w="705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vAlign w:val="center"/>
          </w:tcPr>
          <w:p>
            <w:pPr>
              <w:topLinePunct/>
              <w:spacing w:line="440" w:lineRule="exact"/>
              <w:jc w:val="center"/>
              <w:rPr>
                <w:szCs w:val="21"/>
              </w:rPr>
            </w:pPr>
            <w:r>
              <w:rPr>
                <w:szCs w:val="21"/>
              </w:rPr>
              <w:t>承担的工作</w:t>
            </w:r>
          </w:p>
        </w:tc>
        <w:tc>
          <w:tcPr>
            <w:tcW w:w="705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vAlign w:val="center"/>
          </w:tcPr>
          <w:p>
            <w:pPr>
              <w:topLinePunct/>
              <w:spacing w:line="440" w:lineRule="exact"/>
              <w:jc w:val="center"/>
              <w:rPr>
                <w:szCs w:val="21"/>
              </w:rPr>
            </w:pPr>
            <w:r>
              <w:rPr>
                <w:szCs w:val="21"/>
              </w:rPr>
              <w:t>工程质量</w:t>
            </w:r>
          </w:p>
        </w:tc>
        <w:tc>
          <w:tcPr>
            <w:tcW w:w="705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vAlign w:val="center"/>
          </w:tcPr>
          <w:p>
            <w:pPr>
              <w:topLinePunct/>
              <w:spacing w:line="440" w:lineRule="exact"/>
              <w:jc w:val="center"/>
              <w:rPr>
                <w:szCs w:val="21"/>
              </w:rPr>
            </w:pPr>
            <w:r>
              <w:rPr>
                <w:rFonts w:hint="eastAsia"/>
                <w:szCs w:val="21"/>
              </w:rPr>
              <w:t>总设计负责人</w:t>
            </w:r>
          </w:p>
        </w:tc>
        <w:tc>
          <w:tcPr>
            <w:tcW w:w="705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vAlign w:val="center"/>
          </w:tcPr>
          <w:p>
            <w:pPr>
              <w:topLinePunct/>
              <w:spacing w:line="440" w:lineRule="exact"/>
              <w:jc w:val="center"/>
              <w:rPr>
                <w:szCs w:val="21"/>
              </w:rPr>
            </w:pPr>
            <w:r>
              <w:rPr>
                <w:szCs w:val="21"/>
              </w:rPr>
              <w:t>技术负责人</w:t>
            </w:r>
          </w:p>
        </w:tc>
        <w:tc>
          <w:tcPr>
            <w:tcW w:w="705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vAlign w:val="center"/>
          </w:tcPr>
          <w:p>
            <w:pPr>
              <w:topLinePunct/>
              <w:spacing w:line="440" w:lineRule="exact"/>
              <w:jc w:val="center"/>
              <w:rPr>
                <w:szCs w:val="21"/>
              </w:rPr>
            </w:pPr>
            <w:r>
              <w:rPr>
                <w:szCs w:val="21"/>
              </w:rPr>
              <w:t>项目描述</w:t>
            </w:r>
          </w:p>
        </w:tc>
        <w:tc>
          <w:tcPr>
            <w:tcW w:w="7059" w:type="dxa"/>
          </w:tcPr>
          <w:p>
            <w:pPr>
              <w:topLinePunct/>
              <w:spacing w:line="440" w:lineRule="exact"/>
              <w:rPr>
                <w:szCs w:val="21"/>
              </w:rPr>
            </w:pPr>
          </w:p>
          <w:p>
            <w:pPr>
              <w:topLinePunct/>
              <w:spacing w:line="440" w:lineRule="exact"/>
              <w:rPr>
                <w:szCs w:val="21"/>
              </w:rPr>
            </w:pPr>
          </w:p>
          <w:p>
            <w:pPr>
              <w:topLinePunct/>
              <w:spacing w:line="440" w:lineRule="exact"/>
              <w:rPr>
                <w:szCs w:val="21"/>
              </w:rPr>
            </w:pPr>
          </w:p>
          <w:p>
            <w:pPr>
              <w:topLinePunct/>
              <w:spacing w:line="440" w:lineRule="exact"/>
              <w:rPr>
                <w:szCs w:val="21"/>
              </w:rPr>
            </w:pPr>
          </w:p>
          <w:p>
            <w:pPr>
              <w:topLinePunct/>
              <w:spacing w:line="440" w:lineRule="exact"/>
              <w:rPr>
                <w:szCs w:val="21"/>
              </w:rPr>
            </w:pPr>
          </w:p>
          <w:p>
            <w:pPr>
              <w:topLinePunct/>
              <w:spacing w:line="440" w:lineRule="exact"/>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vAlign w:val="center"/>
          </w:tcPr>
          <w:p>
            <w:pPr>
              <w:topLinePunct/>
              <w:spacing w:line="440" w:lineRule="exact"/>
              <w:jc w:val="center"/>
              <w:rPr>
                <w:szCs w:val="21"/>
              </w:rPr>
            </w:pPr>
            <w:r>
              <w:rPr>
                <w:szCs w:val="21"/>
              </w:rPr>
              <w:t>备注</w:t>
            </w:r>
          </w:p>
        </w:tc>
        <w:tc>
          <w:tcPr>
            <w:tcW w:w="7059" w:type="dxa"/>
          </w:tcPr>
          <w:p>
            <w:pPr>
              <w:topLinePunct/>
              <w:spacing w:line="440" w:lineRule="exact"/>
              <w:rPr>
                <w:szCs w:val="21"/>
              </w:rPr>
            </w:pPr>
          </w:p>
        </w:tc>
      </w:tr>
    </w:tbl>
    <w:p>
      <w:pPr>
        <w:spacing w:line="440" w:lineRule="exact"/>
        <w:rPr>
          <w:rFonts w:ascii="Times New Roman" w:hAnsi="Times New Roman"/>
          <w:color w:val="000000"/>
        </w:rPr>
      </w:pPr>
      <w:r>
        <w:rPr>
          <w:rFonts w:ascii="Times New Roman" w:hAnsi="Times New Roman"/>
        </w:rPr>
        <w:t>注：</w:t>
      </w:r>
      <w:r>
        <w:rPr>
          <w:rFonts w:hint="eastAsia" w:ascii="Times New Roman" w:hAnsi="Times New Roman"/>
          <w:color w:val="000000"/>
        </w:rPr>
        <w:t>“正在履行和新承接的项目情况表”应附中标通知书或合同协议书的复印件或扫描件，并加盖投标人公章。每张表格只填写一个项目，并标明序号。</w:t>
      </w:r>
      <w:bookmarkStart w:id="194" w:name="_Toc296602622"/>
      <w:bookmarkStart w:id="195" w:name="_Toc246996374"/>
      <w:bookmarkStart w:id="196" w:name="_Toc247085892"/>
      <w:bookmarkStart w:id="197" w:name="_Toc246997117"/>
    </w:p>
    <w:p>
      <w:pPr>
        <w:pStyle w:val="4"/>
        <w:ind w:firstLine="2891" w:firstLineChars="900"/>
      </w:pPr>
      <w:r>
        <w:rPr>
          <w:rFonts w:hint="eastAsia"/>
        </w:rPr>
        <w:t>（六）</w:t>
      </w:r>
      <w:r>
        <w:t>其他</w:t>
      </w:r>
      <w:r>
        <w:rPr>
          <w:rFonts w:hint="eastAsia"/>
        </w:rPr>
        <w:t>资</w:t>
      </w:r>
      <w:r>
        <w:t>料</w:t>
      </w:r>
      <w:bookmarkEnd w:id="176"/>
      <w:bookmarkEnd w:id="177"/>
      <w:bookmarkEnd w:id="178"/>
      <w:bookmarkEnd w:id="179"/>
      <w:bookmarkEnd w:id="194"/>
      <w:bookmarkEnd w:id="195"/>
      <w:bookmarkEnd w:id="196"/>
      <w:bookmarkEnd w:id="197"/>
    </w:p>
    <w:p>
      <w:pPr>
        <w:ind w:firstLine="420" w:firstLineChars="200"/>
      </w:pPr>
      <w:r>
        <w:rPr>
          <w:rFonts w:hint="eastAsia"/>
        </w:rPr>
        <w:t>第七章“投标文件格式”未详尽列举，但招标文件要求或有必要提供的资料。</w:t>
      </w:r>
    </w:p>
    <w:p/>
    <w:p>
      <w:pPr>
        <w:tabs>
          <w:tab w:val="left" w:pos="720"/>
        </w:tabs>
        <w:spacing w:line="440" w:lineRule="exact"/>
        <w:rPr>
          <w:rFonts w:ascii="Times New Roman" w:hAnsi="Times New Roman" w:cs="Times New Roman"/>
          <w:szCs w:val="21"/>
        </w:rPr>
      </w:pPr>
    </w:p>
    <w:p>
      <w:pPr>
        <w:rPr>
          <w:rFonts w:ascii="宋体" w:hAnsi="宋体" w:eastAsia="宋体" w:cs="宋体"/>
          <w:kern w:val="0"/>
          <w:sz w:val="24"/>
        </w:rPr>
      </w:pPr>
    </w:p>
    <w:sectPr>
      <w:headerReference r:id="rId4" w:type="default"/>
      <w:footerReference r:id="rId5" w:type="default"/>
      <w:pgSz w:w="11906" w:h="16838"/>
      <w:pgMar w:top="1417" w:right="1417" w:bottom="1417" w:left="1417" w:header="851" w:footer="992" w:gutter="0"/>
      <w:pgNumType w:fmt="numberInDash"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pict>
        <v:shape id="_x0000_s4097" o:spid="_x0000_s4097"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path/>
          <v:fill on="f" focussize="0,0"/>
          <v:stroke on="f" weight="0.5pt" joinstyle="miter"/>
          <v:imagedata o:title=""/>
          <o:lock v:ext="edit"/>
          <v:textbox inset="0mm,0mm,0mm,0mm" style="mso-fit-shape-to-text:t;">
            <w:txbxContent>
              <w:p>
                <w:pPr>
                  <w:pStyle w:val="9"/>
                  <w:rPr>
                    <w:rFonts w:asciiTheme="minorEastAsia" w:hAnsiTheme="minorEastAsia" w:cstheme="minorEastAsia"/>
                    <w:sz w:val="24"/>
                    <w:szCs w:val="24"/>
                  </w:rPr>
                </w:pPr>
                <w:r>
                  <w:rPr>
                    <w:rFonts w:hint="eastAsia" w:asciiTheme="minorEastAsia" w:hAnsiTheme="minorEastAsia" w:cstheme="minorEastAsia"/>
                    <w:sz w:val="24"/>
                    <w:szCs w:val="24"/>
                  </w:rPr>
                  <w:fldChar w:fldCharType="begin"/>
                </w:r>
                <w:r>
                  <w:rPr>
                    <w:rFonts w:hint="eastAsia" w:asciiTheme="minorEastAsia" w:hAnsiTheme="minorEastAsia" w:cstheme="minorEastAsia"/>
                    <w:sz w:val="24"/>
                    <w:szCs w:val="24"/>
                  </w:rPr>
                  <w:instrText xml:space="preserve"> PAGE  \* MERGEFORMAT </w:instrText>
                </w:r>
                <w:r>
                  <w:rPr>
                    <w:rFonts w:hint="eastAsia" w:asciiTheme="minorEastAsia" w:hAnsiTheme="minorEastAsia" w:cstheme="minorEastAsia"/>
                    <w:sz w:val="24"/>
                    <w:szCs w:val="24"/>
                  </w:rPr>
                  <w:fldChar w:fldCharType="separate"/>
                </w:r>
                <w:r>
                  <w:rPr>
                    <w:rFonts w:asciiTheme="minorEastAsia" w:hAnsiTheme="minorEastAsia" w:cstheme="minorEastAsia"/>
                    <w:sz w:val="24"/>
                    <w:szCs w:val="24"/>
                  </w:rPr>
                  <w:t>- 11 -</w:t>
                </w:r>
                <w:r>
                  <w:rPr>
                    <w:rFonts w:hint="eastAsia" w:asciiTheme="minorEastAsia" w:hAnsiTheme="minorEastAsia" w:cstheme="minorEastAsia"/>
                    <w:sz w:val="24"/>
                    <w:szCs w:val="24"/>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30C7629"/>
    <w:multiLevelType w:val="singleLevel"/>
    <w:tmpl w:val="C30C7629"/>
    <w:lvl w:ilvl="0" w:tentative="0">
      <w:start w:val="1"/>
      <w:numFmt w:val="chineseCounting"/>
      <w:suff w:val="nothing"/>
      <w:lvlText w:val="%1、"/>
      <w:lvlJc w:val="left"/>
      <w:rPr>
        <w:rFonts w:hint="eastAsia"/>
      </w:rPr>
    </w:lvl>
  </w:abstractNum>
  <w:abstractNum w:abstractNumId="1">
    <w:nsid w:val="C7558885"/>
    <w:multiLevelType w:val="singleLevel"/>
    <w:tmpl w:val="C7558885"/>
    <w:lvl w:ilvl="0" w:tentative="0">
      <w:start w:val="1"/>
      <w:numFmt w:val="decimal"/>
      <w:lvlText w:val="%1."/>
      <w:lvlJc w:val="left"/>
      <w:pPr>
        <w:tabs>
          <w:tab w:val="left" w:pos="312"/>
        </w:tabs>
      </w:pPr>
    </w:lvl>
  </w:abstractNum>
  <w:abstractNum w:abstractNumId="2">
    <w:nsid w:val="E044EB01"/>
    <w:multiLevelType w:val="singleLevel"/>
    <w:tmpl w:val="E044EB01"/>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595CD3"/>
    <w:rsid w:val="00002415"/>
    <w:rsid w:val="000169BA"/>
    <w:rsid w:val="00032888"/>
    <w:rsid w:val="0004423C"/>
    <w:rsid w:val="002C069E"/>
    <w:rsid w:val="00385ED4"/>
    <w:rsid w:val="003952D2"/>
    <w:rsid w:val="003C1E41"/>
    <w:rsid w:val="003E4AE5"/>
    <w:rsid w:val="00452862"/>
    <w:rsid w:val="00595CD3"/>
    <w:rsid w:val="005F40D5"/>
    <w:rsid w:val="006A01ED"/>
    <w:rsid w:val="006B6193"/>
    <w:rsid w:val="00733B0B"/>
    <w:rsid w:val="00764376"/>
    <w:rsid w:val="00796B76"/>
    <w:rsid w:val="007A38F6"/>
    <w:rsid w:val="0094179E"/>
    <w:rsid w:val="00AC359D"/>
    <w:rsid w:val="00B16195"/>
    <w:rsid w:val="00B96090"/>
    <w:rsid w:val="00BA48BC"/>
    <w:rsid w:val="00C83985"/>
    <w:rsid w:val="00D43468"/>
    <w:rsid w:val="00D60217"/>
    <w:rsid w:val="00DC7B4B"/>
    <w:rsid w:val="00E5665E"/>
    <w:rsid w:val="01033B68"/>
    <w:rsid w:val="011E1D37"/>
    <w:rsid w:val="01484F7A"/>
    <w:rsid w:val="019846E3"/>
    <w:rsid w:val="01CB0CDF"/>
    <w:rsid w:val="01CD2334"/>
    <w:rsid w:val="01F0419F"/>
    <w:rsid w:val="0204494F"/>
    <w:rsid w:val="02983D41"/>
    <w:rsid w:val="02AC508C"/>
    <w:rsid w:val="02B80415"/>
    <w:rsid w:val="034D6B3F"/>
    <w:rsid w:val="035021B2"/>
    <w:rsid w:val="03C10800"/>
    <w:rsid w:val="03C96DCC"/>
    <w:rsid w:val="03FB71CD"/>
    <w:rsid w:val="0426411F"/>
    <w:rsid w:val="042C575E"/>
    <w:rsid w:val="04382327"/>
    <w:rsid w:val="043F5557"/>
    <w:rsid w:val="04A52387"/>
    <w:rsid w:val="04CD15E8"/>
    <w:rsid w:val="04CF4810"/>
    <w:rsid w:val="04EC7DA2"/>
    <w:rsid w:val="0572490A"/>
    <w:rsid w:val="058253F2"/>
    <w:rsid w:val="05835B67"/>
    <w:rsid w:val="061F0438"/>
    <w:rsid w:val="06501BB5"/>
    <w:rsid w:val="06A8261F"/>
    <w:rsid w:val="06A848F7"/>
    <w:rsid w:val="06B76C9D"/>
    <w:rsid w:val="06D9502E"/>
    <w:rsid w:val="06EB4F76"/>
    <w:rsid w:val="06ED1728"/>
    <w:rsid w:val="06F4660D"/>
    <w:rsid w:val="07084A53"/>
    <w:rsid w:val="074267A8"/>
    <w:rsid w:val="074A7C93"/>
    <w:rsid w:val="075902DF"/>
    <w:rsid w:val="07666E00"/>
    <w:rsid w:val="077E0CB1"/>
    <w:rsid w:val="07972327"/>
    <w:rsid w:val="07A85930"/>
    <w:rsid w:val="07B47C56"/>
    <w:rsid w:val="08554A0D"/>
    <w:rsid w:val="086D3DA1"/>
    <w:rsid w:val="08774BE1"/>
    <w:rsid w:val="088F5820"/>
    <w:rsid w:val="08ED571D"/>
    <w:rsid w:val="09010B57"/>
    <w:rsid w:val="097A1E3A"/>
    <w:rsid w:val="0984344D"/>
    <w:rsid w:val="09AF2C22"/>
    <w:rsid w:val="09C37FE6"/>
    <w:rsid w:val="0A0415E9"/>
    <w:rsid w:val="0A3B332D"/>
    <w:rsid w:val="0A8778A9"/>
    <w:rsid w:val="0A8C623B"/>
    <w:rsid w:val="0AB930A2"/>
    <w:rsid w:val="0B101DF6"/>
    <w:rsid w:val="0B5D1C2A"/>
    <w:rsid w:val="0BDE5EA1"/>
    <w:rsid w:val="0C110CA2"/>
    <w:rsid w:val="0C773477"/>
    <w:rsid w:val="0C9B3E91"/>
    <w:rsid w:val="0D230FCC"/>
    <w:rsid w:val="0D7F3B4D"/>
    <w:rsid w:val="0DA277FF"/>
    <w:rsid w:val="0DB8057F"/>
    <w:rsid w:val="0DC16FF8"/>
    <w:rsid w:val="0DDB677F"/>
    <w:rsid w:val="0E3C08A3"/>
    <w:rsid w:val="0E6D3EE4"/>
    <w:rsid w:val="0E8168AC"/>
    <w:rsid w:val="0E9601D9"/>
    <w:rsid w:val="0EDF4D5E"/>
    <w:rsid w:val="0EE30A0F"/>
    <w:rsid w:val="0F024085"/>
    <w:rsid w:val="0F136713"/>
    <w:rsid w:val="0F4B0F6A"/>
    <w:rsid w:val="0FA01399"/>
    <w:rsid w:val="0FC17C52"/>
    <w:rsid w:val="0FCA08C0"/>
    <w:rsid w:val="0FE42DE8"/>
    <w:rsid w:val="10032952"/>
    <w:rsid w:val="101038A7"/>
    <w:rsid w:val="101E2D38"/>
    <w:rsid w:val="1069417C"/>
    <w:rsid w:val="106C1E4B"/>
    <w:rsid w:val="116A6393"/>
    <w:rsid w:val="11800917"/>
    <w:rsid w:val="1197226B"/>
    <w:rsid w:val="11EA10CD"/>
    <w:rsid w:val="125A52C4"/>
    <w:rsid w:val="12655D96"/>
    <w:rsid w:val="128E3C38"/>
    <w:rsid w:val="128E7D25"/>
    <w:rsid w:val="12A81D67"/>
    <w:rsid w:val="12C942C8"/>
    <w:rsid w:val="12DC5F5E"/>
    <w:rsid w:val="12E82A0B"/>
    <w:rsid w:val="13274F9C"/>
    <w:rsid w:val="13417410"/>
    <w:rsid w:val="135107A8"/>
    <w:rsid w:val="136066CF"/>
    <w:rsid w:val="13657E31"/>
    <w:rsid w:val="1387094F"/>
    <w:rsid w:val="13EB2557"/>
    <w:rsid w:val="147C6ADB"/>
    <w:rsid w:val="147E2423"/>
    <w:rsid w:val="1487273A"/>
    <w:rsid w:val="14A059A0"/>
    <w:rsid w:val="14B97B05"/>
    <w:rsid w:val="15021B62"/>
    <w:rsid w:val="150A21BA"/>
    <w:rsid w:val="15283931"/>
    <w:rsid w:val="15C0373F"/>
    <w:rsid w:val="15C516BD"/>
    <w:rsid w:val="16251DC7"/>
    <w:rsid w:val="166266B1"/>
    <w:rsid w:val="16C16BEA"/>
    <w:rsid w:val="170756D4"/>
    <w:rsid w:val="175A7B23"/>
    <w:rsid w:val="176115DC"/>
    <w:rsid w:val="17824660"/>
    <w:rsid w:val="17C41ABF"/>
    <w:rsid w:val="180816B7"/>
    <w:rsid w:val="18175D56"/>
    <w:rsid w:val="189B5F22"/>
    <w:rsid w:val="18A70256"/>
    <w:rsid w:val="18B66778"/>
    <w:rsid w:val="18B73074"/>
    <w:rsid w:val="19034C2D"/>
    <w:rsid w:val="1916127C"/>
    <w:rsid w:val="193F7015"/>
    <w:rsid w:val="19A73D74"/>
    <w:rsid w:val="19AA5416"/>
    <w:rsid w:val="19D70C6D"/>
    <w:rsid w:val="19E2271F"/>
    <w:rsid w:val="19E86E16"/>
    <w:rsid w:val="19F75A40"/>
    <w:rsid w:val="1A075570"/>
    <w:rsid w:val="1A270D5F"/>
    <w:rsid w:val="1A4D4CED"/>
    <w:rsid w:val="1A603799"/>
    <w:rsid w:val="1A797469"/>
    <w:rsid w:val="1A993684"/>
    <w:rsid w:val="1AB32BC9"/>
    <w:rsid w:val="1ADB0B95"/>
    <w:rsid w:val="1ADF15DF"/>
    <w:rsid w:val="1AEF7ACD"/>
    <w:rsid w:val="1B262D26"/>
    <w:rsid w:val="1B2D1E19"/>
    <w:rsid w:val="1B3B258E"/>
    <w:rsid w:val="1B652C95"/>
    <w:rsid w:val="1B723039"/>
    <w:rsid w:val="1B7700FA"/>
    <w:rsid w:val="1B8C1172"/>
    <w:rsid w:val="1BB12BB2"/>
    <w:rsid w:val="1BD12722"/>
    <w:rsid w:val="1C2B6CB4"/>
    <w:rsid w:val="1CB07DF9"/>
    <w:rsid w:val="1CC3681B"/>
    <w:rsid w:val="1CCE393D"/>
    <w:rsid w:val="1CFF3217"/>
    <w:rsid w:val="1D3E4D83"/>
    <w:rsid w:val="1D5835F0"/>
    <w:rsid w:val="1D8C5045"/>
    <w:rsid w:val="1DC177D9"/>
    <w:rsid w:val="1E185123"/>
    <w:rsid w:val="1E225BB3"/>
    <w:rsid w:val="1E5E74EE"/>
    <w:rsid w:val="1EA573D8"/>
    <w:rsid w:val="1EB75191"/>
    <w:rsid w:val="1F3226ED"/>
    <w:rsid w:val="1F36160E"/>
    <w:rsid w:val="1F671677"/>
    <w:rsid w:val="1F877F5C"/>
    <w:rsid w:val="1F92487F"/>
    <w:rsid w:val="1FE570E2"/>
    <w:rsid w:val="201E585F"/>
    <w:rsid w:val="20280E7D"/>
    <w:rsid w:val="202874E1"/>
    <w:rsid w:val="204003F7"/>
    <w:rsid w:val="2049266D"/>
    <w:rsid w:val="2099242E"/>
    <w:rsid w:val="209E1F8C"/>
    <w:rsid w:val="20D658C9"/>
    <w:rsid w:val="20D95B5B"/>
    <w:rsid w:val="20E61D70"/>
    <w:rsid w:val="21015C26"/>
    <w:rsid w:val="211518DD"/>
    <w:rsid w:val="212B2F31"/>
    <w:rsid w:val="21327DB2"/>
    <w:rsid w:val="214C4EC5"/>
    <w:rsid w:val="2153567F"/>
    <w:rsid w:val="21A61686"/>
    <w:rsid w:val="21FF1874"/>
    <w:rsid w:val="22592601"/>
    <w:rsid w:val="227813EC"/>
    <w:rsid w:val="233F5F96"/>
    <w:rsid w:val="23614BEC"/>
    <w:rsid w:val="236D4028"/>
    <w:rsid w:val="23CB5BCE"/>
    <w:rsid w:val="23EA0518"/>
    <w:rsid w:val="244C4BB8"/>
    <w:rsid w:val="24691193"/>
    <w:rsid w:val="246C3A46"/>
    <w:rsid w:val="24725BA3"/>
    <w:rsid w:val="24CE12D0"/>
    <w:rsid w:val="24F00F12"/>
    <w:rsid w:val="251A7612"/>
    <w:rsid w:val="25987A23"/>
    <w:rsid w:val="25C85990"/>
    <w:rsid w:val="25F5789E"/>
    <w:rsid w:val="2608561B"/>
    <w:rsid w:val="26261861"/>
    <w:rsid w:val="26506FAD"/>
    <w:rsid w:val="26656277"/>
    <w:rsid w:val="26D16018"/>
    <w:rsid w:val="26DB3228"/>
    <w:rsid w:val="26DF6074"/>
    <w:rsid w:val="26E7668E"/>
    <w:rsid w:val="26FE679C"/>
    <w:rsid w:val="27301EDB"/>
    <w:rsid w:val="27676E9E"/>
    <w:rsid w:val="276C029F"/>
    <w:rsid w:val="27982DD4"/>
    <w:rsid w:val="27DD09CE"/>
    <w:rsid w:val="283610D5"/>
    <w:rsid w:val="283F0520"/>
    <w:rsid w:val="28505844"/>
    <w:rsid w:val="285F5293"/>
    <w:rsid w:val="28622D71"/>
    <w:rsid w:val="28A43CA2"/>
    <w:rsid w:val="28FA546B"/>
    <w:rsid w:val="28FE025E"/>
    <w:rsid w:val="292E1B61"/>
    <w:rsid w:val="2984235F"/>
    <w:rsid w:val="29967FD2"/>
    <w:rsid w:val="29C56C3A"/>
    <w:rsid w:val="29E1380C"/>
    <w:rsid w:val="29E85046"/>
    <w:rsid w:val="2A017BFD"/>
    <w:rsid w:val="2A095DAF"/>
    <w:rsid w:val="2A4116DF"/>
    <w:rsid w:val="2AD750C3"/>
    <w:rsid w:val="2AE77D08"/>
    <w:rsid w:val="2C270D43"/>
    <w:rsid w:val="2C3C4B33"/>
    <w:rsid w:val="2C6436A6"/>
    <w:rsid w:val="2C9023A5"/>
    <w:rsid w:val="2C9D6A04"/>
    <w:rsid w:val="2CB62598"/>
    <w:rsid w:val="2CDB6811"/>
    <w:rsid w:val="2CFC59B0"/>
    <w:rsid w:val="2CFE607B"/>
    <w:rsid w:val="2D095409"/>
    <w:rsid w:val="2D661E98"/>
    <w:rsid w:val="2D772574"/>
    <w:rsid w:val="2DF54D63"/>
    <w:rsid w:val="2E08610D"/>
    <w:rsid w:val="2E66167A"/>
    <w:rsid w:val="2E6C7EF1"/>
    <w:rsid w:val="2E6D1167"/>
    <w:rsid w:val="2E6F6584"/>
    <w:rsid w:val="2E933BCE"/>
    <w:rsid w:val="2E9C6490"/>
    <w:rsid w:val="2EA30015"/>
    <w:rsid w:val="2EFA0191"/>
    <w:rsid w:val="2FFA5AAC"/>
    <w:rsid w:val="305C41A9"/>
    <w:rsid w:val="30FF4D69"/>
    <w:rsid w:val="3113559B"/>
    <w:rsid w:val="312721F0"/>
    <w:rsid w:val="3127420C"/>
    <w:rsid w:val="315523B1"/>
    <w:rsid w:val="31CD31BF"/>
    <w:rsid w:val="31E10F55"/>
    <w:rsid w:val="3219008D"/>
    <w:rsid w:val="32215B79"/>
    <w:rsid w:val="322241F2"/>
    <w:rsid w:val="322D5AFA"/>
    <w:rsid w:val="324224AE"/>
    <w:rsid w:val="32974C7A"/>
    <w:rsid w:val="32BB4ABE"/>
    <w:rsid w:val="32C8549C"/>
    <w:rsid w:val="333A35DD"/>
    <w:rsid w:val="335E6197"/>
    <w:rsid w:val="338F53C2"/>
    <w:rsid w:val="339B7AA1"/>
    <w:rsid w:val="33B7637D"/>
    <w:rsid w:val="342A5DF5"/>
    <w:rsid w:val="344851FD"/>
    <w:rsid w:val="34777A4E"/>
    <w:rsid w:val="34E46F6F"/>
    <w:rsid w:val="35753594"/>
    <w:rsid w:val="357F00D0"/>
    <w:rsid w:val="35A0207B"/>
    <w:rsid w:val="36162F1C"/>
    <w:rsid w:val="370F2E93"/>
    <w:rsid w:val="374E35E0"/>
    <w:rsid w:val="37560CC6"/>
    <w:rsid w:val="37F64DCB"/>
    <w:rsid w:val="3879686A"/>
    <w:rsid w:val="38BF4B32"/>
    <w:rsid w:val="38D242CD"/>
    <w:rsid w:val="393F4C9F"/>
    <w:rsid w:val="39412AC6"/>
    <w:rsid w:val="39821F75"/>
    <w:rsid w:val="398C3DB7"/>
    <w:rsid w:val="3A292038"/>
    <w:rsid w:val="3A524E6B"/>
    <w:rsid w:val="3A6A0EF6"/>
    <w:rsid w:val="3A9D28F5"/>
    <w:rsid w:val="3ACD43C9"/>
    <w:rsid w:val="3B2F69DB"/>
    <w:rsid w:val="3B326648"/>
    <w:rsid w:val="3B932344"/>
    <w:rsid w:val="3BB33F88"/>
    <w:rsid w:val="3BD93153"/>
    <w:rsid w:val="3BFE454C"/>
    <w:rsid w:val="3C205675"/>
    <w:rsid w:val="3C2E50FB"/>
    <w:rsid w:val="3C37637A"/>
    <w:rsid w:val="3C4A12AD"/>
    <w:rsid w:val="3C690ECB"/>
    <w:rsid w:val="3C960BC8"/>
    <w:rsid w:val="3CC832CF"/>
    <w:rsid w:val="3CD33C5A"/>
    <w:rsid w:val="3CD93879"/>
    <w:rsid w:val="3D2408CB"/>
    <w:rsid w:val="3D2571D3"/>
    <w:rsid w:val="3D786927"/>
    <w:rsid w:val="3D8106EA"/>
    <w:rsid w:val="3D834DF8"/>
    <w:rsid w:val="3DBF6748"/>
    <w:rsid w:val="3E100FFC"/>
    <w:rsid w:val="3ED33E62"/>
    <w:rsid w:val="3F3C595E"/>
    <w:rsid w:val="3F59346C"/>
    <w:rsid w:val="3F657308"/>
    <w:rsid w:val="3F761337"/>
    <w:rsid w:val="3F8003ED"/>
    <w:rsid w:val="3FD0326B"/>
    <w:rsid w:val="3FD34D1A"/>
    <w:rsid w:val="40031733"/>
    <w:rsid w:val="404C2292"/>
    <w:rsid w:val="405D572D"/>
    <w:rsid w:val="4084657D"/>
    <w:rsid w:val="408D1EA0"/>
    <w:rsid w:val="409D2A1A"/>
    <w:rsid w:val="40B21FB5"/>
    <w:rsid w:val="40C17F9E"/>
    <w:rsid w:val="415978C8"/>
    <w:rsid w:val="415B4E71"/>
    <w:rsid w:val="415C1B4D"/>
    <w:rsid w:val="41773C2F"/>
    <w:rsid w:val="417843F2"/>
    <w:rsid w:val="418A1799"/>
    <w:rsid w:val="41B17185"/>
    <w:rsid w:val="41D04D3C"/>
    <w:rsid w:val="41F05895"/>
    <w:rsid w:val="42267790"/>
    <w:rsid w:val="425402BB"/>
    <w:rsid w:val="42FB4E01"/>
    <w:rsid w:val="4301585B"/>
    <w:rsid w:val="431B31A4"/>
    <w:rsid w:val="43412297"/>
    <w:rsid w:val="43413ED4"/>
    <w:rsid w:val="43636C3F"/>
    <w:rsid w:val="438073DF"/>
    <w:rsid w:val="43A02109"/>
    <w:rsid w:val="43FD7280"/>
    <w:rsid w:val="441C5686"/>
    <w:rsid w:val="44286086"/>
    <w:rsid w:val="44D463B1"/>
    <w:rsid w:val="44DC4FCA"/>
    <w:rsid w:val="453951D3"/>
    <w:rsid w:val="45A31600"/>
    <w:rsid w:val="45B26B66"/>
    <w:rsid w:val="45F32D75"/>
    <w:rsid w:val="45FE4441"/>
    <w:rsid w:val="463A35BA"/>
    <w:rsid w:val="46A86AC5"/>
    <w:rsid w:val="46AF0ACC"/>
    <w:rsid w:val="46D1300B"/>
    <w:rsid w:val="471B210D"/>
    <w:rsid w:val="47330BB1"/>
    <w:rsid w:val="476E5DEA"/>
    <w:rsid w:val="478F05A0"/>
    <w:rsid w:val="47914A33"/>
    <w:rsid w:val="479B0044"/>
    <w:rsid w:val="47A4380D"/>
    <w:rsid w:val="47C041C7"/>
    <w:rsid w:val="47CD1E0C"/>
    <w:rsid w:val="481D4366"/>
    <w:rsid w:val="48236F85"/>
    <w:rsid w:val="485803F1"/>
    <w:rsid w:val="486942C4"/>
    <w:rsid w:val="48DC33A7"/>
    <w:rsid w:val="49206E20"/>
    <w:rsid w:val="494B0B0D"/>
    <w:rsid w:val="49820EB7"/>
    <w:rsid w:val="49A63EAD"/>
    <w:rsid w:val="49E85F00"/>
    <w:rsid w:val="4A8B4AB2"/>
    <w:rsid w:val="4B311212"/>
    <w:rsid w:val="4B855737"/>
    <w:rsid w:val="4BAA0C4E"/>
    <w:rsid w:val="4BB54107"/>
    <w:rsid w:val="4BC46A0F"/>
    <w:rsid w:val="4BDC5109"/>
    <w:rsid w:val="4BE84FA7"/>
    <w:rsid w:val="4BF70C92"/>
    <w:rsid w:val="4BFD0513"/>
    <w:rsid w:val="4C005E77"/>
    <w:rsid w:val="4C1D0916"/>
    <w:rsid w:val="4C2B76C1"/>
    <w:rsid w:val="4C645A11"/>
    <w:rsid w:val="4CA36314"/>
    <w:rsid w:val="4D1C2C8C"/>
    <w:rsid w:val="4D1E77BE"/>
    <w:rsid w:val="4D245FC5"/>
    <w:rsid w:val="4DA943B0"/>
    <w:rsid w:val="4E033153"/>
    <w:rsid w:val="4E135BFA"/>
    <w:rsid w:val="4E355E12"/>
    <w:rsid w:val="4E9B1112"/>
    <w:rsid w:val="4EA06365"/>
    <w:rsid w:val="4EC82570"/>
    <w:rsid w:val="4EDF4B15"/>
    <w:rsid w:val="4EF43B16"/>
    <w:rsid w:val="4EFA0A9A"/>
    <w:rsid w:val="4F3567BE"/>
    <w:rsid w:val="4F944D8F"/>
    <w:rsid w:val="4FED0FB9"/>
    <w:rsid w:val="50091B45"/>
    <w:rsid w:val="502733EB"/>
    <w:rsid w:val="504951BC"/>
    <w:rsid w:val="50A97681"/>
    <w:rsid w:val="50AE3B94"/>
    <w:rsid w:val="50B40168"/>
    <w:rsid w:val="50E67F92"/>
    <w:rsid w:val="50E93575"/>
    <w:rsid w:val="50F04D4E"/>
    <w:rsid w:val="51151213"/>
    <w:rsid w:val="515E6A1B"/>
    <w:rsid w:val="516C2A90"/>
    <w:rsid w:val="517112B4"/>
    <w:rsid w:val="5177537A"/>
    <w:rsid w:val="51891E06"/>
    <w:rsid w:val="51A1217B"/>
    <w:rsid w:val="51B430B5"/>
    <w:rsid w:val="51BC2004"/>
    <w:rsid w:val="51CB74F6"/>
    <w:rsid w:val="522D1CB6"/>
    <w:rsid w:val="52660A26"/>
    <w:rsid w:val="52717995"/>
    <w:rsid w:val="52AA2641"/>
    <w:rsid w:val="52B87033"/>
    <w:rsid w:val="531B72EC"/>
    <w:rsid w:val="531E35FC"/>
    <w:rsid w:val="532C2C22"/>
    <w:rsid w:val="533E6E17"/>
    <w:rsid w:val="5343182D"/>
    <w:rsid w:val="5367296E"/>
    <w:rsid w:val="53A201DA"/>
    <w:rsid w:val="540540F5"/>
    <w:rsid w:val="542913B3"/>
    <w:rsid w:val="543F18BA"/>
    <w:rsid w:val="54B01F1B"/>
    <w:rsid w:val="54F40E44"/>
    <w:rsid w:val="550E49C6"/>
    <w:rsid w:val="556456D8"/>
    <w:rsid w:val="55DA287E"/>
    <w:rsid w:val="55ED674F"/>
    <w:rsid w:val="56280E32"/>
    <w:rsid w:val="56537C47"/>
    <w:rsid w:val="56A010C0"/>
    <w:rsid w:val="570A4051"/>
    <w:rsid w:val="572D3A39"/>
    <w:rsid w:val="57C83C57"/>
    <w:rsid w:val="582908A2"/>
    <w:rsid w:val="585F1862"/>
    <w:rsid w:val="58620D26"/>
    <w:rsid w:val="58706FB1"/>
    <w:rsid w:val="587C5983"/>
    <w:rsid w:val="591C580B"/>
    <w:rsid w:val="5921480B"/>
    <w:rsid w:val="5926497A"/>
    <w:rsid w:val="593E2700"/>
    <w:rsid w:val="59A11353"/>
    <w:rsid w:val="59D54D04"/>
    <w:rsid w:val="59E803D3"/>
    <w:rsid w:val="5A0336C4"/>
    <w:rsid w:val="5A0F0AA0"/>
    <w:rsid w:val="5A70211C"/>
    <w:rsid w:val="5AAB2A29"/>
    <w:rsid w:val="5AAC7307"/>
    <w:rsid w:val="5AD07CB2"/>
    <w:rsid w:val="5AD30828"/>
    <w:rsid w:val="5AEF1DC1"/>
    <w:rsid w:val="5B570332"/>
    <w:rsid w:val="5B5A01A9"/>
    <w:rsid w:val="5B5F0395"/>
    <w:rsid w:val="5B6300A3"/>
    <w:rsid w:val="5B790B4E"/>
    <w:rsid w:val="5B7A2400"/>
    <w:rsid w:val="5BD32897"/>
    <w:rsid w:val="5C120AF2"/>
    <w:rsid w:val="5C2D5D3C"/>
    <w:rsid w:val="5C341C70"/>
    <w:rsid w:val="5C974816"/>
    <w:rsid w:val="5CA84DD0"/>
    <w:rsid w:val="5CA97228"/>
    <w:rsid w:val="5CBA57BD"/>
    <w:rsid w:val="5CBC1204"/>
    <w:rsid w:val="5CD22ECC"/>
    <w:rsid w:val="5CEE7B85"/>
    <w:rsid w:val="5CF73D69"/>
    <w:rsid w:val="5D4700C2"/>
    <w:rsid w:val="5D6C4615"/>
    <w:rsid w:val="5DDF2196"/>
    <w:rsid w:val="5DF84457"/>
    <w:rsid w:val="5E1672C2"/>
    <w:rsid w:val="5E1B6033"/>
    <w:rsid w:val="5E4903E4"/>
    <w:rsid w:val="5E6E3C24"/>
    <w:rsid w:val="5E7255BD"/>
    <w:rsid w:val="5F475677"/>
    <w:rsid w:val="5F567498"/>
    <w:rsid w:val="5F8420E2"/>
    <w:rsid w:val="5F887220"/>
    <w:rsid w:val="5FB81E56"/>
    <w:rsid w:val="5FD85FDC"/>
    <w:rsid w:val="60250EC1"/>
    <w:rsid w:val="60752858"/>
    <w:rsid w:val="60A13AB9"/>
    <w:rsid w:val="60A7744C"/>
    <w:rsid w:val="60B72A3F"/>
    <w:rsid w:val="60CF04AB"/>
    <w:rsid w:val="60DB5486"/>
    <w:rsid w:val="60E82C1A"/>
    <w:rsid w:val="60EC0541"/>
    <w:rsid w:val="61012C26"/>
    <w:rsid w:val="61251167"/>
    <w:rsid w:val="61343ADA"/>
    <w:rsid w:val="61BB090B"/>
    <w:rsid w:val="61EA093B"/>
    <w:rsid w:val="61EE51C5"/>
    <w:rsid w:val="62210A89"/>
    <w:rsid w:val="62453116"/>
    <w:rsid w:val="62533E9D"/>
    <w:rsid w:val="62923991"/>
    <w:rsid w:val="62EF2EC7"/>
    <w:rsid w:val="62F26EC0"/>
    <w:rsid w:val="6307006F"/>
    <w:rsid w:val="632A3D0D"/>
    <w:rsid w:val="633443AB"/>
    <w:rsid w:val="638857E1"/>
    <w:rsid w:val="639438C2"/>
    <w:rsid w:val="63C21A10"/>
    <w:rsid w:val="63C85688"/>
    <w:rsid w:val="63CD5666"/>
    <w:rsid w:val="63D2038C"/>
    <w:rsid w:val="640E7E19"/>
    <w:rsid w:val="64620987"/>
    <w:rsid w:val="648E4974"/>
    <w:rsid w:val="649E65A7"/>
    <w:rsid w:val="64AF6AB4"/>
    <w:rsid w:val="64B70C4D"/>
    <w:rsid w:val="64ED3306"/>
    <w:rsid w:val="650367B5"/>
    <w:rsid w:val="65477730"/>
    <w:rsid w:val="65630712"/>
    <w:rsid w:val="656A4332"/>
    <w:rsid w:val="65733372"/>
    <w:rsid w:val="65991D3E"/>
    <w:rsid w:val="65B74A52"/>
    <w:rsid w:val="6602655A"/>
    <w:rsid w:val="6668032B"/>
    <w:rsid w:val="667C4290"/>
    <w:rsid w:val="66A955BE"/>
    <w:rsid w:val="66C95898"/>
    <w:rsid w:val="66DE4BA6"/>
    <w:rsid w:val="676777C3"/>
    <w:rsid w:val="67804B33"/>
    <w:rsid w:val="67C40A09"/>
    <w:rsid w:val="67D020A7"/>
    <w:rsid w:val="685C5B46"/>
    <w:rsid w:val="689635E2"/>
    <w:rsid w:val="68D60630"/>
    <w:rsid w:val="69072A29"/>
    <w:rsid w:val="697E7396"/>
    <w:rsid w:val="69A009FE"/>
    <w:rsid w:val="69F86AAF"/>
    <w:rsid w:val="6A694BA1"/>
    <w:rsid w:val="6AB35438"/>
    <w:rsid w:val="6AD34458"/>
    <w:rsid w:val="6ADF25FC"/>
    <w:rsid w:val="6AE95DF1"/>
    <w:rsid w:val="6B1148AC"/>
    <w:rsid w:val="6B13637F"/>
    <w:rsid w:val="6B4A5562"/>
    <w:rsid w:val="6B565807"/>
    <w:rsid w:val="6B7A369F"/>
    <w:rsid w:val="6BAC2823"/>
    <w:rsid w:val="6C0B4E85"/>
    <w:rsid w:val="6C630CE9"/>
    <w:rsid w:val="6CED050F"/>
    <w:rsid w:val="6CF73CA4"/>
    <w:rsid w:val="6D05105B"/>
    <w:rsid w:val="6D207FCD"/>
    <w:rsid w:val="6D6A69AA"/>
    <w:rsid w:val="6DE1686E"/>
    <w:rsid w:val="6E010AB7"/>
    <w:rsid w:val="6E01482E"/>
    <w:rsid w:val="6E403BCF"/>
    <w:rsid w:val="6E424CF7"/>
    <w:rsid w:val="6E6E3D06"/>
    <w:rsid w:val="6EC4761A"/>
    <w:rsid w:val="6EF513F6"/>
    <w:rsid w:val="6F3669E2"/>
    <w:rsid w:val="6F3A0437"/>
    <w:rsid w:val="6F65489B"/>
    <w:rsid w:val="6F9E4E98"/>
    <w:rsid w:val="6FC10E4A"/>
    <w:rsid w:val="6FC169C6"/>
    <w:rsid w:val="700148B1"/>
    <w:rsid w:val="70262445"/>
    <w:rsid w:val="709304FC"/>
    <w:rsid w:val="70941F33"/>
    <w:rsid w:val="70BA4068"/>
    <w:rsid w:val="70DA4423"/>
    <w:rsid w:val="71216399"/>
    <w:rsid w:val="71231B23"/>
    <w:rsid w:val="718621EE"/>
    <w:rsid w:val="71A3311F"/>
    <w:rsid w:val="71A74969"/>
    <w:rsid w:val="72005730"/>
    <w:rsid w:val="72122EDF"/>
    <w:rsid w:val="72386C6E"/>
    <w:rsid w:val="725273EA"/>
    <w:rsid w:val="726C47BC"/>
    <w:rsid w:val="72CD2240"/>
    <w:rsid w:val="72EC4E12"/>
    <w:rsid w:val="73124932"/>
    <w:rsid w:val="733F7A24"/>
    <w:rsid w:val="735C44F0"/>
    <w:rsid w:val="736A01CD"/>
    <w:rsid w:val="73864A43"/>
    <w:rsid w:val="7393399F"/>
    <w:rsid w:val="73984022"/>
    <w:rsid w:val="73E2421D"/>
    <w:rsid w:val="746A6AAD"/>
    <w:rsid w:val="747A4FBC"/>
    <w:rsid w:val="74D94903"/>
    <w:rsid w:val="74DC7834"/>
    <w:rsid w:val="75242D06"/>
    <w:rsid w:val="752D52CD"/>
    <w:rsid w:val="753F3E38"/>
    <w:rsid w:val="7551327B"/>
    <w:rsid w:val="757D4314"/>
    <w:rsid w:val="75E27D49"/>
    <w:rsid w:val="76365AD0"/>
    <w:rsid w:val="765C1799"/>
    <w:rsid w:val="765D57EA"/>
    <w:rsid w:val="76862D0D"/>
    <w:rsid w:val="7688585F"/>
    <w:rsid w:val="769F77ED"/>
    <w:rsid w:val="76F34B31"/>
    <w:rsid w:val="76F54CF0"/>
    <w:rsid w:val="76FD5906"/>
    <w:rsid w:val="7700260E"/>
    <w:rsid w:val="770B684E"/>
    <w:rsid w:val="774404AD"/>
    <w:rsid w:val="77A14CDE"/>
    <w:rsid w:val="77AA2F7D"/>
    <w:rsid w:val="77D52023"/>
    <w:rsid w:val="78224823"/>
    <w:rsid w:val="782B4A23"/>
    <w:rsid w:val="783218CE"/>
    <w:rsid w:val="78510397"/>
    <w:rsid w:val="78754CBA"/>
    <w:rsid w:val="78CB3FEB"/>
    <w:rsid w:val="790F262A"/>
    <w:rsid w:val="793B5CE2"/>
    <w:rsid w:val="79756B7F"/>
    <w:rsid w:val="797B3C8A"/>
    <w:rsid w:val="79C60CC8"/>
    <w:rsid w:val="7A067AFA"/>
    <w:rsid w:val="7A1E6BD3"/>
    <w:rsid w:val="7A2D7B6B"/>
    <w:rsid w:val="7A7F2C76"/>
    <w:rsid w:val="7AAC462A"/>
    <w:rsid w:val="7AC44D18"/>
    <w:rsid w:val="7AF84FA0"/>
    <w:rsid w:val="7AF909C6"/>
    <w:rsid w:val="7B691DC0"/>
    <w:rsid w:val="7B732126"/>
    <w:rsid w:val="7B794DB7"/>
    <w:rsid w:val="7B8C7A76"/>
    <w:rsid w:val="7B8E1216"/>
    <w:rsid w:val="7B9A1345"/>
    <w:rsid w:val="7BA5636F"/>
    <w:rsid w:val="7BCA6C86"/>
    <w:rsid w:val="7BFE2251"/>
    <w:rsid w:val="7CD7135D"/>
    <w:rsid w:val="7D045491"/>
    <w:rsid w:val="7D0A0BA4"/>
    <w:rsid w:val="7D4253C7"/>
    <w:rsid w:val="7D8E577D"/>
    <w:rsid w:val="7D9A426A"/>
    <w:rsid w:val="7DE50A3D"/>
    <w:rsid w:val="7E0C1930"/>
    <w:rsid w:val="7E295D69"/>
    <w:rsid w:val="7E333E03"/>
    <w:rsid w:val="7E391FE6"/>
    <w:rsid w:val="7E9C05F3"/>
    <w:rsid w:val="7EA916FD"/>
    <w:rsid w:val="7EE52AD4"/>
    <w:rsid w:val="7F8C24C9"/>
    <w:rsid w:val="7FAA1C29"/>
    <w:rsid w:val="7FEF65CD"/>
    <w:rsid w:val="7FF337B8"/>
    <w:rsid w:val="7FF52441"/>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Body Text 3"/>
    <w:basedOn w:val="1"/>
    <w:qFormat/>
    <w:uiPriority w:val="0"/>
    <w:rPr>
      <w:rFonts w:ascii="宋体"/>
      <w:sz w:val="24"/>
      <w:szCs w:val="20"/>
    </w:rPr>
  </w:style>
  <w:style w:type="paragraph" w:styleId="6">
    <w:name w:val="Body Text"/>
    <w:basedOn w:val="1"/>
    <w:qFormat/>
    <w:uiPriority w:val="0"/>
    <w:pPr>
      <w:spacing w:after="120"/>
    </w:pPr>
  </w:style>
  <w:style w:type="paragraph" w:styleId="7">
    <w:name w:val="Body Text Indent"/>
    <w:basedOn w:val="1"/>
    <w:qFormat/>
    <w:uiPriority w:val="0"/>
    <w:pPr>
      <w:ind w:left="420" w:leftChars="200"/>
    </w:pPr>
  </w:style>
  <w:style w:type="paragraph" w:styleId="8">
    <w:name w:val="Plain Text"/>
    <w:basedOn w:val="1"/>
    <w:qFormat/>
    <w:uiPriority w:val="0"/>
    <w:rPr>
      <w:rFonts w:ascii="宋体" w:hAnsi="Courier New"/>
      <w:szCs w:val="20"/>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oc 1"/>
    <w:basedOn w:val="1"/>
    <w:next w:val="1"/>
    <w:semiHidden/>
    <w:qFormat/>
    <w:uiPriority w:val="0"/>
    <w:pPr>
      <w:spacing w:line="440" w:lineRule="exact"/>
      <w:jc w:val="center"/>
    </w:pPr>
  </w:style>
  <w:style w:type="paragraph" w:styleId="1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3">
    <w:name w:val="Body Text First Indent"/>
    <w:basedOn w:val="6"/>
    <w:qFormat/>
    <w:uiPriority w:val="0"/>
    <w:pPr>
      <w:ind w:firstLine="420" w:firstLineChars="1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page number"/>
    <w:basedOn w:val="16"/>
    <w:qFormat/>
    <w:uiPriority w:val="0"/>
  </w:style>
  <w:style w:type="paragraph" w:customStyle="1" w:styleId="18">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9">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0">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1">
    <w:name w:val="列出段落1"/>
    <w:basedOn w:val="1"/>
    <w:qFormat/>
    <w:uiPriority w:val="34"/>
    <w:pPr>
      <w:ind w:firstLine="420" w:firstLineChars="200"/>
    </w:pPr>
  </w:style>
  <w:style w:type="character" w:customStyle="1" w:styleId="22">
    <w:name w:val="font11"/>
    <w:basedOn w:val="16"/>
    <w:qFormat/>
    <w:uiPriority w:val="0"/>
    <w:rPr>
      <w:rFonts w:ascii="Calibri" w:hAnsi="Calibri" w:cs="Calibri"/>
      <w:color w:val="000000"/>
      <w:sz w:val="21"/>
      <w:szCs w:val="21"/>
      <w:u w:val="none"/>
    </w:rPr>
  </w:style>
  <w:style w:type="character" w:customStyle="1" w:styleId="23">
    <w:name w:val="font21"/>
    <w:basedOn w:val="16"/>
    <w:qFormat/>
    <w:uiPriority w:val="0"/>
    <w:rPr>
      <w:rFonts w:hint="eastAsia" w:ascii="宋体" w:hAnsi="宋体" w:eastAsia="宋体" w:cs="宋体"/>
      <w:color w:val="000000"/>
      <w:sz w:val="21"/>
      <w:szCs w:val="21"/>
      <w:u w:val="none"/>
    </w:rPr>
  </w:style>
  <w:style w:type="character" w:customStyle="1" w:styleId="24">
    <w:name w:val="font01"/>
    <w:basedOn w:val="16"/>
    <w:qFormat/>
    <w:uiPriority w:val="0"/>
    <w:rPr>
      <w:rFonts w:ascii="Calibri" w:hAnsi="Calibri" w:cs="Calibri"/>
      <w:color w:val="000000"/>
      <w:sz w:val="21"/>
      <w:szCs w:val="21"/>
      <w:u w:val="none"/>
    </w:rPr>
  </w:style>
  <w:style w:type="character" w:customStyle="1" w:styleId="25">
    <w:name w:val="font31"/>
    <w:basedOn w:val="16"/>
    <w:qFormat/>
    <w:uiPriority w:val="0"/>
    <w:rPr>
      <w:rFonts w:hint="default" w:ascii="Calibri" w:hAnsi="Calibri" w:cs="Calibri"/>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2077</Words>
  <Characters>11841</Characters>
  <Lines>98</Lines>
  <Paragraphs>27</Paragraphs>
  <TotalTime>121</TotalTime>
  <ScaleCrop>false</ScaleCrop>
  <LinksUpToDate>false</LinksUpToDate>
  <CharactersWithSpaces>13891</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2020-09-30T09:32:00Z</dcterms:created>
  <dc:creator>48323</dc:creator>
  <cp:lastModifiedBy>菲菲</cp:lastModifiedBy>
  <cp:lastPrinted>2020-10-09T00:59:00Z</cp:lastPrinted>
  <dcterms:modified xsi:type="dcterms:W3CDTF">2020-10-10T10:45:43Z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