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6"/>
          <w:szCs w:val="36"/>
          <w:highlight w:val="none"/>
        </w:rPr>
      </w:pP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黑体" w:cs="Times New Roman"/>
          <w:kern w:val="0"/>
          <w:sz w:val="44"/>
          <w:szCs w:val="44"/>
          <w:highlight w:val="none"/>
          <w:lang w:eastAsia="zh-CN"/>
        </w:rPr>
        <w:t>亳州市高铁南站南北两地块前期策划咨询服务项目招标文件（二次）</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BZJK-2020-031号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lang w:eastAsia="zh-CN"/>
        </w:rPr>
        <w:t>亳州交通投资控股集团有限公司</w:t>
      </w: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lang w:eastAsia="zh-CN"/>
        </w:rPr>
        <w:t>二〇二〇年九月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lang w:val="en-US" w:eastAsia="zh-CN"/>
        </w:rPr>
        <w:t>5</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w:t>
      </w:r>
      <w:r>
        <w:rPr>
          <w:rFonts w:hint="eastAsia" w:ascii="Times New Roman" w:hAnsi="Times New Roman" w:eastAsia="黑体" w:cs="Times New Roman"/>
          <w:kern w:val="0"/>
          <w:sz w:val="32"/>
          <w:szCs w:val="32"/>
          <w:highlight w:val="none"/>
          <w:lang w:val="en-US" w:eastAsia="zh-CN"/>
        </w:rPr>
        <w:t>1</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w:t>
      </w:r>
      <w:r>
        <w:rPr>
          <w:rFonts w:hint="eastAsia" w:ascii="Times New Roman" w:hAnsi="Times New Roman" w:eastAsia="黑体" w:cs="Times New Roman"/>
          <w:kern w:val="0"/>
          <w:sz w:val="32"/>
          <w:szCs w:val="32"/>
          <w:highlight w:val="none"/>
          <w:lang w:val="en-US" w:eastAsia="zh-CN"/>
        </w:rPr>
        <w:t>8</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lang w:eastAsia="zh-CN"/>
        </w:rPr>
        <w:t>发包人要求</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hint="default"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第</w:t>
      </w:r>
      <w:r>
        <w:rPr>
          <w:rFonts w:hint="eastAsia" w:ascii="Times New Roman" w:hAnsi="Times New Roman" w:eastAsia="黑体" w:cs="Times New Roman"/>
          <w:kern w:val="0"/>
          <w:sz w:val="32"/>
          <w:szCs w:val="32"/>
          <w:highlight w:val="none"/>
          <w:lang w:eastAsia="zh-CN"/>
        </w:rPr>
        <w:t>六</w:t>
      </w:r>
      <w:r>
        <w:rPr>
          <w:rFonts w:ascii="Times New Roman" w:hAnsi="Times New Roman" w:eastAsia="黑体" w:cs="Times New Roman"/>
          <w:kern w:val="0"/>
          <w:sz w:val="32"/>
          <w:szCs w:val="32"/>
          <w:highlight w:val="none"/>
        </w:rPr>
        <w:t xml:space="preserve">章 </w:t>
      </w:r>
      <w:r>
        <w:rPr>
          <w:rFonts w:hint="eastAsia" w:ascii="Times New Roman" w:hAnsi="Times New Roman" w:eastAsia="黑体" w:cs="Times New Roman"/>
          <w:kern w:val="0"/>
          <w:sz w:val="32"/>
          <w:szCs w:val="32"/>
          <w:highlight w:val="none"/>
          <w:lang w:eastAsia="zh-CN"/>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20</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ascii="黑体" w:hAnsi="黑体" w:eastAsia="黑体" w:cs="黑体"/>
          <w:sz w:val="28"/>
          <w:szCs w:val="28"/>
          <w:highlight w:val="none"/>
        </w:rPr>
      </w:pPr>
      <w:r>
        <w:rPr>
          <w:rFonts w:hint="eastAsia" w:ascii="Times New Roman" w:hAnsi="Times New Roman" w:eastAsia="黑体" w:cs="Times New Roman"/>
          <w:sz w:val="28"/>
          <w:szCs w:val="28"/>
          <w:highlight w:val="none"/>
          <w:lang w:eastAsia="zh-CN"/>
        </w:rPr>
        <w:t>亳州市高铁南站南北两地块前期策划咨询服务项目招标公告（二次）</w:t>
      </w:r>
    </w:p>
    <w:p>
      <w:pPr>
        <w:wordWrap w:val="0"/>
        <w:spacing w:line="460" w:lineRule="exact"/>
        <w:ind w:firstLine="560" w:firstLineChars="200"/>
        <w:rPr>
          <w:rFonts w:ascii="Times New Roman" w:hAnsi="Times New Roman" w:eastAsia="仿宋_GB2312" w:cs="Times New Roman"/>
          <w:sz w:val="28"/>
          <w:szCs w:val="28"/>
          <w:highlight w:val="none"/>
        </w:rPr>
      </w:pPr>
      <w:bookmarkStart w:id="0" w:name="_Toc246996909"/>
      <w:bookmarkStart w:id="1" w:name="_Toc152042295"/>
      <w:bookmarkStart w:id="2" w:name="_Toc152045519"/>
      <w:bookmarkStart w:id="3" w:name="_Toc247085680"/>
      <w:bookmarkStart w:id="4" w:name="_Toc144974487"/>
      <w:bookmarkStart w:id="5" w:name="_Toc296602410"/>
      <w:bookmarkStart w:id="6" w:name="_Toc179632536"/>
      <w:bookmarkStart w:id="7" w:name="_Toc246996166"/>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黑体" w:hAnsi="黑体" w:eastAsia="黑体" w:cs="黑体"/>
          <w:sz w:val="28"/>
          <w:szCs w:val="28"/>
          <w:highlight w:val="none"/>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highlight w:val="none"/>
        </w:rPr>
        <w:tab/>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bookmarkStart w:id="8" w:name="_Toc247085681"/>
      <w:bookmarkStart w:id="9" w:name="_Toc246996167"/>
      <w:bookmarkStart w:id="10" w:name="_Toc152045520"/>
      <w:bookmarkStart w:id="11" w:name="_Toc179632537"/>
      <w:bookmarkStart w:id="12" w:name="_Toc246996910"/>
      <w:bookmarkStart w:id="13" w:name="_Toc296602411"/>
      <w:bookmarkStart w:id="14" w:name="_Toc152042296"/>
      <w:bookmarkStart w:id="15" w:name="_Toc144974488"/>
      <w:r>
        <w:rPr>
          <w:rFonts w:hint="eastAsia"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lang w:eastAsia="zh-CN"/>
        </w:rPr>
        <w:t>亳州市高铁南站南北两地块前期策划咨询服务项目</w:t>
      </w:r>
      <w:r>
        <w:rPr>
          <w:rFonts w:hint="eastAsia" w:ascii="Times New Roman" w:hAnsi="Times New Roman" w:eastAsia="仿宋_GB2312" w:cs="Times New Roman"/>
          <w:sz w:val="28"/>
          <w:szCs w:val="28"/>
          <w:highlight w:val="none"/>
        </w:rPr>
        <w:t>，项目编号为</w:t>
      </w:r>
      <w:r>
        <w:rPr>
          <w:rFonts w:hint="eastAsia" w:ascii="Times New Roman" w:hAnsi="Times New Roman" w:eastAsia="仿宋_GB2312" w:cs="Times New Roman"/>
          <w:sz w:val="28"/>
          <w:szCs w:val="28"/>
          <w:highlight w:val="none"/>
          <w:u w:val="single"/>
          <w:lang w:eastAsia="zh-CN"/>
        </w:rPr>
        <w:t>BZJK-2020-031号</w:t>
      </w:r>
      <w:r>
        <w:rPr>
          <w:rFonts w:hint="eastAsia"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lang w:eastAsia="zh-CN"/>
        </w:rPr>
        <w:t>亳州交通投资控股集团有限公司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lang w:eastAsia="zh-CN"/>
        </w:rPr>
        <w:t>企业自有资金</w:t>
      </w:r>
      <w:r>
        <w:rPr>
          <w:rFonts w:hint="eastAsia" w:ascii="Times New Roman" w:hAnsi="Times New Roman" w:eastAsia="仿宋_GB2312" w:cs="Times New Roman"/>
          <w:sz w:val="28"/>
          <w:szCs w:val="28"/>
          <w:highlight w:val="none"/>
        </w:rPr>
        <w:t>。项目已具备招标条件，现对该项目进行</w:t>
      </w:r>
      <w:r>
        <w:rPr>
          <w:rFonts w:hint="eastAsia" w:ascii="Times New Roman" w:hAnsi="Times New Roman" w:eastAsia="仿宋_GB2312" w:cs="Times New Roman"/>
          <w:sz w:val="28"/>
          <w:szCs w:val="28"/>
          <w:highlight w:val="none"/>
          <w:u w:val="single"/>
        </w:rPr>
        <w:t>自主公开招标</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ascii="黑体" w:hAnsi="黑体" w:eastAsia="黑体" w:cs="黑体"/>
          <w:sz w:val="28"/>
          <w:szCs w:val="28"/>
          <w:highlight w:val="none"/>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（一）项目概况：</w:t>
      </w:r>
      <w:r>
        <w:rPr>
          <w:rFonts w:hint="eastAsia" w:ascii="Times New Roman" w:hAnsi="Times New Roman" w:eastAsia="仿宋_GB2312" w:cs="Times New Roman"/>
          <w:sz w:val="28"/>
          <w:szCs w:val="28"/>
          <w:highlight w:val="none"/>
          <w:lang w:eastAsia="zh-CN"/>
        </w:rPr>
        <w:t>项目位于亳州市酒城大道以北、神农大道以西，高铁南站南北方向两个地块</w:t>
      </w:r>
      <w:r>
        <w:rPr>
          <w:rFonts w:hint="eastAsia" w:ascii="Times New Roman" w:hAnsi="Times New Roman" w:eastAsia="仿宋_GB2312" w:cs="Times New Roman"/>
          <w:sz w:val="28"/>
          <w:szCs w:val="28"/>
          <w:highlight w:val="none"/>
        </w:rPr>
        <w:t>。南地块土地性质为商业用地，占地面积</w:t>
      </w:r>
      <w:r>
        <w:rPr>
          <w:rFonts w:hint="eastAsia" w:ascii="Times New Roman" w:hAnsi="Times New Roman" w:eastAsia="仿宋_GB2312" w:cs="Times New Roman"/>
          <w:sz w:val="28"/>
          <w:szCs w:val="28"/>
          <w:highlight w:val="none"/>
          <w:lang w:eastAsia="zh-CN"/>
        </w:rPr>
        <w:t>约</w:t>
      </w:r>
      <w:r>
        <w:rPr>
          <w:rFonts w:hint="eastAsia" w:ascii="Times New Roman" w:hAnsi="Times New Roman" w:eastAsia="仿宋_GB2312" w:cs="Times New Roman"/>
          <w:sz w:val="28"/>
          <w:szCs w:val="28"/>
          <w:highlight w:val="none"/>
        </w:rPr>
        <w:t>18504.8平方米（27.811亩）</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北地块土地性质为商业用地，土地性质为商业用地，占地面积约15326平方米（23亩）。</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（二）招标范围：</w:t>
      </w:r>
      <w:r>
        <w:rPr>
          <w:rFonts w:hint="eastAsia" w:ascii="Times New Roman" w:hAnsi="Times New Roman" w:eastAsia="仿宋_GB2312" w:cs="Times New Roman"/>
          <w:sz w:val="28"/>
          <w:szCs w:val="28"/>
          <w:highlight w:val="none"/>
          <w:lang w:eastAsia="zh-CN"/>
        </w:rPr>
        <w:t>包括但不限于对南北地块的基准研究方案、招商定位及业态的评估意见及建筑设计优化建议，出具《亳州交控集团高铁南北地块项目前期定位报告》。</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val="en-US" w:eastAsia="zh-CN"/>
        </w:rPr>
        <w:t>1.基准研究方案的评估意见：</w:t>
      </w:r>
      <w:r>
        <w:rPr>
          <w:rFonts w:hint="eastAsia" w:ascii="Times New Roman" w:hAnsi="Times New Roman" w:eastAsia="仿宋_GB2312" w:cs="Times New Roman"/>
          <w:sz w:val="28"/>
          <w:szCs w:val="28"/>
          <w:highlight w:val="none"/>
          <w:lang w:eastAsia="zh-CN"/>
        </w:rPr>
        <w:t>根据区位、技术经济指标、用地的特点、周边环境及配套、周边交通状况、进出口位置的方案给予规划定位的评估意见。分析项目规划定位报告合理性及可实施性，给予优化建议及风险规避建议，包括但不限于对项目物业形式，商业、办公、住宅的布局，销控比例，销售返租等方案的的评估意见及合理性建议</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招商定位及业态的评估意见：分析评估商业研策报告合理性及可实施性，给予优化建议及风险规避建议，包括但不限于对项目主题定位、目标客户、功能定位、档次定位、业态比例、业态布局、业态落位、目标商家等方案的评估意见及合理性建议。</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建筑设计优化建议：参与建筑设计并给予优化建议，包括但不限于对项目商业建筑规划、内外部交通动线、人流动线、配套设施与功能评判、空间规划设计、灯光设计、景观设计、广告位设置、商业标识设置等方案的合理性建议。</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（三）质量标准：</w:t>
      </w:r>
      <w:r>
        <w:rPr>
          <w:rFonts w:hint="eastAsia" w:ascii="Times New Roman" w:hAnsi="Times New Roman" w:eastAsia="仿宋_GB2312" w:cs="Times New Roman"/>
          <w:sz w:val="28"/>
          <w:szCs w:val="28"/>
          <w:highlight w:val="none"/>
          <w:lang w:eastAsia="zh-CN"/>
        </w:rPr>
        <w:t>符合国家、地方及行业现行法规、规范合格标准</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（四）服务期限：</w:t>
      </w:r>
      <w:r>
        <w:rPr>
          <w:rFonts w:hint="eastAsia" w:ascii="Times New Roman" w:hAnsi="Times New Roman" w:eastAsia="仿宋_GB2312" w:cs="Times New Roman"/>
          <w:sz w:val="28"/>
          <w:szCs w:val="28"/>
          <w:highlight w:val="none"/>
          <w:lang w:eastAsia="zh-CN"/>
        </w:rPr>
        <w:t>自合同签订之日起自合同签定后 30个工作日出具项目策划定位报告。策划定位报告中包括但不限于市场分析、项目定位、业态布局、产品建议等内容。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rPr>
        <w:t>（五）最高投标限价</w:t>
      </w:r>
      <w:r>
        <w:rPr>
          <w:rFonts w:hint="eastAsia" w:ascii="Times New Roman" w:hAnsi="Times New Roman" w:eastAsia="仿宋_GB2312" w:cs="Times New Roman"/>
          <w:sz w:val="28"/>
          <w:szCs w:val="28"/>
          <w:highlight w:val="none"/>
          <w:lang w:eastAsia="zh-CN"/>
        </w:rPr>
        <w:t>（含税）</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b/>
          <w:bCs/>
          <w:sz w:val="28"/>
          <w:szCs w:val="28"/>
          <w:highlight w:val="none"/>
        </w:rPr>
        <w:t>人民币（大写）</w:t>
      </w:r>
      <w:r>
        <w:rPr>
          <w:rFonts w:hint="eastAsia" w:ascii="Times New Roman" w:hAnsi="Times New Roman" w:eastAsia="仿宋_GB2312" w:cs="Times New Roman"/>
          <w:b/>
          <w:bCs/>
          <w:sz w:val="28"/>
          <w:szCs w:val="28"/>
          <w:highlight w:val="none"/>
          <w:lang w:eastAsia="zh-CN"/>
        </w:rPr>
        <w:t>贰拾伍万</w:t>
      </w:r>
      <w:r>
        <w:rPr>
          <w:rFonts w:hint="eastAsia" w:ascii="Times New Roman" w:hAnsi="Times New Roman" w:eastAsia="仿宋_GB2312" w:cs="Times New Roman"/>
          <w:b/>
          <w:bCs/>
          <w:sz w:val="28"/>
          <w:szCs w:val="28"/>
          <w:highlight w:val="none"/>
        </w:rPr>
        <w:t>元整，（小写）</w:t>
      </w:r>
      <w:r>
        <w:rPr>
          <w:rFonts w:hint="eastAsia" w:ascii="Times New Roman" w:hAnsi="Times New Roman" w:eastAsia="仿宋_GB2312" w:cs="Times New Roman"/>
          <w:b/>
          <w:bCs/>
          <w:sz w:val="28"/>
          <w:szCs w:val="28"/>
          <w:highlight w:val="none"/>
          <w:lang w:val="en-US" w:eastAsia="zh-CN"/>
        </w:rPr>
        <w:t>250000</w:t>
      </w:r>
      <w:r>
        <w:rPr>
          <w:rFonts w:hint="eastAsia" w:ascii="Times New Roman" w:hAnsi="Times New Roman" w:eastAsia="仿宋_GB2312" w:cs="Times New Roman"/>
          <w:b/>
          <w:bCs/>
          <w:sz w:val="28"/>
          <w:szCs w:val="28"/>
          <w:highlight w:val="none"/>
          <w:lang w:eastAsia="zh-CN"/>
        </w:rPr>
        <w:t>元</w:t>
      </w:r>
      <w:r>
        <w:rPr>
          <w:rFonts w:hint="eastAsia" w:ascii="Times New Roman" w:hAnsi="Times New Roman" w:eastAsia="仿宋_GB2312" w:cs="Times New Roman"/>
          <w:sz w:val="28"/>
          <w:szCs w:val="28"/>
          <w:highlight w:val="none"/>
        </w:rPr>
        <w:t>。中标后中标人须委派专业商业研策团队开展调研工作，并根据调研结论指导项目定位和后续的主力店招商工作和规划设计工作。投标人按固定总价报价，投标报价超出限价的按无效投标处理；投标报价应包括为完成</w:t>
      </w:r>
      <w:r>
        <w:rPr>
          <w:rFonts w:hint="eastAsia" w:ascii="Times New Roman" w:hAnsi="Times New Roman" w:eastAsia="仿宋_GB2312" w:cs="Times New Roman"/>
          <w:sz w:val="28"/>
          <w:szCs w:val="28"/>
          <w:highlight w:val="none"/>
          <w:lang w:eastAsia="zh-CN"/>
        </w:rPr>
        <w:t>本项目的</w:t>
      </w:r>
      <w:r>
        <w:rPr>
          <w:rFonts w:hint="eastAsia" w:ascii="Times New Roman" w:hAnsi="Times New Roman" w:eastAsia="仿宋_GB2312" w:cs="Times New Roman"/>
          <w:sz w:val="28"/>
          <w:szCs w:val="28"/>
          <w:highlight w:val="none"/>
        </w:rPr>
        <w:t>食宿</w:t>
      </w:r>
      <w:r>
        <w:rPr>
          <w:rFonts w:hint="eastAsia" w:ascii="Times New Roman" w:hAnsi="Times New Roman" w:eastAsia="仿宋_GB2312" w:cs="Times New Roman"/>
          <w:sz w:val="28"/>
          <w:szCs w:val="28"/>
          <w:highlight w:val="none"/>
          <w:lang w:eastAsia="zh-CN"/>
        </w:rPr>
        <w:t>费</w:t>
      </w:r>
      <w:r>
        <w:rPr>
          <w:rFonts w:hint="eastAsia" w:ascii="Times New Roman" w:hAnsi="Times New Roman" w:eastAsia="仿宋_GB2312" w:cs="Times New Roman"/>
          <w:sz w:val="28"/>
          <w:szCs w:val="28"/>
          <w:highlight w:val="none"/>
        </w:rPr>
        <w:t>、差旅</w:t>
      </w:r>
      <w:r>
        <w:rPr>
          <w:rFonts w:hint="eastAsia" w:ascii="Times New Roman" w:hAnsi="Times New Roman" w:eastAsia="仿宋_GB2312" w:cs="Times New Roman"/>
          <w:sz w:val="28"/>
          <w:szCs w:val="28"/>
          <w:highlight w:val="none"/>
          <w:lang w:eastAsia="zh-CN"/>
        </w:rPr>
        <w:t>费等</w:t>
      </w:r>
      <w:r>
        <w:rPr>
          <w:rFonts w:hint="eastAsia" w:ascii="Times New Roman" w:hAnsi="Times New Roman" w:eastAsia="仿宋_GB2312" w:cs="Times New Roman"/>
          <w:sz w:val="28"/>
          <w:szCs w:val="28"/>
          <w:highlight w:val="none"/>
        </w:rPr>
        <w:t>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三、投标人资格要求</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本次招标要求投标人须投标人须具有独立法人资格，具备独立承担民事责任的能力；有依法缴纳税收的良好记录；</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（二）投标人</w:t>
      </w:r>
      <w:r>
        <w:rPr>
          <w:rFonts w:hint="eastAsia" w:ascii="Times New Roman" w:hAnsi="Times New Roman" w:eastAsia="仿宋_GB2312" w:cs="Times New Roman"/>
          <w:sz w:val="28"/>
          <w:szCs w:val="28"/>
          <w:highlight w:val="none"/>
          <w:lang w:eastAsia="zh-CN"/>
        </w:rPr>
        <w:t>营业执照经营范围中包含房地产咨询相关内容</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（三）</w:t>
      </w:r>
      <w:r>
        <w:rPr>
          <w:rFonts w:hint="eastAsia" w:ascii="Times New Roman" w:hAnsi="Times New Roman" w:eastAsia="仿宋_GB2312" w:cs="Times New Roman"/>
          <w:sz w:val="28"/>
          <w:szCs w:val="28"/>
          <w:highlight w:val="none"/>
          <w:lang w:eastAsia="zh-CN"/>
        </w:rPr>
        <w:t>具有履行合同的专业团队和相应能力；</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（四）投标人提供201</w:t>
      </w:r>
      <w:r>
        <w:rPr>
          <w:rFonts w:hint="eastAsia" w:ascii="Times New Roman" w:hAnsi="Times New Roman" w:eastAsia="仿宋_GB2312" w:cs="Times New Roman"/>
          <w:sz w:val="28"/>
          <w:szCs w:val="28"/>
          <w:highlight w:val="none"/>
          <w:lang w:val="en-US" w:eastAsia="zh-CN"/>
        </w:rPr>
        <w:t>5</w:t>
      </w:r>
      <w:r>
        <w:rPr>
          <w:rFonts w:hint="eastAsia" w:ascii="Times New Roman" w:hAnsi="Times New Roman" w:eastAsia="仿宋_GB2312" w:cs="Times New Roman"/>
          <w:sz w:val="28"/>
          <w:szCs w:val="28"/>
          <w:highlight w:val="none"/>
        </w:rPr>
        <w:t>年1月1日至今企业类似项目业绩至少</w:t>
      </w:r>
      <w:r>
        <w:rPr>
          <w:rFonts w:hint="eastAsia"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rPr>
        <w:t>个，企业类似项目业绩是指</w:t>
      </w:r>
      <w:r>
        <w:rPr>
          <w:rFonts w:hint="eastAsia" w:ascii="Times New Roman" w:hAnsi="Times New Roman" w:eastAsia="仿宋_GB2312" w:cs="Times New Roman"/>
          <w:sz w:val="28"/>
          <w:szCs w:val="28"/>
          <w:highlight w:val="none"/>
          <w:lang w:eastAsia="zh-CN"/>
        </w:rPr>
        <w:t>单项合同金额不少于</w:t>
      </w:r>
      <w:r>
        <w:rPr>
          <w:rFonts w:hint="eastAsia" w:ascii="Times New Roman" w:hAnsi="Times New Roman" w:eastAsia="仿宋_GB2312" w:cs="Times New Roman"/>
          <w:sz w:val="28"/>
          <w:szCs w:val="28"/>
          <w:highlight w:val="none"/>
          <w:lang w:val="en-US" w:eastAsia="zh-CN"/>
        </w:rPr>
        <w:t>25</w:t>
      </w:r>
      <w:r>
        <w:rPr>
          <w:rFonts w:hint="eastAsia" w:ascii="Times New Roman" w:hAnsi="Times New Roman" w:eastAsia="仿宋_GB2312" w:cs="Times New Roman"/>
          <w:sz w:val="28"/>
          <w:szCs w:val="28"/>
          <w:highlight w:val="none"/>
          <w:lang w:eastAsia="zh-CN"/>
        </w:rPr>
        <w:t>万元的策划咨询服务项目或单项合同中为占地面积不少于</w:t>
      </w:r>
      <w:r>
        <w:rPr>
          <w:rFonts w:hint="eastAsia" w:ascii="Times New Roman" w:hAnsi="Times New Roman" w:eastAsia="仿宋_GB2312" w:cs="Times New Roman"/>
          <w:sz w:val="28"/>
          <w:szCs w:val="28"/>
          <w:highlight w:val="none"/>
          <w:lang w:val="en-US" w:eastAsia="zh-CN"/>
        </w:rPr>
        <w:t>33000平米地块的项目提供</w:t>
      </w:r>
      <w:r>
        <w:rPr>
          <w:rFonts w:hint="eastAsia" w:ascii="Times New Roman" w:hAnsi="Times New Roman" w:eastAsia="仿宋_GB2312" w:cs="Times New Roman"/>
          <w:sz w:val="28"/>
          <w:szCs w:val="28"/>
          <w:highlight w:val="none"/>
          <w:lang w:eastAsia="zh-CN"/>
        </w:rPr>
        <w:t>策划咨询服务的项目业绩</w:t>
      </w:r>
      <w:r>
        <w:rPr>
          <w:rFonts w:hint="eastAsia" w:ascii="Times New Roman" w:hAnsi="Times New Roman" w:eastAsia="仿宋_GB2312" w:cs="Times New Roman"/>
          <w:sz w:val="28"/>
          <w:szCs w:val="28"/>
          <w:highlight w:val="none"/>
        </w:rPr>
        <w:t>，业绩以咨询服务合同中载明的地块</w:t>
      </w:r>
      <w:r>
        <w:rPr>
          <w:rFonts w:hint="eastAsia" w:ascii="Times New Roman" w:hAnsi="Times New Roman" w:eastAsia="仿宋_GB2312" w:cs="Times New Roman"/>
          <w:sz w:val="28"/>
          <w:szCs w:val="28"/>
          <w:highlight w:val="none"/>
          <w:lang w:eastAsia="zh-CN"/>
        </w:rPr>
        <w:t>占地面积</w:t>
      </w:r>
      <w:r>
        <w:rPr>
          <w:rFonts w:hint="eastAsia" w:ascii="Times New Roman" w:hAnsi="Times New Roman" w:eastAsia="仿宋_GB2312" w:cs="Times New Roman"/>
          <w:sz w:val="28"/>
          <w:szCs w:val="28"/>
          <w:highlight w:val="none"/>
        </w:rPr>
        <w:t>或</w:t>
      </w:r>
      <w:r>
        <w:rPr>
          <w:rFonts w:hint="eastAsia" w:ascii="Times New Roman" w:hAnsi="Times New Roman" w:eastAsia="仿宋_GB2312" w:cs="Times New Roman"/>
          <w:sz w:val="28"/>
          <w:szCs w:val="28"/>
          <w:highlight w:val="none"/>
          <w:lang w:eastAsia="zh-CN"/>
        </w:rPr>
        <w:t>策划服务费</w:t>
      </w:r>
      <w:r>
        <w:rPr>
          <w:rFonts w:hint="eastAsia" w:ascii="Times New Roman" w:hAnsi="Times New Roman" w:eastAsia="仿宋_GB2312" w:cs="Times New Roman"/>
          <w:sz w:val="28"/>
          <w:szCs w:val="28"/>
          <w:highlight w:val="none"/>
        </w:rPr>
        <w:t>金额为准</w:t>
      </w:r>
      <w:r>
        <w:rPr>
          <w:rFonts w:hint="eastAsia" w:ascii="Times New Roman" w:hAnsi="Times New Roman" w:eastAsia="仿宋_GB2312" w:cs="Times New Roman"/>
          <w:sz w:val="28"/>
          <w:szCs w:val="28"/>
          <w:highlight w:val="none"/>
          <w:lang w:eastAsia="zh-CN"/>
        </w:rPr>
        <w:t>，合同以合同签订的时间为准，要求加盖投标人公章放入投标文件中</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五</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拟派项目负责人须要求提供由本单位为其缴纳的至少连续6个月的社保证明（由当地社保主管部门出具的2020年1月1日以来的有效社保证明）</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六</w:t>
      </w:r>
      <w:r>
        <w:rPr>
          <w:rFonts w:hint="eastAsia" w:ascii="Times New Roman" w:hAnsi="Times New Roman" w:eastAsia="仿宋_GB2312" w:cs="Times New Roman"/>
          <w:sz w:val="28"/>
          <w:szCs w:val="28"/>
          <w:highlight w:val="none"/>
        </w:rPr>
        <w:t>）本次招标</w:t>
      </w:r>
      <w:r>
        <w:rPr>
          <w:rFonts w:hint="eastAsia" w:ascii="Times New Roman" w:hAnsi="Times New Roman" w:eastAsia="仿宋_GB2312" w:cs="Times New Roman"/>
          <w:sz w:val="28"/>
          <w:szCs w:val="28"/>
          <w:highlight w:val="none"/>
          <w:u w:val="single"/>
        </w:rPr>
        <w:t>不接受</w:t>
      </w:r>
      <w:r>
        <w:rPr>
          <w:rFonts w:hint="eastAsia" w:ascii="Times New Roman" w:hAnsi="Times New Roman" w:eastAsia="仿宋_GB2312" w:cs="Times New Roman"/>
          <w:sz w:val="28"/>
          <w:szCs w:val="28"/>
          <w:highlight w:val="none"/>
        </w:rPr>
        <w:t>联合体投标。</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七</w:t>
      </w:r>
      <w:r>
        <w:rPr>
          <w:rFonts w:hint="eastAsia" w:ascii="Times New Roman" w:hAnsi="Times New Roman" w:eastAsia="仿宋_GB2312" w:cs="Times New Roman"/>
          <w:sz w:val="28"/>
          <w:szCs w:val="28"/>
          <w:highlight w:val="none"/>
        </w:rPr>
        <w:t>）投标人存在以下不良信用记录情形之一的，不得推荐为中标候选人，更不得确定为中标人：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2.投标人或其法定代表人被人民检察院列入行贿犯罪档案的；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imes New Roman" w:hAnsi="Times New Roman" w:eastAsia="仿宋_GB2312" w:cs="Times New Roman"/>
          <w:sz w:val="28"/>
          <w:szCs w:val="28"/>
          <w:highlight w:val="none"/>
          <w:lang w:eastAsia="zh-CN"/>
        </w:rPr>
        <w:t>。投标人须提供相关网站查询结果截图，并加盖投标人公章放入投标文件中。</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四、招标文件的获取</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凡有意参加</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者，请于</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文件递交截止时间前到亳州交通投资控股集团有限公司官网</w:t>
      </w:r>
      <w:r>
        <w:rPr>
          <w:rFonts w:hint="eastAsia" w:ascii="Times New Roman" w:hAnsi="Times New Roman" w:eastAsia="仿宋_GB2312" w:cs="Times New Roman"/>
          <w:sz w:val="28"/>
          <w:szCs w:val="28"/>
          <w:highlight w:val="none"/>
        </w:rPr>
        <w:t>信息公开栏</w:t>
      </w:r>
      <w:r>
        <w:rPr>
          <w:rFonts w:ascii="Times New Roman" w:hAnsi="Times New Roman" w:eastAsia="仿宋_GB2312" w:cs="Times New Roman"/>
          <w:sz w:val="28"/>
          <w:szCs w:val="28"/>
          <w:highlight w:val="none"/>
        </w:rPr>
        <w:t>（www.bzjkjt.com/article/index-94.html）自行下载</w:t>
      </w:r>
      <w:r>
        <w:rPr>
          <w:rFonts w:hint="eastAsia" w:ascii="Times New Roman" w:hAnsi="Times New Roman" w:eastAsia="仿宋_GB2312" w:cs="Times New Roman"/>
          <w:sz w:val="28"/>
          <w:szCs w:val="28"/>
          <w:highlight w:val="none"/>
        </w:rPr>
        <w:t>电子</w:t>
      </w:r>
      <w:r>
        <w:rPr>
          <w:rFonts w:ascii="Times New Roman" w:hAnsi="Times New Roman" w:eastAsia="仿宋_GB2312" w:cs="Times New Roman"/>
          <w:sz w:val="28"/>
          <w:szCs w:val="28"/>
          <w:highlight w:val="none"/>
        </w:rPr>
        <w:t>招标文件及</w:t>
      </w:r>
      <w:r>
        <w:rPr>
          <w:rFonts w:hint="eastAsia" w:ascii="Times New Roman" w:hAnsi="Times New Roman" w:eastAsia="仿宋_GB2312" w:cs="Times New Roman"/>
          <w:sz w:val="28"/>
          <w:szCs w:val="28"/>
          <w:highlight w:val="none"/>
        </w:rPr>
        <w:t>其他</w:t>
      </w:r>
      <w:r>
        <w:rPr>
          <w:rFonts w:ascii="Times New Roman" w:hAnsi="Times New Roman" w:eastAsia="仿宋_GB2312" w:cs="Times New Roman"/>
          <w:sz w:val="28"/>
          <w:szCs w:val="28"/>
          <w:highlight w:val="none"/>
        </w:rPr>
        <w:t>附件。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五、投标文件的递交</w:t>
      </w: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文件递交的截止时间（投标截止时间，下同）为</w:t>
      </w:r>
      <w:r>
        <w:rPr>
          <w:rFonts w:hint="eastAsia" w:ascii="Times New Roman" w:hAnsi="Times New Roman" w:eastAsia="仿宋_GB2312" w:cs="Times New Roman"/>
          <w:b/>
          <w:bCs/>
          <w:sz w:val="28"/>
          <w:szCs w:val="28"/>
          <w:highlight w:val="none"/>
          <w:lang w:eastAsia="zh-CN"/>
        </w:rPr>
        <w:t>2020年9月11日9时00分</w:t>
      </w:r>
      <w:r>
        <w:rPr>
          <w:rFonts w:ascii="Times New Roman" w:hAnsi="Times New Roman" w:eastAsia="仿宋_GB2312" w:cs="Times New Roman"/>
          <w:sz w:val="28"/>
          <w:szCs w:val="28"/>
          <w:highlight w:val="none"/>
        </w:rPr>
        <w:t>，地点为亳州交通投资控股集团有限公司</w:t>
      </w:r>
      <w:r>
        <w:rPr>
          <w:rFonts w:hint="eastAsia" w:ascii="Times New Roman" w:hAnsi="Times New Roman" w:eastAsia="仿宋_GB2312" w:cs="Times New Roman"/>
          <w:sz w:val="28"/>
          <w:szCs w:val="28"/>
          <w:highlight w:val="none"/>
        </w:rPr>
        <w:t>8楼</w:t>
      </w:r>
      <w:r>
        <w:rPr>
          <w:rFonts w:ascii="Times New Roman" w:hAnsi="Times New Roman" w:eastAsia="仿宋_GB2312" w:cs="Times New Roman"/>
          <w:sz w:val="28"/>
          <w:szCs w:val="28"/>
          <w:highlight w:val="none"/>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（二）逾期送达的、未送达指定地点的或者不按照招标文件要求密封的投标文件</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招标人将予以拒收。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六、发布公告的媒介</w:t>
      </w: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七、联系方式</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ascii="Times New Roman" w:hAnsi="Times New Roman" w:eastAsia="仿宋_GB2312" w:cs="Times New Roman"/>
          <w:sz w:val="28"/>
          <w:szCs w:val="28"/>
          <w:highlight w:val="none"/>
        </w:rPr>
        <w:t>招</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标</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lang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地</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址：</w:t>
      </w:r>
      <w:r>
        <w:rPr>
          <w:rFonts w:hint="eastAsia" w:ascii="Times New Roman" w:hAnsi="Times New Roman" w:eastAsia="仿宋_GB2312" w:cs="Times New Roman"/>
          <w:sz w:val="28"/>
          <w:szCs w:val="28"/>
          <w:highlight w:val="none"/>
        </w:rPr>
        <w:t>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ascii="Times New Roman" w:hAnsi="Times New Roman" w:eastAsia="仿宋_GB2312" w:cs="Times New Roman"/>
          <w:sz w:val="28"/>
          <w:szCs w:val="28"/>
          <w:highlight w:val="none"/>
        </w:rPr>
        <w:t>联</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系</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lang w:eastAsia="zh-CN"/>
        </w:rPr>
        <w:t>闫工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rPr>
        <w:t>电    话</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17756789603</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招标平台：</w:t>
      </w:r>
      <w:r>
        <w:rPr>
          <w:rFonts w:hint="eastAsia" w:ascii="Times New Roman" w:hAnsi="Times New Roman" w:eastAsia="仿宋_GB2312" w:cs="Times New Roman"/>
          <w:sz w:val="28"/>
          <w:szCs w:val="28"/>
          <w:highlight w:val="none"/>
          <w:lang w:eastAsia="zh-CN"/>
        </w:rPr>
        <w:t>亳州交控集团法务部（招投标中心）</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联 系 人：</w:t>
      </w:r>
      <w:r>
        <w:rPr>
          <w:rFonts w:hint="eastAsia" w:ascii="Times New Roman" w:hAnsi="Times New Roman" w:eastAsia="仿宋_GB2312" w:cs="Times New Roman"/>
          <w:sz w:val="28"/>
          <w:szCs w:val="28"/>
          <w:highlight w:val="none"/>
          <w:lang w:eastAsia="zh-CN"/>
        </w:rPr>
        <w:t>才工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电    话：</w:t>
      </w:r>
      <w:r>
        <w:rPr>
          <w:rFonts w:hint="eastAsia" w:ascii="Times New Roman" w:hAnsi="Times New Roman" w:eastAsia="仿宋_GB2312" w:cs="Times New Roman"/>
          <w:sz w:val="28"/>
          <w:szCs w:val="28"/>
          <w:highlight w:val="none"/>
          <w:lang w:eastAsia="zh-CN"/>
        </w:rPr>
        <w:t>0558-5190035</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ascii="Times New Roman" w:hAnsi="Times New Roman" w:eastAsia="仿宋_GB2312" w:cs="Times New Roman"/>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lang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880" w:firstLineChars="2100"/>
        <w:textAlignment w:val="auto"/>
        <w:rPr>
          <w:rFonts w:ascii="Times New Roman" w:hAnsi="Times New Roman" w:eastAsia="仿宋_GB2312" w:cs="Times New Roman"/>
          <w:kern w:val="0"/>
          <w:sz w:val="32"/>
          <w:szCs w:val="32"/>
          <w:highlight w:val="none"/>
        </w:rPr>
      </w:pPr>
      <w:bookmarkStart w:id="116" w:name="_GoBack"/>
      <w:bookmarkEnd w:id="116"/>
      <w:r>
        <w:rPr>
          <w:rFonts w:hint="eastAsia" w:ascii="Times New Roman" w:hAnsi="Times New Roman" w:eastAsia="仿宋_GB2312" w:cs="Times New Roman"/>
          <w:sz w:val="28"/>
          <w:szCs w:val="28"/>
          <w:highlight w:val="none"/>
          <w:lang w:eastAsia="zh-CN"/>
        </w:rPr>
        <w:t>2020年9月2日</w:t>
      </w:r>
      <w:r>
        <w:rPr>
          <w:rFonts w:ascii="Times New Roman" w:hAnsi="Times New Roman" w:eastAsia="仿宋_GB2312" w:cs="Times New Roman"/>
          <w:kern w:val="0"/>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lang w:eastAsia="zh-CN"/>
              </w:rPr>
              <w:t>财政资金</w:t>
            </w:r>
            <w:r>
              <w:rPr>
                <w:rFonts w:hint="eastAsia" w:ascii="Times New Roman" w:hAnsi="Times New Roman" w:cs="Times New Roman"/>
                <w:szCs w:val="21"/>
                <w:highlight w:val="none"/>
              </w:rPr>
              <w:t>，100%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按固定总价报价。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伍仟</w:t>
            </w:r>
            <w:r>
              <w:rPr>
                <w:rFonts w:hint="eastAsia" w:ascii="Times New Roman" w:hAnsi="Times New Roman" w:cs="Times New Roman"/>
                <w:b/>
                <w:bCs/>
                <w:szCs w:val="21"/>
                <w:highlight w:val="none"/>
              </w:rPr>
              <w:t>元</w:t>
            </w:r>
            <w:r>
              <w:rPr>
                <w:rFonts w:ascii="Times New Roman" w:hAnsi="Times New Roman" w:cs="Times New Roman"/>
                <w:b/>
                <w:bCs/>
                <w:szCs w:val="21"/>
                <w:highlight w:val="none"/>
              </w:rPr>
              <w:t>整</w:t>
            </w:r>
            <w:r>
              <w:rPr>
                <w:rFonts w:ascii="Times New Roman" w:hAnsi="Times New Roman" w:cs="Times New Roman"/>
                <w:szCs w:val="21"/>
                <w:highlight w:val="none"/>
              </w:rPr>
              <w:t>，（小写）</w:t>
            </w:r>
            <w:r>
              <w:rPr>
                <w:rFonts w:hint="eastAsia" w:ascii="Times New Roman" w:hAnsi="Times New Roman" w:cs="Times New Roman"/>
                <w:b/>
                <w:bCs/>
                <w:szCs w:val="21"/>
                <w:highlight w:val="none"/>
                <w:lang w:val="en-US" w:eastAsia="zh-CN"/>
              </w:rPr>
              <w:t>5000</w:t>
            </w:r>
            <w:r>
              <w:rPr>
                <w:rFonts w:ascii="Times New Roman" w:hAnsi="Times New Roman" w:cs="Times New Roman"/>
                <w:szCs w:val="21"/>
                <w:highlight w:val="none"/>
              </w:rPr>
              <w:t>元</w:t>
            </w:r>
            <w:r>
              <w:rPr>
                <w:rFonts w:hint="eastAsia" w:ascii="Times New Roman" w:hAnsi="Times New Roman" w:cs="Times New Roman"/>
                <w:szCs w:val="21"/>
                <w:highlight w:val="none"/>
                <w:lang w:eastAsia="zh-CN"/>
              </w:rPr>
              <w:t>。</w:t>
            </w: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lang w:eastAsia="zh-CN"/>
              </w:rPr>
              <w:t>BZJK-2020-031号</w:t>
            </w:r>
            <w:r>
              <w:rPr>
                <w:rFonts w:hint="eastAsia" w:ascii="Times New Roman" w:hAnsi="Times New Roman" w:cs="Times New Roman"/>
                <w:b/>
                <w:bCs/>
                <w:szCs w:val="21"/>
                <w:highlight w:val="none"/>
              </w:rPr>
              <w:t>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u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w:t>
            </w:r>
            <w:r>
              <w:rPr>
                <w:rFonts w:hint="eastAsia" w:ascii="Times New Roman" w:hAnsi="Times New Roman" w:cs="Times New Roman"/>
                <w:b/>
                <w:bCs/>
                <w:szCs w:val="21"/>
                <w:highlight w:val="none"/>
                <w:lang w:val="en-US" w:eastAsia="zh-CN"/>
              </w:rPr>
              <w:t>5</w:t>
            </w:r>
            <w:r>
              <w:rPr>
                <w:rFonts w:hint="eastAsia" w:ascii="Times New Roman" w:hAnsi="Times New Roman" w:cs="Times New Roman"/>
                <w:b/>
                <w:bCs/>
                <w:szCs w:val="21"/>
                <w:highlight w:val="none"/>
                <w:lang w:eastAsia="zh-CN"/>
              </w:rPr>
              <w:t>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b/>
                <w:bCs/>
                <w:szCs w:val="21"/>
                <w:highlight w:val="none"/>
                <w:u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w:t>
            </w:r>
            <w:r>
              <w:rPr>
                <w:rFonts w:hint="eastAsia" w:ascii="Times New Roman" w:hAnsi="Times New Roman" w:cs="Times New Roman"/>
                <w:b/>
                <w:bCs/>
                <w:szCs w:val="21"/>
                <w:highlight w:val="none"/>
                <w:lang w:val="en-US" w:eastAsia="zh-CN"/>
              </w:rPr>
              <w:t>4</w:t>
            </w:r>
            <w:r>
              <w:rPr>
                <w:rFonts w:hint="eastAsia" w:ascii="Times New Roman" w:hAnsi="Times New Roman" w:cs="Times New Roman"/>
                <w:b/>
                <w:bCs/>
                <w:szCs w:val="21"/>
                <w:highlight w:val="none"/>
              </w:rPr>
              <w:t>份</w:t>
            </w:r>
          </w:p>
          <w:p>
            <w:pPr>
              <w:wordWrap w:val="0"/>
              <w:spacing w:line="430" w:lineRule="exact"/>
              <w:rPr>
                <w:rFonts w:hint="eastAsia" w:ascii="Times New Roman" w:hAnsi="Times New Roman" w:cs="Times New Roman" w:eastAsiaTheme="minorEastAsia"/>
                <w:b/>
                <w:bCs/>
                <w:szCs w:val="21"/>
                <w:highlight w:val="none"/>
                <w:lang w:eastAsia="zh-CN"/>
              </w:rPr>
            </w:pPr>
            <w:r>
              <w:rPr>
                <w:rFonts w:hint="eastAsia" w:ascii="Times New Roman" w:hAnsi="Times New Roman" w:cs="Times New Roman"/>
                <w:b/>
                <w:bCs/>
                <w:szCs w:val="21"/>
                <w:highlight w:val="none"/>
              </w:rPr>
              <w:t>提供</w:t>
            </w:r>
            <w:r>
              <w:rPr>
                <w:rFonts w:hint="eastAsia" w:ascii="Times New Roman" w:hAnsi="Times New Roman" w:cs="Times New Roman"/>
                <w:b/>
                <w:bCs/>
                <w:szCs w:val="21"/>
                <w:highlight w:val="none"/>
                <w:lang w:eastAsia="zh-CN"/>
              </w:rPr>
              <w:t>A4</w:t>
            </w:r>
            <w:r>
              <w:rPr>
                <w:rFonts w:hint="eastAsia" w:ascii="Times New Roman" w:hAnsi="Times New Roman" w:cs="Times New Roman"/>
                <w:b/>
                <w:bCs/>
                <w:szCs w:val="21"/>
                <w:highlight w:val="none"/>
              </w:rPr>
              <w:t>规格方案文本5套，包括所有文字说明</w:t>
            </w:r>
            <w:r>
              <w:rPr>
                <w:rFonts w:hint="eastAsia" w:ascii="Times New Roman" w:hAnsi="Times New Roman" w:cs="Times New Roman"/>
                <w:b/>
                <w:bCs/>
                <w:szCs w:val="21"/>
                <w:highlight w:val="none"/>
                <w:lang w:eastAsia="zh-CN"/>
              </w:rPr>
              <w:t>等必要内容</w:t>
            </w:r>
            <w:r>
              <w:rPr>
                <w:rFonts w:hint="eastAsia" w:ascii="Times New Roman" w:hAnsi="Times New Roman" w:cs="Times New Roman"/>
                <w:b/>
                <w:bCs/>
                <w:szCs w:val="21"/>
                <w:highlight w:val="none"/>
              </w:rPr>
              <w:t>内容</w:t>
            </w:r>
            <w:r>
              <w:rPr>
                <w:rFonts w:hint="eastAsia" w:ascii="Times New Roman" w:hAnsi="Times New Roman" w:cs="Times New Roman"/>
                <w:b/>
                <w:bCs/>
                <w:szCs w:val="21"/>
                <w:highlight w:val="none"/>
                <w:lang w:eastAsia="zh-CN"/>
              </w:rPr>
              <w:t>。</w:t>
            </w:r>
          </w:p>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是否要求提交电子版文件</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是，以U盘形式提交。</w:t>
            </w:r>
          </w:p>
          <w:p>
            <w:pPr>
              <w:wordWrap w:val="0"/>
              <w:spacing w:line="430" w:lineRule="exact"/>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rPr>
              <w:t>是否要求现场述标</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w:t>
            </w:r>
            <w:r>
              <w:rPr>
                <w:rFonts w:hint="eastAsia" w:ascii="Times New Roman" w:hAnsi="Times New Roman" w:cs="Times New Roman"/>
                <w:b/>
                <w:bCs/>
                <w:szCs w:val="21"/>
                <w:highlight w:val="none"/>
                <w:lang w:eastAsia="zh-CN"/>
              </w:rPr>
              <w:t>投标人</w:t>
            </w:r>
            <w:r>
              <w:rPr>
                <w:rFonts w:hint="eastAsia" w:ascii="Times New Roman" w:hAnsi="Times New Roman" w:cs="Times New Roman"/>
                <w:b/>
                <w:bCs/>
                <w:szCs w:val="21"/>
                <w:highlight w:val="none"/>
              </w:rPr>
              <w:t>自行准备演示</w:t>
            </w:r>
            <w:r>
              <w:rPr>
                <w:rFonts w:hint="eastAsia" w:ascii="Times New Roman" w:hAnsi="Times New Roman" w:cs="Times New Roman"/>
                <w:b/>
                <w:bCs/>
                <w:szCs w:val="21"/>
                <w:highlight w:val="none"/>
                <w:lang w:eastAsia="zh-CN"/>
              </w:rPr>
              <w:t>文稿放入提交的</w:t>
            </w:r>
            <w:r>
              <w:rPr>
                <w:rFonts w:hint="eastAsia" w:ascii="Times New Roman" w:hAnsi="Times New Roman" w:cs="Times New Roman"/>
                <w:b/>
                <w:bCs/>
                <w:szCs w:val="21"/>
                <w:highlight w:val="none"/>
                <w:lang w:val="en-US" w:eastAsia="zh-CN"/>
              </w:rPr>
              <w:t>U盘中</w:t>
            </w:r>
            <w:r>
              <w:rPr>
                <w:rFonts w:hint="eastAsia" w:ascii="Times New Roman" w:hAnsi="Times New Roman" w:cs="Times New Roman"/>
                <w:b/>
                <w:bCs/>
                <w:szCs w:val="21"/>
                <w:highlight w:val="none"/>
                <w:lang w:eastAsia="zh-CN"/>
              </w:rPr>
              <w:t>，每家投标人述标时间不超过</w:t>
            </w:r>
            <w:r>
              <w:rPr>
                <w:rFonts w:hint="eastAsia" w:ascii="Times New Roman" w:hAnsi="Times New Roman" w:cs="Times New Roman"/>
                <w:b/>
                <w:bCs/>
                <w:szCs w:val="21"/>
                <w:highlight w:val="none"/>
                <w:lang w:val="en-US" w:eastAsia="zh-CN"/>
              </w:rPr>
              <w:t>15min。</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招标人名称：</w:t>
            </w:r>
            <w:r>
              <w:rPr>
                <w:rFonts w:hint="eastAsia" w:ascii="Times New Roman" w:hAnsi="Times New Roman" w:cs="Times New Roman"/>
                <w:szCs w:val="21"/>
                <w:highlight w:val="none"/>
                <w:lang w:eastAsia="zh-CN"/>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亳州市高铁南站南北两地块前期策划咨询服务项目</w:t>
            </w:r>
            <w:r>
              <w:rPr>
                <w:rFonts w:ascii="Times New Roman" w:hAnsi="Times New Roman" w:cs="Times New Roman"/>
                <w:szCs w:val="21"/>
                <w:highlight w:val="none"/>
              </w:rPr>
              <w:t>投标文件</w:t>
            </w:r>
          </w:p>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招标项目编号：</w:t>
            </w:r>
            <w:r>
              <w:rPr>
                <w:rFonts w:hint="eastAsia" w:ascii="Times New Roman" w:hAnsi="Times New Roman" w:cs="Times New Roman"/>
                <w:szCs w:val="21"/>
                <w:highlight w:val="none"/>
                <w:lang w:eastAsia="zh-CN"/>
              </w:rPr>
              <w:t>BZJK-2020-031号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lang w:eastAsia="zh-CN"/>
              </w:rPr>
              <w:t>在2020年9月11日9时00分前不得开启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szCs w:val="21"/>
                <w:highlight w:val="none"/>
              </w:rPr>
            </w:pPr>
            <w:r>
              <w:rPr>
                <w:rFonts w:hint="eastAsia" w:ascii="Times New Roman" w:hAnsi="Times New Roman" w:cs="Times New Roman"/>
                <w:szCs w:val="21"/>
                <w:highlight w:val="none"/>
                <w:lang w:eastAsia="zh-CN"/>
              </w:rPr>
              <w:t>2020年9月11日9时00分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金额：</w:t>
            </w:r>
            <w:r>
              <w:rPr>
                <w:rFonts w:hint="eastAsia" w:ascii="Times New Roman" w:hAnsi="Times New Roman" w:cs="Times New Roman"/>
                <w:szCs w:val="21"/>
                <w:highlight w:val="none"/>
                <w:lang w:eastAsia="zh-CN"/>
              </w:rPr>
              <w:t>中标价的10%</w:t>
            </w:r>
          </w:p>
          <w:p>
            <w:pPr>
              <w:wordWrap w:val="0"/>
              <w:spacing w:line="430" w:lineRule="exact"/>
              <w:rPr>
                <w:rFonts w:hint="eastAsia" w:ascii="Times New Roman" w:hAnsi="Times New Roman" w:cs="Times New Roman"/>
                <w:szCs w:val="21"/>
                <w:highlight w:val="none"/>
                <w:lang w:eastAsia="zh-CN"/>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的形式：</w:t>
            </w:r>
            <w:r>
              <w:rPr>
                <w:rFonts w:hint="eastAsia" w:ascii="Times New Roman" w:hAnsi="Times New Roman" w:cs="Times New Roman"/>
                <w:szCs w:val="21"/>
                <w:highlight w:val="none"/>
                <w:lang w:eastAsia="zh-CN"/>
              </w:rPr>
              <w:t>汇款或转账。</w:t>
            </w:r>
            <w:r>
              <w:rPr>
                <w:rFonts w:ascii="Times New Roman" w:hAnsi="Times New Roman" w:cs="Times New Roman"/>
                <w:szCs w:val="21"/>
                <w:highlight w:val="none"/>
              </w:rPr>
              <w:t>中标后，投标保证金自动转为履约保证金</w:t>
            </w:r>
            <w:r>
              <w:rPr>
                <w:rFonts w:hint="eastAsia" w:ascii="Times New Roman" w:hAnsi="Times New Roman" w:cs="Times New Roman"/>
                <w:szCs w:val="21"/>
                <w:highlight w:val="none"/>
                <w:lang w:eastAsia="zh-CN"/>
              </w:rPr>
              <w:t>，履约保证金不足部分由中标人在收到中标通知书10日内从其基本账户开户行银行汇款或转账。</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竣工验收合格后</w:t>
            </w:r>
            <w:r>
              <w:rPr>
                <w:rFonts w:hint="eastAsia" w:ascii="Times New Roman" w:hAnsi="Times New Roman" w:cs="Times New Roman"/>
                <w:szCs w:val="21"/>
                <w:highlight w:val="none"/>
                <w:lang w:val="en-US" w:eastAsia="zh-CN"/>
              </w:rPr>
              <w:t>10个工作日内</w:t>
            </w:r>
            <w:r>
              <w:rPr>
                <w:rFonts w:hint="eastAsia" w:ascii="Times New Roman" w:hAnsi="Times New Roman" w:cs="Times New Roman"/>
                <w:szCs w:val="21"/>
                <w:highlight w:val="none"/>
              </w:rPr>
              <w:t>退</w:t>
            </w:r>
            <w:r>
              <w:rPr>
                <w:rFonts w:ascii="Times New Roman" w:hAnsi="Times New Roman" w:cs="Times New Roman"/>
                <w:szCs w:val="21"/>
                <w:highlight w:val="none"/>
              </w:rPr>
              <w:t>还</w:t>
            </w:r>
            <w:r>
              <w:rPr>
                <w:rFonts w:hint="eastAsia" w:ascii="Times New Roman" w:hAnsi="Times New Roman" w:cs="Times New Roman"/>
                <w:szCs w:val="21"/>
                <w:highlight w:val="none"/>
              </w:rPr>
              <w:t>全部</w:t>
            </w:r>
            <w:r>
              <w:rPr>
                <w:rFonts w:ascii="Times New Roman" w:hAnsi="Times New Roman" w:cs="Times New Roman"/>
                <w:szCs w:val="21"/>
                <w:highlight w:val="none"/>
              </w:rPr>
              <w:t>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第三章 评标办法</w:t>
      </w:r>
      <w:r>
        <w:rPr>
          <w:rFonts w:hint="eastAsia" w:asciiTheme="majorEastAsia" w:hAnsiTheme="majorEastAsia" w:eastAsiaTheme="majorEastAsia" w:cstheme="majorEastAsia"/>
          <w:b/>
          <w:bCs/>
          <w:sz w:val="32"/>
          <w:szCs w:val="32"/>
          <w:highlight w:val="none"/>
        </w:rPr>
        <w:t>（综合评估法）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评标办法前附表</w:t>
      </w:r>
      <w:bookmarkStart w:id="16" w:name="_Toc144974556"/>
      <w:bookmarkStart w:id="17" w:name="_Toc296602477"/>
      <w:bookmarkStart w:id="18" w:name="_Toc246996232"/>
      <w:bookmarkStart w:id="19" w:name="_Toc179632607"/>
      <w:bookmarkStart w:id="20" w:name="_Toc152042366"/>
      <w:bookmarkStart w:id="21" w:name="_Toc152045589"/>
      <w:bookmarkStart w:id="22" w:name="_Toc247085747"/>
      <w:bookmarkStart w:id="23" w:name="_Toc246996975"/>
    </w:p>
    <w:p>
      <w:pPr>
        <w:spacing w:line="480" w:lineRule="exact"/>
        <w:rPr>
          <w:rFonts w:asciiTheme="majorEastAsia" w:hAnsiTheme="majorEastAsia" w:eastAsiaTheme="majorEastAsia" w:cstheme="majorEastAsia"/>
          <w:b/>
          <w:bCs/>
          <w:sz w:val="28"/>
          <w:szCs w:val="28"/>
          <w:highlight w:val="none"/>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744"/>
        <w:gridCol w:w="50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评审因素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评标方法</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中标候选人排序方法</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形式评审标准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投标人名称</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投标函</w:t>
            </w:r>
            <w:r>
              <w:rPr>
                <w:rFonts w:ascii="Times New Roman" w:hAnsi="Times New Roman" w:cs="Times New Roman"/>
                <w:kern w:val="0"/>
                <w:sz w:val="24"/>
                <w:highlight w:val="none"/>
              </w:rPr>
              <w:t>签字盖章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投标文件格式</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w:t>
            </w:r>
            <w:r>
              <w:rPr>
                <w:rFonts w:hint="eastAsia" w:ascii="Times New Roman" w:hAnsi="Times New Roman" w:cs="Times New Roman"/>
                <w:kern w:val="0"/>
                <w:sz w:val="24"/>
                <w:highlight w:val="none"/>
              </w:rPr>
              <w:t>六</w:t>
            </w:r>
            <w:r>
              <w:rPr>
                <w:rFonts w:ascii="Times New Roman" w:hAnsi="Times New Roman" w:cs="Times New Roman"/>
                <w:kern w:val="0"/>
                <w:sz w:val="24"/>
                <w:highlight w:val="none"/>
              </w:rPr>
              <w:t>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投标文件格式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的</w:t>
            </w:r>
            <w:r>
              <w:rPr>
                <w:rFonts w:hint="eastAsia" w:ascii="Times New Roman" w:hAnsi="Times New Roman" w:cs="Times New Roman"/>
                <w:kern w:val="0"/>
                <w:sz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资格评审标准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营业执照</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企业</w:t>
            </w:r>
            <w:r>
              <w:rPr>
                <w:rFonts w:hint="eastAsia" w:ascii="Times New Roman" w:hAnsi="Times New Roman" w:cs="Times New Roman"/>
                <w:kern w:val="0"/>
                <w:sz w:val="24"/>
                <w:highlight w:val="none"/>
              </w:rPr>
              <w:t>业绩要求</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其他要求</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响应性评审标准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投标报价</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投标内容</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服务期限</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质量标准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投标有效期</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投标保证金</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条款内容</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2.2.1</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分值构成</w:t>
            </w:r>
          </w:p>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（总分100分）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投标报价</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w:t>
            </w:r>
            <w:r>
              <w:rPr>
                <w:rFonts w:hint="eastAsia" w:ascii="Times New Roman" w:hAnsi="Times New Roman" w:cs="Times New Roman"/>
                <w:kern w:val="0"/>
                <w:sz w:val="24"/>
                <w:highlight w:val="none"/>
                <w:u w:val="single"/>
                <w:lang w:val="en-US" w:eastAsia="zh-CN"/>
              </w:rPr>
              <w:t>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15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前期策划大纲</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45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u w:val="single"/>
                <w:lang w:val="en-US" w:eastAsia="zh-CN"/>
              </w:rPr>
              <w:t>15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评分因素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投标报价</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取所有有效投标人报价的算术平均数作为评标基准价，若有效投标人大于5家，则去掉最高价和最低价后取算术平均数作为评标基准价。</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在所有有效投标报价中，投标报价与评标基准价相比，投标报价比评标基准价每低于（小于）</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扣0.</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分，每高于（大于）</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扣0.</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分；最多扣5分。不足</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的部分按直线插入法同比率计算得分（四舍五入保留两位小数）。</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业绩</w:t>
            </w:r>
            <w:r>
              <w:rPr>
                <w:rFonts w:hint="eastAsia" w:ascii="Times New Roman" w:hAnsi="Times New Roman" w:cs="Times New Roman"/>
                <w:kern w:val="0"/>
                <w:sz w:val="24"/>
                <w:highlight w:val="none"/>
                <w:lang w:eastAsia="zh-CN"/>
              </w:rPr>
              <w:t>及信誉</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15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企业业绩（</w:t>
            </w:r>
            <w:r>
              <w:rPr>
                <w:rFonts w:hint="eastAsia" w:ascii="Times New Roman" w:hAnsi="Times New Roman" w:cs="Times New Roman"/>
                <w:b/>
                <w:bCs/>
                <w:kern w:val="0"/>
                <w:sz w:val="24"/>
                <w:highlight w:val="none"/>
                <w:lang w:val="en-US" w:eastAsia="zh-CN"/>
              </w:rPr>
              <w:t>12</w:t>
            </w:r>
            <w:r>
              <w:rPr>
                <w:rFonts w:hint="eastAsia" w:ascii="Times New Roman" w:hAnsi="Times New Roman" w:cs="Times New Roman"/>
                <w:b/>
                <w:bCs/>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除招标公告门槛业绩外，自201</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年1月1日至今投标人每额外提供1项单项合同金额不少于25万元的策划咨询服务项目或单项合同中为占地面积不少于33000平米地块的项目提供策划咨询服务的项目业绩加</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分，本项满分</w:t>
            </w:r>
            <w:r>
              <w:rPr>
                <w:rFonts w:hint="eastAsia" w:ascii="Times New Roman" w:hAnsi="Times New Roman" w:cs="Times New Roman"/>
                <w:kern w:val="0"/>
                <w:sz w:val="24"/>
                <w:highlight w:val="none"/>
                <w:lang w:val="en-US" w:eastAsia="zh-CN"/>
              </w:rPr>
              <w:t>12</w:t>
            </w:r>
            <w:r>
              <w:rPr>
                <w:rFonts w:hint="eastAsia" w:ascii="Times New Roman" w:hAnsi="Times New Roman" w:cs="Times New Roman"/>
                <w:kern w:val="0"/>
                <w:sz w:val="24"/>
                <w:highlight w:val="none"/>
              </w:rPr>
              <w:t>分，多分不计。</w:t>
            </w:r>
          </w:p>
          <w:p>
            <w:pPr>
              <w:numPr>
                <w:ilvl w:val="0"/>
                <w:numId w:val="0"/>
              </w:num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（注：</w:t>
            </w:r>
            <w:r>
              <w:rPr>
                <w:rFonts w:hint="eastAsia" w:ascii="Times New Roman" w:hAnsi="Times New Roman" w:cs="Times New Roman"/>
                <w:kern w:val="0"/>
                <w:sz w:val="24"/>
                <w:highlight w:val="none"/>
              </w:rPr>
              <w:t>业绩以咨询服务合同中载明的地块</w:t>
            </w:r>
            <w:r>
              <w:rPr>
                <w:rFonts w:hint="eastAsia" w:ascii="Times New Roman" w:hAnsi="Times New Roman" w:cs="Times New Roman"/>
                <w:kern w:val="0"/>
                <w:sz w:val="24"/>
                <w:highlight w:val="none"/>
                <w:lang w:eastAsia="zh-CN"/>
              </w:rPr>
              <w:t>占地</w:t>
            </w:r>
            <w:r>
              <w:rPr>
                <w:rFonts w:hint="eastAsia" w:ascii="Times New Roman" w:hAnsi="Times New Roman" w:cs="Times New Roman"/>
                <w:kern w:val="0"/>
                <w:sz w:val="24"/>
                <w:highlight w:val="none"/>
              </w:rPr>
              <w:t>面积或策划服务费金额为准，合同以合同签订的时间为准，要求加盖投标人公章放入投标文件中</w:t>
            </w:r>
            <w:r>
              <w:rPr>
                <w:rFonts w:hint="eastAsia" w:ascii="Times New Roman" w:hAnsi="Times New Roman" w:cs="Times New Roman"/>
                <w:kern w:val="0"/>
                <w:sz w:val="24"/>
                <w:highlight w:val="none"/>
                <w:lang w:eastAsia="zh-CN"/>
              </w:rPr>
              <w:t>）</w:t>
            </w:r>
          </w:p>
          <w:p>
            <w:pPr>
              <w:numPr>
                <w:ilvl w:val="0"/>
                <w:numId w:val="0"/>
              </w:numPr>
              <w:wordWrap w:val="0"/>
              <w:spacing w:line="440" w:lineRule="exact"/>
              <w:rPr>
                <w:rFonts w:hint="default"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 xml:space="preserve">  </w:t>
            </w:r>
            <w:r>
              <w:rPr>
                <w:rFonts w:hint="eastAsia" w:ascii="Times New Roman" w:hAnsi="Times New Roman" w:cs="Times New Roman"/>
                <w:b/>
                <w:bCs/>
                <w:kern w:val="0"/>
                <w:sz w:val="24"/>
                <w:highlight w:val="none"/>
                <w:lang w:val="en-US" w:eastAsia="zh-CN"/>
              </w:rPr>
              <w:t xml:space="preserve">  企业信誉</w:t>
            </w:r>
            <w:r>
              <w:rPr>
                <w:rFonts w:hint="eastAsia" w:ascii="Times New Roman" w:hAnsi="Times New Roman" w:cs="Times New Roman"/>
                <w:b/>
                <w:bCs/>
                <w:kern w:val="0"/>
                <w:sz w:val="24"/>
                <w:highlight w:val="none"/>
              </w:rPr>
              <w:t>（</w:t>
            </w:r>
            <w:r>
              <w:rPr>
                <w:rFonts w:hint="eastAsia" w:ascii="Times New Roman" w:hAnsi="Times New Roman" w:cs="Times New Roman"/>
                <w:b/>
                <w:bCs/>
                <w:kern w:val="0"/>
                <w:sz w:val="24"/>
                <w:highlight w:val="none"/>
                <w:lang w:val="en-US" w:eastAsia="zh-CN"/>
              </w:rPr>
              <w:t>3</w:t>
            </w:r>
            <w:r>
              <w:rPr>
                <w:rFonts w:hint="eastAsia" w:ascii="Times New Roman" w:hAnsi="Times New Roman" w:cs="Times New Roman"/>
                <w:b/>
                <w:bCs/>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投标人具有有效的环境管理体系认证、质量管理体系认证以及职业健康安全管理体系认证证书</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每提供</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个</w:t>
            </w:r>
            <w:r>
              <w:rPr>
                <w:rFonts w:hint="eastAsia" w:ascii="Times New Roman" w:hAnsi="Times New Roman" w:cs="Times New Roman"/>
                <w:kern w:val="0"/>
                <w:sz w:val="24"/>
                <w:highlight w:val="none"/>
                <w:lang w:eastAsia="zh-CN"/>
              </w:rPr>
              <w:t>证书</w:t>
            </w:r>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本项满分</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分。（提供证书复印件或扫描件加盖公章装订在</w:t>
            </w:r>
            <w:r>
              <w:rPr>
                <w:rFonts w:hint="eastAsia" w:ascii="Times New Roman" w:hAnsi="Times New Roman" w:cs="Times New Roman"/>
                <w:kern w:val="0"/>
                <w:sz w:val="24"/>
                <w:highlight w:val="none"/>
                <w:lang w:eastAsia="zh-CN"/>
              </w:rPr>
              <w:t>投标</w:t>
            </w:r>
            <w:r>
              <w:rPr>
                <w:rFonts w:hint="eastAsia" w:ascii="Times New Roman" w:hAnsi="Times New Roman" w:cs="Times New Roman"/>
                <w:kern w:val="0"/>
                <w:sz w:val="24"/>
                <w:highlight w:val="none"/>
              </w:rPr>
              <w:t>文件中）</w:t>
            </w:r>
          </w:p>
          <w:p>
            <w:p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rPr>
              <w:t>注：</w:t>
            </w:r>
            <w:r>
              <w:rPr>
                <w:rFonts w:hint="eastAsia" w:ascii="Times New Roman" w:hAnsi="Times New Roman" w:cs="Times New Roman"/>
                <w:kern w:val="0"/>
                <w:sz w:val="24"/>
                <w:highlight w:val="none"/>
                <w:lang w:val="en-US" w:eastAsia="zh-CN"/>
              </w:rPr>
              <w:t>投标人提供</w:t>
            </w:r>
            <w:r>
              <w:rPr>
                <w:rFonts w:hint="eastAsia" w:ascii="Times New Roman" w:hAnsi="Times New Roman" w:cs="Times New Roman"/>
                <w:kern w:val="0"/>
                <w:sz w:val="24"/>
                <w:highlight w:val="none"/>
              </w:rPr>
              <w:t>证书复印件或扫描件加盖公章装订在</w:t>
            </w:r>
            <w:r>
              <w:rPr>
                <w:rFonts w:hint="eastAsia" w:ascii="Times New Roman" w:hAnsi="Times New Roman" w:cs="Times New Roman"/>
                <w:kern w:val="0"/>
                <w:sz w:val="24"/>
                <w:highlight w:val="none"/>
                <w:lang w:eastAsia="zh-CN"/>
              </w:rPr>
              <w:t>投标</w:t>
            </w:r>
            <w:r>
              <w:rPr>
                <w:rFonts w:hint="eastAsia" w:ascii="Times New Roman" w:hAnsi="Times New Roman" w:cs="Times New Roman"/>
                <w:kern w:val="0"/>
                <w:sz w:val="24"/>
                <w:highlight w:val="none"/>
              </w:rPr>
              <w:t>文件中</w:t>
            </w:r>
            <w:r>
              <w:rPr>
                <w:rFonts w:hint="eastAsia" w:ascii="Times New Roman" w:hAnsi="Times New Roman" w:cs="Times New Roman"/>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3</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前期策划</w:t>
            </w:r>
            <w:r>
              <w:rPr>
                <w:rFonts w:hint="eastAsia" w:ascii="Times New Roman" w:hAnsi="Times New Roman" w:cs="Times New Roman"/>
                <w:kern w:val="0"/>
                <w:sz w:val="24"/>
                <w:highlight w:val="none"/>
              </w:rPr>
              <w:t>大纲（</w:t>
            </w:r>
            <w:r>
              <w:rPr>
                <w:rFonts w:hint="eastAsia" w:ascii="Times New Roman" w:hAnsi="Times New Roman" w:cs="Times New Roman"/>
                <w:kern w:val="0"/>
                <w:sz w:val="24"/>
                <w:highlight w:val="none"/>
                <w:lang w:val="en-US" w:eastAsia="zh-CN"/>
              </w:rPr>
              <w:t>45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城市情况、南北地块土地属性（商务、商业）解析内容（5分）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城市情况、南北地块土地属性（商务、商业）解析内容表述清晰明确</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完整，具有较强的针对性，符合招标文件要求。本项满分5分，评标委员会根据投标文件对比，酌情给分。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项目核心辐射区、商业发展情况</w:t>
            </w:r>
            <w:r>
              <w:rPr>
                <w:rFonts w:hint="eastAsia" w:ascii="Times New Roman" w:hAnsi="Times New Roman" w:cs="Times New Roman"/>
                <w:b/>
                <w:bCs/>
                <w:kern w:val="0"/>
                <w:sz w:val="24"/>
                <w:highlight w:val="none"/>
                <w:lang w:eastAsia="zh-CN"/>
              </w:rPr>
              <w:t>、</w:t>
            </w:r>
            <w:r>
              <w:rPr>
                <w:rFonts w:hint="eastAsia" w:ascii="Times New Roman" w:hAnsi="Times New Roman" w:cs="Times New Roman"/>
                <w:b/>
                <w:bCs/>
                <w:kern w:val="0"/>
                <w:sz w:val="24"/>
                <w:highlight w:val="none"/>
              </w:rPr>
              <w:t>商务办公市场情况分析（5分）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项目核心辐射区、商业发展情况、商务办公市场情况分析表述清晰明确</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完整，符合招标文件要求。本项满分5分，评标委员会根据投标文件对比，酌情给分。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商业消费者调研和商务办公客户机会探寻（5分）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工作程序、方法得当可行</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完善</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监理工作程序、方法和制度监理程序、方法得当可行，表述清晰明确、完整。本项满分5分，评标委员会根据投标文件对比，酌情给分。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lang w:val="en-US" w:eastAsia="zh-CN"/>
              </w:rPr>
              <w:t>商业消费者调研</w:t>
            </w:r>
            <w:r>
              <w:rPr>
                <w:rFonts w:hint="eastAsia" w:ascii="Times New Roman" w:hAnsi="Times New Roman" w:cs="Times New Roman"/>
                <w:b/>
                <w:bCs/>
                <w:kern w:val="0"/>
                <w:sz w:val="24"/>
                <w:highlight w:val="none"/>
              </w:rPr>
              <w:t>、方法和制度（5分）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监理程序、方法得当可行，监理工作制度完善。本项满分5分，评标委员会根据投标文件对比，酌情给分。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项目整体（商务、商业业态）规划、定位</w:t>
            </w:r>
            <w:r>
              <w:rPr>
                <w:rFonts w:hint="eastAsia" w:ascii="Times New Roman" w:hAnsi="Times New Roman" w:cs="Times New Roman"/>
                <w:b/>
                <w:bCs/>
                <w:kern w:val="0"/>
                <w:sz w:val="24"/>
                <w:highlight w:val="none"/>
                <w:lang w:eastAsia="zh-CN"/>
              </w:rPr>
              <w:t>、项目规划评价</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项目整体（商务、商业业态）规划、定位、项目规划评价具体有效</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考虑周到细致，切实可行。本项满分5分，评标委员会根据投标文件对比，酌情给分。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物业发展</w:t>
            </w:r>
            <w:r>
              <w:rPr>
                <w:rFonts w:hint="eastAsia" w:ascii="Times New Roman" w:hAnsi="Times New Roman" w:cs="Times New Roman"/>
                <w:b/>
                <w:bCs/>
                <w:kern w:val="0"/>
                <w:sz w:val="24"/>
                <w:highlight w:val="none"/>
                <w:lang w:eastAsia="zh-CN"/>
              </w:rPr>
              <w:t>、商业招商建议</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物业发展、商业招商建议详细合理齐全、针对性强。本项满分5分，评标委员会根据投标文件对比，酌情给分。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营销策略</w:t>
            </w:r>
            <w:r>
              <w:rPr>
                <w:rFonts w:hint="eastAsia" w:ascii="Times New Roman" w:hAnsi="Times New Roman" w:cs="Times New Roman"/>
                <w:b/>
                <w:bCs/>
                <w:kern w:val="0"/>
                <w:sz w:val="24"/>
                <w:highlight w:val="none"/>
                <w:lang w:eastAsia="zh-CN"/>
              </w:rPr>
              <w:t>、运营管理</w:t>
            </w:r>
            <w:r>
              <w:rPr>
                <w:rFonts w:hint="eastAsia" w:ascii="Times New Roman" w:hAnsi="Times New Roman" w:cs="Times New Roman"/>
                <w:b/>
                <w:bCs/>
                <w:kern w:val="0"/>
                <w:sz w:val="24"/>
                <w:highlight w:val="none"/>
              </w:rPr>
              <w:t>建议（5分）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营销策略、运营管理建议详细可行。本项满分5分，评标委员会根据投标文件对比，酌情给分。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项目销售和租金评估</w:t>
            </w:r>
            <w:r>
              <w:rPr>
                <w:rFonts w:hint="eastAsia" w:ascii="Times New Roman" w:hAnsi="Times New Roman" w:cs="Times New Roman"/>
                <w:b/>
                <w:bCs/>
                <w:kern w:val="0"/>
                <w:sz w:val="24"/>
                <w:highlight w:val="none"/>
                <w:lang w:eastAsia="zh-CN"/>
              </w:rPr>
              <w:t>、南北地块拿地方案建议</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项目销售和租金评估、南北地块拿地方案建议针对性强，有合理建议，解决方案完成切实可行，符合</w:t>
            </w:r>
            <w:r>
              <w:rPr>
                <w:rFonts w:hint="eastAsia" w:ascii="Times New Roman" w:hAnsi="Times New Roman" w:cs="Times New Roman"/>
                <w:kern w:val="0"/>
                <w:sz w:val="24"/>
                <w:highlight w:val="none"/>
                <w:lang w:eastAsia="zh-CN"/>
              </w:rPr>
              <w:t>项目</w:t>
            </w:r>
            <w:r>
              <w:rPr>
                <w:rFonts w:hint="eastAsia" w:ascii="Times New Roman" w:hAnsi="Times New Roman" w:cs="Times New Roman"/>
                <w:kern w:val="0"/>
                <w:sz w:val="24"/>
                <w:highlight w:val="none"/>
              </w:rPr>
              <w:t>特点。本项满分5分，评标委员会根据投标文件对比，酌情给分。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lang w:val="en-US" w:eastAsia="zh-CN"/>
              </w:rPr>
            </w:pPr>
            <w:r>
              <w:rPr>
                <w:rFonts w:hint="eastAsia" w:ascii="Times New Roman" w:hAnsi="Times New Roman" w:cs="Times New Roman"/>
                <w:b/>
                <w:bCs/>
                <w:kern w:val="0"/>
                <w:sz w:val="24"/>
                <w:highlight w:val="none"/>
                <w:lang w:val="en-US" w:eastAsia="zh-CN"/>
              </w:rPr>
              <w:t>项目开发、运营经济测算分析</w:t>
            </w:r>
            <w:r>
              <w:rPr>
                <w:rFonts w:hint="eastAsia" w:ascii="Times New Roman" w:hAnsi="Times New Roman" w:cs="Times New Roman"/>
                <w:b/>
                <w:bCs/>
                <w:kern w:val="0"/>
                <w:sz w:val="24"/>
                <w:highlight w:val="none"/>
              </w:rPr>
              <w:t>（5分）</w:t>
            </w:r>
          </w:p>
          <w:p>
            <w:pPr>
              <w:numPr>
                <w:ilvl w:val="0"/>
                <w:numId w:val="0"/>
              </w:numPr>
              <w:wordWrap w:val="0"/>
              <w:spacing w:line="440" w:lineRule="exact"/>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rPr>
              <w:t>项目开发、运营经济测算分析完成切实可行，符合</w:t>
            </w:r>
            <w:r>
              <w:rPr>
                <w:rFonts w:hint="eastAsia" w:ascii="Times New Roman" w:hAnsi="Times New Roman" w:cs="Times New Roman"/>
                <w:kern w:val="0"/>
                <w:sz w:val="24"/>
                <w:highlight w:val="none"/>
                <w:lang w:eastAsia="zh-CN"/>
              </w:rPr>
              <w:t>项目</w:t>
            </w:r>
            <w:r>
              <w:rPr>
                <w:rFonts w:hint="eastAsia" w:ascii="Times New Roman" w:hAnsi="Times New Roman" w:cs="Times New Roman"/>
                <w:kern w:val="0"/>
                <w:sz w:val="24"/>
                <w:highlight w:val="none"/>
              </w:rPr>
              <w:t>特点。本项满分5分，评标委员会根据投标文件对比，酌情给分。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4</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lang w:val="en-US" w:eastAsia="zh-CN"/>
              </w:rPr>
              <w:t>15分）</w:t>
            </w:r>
          </w:p>
        </w:tc>
        <w:tc>
          <w:tcPr>
            <w:tcW w:w="5076" w:type="dxa"/>
            <w:tcBorders>
              <w:top w:val="single" w:color="auto" w:sz="4" w:space="0"/>
              <w:left w:val="single" w:color="auto" w:sz="4" w:space="0"/>
              <w:bottom w:val="single" w:color="auto" w:sz="4" w:space="0"/>
              <w:right w:val="single" w:color="auto" w:sz="4" w:space="0"/>
            </w:tcBorders>
            <w:vAlign w:val="center"/>
          </w:tcPr>
          <w:p>
            <w:pPr>
              <w:numPr>
                <w:ilvl w:val="0"/>
                <w:numId w:val="0"/>
              </w:numPr>
              <w:wordWrap w:val="0"/>
              <w:spacing w:line="440" w:lineRule="exact"/>
              <w:ind w:firstLine="480" w:firstLineChars="200"/>
              <w:rPr>
                <w:rFonts w:hint="eastAsia" w:ascii="Times New Roman" w:hAnsi="Times New Roman" w:cs="Times New Roman"/>
                <w:b/>
                <w:bCs/>
                <w:kern w:val="0"/>
                <w:sz w:val="24"/>
                <w:highlight w:val="none"/>
                <w:lang w:val="en-US" w:eastAsia="zh-CN"/>
              </w:rPr>
            </w:pPr>
            <w:r>
              <w:rPr>
                <w:rFonts w:hint="eastAsia" w:ascii="Times New Roman" w:hAnsi="Times New Roman" w:cs="Times New Roman"/>
                <w:kern w:val="0"/>
                <w:sz w:val="24"/>
                <w:highlight w:val="none"/>
                <w:lang w:val="en-US" w:eastAsia="zh-CN"/>
              </w:rPr>
              <w:t>根据策划方案陈述情况对整体策划水平、深度情况、规划成果及规划控制指标的程度以及合理利用土地等方面等进行综合评价。</w:t>
            </w:r>
            <w:r>
              <w:rPr>
                <w:rFonts w:hint="eastAsia" w:ascii="Times New Roman" w:hAnsi="Times New Roman" w:cs="Times New Roman"/>
                <w:kern w:val="0"/>
                <w:sz w:val="24"/>
                <w:highlight w:val="none"/>
              </w:rPr>
              <w:t>本项满分</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5分，评标委员会根据投标文件对比</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优者得</w:t>
            </w:r>
            <w:r>
              <w:rPr>
                <w:rFonts w:hint="eastAsia" w:ascii="Times New Roman" w:hAnsi="Times New Roman" w:cs="Times New Roman"/>
                <w:kern w:val="0"/>
                <w:sz w:val="24"/>
                <w:highlight w:val="none"/>
                <w:lang w:val="en-US" w:eastAsia="zh-CN"/>
              </w:rPr>
              <w:t>15</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12</w:t>
            </w:r>
            <w:r>
              <w:rPr>
                <w:rFonts w:hint="eastAsia" w:ascii="Times New Roman" w:hAnsi="Times New Roman" w:cs="Times New Roman"/>
                <w:kern w:val="0"/>
                <w:sz w:val="24"/>
                <w:highlight w:val="none"/>
              </w:rPr>
              <w:t>（不含）分，良者得</w:t>
            </w:r>
            <w:r>
              <w:rPr>
                <w:rFonts w:hint="eastAsia" w:ascii="Times New Roman" w:hAnsi="Times New Roman" w:cs="Times New Roman"/>
                <w:kern w:val="0"/>
                <w:sz w:val="24"/>
                <w:highlight w:val="none"/>
                <w:lang w:val="en-US" w:eastAsia="zh-CN"/>
              </w:rPr>
              <w:t>12</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8</w:t>
            </w:r>
            <w:r>
              <w:rPr>
                <w:rFonts w:hint="eastAsia" w:ascii="Times New Roman" w:hAnsi="Times New Roman" w:cs="Times New Roman"/>
                <w:kern w:val="0"/>
                <w:sz w:val="24"/>
                <w:highlight w:val="none"/>
              </w:rPr>
              <w:t>（不含）分，一般者得</w:t>
            </w:r>
            <w:r>
              <w:rPr>
                <w:rFonts w:hint="eastAsia" w:ascii="Times New Roman" w:hAnsi="Times New Roman" w:cs="Times New Roman"/>
                <w:kern w:val="0"/>
                <w:sz w:val="24"/>
                <w:highlight w:val="none"/>
                <w:lang w:val="en-US" w:eastAsia="zh-CN"/>
              </w:rPr>
              <w:t>8</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，其他不得分</w:t>
            </w:r>
            <w:r>
              <w:rPr>
                <w:rFonts w:hint="eastAsia" w:ascii="Times New Roman" w:hAnsi="Times New Roman" w:cs="Times New Roman"/>
                <w:kern w:val="0"/>
                <w:sz w:val="24"/>
                <w:highlight w:val="none"/>
              </w:rPr>
              <w:t>。</w:t>
            </w:r>
          </w:p>
        </w:tc>
      </w:tr>
    </w:tbl>
    <w:p>
      <w:pPr>
        <w:rPr>
          <w:rFonts w:ascii="Times New Roman" w:hAnsi="Times New Roman" w:cs="Times New Roman"/>
          <w:b/>
          <w:bCs/>
          <w:kern w:val="0"/>
          <w:sz w:val="28"/>
          <w:szCs w:val="28"/>
          <w:highlight w:val="none"/>
        </w:rPr>
      </w:pPr>
      <w:r>
        <w:rPr>
          <w:rFonts w:ascii="Times New Roman" w:hAnsi="Times New Roman" w:eastAsia="黑体" w:cs="Times New Roman"/>
          <w:szCs w:val="21"/>
          <w:highlight w:val="none"/>
        </w:rPr>
        <w:t>说明</w:t>
      </w:r>
      <w:r>
        <w:rPr>
          <w:rFonts w:ascii="Times New Roman" w:hAnsi="Times New Roman" w:cs="Times New Roman"/>
          <w:szCs w:val="21"/>
          <w:highlight w:val="none"/>
        </w:rPr>
        <w:t>：评分区间一律按左闭右开计算</w:t>
      </w:r>
      <w:r>
        <w:rPr>
          <w:rFonts w:hint="eastAsia" w:ascii="Times New Roman" w:hAnsi="Times New Roman" w:cs="Times New Roman"/>
          <w:szCs w:val="21"/>
          <w:highlight w:val="none"/>
        </w:rPr>
        <w:t>，评分保留</w:t>
      </w:r>
      <w:r>
        <w:rPr>
          <w:rFonts w:hint="eastAsia" w:ascii="Times New Roman" w:hAnsi="Times New Roman" w:cs="Times New Roman"/>
          <w:szCs w:val="21"/>
          <w:highlight w:val="none"/>
          <w:lang w:val="en-US" w:eastAsia="zh-CN"/>
        </w:rPr>
        <w:t>1</w:t>
      </w:r>
      <w:r>
        <w:rPr>
          <w:rFonts w:hint="eastAsia" w:ascii="Times New Roman" w:hAnsi="Times New Roman" w:cs="Times New Roman"/>
          <w:szCs w:val="21"/>
          <w:highlight w:val="none"/>
        </w:rPr>
        <w:t>位小数。</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1. 评标方法</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w:t>
      </w:r>
      <w:r>
        <w:rPr>
          <w:rFonts w:hint="eastAsia" w:ascii="Times New Roman" w:hAnsi="Times New Roman" w:cs="Times New Roman"/>
          <w:kern w:val="0"/>
          <w:sz w:val="24"/>
          <w:highlight w:val="none"/>
        </w:rPr>
        <w:t>前期策划大纲</w:t>
      </w:r>
      <w:r>
        <w:rPr>
          <w:rFonts w:hint="eastAsia" w:ascii="Times New Roman" w:hAnsi="Times New Roman" w:cs="Times New Roman"/>
          <w:kern w:val="0"/>
          <w:sz w:val="24"/>
          <w:highlight w:val="none"/>
          <w:lang w:eastAsia="zh-CN"/>
        </w:rPr>
        <w:t>得分高</w:t>
      </w:r>
      <w:r>
        <w:rPr>
          <w:rFonts w:ascii="Times New Roman" w:hAnsi="Times New Roman" w:cs="Times New Roman"/>
          <w:kern w:val="0"/>
          <w:sz w:val="24"/>
          <w:highlight w:val="none"/>
        </w:rPr>
        <w:t>的优先；</w:t>
      </w:r>
      <w:r>
        <w:rPr>
          <w:rFonts w:hint="eastAsia" w:ascii="Times New Roman" w:hAnsi="Times New Roman" w:cs="Times New Roman"/>
          <w:kern w:val="0"/>
          <w:sz w:val="24"/>
          <w:highlight w:val="none"/>
        </w:rPr>
        <w:t>前期策划大纲得分</w:t>
      </w:r>
      <w:r>
        <w:rPr>
          <w:rFonts w:ascii="Times New Roman" w:hAnsi="Times New Roman" w:cs="Times New Roman"/>
          <w:kern w:val="0"/>
          <w:sz w:val="24"/>
          <w:highlight w:val="none"/>
        </w:rPr>
        <w:t>也相等的，由招标人或者经招标人授权评标委员会自行确定。</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 评审标准</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2.1 初步评审标准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2.1.1 形式评审标准：见评标办法前附表。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2.1.2 资格评审标准：见评标办法前附表。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2.1.3 响应性评审标准：见评标办法前附表。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2.2 分值构成与评分标准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2.2.1 分值构成</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2.2.2 评标基准价计算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评标基准价计算方法：见评标办法前附表。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2.2.3 投标报价的偏差率计算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投标报价的偏差率计算公式：见评标办法前附表。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2.2.4 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 评标程序</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3.1 初步评审</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3.1.1评标委员会可以要求投标人提交第二章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规定的有关证明和证件的原件，以便核验。评标委员会依据本章规定的标准对投标文件进行初步评审。有一项不符合评审标准的，评标委员会应当否决其投标。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（1）国家发改委发布的《中华人民共和国标准招标文件》第二章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细则中</w:t>
      </w:r>
      <w:r>
        <w:rPr>
          <w:rFonts w:hint="eastAsia" w:ascii="Times New Roman" w:hAnsi="Times New Roman" w:cs="Times New Roman"/>
          <w:kern w:val="0"/>
          <w:sz w:val="24"/>
          <w:highlight w:val="none"/>
        </w:rPr>
        <w:t>第1.4.3项、第1.4.4项</w:t>
      </w:r>
      <w:r>
        <w:rPr>
          <w:rFonts w:ascii="Times New Roman" w:hAnsi="Times New Roman" w:cs="Times New Roman"/>
          <w:kern w:val="0"/>
          <w:sz w:val="24"/>
          <w:highlight w:val="none"/>
        </w:rPr>
        <w:t>规定的任何一种情形的；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w:t>
      </w:r>
      <w:r>
        <w:rPr>
          <w:rFonts w:ascii="Times New Roman" w:hAnsi="Times New Roman" w:cs="Times New Roman"/>
          <w:kern w:val="0"/>
          <w:sz w:val="24"/>
          <w:highlight w:val="none"/>
        </w:rPr>
        <w:t>）串通投标</w:t>
      </w:r>
      <w:r>
        <w:rPr>
          <w:rFonts w:hint="eastAsia" w:ascii="Times New Roman" w:hAnsi="Times New Roman" w:cs="Times New Roman"/>
          <w:kern w:val="0"/>
          <w:sz w:val="24"/>
          <w:highlight w:val="none"/>
        </w:rPr>
        <w:t>或</w:t>
      </w:r>
      <w:r>
        <w:rPr>
          <w:rFonts w:ascii="Times New Roman" w:hAnsi="Times New Roman" w:cs="Times New Roman"/>
          <w:kern w:val="0"/>
          <w:sz w:val="24"/>
          <w:highlight w:val="none"/>
        </w:rPr>
        <w:t>弄虚作假</w:t>
      </w:r>
      <w:r>
        <w:rPr>
          <w:rFonts w:hint="eastAsia" w:ascii="Times New Roman" w:hAnsi="Times New Roman" w:cs="Times New Roman"/>
          <w:kern w:val="0"/>
          <w:sz w:val="24"/>
          <w:highlight w:val="none"/>
        </w:rPr>
        <w:t>或有其他违法行为的；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）不按评标委员会要求澄清、说明或补正的。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3.1.3投标报价有算术错误</w:t>
      </w:r>
      <w:r>
        <w:rPr>
          <w:rFonts w:hint="eastAsia" w:ascii="Times New Roman" w:hAnsi="Times New Roman" w:cs="Times New Roman"/>
          <w:kern w:val="0"/>
          <w:sz w:val="24"/>
          <w:highlight w:val="none"/>
        </w:rPr>
        <w:t>及其他错误</w:t>
      </w:r>
      <w:r>
        <w:rPr>
          <w:rFonts w:ascii="Times New Roman" w:hAnsi="Times New Roman" w:cs="Times New Roman"/>
          <w:kern w:val="0"/>
          <w:sz w:val="24"/>
          <w:highlight w:val="none"/>
        </w:rPr>
        <w:t>的，评标委员会按以下原则</w:t>
      </w:r>
      <w:r>
        <w:rPr>
          <w:rFonts w:hint="eastAsia" w:ascii="Times New Roman" w:hAnsi="Times New Roman" w:cs="Times New Roman"/>
          <w:kern w:val="0"/>
          <w:sz w:val="24"/>
          <w:highlight w:val="none"/>
        </w:rPr>
        <w:t>要求投标人对投标报价进行修正，并要求投标人书面澄清确认。投标人拒不澄清确认的，评标委员会应当否决其投标：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（2）总价金额与</w:t>
      </w:r>
      <w:r>
        <w:rPr>
          <w:rFonts w:hint="eastAsia" w:ascii="Times New Roman" w:hAnsi="Times New Roman" w:cs="Times New Roman"/>
          <w:kern w:val="0"/>
          <w:sz w:val="24"/>
          <w:highlight w:val="none"/>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3.2 详细评审</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3.2.1 评标委员会按本章规定的量化因素和分值进行打分，并计算出综合评估得分。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（1）按本章规定的评审因素和分值对</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计算出得分A；</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（2）按本章规定的评审因素和分值对</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计算出得分B；</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3.2.2 评分分值计算保留小数点后两位，小数点后第三位</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四舍五入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3.2.3 投标人得分=A+B+</w:t>
      </w:r>
      <w:r>
        <w:rPr>
          <w:rFonts w:hint="eastAsia" w:ascii="Times New Roman" w:hAnsi="Times New Roman" w:cs="Times New Roman"/>
          <w:kern w:val="0"/>
          <w:sz w:val="24"/>
          <w:highlight w:val="none"/>
        </w:rPr>
        <w:t>C</w:t>
      </w:r>
      <w:r>
        <w:rPr>
          <w:rFonts w:hint="eastAsia" w:ascii="Times New Roman" w:hAnsi="Times New Roman" w:cs="Times New Roman"/>
          <w:kern w:val="0"/>
          <w:sz w:val="24"/>
          <w:highlight w:val="none"/>
          <w:lang w:val="en-US" w:eastAsia="zh-CN"/>
        </w:rPr>
        <w:t>+D</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3.3 投标文件的澄清和补正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3.3.2 澄清、说明或补正不得超出投标文件的范围且不得改变投标文件的实质性内容，并构成投标文件的组成部分。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3.4 评标结果</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3.4.1 除第二章“投标人须知”前附表授权直接确定中标人外，评标委员会按照得分由高到低的顺序推荐中标候选人，并标明排序。</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9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序号</w:t>
            </w:r>
          </w:p>
        </w:tc>
        <w:tc>
          <w:tcPr>
            <w:tcW w:w="141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条款名称</w:t>
            </w:r>
          </w:p>
        </w:tc>
        <w:tc>
          <w:tcPr>
            <w:tcW w:w="720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1</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付款人</w:t>
            </w:r>
          </w:p>
        </w:tc>
        <w:tc>
          <w:tcPr>
            <w:tcW w:w="7207" w:type="dxa"/>
            <w:vAlign w:val="center"/>
          </w:tcPr>
          <w:p>
            <w:p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2</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付款方式</w:t>
            </w:r>
          </w:p>
        </w:tc>
        <w:tc>
          <w:tcPr>
            <w:tcW w:w="7207" w:type="dxa"/>
            <w:vAlign w:val="center"/>
          </w:tcPr>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自本合同签订之日起</w:t>
            </w:r>
            <w:r>
              <w:rPr>
                <w:rFonts w:hint="eastAsia" w:ascii="Times New Roman" w:hAnsi="Times New Roman" w:cs="Times New Roman"/>
                <w:kern w:val="0"/>
                <w:sz w:val="24"/>
                <w:highlight w:val="none"/>
                <w:lang w:val="en-US" w:eastAsia="zh-CN"/>
              </w:rPr>
              <w:t>10</w:t>
            </w:r>
            <w:r>
              <w:rPr>
                <w:rFonts w:hint="eastAsia" w:ascii="Times New Roman" w:hAnsi="Times New Roman" w:cs="Times New Roman"/>
                <w:kern w:val="0"/>
                <w:sz w:val="24"/>
                <w:highlight w:val="none"/>
              </w:rPr>
              <w:t>个工作日内，支付</w:t>
            </w:r>
            <w:r>
              <w:rPr>
                <w:rFonts w:hint="eastAsia" w:ascii="Times New Roman" w:hAnsi="Times New Roman" w:cs="Times New Roman"/>
                <w:kern w:val="0"/>
                <w:sz w:val="24"/>
                <w:highlight w:val="none"/>
                <w:lang w:eastAsia="zh-CN"/>
              </w:rPr>
              <w:t>合同价款的</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0%</w:t>
            </w:r>
            <w:r>
              <w:rPr>
                <w:rFonts w:hint="eastAsia" w:ascii="Times New Roman" w:hAnsi="Times New Roman" w:cs="Times New Roman"/>
                <w:kern w:val="0"/>
                <w:sz w:val="24"/>
                <w:highlight w:val="none"/>
                <w:lang w:eastAsia="zh-CN"/>
              </w:rPr>
              <w:t>作为预付款；</w:t>
            </w:r>
          </w:p>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中标人向招标人进行报告中期汇报且招标人审核通过后，支付至合同价款的</w:t>
            </w:r>
            <w:r>
              <w:rPr>
                <w:rFonts w:hint="eastAsia" w:ascii="Times New Roman" w:hAnsi="Times New Roman" w:cs="Times New Roman"/>
                <w:kern w:val="0"/>
                <w:sz w:val="24"/>
                <w:highlight w:val="none"/>
                <w:lang w:val="en-US" w:eastAsia="zh-CN"/>
              </w:rPr>
              <w:t>60%；</w:t>
            </w:r>
          </w:p>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中标人向招标人进行报告终稿汇报且招标人审核通过后，支付至合同价款的</w:t>
            </w:r>
            <w:r>
              <w:rPr>
                <w:rFonts w:hint="eastAsia" w:ascii="Times New Roman" w:hAnsi="Times New Roman" w:cs="Times New Roman"/>
                <w:kern w:val="0"/>
                <w:sz w:val="24"/>
                <w:highlight w:val="none"/>
                <w:lang w:val="en-US" w:eastAsia="zh-CN"/>
              </w:rPr>
              <w:t>100%。</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注：</w:t>
            </w:r>
            <w:r>
              <w:rPr>
                <w:rFonts w:hint="eastAsia" w:ascii="Times New Roman" w:hAnsi="Times New Roman" w:cs="Times New Roman"/>
                <w:kern w:val="0"/>
                <w:sz w:val="24"/>
                <w:highlight w:val="none"/>
                <w:lang w:eastAsia="zh-CN"/>
              </w:rPr>
              <w:t>招标人</w:t>
            </w:r>
            <w:r>
              <w:rPr>
                <w:rFonts w:ascii="Times New Roman" w:hAnsi="Times New Roman" w:cs="Times New Roman"/>
                <w:kern w:val="0"/>
                <w:sz w:val="24"/>
                <w:highlight w:val="none"/>
              </w:rPr>
              <w:t>付款前，</w:t>
            </w:r>
            <w:r>
              <w:rPr>
                <w:rFonts w:hint="eastAsia" w:ascii="Times New Roman" w:hAnsi="Times New Roman" w:cs="Times New Roman"/>
                <w:kern w:val="0"/>
                <w:sz w:val="24"/>
                <w:highlight w:val="none"/>
                <w:lang w:eastAsia="zh-CN"/>
              </w:rPr>
              <w:t>中标人</w:t>
            </w:r>
            <w:r>
              <w:rPr>
                <w:rFonts w:ascii="Times New Roman" w:hAnsi="Times New Roman" w:cs="Times New Roman"/>
                <w:kern w:val="0"/>
                <w:sz w:val="24"/>
                <w:highlight w:val="none"/>
              </w:rPr>
              <w:t>应</w:t>
            </w:r>
            <w:r>
              <w:rPr>
                <w:rFonts w:hint="eastAsia" w:ascii="Times New Roman" w:hAnsi="Times New Roman" w:cs="Times New Roman"/>
                <w:kern w:val="0"/>
                <w:sz w:val="24"/>
                <w:highlight w:val="none"/>
              </w:rPr>
              <w:t>按照国家税收有关规定</w:t>
            </w:r>
            <w:r>
              <w:rPr>
                <w:rFonts w:ascii="Times New Roman" w:hAnsi="Times New Roman" w:cs="Times New Roman"/>
                <w:kern w:val="0"/>
                <w:sz w:val="24"/>
                <w:highlight w:val="none"/>
              </w:rPr>
              <w:t>开具等额增值税专用发票</w:t>
            </w:r>
            <w:r>
              <w:rPr>
                <w:rFonts w:hint="eastAsia" w:ascii="Times New Roman" w:hAnsi="Times New Roman" w:cs="Times New Roman"/>
                <w:kern w:val="0"/>
                <w:sz w:val="24"/>
                <w:highlight w:val="none"/>
              </w:rPr>
              <w:t>。</w:t>
            </w:r>
          </w:p>
        </w:tc>
      </w:tr>
    </w:tbl>
    <w:p>
      <w:pPr>
        <w:spacing w:line="480" w:lineRule="exact"/>
        <w:rPr>
          <w:rFonts w:ascii="Times New Roman" w:hAnsi="Times New Roman" w:eastAsia="仿宋_GB2312" w:cs="Times New Roman"/>
          <w:sz w:val="28"/>
          <w:szCs w:val="28"/>
          <w:highlight w:val="none"/>
        </w:rPr>
      </w:pPr>
    </w:p>
    <w:p>
      <w:p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具体合同内容由招标人与中标单位在不违背招标文件内容和投标文件承诺的条件下友好协商签订。</w:t>
      </w:r>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bookmarkEnd w:id="16"/>
    <w:bookmarkEnd w:id="17"/>
    <w:bookmarkEnd w:id="18"/>
    <w:bookmarkEnd w:id="19"/>
    <w:bookmarkEnd w:id="20"/>
    <w:bookmarkEnd w:id="21"/>
    <w:bookmarkEnd w:id="22"/>
    <w:bookmarkEnd w:id="23"/>
    <w:p>
      <w:pPr>
        <w:spacing w:line="480" w:lineRule="exact"/>
        <w:jc w:val="center"/>
        <w:rPr>
          <w:rFonts w:hint="eastAsia" w:asciiTheme="majorEastAsia" w:hAnsiTheme="majorEastAsia" w:eastAsiaTheme="majorEastAsia" w:cstheme="majorEastAsia"/>
          <w:b/>
          <w:bCs/>
          <w:sz w:val="32"/>
          <w:szCs w:val="32"/>
          <w:highlight w:val="none"/>
          <w:lang w:eastAsia="zh-CN"/>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lang w:eastAsia="zh-CN"/>
        </w:rPr>
        <w:t>五</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hint="eastAsia" w:asciiTheme="majorEastAsia" w:hAnsiTheme="majorEastAsia" w:eastAsiaTheme="majorEastAsia" w:cstheme="majorEastAsia"/>
          <w:b/>
          <w:bCs/>
          <w:sz w:val="32"/>
          <w:szCs w:val="32"/>
          <w:highlight w:val="none"/>
          <w:lang w:eastAsia="zh-CN"/>
        </w:rPr>
        <w:t>发包人要求</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720" w:firstLineChars="3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一、高铁南站南北两地块策划方案应与高铁南站风格相结合；</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二、高铁南北块地前期策划方案大纲包括但不限于以下内容：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1.城市情况分析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2.南北地块土地属性（商务、商业）解析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3.</w:t>
      </w:r>
      <w:r>
        <w:rPr>
          <w:rFonts w:hint="default" w:ascii="Times New Roman" w:hAnsi="Times New Roman" w:cs="Times New Roman"/>
          <w:kern w:val="0"/>
          <w:sz w:val="24"/>
          <w:highlight w:val="none"/>
          <w:lang w:val="en-US" w:eastAsia="zh-CN"/>
        </w:rPr>
        <w:t>项目核心辐射区分析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4.商业发展情况分析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5.</w:t>
      </w:r>
      <w:r>
        <w:rPr>
          <w:rFonts w:hint="default" w:ascii="Times New Roman" w:hAnsi="Times New Roman" w:cs="Times New Roman"/>
          <w:kern w:val="0"/>
          <w:sz w:val="24"/>
          <w:highlight w:val="none"/>
          <w:lang w:val="en-US" w:eastAsia="zh-CN"/>
        </w:rPr>
        <w:t>商务办公市场情况分析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6.商业消费者调研</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7.</w:t>
      </w:r>
      <w:r>
        <w:rPr>
          <w:rFonts w:hint="default" w:ascii="Times New Roman" w:hAnsi="Times New Roman" w:cs="Times New Roman"/>
          <w:kern w:val="0"/>
          <w:sz w:val="24"/>
          <w:highlight w:val="none"/>
          <w:lang w:val="en-US" w:eastAsia="zh-CN"/>
        </w:rPr>
        <w:t>商务办公客户机会探寻</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8.</w:t>
      </w:r>
      <w:r>
        <w:rPr>
          <w:rFonts w:hint="default" w:ascii="Times New Roman" w:hAnsi="Times New Roman" w:cs="Times New Roman"/>
          <w:kern w:val="0"/>
          <w:sz w:val="24"/>
          <w:highlight w:val="none"/>
          <w:lang w:val="en-US" w:eastAsia="zh-CN"/>
        </w:rPr>
        <w:t>项目整体（商务、商业业态）规划、定位</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9.项目规划评价</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10物业发展建议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11.商业招商建议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12.营销策略建议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13.</w:t>
      </w:r>
      <w:r>
        <w:rPr>
          <w:rFonts w:hint="default" w:ascii="Times New Roman" w:hAnsi="Times New Roman" w:cs="Times New Roman"/>
          <w:kern w:val="0"/>
          <w:sz w:val="24"/>
          <w:highlight w:val="none"/>
          <w:lang w:val="en-US" w:eastAsia="zh-CN"/>
        </w:rPr>
        <w:t>运营管理建议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14.</w:t>
      </w:r>
      <w:r>
        <w:rPr>
          <w:rFonts w:hint="default" w:ascii="Times New Roman" w:hAnsi="Times New Roman" w:cs="Times New Roman"/>
          <w:kern w:val="0"/>
          <w:sz w:val="24"/>
          <w:highlight w:val="none"/>
          <w:lang w:val="en-US" w:eastAsia="zh-CN"/>
        </w:rPr>
        <w:t>项目销售和租金评估</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15.南北地块拿地方案建议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16.项目开发、运营经济测算分析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both"/>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lang w:eastAsia="zh-CN"/>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lang w:eastAsia="zh-CN"/>
        </w:rPr>
        <w:t>亳州市高铁南站南北两地块前期策划咨询服务项目投标文件（二次）</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BZJK-2020-031号</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rPr>
        <w:t>六、</w:t>
      </w:r>
      <w:r>
        <w:rPr>
          <w:rFonts w:hint="eastAsia" w:ascii="Times New Roman" w:hAnsi="Times New Roman" w:eastAsia="黑体" w:cs="Times New Roman"/>
          <w:kern w:val="0"/>
          <w:sz w:val="32"/>
          <w:szCs w:val="32"/>
          <w:highlight w:val="none"/>
          <w:lang w:eastAsia="zh-CN"/>
        </w:rPr>
        <w:t>前期策划方案大纲</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6931"/>
      <w:bookmarkStart w:id="26" w:name="_Toc352691656"/>
      <w:bookmarkStart w:id="27" w:name="_Toc369531692"/>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）的投标总报价（其中，增值税税率为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ascii="Times New Roman" w:hAnsi="Times New Roman"/>
          <w:szCs w:val="21"/>
          <w:highlight w:val="none"/>
        </w:rPr>
        <w:t>，</w:t>
      </w:r>
      <w:r>
        <w:rPr>
          <w:rFonts w:hint="eastAsia" w:ascii="Times New Roman" w:hAnsi="Times New Roman"/>
          <w:szCs w:val="21"/>
          <w:highlight w:val="none"/>
          <w:lang w:eastAsia="zh-CN"/>
        </w:rPr>
        <w:t>投标有效期：</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ascii="Times New Roman" w:hAnsi="Times New Roman"/>
          <w:szCs w:val="21"/>
          <w:highlight w:val="none"/>
        </w:rPr>
        <w:t>按合同约定完成</w:t>
      </w:r>
      <w:r>
        <w:rPr>
          <w:rFonts w:hint="eastAsia" w:ascii="Times New Roman" w:hAnsi="Times New Roman"/>
          <w:szCs w:val="21"/>
          <w:highlight w:val="none"/>
        </w:rPr>
        <w:t>编制工作</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1187"/>
      <w:bookmarkStart w:id="29" w:name="_Toc369531694"/>
      <w:bookmarkStart w:id="30"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52691659"/>
      <w:bookmarkEnd w:id="31"/>
      <w:bookmarkStart w:id="32" w:name="_Toc369531695"/>
      <w:bookmarkEnd w:id="32"/>
      <w:bookmarkStart w:id="33" w:name="_Toc369531696"/>
      <w:bookmarkEnd w:id="33"/>
      <w:bookmarkStart w:id="34" w:name="_Toc16824"/>
      <w:bookmarkEnd w:id="34"/>
      <w:bookmarkStart w:id="35" w:name="_Toc352691660"/>
      <w:bookmarkEnd w:id="35"/>
      <w:bookmarkStart w:id="36" w:name="_Toc16568"/>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144974856"/>
      <w:bookmarkStart w:id="38" w:name="_Toc247514246"/>
      <w:bookmarkStart w:id="39" w:name="_Toc352691661"/>
      <w:bookmarkStart w:id="40" w:name="_Toc369531697"/>
      <w:bookmarkStart w:id="41" w:name="_Toc152042576"/>
      <w:bookmarkStart w:id="42" w:name="_Toc17960"/>
      <w:bookmarkStart w:id="43" w:name="_Toc384308375"/>
      <w:bookmarkStart w:id="44" w:name="_Toc361508752"/>
      <w:bookmarkStart w:id="45" w:name="_Toc152045787"/>
      <w:bookmarkStart w:id="46" w:name="_Toc247527827"/>
      <w:bookmarkStart w:id="47" w:name="_Toc300835209"/>
    </w:p>
    <w:p>
      <w:pPr>
        <w:pStyle w:val="3"/>
        <w:jc w:val="center"/>
        <w:rPr>
          <w:rFonts w:ascii="Times New Roman" w:hAnsi="Times New Roman"/>
          <w:color w:val="000000"/>
          <w:highlight w:val="none"/>
        </w:rPr>
      </w:pPr>
      <w:bookmarkStart w:id="48" w:name="_Toc492300529"/>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27897"/>
      <w:bookmarkStart w:id="50" w:name="_Toc352691662"/>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361508754"/>
      <w:bookmarkStart w:id="53" w:name="_Toc144974858"/>
      <w:bookmarkStart w:id="54" w:name="_Toc369531699"/>
      <w:bookmarkStart w:id="55" w:name="_Toc15573"/>
      <w:bookmarkStart w:id="56" w:name="_Toc300835211"/>
      <w:bookmarkStart w:id="57" w:name="_Toc384308377"/>
      <w:bookmarkStart w:id="58" w:name="_Toc152045789"/>
      <w:bookmarkStart w:id="59" w:name="_Toc152042578"/>
      <w:bookmarkStart w:id="60" w:name="_Toc352691663"/>
      <w:bookmarkStart w:id="61" w:name="_Toc247527829"/>
      <w:bookmarkStart w:id="62" w:name="_Toc247514248"/>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6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63"/>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64" w:name="_Toc492300532"/>
      <w:r>
        <w:rPr>
          <w:rFonts w:hint="eastAsia" w:ascii="Times New Roman" w:hAnsi="Times New Roman"/>
          <w:highlight w:val="none"/>
        </w:rPr>
        <w:t>三、</w:t>
      </w:r>
      <w:bookmarkStart w:id="65" w:name="_Toc384308381"/>
      <w:bookmarkStart w:id="66" w:name="_Toc13469"/>
      <w:bookmarkStart w:id="67" w:name="_Toc352691666"/>
      <w:bookmarkStart w:id="68" w:name="_Toc247514284"/>
      <w:bookmarkStart w:id="69" w:name="_Toc247527832"/>
      <w:bookmarkStart w:id="70" w:name="_Toc144974861"/>
      <w:bookmarkStart w:id="71" w:name="_Toc152042581"/>
      <w:bookmarkStart w:id="72" w:name="_Toc300835214"/>
      <w:bookmarkStart w:id="73" w:name="_Toc369531702"/>
      <w:bookmarkStart w:id="74" w:name="_Toc152045792"/>
      <w:bookmarkStart w:id="75" w:name="_Toc361508757"/>
      <w:r>
        <w:rPr>
          <w:rFonts w:hint="eastAsia" w:ascii="Times New Roman" w:hAnsi="Times New Roman"/>
          <w:highlight w:val="none"/>
        </w:rPr>
        <w:t>投标保证金</w:t>
      </w:r>
      <w:bookmarkEnd w:id="64"/>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76"/>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77"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78" w:name="_Toc492300534"/>
      <w:r>
        <w:rPr>
          <w:rFonts w:hint="eastAsia" w:ascii="Times New Roman" w:hAnsi="Times New Roman"/>
          <w:color w:val="000000"/>
          <w:highlight w:val="none"/>
        </w:rPr>
        <w:t>五、资格审查资料</w:t>
      </w:r>
      <w:bookmarkEnd w:id="78"/>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w:t>
      </w:r>
      <w:r>
        <w:rPr>
          <w:rFonts w:hint="eastAsia" w:ascii="Times New Roman" w:hAnsi="Times New Roman"/>
          <w:color w:val="000000"/>
          <w:highlight w:val="none"/>
        </w:rPr>
        <w:t>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80" w:name="_Toc492300536"/>
      <w:r>
        <w:rPr>
          <w:rFonts w:hint="eastAsia" w:ascii="Times New Roman" w:hAnsi="Times New Roman"/>
          <w:highlight w:val="none"/>
        </w:rPr>
        <w:br w:type="page"/>
      </w:r>
    </w:p>
    <w:bookmarkEnd w:id="80"/>
    <w:p>
      <w:pPr>
        <w:pStyle w:val="4"/>
        <w:spacing w:before="20" w:after="0"/>
        <w:ind w:firstLine="137"/>
        <w:rPr>
          <w:rFonts w:hint="eastAsia" w:ascii="Times New Roman" w:hAnsi="Times New Roman"/>
          <w:color w:val="000000"/>
          <w:highlight w:val="none"/>
        </w:rPr>
      </w:pPr>
      <w:bookmarkStart w:id="81" w:name="_Toc492300537"/>
      <w:r>
        <w:rPr>
          <w:rFonts w:hint="eastAsia" w:ascii="Times New Roman" w:hAnsi="Times New Roman"/>
          <w:color w:val="000000"/>
          <w:highlight w:val="none"/>
        </w:rPr>
        <w:t>（</w:t>
      </w:r>
      <w:r>
        <w:rPr>
          <w:rFonts w:hint="eastAsia" w:ascii="Times New Roman" w:hAnsi="Times New Roman"/>
          <w:color w:val="000000"/>
          <w:highlight w:val="none"/>
          <w:lang w:eastAsia="zh-CN"/>
        </w:rPr>
        <w:t>二</w:t>
      </w:r>
      <w:r>
        <w:rPr>
          <w:rFonts w:hint="eastAsia" w:ascii="Times New Roman" w:hAnsi="Times New Roman"/>
          <w:color w:val="000000"/>
          <w:highlight w:val="none"/>
        </w:rPr>
        <w:t>）近年完成的类似项目情况表</w:t>
      </w:r>
      <w:bookmarkEnd w:id="81"/>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eastAsia="zh-C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82" w:name="_Toc370676438"/>
      <w:bookmarkStart w:id="83" w:name="_Toc247514302"/>
      <w:bookmarkStart w:id="84" w:name="_Toc384308388"/>
      <w:bookmarkStart w:id="85" w:name="_Toc144974878"/>
      <w:bookmarkStart w:id="86" w:name="_Toc492300538"/>
      <w:bookmarkStart w:id="87" w:name="_Toc300835226"/>
      <w:bookmarkStart w:id="88" w:name="_Toc152042599"/>
      <w:bookmarkStart w:id="89" w:name="_Toc359594247"/>
      <w:bookmarkStart w:id="90" w:name="_Toc247527850"/>
      <w:bookmarkStart w:id="91" w:name="_Toc361508766"/>
      <w:bookmarkStart w:id="92" w:name="_Toc152045810"/>
      <w:bookmarkStart w:id="93" w:name="_Toc247514303"/>
      <w:bookmarkStart w:id="94" w:name="_Toc152045811"/>
      <w:bookmarkStart w:id="95" w:name="_Toc247527851"/>
      <w:bookmarkStart w:id="96" w:name="_Toc152042600"/>
      <w:bookmarkStart w:id="97" w:name="_Toc144974879"/>
      <w:r>
        <w:rPr>
          <w:rFonts w:hint="eastAsia" w:ascii="Times New Roman" w:hAnsi="Times New Roman"/>
          <w:highlight w:val="none"/>
        </w:rPr>
        <w:t>（</w:t>
      </w:r>
      <w:r>
        <w:rPr>
          <w:rFonts w:hint="eastAsia" w:ascii="Times New Roman" w:hAnsi="Times New Roman"/>
          <w:highlight w:val="none"/>
          <w:lang w:eastAsia="zh-CN"/>
        </w:rPr>
        <w:t>三</w:t>
      </w:r>
      <w:r>
        <w:rPr>
          <w:rFonts w:hint="eastAsia" w:ascii="Times New Roman" w:hAnsi="Times New Roman"/>
          <w:highlight w:val="none"/>
        </w:rPr>
        <w:t>）正在履行和新承接的项目情况表</w:t>
      </w:r>
      <w:bookmarkEnd w:id="82"/>
      <w:bookmarkEnd w:id="83"/>
      <w:bookmarkEnd w:id="84"/>
      <w:bookmarkEnd w:id="85"/>
      <w:bookmarkEnd w:id="86"/>
      <w:bookmarkEnd w:id="87"/>
      <w:bookmarkEnd w:id="88"/>
      <w:bookmarkEnd w:id="89"/>
      <w:bookmarkEnd w:id="90"/>
      <w:bookmarkEnd w:id="91"/>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szCs w:val="21"/>
                <w:highlight w:val="none"/>
                <w:lang w:eastAsia="zh-CN"/>
              </w:rPr>
            </w:pPr>
            <w:r>
              <w:rPr>
                <w:rFonts w:hint="eastAsia" w:ascii="Times New Roman" w:hAnsi="Times New Roman"/>
                <w:szCs w:val="21"/>
                <w:highlight w:val="none"/>
                <w:lang w:eastAsia="zh-C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93"/>
      <w:bookmarkEnd w:id="94"/>
      <w:bookmarkEnd w:id="95"/>
      <w:bookmarkEnd w:id="96"/>
      <w:bookmarkEnd w:id="97"/>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77"/>
    <w:p>
      <w:pPr>
        <w:pStyle w:val="4"/>
        <w:rPr>
          <w:rFonts w:ascii="Times New Roman" w:hAnsi="Times New Roman"/>
          <w:highlight w:val="none"/>
        </w:rPr>
      </w:pPr>
      <w:bookmarkStart w:id="98" w:name="_Toc492300540"/>
      <w:bookmarkStart w:id="99" w:name="_Toc482188667"/>
      <w:r>
        <w:rPr>
          <w:rFonts w:hint="eastAsia" w:ascii="Times New Roman" w:hAnsi="Times New Roman"/>
          <w:highlight w:val="none"/>
        </w:rPr>
        <w:t>（</w:t>
      </w:r>
      <w:r>
        <w:rPr>
          <w:rFonts w:hint="eastAsia" w:ascii="Times New Roman" w:hAnsi="Times New Roman"/>
          <w:highlight w:val="none"/>
          <w:lang w:eastAsia="zh-CN"/>
        </w:rPr>
        <w:t>四</w:t>
      </w:r>
      <w:r>
        <w:rPr>
          <w:rFonts w:hint="eastAsia" w:ascii="Times New Roman" w:hAnsi="Times New Roman"/>
          <w:highlight w:val="none"/>
        </w:rPr>
        <w:t>）拟委任的主要人员汇总表</w:t>
      </w:r>
      <w:bookmarkEnd w:id="98"/>
      <w:bookmarkEnd w:id="99"/>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w:t>
      </w:r>
      <w:r>
        <w:rPr>
          <w:rFonts w:hint="eastAsia" w:ascii="Times New Roman" w:hAnsi="Times New Roman"/>
          <w:highlight w:val="none"/>
          <w:lang w:eastAsia="zh-CN"/>
        </w:rPr>
        <w:t>项目负责人</w:t>
      </w:r>
      <w:r>
        <w:rPr>
          <w:rFonts w:hint="eastAsia" w:ascii="Times New Roman" w:hAnsi="Times New Roman"/>
          <w:highlight w:val="none"/>
        </w:rPr>
        <w:t>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00" w:name="_Toc179632825"/>
      <w:bookmarkStart w:id="101" w:name="_Toc144974873"/>
      <w:bookmarkStart w:id="102" w:name="_Toc152042594"/>
      <w:bookmarkStart w:id="103" w:name="_Toc152045805"/>
    </w:p>
    <w:p>
      <w:pPr>
        <w:pStyle w:val="4"/>
        <w:ind w:firstLine="137"/>
        <w:rPr>
          <w:rFonts w:ascii="Times New Roman" w:hAnsi="Times New Roman"/>
          <w:highlight w:val="none"/>
        </w:rPr>
      </w:pPr>
      <w:bookmarkStart w:id="104" w:name="_Toc384308390"/>
      <w:bookmarkStart w:id="105" w:name="_Toc385943079"/>
      <w:bookmarkStart w:id="106" w:name="_Toc300835232"/>
      <w:bookmarkStart w:id="107" w:name="_Toc492300541"/>
      <w:bookmarkStart w:id="108" w:name="_Toc359594249"/>
      <w:bookmarkStart w:id="109" w:name="_Toc391394125"/>
      <w:bookmarkStart w:id="110" w:name="_Toc482188668"/>
      <w:bookmarkStart w:id="111" w:name="_Toc370676440"/>
      <w:r>
        <w:rPr>
          <w:rFonts w:hint="eastAsia" w:ascii="Times New Roman" w:hAnsi="Times New Roman"/>
          <w:highlight w:val="none"/>
        </w:rPr>
        <w:t>（</w:t>
      </w:r>
      <w:r>
        <w:rPr>
          <w:rFonts w:hint="eastAsia" w:ascii="Times New Roman" w:hAnsi="Times New Roman"/>
          <w:highlight w:val="none"/>
          <w:lang w:eastAsia="zh-CN"/>
        </w:rPr>
        <w:t>五</w:t>
      </w:r>
      <w:r>
        <w:rPr>
          <w:rFonts w:hint="eastAsia" w:ascii="Times New Roman" w:hAnsi="Times New Roman"/>
          <w:highlight w:val="none"/>
        </w:rPr>
        <w:t>）主要人员简历表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w:t>
      </w:r>
      <w:r>
        <w:rPr>
          <w:rFonts w:hint="eastAsia" w:ascii="Times New Roman" w:hAnsi="Times New Roman"/>
          <w:b/>
          <w:bCs/>
          <w:color w:val="000000"/>
          <w:highlight w:val="none"/>
          <w:lang w:eastAsia="zh-CN"/>
        </w:rPr>
        <w:t>项目负责人</w:t>
      </w:r>
      <w:r>
        <w:rPr>
          <w:rFonts w:hint="eastAsia" w:ascii="Times New Roman" w:hAnsi="Times New Roman"/>
          <w:color w:val="000000"/>
          <w:highlight w:val="none"/>
        </w:rPr>
        <w:t>应附身份证、学历证、职称证、执业资格证书和社保缴费证明复印件；其他主要人员应附身份证、学历证、职称证、有关资格证书和社保缴费证明复印件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w:t>
      </w:r>
      <w:r>
        <w:rPr>
          <w:rFonts w:hint="eastAsia" w:ascii="Times New Roman" w:hAnsi="Times New Roman"/>
          <w:b/>
          <w:bCs/>
          <w:highlight w:val="none"/>
        </w:rPr>
        <w:t>连续6个月的社保证明</w:t>
      </w:r>
      <w:r>
        <w:rPr>
          <w:rFonts w:hint="eastAsia" w:ascii="Times New Roman" w:hAnsi="Times New Roman"/>
          <w:highlight w:val="none"/>
        </w:rPr>
        <w:t>（由当地社保主管部门出具的</w:t>
      </w:r>
      <w:r>
        <w:rPr>
          <w:rFonts w:hint="eastAsia" w:ascii="Times New Roman" w:hAnsi="Times New Roman"/>
          <w:highlight w:val="none"/>
          <w:lang w:eastAsia="zh-CN"/>
        </w:rPr>
        <w:t>2020年1月1日</w:t>
      </w:r>
      <w:r>
        <w:rPr>
          <w:rFonts w:hint="eastAsia" w:ascii="Times New Roman" w:hAnsi="Times New Roman"/>
          <w:highlight w:val="none"/>
        </w:rPr>
        <w:t>以来的有效社保证明）</w:t>
      </w:r>
      <w:r>
        <w:rPr>
          <w:rFonts w:ascii="Times New Roman" w:hAnsi="Times New Roman"/>
          <w:highlight w:val="none"/>
        </w:rPr>
        <w:br w:type="page"/>
      </w:r>
      <w:bookmarkStart w:id="112" w:name="_Toc352703741"/>
      <w:bookmarkStart w:id="113" w:name="_Toc300835229"/>
    </w:p>
    <w:bookmarkEnd w:id="112"/>
    <w:bookmarkEnd w:id="113"/>
    <w:p>
      <w:pPr>
        <w:pStyle w:val="3"/>
        <w:spacing w:after="0"/>
        <w:jc w:val="center"/>
        <w:rPr>
          <w:rFonts w:hint="eastAsia" w:ascii="Times New Roman" w:hAnsi="Times New Roman" w:eastAsia="黑体"/>
          <w:color w:val="000000"/>
          <w:highlight w:val="none"/>
          <w:lang w:eastAsia="zh-CN"/>
        </w:rPr>
      </w:pPr>
      <w:bookmarkStart w:id="114" w:name="_Toc492300542"/>
      <w:r>
        <w:rPr>
          <w:rFonts w:hint="eastAsia" w:ascii="Times New Roman" w:hAnsi="Times New Roman"/>
          <w:color w:val="000000"/>
          <w:highlight w:val="none"/>
        </w:rPr>
        <w:t>六</w:t>
      </w:r>
      <w:r>
        <w:rPr>
          <w:rFonts w:ascii="Times New Roman" w:hAnsi="Times New Roman"/>
          <w:color w:val="000000"/>
          <w:highlight w:val="none"/>
        </w:rPr>
        <w:t>、</w:t>
      </w:r>
      <w:bookmarkEnd w:id="114"/>
      <w:r>
        <w:rPr>
          <w:rFonts w:hint="eastAsia" w:ascii="Times New Roman" w:hAnsi="Times New Roman"/>
          <w:color w:val="000000"/>
          <w:highlight w:val="none"/>
          <w:lang w:eastAsia="zh-CN"/>
        </w:rPr>
        <w:t>前期策划方案大纲</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高铁南北块地前期策划方案大纲包括但不限于以下内容：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1.城市情况分析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2.南北地块土地属性（商务、商业）解析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3.</w:t>
      </w:r>
      <w:r>
        <w:rPr>
          <w:rFonts w:hint="default" w:ascii="Times New Roman" w:hAnsi="Times New Roman" w:cs="Times New Roman"/>
          <w:kern w:val="0"/>
          <w:sz w:val="24"/>
          <w:highlight w:val="none"/>
          <w:lang w:val="en-US" w:eastAsia="zh-CN"/>
        </w:rPr>
        <w:t>项目核心辐射区分析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4.商业发展情况分析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5.</w:t>
      </w:r>
      <w:r>
        <w:rPr>
          <w:rFonts w:hint="default" w:ascii="Times New Roman" w:hAnsi="Times New Roman" w:cs="Times New Roman"/>
          <w:kern w:val="0"/>
          <w:sz w:val="24"/>
          <w:highlight w:val="none"/>
          <w:lang w:val="en-US" w:eastAsia="zh-CN"/>
        </w:rPr>
        <w:t>商务办公市场情况分析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6.商业消费者调研</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7.</w:t>
      </w:r>
      <w:r>
        <w:rPr>
          <w:rFonts w:hint="default" w:ascii="Times New Roman" w:hAnsi="Times New Roman" w:cs="Times New Roman"/>
          <w:kern w:val="0"/>
          <w:sz w:val="24"/>
          <w:highlight w:val="none"/>
          <w:lang w:val="en-US" w:eastAsia="zh-CN"/>
        </w:rPr>
        <w:t>商务办公客户机会探寻</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8.</w:t>
      </w:r>
      <w:r>
        <w:rPr>
          <w:rFonts w:hint="default" w:ascii="Times New Roman" w:hAnsi="Times New Roman" w:cs="Times New Roman"/>
          <w:kern w:val="0"/>
          <w:sz w:val="24"/>
          <w:highlight w:val="none"/>
          <w:lang w:val="en-US" w:eastAsia="zh-CN"/>
        </w:rPr>
        <w:t>项目整体（商务、商业业态）规划、定位</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9.项目规划评价</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10物业发展建议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11.商业招商建议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12.营销策略建议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13.</w:t>
      </w:r>
      <w:r>
        <w:rPr>
          <w:rFonts w:hint="default" w:ascii="Times New Roman" w:hAnsi="Times New Roman" w:cs="Times New Roman"/>
          <w:kern w:val="0"/>
          <w:sz w:val="24"/>
          <w:highlight w:val="none"/>
          <w:lang w:val="en-US" w:eastAsia="zh-CN"/>
        </w:rPr>
        <w:t>运营管理建议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14.</w:t>
      </w:r>
      <w:r>
        <w:rPr>
          <w:rFonts w:hint="default" w:ascii="Times New Roman" w:hAnsi="Times New Roman" w:cs="Times New Roman"/>
          <w:kern w:val="0"/>
          <w:sz w:val="24"/>
          <w:highlight w:val="none"/>
          <w:lang w:val="en-US" w:eastAsia="zh-CN"/>
        </w:rPr>
        <w:t>项目销售和租金评估</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15.南北地块拿地方案建议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16.项目开发、运营经济测算分析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15"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15"/>
    </w:p>
    <w:p>
      <w:pPr>
        <w:rPr>
          <w:rFonts w:ascii="Times New Roman" w:hAnsi="Times New Roman"/>
          <w:highlight w:val="none"/>
        </w:rPr>
      </w:pPr>
    </w:p>
    <w:p>
      <w:pPr>
        <w:ind w:firstLine="420" w:firstLineChars="200"/>
        <w:rPr>
          <w:rFonts w:ascii="Times New Roman" w:hAnsi="Times New Roman"/>
          <w:highlight w:val="none"/>
        </w:rPr>
      </w:pPr>
      <w:r>
        <w:rPr>
          <w:rFonts w:hint="eastAsia" w:ascii="Times New Roman" w:hAnsi="Times New Roman"/>
          <w:highlight w:val="none"/>
        </w:rPr>
        <w:t>第</w:t>
      </w:r>
      <w:r>
        <w:rPr>
          <w:rFonts w:hint="eastAsia" w:ascii="Times New Roman" w:hAnsi="Times New Roman"/>
          <w:highlight w:val="none"/>
          <w:lang w:eastAsia="zh-CN"/>
        </w:rPr>
        <w:t>六</w:t>
      </w:r>
      <w:r>
        <w:rPr>
          <w:rFonts w:hint="eastAsia" w:ascii="Times New Roman" w:hAnsi="Times New Roman"/>
          <w:highlight w:val="none"/>
        </w:rPr>
        <w:t>章“投标文件格式”未详尽列举，但招标文件要求或有必要提供的资料。</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587" w:bottom="1417" w:left="158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9BAD6"/>
    <w:multiLevelType w:val="singleLevel"/>
    <w:tmpl w:val="12C9BAD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5611A7"/>
    <w:rsid w:val="00733B0B"/>
    <w:rsid w:val="00764376"/>
    <w:rsid w:val="00796B76"/>
    <w:rsid w:val="007F5C4E"/>
    <w:rsid w:val="008B0C89"/>
    <w:rsid w:val="008E78DA"/>
    <w:rsid w:val="00936B7D"/>
    <w:rsid w:val="0097492C"/>
    <w:rsid w:val="00A55CD0"/>
    <w:rsid w:val="00A81A2B"/>
    <w:rsid w:val="00D6247C"/>
    <w:rsid w:val="00E63C27"/>
    <w:rsid w:val="00FA6F7E"/>
    <w:rsid w:val="011B4471"/>
    <w:rsid w:val="012C662E"/>
    <w:rsid w:val="01331963"/>
    <w:rsid w:val="0145105E"/>
    <w:rsid w:val="01506981"/>
    <w:rsid w:val="016064BD"/>
    <w:rsid w:val="01745DD1"/>
    <w:rsid w:val="019846E3"/>
    <w:rsid w:val="01CB0CDF"/>
    <w:rsid w:val="01CD2334"/>
    <w:rsid w:val="01E140D3"/>
    <w:rsid w:val="01E178D4"/>
    <w:rsid w:val="01E744E5"/>
    <w:rsid w:val="02024244"/>
    <w:rsid w:val="021D348F"/>
    <w:rsid w:val="02327409"/>
    <w:rsid w:val="026E5FAB"/>
    <w:rsid w:val="028F13B3"/>
    <w:rsid w:val="02983D41"/>
    <w:rsid w:val="02A46690"/>
    <w:rsid w:val="02AC508C"/>
    <w:rsid w:val="02B260EE"/>
    <w:rsid w:val="02E242A2"/>
    <w:rsid w:val="030A4D65"/>
    <w:rsid w:val="03236444"/>
    <w:rsid w:val="0324584F"/>
    <w:rsid w:val="032D2CB8"/>
    <w:rsid w:val="03350CA9"/>
    <w:rsid w:val="035021B2"/>
    <w:rsid w:val="03603AF0"/>
    <w:rsid w:val="036E069E"/>
    <w:rsid w:val="03C10800"/>
    <w:rsid w:val="03C96DCC"/>
    <w:rsid w:val="03E156EA"/>
    <w:rsid w:val="03FB5B2D"/>
    <w:rsid w:val="03FB71CD"/>
    <w:rsid w:val="040666CB"/>
    <w:rsid w:val="04082EC8"/>
    <w:rsid w:val="042C575E"/>
    <w:rsid w:val="043062B7"/>
    <w:rsid w:val="04382327"/>
    <w:rsid w:val="043F5557"/>
    <w:rsid w:val="044322AF"/>
    <w:rsid w:val="04885B47"/>
    <w:rsid w:val="04A52387"/>
    <w:rsid w:val="04CD15E8"/>
    <w:rsid w:val="04CF4810"/>
    <w:rsid w:val="04EB08D2"/>
    <w:rsid w:val="04EC7DA2"/>
    <w:rsid w:val="0500728B"/>
    <w:rsid w:val="0536325C"/>
    <w:rsid w:val="0572490A"/>
    <w:rsid w:val="05783BE5"/>
    <w:rsid w:val="058253F2"/>
    <w:rsid w:val="05906C58"/>
    <w:rsid w:val="05D9116E"/>
    <w:rsid w:val="06005DF8"/>
    <w:rsid w:val="061B2948"/>
    <w:rsid w:val="061C5226"/>
    <w:rsid w:val="061F0438"/>
    <w:rsid w:val="0632522A"/>
    <w:rsid w:val="063F4D83"/>
    <w:rsid w:val="06406934"/>
    <w:rsid w:val="064568BB"/>
    <w:rsid w:val="06501BB5"/>
    <w:rsid w:val="067C3CB3"/>
    <w:rsid w:val="068C09EB"/>
    <w:rsid w:val="068C5473"/>
    <w:rsid w:val="06940561"/>
    <w:rsid w:val="06A57F73"/>
    <w:rsid w:val="06A848F7"/>
    <w:rsid w:val="06D9502E"/>
    <w:rsid w:val="06EB4F76"/>
    <w:rsid w:val="06ED1728"/>
    <w:rsid w:val="06F569C1"/>
    <w:rsid w:val="06F76B9D"/>
    <w:rsid w:val="06F81D74"/>
    <w:rsid w:val="074267A8"/>
    <w:rsid w:val="074A7C93"/>
    <w:rsid w:val="07666E00"/>
    <w:rsid w:val="07972327"/>
    <w:rsid w:val="079B5585"/>
    <w:rsid w:val="07A85930"/>
    <w:rsid w:val="07DF0EDF"/>
    <w:rsid w:val="07EE56D8"/>
    <w:rsid w:val="08397FAF"/>
    <w:rsid w:val="08554A0D"/>
    <w:rsid w:val="086B7162"/>
    <w:rsid w:val="086D3DA1"/>
    <w:rsid w:val="08774BE1"/>
    <w:rsid w:val="088A2736"/>
    <w:rsid w:val="088F5820"/>
    <w:rsid w:val="08932D8F"/>
    <w:rsid w:val="08E51768"/>
    <w:rsid w:val="08EC1249"/>
    <w:rsid w:val="08ED571D"/>
    <w:rsid w:val="09470AAE"/>
    <w:rsid w:val="0967298A"/>
    <w:rsid w:val="096C737A"/>
    <w:rsid w:val="09A71C3D"/>
    <w:rsid w:val="09A9136D"/>
    <w:rsid w:val="09AF2C22"/>
    <w:rsid w:val="09B32D8C"/>
    <w:rsid w:val="09BD647E"/>
    <w:rsid w:val="09C043B8"/>
    <w:rsid w:val="09C37FE6"/>
    <w:rsid w:val="09F35B18"/>
    <w:rsid w:val="0A354EBE"/>
    <w:rsid w:val="0A3B332D"/>
    <w:rsid w:val="0A5234C1"/>
    <w:rsid w:val="0A855747"/>
    <w:rsid w:val="0A8B5261"/>
    <w:rsid w:val="0A8E5075"/>
    <w:rsid w:val="0AA913FB"/>
    <w:rsid w:val="0AB930A2"/>
    <w:rsid w:val="0AB95EE8"/>
    <w:rsid w:val="0AC06F59"/>
    <w:rsid w:val="0ADD0DF0"/>
    <w:rsid w:val="0AE110F3"/>
    <w:rsid w:val="0AEB40E8"/>
    <w:rsid w:val="0B416906"/>
    <w:rsid w:val="0B494DBB"/>
    <w:rsid w:val="0B5D1C2A"/>
    <w:rsid w:val="0B5E66CB"/>
    <w:rsid w:val="0B7202E7"/>
    <w:rsid w:val="0BB837D0"/>
    <w:rsid w:val="0BCF2D52"/>
    <w:rsid w:val="0C0D5729"/>
    <w:rsid w:val="0C110CA2"/>
    <w:rsid w:val="0C39312E"/>
    <w:rsid w:val="0C6C1AD6"/>
    <w:rsid w:val="0C773477"/>
    <w:rsid w:val="0CA71E75"/>
    <w:rsid w:val="0CAA6622"/>
    <w:rsid w:val="0CE1084F"/>
    <w:rsid w:val="0D1B15FF"/>
    <w:rsid w:val="0D2466BD"/>
    <w:rsid w:val="0D331D7B"/>
    <w:rsid w:val="0D37434E"/>
    <w:rsid w:val="0D4B73C6"/>
    <w:rsid w:val="0D744A9C"/>
    <w:rsid w:val="0D7F3B4D"/>
    <w:rsid w:val="0DA277FF"/>
    <w:rsid w:val="0DAE4257"/>
    <w:rsid w:val="0DAE4CB4"/>
    <w:rsid w:val="0DB8057F"/>
    <w:rsid w:val="0DDB677F"/>
    <w:rsid w:val="0DE26DAB"/>
    <w:rsid w:val="0E1A08D4"/>
    <w:rsid w:val="0E2B3745"/>
    <w:rsid w:val="0E2F0928"/>
    <w:rsid w:val="0E3867E0"/>
    <w:rsid w:val="0E3C08A3"/>
    <w:rsid w:val="0E472E61"/>
    <w:rsid w:val="0E626142"/>
    <w:rsid w:val="0E6D3EE4"/>
    <w:rsid w:val="0E71322E"/>
    <w:rsid w:val="0E8168AC"/>
    <w:rsid w:val="0E9601D9"/>
    <w:rsid w:val="0E9B2FB3"/>
    <w:rsid w:val="0EDF4D5E"/>
    <w:rsid w:val="0F024085"/>
    <w:rsid w:val="0F1438EF"/>
    <w:rsid w:val="0F1B5CB5"/>
    <w:rsid w:val="0F1F2CB2"/>
    <w:rsid w:val="0F221F24"/>
    <w:rsid w:val="0F4B0F6A"/>
    <w:rsid w:val="0F5F5CB1"/>
    <w:rsid w:val="0F6D5EB3"/>
    <w:rsid w:val="0FA819A2"/>
    <w:rsid w:val="0FCA08C0"/>
    <w:rsid w:val="0FCA14B6"/>
    <w:rsid w:val="0FDE7517"/>
    <w:rsid w:val="0FE42DE8"/>
    <w:rsid w:val="101038A7"/>
    <w:rsid w:val="101E2D38"/>
    <w:rsid w:val="104F235E"/>
    <w:rsid w:val="1069417C"/>
    <w:rsid w:val="106C1E4B"/>
    <w:rsid w:val="10754912"/>
    <w:rsid w:val="10C9116B"/>
    <w:rsid w:val="11114551"/>
    <w:rsid w:val="11356135"/>
    <w:rsid w:val="11432FA9"/>
    <w:rsid w:val="11800917"/>
    <w:rsid w:val="118955AD"/>
    <w:rsid w:val="118A2D81"/>
    <w:rsid w:val="1197226B"/>
    <w:rsid w:val="11A71024"/>
    <w:rsid w:val="11CD444A"/>
    <w:rsid w:val="11FC3F3B"/>
    <w:rsid w:val="121D3694"/>
    <w:rsid w:val="123B2BFF"/>
    <w:rsid w:val="123B6B10"/>
    <w:rsid w:val="123D4277"/>
    <w:rsid w:val="125A52C4"/>
    <w:rsid w:val="12655D96"/>
    <w:rsid w:val="12791521"/>
    <w:rsid w:val="128E3C38"/>
    <w:rsid w:val="12BF2922"/>
    <w:rsid w:val="12C942C8"/>
    <w:rsid w:val="12DC5F5E"/>
    <w:rsid w:val="12DC7F8C"/>
    <w:rsid w:val="12E82A0B"/>
    <w:rsid w:val="12F80C0C"/>
    <w:rsid w:val="13030470"/>
    <w:rsid w:val="13274F9C"/>
    <w:rsid w:val="132E6DC6"/>
    <w:rsid w:val="13417410"/>
    <w:rsid w:val="134A448A"/>
    <w:rsid w:val="134F7EA7"/>
    <w:rsid w:val="135107A8"/>
    <w:rsid w:val="136066CF"/>
    <w:rsid w:val="13657E31"/>
    <w:rsid w:val="137F3F6F"/>
    <w:rsid w:val="137F7BEC"/>
    <w:rsid w:val="138468CC"/>
    <w:rsid w:val="1387094F"/>
    <w:rsid w:val="138966A1"/>
    <w:rsid w:val="13D35238"/>
    <w:rsid w:val="13F76E85"/>
    <w:rsid w:val="14556EA9"/>
    <w:rsid w:val="147C5008"/>
    <w:rsid w:val="147E2423"/>
    <w:rsid w:val="1487273A"/>
    <w:rsid w:val="148B0444"/>
    <w:rsid w:val="14937242"/>
    <w:rsid w:val="14944440"/>
    <w:rsid w:val="14A059A0"/>
    <w:rsid w:val="14B97B05"/>
    <w:rsid w:val="14CD31B9"/>
    <w:rsid w:val="14D37411"/>
    <w:rsid w:val="14E67563"/>
    <w:rsid w:val="15021B62"/>
    <w:rsid w:val="150860B9"/>
    <w:rsid w:val="150A21BA"/>
    <w:rsid w:val="1522437E"/>
    <w:rsid w:val="15283931"/>
    <w:rsid w:val="155029D1"/>
    <w:rsid w:val="158374C1"/>
    <w:rsid w:val="15A62ECC"/>
    <w:rsid w:val="15C516BD"/>
    <w:rsid w:val="15F44127"/>
    <w:rsid w:val="1619526F"/>
    <w:rsid w:val="166266B1"/>
    <w:rsid w:val="167B5BAE"/>
    <w:rsid w:val="16895690"/>
    <w:rsid w:val="168D3C48"/>
    <w:rsid w:val="16B76968"/>
    <w:rsid w:val="16BB1A22"/>
    <w:rsid w:val="16D411E7"/>
    <w:rsid w:val="16FD1B88"/>
    <w:rsid w:val="170756D4"/>
    <w:rsid w:val="170F4587"/>
    <w:rsid w:val="17404713"/>
    <w:rsid w:val="176115DC"/>
    <w:rsid w:val="17824660"/>
    <w:rsid w:val="178F2FF8"/>
    <w:rsid w:val="17C41ABF"/>
    <w:rsid w:val="18175D56"/>
    <w:rsid w:val="18276B10"/>
    <w:rsid w:val="188A1EE1"/>
    <w:rsid w:val="188A4FD4"/>
    <w:rsid w:val="189B5F22"/>
    <w:rsid w:val="189D0AA5"/>
    <w:rsid w:val="18A70256"/>
    <w:rsid w:val="18B73074"/>
    <w:rsid w:val="18BF685C"/>
    <w:rsid w:val="18C34CE4"/>
    <w:rsid w:val="18DA76F1"/>
    <w:rsid w:val="18EA5CD5"/>
    <w:rsid w:val="19034C2D"/>
    <w:rsid w:val="1916127C"/>
    <w:rsid w:val="193B5BAF"/>
    <w:rsid w:val="193D465D"/>
    <w:rsid w:val="194A29E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B6C62"/>
    <w:rsid w:val="1A2C27B8"/>
    <w:rsid w:val="1A4D4CED"/>
    <w:rsid w:val="1A797469"/>
    <w:rsid w:val="1AA6248A"/>
    <w:rsid w:val="1AA823C6"/>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EA796F"/>
    <w:rsid w:val="1BF87FBA"/>
    <w:rsid w:val="1BFA70F2"/>
    <w:rsid w:val="1C100B6A"/>
    <w:rsid w:val="1C2B6CB4"/>
    <w:rsid w:val="1C32372E"/>
    <w:rsid w:val="1C5C5972"/>
    <w:rsid w:val="1C5D1F6F"/>
    <w:rsid w:val="1C5D5F8B"/>
    <w:rsid w:val="1C6E241C"/>
    <w:rsid w:val="1C88579D"/>
    <w:rsid w:val="1CB07DF9"/>
    <w:rsid w:val="1CB27F03"/>
    <w:rsid w:val="1CC3681B"/>
    <w:rsid w:val="1CF251D3"/>
    <w:rsid w:val="1CFC6686"/>
    <w:rsid w:val="1CFF3217"/>
    <w:rsid w:val="1D1D0D81"/>
    <w:rsid w:val="1D5835F0"/>
    <w:rsid w:val="1D711D80"/>
    <w:rsid w:val="1D8C5045"/>
    <w:rsid w:val="1D931CEA"/>
    <w:rsid w:val="1DC177D9"/>
    <w:rsid w:val="1DDE5A52"/>
    <w:rsid w:val="1DE05881"/>
    <w:rsid w:val="1E0D15BF"/>
    <w:rsid w:val="1E195369"/>
    <w:rsid w:val="1E1A236E"/>
    <w:rsid w:val="1E225BB3"/>
    <w:rsid w:val="1E2A6113"/>
    <w:rsid w:val="1E2D212B"/>
    <w:rsid w:val="1E416163"/>
    <w:rsid w:val="1EA573D8"/>
    <w:rsid w:val="1EB0513B"/>
    <w:rsid w:val="1EB72F76"/>
    <w:rsid w:val="1EC83F50"/>
    <w:rsid w:val="1EE36B2C"/>
    <w:rsid w:val="1F127B09"/>
    <w:rsid w:val="1F36160E"/>
    <w:rsid w:val="1F671677"/>
    <w:rsid w:val="1F722047"/>
    <w:rsid w:val="1F904945"/>
    <w:rsid w:val="1FAA6A2E"/>
    <w:rsid w:val="1FE570E2"/>
    <w:rsid w:val="1FE7673E"/>
    <w:rsid w:val="1FF95638"/>
    <w:rsid w:val="201E585F"/>
    <w:rsid w:val="20220E10"/>
    <w:rsid w:val="20373DA2"/>
    <w:rsid w:val="203C0CC8"/>
    <w:rsid w:val="2049266D"/>
    <w:rsid w:val="20534B67"/>
    <w:rsid w:val="20557DC5"/>
    <w:rsid w:val="207C33EE"/>
    <w:rsid w:val="20872644"/>
    <w:rsid w:val="209740BF"/>
    <w:rsid w:val="2099242E"/>
    <w:rsid w:val="20B0411F"/>
    <w:rsid w:val="20B72BF3"/>
    <w:rsid w:val="20D153A6"/>
    <w:rsid w:val="20D658C9"/>
    <w:rsid w:val="20D95B5B"/>
    <w:rsid w:val="20DC2416"/>
    <w:rsid w:val="20DE40B6"/>
    <w:rsid w:val="20EC5273"/>
    <w:rsid w:val="20ED0783"/>
    <w:rsid w:val="20F1526B"/>
    <w:rsid w:val="20F22231"/>
    <w:rsid w:val="21015C26"/>
    <w:rsid w:val="21121083"/>
    <w:rsid w:val="211518DD"/>
    <w:rsid w:val="21222CFA"/>
    <w:rsid w:val="212B2F31"/>
    <w:rsid w:val="212F2875"/>
    <w:rsid w:val="21327DB2"/>
    <w:rsid w:val="213B367E"/>
    <w:rsid w:val="213D7BD8"/>
    <w:rsid w:val="214C4EC5"/>
    <w:rsid w:val="2153567F"/>
    <w:rsid w:val="217422B6"/>
    <w:rsid w:val="21931526"/>
    <w:rsid w:val="21A51802"/>
    <w:rsid w:val="21A61686"/>
    <w:rsid w:val="21C13A32"/>
    <w:rsid w:val="21D56393"/>
    <w:rsid w:val="22133103"/>
    <w:rsid w:val="222B58B1"/>
    <w:rsid w:val="224D73DD"/>
    <w:rsid w:val="225427C3"/>
    <w:rsid w:val="22592601"/>
    <w:rsid w:val="225D230C"/>
    <w:rsid w:val="22682273"/>
    <w:rsid w:val="22873591"/>
    <w:rsid w:val="22C8632C"/>
    <w:rsid w:val="231918CF"/>
    <w:rsid w:val="233F5F96"/>
    <w:rsid w:val="235F4D23"/>
    <w:rsid w:val="236D4028"/>
    <w:rsid w:val="237E225A"/>
    <w:rsid w:val="23881DFE"/>
    <w:rsid w:val="239F4CF5"/>
    <w:rsid w:val="23A62332"/>
    <w:rsid w:val="23C13A6D"/>
    <w:rsid w:val="23E41B96"/>
    <w:rsid w:val="23F34DAB"/>
    <w:rsid w:val="24133909"/>
    <w:rsid w:val="241A2F59"/>
    <w:rsid w:val="24226CC5"/>
    <w:rsid w:val="24251ADF"/>
    <w:rsid w:val="242F0269"/>
    <w:rsid w:val="24312A4A"/>
    <w:rsid w:val="244A5E9A"/>
    <w:rsid w:val="244C4BB8"/>
    <w:rsid w:val="244D69EE"/>
    <w:rsid w:val="24691193"/>
    <w:rsid w:val="246C3A46"/>
    <w:rsid w:val="246D433F"/>
    <w:rsid w:val="2497503D"/>
    <w:rsid w:val="249F676F"/>
    <w:rsid w:val="24A54A93"/>
    <w:rsid w:val="251A7612"/>
    <w:rsid w:val="25237A22"/>
    <w:rsid w:val="254042BC"/>
    <w:rsid w:val="25471E6E"/>
    <w:rsid w:val="25481BCE"/>
    <w:rsid w:val="257C16E4"/>
    <w:rsid w:val="25814DB7"/>
    <w:rsid w:val="25824959"/>
    <w:rsid w:val="25933EF1"/>
    <w:rsid w:val="25987A23"/>
    <w:rsid w:val="25C517A2"/>
    <w:rsid w:val="25D71F7E"/>
    <w:rsid w:val="25F5789E"/>
    <w:rsid w:val="25FD6A72"/>
    <w:rsid w:val="2608561B"/>
    <w:rsid w:val="262128E2"/>
    <w:rsid w:val="26261861"/>
    <w:rsid w:val="26382AAC"/>
    <w:rsid w:val="26385943"/>
    <w:rsid w:val="26506FAD"/>
    <w:rsid w:val="26656277"/>
    <w:rsid w:val="26663117"/>
    <w:rsid w:val="26807144"/>
    <w:rsid w:val="268A362E"/>
    <w:rsid w:val="269560EE"/>
    <w:rsid w:val="26D16018"/>
    <w:rsid w:val="26DB3228"/>
    <w:rsid w:val="26DF6074"/>
    <w:rsid w:val="26FD40A1"/>
    <w:rsid w:val="26FE679C"/>
    <w:rsid w:val="27301EDB"/>
    <w:rsid w:val="276C029F"/>
    <w:rsid w:val="27982DD4"/>
    <w:rsid w:val="27AE74EC"/>
    <w:rsid w:val="27D32915"/>
    <w:rsid w:val="27DD09CE"/>
    <w:rsid w:val="27EC553C"/>
    <w:rsid w:val="280E49C2"/>
    <w:rsid w:val="2813394B"/>
    <w:rsid w:val="283610D5"/>
    <w:rsid w:val="285F5293"/>
    <w:rsid w:val="28622D71"/>
    <w:rsid w:val="28676D4A"/>
    <w:rsid w:val="286E69FD"/>
    <w:rsid w:val="28FA546B"/>
    <w:rsid w:val="28FE025E"/>
    <w:rsid w:val="29425136"/>
    <w:rsid w:val="29586D7A"/>
    <w:rsid w:val="296F309D"/>
    <w:rsid w:val="29772B51"/>
    <w:rsid w:val="2984235F"/>
    <w:rsid w:val="29967FD2"/>
    <w:rsid w:val="29C56C3A"/>
    <w:rsid w:val="29D872DD"/>
    <w:rsid w:val="29DC3955"/>
    <w:rsid w:val="29E1380C"/>
    <w:rsid w:val="29E85046"/>
    <w:rsid w:val="29F652CD"/>
    <w:rsid w:val="29FD1468"/>
    <w:rsid w:val="2A017BFD"/>
    <w:rsid w:val="2A866E26"/>
    <w:rsid w:val="2A9154D8"/>
    <w:rsid w:val="2AA04C57"/>
    <w:rsid w:val="2AC64316"/>
    <w:rsid w:val="2AD750C3"/>
    <w:rsid w:val="2ADC79B6"/>
    <w:rsid w:val="2AE77D08"/>
    <w:rsid w:val="2AEC65C6"/>
    <w:rsid w:val="2B470CEC"/>
    <w:rsid w:val="2B535ACE"/>
    <w:rsid w:val="2B652A8D"/>
    <w:rsid w:val="2B730CB9"/>
    <w:rsid w:val="2B7807CD"/>
    <w:rsid w:val="2BC815D5"/>
    <w:rsid w:val="2BDC69C5"/>
    <w:rsid w:val="2BE110FF"/>
    <w:rsid w:val="2BED2378"/>
    <w:rsid w:val="2BF4029C"/>
    <w:rsid w:val="2C270D43"/>
    <w:rsid w:val="2C2D7692"/>
    <w:rsid w:val="2C5D64D4"/>
    <w:rsid w:val="2C6436A6"/>
    <w:rsid w:val="2C6B3556"/>
    <w:rsid w:val="2C7A2A8F"/>
    <w:rsid w:val="2C7E2BF6"/>
    <w:rsid w:val="2C9023A5"/>
    <w:rsid w:val="2C937549"/>
    <w:rsid w:val="2C9774E2"/>
    <w:rsid w:val="2C9D6A04"/>
    <w:rsid w:val="2CB62598"/>
    <w:rsid w:val="2CB8266E"/>
    <w:rsid w:val="2CB90CE8"/>
    <w:rsid w:val="2CE1064E"/>
    <w:rsid w:val="2CFE607B"/>
    <w:rsid w:val="2D095409"/>
    <w:rsid w:val="2D29258D"/>
    <w:rsid w:val="2D317311"/>
    <w:rsid w:val="2D39385A"/>
    <w:rsid w:val="2D3A3199"/>
    <w:rsid w:val="2D5470D9"/>
    <w:rsid w:val="2D772574"/>
    <w:rsid w:val="2D8D4665"/>
    <w:rsid w:val="2DCC12FC"/>
    <w:rsid w:val="2E266A7B"/>
    <w:rsid w:val="2E3820D2"/>
    <w:rsid w:val="2E652B8E"/>
    <w:rsid w:val="2E66167A"/>
    <w:rsid w:val="2E6C7EF1"/>
    <w:rsid w:val="2E6F6584"/>
    <w:rsid w:val="2E853551"/>
    <w:rsid w:val="2E933BCE"/>
    <w:rsid w:val="2E9C6490"/>
    <w:rsid w:val="2EAA3B87"/>
    <w:rsid w:val="2EAB34EE"/>
    <w:rsid w:val="2EB66E96"/>
    <w:rsid w:val="2EBC23A0"/>
    <w:rsid w:val="2ECE7020"/>
    <w:rsid w:val="2EFA0191"/>
    <w:rsid w:val="2F191446"/>
    <w:rsid w:val="2F257D3F"/>
    <w:rsid w:val="2F436846"/>
    <w:rsid w:val="2F4556CE"/>
    <w:rsid w:val="2F754A27"/>
    <w:rsid w:val="2FB16F5F"/>
    <w:rsid w:val="2FB76AE7"/>
    <w:rsid w:val="2FDF5AEE"/>
    <w:rsid w:val="2FFE1C0F"/>
    <w:rsid w:val="305C41A9"/>
    <w:rsid w:val="30675E48"/>
    <w:rsid w:val="307E45C5"/>
    <w:rsid w:val="30885DC9"/>
    <w:rsid w:val="308E41B5"/>
    <w:rsid w:val="30952C59"/>
    <w:rsid w:val="30DE5EB2"/>
    <w:rsid w:val="30F61AC9"/>
    <w:rsid w:val="30FF4D69"/>
    <w:rsid w:val="3113559B"/>
    <w:rsid w:val="311C6D1F"/>
    <w:rsid w:val="3127420C"/>
    <w:rsid w:val="315523B1"/>
    <w:rsid w:val="316E460D"/>
    <w:rsid w:val="317C4F27"/>
    <w:rsid w:val="318D159F"/>
    <w:rsid w:val="31CD31BF"/>
    <w:rsid w:val="31E10F55"/>
    <w:rsid w:val="31F30B11"/>
    <w:rsid w:val="3219008D"/>
    <w:rsid w:val="32215B79"/>
    <w:rsid w:val="322241F2"/>
    <w:rsid w:val="3225454D"/>
    <w:rsid w:val="322D5AFA"/>
    <w:rsid w:val="325B156D"/>
    <w:rsid w:val="3263454E"/>
    <w:rsid w:val="326A09D0"/>
    <w:rsid w:val="327756C1"/>
    <w:rsid w:val="32974C7A"/>
    <w:rsid w:val="32A0614B"/>
    <w:rsid w:val="32BB4ABE"/>
    <w:rsid w:val="32C65934"/>
    <w:rsid w:val="32C8549C"/>
    <w:rsid w:val="32CA16D9"/>
    <w:rsid w:val="32E83928"/>
    <w:rsid w:val="330D3F04"/>
    <w:rsid w:val="335D7EC3"/>
    <w:rsid w:val="33672310"/>
    <w:rsid w:val="338F53C2"/>
    <w:rsid w:val="33925662"/>
    <w:rsid w:val="339B7AA1"/>
    <w:rsid w:val="33B67B53"/>
    <w:rsid w:val="33B7637D"/>
    <w:rsid w:val="33D4661F"/>
    <w:rsid w:val="33F808BA"/>
    <w:rsid w:val="342A5DF5"/>
    <w:rsid w:val="344851FD"/>
    <w:rsid w:val="345F396D"/>
    <w:rsid w:val="34705124"/>
    <w:rsid w:val="34AA020B"/>
    <w:rsid w:val="34B75B90"/>
    <w:rsid w:val="34B76332"/>
    <w:rsid w:val="34BC17DA"/>
    <w:rsid w:val="34F85DA8"/>
    <w:rsid w:val="3509398E"/>
    <w:rsid w:val="3554479E"/>
    <w:rsid w:val="357C058F"/>
    <w:rsid w:val="357F00D0"/>
    <w:rsid w:val="35894506"/>
    <w:rsid w:val="359610EC"/>
    <w:rsid w:val="35A86D02"/>
    <w:rsid w:val="35B72988"/>
    <w:rsid w:val="35D8069B"/>
    <w:rsid w:val="360530D8"/>
    <w:rsid w:val="36162F1C"/>
    <w:rsid w:val="361F4C3A"/>
    <w:rsid w:val="365227BF"/>
    <w:rsid w:val="36557110"/>
    <w:rsid w:val="365F3B92"/>
    <w:rsid w:val="366244D5"/>
    <w:rsid w:val="36804AFE"/>
    <w:rsid w:val="36A82C1D"/>
    <w:rsid w:val="36B27FC4"/>
    <w:rsid w:val="36C342D9"/>
    <w:rsid w:val="36D03EEF"/>
    <w:rsid w:val="370F2E93"/>
    <w:rsid w:val="371074CE"/>
    <w:rsid w:val="374E35E0"/>
    <w:rsid w:val="37560CC6"/>
    <w:rsid w:val="376C6FA1"/>
    <w:rsid w:val="378D0CEB"/>
    <w:rsid w:val="379A026D"/>
    <w:rsid w:val="37A2207E"/>
    <w:rsid w:val="37ED6D6E"/>
    <w:rsid w:val="38793271"/>
    <w:rsid w:val="3884063D"/>
    <w:rsid w:val="38AE496C"/>
    <w:rsid w:val="38B54D45"/>
    <w:rsid w:val="38D242CD"/>
    <w:rsid w:val="38F771A1"/>
    <w:rsid w:val="390213B8"/>
    <w:rsid w:val="3908561E"/>
    <w:rsid w:val="3934018A"/>
    <w:rsid w:val="393E0C7A"/>
    <w:rsid w:val="39420C69"/>
    <w:rsid w:val="394A6F66"/>
    <w:rsid w:val="39821F75"/>
    <w:rsid w:val="398C3DB7"/>
    <w:rsid w:val="39F227B1"/>
    <w:rsid w:val="3A184BCA"/>
    <w:rsid w:val="3A292038"/>
    <w:rsid w:val="3A411531"/>
    <w:rsid w:val="3A524E6B"/>
    <w:rsid w:val="3A5B4E9F"/>
    <w:rsid w:val="3A762A49"/>
    <w:rsid w:val="3A9D28F5"/>
    <w:rsid w:val="3ACD43C9"/>
    <w:rsid w:val="3B266962"/>
    <w:rsid w:val="3B2F69DB"/>
    <w:rsid w:val="3B6A2EE5"/>
    <w:rsid w:val="3B702135"/>
    <w:rsid w:val="3B71545F"/>
    <w:rsid w:val="3B932344"/>
    <w:rsid w:val="3B9479A7"/>
    <w:rsid w:val="3B9D20F5"/>
    <w:rsid w:val="3BB33F88"/>
    <w:rsid w:val="3BD93153"/>
    <w:rsid w:val="3BDA6996"/>
    <w:rsid w:val="3C0A3047"/>
    <w:rsid w:val="3C2450C5"/>
    <w:rsid w:val="3C266642"/>
    <w:rsid w:val="3C2E50FB"/>
    <w:rsid w:val="3C37637A"/>
    <w:rsid w:val="3C4A12AD"/>
    <w:rsid w:val="3C5125FC"/>
    <w:rsid w:val="3C690ECB"/>
    <w:rsid w:val="3C8F227A"/>
    <w:rsid w:val="3C960BC8"/>
    <w:rsid w:val="3CA174DE"/>
    <w:rsid w:val="3CA509D1"/>
    <w:rsid w:val="3CD303A6"/>
    <w:rsid w:val="3CD93879"/>
    <w:rsid w:val="3CF66B0D"/>
    <w:rsid w:val="3D1B4642"/>
    <w:rsid w:val="3D2571D3"/>
    <w:rsid w:val="3D3F6323"/>
    <w:rsid w:val="3D7A2818"/>
    <w:rsid w:val="3D8106EA"/>
    <w:rsid w:val="3D834DF8"/>
    <w:rsid w:val="3D8F433C"/>
    <w:rsid w:val="3DA352B1"/>
    <w:rsid w:val="3DC60B7F"/>
    <w:rsid w:val="3DE97AD2"/>
    <w:rsid w:val="3E100FFC"/>
    <w:rsid w:val="3E201534"/>
    <w:rsid w:val="3E595FC6"/>
    <w:rsid w:val="3E651EE9"/>
    <w:rsid w:val="3E735CF7"/>
    <w:rsid w:val="3E946898"/>
    <w:rsid w:val="3E950079"/>
    <w:rsid w:val="3EBF4258"/>
    <w:rsid w:val="3F3C595E"/>
    <w:rsid w:val="3F59346C"/>
    <w:rsid w:val="3F657308"/>
    <w:rsid w:val="3F7856B5"/>
    <w:rsid w:val="3F8003ED"/>
    <w:rsid w:val="3F9954D3"/>
    <w:rsid w:val="3FB718D6"/>
    <w:rsid w:val="3FD0326B"/>
    <w:rsid w:val="3FD34D1A"/>
    <w:rsid w:val="3FFB7CE9"/>
    <w:rsid w:val="3FFC4A81"/>
    <w:rsid w:val="40031733"/>
    <w:rsid w:val="40076D3D"/>
    <w:rsid w:val="401F65F0"/>
    <w:rsid w:val="404C2292"/>
    <w:rsid w:val="405D572D"/>
    <w:rsid w:val="40620F95"/>
    <w:rsid w:val="406955D5"/>
    <w:rsid w:val="408D1EA0"/>
    <w:rsid w:val="409D2A1A"/>
    <w:rsid w:val="40B21FB5"/>
    <w:rsid w:val="40B52DEB"/>
    <w:rsid w:val="40C17F9E"/>
    <w:rsid w:val="40C43B66"/>
    <w:rsid w:val="411A4BA6"/>
    <w:rsid w:val="415978C8"/>
    <w:rsid w:val="415C1B4D"/>
    <w:rsid w:val="417843F2"/>
    <w:rsid w:val="418A1799"/>
    <w:rsid w:val="418F24EB"/>
    <w:rsid w:val="418F5F01"/>
    <w:rsid w:val="41A61C3F"/>
    <w:rsid w:val="41AC4278"/>
    <w:rsid w:val="41B17185"/>
    <w:rsid w:val="41B54036"/>
    <w:rsid w:val="41E4762D"/>
    <w:rsid w:val="41F05895"/>
    <w:rsid w:val="4226611D"/>
    <w:rsid w:val="4248208D"/>
    <w:rsid w:val="424E3D5C"/>
    <w:rsid w:val="425402BB"/>
    <w:rsid w:val="42564ADA"/>
    <w:rsid w:val="42857A83"/>
    <w:rsid w:val="428F4EFE"/>
    <w:rsid w:val="42AC2F79"/>
    <w:rsid w:val="42C56463"/>
    <w:rsid w:val="42D55162"/>
    <w:rsid w:val="42DF24BA"/>
    <w:rsid w:val="42FA6BD0"/>
    <w:rsid w:val="42FB4E01"/>
    <w:rsid w:val="4301585B"/>
    <w:rsid w:val="431B31A4"/>
    <w:rsid w:val="43316CFC"/>
    <w:rsid w:val="43412297"/>
    <w:rsid w:val="43413ED4"/>
    <w:rsid w:val="43476404"/>
    <w:rsid w:val="43594499"/>
    <w:rsid w:val="43636C3F"/>
    <w:rsid w:val="43701E7D"/>
    <w:rsid w:val="438073DF"/>
    <w:rsid w:val="438E2FDF"/>
    <w:rsid w:val="439D6340"/>
    <w:rsid w:val="43A32EDA"/>
    <w:rsid w:val="43F43505"/>
    <w:rsid w:val="43FD7280"/>
    <w:rsid w:val="441C5686"/>
    <w:rsid w:val="442C59F4"/>
    <w:rsid w:val="44477A7A"/>
    <w:rsid w:val="44A3694E"/>
    <w:rsid w:val="44AB34BD"/>
    <w:rsid w:val="44D43BF4"/>
    <w:rsid w:val="44DC0CFE"/>
    <w:rsid w:val="44DC4FCA"/>
    <w:rsid w:val="44E34E27"/>
    <w:rsid w:val="44F11FE8"/>
    <w:rsid w:val="45073943"/>
    <w:rsid w:val="454276A8"/>
    <w:rsid w:val="45465AD9"/>
    <w:rsid w:val="45A31600"/>
    <w:rsid w:val="45EF5694"/>
    <w:rsid w:val="45F32D75"/>
    <w:rsid w:val="45FE4441"/>
    <w:rsid w:val="4627123A"/>
    <w:rsid w:val="463A1299"/>
    <w:rsid w:val="463A35BA"/>
    <w:rsid w:val="46440391"/>
    <w:rsid w:val="46950A00"/>
    <w:rsid w:val="46A86AC5"/>
    <w:rsid w:val="46AE23CC"/>
    <w:rsid w:val="46AF0ACC"/>
    <w:rsid w:val="46CD2EA3"/>
    <w:rsid w:val="46F50298"/>
    <w:rsid w:val="471B210D"/>
    <w:rsid w:val="472052DC"/>
    <w:rsid w:val="47330BB1"/>
    <w:rsid w:val="47422869"/>
    <w:rsid w:val="474340E1"/>
    <w:rsid w:val="4754737E"/>
    <w:rsid w:val="476E5DEA"/>
    <w:rsid w:val="477956B0"/>
    <w:rsid w:val="477B022D"/>
    <w:rsid w:val="47914A33"/>
    <w:rsid w:val="479B0044"/>
    <w:rsid w:val="479C10BC"/>
    <w:rsid w:val="47A4380D"/>
    <w:rsid w:val="47A6297A"/>
    <w:rsid w:val="47B35BF8"/>
    <w:rsid w:val="47C041C7"/>
    <w:rsid w:val="47CD1E0C"/>
    <w:rsid w:val="48012A31"/>
    <w:rsid w:val="481D4366"/>
    <w:rsid w:val="48224F06"/>
    <w:rsid w:val="48463D34"/>
    <w:rsid w:val="485803F1"/>
    <w:rsid w:val="486942C4"/>
    <w:rsid w:val="48944C88"/>
    <w:rsid w:val="489A60FA"/>
    <w:rsid w:val="48B05292"/>
    <w:rsid w:val="48B971DC"/>
    <w:rsid w:val="48DD0215"/>
    <w:rsid w:val="48E6266C"/>
    <w:rsid w:val="48F556EA"/>
    <w:rsid w:val="48FA0664"/>
    <w:rsid w:val="48FF442C"/>
    <w:rsid w:val="4918776A"/>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AFD2C13"/>
    <w:rsid w:val="4B2159C1"/>
    <w:rsid w:val="4B311212"/>
    <w:rsid w:val="4B371F9D"/>
    <w:rsid w:val="4B4213B4"/>
    <w:rsid w:val="4B43535A"/>
    <w:rsid w:val="4B625BF7"/>
    <w:rsid w:val="4B8B418C"/>
    <w:rsid w:val="4BB54107"/>
    <w:rsid w:val="4BB67EEE"/>
    <w:rsid w:val="4BB75ABD"/>
    <w:rsid w:val="4BD21459"/>
    <w:rsid w:val="4BD53E7D"/>
    <w:rsid w:val="4BDA3E81"/>
    <w:rsid w:val="4BDC5109"/>
    <w:rsid w:val="4BE84FA7"/>
    <w:rsid w:val="4BF70C92"/>
    <w:rsid w:val="4BFD0513"/>
    <w:rsid w:val="4BFE3913"/>
    <w:rsid w:val="4C005E77"/>
    <w:rsid w:val="4C075089"/>
    <w:rsid w:val="4C1846F0"/>
    <w:rsid w:val="4C2B76C1"/>
    <w:rsid w:val="4C5429A3"/>
    <w:rsid w:val="4C645A11"/>
    <w:rsid w:val="4C87254B"/>
    <w:rsid w:val="4CA61ADB"/>
    <w:rsid w:val="4CC74C75"/>
    <w:rsid w:val="4D1C2C8C"/>
    <w:rsid w:val="4D1E77BE"/>
    <w:rsid w:val="4D245FC5"/>
    <w:rsid w:val="4D2B3B2C"/>
    <w:rsid w:val="4D4356BB"/>
    <w:rsid w:val="4D4E187F"/>
    <w:rsid w:val="4D706D60"/>
    <w:rsid w:val="4D772301"/>
    <w:rsid w:val="4DA943B0"/>
    <w:rsid w:val="4DBB2356"/>
    <w:rsid w:val="4DD64458"/>
    <w:rsid w:val="4DE4706D"/>
    <w:rsid w:val="4DEE51C1"/>
    <w:rsid w:val="4E046269"/>
    <w:rsid w:val="4E125AC9"/>
    <w:rsid w:val="4E135BFA"/>
    <w:rsid w:val="4E355E12"/>
    <w:rsid w:val="4E9B1112"/>
    <w:rsid w:val="4E9D2AC1"/>
    <w:rsid w:val="4EA06365"/>
    <w:rsid w:val="4ECB676A"/>
    <w:rsid w:val="4ED26FFB"/>
    <w:rsid w:val="4ED4046B"/>
    <w:rsid w:val="4EDF4B15"/>
    <w:rsid w:val="4EF43B16"/>
    <w:rsid w:val="4F167770"/>
    <w:rsid w:val="4F227C53"/>
    <w:rsid w:val="4F3153D3"/>
    <w:rsid w:val="4F37038B"/>
    <w:rsid w:val="4F4E6AF9"/>
    <w:rsid w:val="4F624F05"/>
    <w:rsid w:val="4F7C7C8F"/>
    <w:rsid w:val="4F804E7C"/>
    <w:rsid w:val="4F8C04F3"/>
    <w:rsid w:val="4F944D8F"/>
    <w:rsid w:val="4FA86E1B"/>
    <w:rsid w:val="4FAF47A1"/>
    <w:rsid w:val="4FE75F86"/>
    <w:rsid w:val="4FED0FB9"/>
    <w:rsid w:val="4FF01436"/>
    <w:rsid w:val="5002763C"/>
    <w:rsid w:val="50137461"/>
    <w:rsid w:val="502261F0"/>
    <w:rsid w:val="50802423"/>
    <w:rsid w:val="50A97681"/>
    <w:rsid w:val="50AE3B94"/>
    <w:rsid w:val="50B960CF"/>
    <w:rsid w:val="50E93575"/>
    <w:rsid w:val="50F04D4E"/>
    <w:rsid w:val="50F57385"/>
    <w:rsid w:val="50F6016F"/>
    <w:rsid w:val="51151213"/>
    <w:rsid w:val="51167BFA"/>
    <w:rsid w:val="511D6EF0"/>
    <w:rsid w:val="513F5114"/>
    <w:rsid w:val="51416DA1"/>
    <w:rsid w:val="51580FEA"/>
    <w:rsid w:val="515E6A1B"/>
    <w:rsid w:val="515E7C93"/>
    <w:rsid w:val="516B705C"/>
    <w:rsid w:val="5177537A"/>
    <w:rsid w:val="51A1217B"/>
    <w:rsid w:val="51BC2004"/>
    <w:rsid w:val="51CB74F6"/>
    <w:rsid w:val="51D13948"/>
    <w:rsid w:val="51D17FFD"/>
    <w:rsid w:val="51EB5979"/>
    <w:rsid w:val="52086B8C"/>
    <w:rsid w:val="521A0101"/>
    <w:rsid w:val="522D1CB6"/>
    <w:rsid w:val="5243562D"/>
    <w:rsid w:val="52660A26"/>
    <w:rsid w:val="52717995"/>
    <w:rsid w:val="52990759"/>
    <w:rsid w:val="52B87033"/>
    <w:rsid w:val="52E56296"/>
    <w:rsid w:val="53165A69"/>
    <w:rsid w:val="531B72EC"/>
    <w:rsid w:val="531E35FC"/>
    <w:rsid w:val="532C2C22"/>
    <w:rsid w:val="533E6E17"/>
    <w:rsid w:val="5343182D"/>
    <w:rsid w:val="53607B9C"/>
    <w:rsid w:val="536C4A63"/>
    <w:rsid w:val="53993406"/>
    <w:rsid w:val="53A201DA"/>
    <w:rsid w:val="53A409AA"/>
    <w:rsid w:val="53B22D34"/>
    <w:rsid w:val="53C06927"/>
    <w:rsid w:val="53EF2FDD"/>
    <w:rsid w:val="540540F5"/>
    <w:rsid w:val="542913B3"/>
    <w:rsid w:val="543F18BA"/>
    <w:rsid w:val="54705A29"/>
    <w:rsid w:val="54883400"/>
    <w:rsid w:val="54B8748D"/>
    <w:rsid w:val="54C85ABD"/>
    <w:rsid w:val="54DE5D86"/>
    <w:rsid w:val="550922BB"/>
    <w:rsid w:val="550E49C6"/>
    <w:rsid w:val="552738F0"/>
    <w:rsid w:val="553E035B"/>
    <w:rsid w:val="55A47D96"/>
    <w:rsid w:val="55DA287E"/>
    <w:rsid w:val="56073162"/>
    <w:rsid w:val="560C1692"/>
    <w:rsid w:val="561A48C1"/>
    <w:rsid w:val="563D619D"/>
    <w:rsid w:val="565076F1"/>
    <w:rsid w:val="56537C47"/>
    <w:rsid w:val="56657632"/>
    <w:rsid w:val="56A010C0"/>
    <w:rsid w:val="56D10359"/>
    <w:rsid w:val="56D42684"/>
    <w:rsid w:val="56DD2471"/>
    <w:rsid w:val="5700351E"/>
    <w:rsid w:val="57210A6D"/>
    <w:rsid w:val="573831E9"/>
    <w:rsid w:val="573A06A5"/>
    <w:rsid w:val="57543081"/>
    <w:rsid w:val="57747120"/>
    <w:rsid w:val="57822360"/>
    <w:rsid w:val="57B5303D"/>
    <w:rsid w:val="57B65A36"/>
    <w:rsid w:val="57C83C57"/>
    <w:rsid w:val="57ED3AEF"/>
    <w:rsid w:val="57F81F57"/>
    <w:rsid w:val="581D41A6"/>
    <w:rsid w:val="582028C2"/>
    <w:rsid w:val="58204FD5"/>
    <w:rsid w:val="58243758"/>
    <w:rsid w:val="582908A2"/>
    <w:rsid w:val="583D07DD"/>
    <w:rsid w:val="58504C30"/>
    <w:rsid w:val="585F1862"/>
    <w:rsid w:val="58620D26"/>
    <w:rsid w:val="58706FB1"/>
    <w:rsid w:val="58783F85"/>
    <w:rsid w:val="587C5983"/>
    <w:rsid w:val="591C580B"/>
    <w:rsid w:val="5926497A"/>
    <w:rsid w:val="59A11353"/>
    <w:rsid w:val="59AE43F1"/>
    <w:rsid w:val="59C61AC7"/>
    <w:rsid w:val="59C73A62"/>
    <w:rsid w:val="5A0336C4"/>
    <w:rsid w:val="5A381296"/>
    <w:rsid w:val="5A391B40"/>
    <w:rsid w:val="5A3952EF"/>
    <w:rsid w:val="5A70211C"/>
    <w:rsid w:val="5AAB2A29"/>
    <w:rsid w:val="5AAC7307"/>
    <w:rsid w:val="5AAD44EE"/>
    <w:rsid w:val="5AD07CB2"/>
    <w:rsid w:val="5AD448DF"/>
    <w:rsid w:val="5AEF1DC1"/>
    <w:rsid w:val="5B4B2EB1"/>
    <w:rsid w:val="5B570332"/>
    <w:rsid w:val="5B5F0395"/>
    <w:rsid w:val="5B6300A3"/>
    <w:rsid w:val="5B6C0ED6"/>
    <w:rsid w:val="5B750097"/>
    <w:rsid w:val="5B790B4E"/>
    <w:rsid w:val="5B7A2400"/>
    <w:rsid w:val="5BB71DB2"/>
    <w:rsid w:val="5BD32897"/>
    <w:rsid w:val="5C061F9E"/>
    <w:rsid w:val="5C295CCC"/>
    <w:rsid w:val="5C66538F"/>
    <w:rsid w:val="5C872DAA"/>
    <w:rsid w:val="5C884199"/>
    <w:rsid w:val="5C974816"/>
    <w:rsid w:val="5C9C6263"/>
    <w:rsid w:val="5CA97228"/>
    <w:rsid w:val="5CBA57BD"/>
    <w:rsid w:val="5CBB0E9C"/>
    <w:rsid w:val="5CEE7B85"/>
    <w:rsid w:val="5CF73D69"/>
    <w:rsid w:val="5D035BF6"/>
    <w:rsid w:val="5D4700C2"/>
    <w:rsid w:val="5D5A1D40"/>
    <w:rsid w:val="5D6C4615"/>
    <w:rsid w:val="5D7C5A81"/>
    <w:rsid w:val="5D8813BF"/>
    <w:rsid w:val="5DD31E8F"/>
    <w:rsid w:val="5DDF2196"/>
    <w:rsid w:val="5DFF05CD"/>
    <w:rsid w:val="5E1672C2"/>
    <w:rsid w:val="5E1B6033"/>
    <w:rsid w:val="5E2612F9"/>
    <w:rsid w:val="5E467062"/>
    <w:rsid w:val="5E534129"/>
    <w:rsid w:val="5E6E3C24"/>
    <w:rsid w:val="5E7255BD"/>
    <w:rsid w:val="5EA73AAF"/>
    <w:rsid w:val="5EBE317E"/>
    <w:rsid w:val="5EC14E33"/>
    <w:rsid w:val="5EEB1B2A"/>
    <w:rsid w:val="5EF357CB"/>
    <w:rsid w:val="5EF83794"/>
    <w:rsid w:val="5EFE216C"/>
    <w:rsid w:val="5F1F6F46"/>
    <w:rsid w:val="5F3E18BD"/>
    <w:rsid w:val="5F475677"/>
    <w:rsid w:val="5F567498"/>
    <w:rsid w:val="5F6C29EA"/>
    <w:rsid w:val="5F7B3AC3"/>
    <w:rsid w:val="5F8420E2"/>
    <w:rsid w:val="5F887220"/>
    <w:rsid w:val="5FB81E56"/>
    <w:rsid w:val="5FD85FDC"/>
    <w:rsid w:val="5FEC00EE"/>
    <w:rsid w:val="5FF628E8"/>
    <w:rsid w:val="6003190F"/>
    <w:rsid w:val="600951D4"/>
    <w:rsid w:val="601A25EF"/>
    <w:rsid w:val="601A55F7"/>
    <w:rsid w:val="60250EC1"/>
    <w:rsid w:val="6044067F"/>
    <w:rsid w:val="604642E4"/>
    <w:rsid w:val="60793AF7"/>
    <w:rsid w:val="6099592B"/>
    <w:rsid w:val="60A13AB9"/>
    <w:rsid w:val="60A7744C"/>
    <w:rsid w:val="60CF04AB"/>
    <w:rsid w:val="60D90C1B"/>
    <w:rsid w:val="60DB5486"/>
    <w:rsid w:val="60E82C1A"/>
    <w:rsid w:val="60EC0541"/>
    <w:rsid w:val="60FD245E"/>
    <w:rsid w:val="61102584"/>
    <w:rsid w:val="61247250"/>
    <w:rsid w:val="61251167"/>
    <w:rsid w:val="61573E97"/>
    <w:rsid w:val="61664F12"/>
    <w:rsid w:val="61757E7D"/>
    <w:rsid w:val="61AF6C07"/>
    <w:rsid w:val="61C52DA5"/>
    <w:rsid w:val="61EA093B"/>
    <w:rsid w:val="61FB7AA5"/>
    <w:rsid w:val="62117D72"/>
    <w:rsid w:val="62210A89"/>
    <w:rsid w:val="62277495"/>
    <w:rsid w:val="62285DB7"/>
    <w:rsid w:val="625E00F8"/>
    <w:rsid w:val="62923991"/>
    <w:rsid w:val="62E709EF"/>
    <w:rsid w:val="62E90396"/>
    <w:rsid w:val="62F26EC0"/>
    <w:rsid w:val="62F74F33"/>
    <w:rsid w:val="63090A2F"/>
    <w:rsid w:val="632A3D0D"/>
    <w:rsid w:val="633443AB"/>
    <w:rsid w:val="634E3941"/>
    <w:rsid w:val="63561245"/>
    <w:rsid w:val="638857E1"/>
    <w:rsid w:val="63C233E4"/>
    <w:rsid w:val="63C85688"/>
    <w:rsid w:val="63CA2510"/>
    <w:rsid w:val="63CD5666"/>
    <w:rsid w:val="63D01EF3"/>
    <w:rsid w:val="63D2038C"/>
    <w:rsid w:val="63F66CE6"/>
    <w:rsid w:val="640E7E19"/>
    <w:rsid w:val="647527CB"/>
    <w:rsid w:val="648A0F84"/>
    <w:rsid w:val="648E4974"/>
    <w:rsid w:val="649E65A7"/>
    <w:rsid w:val="64A45065"/>
    <w:rsid w:val="64AF4A3C"/>
    <w:rsid w:val="64B70C4D"/>
    <w:rsid w:val="64D075F2"/>
    <w:rsid w:val="64D14920"/>
    <w:rsid w:val="64EA382F"/>
    <w:rsid w:val="64ED3306"/>
    <w:rsid w:val="64FF3FF1"/>
    <w:rsid w:val="6511603A"/>
    <w:rsid w:val="65434194"/>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71C5A04"/>
    <w:rsid w:val="674B06E8"/>
    <w:rsid w:val="676777C3"/>
    <w:rsid w:val="677D4B8A"/>
    <w:rsid w:val="67802ACE"/>
    <w:rsid w:val="67804B33"/>
    <w:rsid w:val="67BC7C72"/>
    <w:rsid w:val="67C40A09"/>
    <w:rsid w:val="67D020A7"/>
    <w:rsid w:val="67E0560E"/>
    <w:rsid w:val="67EF59A2"/>
    <w:rsid w:val="681D6267"/>
    <w:rsid w:val="683220F2"/>
    <w:rsid w:val="683F1E9B"/>
    <w:rsid w:val="685C5B46"/>
    <w:rsid w:val="688C0656"/>
    <w:rsid w:val="689A4B04"/>
    <w:rsid w:val="68AE1735"/>
    <w:rsid w:val="68D60630"/>
    <w:rsid w:val="6922077E"/>
    <w:rsid w:val="697E7396"/>
    <w:rsid w:val="69A009FE"/>
    <w:rsid w:val="69A30E32"/>
    <w:rsid w:val="69F66247"/>
    <w:rsid w:val="69F86AAF"/>
    <w:rsid w:val="6A0A6EEB"/>
    <w:rsid w:val="6A1F6154"/>
    <w:rsid w:val="6A2746CC"/>
    <w:rsid w:val="6A5517EC"/>
    <w:rsid w:val="6A694BA1"/>
    <w:rsid w:val="6A7C79EE"/>
    <w:rsid w:val="6A9F3C0E"/>
    <w:rsid w:val="6ABC3292"/>
    <w:rsid w:val="6AD34458"/>
    <w:rsid w:val="6AD37813"/>
    <w:rsid w:val="6ADF25FC"/>
    <w:rsid w:val="6AE17930"/>
    <w:rsid w:val="6B020CD0"/>
    <w:rsid w:val="6B0C60EB"/>
    <w:rsid w:val="6B1148AC"/>
    <w:rsid w:val="6B1C1758"/>
    <w:rsid w:val="6B1F67CE"/>
    <w:rsid w:val="6B1F6D6A"/>
    <w:rsid w:val="6B496FC7"/>
    <w:rsid w:val="6B4A5562"/>
    <w:rsid w:val="6B565807"/>
    <w:rsid w:val="6B6358D9"/>
    <w:rsid w:val="6B6A7BB0"/>
    <w:rsid w:val="6B7A369F"/>
    <w:rsid w:val="6BAC2823"/>
    <w:rsid w:val="6BB45C26"/>
    <w:rsid w:val="6BBB0690"/>
    <w:rsid w:val="6BBD5024"/>
    <w:rsid w:val="6BE563FB"/>
    <w:rsid w:val="6BF37DF1"/>
    <w:rsid w:val="6BF75233"/>
    <w:rsid w:val="6BFA22C8"/>
    <w:rsid w:val="6C233FFC"/>
    <w:rsid w:val="6C630CE9"/>
    <w:rsid w:val="6CE0793D"/>
    <w:rsid w:val="6CEC0F34"/>
    <w:rsid w:val="6CF73CA4"/>
    <w:rsid w:val="6D005FF7"/>
    <w:rsid w:val="6D05105B"/>
    <w:rsid w:val="6D0D4EC9"/>
    <w:rsid w:val="6D171651"/>
    <w:rsid w:val="6D207FCD"/>
    <w:rsid w:val="6D2B5B01"/>
    <w:rsid w:val="6D381497"/>
    <w:rsid w:val="6D6A2DB3"/>
    <w:rsid w:val="6D6A69AA"/>
    <w:rsid w:val="6D79127B"/>
    <w:rsid w:val="6D895F92"/>
    <w:rsid w:val="6DD91C20"/>
    <w:rsid w:val="6E01482E"/>
    <w:rsid w:val="6E0405DA"/>
    <w:rsid w:val="6E403BCF"/>
    <w:rsid w:val="6E424CF7"/>
    <w:rsid w:val="6E66587A"/>
    <w:rsid w:val="6E6A2339"/>
    <w:rsid w:val="6E6D0CF1"/>
    <w:rsid w:val="6E96703D"/>
    <w:rsid w:val="6E984122"/>
    <w:rsid w:val="6EC4761A"/>
    <w:rsid w:val="6ED26905"/>
    <w:rsid w:val="6EE20566"/>
    <w:rsid w:val="6EF513F6"/>
    <w:rsid w:val="6EF773A4"/>
    <w:rsid w:val="6EF8649B"/>
    <w:rsid w:val="6F1F0771"/>
    <w:rsid w:val="6F2A3731"/>
    <w:rsid w:val="6F3669E2"/>
    <w:rsid w:val="6F3A0437"/>
    <w:rsid w:val="6F452492"/>
    <w:rsid w:val="6F4E1ABB"/>
    <w:rsid w:val="6F65489B"/>
    <w:rsid w:val="6F9E4E98"/>
    <w:rsid w:val="6FA72F23"/>
    <w:rsid w:val="6FC169C6"/>
    <w:rsid w:val="700148B1"/>
    <w:rsid w:val="701B23F8"/>
    <w:rsid w:val="70262445"/>
    <w:rsid w:val="702C1F44"/>
    <w:rsid w:val="704C56BE"/>
    <w:rsid w:val="709304FC"/>
    <w:rsid w:val="70BA4068"/>
    <w:rsid w:val="70D972E2"/>
    <w:rsid w:val="70F36F46"/>
    <w:rsid w:val="71231B23"/>
    <w:rsid w:val="714633CE"/>
    <w:rsid w:val="717A4816"/>
    <w:rsid w:val="717F6159"/>
    <w:rsid w:val="71815EAB"/>
    <w:rsid w:val="718621EE"/>
    <w:rsid w:val="71894FD2"/>
    <w:rsid w:val="719C0849"/>
    <w:rsid w:val="71A3311F"/>
    <w:rsid w:val="71C94917"/>
    <w:rsid w:val="71DA48AF"/>
    <w:rsid w:val="72005730"/>
    <w:rsid w:val="7202345C"/>
    <w:rsid w:val="72201D39"/>
    <w:rsid w:val="72386C6E"/>
    <w:rsid w:val="723A3057"/>
    <w:rsid w:val="72400885"/>
    <w:rsid w:val="725273EA"/>
    <w:rsid w:val="725B1897"/>
    <w:rsid w:val="72603689"/>
    <w:rsid w:val="726C47BC"/>
    <w:rsid w:val="72CD2240"/>
    <w:rsid w:val="72DE6017"/>
    <w:rsid w:val="72EC4E12"/>
    <w:rsid w:val="7308325D"/>
    <w:rsid w:val="733F7A24"/>
    <w:rsid w:val="735C44F0"/>
    <w:rsid w:val="736A01CD"/>
    <w:rsid w:val="73741988"/>
    <w:rsid w:val="73814929"/>
    <w:rsid w:val="7393399F"/>
    <w:rsid w:val="73984022"/>
    <w:rsid w:val="73D67D9C"/>
    <w:rsid w:val="73DD3B38"/>
    <w:rsid w:val="73E15CA0"/>
    <w:rsid w:val="73E2421D"/>
    <w:rsid w:val="74000D97"/>
    <w:rsid w:val="74017B4B"/>
    <w:rsid w:val="74150C9D"/>
    <w:rsid w:val="746A6AAD"/>
    <w:rsid w:val="747A4FBC"/>
    <w:rsid w:val="74994B58"/>
    <w:rsid w:val="74D94903"/>
    <w:rsid w:val="74DC7834"/>
    <w:rsid w:val="74E271F1"/>
    <w:rsid w:val="74FB6D20"/>
    <w:rsid w:val="7551327B"/>
    <w:rsid w:val="75541AA3"/>
    <w:rsid w:val="755F782E"/>
    <w:rsid w:val="75A16A9F"/>
    <w:rsid w:val="75E27D49"/>
    <w:rsid w:val="75EB2346"/>
    <w:rsid w:val="76034F5F"/>
    <w:rsid w:val="761867BE"/>
    <w:rsid w:val="7624491F"/>
    <w:rsid w:val="76365AD0"/>
    <w:rsid w:val="764350A1"/>
    <w:rsid w:val="76462BBA"/>
    <w:rsid w:val="765D57EA"/>
    <w:rsid w:val="767926C9"/>
    <w:rsid w:val="7688585F"/>
    <w:rsid w:val="76C53B2B"/>
    <w:rsid w:val="76F54CF0"/>
    <w:rsid w:val="76FD5906"/>
    <w:rsid w:val="770B684E"/>
    <w:rsid w:val="771702EE"/>
    <w:rsid w:val="77204CB1"/>
    <w:rsid w:val="7753763B"/>
    <w:rsid w:val="776F3C37"/>
    <w:rsid w:val="77876B11"/>
    <w:rsid w:val="77951FA8"/>
    <w:rsid w:val="77A14CDE"/>
    <w:rsid w:val="77AA2F7D"/>
    <w:rsid w:val="77C729A3"/>
    <w:rsid w:val="77CB0A4F"/>
    <w:rsid w:val="782B4A23"/>
    <w:rsid w:val="78302F8F"/>
    <w:rsid w:val="78413D2D"/>
    <w:rsid w:val="78510397"/>
    <w:rsid w:val="7874259E"/>
    <w:rsid w:val="78754CBA"/>
    <w:rsid w:val="78814E77"/>
    <w:rsid w:val="788B612E"/>
    <w:rsid w:val="78A1304E"/>
    <w:rsid w:val="78CB3FEB"/>
    <w:rsid w:val="792F2FC5"/>
    <w:rsid w:val="793B5CE2"/>
    <w:rsid w:val="797B3C8A"/>
    <w:rsid w:val="797F45FC"/>
    <w:rsid w:val="798300B5"/>
    <w:rsid w:val="79DB75C0"/>
    <w:rsid w:val="79E37881"/>
    <w:rsid w:val="79EA2E0E"/>
    <w:rsid w:val="79ED08FA"/>
    <w:rsid w:val="7A067AFA"/>
    <w:rsid w:val="7A0C585A"/>
    <w:rsid w:val="7A2C7450"/>
    <w:rsid w:val="7A326B5A"/>
    <w:rsid w:val="7A3A4AA6"/>
    <w:rsid w:val="7A616D0A"/>
    <w:rsid w:val="7A78495E"/>
    <w:rsid w:val="7A7F2C76"/>
    <w:rsid w:val="7A9876AA"/>
    <w:rsid w:val="7A9C2983"/>
    <w:rsid w:val="7AA75FD2"/>
    <w:rsid w:val="7AAC462A"/>
    <w:rsid w:val="7AF84FA0"/>
    <w:rsid w:val="7AF909C6"/>
    <w:rsid w:val="7B330A87"/>
    <w:rsid w:val="7B367302"/>
    <w:rsid w:val="7B415613"/>
    <w:rsid w:val="7B46280B"/>
    <w:rsid w:val="7B6F1BD0"/>
    <w:rsid w:val="7B732126"/>
    <w:rsid w:val="7B755C15"/>
    <w:rsid w:val="7B8E1216"/>
    <w:rsid w:val="7B9A1345"/>
    <w:rsid w:val="7BA100E3"/>
    <w:rsid w:val="7BB27AE4"/>
    <w:rsid w:val="7BC6210E"/>
    <w:rsid w:val="7BCA6C86"/>
    <w:rsid w:val="7BF32D06"/>
    <w:rsid w:val="7C044DA1"/>
    <w:rsid w:val="7CA33449"/>
    <w:rsid w:val="7D0A0BA4"/>
    <w:rsid w:val="7D4253C7"/>
    <w:rsid w:val="7D8E577D"/>
    <w:rsid w:val="7D99139D"/>
    <w:rsid w:val="7D9A426A"/>
    <w:rsid w:val="7D9D0BA6"/>
    <w:rsid w:val="7DCB52C5"/>
    <w:rsid w:val="7DCF4A14"/>
    <w:rsid w:val="7DDA5609"/>
    <w:rsid w:val="7DEA007E"/>
    <w:rsid w:val="7E2C100A"/>
    <w:rsid w:val="7E333E03"/>
    <w:rsid w:val="7E391FE6"/>
    <w:rsid w:val="7E450EC4"/>
    <w:rsid w:val="7E7F4C37"/>
    <w:rsid w:val="7E90531E"/>
    <w:rsid w:val="7E916762"/>
    <w:rsid w:val="7EA916FD"/>
    <w:rsid w:val="7EB42C24"/>
    <w:rsid w:val="7EE53C64"/>
    <w:rsid w:val="7EF330F4"/>
    <w:rsid w:val="7EF4442A"/>
    <w:rsid w:val="7F437962"/>
    <w:rsid w:val="7F541580"/>
    <w:rsid w:val="7F611935"/>
    <w:rsid w:val="7F667225"/>
    <w:rsid w:val="7F8F683E"/>
    <w:rsid w:val="7FAA1C29"/>
    <w:rsid w:val="7FAC4830"/>
    <w:rsid w:val="7FC732C5"/>
    <w:rsid w:val="7FCC55AD"/>
    <w:rsid w:val="7FDA0E8C"/>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80</TotalTime>
  <ScaleCrop>false</ScaleCrop>
  <LinksUpToDate>false</LinksUpToDate>
  <CharactersWithSpaces>14020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2020-08-25T07:03:00Z</cp:lastPrinted>
  <dcterms:modified xsi:type="dcterms:W3CDTF">2020-09-02T03:13:07Z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