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strike/>
          <w:kern w:val="0"/>
          <w:sz w:val="32"/>
          <w:szCs w:val="32"/>
        </w:rPr>
      </w:pPr>
    </w:p>
    <w:p>
      <w:pPr>
        <w:wordWrap w:val="0"/>
        <w:spacing w:line="520" w:lineRule="exact"/>
        <w:jc w:val="center"/>
        <w:rPr>
          <w:rFonts w:ascii="Times New Roman" w:hAnsi="Times New Roman" w:eastAsia="黑体" w:cs="Times New Roman"/>
          <w:kern w:val="0"/>
          <w:sz w:val="36"/>
          <w:szCs w:val="36"/>
        </w:rPr>
      </w:pPr>
    </w:p>
    <w:p>
      <w:pPr>
        <w:wordWrap w:val="0"/>
        <w:jc w:val="center"/>
        <w:rPr>
          <w:rFonts w:ascii="Times New Roman" w:hAnsi="Times New Roman" w:eastAsia="黑体" w:cs="Times New Roman"/>
          <w:kern w:val="0"/>
          <w:sz w:val="44"/>
          <w:szCs w:val="44"/>
        </w:rPr>
      </w:pPr>
      <w:r>
        <w:rPr>
          <w:rFonts w:hint="eastAsia" w:ascii="Times New Roman" w:hAnsi="Times New Roman" w:eastAsia="黑体" w:cs="Times New Roman"/>
          <w:kern w:val="0"/>
          <w:sz w:val="44"/>
          <w:szCs w:val="44"/>
        </w:rPr>
        <w:t>亳州市货车停车场综合体项目设计</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招</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BZJK-2020-038号</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r>
        <w:rPr>
          <w:rFonts w:hint="eastAsia" w:ascii="Times New Roman" w:hAnsi="Times New Roman" w:eastAsia="楷体" w:cs="Times New Roman"/>
          <w:kern w:val="0"/>
          <w:sz w:val="32"/>
          <w:szCs w:val="32"/>
        </w:rPr>
        <w:t>亳州交通投资控股集团有限公司</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r>
        <w:rPr>
          <w:rFonts w:hint="eastAsia" w:ascii="Times New Roman" w:hAnsi="Times New Roman" w:eastAsia="楷体" w:cs="Times New Roman"/>
          <w:kern w:val="0"/>
          <w:sz w:val="32"/>
          <w:szCs w:val="32"/>
        </w:rPr>
        <w:t>二〇二〇年八月</w:t>
      </w:r>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第一章 招标公告....................................................................1</w:t>
      </w: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rPr>
        <w:t>5</w:t>
      </w: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11</w:t>
      </w: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第四章 合同条款及格式......................................</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18</w:t>
      </w: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第五章 </w:t>
      </w:r>
      <w:r>
        <w:rPr>
          <w:rFonts w:hint="eastAsia" w:ascii="Times New Roman" w:hAnsi="Times New Roman" w:eastAsia="黑体" w:cs="Times New Roman"/>
          <w:kern w:val="0"/>
          <w:sz w:val="32"/>
          <w:szCs w:val="32"/>
        </w:rPr>
        <w:t>发包人要求</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...19</w:t>
      </w: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....20</w:t>
      </w:r>
    </w:p>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40" w:right="1800" w:bottom="1440" w:left="1800" w:header="851" w:footer="992" w:gutter="0"/>
          <w:pgNumType w:start="1"/>
          <w:cols w:space="0" w:num="1"/>
          <w:docGrid w:type="lines" w:linePitch="312" w:charSpace="0"/>
        </w:sectPr>
      </w:pPr>
    </w:p>
    <w:p>
      <w:pPr>
        <w:wordWrap w:val="0"/>
        <w:spacing w:line="480" w:lineRule="exact"/>
        <w:jc w:val="center"/>
        <w:rPr>
          <w:rFonts w:ascii="Times New Roman" w:hAnsi="Times New Roman" w:eastAsia="仿宋_GB2312" w:cs="Times New Roman"/>
          <w:sz w:val="28"/>
          <w:szCs w:val="28"/>
        </w:rPr>
      </w:pPr>
      <w:r>
        <w:rPr>
          <w:rFonts w:hint="eastAsia" w:asciiTheme="majorEastAsia" w:hAnsiTheme="majorEastAsia" w:eastAsiaTheme="majorEastAsia" w:cstheme="majorEastAsia"/>
          <w:b/>
          <w:bCs/>
          <w:sz w:val="32"/>
          <w:szCs w:val="32"/>
        </w:rPr>
        <w:t>第一章 招标公告</w:t>
      </w:r>
    </w:p>
    <w:p>
      <w:pPr>
        <w:wordWrap w:val="0"/>
        <w:spacing w:line="560" w:lineRule="exact"/>
        <w:jc w:val="center"/>
        <w:rPr>
          <w:rFonts w:ascii="Times New Roman" w:hAnsi="Times New Roman" w:eastAsia="仿宋_GB2312" w:cs="Times New Roman"/>
          <w:sz w:val="28"/>
          <w:szCs w:val="28"/>
        </w:rPr>
      </w:pPr>
      <w:r>
        <w:rPr>
          <w:rFonts w:hint="eastAsia" w:ascii="Times New Roman" w:hAnsi="Times New Roman" w:eastAsia="黑体" w:cs="Times New Roman"/>
          <w:sz w:val="28"/>
          <w:szCs w:val="28"/>
        </w:rPr>
        <w:t>亳州市货车停车场综合体项目设计</w:t>
      </w:r>
      <w:r>
        <w:rPr>
          <w:rFonts w:ascii="Times New Roman" w:hAnsi="Times New Roman" w:eastAsia="黑体" w:cs="Times New Roman"/>
          <w:sz w:val="28"/>
          <w:szCs w:val="28"/>
        </w:rPr>
        <w:t>招标公告</w:t>
      </w:r>
      <w:bookmarkStart w:id="0" w:name="_Toc179632536"/>
      <w:bookmarkStart w:id="1" w:name="_Toc152045519"/>
      <w:bookmarkStart w:id="2" w:name="_Toc152042295"/>
      <w:bookmarkStart w:id="3" w:name="_Toc246996166"/>
      <w:bookmarkStart w:id="4" w:name="_Toc296602410"/>
      <w:bookmarkStart w:id="5" w:name="_Toc144974487"/>
      <w:bookmarkStart w:id="6" w:name="_Toc247085680"/>
      <w:bookmarkStart w:id="7" w:name="_Toc246996909"/>
    </w:p>
    <w:p>
      <w:pPr>
        <w:wordWrap w:val="0"/>
        <w:spacing w:line="520" w:lineRule="exact"/>
        <w:ind w:firstLine="420" w:firstLineChars="200"/>
        <w:rPr>
          <w:rFonts w:asciiTheme="minorEastAsia" w:hAnsiTheme="minorEastAsia" w:cstheme="minorEastAsia"/>
          <w:szCs w:val="21"/>
        </w:rPr>
      </w:pPr>
      <w:r>
        <w:rPr>
          <w:rFonts w:hint="eastAsia" w:ascii="黑体" w:hAnsi="黑体" w:eastAsia="黑体" w:cs="黑体"/>
          <w:szCs w:val="21"/>
        </w:rPr>
        <w:t>一、招标条件</w:t>
      </w:r>
      <w:bookmarkEnd w:id="0"/>
      <w:bookmarkEnd w:id="1"/>
      <w:bookmarkEnd w:id="2"/>
      <w:bookmarkEnd w:id="3"/>
      <w:bookmarkEnd w:id="4"/>
      <w:bookmarkEnd w:id="5"/>
      <w:bookmarkEnd w:id="6"/>
      <w:bookmarkEnd w:id="7"/>
      <w:r>
        <w:rPr>
          <w:rFonts w:hint="eastAsia" w:asciiTheme="minorEastAsia" w:hAnsiTheme="minorEastAsia" w:cstheme="minorEastAsia"/>
          <w:szCs w:val="21"/>
        </w:rPr>
        <w:tab/>
      </w:r>
    </w:p>
    <w:p>
      <w:pPr>
        <w:wordWrap w:val="0"/>
        <w:spacing w:line="520" w:lineRule="exact"/>
        <w:ind w:firstLine="420" w:firstLineChars="200"/>
        <w:rPr>
          <w:rFonts w:asciiTheme="minorEastAsia" w:hAnsiTheme="minorEastAsia" w:cstheme="minorEastAsia"/>
          <w:szCs w:val="21"/>
        </w:rPr>
      </w:pPr>
      <w:bookmarkStart w:id="8" w:name="_Toc152042296"/>
      <w:bookmarkStart w:id="9" w:name="_Toc296602411"/>
      <w:bookmarkStart w:id="10" w:name="_Toc246996167"/>
      <w:bookmarkStart w:id="11" w:name="_Toc246996910"/>
      <w:bookmarkStart w:id="12" w:name="_Toc179632537"/>
      <w:bookmarkStart w:id="13" w:name="_Toc144974488"/>
      <w:bookmarkStart w:id="14" w:name="_Toc247085681"/>
      <w:bookmarkStart w:id="15" w:name="_Toc152045520"/>
      <w:r>
        <w:rPr>
          <w:rFonts w:hint="eastAsia" w:asciiTheme="minorEastAsia" w:hAnsiTheme="minorEastAsia" w:cstheme="minorEastAsia"/>
          <w:szCs w:val="21"/>
        </w:rPr>
        <w:t>本招标项目为</w:t>
      </w:r>
      <w:r>
        <w:rPr>
          <w:rFonts w:hint="eastAsia" w:asciiTheme="minorEastAsia" w:hAnsiTheme="minorEastAsia" w:cstheme="minorEastAsia"/>
          <w:szCs w:val="21"/>
          <w:u w:val="single"/>
        </w:rPr>
        <w:t>亳州市货车停车场综合体项目设计</w:t>
      </w:r>
      <w:r>
        <w:rPr>
          <w:rFonts w:hint="eastAsia" w:asciiTheme="minorEastAsia" w:hAnsiTheme="minorEastAsia" w:cstheme="minorEastAsia"/>
          <w:szCs w:val="21"/>
        </w:rPr>
        <w:t>，项目编号为</w:t>
      </w:r>
      <w:r>
        <w:rPr>
          <w:rFonts w:hint="eastAsia" w:asciiTheme="minorEastAsia" w:hAnsiTheme="minorEastAsia" w:cstheme="minorEastAsia"/>
          <w:szCs w:val="21"/>
          <w:u w:val="single"/>
        </w:rPr>
        <w:t>BZJK-2020-038号</w:t>
      </w:r>
      <w:r>
        <w:rPr>
          <w:rFonts w:hint="eastAsia" w:asciiTheme="minorEastAsia" w:hAnsiTheme="minorEastAsia" w:cstheme="minorEastAsia"/>
          <w:szCs w:val="21"/>
        </w:rPr>
        <w:t>，招标人为</w:t>
      </w:r>
      <w:r>
        <w:rPr>
          <w:rFonts w:hint="eastAsia" w:asciiTheme="minorEastAsia" w:hAnsiTheme="minorEastAsia" w:cstheme="minorEastAsia"/>
          <w:szCs w:val="21"/>
          <w:u w:val="single"/>
        </w:rPr>
        <w:t>亳州交通投资控股集团有限公司</w:t>
      </w:r>
      <w:r>
        <w:rPr>
          <w:rFonts w:hint="eastAsia" w:asciiTheme="minorEastAsia" w:hAnsiTheme="minorEastAsia" w:cstheme="minorEastAsia"/>
          <w:szCs w:val="21"/>
        </w:rPr>
        <w:t>，项目资金来自</w:t>
      </w:r>
      <w:r>
        <w:rPr>
          <w:rFonts w:hint="eastAsia" w:asciiTheme="minorEastAsia" w:hAnsiTheme="minorEastAsia" w:cstheme="minorEastAsia"/>
          <w:szCs w:val="21"/>
          <w:u w:val="single"/>
        </w:rPr>
        <w:t>政府专项债资金、企业自有资金</w:t>
      </w:r>
      <w:r>
        <w:rPr>
          <w:rFonts w:hint="eastAsia" w:asciiTheme="minorEastAsia" w:hAnsiTheme="minorEastAsia" w:cstheme="minorEastAsia"/>
          <w:szCs w:val="21"/>
        </w:rPr>
        <w:t>。项目已具备招标条件，现对该项目进行</w:t>
      </w:r>
      <w:r>
        <w:rPr>
          <w:rFonts w:hint="eastAsia" w:asciiTheme="minorEastAsia" w:hAnsiTheme="minorEastAsia" w:cstheme="minorEastAsia"/>
          <w:szCs w:val="21"/>
          <w:u w:val="single"/>
        </w:rPr>
        <w:t>自主公开招标</w:t>
      </w:r>
      <w:r>
        <w:rPr>
          <w:rFonts w:hint="eastAsia" w:asciiTheme="minorEastAsia" w:hAnsiTheme="minorEastAsia" w:cstheme="minorEastAsia"/>
          <w:szCs w:val="21"/>
        </w:rPr>
        <w:t>。</w:t>
      </w:r>
    </w:p>
    <w:p>
      <w:pPr>
        <w:wordWrap w:val="0"/>
        <w:spacing w:line="520" w:lineRule="exact"/>
        <w:ind w:firstLine="420" w:firstLineChars="200"/>
        <w:rPr>
          <w:rFonts w:ascii="黑体" w:hAnsi="黑体" w:eastAsia="黑体" w:cs="黑体"/>
          <w:szCs w:val="21"/>
        </w:rPr>
      </w:pPr>
      <w:r>
        <w:rPr>
          <w:rFonts w:hint="eastAsia" w:ascii="黑体" w:hAnsi="黑体" w:eastAsia="黑体" w:cs="黑体"/>
          <w:szCs w:val="21"/>
        </w:rPr>
        <w:t>二、项目概况与招标范围</w:t>
      </w:r>
      <w:bookmarkEnd w:id="8"/>
      <w:bookmarkEnd w:id="9"/>
      <w:bookmarkEnd w:id="10"/>
      <w:bookmarkEnd w:id="11"/>
      <w:bookmarkEnd w:id="12"/>
      <w:bookmarkEnd w:id="13"/>
      <w:bookmarkEnd w:id="14"/>
      <w:bookmarkEnd w:id="15"/>
    </w:p>
    <w:p>
      <w:pPr>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（一）项目概况：本项目分为两个地块，总占地面积约为150422 m</w:t>
      </w:r>
      <w:r>
        <w:rPr>
          <w:rFonts w:hint="eastAsia" w:asciiTheme="minorEastAsia" w:hAnsiTheme="minorEastAsia" w:cstheme="minorEastAsia"/>
          <w:szCs w:val="21"/>
          <w:vertAlign w:val="superscript"/>
        </w:rPr>
        <w:t>2</w:t>
      </w:r>
      <w:r>
        <w:rPr>
          <w:rFonts w:hint="eastAsia" w:asciiTheme="minorEastAsia" w:hAnsiTheme="minorEastAsia" w:cstheme="minorEastAsia"/>
          <w:szCs w:val="21"/>
        </w:rPr>
        <w:t xml:space="preserve"> （约225亩）。第一个地块位于安徽省亳州市十河镇G105以东（三里湖附近），占地面积约为86457 m</w:t>
      </w:r>
      <w:r>
        <w:rPr>
          <w:rFonts w:hint="eastAsia" w:asciiTheme="minorEastAsia" w:hAnsiTheme="minorEastAsia" w:cstheme="minorEastAsia"/>
          <w:szCs w:val="21"/>
          <w:vertAlign w:val="superscript"/>
        </w:rPr>
        <w:t>2</w:t>
      </w:r>
      <w:r>
        <w:rPr>
          <w:rFonts w:hint="eastAsia" w:asciiTheme="minorEastAsia" w:hAnsiTheme="minorEastAsia" w:cstheme="minorEastAsia"/>
          <w:szCs w:val="21"/>
        </w:rPr>
        <w:t>（约129.6亩）。第二个地块位于安徽省亳州市赵桥乡S309东侧姜园新村（亳州南高速出口附近），占地面积约为63965 m</w:t>
      </w:r>
      <w:r>
        <w:rPr>
          <w:rFonts w:hint="eastAsia" w:asciiTheme="minorEastAsia" w:hAnsiTheme="minorEastAsia" w:cstheme="minorEastAsia"/>
          <w:szCs w:val="21"/>
          <w:vertAlign w:val="superscript"/>
        </w:rPr>
        <w:t>2</w:t>
      </w:r>
      <w:r>
        <w:rPr>
          <w:rFonts w:hint="eastAsia" w:asciiTheme="minorEastAsia" w:hAnsiTheme="minorEastAsia" w:cstheme="minorEastAsia"/>
          <w:szCs w:val="21"/>
        </w:rPr>
        <w:t>（约96亩）。本项目计划建设停车位、配套建设货物临时中转区及办公用房等。具体建设内容与投资规模均以相关行政审批部门的批复为准。</w:t>
      </w:r>
    </w:p>
    <w:p>
      <w:pPr>
        <w:wordWrap w:val="0"/>
        <w:spacing w:line="520" w:lineRule="exact"/>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rPr>
        <w:t>（二）招标范围：本项目包括但不限于项目建议书、可研、勘察、</w:t>
      </w:r>
      <w:r>
        <w:rPr>
          <w:rFonts w:hint="eastAsia" w:asciiTheme="minorEastAsia" w:hAnsiTheme="minorEastAsia" w:cstheme="minorEastAsia"/>
          <w:szCs w:val="21"/>
          <w:lang w:val="en-US" w:eastAsia="zh-CN"/>
        </w:rPr>
        <w:t>环评、交通影响性评价、</w:t>
      </w:r>
      <w:r>
        <w:rPr>
          <w:rFonts w:hint="eastAsia" w:asciiTheme="minorEastAsia" w:hAnsiTheme="minorEastAsia" w:cstheme="minorEastAsia"/>
          <w:szCs w:val="21"/>
        </w:rPr>
        <w:t>方案设计、初步设计（项目概算）、施工图设计、施工图审查</w:t>
      </w:r>
      <w:r>
        <w:rPr>
          <w:rFonts w:hint="eastAsia" w:asciiTheme="minorEastAsia" w:hAnsiTheme="minorEastAsia" w:cstheme="minorEastAsia"/>
          <w:szCs w:val="21"/>
          <w:lang w:eastAsia="zh-CN"/>
        </w:rPr>
        <w:t>、</w:t>
      </w:r>
      <w:r>
        <w:rPr>
          <w:rFonts w:hint="eastAsia" w:asciiTheme="minorEastAsia" w:hAnsiTheme="minorEastAsia" w:cstheme="minorEastAsia"/>
          <w:szCs w:val="21"/>
          <w:lang w:val="en-US" w:eastAsia="zh-CN"/>
        </w:rPr>
        <w:t>施工图消防设计审核</w:t>
      </w:r>
      <w:r>
        <w:rPr>
          <w:rFonts w:hint="eastAsia" w:asciiTheme="minorEastAsia" w:hAnsiTheme="minorEastAsia" w:cstheme="minorEastAsia"/>
          <w:szCs w:val="21"/>
        </w:rPr>
        <w:t>（确保图审通过）以及后期全过程设计跟踪服务（施工期间派驻设计代表、设计修改、出具相关专题报告、竣工验收等配合工作）</w:t>
      </w:r>
      <w:r>
        <w:rPr>
          <w:rFonts w:hint="eastAsia" w:asciiTheme="minorEastAsia" w:hAnsiTheme="minorEastAsia" w:cstheme="minorEastAsia"/>
          <w:szCs w:val="21"/>
          <w:lang w:val="en-US" w:eastAsia="zh-CN"/>
        </w:rPr>
        <w:t>等</w:t>
      </w:r>
      <w:r>
        <w:rPr>
          <w:rFonts w:hint="eastAsia" w:asciiTheme="minorEastAsia" w:hAnsiTheme="minorEastAsia" w:cstheme="minorEastAsia"/>
          <w:szCs w:val="21"/>
        </w:rPr>
        <w:t>。内容应包括但不限于总平面设计、建筑、结构、水电、消防、弱电、暖通、亮化、市政给排水、道路、绿化景观、</w:t>
      </w:r>
      <w:r>
        <w:rPr>
          <w:rFonts w:hint="eastAsia" w:asciiTheme="minorEastAsia" w:hAnsiTheme="minorEastAsia" w:cstheme="minorEastAsia"/>
          <w:szCs w:val="21"/>
          <w:lang w:val="en-US" w:eastAsia="zh-CN"/>
        </w:rPr>
        <w:t>普通土建装饰</w:t>
      </w:r>
      <w:r>
        <w:rPr>
          <w:rFonts w:hint="eastAsia" w:asciiTheme="minorEastAsia" w:hAnsiTheme="minorEastAsia" w:cstheme="minorEastAsia"/>
          <w:szCs w:val="21"/>
        </w:rPr>
        <w:t>等专业设计，并通过政府主管部门的相关设计审查。</w:t>
      </w:r>
      <w:r>
        <w:rPr>
          <w:rFonts w:hint="eastAsia" w:asciiTheme="minorEastAsia" w:hAnsiTheme="minorEastAsia" w:cstheme="minorEastAsia"/>
          <w:szCs w:val="21"/>
          <w:lang w:val="en-US" w:eastAsia="zh-CN"/>
        </w:rPr>
        <w:t>正常施工时，若因甲方要求对图纸进行大幅度修改的，费用另行计算。</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（三）质量标准：符合国家、地方及行业现行法规、规范合格标准，满足招标人相关要求。</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（四）服务期限：设计服务期为自合同签订之日起至本工程竣工验收合格。</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（五）最高投标限价（含税）：</w:t>
      </w:r>
      <w:r>
        <w:rPr>
          <w:rFonts w:hint="eastAsia" w:asciiTheme="minorEastAsia" w:hAnsiTheme="minorEastAsia" w:cstheme="minorEastAsia"/>
          <w:b/>
          <w:bCs/>
          <w:szCs w:val="21"/>
        </w:rPr>
        <w:t>人民币（大写）玖拾柒万元整，（小写）970000元</w:t>
      </w:r>
      <w:r>
        <w:rPr>
          <w:rFonts w:hint="eastAsia" w:asciiTheme="minorEastAsia" w:hAnsiTheme="minorEastAsia" w:cstheme="minorEastAsia"/>
          <w:szCs w:val="21"/>
        </w:rPr>
        <w:t>。投标人按固定总价报价，投标报价超出限价的按无效投标处理；投标报价应包括为完成本项目的食宿费、差旅费、出具方案文本及图纸等后期服务所需的全部费用及税费，其他未尽事宜应统一考虑在报价内。</w:t>
      </w:r>
    </w:p>
    <w:p>
      <w:pPr>
        <w:wordWrap w:val="0"/>
        <w:spacing w:line="520" w:lineRule="exact"/>
        <w:ind w:firstLine="420" w:firstLineChars="200"/>
        <w:rPr>
          <w:rFonts w:ascii="黑体" w:hAnsi="黑体" w:eastAsia="黑体" w:cs="黑体"/>
          <w:szCs w:val="21"/>
        </w:rPr>
      </w:pPr>
      <w:r>
        <w:rPr>
          <w:rFonts w:hint="eastAsia" w:ascii="黑体" w:hAnsi="黑体" w:eastAsia="黑体" w:cs="黑体"/>
          <w:szCs w:val="21"/>
        </w:rPr>
        <w:t>三、投标人资格要求</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（一）本次招标要求投标人须具有独立法人资格，具备独立承担民事责任的能力；有依法缴纳税收的良好记录；</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（二）投标人具备建设行政主管部门颁发的工程设计建筑行业甲级资质或工程设计建筑行业（建筑工程）专业甲级资质或工程设计综合甲级资质；</w:t>
      </w:r>
    </w:p>
    <w:p>
      <w:pPr>
        <w:wordWrap w:val="0"/>
        <w:spacing w:line="520" w:lineRule="exact"/>
        <w:ind w:firstLine="420" w:firstLineChars="200"/>
        <w:rPr>
          <w:rFonts w:hint="eastAsia" w:asciiTheme="minorEastAsia" w:hAnsiTheme="minorEastAsia" w:cstheme="minorEastAsia"/>
          <w:szCs w:val="21"/>
        </w:rPr>
      </w:pPr>
      <w:r>
        <w:rPr>
          <w:rFonts w:hint="eastAsia" w:asciiTheme="minorEastAsia" w:hAnsiTheme="minorEastAsia" w:cstheme="minorEastAsia"/>
          <w:szCs w:val="21"/>
        </w:rPr>
        <w:t xml:space="preserve">（三）投标人提供2015年1月1日至今企业类似项目业绩至少1个，企业类似项目业绩是指单项合同金额不少于100万元的公共建筑设计服务项目或单项合同中建筑面积不少于50000平方米的项目提供设计服务的项目业绩。业绩以设计服务合同中设计服务费金额或载明的建筑面积为准，若合同中无法体现可由甲方出具的证明文件为准，合同以合同签订的时间为准，要求加盖投标人公章放入投标文件中； </w:t>
      </w:r>
    </w:p>
    <w:p>
      <w:pPr>
        <w:wordWrap w:val="0"/>
        <w:spacing w:line="52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szCs w:val="21"/>
        </w:rPr>
        <w:t>（四）拟派项目负责人须</w:t>
      </w:r>
      <w:r>
        <w:rPr>
          <w:rFonts w:hint="eastAsia" w:asciiTheme="minorEastAsia" w:hAnsiTheme="minorEastAsia" w:cstheme="minorEastAsia"/>
          <w:szCs w:val="21"/>
          <w:lang w:val="en-US" w:eastAsia="zh-CN"/>
        </w:rPr>
        <w:t>具有</w:t>
      </w:r>
      <w:r>
        <w:rPr>
          <w:rFonts w:hint="eastAsia" w:asciiTheme="minorEastAsia" w:hAnsiTheme="minorEastAsia" w:cstheme="minorEastAsia"/>
          <w:szCs w:val="21"/>
        </w:rPr>
        <w:t>建筑专业或城乡规划专业高级工程师职称证书。</w:t>
      </w:r>
      <w:r>
        <w:rPr>
          <w:rFonts w:asciiTheme="minorEastAsia" w:hAnsiTheme="minorEastAsia" w:cstheme="minorEastAsia"/>
          <w:color w:val="FF0000"/>
          <w:szCs w:val="21"/>
        </w:rPr>
        <w:t xml:space="preserve"> </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（六）本次招标</w:t>
      </w:r>
      <w:r>
        <w:rPr>
          <w:rFonts w:hint="eastAsia" w:asciiTheme="minorEastAsia" w:hAnsiTheme="minorEastAsia" w:cstheme="minorEastAsia"/>
          <w:szCs w:val="21"/>
          <w:u w:val="single"/>
        </w:rPr>
        <w:t>不接受</w:t>
      </w:r>
      <w:r>
        <w:rPr>
          <w:rFonts w:hint="eastAsia" w:asciiTheme="minorEastAsia" w:hAnsiTheme="minorEastAsia" w:cstheme="minorEastAsia"/>
          <w:szCs w:val="21"/>
        </w:rPr>
        <w:t>联合体投标。</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（七）投标人存在以下不良信用记录情形之一的，不得推荐为中标候选人，更不得确定为中标人：</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1.投标人被人民法院列入失信被执行人的；</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2.投标人或其法定代表人被人民检察院列入行贿犯罪档案的；</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3.投标人被工商行政管理部门列入企业经营异常名录的；</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4.投标人被税务部门列入重大税收违法案件当事人名单的；</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5.投标人被人力资源社会保障行政部门列入拖欠农民工工资“黑名单”的。</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r>
        <w:rPr>
          <w:rFonts w:hint="eastAsia" w:asciiTheme="minorEastAsia" w:hAnsiTheme="minorEastAsia" w:cstheme="minorEastAsia"/>
          <w:b/>
          <w:bCs/>
          <w:szCs w:val="21"/>
        </w:rPr>
        <w:t>投标人须提供相关网站查询结果截图，并加盖投标人公章放入投标文件中。</w:t>
      </w:r>
    </w:p>
    <w:p>
      <w:pPr>
        <w:wordWrap w:val="0"/>
        <w:spacing w:line="520" w:lineRule="exact"/>
        <w:ind w:firstLine="420" w:firstLineChars="200"/>
        <w:rPr>
          <w:rFonts w:ascii="黑体" w:hAnsi="黑体" w:eastAsia="黑体" w:cs="黑体"/>
          <w:szCs w:val="21"/>
        </w:rPr>
      </w:pPr>
      <w:r>
        <w:rPr>
          <w:rFonts w:hint="eastAsia" w:ascii="黑体" w:hAnsi="黑体" w:eastAsia="黑体" w:cs="黑体"/>
          <w:szCs w:val="21"/>
        </w:rPr>
        <w:t>四、招标文件的获取</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凡有意参加投标者，请于投标文件递交截止时间前到亳州交通投资控股集团有限公司官网信息公开栏（www.bzjkjt.com/article/index-94.html）自行下载电子招标文件及其他附件。</w:t>
      </w:r>
    </w:p>
    <w:p>
      <w:pPr>
        <w:wordWrap w:val="0"/>
        <w:spacing w:line="520" w:lineRule="exact"/>
        <w:ind w:firstLine="420" w:firstLineChars="200"/>
        <w:rPr>
          <w:rFonts w:ascii="黑体" w:hAnsi="黑体" w:eastAsia="黑体" w:cs="黑体"/>
          <w:szCs w:val="21"/>
        </w:rPr>
      </w:pPr>
      <w:r>
        <w:rPr>
          <w:rFonts w:hint="eastAsia" w:ascii="黑体" w:hAnsi="黑体" w:eastAsia="黑体" w:cs="黑体"/>
          <w:szCs w:val="21"/>
        </w:rPr>
        <w:t>五、投标文件的递交</w:t>
      </w:r>
    </w:p>
    <w:p>
      <w:pPr>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（一）投标文件递交的截止时间（投标截止时间，下同）为</w:t>
      </w:r>
      <w:r>
        <w:rPr>
          <w:rFonts w:hint="eastAsia" w:asciiTheme="minorEastAsia" w:hAnsiTheme="minorEastAsia" w:cstheme="minorEastAsia"/>
          <w:szCs w:val="21"/>
          <w:lang w:eastAsia="zh-CN"/>
        </w:rPr>
        <w:t>2020年9月1日9时00分</w:t>
      </w:r>
      <w:r>
        <w:rPr>
          <w:rFonts w:hint="eastAsia" w:asciiTheme="minorEastAsia" w:hAnsiTheme="minorEastAsia" w:cstheme="minorEastAsia"/>
          <w:szCs w:val="21"/>
        </w:rPr>
        <w:t>，地点为亳州交通投资控股集团有限公司8楼会议室（药都大道与希夷大道交叉口东北角8楼）。</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（二）逾期送达的、未送达指定地点的或者不按照招标文件要求密封的投标文件，招标人将予以拒收。</w:t>
      </w:r>
    </w:p>
    <w:p>
      <w:pPr>
        <w:wordWrap w:val="0"/>
        <w:spacing w:line="520" w:lineRule="exact"/>
        <w:ind w:firstLine="420" w:firstLineChars="200"/>
        <w:rPr>
          <w:rFonts w:ascii="黑体" w:hAnsi="黑体" w:eastAsia="黑体" w:cs="黑体"/>
          <w:szCs w:val="21"/>
        </w:rPr>
      </w:pPr>
      <w:r>
        <w:rPr>
          <w:rFonts w:hint="eastAsia" w:ascii="黑体" w:hAnsi="黑体" w:eastAsia="黑体" w:cs="黑体"/>
          <w:szCs w:val="21"/>
        </w:rPr>
        <w:t>六、发布公告的媒介</w:t>
      </w:r>
    </w:p>
    <w:p>
      <w:pPr>
        <w:spacing w:line="520" w:lineRule="exact"/>
        <w:ind w:firstLine="420" w:firstLineChars="200"/>
        <w:rPr>
          <w:rFonts w:asciiTheme="minorEastAsia" w:hAnsiTheme="minorEastAsia" w:cstheme="minorEastAsia"/>
          <w:b w:val="0"/>
          <w:bCs w:val="0"/>
          <w:color w:val="000000" w:themeColor="text1"/>
          <w:szCs w:val="21"/>
          <w:highlight w:val="none"/>
          <w14:textFill>
            <w14:solidFill>
              <w14:schemeClr w14:val="tx1"/>
            </w14:solidFill>
          </w14:textFill>
        </w:rPr>
      </w:pPr>
      <w:r>
        <w:rPr>
          <w:rFonts w:hint="eastAsia" w:asciiTheme="minorEastAsia" w:hAnsiTheme="minorEastAsia" w:cstheme="minorEastAsia"/>
          <w:b w:val="0"/>
          <w:bCs w:val="0"/>
          <w:color w:val="000000" w:themeColor="text1"/>
          <w:szCs w:val="21"/>
          <w:highlight w:val="none"/>
          <w14:textFill>
            <w14:solidFill>
              <w14:schemeClr w14:val="tx1"/>
            </w14:solidFill>
          </w14:textFill>
        </w:rPr>
        <w:t>本次招标公告同时在亳州交通投资控股集团有限公司官网（www.bzjkjt.com）、安徽省招标投标信息网（www.ahtba.org.cn）上发布。</w:t>
      </w:r>
    </w:p>
    <w:p>
      <w:pPr>
        <w:wordWrap w:val="0"/>
        <w:spacing w:line="520" w:lineRule="exact"/>
        <w:ind w:firstLine="420" w:firstLineChars="200"/>
        <w:rPr>
          <w:rFonts w:ascii="黑体" w:hAnsi="黑体" w:eastAsia="黑体" w:cs="黑体"/>
          <w:szCs w:val="21"/>
        </w:rPr>
      </w:pPr>
      <w:r>
        <w:rPr>
          <w:rFonts w:hint="eastAsia" w:ascii="黑体" w:hAnsi="黑体" w:eastAsia="黑体" w:cs="黑体"/>
          <w:szCs w:val="21"/>
        </w:rPr>
        <w:t>七、联系方式</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 标 人：亳州交通投资控股集团有限公司</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地    址：亳州市谯城区药都大道1289号</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联 系 人：邓工</w:t>
      </w:r>
    </w:p>
    <w:p>
      <w:pPr>
        <w:wordWrap w:val="0"/>
        <w:spacing w:line="520" w:lineRule="exact"/>
        <w:ind w:firstLine="420" w:firstLineChars="200"/>
        <w:rPr>
          <w:rFonts w:hint="eastAsia" w:asciiTheme="minorEastAsia" w:hAnsiTheme="minorEastAsia" w:cstheme="minorEastAsia"/>
          <w:szCs w:val="21"/>
        </w:rPr>
      </w:pPr>
      <w:r>
        <w:rPr>
          <w:rFonts w:hint="eastAsia" w:asciiTheme="minorEastAsia" w:hAnsiTheme="minorEastAsia" w:cstheme="minorEastAsia"/>
          <w:szCs w:val="21"/>
        </w:rPr>
        <w:t>电    话：18156793829</w:t>
      </w:r>
    </w:p>
    <w:p>
      <w:pPr>
        <w:wordWrap w:val="0"/>
        <w:spacing w:line="520" w:lineRule="exact"/>
        <w:ind w:firstLine="420" w:firstLineChars="200"/>
        <w:rPr>
          <w:rFonts w:hint="eastAsia" w:asciiTheme="minorEastAsia" w:hAnsiTheme="minorEastAsia" w:cstheme="minorEastAsia"/>
          <w:szCs w:val="21"/>
        </w:rPr>
      </w:pP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招标平台：亳州交控集团法务部（招投标中心）</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地    址：亳州市谯城区药都大道1289号</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联 系 人：才工</w:t>
      </w:r>
    </w:p>
    <w:p>
      <w:pPr>
        <w:wordWrap w:val="0"/>
        <w:spacing w:line="52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电    话：0558-5190035</w:t>
      </w:r>
    </w:p>
    <w:p>
      <w:pPr>
        <w:wordWrap w:val="0"/>
        <w:spacing w:line="520" w:lineRule="exact"/>
        <w:rPr>
          <w:rFonts w:asciiTheme="minorEastAsia" w:hAnsiTheme="minorEastAsia" w:cstheme="minorEastAsia"/>
          <w:szCs w:val="21"/>
        </w:rPr>
      </w:pPr>
    </w:p>
    <w:p>
      <w:pPr>
        <w:wordWrap w:val="0"/>
        <w:spacing w:line="520" w:lineRule="exact"/>
        <w:jc w:val="right"/>
        <w:rPr>
          <w:rFonts w:asciiTheme="minorEastAsia" w:hAnsiTheme="minorEastAsia" w:cstheme="minorEastAsia"/>
          <w:szCs w:val="21"/>
        </w:rPr>
      </w:pPr>
      <w:r>
        <w:rPr>
          <w:rFonts w:hint="eastAsia" w:asciiTheme="minorEastAsia" w:hAnsiTheme="minorEastAsia" w:cstheme="minorEastAsia"/>
          <w:szCs w:val="21"/>
        </w:rPr>
        <w:t>亳州交通投资控股集团有限公司</w:t>
      </w:r>
    </w:p>
    <w:p>
      <w:pPr>
        <w:wordWrap w:val="0"/>
        <w:spacing w:line="520" w:lineRule="exact"/>
        <w:ind w:firstLine="6930" w:firstLineChars="3300"/>
        <w:rPr>
          <w:rFonts w:ascii="Times New Roman" w:hAnsi="Times New Roman" w:eastAsia="仿宋_GB2312" w:cs="Times New Roman"/>
          <w:kern w:val="0"/>
          <w:sz w:val="32"/>
          <w:szCs w:val="32"/>
        </w:rPr>
      </w:pPr>
      <w:r>
        <w:rPr>
          <w:rFonts w:hint="eastAsia" w:eastAsia="仿宋_GB2312" w:asciiTheme="minorEastAsia" w:hAnsiTheme="minorEastAsia" w:cstheme="minorEastAsia"/>
          <w:szCs w:val="21"/>
          <w:lang w:eastAsia="zh-CN"/>
        </w:rPr>
        <w:t>2020年8月21日</w:t>
      </w:r>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p>
      <w:pPr>
        <w:spacing w:line="480" w:lineRule="exact"/>
        <w:rPr>
          <w:rFonts w:asciiTheme="majorEastAsia" w:hAnsiTheme="majorEastAsia" w:eastAsiaTheme="majorEastAsia" w:cstheme="majorEastAsia"/>
          <w:b/>
          <w:bCs/>
          <w:sz w:val="28"/>
          <w:szCs w:val="28"/>
        </w:rPr>
      </w:pPr>
    </w:p>
    <w:tbl>
      <w:tblPr>
        <w:tblStyle w:val="15"/>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w:t>
            </w:r>
            <w:r>
              <w:rPr>
                <w:rFonts w:hint="eastAsia" w:ascii="Times New Roman" w:hAnsi="Times New Roman" w:cs="Times New Roman"/>
                <w:szCs w:val="21"/>
                <w:highlight w:val="none"/>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招标</w:t>
            </w:r>
            <w:r>
              <w:rPr>
                <w:rFonts w:ascii="Times New Roman" w:hAnsi="Times New Roman" w:cs="Times New Roman"/>
                <w:szCs w:val="21"/>
                <w:highlight w:val="none"/>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资金来源</w:t>
            </w:r>
          </w:p>
        </w:tc>
        <w:tc>
          <w:tcPr>
            <w:tcW w:w="4339" w:type="dxa"/>
            <w:tcBorders>
              <w:top w:val="single" w:color="auto" w:sz="4" w:space="0"/>
              <w:left w:val="single" w:color="auto" w:sz="4" w:space="0"/>
              <w:bottom w:val="single" w:color="auto" w:sz="4" w:space="0"/>
              <w:right w:val="single" w:color="auto" w:sz="4" w:space="0"/>
            </w:tcBorders>
            <w:vAlign w:val="center"/>
          </w:tcPr>
          <w:p>
            <w:pPr>
              <w:tabs>
                <w:tab w:val="right" w:pos="4123"/>
              </w:tabs>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政府专项债资金、企业自有资金。</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服务期限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质量</w:t>
            </w:r>
            <w:r>
              <w:rPr>
                <w:rFonts w:hint="eastAsia" w:ascii="Times New Roman" w:hAnsi="Times New Roman" w:cs="Times New Roman"/>
                <w:szCs w:val="21"/>
                <w:highlight w:val="none"/>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投标人资质条件、能力</w:t>
            </w:r>
            <w:r>
              <w:rPr>
                <w:rFonts w:hint="eastAsia" w:ascii="Times New Roman" w:hAnsi="Times New Roman" w:cs="Times New Roman"/>
                <w:szCs w:val="21"/>
                <w:highlight w:val="none"/>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w:t>
            </w:r>
            <w:r>
              <w:rPr>
                <w:rFonts w:hint="eastAsia" w:ascii="Times New Roman" w:hAnsi="Times New Roman" w:cs="Times New Roman"/>
                <w:sz w:val="21"/>
                <w:szCs w:val="21"/>
                <w:highlight w:val="none"/>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32"/>
                <w:szCs w:val="32"/>
                <w:highlight w:val="none"/>
              </w:rPr>
            </w:pPr>
            <w:r>
              <w:rPr>
                <w:rFonts w:hint="eastAsia" w:ascii="Times New Roman" w:hAnsi="Times New Roman" w:cs="Times New Roman"/>
                <w:sz w:val="21"/>
                <w:szCs w:val="21"/>
                <w:highlight w:val="none"/>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不组织</w:t>
            </w:r>
            <w:r>
              <w:rPr>
                <w:rFonts w:hint="eastAsia" w:ascii="Times New Roman" w:hAnsi="Times New Roman" w:cs="Times New Roman"/>
                <w:sz w:val="21"/>
                <w:szCs w:val="21"/>
                <w:highlight w:val="none"/>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不具备相应资质的专业可以分包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21"/>
                <w:szCs w:val="21"/>
                <w:highlight w:val="none"/>
              </w:rPr>
            </w:pPr>
            <w:r>
              <w:rPr>
                <w:rFonts w:hint="eastAsia" w:ascii="Times New Roman" w:hAnsi="Times New Roman" w:cs="Times New Roman"/>
                <w:sz w:val="21"/>
                <w:szCs w:val="21"/>
                <w:highlight w:val="none"/>
              </w:rPr>
              <w:t>详见第一章招标公告、第四章合同条款及格式。</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w:t>
            </w:r>
            <w:r>
              <w:rPr>
                <w:rFonts w:hint="eastAsia" w:ascii="Times New Roman" w:hAnsi="Times New Roman" w:cs="Times New Roman"/>
                <w:szCs w:val="21"/>
                <w:highlight w:val="none"/>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21"/>
                <w:szCs w:val="21"/>
                <w:highlight w:val="none"/>
              </w:rPr>
            </w:pPr>
            <w:r>
              <w:rPr>
                <w:rFonts w:ascii="Times New Roman" w:hAnsi="Times New Roman" w:cs="Times New Roman"/>
                <w:sz w:val="21"/>
                <w:szCs w:val="21"/>
                <w:highlight w:val="none"/>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距投标截止时间止5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u w:val="single"/>
              </w:rPr>
            </w:pPr>
            <w:r>
              <w:rPr>
                <w:rFonts w:hint="eastAsia" w:ascii="Times New Roman" w:hAnsi="Times New Roman" w:cs="Times New Roman"/>
                <w:szCs w:val="21"/>
                <w:highlight w:val="none"/>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按固定总价报价。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投标截止之日起</w:t>
            </w:r>
            <w:r>
              <w:rPr>
                <w:rFonts w:ascii="Times New Roman" w:hAnsi="Times New Roman" w:cs="Times New Roman"/>
                <w:szCs w:val="21"/>
                <w:highlight w:val="none"/>
                <w:u w:val="single"/>
              </w:rPr>
              <w:t>90</w:t>
            </w:r>
            <w:r>
              <w:rPr>
                <w:rFonts w:ascii="Times New Roman" w:hAnsi="Times New Roman" w:cs="Times New Roman"/>
                <w:szCs w:val="21"/>
                <w:highlight w:val="none"/>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color w:val="FF0000"/>
                <w:szCs w:val="21"/>
                <w:highlight w:val="none"/>
              </w:rPr>
            </w:pPr>
            <w:r>
              <w:rPr>
                <w:rFonts w:ascii="Times New Roman" w:hAnsi="Times New Roman" w:cs="Times New Roman"/>
                <w:color w:val="auto"/>
                <w:szCs w:val="21"/>
                <w:highlight w:val="none"/>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是否要求投标人递交投标保证金：</w:t>
            </w:r>
          </w:p>
          <w:p>
            <w:pPr>
              <w:wordWrap w:val="0"/>
              <w:spacing w:line="430" w:lineRule="exact"/>
              <w:rPr>
                <w:rFonts w:ascii="Times New Roman" w:hAnsi="Times New Roman" w:cs="Times New Roman"/>
                <w:szCs w:val="21"/>
                <w:highlight w:val="none"/>
              </w:rPr>
            </w:pPr>
            <w:r>
              <w:rPr>
                <w:rFonts w:hint="eastAsia" w:ascii="Times New Roman" w:hAnsi="Times New Roman" w:cs="Times New Roman"/>
                <w:color w:val="000000" w:themeColor="text1"/>
                <w:sz w:val="32"/>
                <w:szCs w:val="32"/>
                <w:highlight w:val="none"/>
                <w:lang w:eastAsia="zh-CN"/>
                <w14:textFill>
                  <w14:solidFill>
                    <w14:schemeClr w14:val="tx1"/>
                  </w14:solidFill>
                </w14:textFill>
              </w:rPr>
              <w:t>☑</w:t>
            </w:r>
            <w:r>
              <w:rPr>
                <w:rFonts w:ascii="Times New Roman" w:hAnsi="Times New Roman" w:cs="Times New Roman"/>
                <w:szCs w:val="21"/>
                <w:highlight w:val="none"/>
              </w:rPr>
              <w:t>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投标保证金的形式：银行汇款或转账</w:t>
            </w:r>
          </w:p>
          <w:p>
            <w:pPr>
              <w:wordWrap w:val="0"/>
              <w:spacing w:line="430" w:lineRule="exact"/>
              <w:rPr>
                <w:rFonts w:ascii="Times New Roman" w:hAnsi="Times New Roman" w:cs="Times New Roman"/>
                <w:color w:val="FF0000"/>
                <w:szCs w:val="21"/>
                <w:highlight w:val="none"/>
              </w:rPr>
            </w:pPr>
            <w:r>
              <w:rPr>
                <w:rFonts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lang w:eastAsia="zh-CN"/>
              </w:rPr>
              <w:t>壹万玖仟</w:t>
            </w:r>
            <w:r>
              <w:rPr>
                <w:rFonts w:hint="eastAsia" w:ascii="Times New Roman" w:hAnsi="Times New Roman" w:cs="Times New Roman"/>
                <w:b/>
                <w:bCs/>
                <w:szCs w:val="21"/>
                <w:highlight w:val="none"/>
              </w:rPr>
              <w:t>元</w:t>
            </w:r>
            <w:r>
              <w:rPr>
                <w:rFonts w:ascii="Times New Roman" w:hAnsi="Times New Roman" w:cs="Times New Roman"/>
                <w:b/>
                <w:bCs/>
                <w:szCs w:val="21"/>
                <w:highlight w:val="none"/>
              </w:rPr>
              <w:t>整</w:t>
            </w:r>
            <w:r>
              <w:rPr>
                <w:rFonts w:ascii="Times New Roman" w:hAnsi="Times New Roman" w:cs="Times New Roman"/>
                <w:szCs w:val="21"/>
                <w:highlight w:val="none"/>
              </w:rPr>
              <w:t>，（小写）</w:t>
            </w:r>
            <w:r>
              <w:rPr>
                <w:rFonts w:hint="eastAsia" w:ascii="Times New Roman" w:hAnsi="Times New Roman" w:cs="Times New Roman"/>
                <w:b/>
                <w:bCs/>
                <w:szCs w:val="21"/>
                <w:highlight w:val="none"/>
                <w:lang w:val="en-US" w:eastAsia="zh-CN"/>
              </w:rPr>
              <w:t>19000</w:t>
            </w:r>
            <w:r>
              <w:rPr>
                <w:rFonts w:ascii="Times New Roman" w:hAnsi="Times New Roman" w:cs="Times New Roman"/>
                <w:szCs w:val="21"/>
                <w:highlight w:val="none"/>
              </w:rPr>
              <w:t>元</w:t>
            </w:r>
            <w:r>
              <w:rPr>
                <w:rFonts w:hint="eastAsia" w:ascii="Times New Roman" w:hAnsi="Times New Roman" w:cs="Times New Roman"/>
                <w:szCs w:val="21"/>
                <w:highlight w:val="none"/>
                <w:lang w:eastAsia="zh-CN"/>
              </w:rPr>
              <w:t>。</w:t>
            </w:r>
            <w:r>
              <w:rPr>
                <w:rFonts w:ascii="Times New Roman" w:hAnsi="Times New Roman" w:cs="Times New Roman"/>
                <w:color w:val="FF0000"/>
                <w:szCs w:val="21"/>
                <w:highlight w:val="none"/>
              </w:rPr>
              <w:t xml:space="preserve"> </w:t>
            </w:r>
          </w:p>
          <w:p>
            <w:pPr>
              <w:wordWrap w:val="0"/>
              <w:spacing w:line="43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收取投标保证金的账号信息：</w:t>
            </w:r>
          </w:p>
          <w:p>
            <w:pPr>
              <w:wordWrap w:val="0"/>
              <w:spacing w:line="43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开户名称：亳州交通投资控股集团有限公司</w:t>
            </w:r>
          </w:p>
          <w:p>
            <w:pPr>
              <w:wordWrap w:val="0"/>
              <w:spacing w:line="43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开户银行：中国农业银行亳州分行营业部</w:t>
            </w:r>
          </w:p>
          <w:p>
            <w:pPr>
              <w:wordWrap w:val="0"/>
              <w:spacing w:line="43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银行账号：12670801040009482</w:t>
            </w:r>
          </w:p>
          <w:p>
            <w:pPr>
              <w:wordWrap w:val="0"/>
              <w:spacing w:line="430" w:lineRule="exact"/>
              <w:rPr>
                <w:rFonts w:ascii="Times New Roman" w:hAnsi="Times New Roman" w:cs="Times New Roman"/>
                <w:color w:val="FF0000"/>
                <w:szCs w:val="21"/>
                <w:highlight w:val="none"/>
              </w:rPr>
            </w:pPr>
          </w:p>
          <w:p>
            <w:pPr>
              <w:wordWrap w:val="0"/>
              <w:spacing w:line="43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其他要求：</w:t>
            </w:r>
          </w:p>
          <w:p>
            <w:pPr>
              <w:wordWrap w:val="0"/>
              <w:spacing w:line="43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000000" w:themeColor="text1"/>
                <w:szCs w:val="21"/>
                <w:highlight w:val="none"/>
                <w14:textFill>
                  <w14:solidFill>
                    <w14:schemeClr w14:val="tx1"/>
                  </w14:solidFill>
                </w14:textFill>
              </w:rPr>
              <w:t>“</w:t>
            </w:r>
            <w:r>
              <w:rPr>
                <w:rFonts w:hint="eastAsia" w:ascii="Times New Roman" w:hAnsi="Times New Roman" w:cs="Times New Roman"/>
                <w:b/>
                <w:bCs/>
                <w:color w:val="000000" w:themeColor="text1"/>
                <w:szCs w:val="21"/>
                <w:highlight w:val="none"/>
                <w14:textFill>
                  <w14:solidFill>
                    <w14:schemeClr w14:val="tx1"/>
                  </w14:solidFill>
                </w14:textFill>
              </w:rPr>
              <w:t>BZJK-2020-038号保证金</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，否则</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责任自负。</w:t>
            </w:r>
          </w:p>
          <w:p>
            <w:pPr>
              <w:wordWrap w:val="0"/>
              <w:spacing w:line="43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p>
          <w:p>
            <w:pPr>
              <w:wordWrap w:val="0"/>
              <w:spacing w:line="43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投标保证金</w:t>
            </w:r>
            <w:r>
              <w:rPr>
                <w:rFonts w:hint="eastAsia" w:ascii="Times New Roman" w:hAnsi="Times New Roman" w:cs="Times New Roman"/>
                <w:b/>
                <w:bCs/>
                <w:color w:val="000000" w:themeColor="text1"/>
                <w:szCs w:val="21"/>
                <w:highlight w:val="none"/>
                <w14:textFill>
                  <w14:solidFill>
                    <w14:schemeClr w14:val="tx1"/>
                  </w14:solidFill>
                </w14:textFill>
              </w:rPr>
              <w:t>的</w:t>
            </w:r>
            <w:r>
              <w:rPr>
                <w:rFonts w:ascii="Times New Roman" w:hAnsi="Times New Roman" w:cs="Times New Roman"/>
                <w:b/>
                <w:bCs/>
                <w:color w:val="000000" w:themeColor="text1"/>
                <w:szCs w:val="21"/>
                <w:highlight w:val="none"/>
                <w14:textFill>
                  <w14:solidFill>
                    <w14:schemeClr w14:val="tx1"/>
                  </w14:solidFill>
                </w14:textFill>
              </w:rPr>
              <w:t>退还（无息）：</w:t>
            </w:r>
          </w:p>
          <w:p>
            <w:pPr>
              <w:wordWrap w:val="0"/>
              <w:spacing w:line="43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（1）招标不成功（或开标现场拒收投标文件）的，5日内直接退还至该投标人汇出帐户。</w:t>
            </w:r>
          </w:p>
          <w:p>
            <w:pPr>
              <w:wordWrap w:val="0"/>
              <w:spacing w:line="430" w:lineRule="exact"/>
              <w:ind w:firstLine="420" w:firstLineChars="200"/>
              <w:rPr>
                <w:rFonts w:ascii="Times New Roman" w:hAnsi="Times New Roman" w:cs="Times New Roman"/>
                <w:color w:val="FF0000"/>
                <w:szCs w:val="21"/>
                <w:highlight w:val="none"/>
              </w:rPr>
            </w:pPr>
            <w:r>
              <w:rPr>
                <w:rFonts w:ascii="Times New Roman" w:hAnsi="Times New Roman" w:cs="Times New Roman"/>
                <w:color w:val="000000" w:themeColor="text1"/>
                <w:szCs w:val="21"/>
                <w:highlight w:val="none"/>
                <w14:textFill>
                  <w14:solidFill>
                    <w14:schemeClr w14:val="tx1"/>
                  </w14:solidFill>
                </w14:textFill>
              </w:rPr>
              <w:t>（2）中标侯选人公示期满且确定中标人后，未中标人的投标保证金</w:t>
            </w:r>
            <w:r>
              <w:rPr>
                <w:rFonts w:hint="eastAsia" w:ascii="Times New Roman" w:hAnsi="Times New Roman" w:cs="Times New Roman"/>
                <w:color w:val="000000" w:themeColor="text1"/>
                <w:szCs w:val="21"/>
                <w:highlight w:val="none"/>
                <w14:textFill>
                  <w14:solidFill>
                    <w14:schemeClr w14:val="tx1"/>
                  </w14:solidFill>
                </w14:textFill>
              </w:rPr>
              <w:t>在</w:t>
            </w:r>
            <w:r>
              <w:rPr>
                <w:rFonts w:ascii="Times New Roman" w:hAnsi="Times New Roman" w:cs="Times New Roman"/>
                <w:color w:val="000000" w:themeColor="text1"/>
                <w:szCs w:val="21"/>
                <w:highlight w:val="none"/>
                <w14:textFill>
                  <w14:solidFill>
                    <w14:schemeClr w14:val="tx1"/>
                  </w14:solidFill>
                </w14:textFill>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1.中标人无正当理由不与招标人订立合同，在签订合同时向招标人提出附加条件，或者不按照招标文件要求提交履约保证金的，取消其中标资格，投标保证金不予退还；</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2.投标人采用不正当手段（串通投标、弄虚作假、行贿等）骗取中标的；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3.投标人经评标委员会认定为异常低价竞标或不以中标为目的的投标的；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4.投标人在投标有效期内撤回投标文件的；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b/>
                <w:bCs/>
                <w:szCs w:val="21"/>
                <w:highlight w:val="none"/>
              </w:rPr>
              <w:t>2018年至2019年</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b/>
                <w:bCs/>
                <w:szCs w:val="21"/>
                <w:highlight w:val="none"/>
              </w:rPr>
              <w:t>2015年1月1日至今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b/>
                <w:bCs/>
                <w:szCs w:val="21"/>
                <w:highlight w:val="none"/>
              </w:rPr>
              <w:t>2017年1月1日至今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投标文件份数：正本1份、副本4份</w:t>
            </w:r>
          </w:p>
          <w:p>
            <w:pPr>
              <w:wordWrap w:val="0"/>
              <w:spacing w:line="430" w:lineRule="exact"/>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是否要求提交电子版文件</w:t>
            </w:r>
            <w:r>
              <w:rPr>
                <w:rFonts w:hint="eastAsia" w:ascii="Times New Roman" w:hAnsi="Times New Roman" w:cs="Times New Roman"/>
                <w:color w:val="000000" w:themeColor="text1"/>
                <w:szCs w:val="21"/>
                <w:highlight w:val="none"/>
                <w14:textFill>
                  <w14:solidFill>
                    <w14:schemeClr w14:val="tx1"/>
                  </w14:solidFill>
                </w14:textFill>
              </w:rPr>
              <w:t>：</w:t>
            </w:r>
            <w:r>
              <w:rPr>
                <w:rFonts w:hint="eastAsia" w:ascii="Times New Roman" w:hAnsi="Times New Roman" w:cs="Times New Roman"/>
                <w:b/>
                <w:bCs/>
                <w:color w:val="000000" w:themeColor="text1"/>
                <w:szCs w:val="21"/>
                <w:highlight w:val="none"/>
                <w14:textFill>
                  <w14:solidFill>
                    <w14:schemeClr w14:val="tx1"/>
                  </w14:solidFill>
                </w14:textFill>
              </w:rPr>
              <w:t>是，以U盘形式提交。</w:t>
            </w:r>
          </w:p>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其他要求：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（1）所有正本与副本封装在一个密封袋中，且在投标文件封面标明“正本”或“副本”的字样；</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（2）投标文件应按要求密封，密封袋封口加盖投标单位印章；</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证书的复印件或扫描件，加盖投标人单位公章，装订入投标文件中。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w:t>
            </w:r>
            <w:r>
              <w:rPr>
                <w:rFonts w:hint="eastAsia" w:ascii="Times New Roman" w:hAnsi="Times New Roman" w:cs="Times New Roman"/>
                <w:szCs w:val="21"/>
                <w:highlight w:val="none"/>
              </w:rPr>
              <w:t>7</w:t>
            </w:r>
            <w:r>
              <w:rPr>
                <w:rFonts w:ascii="Times New Roman" w:hAnsi="Times New Roman" w:cs="Times New Roman"/>
                <w:szCs w:val="21"/>
                <w:highlight w:val="none"/>
              </w:rPr>
              <w:t>.3</w:t>
            </w:r>
            <w:r>
              <w:rPr>
                <w:rFonts w:hint="eastAsia" w:ascii="Times New Roman" w:hAnsi="Times New Roman" w:cs="Times New Roman"/>
                <w:szCs w:val="21"/>
                <w:highlight w:val="none"/>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w:t>
            </w:r>
            <w:r>
              <w:rPr>
                <w:rFonts w:ascii="Times New Roman" w:hAnsi="Times New Roman" w:cs="Times New Roman"/>
                <w:szCs w:val="21"/>
                <w:highlight w:val="none"/>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招标人名称：</w:t>
            </w:r>
            <w:r>
              <w:rPr>
                <w:rFonts w:hint="eastAsia" w:ascii="Times New Roman" w:hAnsi="Times New Roman" w:cs="Times New Roman"/>
                <w:szCs w:val="21"/>
                <w:highlight w:val="none"/>
              </w:rPr>
              <w:t>亳州交通投资控股集团有限公司</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开标</w:t>
            </w:r>
            <w:r>
              <w:rPr>
                <w:rFonts w:ascii="Times New Roman" w:hAnsi="Times New Roman" w:cs="Times New Roman"/>
                <w:szCs w:val="21"/>
                <w:highlight w:val="none"/>
              </w:rPr>
              <w:t>地址：</w:t>
            </w:r>
            <w:r>
              <w:rPr>
                <w:rFonts w:hint="eastAsia" w:ascii="Times New Roman" w:hAnsi="Times New Roman" w:cs="Times New Roman"/>
                <w:szCs w:val="21"/>
                <w:highlight w:val="none"/>
              </w:rPr>
              <w:t>亳州市谯城区药都大道1289号</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u w:val="single"/>
              </w:rPr>
              <w:t>亳州市货车停车场综合体项目设计</w:t>
            </w:r>
            <w:r>
              <w:rPr>
                <w:rFonts w:ascii="Times New Roman" w:hAnsi="Times New Roman" w:cs="Times New Roman"/>
                <w:szCs w:val="21"/>
                <w:highlight w:val="none"/>
              </w:rPr>
              <w:t>投标文件</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招标项目编号：BZJK-2020-038号</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在</w:t>
            </w:r>
            <w:r>
              <w:rPr>
                <w:rFonts w:hint="eastAsia" w:ascii="Times New Roman" w:hAnsi="Times New Roman" w:cs="Times New Roman"/>
                <w:szCs w:val="21"/>
                <w:highlight w:val="none"/>
                <w:lang w:eastAsia="zh-CN"/>
              </w:rPr>
              <w:t>2020年9月1日9时00分</w:t>
            </w:r>
            <w:r>
              <w:rPr>
                <w:rFonts w:hint="eastAsia" w:ascii="Times New Roman" w:hAnsi="Times New Roman" w:cs="Times New Roman"/>
                <w:szCs w:val="21"/>
                <w:highlight w:val="none"/>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eastAsia="zh-CN"/>
              </w:rPr>
              <w:t>2020年9月1日9时00分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4.2.2</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亳州交通投资控股集团有限公司8楼会议室（药都大道与希夷大道交叉口东北角8楼）</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投标文件</w:t>
            </w:r>
            <w:r>
              <w:rPr>
                <w:rFonts w:hint="eastAsia" w:ascii="Times New Roman" w:hAnsi="Times New Roman" w:cs="Times New Roman"/>
                <w:szCs w:val="21"/>
                <w:highlight w:val="none"/>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Cs w:val="21"/>
                <w:highlight w:val="none"/>
              </w:rPr>
            </w:pPr>
            <w:r>
              <w:rPr>
                <w:rFonts w:ascii="Times New Roman" w:hAnsi="Times New Roman" w:cs="Times New Roman"/>
                <w:sz w:val="21"/>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5.1</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开标时间：同投标截止时间</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开标地点：</w:t>
            </w:r>
            <w:r>
              <w:rPr>
                <w:rFonts w:hint="eastAsia" w:ascii="Times New Roman" w:hAnsi="Times New Roman" w:cs="Times New Roman"/>
                <w:szCs w:val="21"/>
                <w:highlight w:val="none"/>
              </w:rPr>
              <w:t>同递交投标文件地点</w:t>
            </w:r>
          </w:p>
          <w:p>
            <w:pPr>
              <w:wordWrap w:val="0"/>
              <w:spacing w:line="430" w:lineRule="exact"/>
              <w:ind w:firstLine="422" w:firstLineChars="200"/>
              <w:rPr>
                <w:rFonts w:ascii="Times New Roman" w:hAnsi="Times New Roman" w:cs="Times New Roman"/>
                <w:szCs w:val="21"/>
                <w:highlight w:val="none"/>
              </w:rPr>
            </w:pPr>
            <w:r>
              <w:rPr>
                <w:rFonts w:ascii="Times New Roman" w:hAnsi="Times New Roman" w:cs="Times New Roman"/>
                <w:b/>
                <w:bCs/>
                <w:szCs w:val="21"/>
                <w:highlight w:val="none"/>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5.2</w:t>
            </w:r>
            <w:r>
              <w:rPr>
                <w:rFonts w:hint="eastAsia" w:ascii="Times New Roman" w:hAnsi="Times New Roman" w:cs="Times New Roman"/>
                <w:szCs w:val="21"/>
                <w:highlight w:val="none"/>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密封情况检查：</w:t>
            </w:r>
            <w:r>
              <w:rPr>
                <w:rFonts w:hint="eastAsia" w:ascii="Times New Roman" w:hAnsi="Times New Roman" w:cs="Times New Roman"/>
                <w:szCs w:val="21"/>
                <w:highlight w:val="none"/>
              </w:rPr>
              <w:t>由投标人代表、招标平台工作人员、监标人共同检查确认。</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评标委员会构成：</w:t>
            </w:r>
            <w:r>
              <w:rPr>
                <w:rFonts w:hint="eastAsia" w:ascii="Times New Roman" w:hAnsi="Times New Roman" w:cs="Times New Roman"/>
                <w:szCs w:val="21"/>
                <w:highlight w:val="none"/>
                <w:u w:val="single"/>
              </w:rPr>
              <w:t>5</w:t>
            </w:r>
            <w:r>
              <w:rPr>
                <w:rFonts w:ascii="Times New Roman" w:hAnsi="Times New Roman" w:cs="Times New Roman"/>
                <w:szCs w:val="21"/>
                <w:highlight w:val="none"/>
              </w:rPr>
              <w:t>人，其中招标人代表</w:t>
            </w:r>
            <w:r>
              <w:rPr>
                <w:rFonts w:hint="eastAsia" w:ascii="Times New Roman" w:hAnsi="Times New Roman" w:cs="Times New Roman"/>
                <w:szCs w:val="21"/>
                <w:highlight w:val="none"/>
                <w:u w:val="single"/>
              </w:rPr>
              <w:t>1</w:t>
            </w:r>
            <w:r>
              <w:rPr>
                <w:rFonts w:ascii="Times New Roman" w:hAnsi="Times New Roman" w:cs="Times New Roman"/>
                <w:szCs w:val="21"/>
                <w:highlight w:val="none"/>
              </w:rPr>
              <w:t>人，专家</w:t>
            </w:r>
            <w:r>
              <w:rPr>
                <w:rFonts w:hint="eastAsia" w:ascii="Times New Roman" w:hAnsi="Times New Roman" w:cs="Times New Roman"/>
                <w:szCs w:val="21"/>
                <w:highlight w:val="none"/>
                <w:u w:val="single"/>
              </w:rPr>
              <w:t>4</w:t>
            </w:r>
            <w:r>
              <w:rPr>
                <w:rFonts w:ascii="Times New Roman" w:hAnsi="Times New Roman" w:cs="Times New Roman"/>
                <w:szCs w:val="21"/>
                <w:highlight w:val="none"/>
              </w:rPr>
              <w:t>人；</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中标候选人公示媒介</w:t>
            </w:r>
            <w:r>
              <w:rPr>
                <w:rFonts w:hint="eastAsia" w:ascii="Times New Roman" w:hAnsi="Times New Roman" w:cs="Times New Roman"/>
                <w:szCs w:val="21"/>
                <w:highlight w:val="none"/>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公示媒介：亳州交通投资控股集团有限公司官网（www.bzjkjt.com）</w:t>
            </w:r>
          </w:p>
          <w:p>
            <w:pPr>
              <w:wordWrap w:val="0"/>
              <w:spacing w:line="430" w:lineRule="exact"/>
              <w:rPr>
                <w:rFonts w:ascii="Times New Roman" w:hAnsi="Times New Roman" w:cs="Times New Roman"/>
                <w:sz w:val="32"/>
                <w:szCs w:val="32"/>
                <w:highlight w:val="none"/>
              </w:rPr>
            </w:pPr>
            <w:r>
              <w:rPr>
                <w:rFonts w:ascii="Times New Roman" w:hAnsi="Times New Roman" w:cs="Times New Roman"/>
                <w:szCs w:val="21"/>
                <w:highlight w:val="none"/>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7.</w:t>
            </w:r>
            <w:r>
              <w:rPr>
                <w:rFonts w:hint="eastAsia" w:ascii="Times New Roman" w:hAnsi="Times New Roman" w:cs="Times New Roman"/>
                <w:szCs w:val="21"/>
                <w:highlight w:val="none"/>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是否要求投标人提交履约保证金：</w:t>
            </w:r>
          </w:p>
          <w:p>
            <w:pPr>
              <w:wordWrap w:val="0"/>
              <w:spacing w:line="430" w:lineRule="exact"/>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履约</w:t>
            </w:r>
            <w:r>
              <w:rPr>
                <w:rFonts w:hint="eastAsia" w:ascii="Times New Roman" w:hAnsi="Times New Roman" w:cs="Times New Roman"/>
                <w:szCs w:val="21"/>
                <w:highlight w:val="none"/>
              </w:rPr>
              <w:t>保证金</w:t>
            </w:r>
            <w:r>
              <w:rPr>
                <w:rFonts w:ascii="Times New Roman" w:hAnsi="Times New Roman" w:cs="Times New Roman"/>
                <w:szCs w:val="21"/>
                <w:highlight w:val="none"/>
              </w:rPr>
              <w:t>金额：</w:t>
            </w:r>
            <w:r>
              <w:rPr>
                <w:rFonts w:hint="eastAsia" w:ascii="Times New Roman" w:hAnsi="Times New Roman" w:cs="Times New Roman"/>
                <w:szCs w:val="21"/>
                <w:highlight w:val="none"/>
              </w:rPr>
              <w:t>中标价的10%</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履约</w:t>
            </w:r>
            <w:r>
              <w:rPr>
                <w:rFonts w:hint="eastAsia" w:ascii="Times New Roman" w:hAnsi="Times New Roman" w:cs="Times New Roman"/>
                <w:szCs w:val="21"/>
                <w:highlight w:val="none"/>
              </w:rPr>
              <w:t>保证金</w:t>
            </w:r>
            <w:r>
              <w:rPr>
                <w:rFonts w:ascii="Times New Roman" w:hAnsi="Times New Roman" w:cs="Times New Roman"/>
                <w:szCs w:val="21"/>
                <w:highlight w:val="none"/>
              </w:rPr>
              <w:t>的形式：</w:t>
            </w:r>
            <w:r>
              <w:rPr>
                <w:rFonts w:hint="eastAsia" w:ascii="Times New Roman" w:hAnsi="Times New Roman" w:cs="Times New Roman"/>
                <w:szCs w:val="21"/>
                <w:highlight w:val="none"/>
              </w:rPr>
              <w:t>汇款或转账。</w:t>
            </w:r>
            <w:r>
              <w:rPr>
                <w:rFonts w:ascii="Times New Roman" w:hAnsi="Times New Roman" w:cs="Times New Roman"/>
                <w:szCs w:val="21"/>
                <w:highlight w:val="none"/>
              </w:rPr>
              <w:t>中标后，投标保证金自动转为履约保证金</w:t>
            </w:r>
            <w:r>
              <w:rPr>
                <w:rFonts w:hint="eastAsia" w:ascii="Times New Roman" w:hAnsi="Times New Roman" w:cs="Times New Roman"/>
                <w:szCs w:val="21"/>
                <w:highlight w:val="none"/>
              </w:rPr>
              <w:t>，履约保证金不足部分由中标人在收到中标通知书10日内从其基本账户开户行银行汇款或转账。</w:t>
            </w:r>
          </w:p>
          <w:p>
            <w:pPr>
              <w:wordWrap w:val="0"/>
              <w:spacing w:line="430" w:lineRule="exact"/>
              <w:rPr>
                <w:rFonts w:ascii="Times New Roman" w:hAnsi="Times New Roman" w:cs="Times New Roman"/>
                <w:sz w:val="32"/>
                <w:szCs w:val="32"/>
                <w:highlight w:val="none"/>
              </w:rPr>
            </w:pPr>
            <w:r>
              <w:rPr>
                <w:rFonts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rPr>
              <w:t>竣工验收合格后10个工作日内退</w:t>
            </w:r>
            <w:r>
              <w:rPr>
                <w:rFonts w:ascii="Times New Roman" w:hAnsi="Times New Roman" w:cs="Times New Roman"/>
                <w:szCs w:val="21"/>
                <w:highlight w:val="none"/>
              </w:rPr>
              <w:t>还</w:t>
            </w:r>
            <w:r>
              <w:rPr>
                <w:rFonts w:hint="eastAsia" w:ascii="Times New Roman" w:hAnsi="Times New Roman" w:cs="Times New Roman"/>
                <w:szCs w:val="21"/>
                <w:highlight w:val="none"/>
              </w:rPr>
              <w:t>全部</w:t>
            </w:r>
            <w:r>
              <w:rPr>
                <w:rFonts w:ascii="Times New Roman" w:hAnsi="Times New Roman" w:cs="Times New Roman"/>
                <w:szCs w:val="21"/>
                <w:highlight w:val="none"/>
              </w:rPr>
              <w:t>履约保证金（无息）。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（1）投标人准备和参加投标活动发生的费用自理；</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（2）所有计量均采用中华人民共和国法定计量单位；</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r>
    </w:tbl>
    <w:p>
      <w:pPr>
        <w:wordWrap w:val="0"/>
        <w:spacing w:line="400" w:lineRule="exact"/>
        <w:ind w:firstLine="420" w:firstLineChars="200"/>
        <w:rPr>
          <w:rFonts w:asciiTheme="minorEastAsia" w:hAnsiTheme="minorEastAsia" w:cstheme="minorEastAsia"/>
          <w:color w:val="000000"/>
        </w:rPr>
      </w:pPr>
      <w:r>
        <w:rPr>
          <w:rFonts w:hint="eastAsia" w:asciiTheme="minorEastAsia" w:hAnsiTheme="minorEastAsia" w:cstheme="minorEastAsia"/>
          <w:color w:val="000000"/>
        </w:rPr>
        <w:t>说明：投标人须知细则参照国家发改委印发的《标准招标文件》执行。招标文件相关内容与投标人须知前附表不一致的，以投标人须知前附表为准。</w:t>
      </w:r>
    </w:p>
    <w:p>
      <w:pP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（综合评估法）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bookmarkStart w:id="16" w:name="_Toc179632607"/>
      <w:bookmarkStart w:id="17" w:name="_Toc152042366"/>
      <w:bookmarkStart w:id="18" w:name="_Toc246996975"/>
      <w:bookmarkStart w:id="19" w:name="_Toc246996232"/>
      <w:bookmarkStart w:id="20" w:name="_Toc296602477"/>
      <w:bookmarkStart w:id="21" w:name="_Toc152045589"/>
      <w:bookmarkStart w:id="22" w:name="_Toc144974556"/>
      <w:bookmarkStart w:id="23" w:name="_Toc247085747"/>
    </w:p>
    <w:p>
      <w:pPr>
        <w:spacing w:line="480" w:lineRule="exact"/>
        <w:rPr>
          <w:rFonts w:asciiTheme="majorEastAsia" w:hAnsiTheme="majorEastAsia" w:eastAsiaTheme="majorEastAsia" w:cstheme="majorEastAsia"/>
          <w:b/>
          <w:bCs/>
          <w:sz w:val="28"/>
          <w:szCs w:val="28"/>
        </w:rPr>
      </w:pPr>
    </w:p>
    <w:tbl>
      <w:tblPr>
        <w:tblStyle w:val="15"/>
        <w:tblW w:w="913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1177"/>
        <w:gridCol w:w="1417"/>
        <w:gridCol w:w="569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7"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条款号</w:t>
            </w: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评审因素</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1</w:t>
            </w:r>
          </w:p>
        </w:tc>
        <w:tc>
          <w:tcPr>
            <w:tcW w:w="1177" w:type="dxa"/>
            <w:tcBorders>
              <w:top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评标方法</w:t>
            </w: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中标候选人排序方法</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2.1.1</w:t>
            </w:r>
          </w:p>
        </w:tc>
        <w:tc>
          <w:tcPr>
            <w:tcW w:w="1177"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形式评审标准</w:t>
            </w: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投标人名称</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177" w:type="dxa"/>
            <w:vMerge w:val="continue"/>
            <w:tcBorders>
              <w:top w:val="nil"/>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投标函签字盖章</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177" w:type="dxa"/>
            <w:vMerge w:val="continue"/>
            <w:tcBorders>
              <w:top w:val="nil"/>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投标文件格式</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2.1.2</w:t>
            </w:r>
          </w:p>
        </w:tc>
        <w:tc>
          <w:tcPr>
            <w:tcW w:w="1177" w:type="dxa"/>
            <w:vMerge w:val="restart"/>
            <w:tcBorders>
              <w:top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资格评审标准</w:t>
            </w: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营业执照</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177"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417"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资质要求</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177"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417"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企业业绩要求</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177"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417"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项目负责人</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177"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417"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其他要求</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2.1.3</w:t>
            </w:r>
          </w:p>
        </w:tc>
        <w:tc>
          <w:tcPr>
            <w:tcW w:w="1177" w:type="dxa"/>
            <w:vMerge w:val="restart"/>
            <w:tcBorders>
              <w:top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响应性评审标准</w:t>
            </w: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投标报价</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177"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投标内容</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177"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服务期限</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177"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质量标准</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177"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投标有效期</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177" w:type="dxa"/>
            <w:vMerge w:val="continue"/>
            <w:tcBorders>
              <w:right w:val="single" w:color="auto" w:sz="4" w:space="0"/>
            </w:tcBorders>
            <w:vAlign w:val="center"/>
          </w:tcPr>
          <w:p>
            <w:pPr>
              <w:wordWrap w:val="0"/>
              <w:spacing w:line="420" w:lineRule="exact"/>
              <w:jc w:val="center"/>
              <w:rPr>
                <w:rFonts w:asciiTheme="minorEastAsia" w:hAnsiTheme="minorEastAsia" w:cstheme="minorEastAsia"/>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投标保证金</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kern w:val="0"/>
                <w:szCs w:val="21"/>
              </w:rPr>
            </w:pPr>
            <w:r>
              <w:rPr>
                <w:rFonts w:hint="eastAsia" w:asciiTheme="minorEastAsia" w:hAnsiTheme="minorEastAsia" w:cstheme="minorEastAsia"/>
                <w:kern w:val="0"/>
                <w:szCs w:val="21"/>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7"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b/>
                <w:bCs/>
                <w:kern w:val="0"/>
                <w:szCs w:val="21"/>
              </w:rPr>
            </w:pPr>
            <w:r>
              <w:rPr>
                <w:rFonts w:hint="eastAsia" w:asciiTheme="minorEastAsia" w:hAnsiTheme="minorEastAsia" w:cstheme="minorEastAsia"/>
                <w:b/>
                <w:bCs/>
                <w:kern w:val="0"/>
                <w:szCs w:val="21"/>
              </w:rPr>
              <w:t>条款号</w:t>
            </w: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b/>
                <w:bCs/>
                <w:kern w:val="0"/>
                <w:szCs w:val="21"/>
              </w:rPr>
            </w:pPr>
            <w:r>
              <w:rPr>
                <w:rFonts w:hint="eastAsia" w:asciiTheme="minorEastAsia" w:hAnsiTheme="minorEastAsia" w:cstheme="minorEastAsia"/>
                <w:b/>
                <w:bCs/>
                <w:kern w:val="0"/>
                <w:szCs w:val="21"/>
              </w:rPr>
              <w:t>条款内容</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b/>
                <w:bCs/>
                <w:kern w:val="0"/>
                <w:szCs w:val="21"/>
              </w:rPr>
            </w:pPr>
            <w:r>
              <w:rPr>
                <w:rFonts w:hint="eastAsia" w:asciiTheme="minorEastAsia" w:hAnsiTheme="minorEastAsia" w:cstheme="minorEastAsia"/>
                <w:b/>
                <w:bCs/>
                <w:kern w:val="0"/>
                <w:szCs w:val="21"/>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7"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2.2.1</w:t>
            </w: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分值构成</w:t>
            </w:r>
          </w:p>
          <w:p>
            <w:pPr>
              <w:wordWrap w:val="0"/>
              <w:spacing w:line="42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（总分100分）</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服务方案：</w:t>
            </w:r>
            <w:r>
              <w:rPr>
                <w:rFonts w:asciiTheme="minorEastAsia" w:hAnsiTheme="minorEastAsia" w:cstheme="minorEastAsia"/>
                <w:color w:val="000000" w:themeColor="text1"/>
                <w:kern w:val="0"/>
                <w:szCs w:val="21"/>
                <w:u w:val="single"/>
                <w14:textFill>
                  <w14:solidFill>
                    <w14:schemeClr w14:val="tx1"/>
                  </w14:solidFill>
                </w14:textFill>
              </w:rPr>
              <w:t>3</w:t>
            </w:r>
            <w:r>
              <w:rPr>
                <w:rFonts w:hint="eastAsia" w:asciiTheme="minorEastAsia" w:hAnsiTheme="minorEastAsia" w:cstheme="minorEastAsia"/>
                <w:color w:val="000000" w:themeColor="text1"/>
                <w:kern w:val="0"/>
                <w:szCs w:val="21"/>
                <w:u w:val="single"/>
                <w14:textFill>
                  <w14:solidFill>
                    <w14:schemeClr w14:val="tx1"/>
                  </w14:solidFill>
                </w14:textFill>
              </w:rPr>
              <w:t>0</w:t>
            </w:r>
            <w:r>
              <w:rPr>
                <w:rFonts w:hint="eastAsia" w:asciiTheme="minorEastAsia" w:hAnsiTheme="minorEastAsia" w:cstheme="minorEastAsia"/>
                <w:color w:val="000000" w:themeColor="text1"/>
                <w:kern w:val="0"/>
                <w:szCs w:val="21"/>
                <w14:textFill>
                  <w14:solidFill>
                    <w14:schemeClr w14:val="tx1"/>
                  </w14:solidFill>
                </w14:textFill>
              </w:rPr>
              <w:t>分</w:t>
            </w:r>
          </w:p>
          <w:p>
            <w:pPr>
              <w:wordWrap w:val="0"/>
              <w:spacing w:line="42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人员配置：</w:t>
            </w:r>
            <w:r>
              <w:rPr>
                <w:rFonts w:asciiTheme="minorEastAsia" w:hAnsiTheme="minorEastAsia" w:cstheme="minorEastAsia"/>
                <w:color w:val="000000" w:themeColor="text1"/>
                <w:kern w:val="0"/>
                <w:szCs w:val="21"/>
                <w:u w:val="single"/>
                <w14:textFill>
                  <w14:solidFill>
                    <w14:schemeClr w14:val="tx1"/>
                  </w14:solidFill>
                </w14:textFill>
              </w:rPr>
              <w:t>3</w:t>
            </w:r>
            <w:r>
              <w:rPr>
                <w:rFonts w:hint="eastAsia" w:asciiTheme="minorEastAsia" w:hAnsiTheme="minorEastAsia" w:cstheme="minorEastAsia"/>
                <w:color w:val="000000" w:themeColor="text1"/>
                <w:kern w:val="0"/>
                <w:szCs w:val="21"/>
                <w:u w:val="single"/>
                <w14:textFill>
                  <w14:solidFill>
                    <w14:schemeClr w14:val="tx1"/>
                  </w14:solidFill>
                </w14:textFill>
              </w:rPr>
              <w:t>0</w:t>
            </w:r>
            <w:r>
              <w:rPr>
                <w:rFonts w:hint="eastAsia" w:asciiTheme="minorEastAsia" w:hAnsiTheme="minorEastAsia" w:cstheme="minorEastAsia"/>
                <w:color w:val="000000" w:themeColor="text1"/>
                <w:kern w:val="0"/>
                <w:szCs w:val="21"/>
                <w14:textFill>
                  <w14:solidFill>
                    <w14:schemeClr w14:val="tx1"/>
                  </w14:solidFill>
                </w14:textFill>
              </w:rPr>
              <w:t>分</w:t>
            </w:r>
          </w:p>
          <w:p>
            <w:pPr>
              <w:wordWrap w:val="0"/>
              <w:spacing w:line="42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企业信誉：</w:t>
            </w:r>
            <w:r>
              <w:rPr>
                <w:rFonts w:asciiTheme="minorEastAsia" w:hAnsiTheme="minorEastAsia" w:cstheme="minorEastAsia"/>
                <w:color w:val="000000" w:themeColor="text1"/>
                <w:kern w:val="0"/>
                <w:szCs w:val="21"/>
                <w:u w:val="single"/>
                <w14:textFill>
                  <w14:solidFill>
                    <w14:schemeClr w14:val="tx1"/>
                  </w14:solidFill>
                </w14:textFill>
              </w:rPr>
              <w:t>1</w:t>
            </w:r>
            <w:r>
              <w:rPr>
                <w:rFonts w:hint="eastAsia" w:asciiTheme="minorEastAsia" w:hAnsiTheme="minorEastAsia" w:cstheme="minorEastAsia"/>
                <w:color w:val="000000" w:themeColor="text1"/>
                <w:kern w:val="0"/>
                <w:szCs w:val="21"/>
                <w:u w:val="single"/>
                <w14:textFill>
                  <w14:solidFill>
                    <w14:schemeClr w14:val="tx1"/>
                  </w14:solidFill>
                </w14:textFill>
              </w:rPr>
              <w:t>0</w:t>
            </w:r>
            <w:r>
              <w:rPr>
                <w:rFonts w:hint="eastAsia" w:asciiTheme="minorEastAsia" w:hAnsiTheme="minorEastAsia" w:cstheme="minorEastAsia"/>
                <w:color w:val="000000" w:themeColor="text1"/>
                <w:kern w:val="0"/>
                <w:szCs w:val="21"/>
                <w14:textFill>
                  <w14:solidFill>
                    <w14:schemeClr w14:val="tx1"/>
                  </w14:solidFill>
                </w14:textFill>
              </w:rPr>
              <w:t>分</w:t>
            </w:r>
          </w:p>
          <w:p>
            <w:pPr>
              <w:wordWrap w:val="0"/>
              <w:spacing w:line="42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企业业绩：</w:t>
            </w:r>
            <w:r>
              <w:rPr>
                <w:rFonts w:asciiTheme="minorEastAsia" w:hAnsiTheme="minorEastAsia" w:cstheme="minorEastAsia"/>
                <w:color w:val="000000" w:themeColor="text1"/>
                <w:kern w:val="0"/>
                <w:szCs w:val="21"/>
                <w:u w:val="single"/>
                <w14:textFill>
                  <w14:solidFill>
                    <w14:schemeClr w14:val="tx1"/>
                  </w14:solidFill>
                </w14:textFill>
              </w:rPr>
              <w:t>1</w:t>
            </w:r>
            <w:r>
              <w:rPr>
                <w:rFonts w:hint="eastAsia" w:asciiTheme="minorEastAsia" w:hAnsiTheme="minorEastAsia" w:cstheme="minorEastAsia"/>
                <w:color w:val="000000" w:themeColor="text1"/>
                <w:kern w:val="0"/>
                <w:szCs w:val="21"/>
                <w:u w:val="single"/>
                <w14:textFill>
                  <w14:solidFill>
                    <w14:schemeClr w14:val="tx1"/>
                  </w14:solidFill>
                </w14:textFill>
              </w:rPr>
              <w:t>0</w:t>
            </w:r>
            <w:r>
              <w:rPr>
                <w:rFonts w:hint="eastAsia" w:asciiTheme="minorEastAsia" w:hAnsiTheme="minorEastAsia" w:cstheme="minorEastAsia"/>
                <w:color w:val="000000" w:themeColor="text1"/>
                <w:kern w:val="0"/>
                <w:szCs w:val="21"/>
                <w14:textFill>
                  <w14:solidFill>
                    <w14:schemeClr w14:val="tx1"/>
                  </w14:solidFill>
                </w14:textFill>
              </w:rPr>
              <w:t>分</w:t>
            </w:r>
          </w:p>
          <w:p>
            <w:pPr>
              <w:wordWrap w:val="0"/>
              <w:spacing w:line="420" w:lineRule="exact"/>
              <w:rPr>
                <w:rFonts w:asciiTheme="minorEastAsia" w:hAnsiTheme="minorEastAsia" w:cstheme="minorEastAsia"/>
                <w:color w:val="FF0000"/>
                <w:kern w:val="0"/>
                <w:szCs w:val="21"/>
              </w:rPr>
            </w:pPr>
            <w:r>
              <w:rPr>
                <w:rFonts w:hint="eastAsia" w:asciiTheme="minorEastAsia" w:hAnsiTheme="minorEastAsia" w:cstheme="minorEastAsia"/>
                <w:color w:val="000000" w:themeColor="text1"/>
                <w:kern w:val="0"/>
                <w:szCs w:val="21"/>
                <w14:textFill>
                  <w14:solidFill>
                    <w14:schemeClr w14:val="tx1"/>
                  </w14:solidFill>
                </w14:textFill>
              </w:rPr>
              <w:t>投标报价：</w:t>
            </w:r>
            <w:r>
              <w:rPr>
                <w:rFonts w:hint="eastAsia" w:asciiTheme="minorEastAsia" w:hAnsiTheme="minorEastAsia" w:cstheme="minorEastAsia"/>
                <w:color w:val="000000" w:themeColor="text1"/>
                <w:kern w:val="0"/>
                <w:szCs w:val="21"/>
                <w:u w:val="single"/>
                <w14:textFill>
                  <w14:solidFill>
                    <w14:schemeClr w14:val="tx1"/>
                  </w14:solidFill>
                </w14:textFill>
              </w:rPr>
              <w:t>20</w:t>
            </w:r>
            <w:r>
              <w:rPr>
                <w:rFonts w:hint="eastAsia" w:asciiTheme="minorEastAsia" w:hAnsiTheme="minorEastAsia" w:cstheme="minorEastAsia"/>
                <w:color w:val="000000" w:themeColor="text1"/>
                <w:kern w:val="0"/>
                <w:szCs w:val="2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7"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b/>
                <w:bCs/>
                <w:kern w:val="0"/>
                <w:szCs w:val="21"/>
              </w:rPr>
            </w:pPr>
            <w:r>
              <w:rPr>
                <w:rFonts w:hint="eastAsia" w:asciiTheme="minorEastAsia" w:hAnsiTheme="minorEastAsia" w:cstheme="minorEastAsia"/>
                <w:b/>
                <w:bCs/>
                <w:kern w:val="0"/>
                <w:szCs w:val="21"/>
              </w:rPr>
              <w:t>条款号</w:t>
            </w: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b/>
                <w:bCs/>
                <w:kern w:val="0"/>
                <w:szCs w:val="21"/>
              </w:rPr>
            </w:pPr>
            <w:r>
              <w:rPr>
                <w:rFonts w:hint="eastAsia" w:asciiTheme="minorEastAsia" w:hAnsiTheme="minorEastAsia" w:cstheme="minorEastAsia"/>
                <w:b/>
                <w:bCs/>
                <w:kern w:val="0"/>
                <w:szCs w:val="21"/>
              </w:rPr>
              <w:t>评分因素</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heme="minorEastAsia" w:hAnsiTheme="minorEastAsia" w:cstheme="minorEastAsia"/>
                <w:b/>
                <w:bCs/>
                <w:color w:val="FF0000"/>
                <w:kern w:val="0"/>
                <w:szCs w:val="21"/>
              </w:rPr>
            </w:pPr>
            <w:r>
              <w:rPr>
                <w:rFonts w:hint="eastAsia" w:asciiTheme="minorEastAsia" w:hAnsiTheme="minorEastAsia" w:cstheme="minorEastAsia"/>
                <w:b/>
                <w:bCs/>
                <w:kern w:val="0"/>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7"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1</w:t>
            </w: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服务方案</w:t>
            </w:r>
          </w:p>
          <w:p>
            <w:pPr>
              <w:wordWrap w:val="0"/>
              <w:spacing w:line="440" w:lineRule="exact"/>
              <w:jc w:val="center"/>
              <w:rPr>
                <w:rFonts w:asciiTheme="minorEastAsia" w:hAnsiTheme="minorEastAsia" w:cstheme="minorEastAsia"/>
                <w:kern w:val="0"/>
                <w:szCs w:val="21"/>
              </w:rPr>
            </w:pPr>
          </w:p>
          <w:p>
            <w:pPr>
              <w:wordWrap w:val="0"/>
              <w:spacing w:line="440" w:lineRule="exact"/>
              <w:jc w:val="center"/>
              <w:rPr>
                <w:rFonts w:asciiTheme="minorEastAsia" w:hAnsiTheme="minorEastAsia" w:cstheme="minorEastAsia"/>
                <w:kern w:val="0"/>
                <w:szCs w:val="21"/>
              </w:rPr>
            </w:pPr>
          </w:p>
          <w:p>
            <w:pPr>
              <w:wordWrap w:val="0"/>
              <w:spacing w:line="440" w:lineRule="exact"/>
              <w:jc w:val="center"/>
              <w:rPr>
                <w:rFonts w:asciiTheme="minorEastAsia" w:hAnsiTheme="minorEastAsia" w:cstheme="minorEastAsia"/>
                <w:kern w:val="0"/>
                <w:szCs w:val="21"/>
              </w:rPr>
            </w:pPr>
          </w:p>
          <w:p>
            <w:pPr>
              <w:wordWrap w:val="0"/>
              <w:spacing w:line="440" w:lineRule="exact"/>
              <w:jc w:val="center"/>
              <w:rPr>
                <w:rFonts w:asciiTheme="minorEastAsia" w:hAnsiTheme="minorEastAsia" w:cstheme="minorEastAsia"/>
                <w:kern w:val="0"/>
                <w:szCs w:val="21"/>
              </w:rPr>
            </w:pPr>
          </w:p>
          <w:p>
            <w:pPr>
              <w:wordWrap w:val="0"/>
              <w:spacing w:line="440" w:lineRule="exact"/>
              <w:jc w:val="center"/>
              <w:rPr>
                <w:rFonts w:asciiTheme="minorEastAsia" w:hAnsiTheme="minorEastAsia" w:cstheme="minorEastAsia"/>
                <w:kern w:val="0"/>
                <w:szCs w:val="21"/>
              </w:rPr>
            </w:pPr>
          </w:p>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（30分）</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heme="minorEastAsia" w:hAnsiTheme="minorEastAsia" w:cstheme="minorEastAsia"/>
                <w:color w:val="auto"/>
                <w:kern w:val="0"/>
                <w:szCs w:val="21"/>
              </w:rPr>
            </w:pPr>
            <w:r>
              <w:rPr>
                <w:rFonts w:hint="eastAsia" w:asciiTheme="minorEastAsia" w:hAnsiTheme="minorEastAsia" w:cstheme="minorEastAsia"/>
                <w:color w:val="auto"/>
                <w:kern w:val="0"/>
                <w:szCs w:val="21"/>
              </w:rPr>
              <w:t>1.基础工作扎实，对项目及背景理解深刻，对政府规划政策与宏观形势了解充分并紧密联系，符合项目总体发展要求。</w:t>
            </w:r>
          </w:p>
          <w:p>
            <w:pPr>
              <w:wordWrap w:val="0"/>
              <w:spacing w:line="440" w:lineRule="exact"/>
              <w:ind w:firstLine="420" w:firstLineChars="200"/>
              <w:rPr>
                <w:rFonts w:asciiTheme="minorEastAsia" w:hAnsiTheme="minorEastAsia" w:cstheme="minorEastAsia"/>
                <w:color w:val="auto"/>
                <w:kern w:val="0"/>
                <w:szCs w:val="21"/>
              </w:rPr>
            </w:pPr>
            <w:r>
              <w:rPr>
                <w:rFonts w:hint="eastAsia" w:asciiTheme="minorEastAsia" w:hAnsiTheme="minorEastAsia" w:cstheme="minorEastAsia"/>
                <w:color w:val="auto"/>
                <w:kern w:val="0"/>
                <w:szCs w:val="21"/>
              </w:rPr>
              <w:t>本项满分10分，评委根据投标文件对比，酌情给分。</w:t>
            </w:r>
          </w:p>
          <w:p>
            <w:pPr>
              <w:wordWrap w:val="0"/>
              <w:spacing w:line="440" w:lineRule="exact"/>
              <w:ind w:firstLine="420" w:firstLineChars="200"/>
              <w:rPr>
                <w:rFonts w:asciiTheme="minorEastAsia" w:hAnsiTheme="minorEastAsia" w:cstheme="minorEastAsia"/>
                <w:color w:val="auto"/>
                <w:kern w:val="0"/>
                <w:szCs w:val="21"/>
              </w:rPr>
            </w:pPr>
            <w:r>
              <w:rPr>
                <w:rFonts w:hint="eastAsia" w:asciiTheme="minorEastAsia" w:hAnsiTheme="minorEastAsia" w:cstheme="minorEastAsia"/>
                <w:color w:val="auto"/>
                <w:kern w:val="0"/>
                <w:szCs w:val="21"/>
              </w:rPr>
              <w:t>2.工作框架及内容科学合理，规划思路具有前瞻性和可行性，对项目现状分析全面且准确，能有效指导项目规划发展建设。</w:t>
            </w:r>
          </w:p>
          <w:p>
            <w:pPr>
              <w:wordWrap w:val="0"/>
              <w:spacing w:line="440" w:lineRule="exact"/>
              <w:ind w:firstLine="420" w:firstLineChars="200"/>
              <w:rPr>
                <w:rFonts w:asciiTheme="minorEastAsia" w:hAnsiTheme="minorEastAsia" w:cstheme="minorEastAsia"/>
                <w:color w:val="auto"/>
                <w:kern w:val="0"/>
                <w:szCs w:val="21"/>
              </w:rPr>
            </w:pPr>
            <w:r>
              <w:rPr>
                <w:rFonts w:hint="eastAsia" w:asciiTheme="minorEastAsia" w:hAnsiTheme="minorEastAsia" w:cstheme="minorEastAsia"/>
                <w:color w:val="auto"/>
                <w:kern w:val="0"/>
                <w:szCs w:val="21"/>
              </w:rPr>
              <w:t>本项满分10分，评委根据投标文件对比，酌情给分。</w:t>
            </w:r>
          </w:p>
          <w:p>
            <w:pPr>
              <w:wordWrap w:val="0"/>
              <w:spacing w:line="440" w:lineRule="exact"/>
              <w:ind w:firstLine="420" w:firstLineChars="200"/>
              <w:rPr>
                <w:rFonts w:asciiTheme="minorEastAsia" w:hAnsiTheme="minorEastAsia" w:cstheme="minorEastAsia"/>
                <w:color w:val="auto"/>
                <w:kern w:val="0"/>
                <w:szCs w:val="21"/>
              </w:rPr>
            </w:pPr>
            <w:r>
              <w:rPr>
                <w:rFonts w:hint="eastAsia" w:asciiTheme="minorEastAsia" w:hAnsiTheme="minorEastAsia" w:cstheme="minorEastAsia"/>
                <w:color w:val="auto"/>
                <w:kern w:val="0"/>
                <w:szCs w:val="21"/>
              </w:rPr>
              <w:t>3.项目勘察调研及工作计划安排合理，工作组织程序清晰，每个计划阶段有详细明确的工作目标和重点，且对工作进度完成情况有良好的承诺。</w:t>
            </w:r>
          </w:p>
          <w:p>
            <w:pPr>
              <w:wordWrap w:val="0"/>
              <w:spacing w:line="440" w:lineRule="exact"/>
              <w:ind w:firstLine="420" w:firstLineChars="200"/>
              <w:rPr>
                <w:rFonts w:asciiTheme="minorEastAsia" w:hAnsiTheme="minorEastAsia" w:cstheme="minorEastAsia"/>
                <w:color w:val="FF0000"/>
                <w:kern w:val="0"/>
                <w:szCs w:val="21"/>
              </w:rPr>
            </w:pPr>
            <w:r>
              <w:rPr>
                <w:rFonts w:hint="eastAsia" w:asciiTheme="minorEastAsia" w:hAnsiTheme="minorEastAsia" w:cstheme="minorEastAsia"/>
                <w:color w:val="auto"/>
                <w:kern w:val="0"/>
                <w:szCs w:val="21"/>
              </w:rPr>
              <w:t>本项满分10分，评委根据投标文件对比，酌情给分。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7"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2</w:t>
            </w: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人员配置</w:t>
            </w:r>
          </w:p>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w:t>
            </w:r>
            <w:r>
              <w:rPr>
                <w:rFonts w:asciiTheme="minorEastAsia" w:hAnsiTheme="minorEastAsia" w:cstheme="minorEastAsia"/>
                <w:kern w:val="0"/>
                <w:szCs w:val="21"/>
              </w:rPr>
              <w:t>3</w:t>
            </w:r>
            <w:r>
              <w:rPr>
                <w:rFonts w:hint="eastAsia" w:asciiTheme="minorEastAsia" w:hAnsiTheme="minorEastAsia" w:cstheme="minorEastAsia"/>
                <w:kern w:val="0"/>
                <w:szCs w:val="21"/>
              </w:rPr>
              <w:t>0分）</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1.投标人拟派项目负责人具备正高级工程师（或教授级高级工程师）职称的，得5分；具备注册城乡规划师执业资格的，得</w:t>
            </w:r>
            <w:r>
              <w:rPr>
                <w:rFonts w:asciiTheme="minorEastAsia" w:hAnsiTheme="minorEastAsia" w:cstheme="minorEastAsia"/>
                <w:color w:val="000000" w:themeColor="text1"/>
                <w:kern w:val="0"/>
                <w:szCs w:val="21"/>
                <w14:textFill>
                  <w14:solidFill>
                    <w14:schemeClr w14:val="tx1"/>
                  </w14:solidFill>
                </w14:textFill>
              </w:rPr>
              <w:t>5</w:t>
            </w:r>
            <w:r>
              <w:rPr>
                <w:rFonts w:hint="eastAsia" w:asciiTheme="minorEastAsia" w:hAnsiTheme="minorEastAsia" w:cstheme="minorEastAsia"/>
                <w:color w:val="000000" w:themeColor="text1"/>
                <w:kern w:val="0"/>
                <w:szCs w:val="21"/>
                <w14:textFill>
                  <w14:solidFill>
                    <w14:schemeClr w14:val="tx1"/>
                  </w14:solidFill>
                </w14:textFill>
              </w:rPr>
              <w:t>分，本项满分</w:t>
            </w:r>
            <w:r>
              <w:rPr>
                <w:rFonts w:asciiTheme="minorEastAsia" w:hAnsiTheme="minorEastAsia" w:cstheme="minorEastAsia"/>
                <w:color w:val="000000" w:themeColor="text1"/>
                <w:kern w:val="0"/>
                <w:szCs w:val="21"/>
                <w14:textFill>
                  <w14:solidFill>
                    <w14:schemeClr w14:val="tx1"/>
                  </w14:solidFill>
                </w14:textFill>
              </w:rPr>
              <w:t>10</w:t>
            </w:r>
            <w:r>
              <w:rPr>
                <w:rFonts w:hint="eastAsia" w:asciiTheme="minorEastAsia" w:hAnsiTheme="minorEastAsia" w:cstheme="minorEastAsia"/>
                <w:color w:val="000000" w:themeColor="text1"/>
                <w:kern w:val="0"/>
                <w:szCs w:val="21"/>
                <w14:textFill>
                  <w14:solidFill>
                    <w14:schemeClr w14:val="tx1"/>
                  </w14:solidFill>
                </w14:textFill>
              </w:rPr>
              <w:t>分，</w:t>
            </w:r>
            <w:r>
              <w:rPr>
                <w:rFonts w:hint="eastAsia" w:asciiTheme="minorEastAsia" w:hAnsiTheme="minorEastAsia" w:cstheme="minorEastAsia"/>
                <w:color w:val="000000" w:themeColor="text1"/>
                <w:kern w:val="0"/>
                <w:szCs w:val="21"/>
                <w:lang w:eastAsia="zh-CN"/>
                <w14:textFill>
                  <w14:solidFill>
                    <w14:schemeClr w14:val="tx1"/>
                  </w14:solidFill>
                </w14:textFill>
              </w:rPr>
              <w:t>可累计得分，</w:t>
            </w:r>
            <w:r>
              <w:rPr>
                <w:rFonts w:hint="eastAsia" w:asciiTheme="minorEastAsia" w:hAnsiTheme="minorEastAsia" w:cstheme="minorEastAsia"/>
                <w:color w:val="000000" w:themeColor="text1"/>
                <w:kern w:val="0"/>
                <w:szCs w:val="21"/>
                <w14:textFill>
                  <w14:solidFill>
                    <w14:schemeClr w14:val="tx1"/>
                  </w14:solidFill>
                </w14:textFill>
              </w:rPr>
              <w:t>多分不计。</w:t>
            </w:r>
          </w:p>
          <w:p>
            <w:pPr>
              <w:wordWrap w:val="0"/>
              <w:spacing w:line="440" w:lineRule="exact"/>
              <w:ind w:firstLine="420" w:firstLineChars="200"/>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2.项目组成员（不含项目负责人），具有一级注册建筑师的每提供一人得5分；具备注册城乡规划师执业资格的每提供一人得5分；具备注册结构工程师执业资格的每提供一人得5分；具备注册造价工程师资格的每提供一人得5分；本项满分</w:t>
            </w:r>
            <w:r>
              <w:rPr>
                <w:rFonts w:asciiTheme="minorEastAsia" w:hAnsiTheme="minorEastAsia" w:cstheme="minorEastAsia"/>
                <w:color w:val="000000" w:themeColor="text1"/>
                <w:kern w:val="0"/>
                <w:szCs w:val="21"/>
                <w14:textFill>
                  <w14:solidFill>
                    <w14:schemeClr w14:val="tx1"/>
                  </w14:solidFill>
                </w14:textFill>
              </w:rPr>
              <w:t>20</w:t>
            </w:r>
            <w:r>
              <w:rPr>
                <w:rFonts w:hint="eastAsia" w:asciiTheme="minorEastAsia" w:hAnsiTheme="minorEastAsia" w:cstheme="minorEastAsia"/>
                <w:color w:val="000000" w:themeColor="text1"/>
                <w:kern w:val="0"/>
                <w:szCs w:val="21"/>
                <w14:textFill>
                  <w14:solidFill>
                    <w14:schemeClr w14:val="tx1"/>
                  </w14:solidFill>
                </w14:textFill>
              </w:rPr>
              <w:t>分，多分不计。</w:t>
            </w:r>
          </w:p>
          <w:p>
            <w:pPr>
              <w:wordWrap w:val="0"/>
              <w:spacing w:line="440" w:lineRule="exact"/>
              <w:ind w:firstLine="420" w:firstLineChars="200"/>
              <w:rPr>
                <w:rFonts w:asciiTheme="minorEastAsia" w:hAnsiTheme="minorEastAsia" w:cstheme="minorEastAsia"/>
                <w:color w:val="FF0000"/>
                <w:kern w:val="0"/>
                <w:szCs w:val="21"/>
              </w:rPr>
            </w:pPr>
            <w:r>
              <w:rPr>
                <w:rFonts w:hint="eastAsia" w:asciiTheme="minorEastAsia" w:hAnsiTheme="minorEastAsia" w:cstheme="minorEastAsia"/>
                <w:color w:val="000000" w:themeColor="text1"/>
                <w:kern w:val="0"/>
                <w:szCs w:val="21"/>
                <w14:textFill>
                  <w14:solidFill>
                    <w14:schemeClr w14:val="tx1"/>
                  </w14:solidFill>
                </w14:textFill>
              </w:rPr>
              <w:t>注：上述职称、执业资格均应注册在投标人单位，且提供证书复印件或扫描件加盖公章装订在响应文件中。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7"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3</w:t>
            </w: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企业信誉</w:t>
            </w:r>
          </w:p>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w:t>
            </w:r>
            <w:r>
              <w:rPr>
                <w:rFonts w:asciiTheme="minorEastAsia" w:hAnsiTheme="minorEastAsia" w:cstheme="minorEastAsia"/>
                <w:kern w:val="0"/>
                <w:szCs w:val="21"/>
              </w:rPr>
              <w:t>1</w:t>
            </w:r>
            <w:r>
              <w:rPr>
                <w:rFonts w:hint="eastAsia" w:asciiTheme="minorEastAsia" w:hAnsiTheme="minorEastAsia" w:cstheme="minorEastAsia"/>
                <w:kern w:val="0"/>
                <w:szCs w:val="21"/>
              </w:rPr>
              <w:t>0分）</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1.投标人具有有效的环境管理体系认证、质量管理体系认证以及职业健康安全管理体系认证证书的每提供一个得1分，没有不得分，本项满分3分。</w:t>
            </w:r>
            <w:r>
              <w:rPr>
                <w:rFonts w:hint="eastAsia" w:asciiTheme="minorEastAsia" w:hAnsiTheme="minorEastAsia" w:cstheme="minorEastAsia"/>
                <w:b/>
                <w:bCs/>
                <w:color w:val="000000" w:themeColor="text1"/>
                <w:kern w:val="0"/>
                <w:szCs w:val="21"/>
                <w14:textFill>
                  <w14:solidFill>
                    <w14:schemeClr w14:val="tx1"/>
                  </w14:solidFill>
                </w14:textFill>
              </w:rPr>
              <w:t>（提供证书复印件或扫描件加盖公章装订在响应文件中）</w:t>
            </w:r>
          </w:p>
          <w:p>
            <w:pPr>
              <w:wordWrap w:val="0"/>
              <w:spacing w:line="440" w:lineRule="exact"/>
              <w:ind w:firstLine="420" w:firstLineChars="200"/>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2.自2015年1月1日</w:t>
            </w:r>
            <w:r>
              <w:rPr>
                <w:rFonts w:hint="eastAsia" w:asciiTheme="minorEastAsia" w:hAnsiTheme="minorEastAsia" w:cstheme="minorEastAsia"/>
                <w:b/>
                <w:bCs/>
                <w:color w:val="000000" w:themeColor="text1"/>
                <w:kern w:val="0"/>
                <w:szCs w:val="21"/>
                <w14:textFill>
                  <w14:solidFill>
                    <w14:schemeClr w14:val="tx1"/>
                  </w14:solidFill>
                </w14:textFill>
              </w:rPr>
              <w:t>（以证书颁发时间为准）</w:t>
            </w:r>
            <w:r>
              <w:rPr>
                <w:rFonts w:hint="eastAsia" w:asciiTheme="minorEastAsia" w:hAnsiTheme="minorEastAsia" w:cstheme="minorEastAsia"/>
                <w:color w:val="000000" w:themeColor="text1"/>
                <w:kern w:val="0"/>
                <w:szCs w:val="21"/>
                <w14:textFill>
                  <w14:solidFill>
                    <w14:schemeClr w14:val="tx1"/>
                  </w14:solidFill>
                </w14:textFill>
              </w:rPr>
              <w:t>以来投标人完成的勘察设计项目获得过省级及以上工程勘察设计协会或省级及以上行业协会或省级及以上行业主管部门颁发的勘察设计奖项的，每提供1项得2分，本项满分4分，多分不计。</w:t>
            </w:r>
            <w:r>
              <w:rPr>
                <w:rFonts w:hint="eastAsia" w:asciiTheme="minorEastAsia" w:hAnsiTheme="minorEastAsia" w:cstheme="minorEastAsia"/>
                <w:b/>
                <w:bCs/>
                <w:color w:val="000000" w:themeColor="text1"/>
                <w:kern w:val="0"/>
                <w:szCs w:val="21"/>
                <w14:textFill>
                  <w14:solidFill>
                    <w14:schemeClr w14:val="tx1"/>
                  </w14:solidFill>
                </w14:textFill>
              </w:rPr>
              <w:t>（提供证书复印件或扫描件加盖公章装订在响应文件中）</w:t>
            </w:r>
          </w:p>
          <w:p>
            <w:pPr>
              <w:wordWrap w:val="0"/>
              <w:spacing w:line="440" w:lineRule="exact"/>
              <w:ind w:firstLine="420" w:firstLineChars="200"/>
              <w:rPr>
                <w:rFonts w:asciiTheme="minorEastAsia" w:hAnsiTheme="minorEastAsia" w:cstheme="minorEastAsia"/>
                <w:color w:val="FF0000"/>
                <w:kern w:val="0"/>
                <w:szCs w:val="21"/>
              </w:rPr>
            </w:pPr>
            <w:r>
              <w:rPr>
                <w:rFonts w:asciiTheme="minorEastAsia" w:hAnsiTheme="minorEastAsia" w:cstheme="minorEastAsia"/>
                <w:color w:val="000000" w:themeColor="text1"/>
                <w:kern w:val="0"/>
                <w:szCs w:val="21"/>
                <w14:textFill>
                  <w14:solidFill>
                    <w14:schemeClr w14:val="tx1"/>
                  </w14:solidFill>
                </w14:textFill>
              </w:rPr>
              <w:t>3.</w:t>
            </w:r>
            <w:r>
              <w:rPr>
                <w:rFonts w:hint="eastAsia" w:asciiTheme="minorEastAsia" w:hAnsiTheme="minorEastAsia" w:cstheme="minorEastAsia"/>
                <w:color w:val="000000" w:themeColor="text1"/>
                <w:kern w:val="0"/>
                <w:szCs w:val="21"/>
                <w14:textFill>
                  <w14:solidFill>
                    <w14:schemeClr w14:val="tx1"/>
                  </w14:solidFill>
                </w14:textFill>
              </w:rPr>
              <w:t>自2015年1月1日</w:t>
            </w:r>
            <w:r>
              <w:rPr>
                <w:rFonts w:hint="eastAsia" w:asciiTheme="minorEastAsia" w:hAnsiTheme="minorEastAsia" w:cstheme="minorEastAsia"/>
                <w:b/>
                <w:bCs/>
                <w:color w:val="000000" w:themeColor="text1"/>
                <w:kern w:val="0"/>
                <w:szCs w:val="21"/>
                <w14:textFill>
                  <w14:solidFill>
                    <w14:schemeClr w14:val="tx1"/>
                  </w14:solidFill>
                </w14:textFill>
              </w:rPr>
              <w:t>（以证书颁发时间为准），</w:t>
            </w:r>
            <w:r>
              <w:rPr>
                <w:rFonts w:hint="eastAsia" w:asciiTheme="minorEastAsia" w:hAnsiTheme="minorEastAsia" w:cstheme="minorEastAsia"/>
                <w:color w:val="000000" w:themeColor="text1"/>
                <w:kern w:val="0"/>
                <w:szCs w:val="21"/>
                <w14:textFill>
                  <w14:solidFill>
                    <w14:schemeClr w14:val="tx1"/>
                  </w14:solidFill>
                </w14:textFill>
              </w:rPr>
              <w:t>投标人获得过行政主管部门或国内依法登记注册的行业协会颁发的“高新技术企业”荣誉的得3分，本项满分3分。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56" w:hRule="atLeast"/>
        </w:trPr>
        <w:tc>
          <w:tcPr>
            <w:tcW w:w="2027"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4</w:t>
            </w: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企业业绩</w:t>
            </w:r>
          </w:p>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w:t>
            </w:r>
            <w:r>
              <w:rPr>
                <w:rFonts w:asciiTheme="minorEastAsia" w:hAnsiTheme="minorEastAsia" w:cstheme="minorEastAsia"/>
                <w:kern w:val="0"/>
                <w:szCs w:val="21"/>
              </w:rPr>
              <w:t>1</w:t>
            </w:r>
            <w:r>
              <w:rPr>
                <w:rFonts w:hint="eastAsia" w:asciiTheme="minorEastAsia" w:hAnsiTheme="minorEastAsia" w:cstheme="minorEastAsia"/>
                <w:kern w:val="0"/>
                <w:szCs w:val="21"/>
              </w:rPr>
              <w:t>0分）</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1.除招标公告门槛业绩外，投标人每额外提供1项企业类似项目业绩加</w:t>
            </w:r>
            <w:r>
              <w:rPr>
                <w:rFonts w:asciiTheme="minorEastAsia" w:hAnsiTheme="minorEastAsia" w:cstheme="minorEastAsia"/>
                <w:color w:val="000000" w:themeColor="text1"/>
                <w:kern w:val="0"/>
                <w:szCs w:val="21"/>
                <w14:textFill>
                  <w14:solidFill>
                    <w14:schemeClr w14:val="tx1"/>
                  </w14:solidFill>
                </w14:textFill>
              </w:rPr>
              <w:t>5</w:t>
            </w:r>
            <w:r>
              <w:rPr>
                <w:rFonts w:hint="eastAsia" w:asciiTheme="minorEastAsia" w:hAnsiTheme="minorEastAsia" w:cstheme="minorEastAsia"/>
                <w:color w:val="000000" w:themeColor="text1"/>
                <w:kern w:val="0"/>
                <w:szCs w:val="21"/>
                <w14:textFill>
                  <w14:solidFill>
                    <w14:schemeClr w14:val="tx1"/>
                  </w14:solidFill>
                </w14:textFill>
              </w:rPr>
              <w:t>分，本项满分</w:t>
            </w:r>
            <w:r>
              <w:rPr>
                <w:rFonts w:asciiTheme="minorEastAsia" w:hAnsiTheme="minorEastAsia" w:cstheme="minorEastAsia"/>
                <w:color w:val="000000" w:themeColor="text1"/>
                <w:kern w:val="0"/>
                <w:szCs w:val="21"/>
                <w14:textFill>
                  <w14:solidFill>
                    <w14:schemeClr w14:val="tx1"/>
                  </w14:solidFill>
                </w14:textFill>
              </w:rPr>
              <w:t>1</w:t>
            </w:r>
            <w:r>
              <w:rPr>
                <w:rFonts w:hint="eastAsia" w:asciiTheme="minorEastAsia" w:hAnsiTheme="minorEastAsia" w:cstheme="minorEastAsia"/>
                <w:color w:val="000000" w:themeColor="text1"/>
                <w:kern w:val="0"/>
                <w:szCs w:val="21"/>
                <w14:textFill>
                  <w14:solidFill>
                    <w14:schemeClr w14:val="tx1"/>
                  </w14:solidFill>
                </w14:textFill>
              </w:rPr>
              <w:t>0分，多分不计。</w:t>
            </w:r>
          </w:p>
          <w:p>
            <w:pPr>
              <w:wordWrap w:val="0"/>
              <w:spacing w:line="52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000000" w:themeColor="text1"/>
                <w:kern w:val="0"/>
                <w:szCs w:val="21"/>
                <w14:textFill>
                  <w14:solidFill>
                    <w14:schemeClr w14:val="tx1"/>
                  </w14:solidFill>
                </w14:textFill>
              </w:rPr>
              <w:t>注：（1）企业类似项目业绩是指单项合同金额不少于100万元的公共建筑设计服务项目或单项合同中建筑面积不少于50000平方米的项目提供设计服务的项目业绩。（2）业绩以设计服务合同中设计服务费金额或载明的建筑面积为准，若合同中无法体现可</w:t>
            </w:r>
            <w:r>
              <w:rPr>
                <w:rFonts w:hint="eastAsia" w:asciiTheme="minorEastAsia" w:hAnsiTheme="minorEastAsia" w:cstheme="minorEastAsia"/>
                <w:color w:val="000000" w:themeColor="text1"/>
                <w:kern w:val="0"/>
                <w:szCs w:val="21"/>
                <w:lang w:val="en-US" w:eastAsia="zh-CN"/>
                <w14:textFill>
                  <w14:solidFill>
                    <w14:schemeClr w14:val="tx1"/>
                  </w14:solidFill>
                </w14:textFill>
              </w:rPr>
              <w:t>以</w:t>
            </w:r>
            <w:r>
              <w:rPr>
                <w:rFonts w:hint="eastAsia" w:asciiTheme="minorEastAsia" w:hAnsiTheme="minorEastAsia" w:cstheme="minorEastAsia"/>
                <w:color w:val="000000" w:themeColor="text1"/>
                <w:kern w:val="0"/>
                <w:szCs w:val="21"/>
                <w14:textFill>
                  <w14:solidFill>
                    <w14:schemeClr w14:val="tx1"/>
                  </w14:solidFill>
                </w14:textFill>
              </w:rPr>
              <w:t>甲方出具的证明文件为准，</w:t>
            </w:r>
            <w:r>
              <w:rPr>
                <w:rFonts w:hint="eastAsia" w:asciiTheme="minorEastAsia" w:hAnsiTheme="minorEastAsia" w:cstheme="minorEastAsia"/>
                <w:color w:val="000000" w:themeColor="text1"/>
                <w:kern w:val="0"/>
                <w:szCs w:val="21"/>
                <w:lang w:val="en-US" w:eastAsia="zh-CN"/>
                <w14:textFill>
                  <w14:solidFill>
                    <w14:schemeClr w14:val="tx1"/>
                  </w14:solidFill>
                </w14:textFill>
              </w:rPr>
              <w:t>业绩时间</w:t>
            </w:r>
            <w:r>
              <w:rPr>
                <w:rFonts w:hint="eastAsia" w:asciiTheme="minorEastAsia" w:hAnsiTheme="minorEastAsia" w:cstheme="minorEastAsia"/>
                <w:color w:val="000000" w:themeColor="text1"/>
                <w:kern w:val="0"/>
                <w:szCs w:val="21"/>
                <w14:textFill>
                  <w14:solidFill>
                    <w14:schemeClr w14:val="tx1"/>
                  </w14:solidFill>
                </w14:textFill>
              </w:rPr>
              <w:t>以合同签订的时间为准，要求加盖投标人公章放入投标文件中；</w:t>
            </w:r>
            <w:r>
              <w:rPr>
                <w:rFonts w:asciiTheme="minorEastAsia" w:hAnsiTheme="minorEastAsia" w:cstheme="minorEastAsia"/>
                <w:color w:val="000000" w:themeColor="text1"/>
                <w:kern w:val="0"/>
                <w:szCs w:val="21"/>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56" w:hRule="atLeast"/>
        </w:trPr>
        <w:tc>
          <w:tcPr>
            <w:tcW w:w="2027"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5</w:t>
            </w:r>
          </w:p>
        </w:tc>
        <w:tc>
          <w:tcPr>
            <w:tcW w:w="1417"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投标报价</w:t>
            </w:r>
          </w:p>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w:t>
            </w:r>
            <w:r>
              <w:rPr>
                <w:rFonts w:asciiTheme="minorEastAsia" w:hAnsiTheme="minorEastAsia" w:cstheme="minorEastAsia"/>
                <w:kern w:val="0"/>
                <w:szCs w:val="21"/>
              </w:rPr>
              <w:t>20</w:t>
            </w:r>
            <w:r>
              <w:rPr>
                <w:rFonts w:hint="eastAsia" w:asciiTheme="minorEastAsia" w:hAnsiTheme="minorEastAsia" w:cstheme="minorEastAsia"/>
                <w:kern w:val="0"/>
                <w:szCs w:val="21"/>
              </w:rPr>
              <w:t>分）</w:t>
            </w:r>
          </w:p>
        </w:tc>
        <w:tc>
          <w:tcPr>
            <w:tcW w:w="5693"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heme="minorEastAsia" w:hAnsiTheme="minorEastAsia" w:cstheme="minorEastAsia"/>
                <w:color w:val="auto"/>
                <w:kern w:val="0"/>
                <w:szCs w:val="21"/>
              </w:rPr>
            </w:pPr>
            <w:r>
              <w:rPr>
                <w:rFonts w:hint="eastAsia" w:asciiTheme="minorEastAsia" w:hAnsiTheme="minorEastAsia" w:cstheme="minorEastAsia"/>
                <w:color w:val="auto"/>
                <w:kern w:val="0"/>
                <w:szCs w:val="21"/>
              </w:rPr>
              <w:t>取所有有效投标人报价的算术平均数下浮N% 作为评标基准价，N的取值范围为1.5、2、2.5、3、3.5，对应抽取序号分别为1、2、3、4、5，假如抽到3，则N的取值为2.5，序号在开标环节由投标人代表抽取。</w:t>
            </w:r>
          </w:p>
          <w:p>
            <w:pPr>
              <w:wordWrap w:val="0"/>
              <w:spacing w:line="440" w:lineRule="exact"/>
              <w:ind w:firstLine="420" w:firstLineChars="200"/>
              <w:rPr>
                <w:rFonts w:asciiTheme="minorEastAsia" w:hAnsiTheme="minorEastAsia" w:cstheme="minorEastAsia"/>
                <w:color w:val="auto"/>
                <w:kern w:val="0"/>
                <w:szCs w:val="21"/>
              </w:rPr>
            </w:pPr>
            <w:r>
              <w:rPr>
                <w:rFonts w:hint="eastAsia" w:asciiTheme="minorEastAsia" w:hAnsiTheme="minorEastAsia" w:cstheme="minorEastAsia"/>
                <w:color w:val="auto"/>
                <w:kern w:val="0"/>
                <w:szCs w:val="21"/>
              </w:rPr>
              <w:t>在所有有效投标报价中，投标报价与评标基准价相比，投标报价比评标基准价每低于（小于）1%扣0.</w:t>
            </w:r>
            <w:r>
              <w:rPr>
                <w:rFonts w:asciiTheme="minorEastAsia" w:hAnsiTheme="minorEastAsia" w:cstheme="minorEastAsia"/>
                <w:color w:val="auto"/>
                <w:kern w:val="0"/>
                <w:szCs w:val="21"/>
              </w:rPr>
              <w:t>2</w:t>
            </w:r>
            <w:r>
              <w:rPr>
                <w:rFonts w:hint="eastAsia" w:asciiTheme="minorEastAsia" w:hAnsiTheme="minorEastAsia" w:cstheme="minorEastAsia"/>
                <w:color w:val="auto"/>
                <w:kern w:val="0"/>
                <w:szCs w:val="21"/>
              </w:rPr>
              <w:t>5分，每高于（大于）1%扣0.</w:t>
            </w:r>
            <w:r>
              <w:rPr>
                <w:rFonts w:asciiTheme="minorEastAsia" w:hAnsiTheme="minorEastAsia" w:cstheme="minorEastAsia"/>
                <w:color w:val="auto"/>
                <w:kern w:val="0"/>
                <w:szCs w:val="21"/>
              </w:rPr>
              <w:t>2</w:t>
            </w:r>
            <w:r>
              <w:rPr>
                <w:rFonts w:hint="eastAsia" w:asciiTheme="minorEastAsia" w:hAnsiTheme="minorEastAsia" w:cstheme="minorEastAsia"/>
                <w:color w:val="auto"/>
                <w:kern w:val="0"/>
                <w:szCs w:val="21"/>
              </w:rPr>
              <w:t>5分，不足1%部分按直线插入法同比率计算得分（四舍五入保留两位小数）。</w:t>
            </w:r>
          </w:p>
          <w:p>
            <w:pPr>
              <w:wordWrap w:val="0"/>
              <w:spacing w:line="440" w:lineRule="exact"/>
              <w:ind w:firstLine="420" w:firstLineChars="200"/>
              <w:rPr>
                <w:rFonts w:asciiTheme="minorEastAsia" w:hAnsiTheme="minorEastAsia" w:cstheme="minorEastAsia"/>
                <w:color w:val="FF0000"/>
                <w:kern w:val="0"/>
                <w:szCs w:val="21"/>
              </w:rPr>
            </w:pPr>
            <w:r>
              <w:rPr>
                <w:rFonts w:hint="eastAsia" w:asciiTheme="minorEastAsia" w:hAnsiTheme="minorEastAsia" w:cstheme="minorEastAsia"/>
                <w:color w:val="auto"/>
                <w:kern w:val="0"/>
                <w:szCs w:val="21"/>
              </w:rPr>
              <w:t>若评标委员会认定该投标报价低于成本价的，可以否决其投标。</w:t>
            </w:r>
          </w:p>
        </w:tc>
      </w:tr>
    </w:tbl>
    <w:p>
      <w:pPr>
        <w:rPr>
          <w:rFonts w:ascii="Times New Roman" w:hAnsi="Times New Roman" w:cs="Times New Roman"/>
          <w:b/>
          <w:bCs/>
          <w:kern w:val="0"/>
          <w:sz w:val="28"/>
          <w:szCs w:val="28"/>
        </w:rPr>
      </w:pPr>
      <w:r>
        <w:rPr>
          <w:rFonts w:ascii="Times New Roman" w:hAnsi="Times New Roman" w:eastAsia="黑体" w:cs="Times New Roman"/>
          <w:szCs w:val="21"/>
        </w:rPr>
        <w:t>说明</w:t>
      </w:r>
      <w:r>
        <w:rPr>
          <w:rFonts w:ascii="Times New Roman" w:hAnsi="Times New Roman" w:cs="Times New Roman"/>
          <w:szCs w:val="21"/>
        </w:rPr>
        <w:t>：评分区间一律按左闭右开计算</w:t>
      </w:r>
      <w:r>
        <w:rPr>
          <w:rFonts w:hint="eastAsia" w:ascii="Times New Roman" w:hAnsi="Times New Roman" w:cs="Times New Roman"/>
          <w:szCs w:val="21"/>
        </w:rPr>
        <w:t>，评分保留1位小数。</w:t>
      </w:r>
    </w:p>
    <w:p>
      <w:pPr>
        <w:rPr>
          <w:rFonts w:ascii="Times New Roman" w:hAnsi="Times New Roman" w:cs="Times New Roman"/>
          <w:b/>
          <w:bCs/>
          <w:kern w:val="0"/>
          <w:sz w:val="28"/>
          <w:szCs w:val="28"/>
        </w:rPr>
      </w:pPr>
      <w:r>
        <w:rPr>
          <w:rFonts w:ascii="Times New Roman" w:hAnsi="Times New Roman" w:cs="Times New Roman"/>
          <w:b/>
          <w:bCs/>
          <w:kern w:val="0"/>
          <w:sz w:val="28"/>
          <w:szCs w:val="28"/>
        </w:rPr>
        <w:br w:type="page"/>
      </w:r>
    </w:p>
    <w:p>
      <w:pPr>
        <w:wordWrap w:val="0"/>
        <w:spacing w:line="4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1. 评标方法</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外。综合评分相等时，以服务方案得分高的优先；服务方案得分也相等的，由招标人或者经招标人授权评标委员会自行确定。</w:t>
      </w:r>
    </w:p>
    <w:p>
      <w:pPr>
        <w:wordWrap w:val="0"/>
        <w:spacing w:line="4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2. 评审标准</w:t>
      </w:r>
    </w:p>
    <w:p>
      <w:pPr>
        <w:wordWrap w:val="0"/>
        <w:spacing w:line="4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2.1 初步评审标准</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2.1.1 形式评审标准：见评标办法前附表。</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2.1.2 资格评审标准：见评标办法前附表。</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2.1.3 响应性评审标准：见评标办法前附表。</w:t>
      </w:r>
    </w:p>
    <w:p>
      <w:pPr>
        <w:wordWrap w:val="0"/>
        <w:spacing w:line="4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2.2 分值构成与评分标准</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2.2.1 分值构成</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（1）服务方案部分：见评标办法前附表；</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（2）人员配置部分：见评标办法前附表；</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（3）企业荣誉部分：见评标办法前附表；</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（4）企业业绩部分：见评标办法前附表；</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（5）投标报价部分：见评标办法前附表。</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2.2.2 评标基准价计算</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评标基准价计算方法：见评标办法前附表。</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2.2.3 投标报价的偏差率计算</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投标报价的偏差率计算公式：见评标办法前附表。</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2.2.4 评分标准</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（1）服务方案部分：见评标办法前附表；</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（2）人员配置部分：见评标办法前附表；</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（3）企业荣誉部分：见评标办法前附表；</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（4）企业业绩部分：见评标办法前附表；</w:t>
      </w:r>
    </w:p>
    <w:p>
      <w:pPr>
        <w:wordWrap w:val="0"/>
        <w:spacing w:line="420" w:lineRule="exact"/>
        <w:ind w:firstLine="420" w:firstLineChars="200"/>
        <w:rPr>
          <w:rFonts w:asciiTheme="minorEastAsia" w:hAnsiTheme="minorEastAsia" w:cstheme="minorEastAsia"/>
          <w:b/>
          <w:bCs/>
          <w:kern w:val="0"/>
          <w:szCs w:val="21"/>
        </w:rPr>
      </w:pPr>
      <w:r>
        <w:rPr>
          <w:rFonts w:hint="eastAsia" w:asciiTheme="minorEastAsia" w:hAnsiTheme="minorEastAsia" w:cstheme="minorEastAsia"/>
          <w:kern w:val="0"/>
          <w:szCs w:val="21"/>
        </w:rPr>
        <w:t>（5）投标报价部分：见评标办法前附表。</w:t>
      </w:r>
    </w:p>
    <w:p>
      <w:pPr>
        <w:wordWrap w:val="0"/>
        <w:spacing w:line="4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3. 评标程序</w:t>
      </w:r>
    </w:p>
    <w:p>
      <w:pPr>
        <w:wordWrap w:val="0"/>
        <w:spacing w:line="4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3.1 初步评审</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3.1.2 投标人有以下情形之一的，评标委员会应当否决其投标：</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（1）国家发改委发布的《中华人民共和国标准招标文件》第二章“投标人须知”细则中第1.4.3项、第1.4.4项规定的任何一种情形的；</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（2）串通投标或弄虚作假或有其他违法行为的；</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（3）不按评标委员会要求澄清、说明或补正的。</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3.1.3投标报价有算术错误及其他错误的，评标委员会按以下原则要求投标人对投标报价进行修正，并要求投标人书面澄清确认。投标人拒不澄清确认的，评标委员会应当否决其投标：</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（1）投标文件中的大写金额与小写金额不一致的，以大写金额为准；</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（2）总价金额与依据单价计算出的结果不一致的，以单价金额为准修正总价，但单价金额小数点有明显错误的除外。</w:t>
      </w:r>
    </w:p>
    <w:p>
      <w:pPr>
        <w:wordWrap w:val="0"/>
        <w:spacing w:line="4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3.2 详细评审</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3.2.1 评标委员会按本章规定的量化因素和分值进行打分，并计算出综合评估得分。</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（1）按本章规定的评审因素和分值对服务方案部分计算出得分A；</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（2）按本章规定的评审因素和分值对人员配置部分计算出得分B；</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（3）按本章规定的评审因素和分值对企业荣誉部分计算出得分C；</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（4）按本章规定的评审因素和分值对企业业绩部分计算出得分D；</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（5）按本章规定的评审因素和分值对投标报价部分计算出得分E。</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3.2.2 评分分值计算保留小数点后两位，小数点后第三位“四舍五入”。</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3.2.3 投标人得分=A+B+C+D+E。</w:t>
      </w:r>
    </w:p>
    <w:p>
      <w:pPr>
        <w:wordWrap w:val="0"/>
        <w:spacing w:line="42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4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3.3 投标文件的澄清和补正</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3.3.2 澄清、说明或补正不得超出投标文件的范围且不得改变投标文件的实质性内容，并构成投标文件的组成部分。</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3.3.3 评标委员会对投标人提交的澄清、说明或补正有疑问的，可以要求投标人进一步澄清、说明或补正，直至满足评标委员会的要求。</w:t>
      </w:r>
    </w:p>
    <w:p>
      <w:pPr>
        <w:wordWrap w:val="0"/>
        <w:spacing w:line="440" w:lineRule="exact"/>
        <w:rPr>
          <w:rFonts w:asciiTheme="minorEastAsia" w:hAnsiTheme="minorEastAsia" w:cstheme="minorEastAsia"/>
          <w:b/>
          <w:bCs/>
          <w:kern w:val="0"/>
          <w:szCs w:val="21"/>
        </w:rPr>
      </w:pPr>
      <w:r>
        <w:rPr>
          <w:rFonts w:hint="eastAsia" w:asciiTheme="minorEastAsia" w:hAnsiTheme="minorEastAsia" w:cstheme="minorEastAsia"/>
          <w:b/>
          <w:bCs/>
          <w:kern w:val="0"/>
          <w:szCs w:val="21"/>
        </w:rPr>
        <w:t>3.4 评标结果</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3.4.1 除第二章“投标人须知”前附表授权直接确定中标人外，评标委员会按照得分由高到低的顺序推荐中标候选人，并标明排序。</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3.4.2 评标委员会完成评标后，应当向招标人提交书面评标报告和中标候选人名单。</w:t>
      </w:r>
    </w:p>
    <w:p>
      <w:pPr>
        <w:rPr>
          <w:rFonts w:ascii="Times New Roman" w:hAnsi="Times New Roman" w:cs="Times New Roman"/>
          <w:b/>
          <w:bCs/>
          <w:kern w:val="0"/>
          <w:sz w:val="28"/>
          <w:szCs w:val="28"/>
        </w:rPr>
      </w:pPr>
      <w:r>
        <w:rPr>
          <w:rFonts w:ascii="Times New Roman" w:hAnsi="Times New Roman" w:cs="Times New Roman"/>
          <w:b/>
          <w:bCs/>
          <w:kern w:val="0"/>
          <w:sz w:val="28"/>
          <w:szCs w:val="28"/>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第四章 </w:t>
      </w:r>
      <w:r>
        <w:rPr>
          <w:rFonts w:asciiTheme="majorEastAsia" w:hAnsiTheme="majorEastAsia" w:eastAsiaTheme="majorEastAsia" w:cstheme="majorEastAsia"/>
          <w:b/>
          <w:bCs/>
          <w:sz w:val="32"/>
          <w:szCs w:val="32"/>
        </w:rPr>
        <w:t>合同条款及格式</w:t>
      </w:r>
    </w:p>
    <w:p>
      <w:pPr>
        <w:spacing w:line="480" w:lineRule="exact"/>
        <w:jc w:val="center"/>
        <w:rPr>
          <w:rFonts w:asciiTheme="majorEastAsia" w:hAnsiTheme="majorEastAsia" w:eastAsiaTheme="majorEastAsia" w:cstheme="majorEastAsia"/>
          <w:b/>
          <w:bCs/>
          <w:sz w:val="32"/>
          <w:szCs w:val="32"/>
        </w:rPr>
      </w:pPr>
    </w:p>
    <w:p>
      <w:pPr>
        <w:spacing w:before="156" w:beforeLines="50" w:after="156" w:afterLines="50"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合同条款前附表</w:t>
      </w:r>
    </w:p>
    <w:tbl>
      <w:tblPr>
        <w:tblStyle w:val="16"/>
        <w:tblW w:w="94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7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heme="minorEastAsia" w:hAnsiTheme="minorEastAsia" w:cstheme="minorEastAsia"/>
                <w:b/>
                <w:bCs/>
                <w:kern w:val="0"/>
                <w:szCs w:val="21"/>
              </w:rPr>
            </w:pPr>
            <w:r>
              <w:rPr>
                <w:rFonts w:hint="eastAsia" w:asciiTheme="minorEastAsia" w:hAnsiTheme="minorEastAsia" w:cstheme="minorEastAsia"/>
                <w:b/>
                <w:bCs/>
                <w:kern w:val="0"/>
                <w:szCs w:val="21"/>
              </w:rPr>
              <w:t>序号</w:t>
            </w:r>
          </w:p>
        </w:tc>
        <w:tc>
          <w:tcPr>
            <w:tcW w:w="1417" w:type="dxa"/>
            <w:vAlign w:val="center"/>
          </w:tcPr>
          <w:p>
            <w:pPr>
              <w:wordWrap w:val="0"/>
              <w:spacing w:line="440" w:lineRule="exact"/>
              <w:jc w:val="center"/>
              <w:rPr>
                <w:rFonts w:asciiTheme="minorEastAsia" w:hAnsiTheme="minorEastAsia" w:cstheme="minorEastAsia"/>
                <w:b/>
                <w:bCs/>
                <w:kern w:val="0"/>
                <w:szCs w:val="21"/>
              </w:rPr>
            </w:pPr>
            <w:r>
              <w:rPr>
                <w:rFonts w:hint="eastAsia" w:asciiTheme="minorEastAsia" w:hAnsiTheme="minorEastAsia" w:cstheme="minorEastAsia"/>
                <w:b/>
                <w:bCs/>
                <w:kern w:val="0"/>
                <w:szCs w:val="21"/>
              </w:rPr>
              <w:t>条款名称</w:t>
            </w:r>
          </w:p>
        </w:tc>
        <w:tc>
          <w:tcPr>
            <w:tcW w:w="7207" w:type="dxa"/>
            <w:vAlign w:val="center"/>
          </w:tcPr>
          <w:p>
            <w:pPr>
              <w:wordWrap w:val="0"/>
              <w:spacing w:line="440" w:lineRule="exact"/>
              <w:jc w:val="center"/>
              <w:rPr>
                <w:rFonts w:asciiTheme="minorEastAsia" w:hAnsiTheme="minorEastAsia" w:cstheme="minorEastAsia"/>
                <w:b/>
                <w:bCs/>
                <w:kern w:val="0"/>
                <w:szCs w:val="21"/>
              </w:rPr>
            </w:pPr>
            <w:r>
              <w:rPr>
                <w:rFonts w:hint="eastAsia" w:asciiTheme="minorEastAsia" w:hAnsiTheme="minorEastAsia" w:cstheme="minorEastAsia"/>
                <w:b/>
                <w:bCs/>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1</w:t>
            </w:r>
          </w:p>
        </w:tc>
        <w:tc>
          <w:tcPr>
            <w:tcW w:w="1417" w:type="dxa"/>
            <w:vAlign w:val="center"/>
          </w:tcPr>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付款人</w:t>
            </w:r>
          </w:p>
        </w:tc>
        <w:tc>
          <w:tcPr>
            <w:tcW w:w="7207" w:type="dxa"/>
            <w:vAlign w:val="center"/>
          </w:tcPr>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亳州交通投资控股集团有限公司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0" w:hRule="atLeast"/>
        </w:trPr>
        <w:tc>
          <w:tcPr>
            <w:tcW w:w="850" w:type="dxa"/>
            <w:vAlign w:val="center"/>
          </w:tcPr>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2</w:t>
            </w:r>
          </w:p>
        </w:tc>
        <w:tc>
          <w:tcPr>
            <w:tcW w:w="1417" w:type="dxa"/>
            <w:vAlign w:val="center"/>
          </w:tcPr>
          <w:p>
            <w:pPr>
              <w:wordWrap w:val="0"/>
              <w:spacing w:line="44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付款方式</w:t>
            </w:r>
          </w:p>
        </w:tc>
        <w:tc>
          <w:tcPr>
            <w:tcW w:w="7207" w:type="dxa"/>
            <w:vAlign w:val="center"/>
          </w:tcPr>
          <w:p>
            <w:pPr>
              <w:wordWrap w:val="0"/>
              <w:spacing w:line="440" w:lineRule="exact"/>
              <w:ind w:firstLine="422" w:firstLineChars="200"/>
              <w:rPr>
                <w:rFonts w:hint="eastAsia" w:asciiTheme="minorEastAsia" w:hAnsiTheme="minorEastAsia" w:eastAsiaTheme="minorEastAsia" w:cstheme="minorEastAsia"/>
                <w:b/>
                <w:bCs/>
                <w:kern w:val="0"/>
                <w:szCs w:val="21"/>
                <w:lang w:eastAsia="zh-CN"/>
              </w:rPr>
            </w:pPr>
            <w:r>
              <w:rPr>
                <w:rFonts w:hint="eastAsia" w:asciiTheme="minorEastAsia" w:hAnsiTheme="minorEastAsia" w:cstheme="minorEastAsia"/>
                <w:b/>
                <w:bCs/>
                <w:kern w:val="0"/>
                <w:szCs w:val="21"/>
                <w:lang w:val="en-US" w:eastAsia="zh-CN"/>
              </w:rPr>
              <w:t>本合同为</w:t>
            </w:r>
            <w:r>
              <w:rPr>
                <w:rFonts w:hint="eastAsia" w:asciiTheme="minorEastAsia" w:hAnsiTheme="minorEastAsia" w:cstheme="minorEastAsia"/>
                <w:b/>
                <w:bCs/>
                <w:kern w:val="0"/>
                <w:szCs w:val="21"/>
              </w:rPr>
              <w:t>固定总价合同。本合同价款为含税金额，包括但不限于</w:t>
            </w:r>
            <w:r>
              <w:rPr>
                <w:rFonts w:hint="eastAsia" w:asciiTheme="minorEastAsia" w:hAnsiTheme="minorEastAsia" w:cstheme="minorEastAsia"/>
                <w:b/>
                <w:bCs/>
                <w:kern w:val="0"/>
                <w:szCs w:val="21"/>
                <w:lang w:eastAsia="zh-CN"/>
              </w:rPr>
              <w:t>：</w:t>
            </w:r>
          </w:p>
          <w:p>
            <w:pPr>
              <w:wordWrap w:val="0"/>
              <w:spacing w:line="440" w:lineRule="exact"/>
              <w:ind w:firstLine="422" w:firstLineChars="200"/>
              <w:rPr>
                <w:rFonts w:hint="eastAsia" w:asciiTheme="minorEastAsia" w:hAnsiTheme="minorEastAsia" w:cstheme="minorEastAsia"/>
                <w:kern w:val="0"/>
                <w:szCs w:val="21"/>
              </w:rPr>
            </w:pPr>
            <w:r>
              <w:rPr>
                <w:rFonts w:hint="eastAsia" w:asciiTheme="minorEastAsia" w:hAnsiTheme="minorEastAsia" w:cstheme="minorEastAsia"/>
                <w:b/>
                <w:bCs/>
                <w:kern w:val="0"/>
                <w:szCs w:val="21"/>
              </w:rPr>
              <w:t>勘察设计、专项设计、审查、会务等各项工作发生的费用，发包人不再另行增加其他任何费用；税率为6%，若因国家政策变化税率调整，则剔除原税率因素后相应调整合同价款。除此之外，不因任何原因调整合同价款。</w:t>
            </w:r>
            <w:bookmarkStart w:id="116" w:name="_GoBack"/>
            <w:bookmarkEnd w:id="116"/>
          </w:p>
          <w:p>
            <w:pPr>
              <w:wordWrap w:val="0"/>
              <w:spacing w:line="440" w:lineRule="exact"/>
              <w:ind w:firstLine="420" w:firstLineChars="200"/>
              <w:rPr>
                <w:rFonts w:hint="eastAsia" w:asciiTheme="minorEastAsia" w:hAnsiTheme="minorEastAsia" w:cstheme="minorEastAsia"/>
                <w:kern w:val="0"/>
                <w:szCs w:val="21"/>
              </w:rPr>
            </w:pPr>
            <w:r>
              <w:rPr>
                <w:rFonts w:hint="eastAsia" w:asciiTheme="minorEastAsia" w:hAnsiTheme="minorEastAsia" w:cstheme="minorEastAsia"/>
                <w:kern w:val="0"/>
                <w:szCs w:val="21"/>
              </w:rPr>
              <w:t>1.</w:t>
            </w:r>
            <w:r>
              <w:rPr>
                <w:rFonts w:hint="eastAsia" w:asciiTheme="minorEastAsia" w:hAnsiTheme="minorEastAsia" w:cstheme="minorEastAsia"/>
                <w:kern w:val="0"/>
                <w:szCs w:val="21"/>
                <w:lang w:val="en-US" w:eastAsia="zh-CN"/>
              </w:rPr>
              <w:t>设计方案通过区规委会确认后支付合同价款的10%</w:t>
            </w:r>
            <w:r>
              <w:rPr>
                <w:rFonts w:hint="eastAsia" w:asciiTheme="minorEastAsia" w:hAnsiTheme="minorEastAsia" w:cstheme="minorEastAsia"/>
                <w:kern w:val="0"/>
                <w:szCs w:val="21"/>
              </w:rPr>
              <w:t>；</w:t>
            </w:r>
          </w:p>
          <w:p>
            <w:pPr>
              <w:wordWrap w:val="0"/>
              <w:spacing w:line="440" w:lineRule="exact"/>
              <w:ind w:firstLine="420" w:firstLineChars="200"/>
              <w:rPr>
                <w:rFonts w:hint="eastAsia" w:asciiTheme="minorEastAsia" w:hAnsiTheme="minorEastAsia" w:cstheme="minorEastAsia"/>
                <w:kern w:val="0"/>
                <w:szCs w:val="21"/>
              </w:rPr>
            </w:pPr>
            <w:r>
              <w:rPr>
                <w:rFonts w:hint="eastAsia" w:asciiTheme="minorEastAsia" w:hAnsiTheme="minorEastAsia" w:cstheme="minorEastAsia"/>
                <w:kern w:val="0"/>
                <w:szCs w:val="21"/>
              </w:rPr>
              <w:t>2、</w:t>
            </w:r>
            <w:r>
              <w:rPr>
                <w:rFonts w:hint="eastAsia" w:asciiTheme="minorEastAsia" w:hAnsiTheme="minorEastAsia" w:cstheme="minorEastAsia"/>
                <w:kern w:val="0"/>
                <w:szCs w:val="21"/>
                <w:lang w:val="en-US" w:eastAsia="zh-CN"/>
              </w:rPr>
              <w:t>所有施工图完成并经相关部门及招标人审核通过后支付至合同价款的60%（含图纸审查完毕）</w:t>
            </w:r>
            <w:r>
              <w:rPr>
                <w:rFonts w:hint="eastAsia" w:asciiTheme="minorEastAsia" w:hAnsiTheme="minorEastAsia" w:cstheme="minorEastAsia"/>
                <w:kern w:val="0"/>
                <w:szCs w:val="21"/>
              </w:rPr>
              <w:t>；</w:t>
            </w:r>
          </w:p>
          <w:p>
            <w:pPr>
              <w:wordWrap w:val="0"/>
              <w:spacing w:line="440" w:lineRule="exact"/>
              <w:ind w:firstLine="420" w:firstLineChars="200"/>
              <w:rPr>
                <w:rFonts w:hint="eastAsia" w:asciiTheme="minorEastAsia" w:hAnsiTheme="minorEastAsia" w:eastAsiaTheme="minorEastAsia" w:cstheme="minorEastAsia"/>
                <w:kern w:val="0"/>
                <w:szCs w:val="21"/>
                <w:lang w:val="en-US" w:eastAsia="zh-CN"/>
              </w:rPr>
            </w:pPr>
            <w:r>
              <w:rPr>
                <w:rFonts w:hint="eastAsia" w:asciiTheme="minorEastAsia" w:hAnsiTheme="minorEastAsia" w:cstheme="minorEastAsia"/>
                <w:kern w:val="0"/>
                <w:szCs w:val="21"/>
              </w:rPr>
              <w:t>3.</w:t>
            </w:r>
            <w:r>
              <w:rPr>
                <w:rFonts w:hint="eastAsia" w:asciiTheme="minorEastAsia" w:hAnsiTheme="minorEastAsia" w:cstheme="minorEastAsia"/>
                <w:kern w:val="0"/>
                <w:szCs w:val="21"/>
                <w:lang w:val="en-US" w:eastAsia="zh-CN"/>
              </w:rPr>
              <w:t>工程竣工验收合格备案后付清剩余设计费用；</w:t>
            </w:r>
          </w:p>
          <w:p>
            <w:pPr>
              <w:wordWrap w:val="0"/>
              <w:spacing w:line="440" w:lineRule="exact"/>
              <w:ind w:firstLine="420" w:firstLineChars="200"/>
              <w:rPr>
                <w:rFonts w:asciiTheme="minorEastAsia" w:hAnsiTheme="minorEastAsia" w:cstheme="minorEastAsia"/>
                <w:kern w:val="0"/>
                <w:szCs w:val="21"/>
              </w:rPr>
            </w:pPr>
            <w:r>
              <w:rPr>
                <w:rFonts w:hint="eastAsia" w:asciiTheme="minorEastAsia" w:hAnsiTheme="minorEastAsia" w:cstheme="minorEastAsia"/>
                <w:kern w:val="0"/>
                <w:szCs w:val="21"/>
              </w:rPr>
              <w:t>注：招标人付款前，中标人应按照国家税收有关规定开具等额增值税专用发票。</w:t>
            </w:r>
          </w:p>
        </w:tc>
      </w:tr>
    </w:tbl>
    <w:p>
      <w:pPr>
        <w:wordWrap w:val="0"/>
        <w:spacing w:line="440" w:lineRule="exact"/>
        <w:rPr>
          <w:rFonts w:asciiTheme="minorEastAsia" w:hAnsiTheme="minorEastAsia" w:cstheme="minorEastAsia"/>
          <w:kern w:val="0"/>
          <w:szCs w:val="21"/>
        </w:rPr>
      </w:pPr>
      <w:r>
        <w:rPr>
          <w:rFonts w:hint="eastAsia" w:asciiTheme="minorEastAsia" w:hAnsiTheme="minorEastAsia" w:cstheme="minorEastAsia"/>
          <w:kern w:val="0"/>
          <w:szCs w:val="21"/>
        </w:rPr>
        <w:t>具体合同内容由招标人与中标单位在不违背招标文件内容和投标文件承诺的条件下友好协商签订。</w:t>
      </w:r>
    </w:p>
    <w:p>
      <w:pPr>
        <w:rPr>
          <w:rFonts w:asciiTheme="minorEastAsia" w:hAnsiTheme="minorEastAsia" w:cstheme="minorEastAsia"/>
          <w:b/>
          <w:bCs/>
          <w:sz w:val="32"/>
          <w:szCs w:val="32"/>
        </w:rPr>
      </w:pPr>
    </w:p>
    <w:p>
      <w:pP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br w:type="page"/>
      </w:r>
    </w:p>
    <w:bookmarkEnd w:id="16"/>
    <w:bookmarkEnd w:id="17"/>
    <w:bookmarkEnd w:id="18"/>
    <w:bookmarkEnd w:id="19"/>
    <w:bookmarkEnd w:id="20"/>
    <w:bookmarkEnd w:id="21"/>
    <w:bookmarkEnd w:id="22"/>
    <w:bookmarkEnd w:id="23"/>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w:t>
      </w:r>
      <w:r>
        <w:rPr>
          <w:rFonts w:hint="eastAsia" w:asciiTheme="majorEastAsia" w:hAnsiTheme="majorEastAsia" w:eastAsiaTheme="majorEastAsia" w:cstheme="majorEastAsia"/>
          <w:b/>
          <w:bCs/>
          <w:sz w:val="32"/>
          <w:szCs w:val="32"/>
        </w:rPr>
        <w:t>五</w:t>
      </w:r>
      <w:r>
        <w:rPr>
          <w:rFonts w:asciiTheme="majorEastAsia" w:hAnsiTheme="majorEastAsia" w:eastAsiaTheme="majorEastAsia" w:cstheme="majorEastAsia"/>
          <w:b/>
          <w:bCs/>
          <w:sz w:val="32"/>
          <w:szCs w:val="32"/>
        </w:rPr>
        <w:t>章</w:t>
      </w:r>
      <w:r>
        <w:rPr>
          <w:rFonts w:hint="eastAsia" w:asciiTheme="majorEastAsia" w:hAnsiTheme="majorEastAsia" w:eastAsiaTheme="majorEastAsia" w:cstheme="majorEastAsia"/>
          <w:b/>
          <w:bCs/>
          <w:sz w:val="32"/>
          <w:szCs w:val="32"/>
        </w:rPr>
        <w:t xml:space="preserve"> 发包人要求</w:t>
      </w:r>
    </w:p>
    <w:p>
      <w:pPr>
        <w:wordWrap w:val="0"/>
        <w:spacing w:line="560" w:lineRule="exact"/>
        <w:ind w:firstLine="480" w:firstLineChars="200"/>
        <w:rPr>
          <w:rFonts w:ascii="Times New Roman" w:hAnsi="Times New Roman" w:cs="Times New Roman"/>
          <w:kern w:val="0"/>
          <w:sz w:val="24"/>
        </w:rPr>
      </w:pPr>
    </w:p>
    <w:p>
      <w:pPr>
        <w:numPr>
          <w:ilvl w:val="0"/>
          <w:numId w:val="1"/>
        </w:numPr>
        <w:spacing w:line="520" w:lineRule="exact"/>
        <w:ind w:firstLine="420" w:firstLineChars="200"/>
        <w:rPr>
          <w:rFonts w:ascii="Times New Roman" w:hAnsi="Times New Roman"/>
          <w:szCs w:val="21"/>
        </w:rPr>
      </w:pPr>
      <w:r>
        <w:rPr>
          <w:rFonts w:hint="eastAsia" w:ascii="Times New Roman" w:hAnsi="Times New Roman"/>
          <w:szCs w:val="21"/>
        </w:rPr>
        <w:t>设计服务期为自合同签订之日起至本工程竣工验收合格。</w:t>
      </w:r>
      <w:r>
        <w:rPr>
          <w:rFonts w:hint="eastAsia" w:ascii="Times New Roman" w:hAnsi="Times New Roman"/>
          <w:szCs w:val="21"/>
          <w:lang w:val="en-US" w:eastAsia="zh-CN"/>
        </w:rPr>
        <w:t>合同签订后20天内提交修建性详细规划、建筑方案设计文件，方案设计确定后30天内提交初步设计文件，初步设计方案批准后20天内出施工图（审图合格）</w:t>
      </w:r>
      <w:r>
        <w:rPr>
          <w:rFonts w:hint="eastAsia" w:ascii="Times New Roman" w:hAnsi="Times New Roman"/>
          <w:szCs w:val="21"/>
        </w:rPr>
        <w:t>。</w:t>
      </w:r>
      <w:r>
        <w:rPr>
          <w:rFonts w:hint="eastAsia" w:ascii="Times New Roman" w:hAnsi="Times New Roman"/>
          <w:szCs w:val="21"/>
          <w:lang w:val="en-US" w:eastAsia="zh-CN"/>
        </w:rPr>
        <w:t>图纸设计前必须先进行地勘工作，施工图要严格根据地勘报告进行设计，施工图应完善、全面，若因勘察设计原因造成设计漏项较多的，将根据《亳州市政府投资城建项目合同管理办法（试行）》及《亳州交通投资控股集团有限公司建设项目合同管理办法（试行）》相关条款扣除设计费用。</w:t>
      </w:r>
    </w:p>
    <w:p>
      <w:pPr>
        <w:spacing w:line="520" w:lineRule="exact"/>
        <w:rPr>
          <w:rFonts w:ascii="Times New Roman" w:hAnsi="Times New Roman"/>
          <w:szCs w:val="21"/>
        </w:rPr>
      </w:pPr>
      <w:r>
        <w:rPr>
          <w:rFonts w:hint="eastAsia" w:ascii="Times New Roman" w:hAnsi="Times New Roman"/>
          <w:szCs w:val="21"/>
        </w:rPr>
        <w:t xml:space="preserve">    投标人按固定总价报价，投标报价超出限价的按无效投标处理；投标报价应包括为完成本项目的食宿费、差旅费、出具方案文本及图纸等后期服务所需的全部费用及税费，其他未尽事宜应统一考虑在报价内。</w:t>
      </w:r>
    </w:p>
    <w:p>
      <w:pPr>
        <w:spacing w:line="520" w:lineRule="exact"/>
        <w:ind w:firstLine="480" w:firstLineChars="200"/>
        <w:rPr>
          <w:rFonts w:ascii="Times New Roman" w:hAnsi="Times New Roman"/>
          <w:szCs w:val="21"/>
        </w:rPr>
      </w:pPr>
      <w:r>
        <w:rPr>
          <w:rFonts w:hint="eastAsia" w:ascii="Times New Roman" w:hAnsi="Times New Roman" w:cs="Times New Roman"/>
          <w:kern w:val="0"/>
          <w:sz w:val="24"/>
        </w:rPr>
        <w:t>二、</w:t>
      </w:r>
      <w:r>
        <w:rPr>
          <w:rFonts w:hint="eastAsia" w:ascii="Times New Roman" w:hAnsi="Times New Roman"/>
          <w:szCs w:val="21"/>
        </w:rPr>
        <w:t>服务方案应包括（但不限于）下列内容：</w:t>
      </w:r>
    </w:p>
    <w:p>
      <w:pPr>
        <w:spacing w:line="520" w:lineRule="exact"/>
        <w:ind w:firstLine="420" w:firstLineChars="200"/>
        <w:rPr>
          <w:rFonts w:ascii="Times New Roman" w:hAnsi="Times New Roman"/>
          <w:szCs w:val="21"/>
        </w:rPr>
      </w:pPr>
      <w:r>
        <w:rPr>
          <w:rFonts w:hint="eastAsia" w:ascii="Times New Roman" w:hAnsi="Times New Roman"/>
          <w:szCs w:val="21"/>
        </w:rPr>
        <w:t>1.项目概况；</w:t>
      </w:r>
    </w:p>
    <w:p>
      <w:pPr>
        <w:spacing w:line="520" w:lineRule="exact"/>
        <w:ind w:firstLine="420" w:firstLineChars="200"/>
        <w:rPr>
          <w:rFonts w:ascii="Times New Roman" w:hAnsi="Times New Roman"/>
          <w:szCs w:val="21"/>
        </w:rPr>
      </w:pPr>
      <w:r>
        <w:rPr>
          <w:rFonts w:hint="eastAsia" w:ascii="Times New Roman" w:hAnsi="Times New Roman"/>
          <w:szCs w:val="21"/>
        </w:rPr>
        <w:t>2.工作范围、工作内容；</w:t>
      </w:r>
    </w:p>
    <w:p>
      <w:pPr>
        <w:spacing w:line="520" w:lineRule="exact"/>
        <w:ind w:firstLine="420" w:firstLineChars="200"/>
        <w:rPr>
          <w:rFonts w:ascii="Times New Roman" w:hAnsi="Times New Roman"/>
          <w:szCs w:val="21"/>
        </w:rPr>
      </w:pPr>
      <w:r>
        <w:rPr>
          <w:rFonts w:hint="eastAsia" w:ascii="Times New Roman" w:hAnsi="Times New Roman"/>
          <w:szCs w:val="21"/>
        </w:rPr>
        <w:t>3.工作依据、工作目标；</w:t>
      </w:r>
    </w:p>
    <w:p>
      <w:pPr>
        <w:spacing w:line="520" w:lineRule="exact"/>
        <w:ind w:firstLine="420" w:firstLineChars="200"/>
        <w:rPr>
          <w:rFonts w:ascii="Times New Roman" w:hAnsi="Times New Roman"/>
          <w:szCs w:val="21"/>
        </w:rPr>
      </w:pPr>
      <w:r>
        <w:rPr>
          <w:rFonts w:hint="eastAsia" w:ascii="Times New Roman" w:hAnsi="Times New Roman"/>
          <w:szCs w:val="21"/>
        </w:rPr>
        <w:t>4.机构设置（框图）、岗位职责；</w:t>
      </w:r>
    </w:p>
    <w:p>
      <w:pPr>
        <w:spacing w:line="520" w:lineRule="exact"/>
        <w:ind w:firstLine="420" w:firstLineChars="200"/>
        <w:rPr>
          <w:rFonts w:ascii="Times New Roman" w:hAnsi="Times New Roman"/>
          <w:szCs w:val="21"/>
        </w:rPr>
      </w:pPr>
      <w:r>
        <w:rPr>
          <w:rFonts w:hint="eastAsia" w:ascii="Times New Roman" w:hAnsi="Times New Roman"/>
          <w:szCs w:val="21"/>
        </w:rPr>
        <w:t>5.说明和方案；</w:t>
      </w:r>
    </w:p>
    <w:p>
      <w:pPr>
        <w:spacing w:line="520" w:lineRule="exact"/>
        <w:ind w:firstLine="420" w:firstLineChars="200"/>
        <w:rPr>
          <w:rFonts w:ascii="Times New Roman" w:hAnsi="Times New Roman"/>
          <w:szCs w:val="21"/>
        </w:rPr>
      </w:pPr>
      <w:r>
        <w:rPr>
          <w:rFonts w:hint="eastAsia" w:ascii="Times New Roman" w:hAnsi="Times New Roman"/>
          <w:szCs w:val="21"/>
        </w:rPr>
        <w:t>6.拟投入的人员；</w:t>
      </w:r>
    </w:p>
    <w:p>
      <w:pPr>
        <w:spacing w:line="520" w:lineRule="exact"/>
        <w:ind w:firstLine="420" w:firstLineChars="200"/>
        <w:rPr>
          <w:rFonts w:ascii="Times New Roman" w:hAnsi="Times New Roman"/>
          <w:szCs w:val="21"/>
        </w:rPr>
      </w:pPr>
      <w:r>
        <w:rPr>
          <w:rFonts w:hint="eastAsia" w:ascii="Times New Roman" w:hAnsi="Times New Roman"/>
          <w:szCs w:val="21"/>
        </w:rPr>
        <w:t xml:space="preserve">7.工作质量、进度、保密等保证措施； </w:t>
      </w:r>
    </w:p>
    <w:p>
      <w:pPr>
        <w:spacing w:line="520" w:lineRule="exact"/>
        <w:ind w:firstLine="420" w:firstLineChars="200"/>
        <w:rPr>
          <w:rFonts w:ascii="Times New Roman" w:hAnsi="Times New Roman"/>
          <w:szCs w:val="21"/>
        </w:rPr>
      </w:pPr>
      <w:r>
        <w:rPr>
          <w:rFonts w:hint="eastAsia" w:ascii="Times New Roman" w:hAnsi="Times New Roman"/>
          <w:szCs w:val="21"/>
        </w:rPr>
        <w:t>8.工作重点、难点分析；</w:t>
      </w:r>
    </w:p>
    <w:p>
      <w:pPr>
        <w:spacing w:line="520" w:lineRule="exact"/>
        <w:ind w:firstLine="420" w:firstLineChars="200"/>
        <w:rPr>
          <w:rFonts w:ascii="Times New Roman" w:hAnsi="Times New Roman"/>
          <w:szCs w:val="21"/>
        </w:rPr>
      </w:pPr>
      <w:r>
        <w:rPr>
          <w:rFonts w:hint="eastAsia" w:ascii="Times New Roman" w:hAnsi="Times New Roman"/>
          <w:szCs w:val="21"/>
        </w:rPr>
        <w:t>9.对本项目的合理化建议。</w:t>
      </w:r>
    </w:p>
    <w:p>
      <w:pPr>
        <w:wordWrap w:val="0"/>
        <w:spacing w:line="560" w:lineRule="exact"/>
        <w:ind w:left="840"/>
        <w:rPr>
          <w:rFonts w:ascii="Times New Roman" w:hAnsi="Times New Roman" w:cs="Times New Roman"/>
          <w:kern w:val="0"/>
          <w:sz w:val="24"/>
        </w:rPr>
      </w:pPr>
    </w:p>
    <w:p>
      <w:pPr>
        <w:wordWrap w:val="0"/>
        <w:spacing w:line="560" w:lineRule="exact"/>
        <w:ind w:left="840"/>
        <w:rPr>
          <w:rFonts w:ascii="Times New Roman" w:hAnsi="Times New Roman" w:cs="Times New Roman"/>
          <w:kern w:val="0"/>
          <w:sz w:val="24"/>
        </w:rPr>
      </w:pPr>
    </w:p>
    <w:p>
      <w:pPr>
        <w:wordWrap w:val="0"/>
        <w:spacing w:line="560" w:lineRule="exact"/>
        <w:ind w:left="840"/>
        <w:rPr>
          <w:rFonts w:ascii="Times New Roman" w:hAnsi="Times New Roman" w:cs="Times New Roman"/>
          <w:kern w:val="0"/>
          <w:sz w:val="24"/>
        </w:rPr>
      </w:pPr>
    </w:p>
    <w:p>
      <w:pPr>
        <w:wordWrap w:val="0"/>
        <w:spacing w:line="560" w:lineRule="exact"/>
        <w:ind w:left="840"/>
        <w:rPr>
          <w:rFonts w:ascii="Times New Roman" w:hAnsi="Times New Roman" w:cs="Times New Roman"/>
          <w:kern w:val="0"/>
          <w:sz w:val="24"/>
        </w:rPr>
      </w:pPr>
    </w:p>
    <w:p>
      <w:pPr>
        <w:wordWrap w:val="0"/>
        <w:spacing w:line="560" w:lineRule="exact"/>
        <w:ind w:left="840"/>
        <w:rPr>
          <w:rFonts w:ascii="Times New Roman" w:hAnsi="Times New Roman" w:cs="Times New Roman"/>
          <w:kern w:val="0"/>
          <w:sz w:val="24"/>
        </w:rPr>
      </w:pPr>
    </w:p>
    <w:p>
      <w:pPr>
        <w:spacing w:line="480" w:lineRule="exact"/>
        <w:rPr>
          <w:rFonts w:asciiTheme="majorEastAsia" w:hAnsiTheme="majorEastAsia" w:eastAsiaTheme="majorEastAsia" w:cstheme="majorEastAsia"/>
          <w:b/>
          <w:bCs/>
          <w:sz w:val="32"/>
          <w:szCs w:val="32"/>
        </w:rPr>
      </w:pP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w:t>
      </w:r>
      <w:r>
        <w:rPr>
          <w:rFonts w:hint="eastAsia" w:asciiTheme="majorEastAsia" w:hAnsiTheme="majorEastAsia" w:eastAsiaTheme="majorEastAsia" w:cstheme="majorEastAsia"/>
          <w:b/>
          <w:bCs/>
          <w:sz w:val="32"/>
          <w:szCs w:val="32"/>
        </w:rPr>
        <w:t>六</w:t>
      </w:r>
      <w:r>
        <w:rPr>
          <w:rFonts w:asciiTheme="majorEastAsia" w:hAnsiTheme="majorEastAsia" w:eastAsiaTheme="majorEastAsia" w:cstheme="majorEastAsia"/>
          <w:b/>
          <w:bCs/>
          <w:sz w:val="32"/>
          <w:szCs w:val="32"/>
        </w:rPr>
        <w:t>章</w:t>
      </w:r>
      <w:r>
        <w:rPr>
          <w:rFonts w:hint="eastAsia" w:asciiTheme="majorEastAsia" w:hAnsiTheme="majorEastAsia" w:eastAsiaTheme="majorEastAsia" w:cstheme="majorEastAsia"/>
          <w:b/>
          <w:bCs/>
          <w:sz w:val="32"/>
          <w:szCs w:val="32"/>
        </w:rPr>
        <w:t xml:space="preserve"> </w:t>
      </w:r>
      <w:r>
        <w:rPr>
          <w:rFonts w:asciiTheme="majorEastAsia" w:hAnsiTheme="majorEastAsia" w:eastAsiaTheme="majorEastAsia" w:cstheme="majorEastAsia"/>
          <w:b/>
          <w:bCs/>
          <w:sz w:val="32"/>
          <w:szCs w:val="32"/>
        </w:rPr>
        <w:t>投标文件格式</w:t>
      </w:r>
    </w:p>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亳州市货车停车场综合体项目设计</w:t>
      </w:r>
    </w:p>
    <w:p>
      <w:pPr>
        <w:wordWrap w:val="0"/>
        <w:jc w:val="center"/>
        <w:rPr>
          <w:rFonts w:ascii="Times New Roman" w:hAnsi="Times New Roman" w:eastAsia="方正小标宋简体" w:cs="Times New Roman"/>
          <w:kern w:val="0"/>
          <w:sz w:val="84"/>
          <w:szCs w:val="84"/>
        </w:rPr>
      </w:pPr>
      <w:r>
        <w:rPr>
          <w:rFonts w:hint="eastAsia" w:ascii="Times New Roman" w:hAnsi="Times New Roman" w:eastAsia="方正小标宋简体" w:cs="Times New Roman"/>
          <w:kern w:val="0"/>
          <w:sz w:val="84"/>
          <w:szCs w:val="84"/>
        </w:rPr>
        <w:t>投</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BZJK-2020-038号</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rPr>
        <w:t>投标</w:t>
      </w:r>
      <w:r>
        <w:rPr>
          <w:rFonts w:ascii="Times New Roman" w:hAnsi="Times New Roman" w:eastAsia="楷体" w:cs="Times New Roman"/>
          <w:kern w:val="0"/>
          <w:sz w:val="32"/>
          <w:szCs w:val="32"/>
        </w:rPr>
        <w:t>单位：</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rPr>
        <w:t>法定代表人或其委托代理人：</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（签字）</w:t>
      </w:r>
    </w:p>
    <w:p>
      <w:pPr>
        <w:ind w:firstLine="1920" w:firstLine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年</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月</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日</w:t>
      </w:r>
    </w:p>
    <w:p>
      <w:pPr>
        <w:wordWrap w:val="0"/>
        <w:spacing w:line="520" w:lineRule="exact"/>
        <w:rPr>
          <w:rFonts w:ascii="宋体" w:hAnsi="宋体" w:eastAsia="宋体" w:cs="宋体"/>
          <w:kern w:val="0"/>
          <w:sz w:val="24"/>
        </w:rPr>
      </w:pPr>
      <w:r>
        <w:rPr>
          <w:rFonts w:hint="eastAsia" w:ascii="宋体" w:hAnsi="宋体" w:eastAsia="宋体" w:cs="宋体"/>
          <w:kern w:val="0"/>
          <w:sz w:val="24"/>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一</w:t>
      </w:r>
      <w:r>
        <w:rPr>
          <w:rFonts w:hint="eastAsia" w:ascii="Times New Roman" w:hAnsi="Times New Roman" w:eastAsia="黑体" w:cs="Times New Roman"/>
          <w:kern w:val="0"/>
          <w:sz w:val="32"/>
          <w:szCs w:val="32"/>
        </w:rPr>
        <w:t>、投标函及投标函附录</w:t>
      </w: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二</w:t>
      </w:r>
      <w:r>
        <w:rPr>
          <w:rFonts w:hint="eastAsia" w:ascii="Times New Roman" w:hAnsi="Times New Roman" w:eastAsia="黑体" w:cs="Times New Roman"/>
          <w:kern w:val="0"/>
          <w:sz w:val="32"/>
          <w:szCs w:val="32"/>
        </w:rPr>
        <w:t>、法定代表人身份证明</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二、授权委托书</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三、投标保证金</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四、服务费用清单</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五、资格审查资料</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六、服务方案</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七、其他资料</w:t>
      </w:r>
    </w:p>
    <w:p>
      <w:pPr>
        <w:wordWrap w:val="0"/>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p>
    <w:p>
      <w:pPr>
        <w:rPr>
          <w:rFonts w:ascii="宋体" w:hAnsi="宋体" w:eastAsia="宋体" w:cs="宋体"/>
          <w:b/>
          <w:bCs/>
          <w:kern w:val="0"/>
          <w:sz w:val="24"/>
        </w:rPr>
      </w:pPr>
      <w:r>
        <w:rPr>
          <w:rFonts w:hint="eastAsia" w:ascii="宋体" w:hAnsi="宋体" w:eastAsia="宋体" w:cs="宋体"/>
          <w:b/>
          <w:bCs/>
          <w:kern w:val="0"/>
          <w:sz w:val="24"/>
        </w:rPr>
        <w:br w:type="page"/>
      </w:r>
    </w:p>
    <w:p>
      <w:pPr>
        <w:pStyle w:val="3"/>
        <w:jc w:val="center"/>
        <w:rPr>
          <w:rFonts w:ascii="Times New Roman" w:hAnsi="Times New Roman"/>
          <w:szCs w:val="21"/>
          <w:u w:val="single"/>
        </w:rPr>
      </w:pPr>
      <w:bookmarkStart w:id="24" w:name="_Toc492300526"/>
      <w:r>
        <w:rPr>
          <w:rFonts w:ascii="Times New Roman" w:hAnsi="Times New Roman"/>
        </w:rPr>
        <w:t>一、投标</w:t>
      </w:r>
      <w:bookmarkStart w:id="25" w:name="_Toc369531692"/>
      <w:bookmarkStart w:id="26" w:name="_Toc6931"/>
      <w:bookmarkStart w:id="27" w:name="_Toc352691656"/>
      <w:r>
        <w:rPr>
          <w:rFonts w:ascii="Times New Roman" w:hAnsi="Times New Roman"/>
        </w:rPr>
        <w:t>函</w:t>
      </w:r>
      <w:bookmarkEnd w:id="24"/>
      <w:bookmarkEnd w:id="25"/>
      <w:bookmarkEnd w:id="26"/>
      <w:bookmarkEnd w:id="27"/>
    </w:p>
    <w:p>
      <w:pPr>
        <w:spacing w:line="440" w:lineRule="exact"/>
        <w:rPr>
          <w:rFonts w:ascii="Times New Roman" w:hAnsi="Times New Roman"/>
          <w:szCs w:val="21"/>
        </w:rPr>
      </w:pPr>
      <w:r>
        <w:rPr>
          <w:rFonts w:ascii="Times New Roman" w:hAnsi="Times New Roman"/>
          <w:szCs w:val="21"/>
          <w:u w:val="single"/>
        </w:rPr>
        <w:t xml:space="preserve">                  </w:t>
      </w:r>
      <w:r>
        <w:rPr>
          <w:rFonts w:ascii="Times New Roman" w:hAnsi="Times New Roman"/>
          <w:szCs w:val="21"/>
        </w:rPr>
        <w:t>（招标人名称）：</w:t>
      </w:r>
    </w:p>
    <w:p>
      <w:pPr>
        <w:spacing w:line="440" w:lineRule="exact"/>
        <w:ind w:firstLine="405"/>
        <w:rPr>
          <w:rFonts w:ascii="Times New Roman" w:hAnsi="Times New Roman"/>
          <w:szCs w:val="21"/>
        </w:rPr>
      </w:pPr>
      <w:r>
        <w:rPr>
          <w:rFonts w:ascii="Times New Roman" w:hAnsi="Times New Roman"/>
          <w:szCs w:val="21"/>
        </w:rPr>
        <w:t>1</w:t>
      </w:r>
      <w:r>
        <w:rPr>
          <w:rFonts w:hint="eastAsia" w:ascii="Times New Roman" w:hAnsi="Times New Roman"/>
          <w:szCs w:val="21"/>
        </w:rPr>
        <w:t xml:space="preserve">. </w:t>
      </w:r>
      <w:r>
        <w:rPr>
          <w:rFonts w:ascii="Times New Roman" w:hAnsi="Times New Roman"/>
          <w:szCs w:val="21"/>
        </w:rPr>
        <w:t>我方已仔细研究了</w:t>
      </w:r>
      <w:r>
        <w:rPr>
          <w:rFonts w:ascii="Times New Roman" w:hAnsi="Times New Roman"/>
          <w:szCs w:val="21"/>
          <w:u w:val="single"/>
        </w:rPr>
        <w:t xml:space="preserve">                  </w:t>
      </w:r>
      <w:r>
        <w:rPr>
          <w:rFonts w:ascii="Times New Roman" w:hAnsi="Times New Roman"/>
          <w:color w:val="000000"/>
          <w:szCs w:val="21"/>
        </w:rPr>
        <w:t>（项目名称）招标项目</w:t>
      </w:r>
      <w:r>
        <w:rPr>
          <w:rFonts w:ascii="Times New Roman" w:hAnsi="Times New Roman"/>
          <w:szCs w:val="21"/>
        </w:rPr>
        <w:t>招标文件的全部内容，愿意以人民币（大写）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）的投标总报价（其中，增值税税率为</w:t>
      </w:r>
      <w:r>
        <w:rPr>
          <w:rFonts w:ascii="Times New Roman" w:hAnsi="Times New Roman" w:eastAsia="黑体"/>
          <w:color w:val="000000"/>
          <w:szCs w:val="21"/>
          <w:u w:val="single"/>
        </w:rPr>
        <w:t xml:space="preserve">         </w:t>
      </w:r>
      <w:r>
        <w:rPr>
          <w:rFonts w:ascii="Times New Roman" w:hAnsi="Times New Roman" w:eastAsia="黑体"/>
          <w:color w:val="000000"/>
          <w:szCs w:val="21"/>
        </w:rPr>
        <w:t>），</w:t>
      </w:r>
      <w:r>
        <w:rPr>
          <w:rFonts w:ascii="Times New Roman" w:hAnsi="Times New Roman"/>
          <w:szCs w:val="21"/>
        </w:rPr>
        <w:t>服务期限：</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rPr>
        <w:t>，</w:t>
      </w:r>
      <w:r>
        <w:rPr>
          <w:rFonts w:hint="eastAsia" w:ascii="Times New Roman" w:hAnsi="Times New Roman"/>
          <w:szCs w:val="21"/>
        </w:rPr>
        <w:t>投标有效期：</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hint="eastAsia" w:ascii="Times New Roman" w:hAnsi="Times New Roman"/>
          <w:szCs w:val="21"/>
        </w:rPr>
        <w:t>，质量标准：</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hint="eastAsia" w:ascii="Times New Roman" w:hAnsi="Times New Roman"/>
          <w:szCs w:val="21"/>
        </w:rPr>
        <w:t>，</w:t>
      </w:r>
      <w:r>
        <w:rPr>
          <w:rFonts w:ascii="Times New Roman" w:hAnsi="Times New Roman"/>
          <w:szCs w:val="21"/>
        </w:rPr>
        <w:t>按合同约定完成</w:t>
      </w:r>
      <w:r>
        <w:rPr>
          <w:rFonts w:hint="eastAsia" w:ascii="Times New Roman" w:hAnsi="Times New Roman"/>
          <w:szCs w:val="21"/>
        </w:rPr>
        <w:t>相关工作</w:t>
      </w:r>
      <w:r>
        <w:rPr>
          <w:rFonts w:ascii="Times New Roman" w:hAnsi="Times New Roman"/>
          <w:szCs w:val="21"/>
        </w:rPr>
        <w:t>。</w:t>
      </w:r>
    </w:p>
    <w:p>
      <w:pPr>
        <w:spacing w:line="440" w:lineRule="exact"/>
        <w:ind w:firstLine="420" w:firstLineChars="200"/>
        <w:rPr>
          <w:rFonts w:ascii="Times New Roman" w:hAnsi="Times New Roman"/>
          <w:szCs w:val="21"/>
        </w:rPr>
      </w:pPr>
      <w:r>
        <w:rPr>
          <w:rFonts w:ascii="Times New Roman" w:hAnsi="Times New Roman"/>
          <w:szCs w:val="21"/>
        </w:rPr>
        <w:t>2. 我方的投标文件包括下列内容：</w:t>
      </w:r>
    </w:p>
    <w:p>
      <w:pPr>
        <w:spacing w:line="400" w:lineRule="exact"/>
        <w:ind w:firstLine="405"/>
        <w:rPr>
          <w:rFonts w:ascii="Times New Roman" w:hAnsi="Times New Roman"/>
          <w:color w:val="000000"/>
          <w:szCs w:val="21"/>
        </w:rPr>
      </w:pPr>
      <w:r>
        <w:rPr>
          <w:rFonts w:hint="eastAsia" w:ascii="Times New Roman" w:hAnsi="Times New Roman"/>
          <w:color w:val="000000"/>
          <w:szCs w:val="21"/>
        </w:rPr>
        <w:t>（1）投标函及投标函附录；</w:t>
      </w:r>
    </w:p>
    <w:p>
      <w:pPr>
        <w:spacing w:line="400" w:lineRule="exact"/>
        <w:ind w:firstLine="405"/>
        <w:rPr>
          <w:rFonts w:ascii="Times New Roman" w:hAnsi="Times New Roman"/>
          <w:color w:val="000000"/>
          <w:szCs w:val="21"/>
        </w:rPr>
      </w:pPr>
      <w:r>
        <w:rPr>
          <w:rFonts w:hint="eastAsia" w:ascii="Times New Roman" w:hAnsi="Times New Roman"/>
          <w:color w:val="000000"/>
          <w:szCs w:val="21"/>
        </w:rPr>
        <w:t>（2）法定代表人身份证明或授权委托书；</w:t>
      </w:r>
    </w:p>
    <w:p>
      <w:pPr>
        <w:spacing w:line="400" w:lineRule="exact"/>
        <w:ind w:firstLine="405"/>
        <w:rPr>
          <w:rFonts w:ascii="Times New Roman" w:hAnsi="Times New Roman"/>
          <w:color w:val="000000"/>
          <w:szCs w:val="21"/>
        </w:rPr>
      </w:pPr>
      <w:r>
        <w:rPr>
          <w:rFonts w:hint="eastAsia" w:ascii="Times New Roman" w:hAnsi="Times New Roman"/>
          <w:color w:val="000000"/>
          <w:szCs w:val="21"/>
        </w:rPr>
        <w:t>（3）投标保证金；</w:t>
      </w:r>
    </w:p>
    <w:p>
      <w:pPr>
        <w:spacing w:line="400" w:lineRule="exact"/>
        <w:ind w:firstLine="405"/>
        <w:rPr>
          <w:rFonts w:ascii="Times New Roman" w:hAnsi="Times New Roman"/>
          <w:color w:val="000000"/>
          <w:szCs w:val="21"/>
        </w:rPr>
      </w:pPr>
      <w:r>
        <w:rPr>
          <w:rFonts w:hint="eastAsia" w:ascii="Times New Roman" w:hAnsi="Times New Roman"/>
          <w:color w:val="000000"/>
          <w:szCs w:val="21"/>
        </w:rPr>
        <w:t>（4）服务费用清单；</w:t>
      </w:r>
    </w:p>
    <w:p>
      <w:pPr>
        <w:spacing w:line="400" w:lineRule="exact"/>
        <w:ind w:firstLine="405"/>
        <w:rPr>
          <w:rFonts w:ascii="Times New Roman" w:hAnsi="Times New Roman"/>
          <w:color w:val="000000"/>
          <w:szCs w:val="21"/>
        </w:rPr>
      </w:pPr>
      <w:r>
        <w:rPr>
          <w:rFonts w:hint="eastAsia" w:ascii="Times New Roman" w:hAnsi="Times New Roman"/>
          <w:color w:val="000000"/>
          <w:szCs w:val="21"/>
        </w:rPr>
        <w:t>（5）资格审查资料；</w:t>
      </w:r>
    </w:p>
    <w:p>
      <w:pPr>
        <w:spacing w:line="400" w:lineRule="exact"/>
        <w:ind w:firstLine="405"/>
        <w:rPr>
          <w:rFonts w:ascii="Times New Roman" w:hAnsi="Times New Roman"/>
          <w:color w:val="000000"/>
          <w:szCs w:val="21"/>
        </w:rPr>
      </w:pPr>
      <w:r>
        <w:rPr>
          <w:rFonts w:ascii="Times New Roman" w:hAnsi="Times New Roman"/>
          <w:color w:val="000000"/>
          <w:szCs w:val="21"/>
        </w:rPr>
        <w:t>……</w:t>
      </w:r>
    </w:p>
    <w:p>
      <w:pPr>
        <w:spacing w:line="440" w:lineRule="exact"/>
        <w:ind w:firstLine="420" w:firstLineChars="200"/>
        <w:rPr>
          <w:rFonts w:ascii="Times New Roman" w:hAnsi="Times New Roman"/>
          <w:szCs w:val="21"/>
        </w:rPr>
      </w:pPr>
      <w:r>
        <w:rPr>
          <w:rFonts w:ascii="Times New Roman" w:hAnsi="Times New Roman"/>
          <w:szCs w:val="21"/>
        </w:rPr>
        <w:t>投标文件的上述组成部分如存在内容不一致的，以投标函为准。</w:t>
      </w:r>
    </w:p>
    <w:p>
      <w:pPr>
        <w:spacing w:line="440" w:lineRule="exact"/>
        <w:ind w:firstLine="420" w:firstLineChars="200"/>
        <w:rPr>
          <w:rFonts w:ascii="Times New Roman" w:hAnsi="Times New Roman"/>
          <w:szCs w:val="21"/>
        </w:rPr>
      </w:pPr>
      <w:r>
        <w:rPr>
          <w:rFonts w:ascii="Times New Roman" w:hAnsi="Times New Roman"/>
          <w:szCs w:val="21"/>
        </w:rPr>
        <w:t>3．我方承诺在招标文件规定的投标有效期内不撤销投标文件。</w:t>
      </w:r>
    </w:p>
    <w:p>
      <w:pPr>
        <w:spacing w:line="440" w:lineRule="exact"/>
        <w:ind w:firstLine="420" w:firstLineChars="200"/>
        <w:rPr>
          <w:rFonts w:ascii="Times New Roman" w:hAnsi="Times New Roman"/>
          <w:szCs w:val="21"/>
        </w:rPr>
      </w:pPr>
      <w:r>
        <w:rPr>
          <w:rFonts w:ascii="Times New Roman" w:hAnsi="Times New Roman"/>
          <w:szCs w:val="21"/>
        </w:rPr>
        <w:t>4．如我方中标，我方承诺：</w:t>
      </w:r>
    </w:p>
    <w:p>
      <w:pPr>
        <w:spacing w:line="440" w:lineRule="exact"/>
        <w:ind w:left="945" w:leftChars="400" w:hanging="105" w:hangingChars="50"/>
        <w:rPr>
          <w:rFonts w:ascii="Times New Roman" w:hAnsi="Times New Roman"/>
          <w:szCs w:val="21"/>
        </w:rPr>
      </w:pPr>
      <w:r>
        <w:rPr>
          <w:rFonts w:ascii="Times New Roman" w:hAnsi="Times New Roman"/>
          <w:szCs w:val="21"/>
        </w:rPr>
        <w:t>（1）在收到中标通知书后，在中标通知书规定的期限内与你方签订合同；</w:t>
      </w:r>
    </w:p>
    <w:p>
      <w:pPr>
        <w:spacing w:line="440" w:lineRule="exact"/>
        <w:ind w:left="945" w:leftChars="400" w:hanging="105" w:hangingChars="50"/>
        <w:rPr>
          <w:rFonts w:ascii="Times New Roman" w:hAnsi="Times New Roman"/>
          <w:szCs w:val="21"/>
        </w:rPr>
      </w:pPr>
      <w:r>
        <w:rPr>
          <w:rFonts w:ascii="Times New Roman" w:hAnsi="Times New Roman"/>
          <w:szCs w:val="21"/>
        </w:rPr>
        <w:t>（2）在签订合同时不向你方提出附加条件；</w:t>
      </w:r>
    </w:p>
    <w:p>
      <w:pPr>
        <w:spacing w:line="440" w:lineRule="exact"/>
        <w:ind w:left="945" w:leftChars="400" w:hanging="105" w:hangingChars="50"/>
        <w:rPr>
          <w:rFonts w:ascii="Times New Roman" w:hAnsi="Times New Roman"/>
          <w:szCs w:val="21"/>
        </w:rPr>
      </w:pPr>
      <w:r>
        <w:rPr>
          <w:rFonts w:ascii="Times New Roman" w:hAnsi="Times New Roman"/>
          <w:szCs w:val="21"/>
        </w:rPr>
        <w:t>（3）按照招标文件要求提交履约保证金；</w:t>
      </w:r>
      <w:bookmarkStart w:id="28" w:name="_Toc369531694"/>
      <w:bookmarkStart w:id="29" w:name="_Toc352691658"/>
      <w:bookmarkStart w:id="30" w:name="_Toc1187"/>
    </w:p>
    <w:p>
      <w:pPr>
        <w:spacing w:line="440" w:lineRule="exact"/>
        <w:ind w:left="945" w:leftChars="400" w:hanging="105" w:hangingChars="50"/>
        <w:rPr>
          <w:rFonts w:ascii="Times New Roman" w:hAnsi="Times New Roman"/>
          <w:szCs w:val="21"/>
        </w:rPr>
      </w:pPr>
      <w:r>
        <w:rPr>
          <w:rFonts w:ascii="Times New Roman" w:hAnsi="Times New Roman"/>
          <w:szCs w:val="21"/>
        </w:rPr>
        <w:t>（4）在合</w:t>
      </w:r>
      <w:bookmarkEnd w:id="28"/>
      <w:bookmarkEnd w:id="29"/>
      <w:bookmarkEnd w:id="30"/>
      <w:r>
        <w:rPr>
          <w:rFonts w:ascii="Times New Roman" w:hAnsi="Times New Roman"/>
          <w:szCs w:val="21"/>
        </w:rPr>
        <w:t>同约定的期限内完成合同规定的全部义务。</w:t>
      </w:r>
    </w:p>
    <w:p>
      <w:pPr>
        <w:spacing w:line="440" w:lineRule="exact"/>
        <w:ind w:firstLine="420" w:firstLineChars="200"/>
        <w:rPr>
          <w:rFonts w:ascii="Times New Roman" w:hAnsi="Times New Roman"/>
          <w:szCs w:val="21"/>
        </w:rPr>
      </w:pPr>
      <w:r>
        <w:rPr>
          <w:rFonts w:ascii="Times New Roman" w:hAnsi="Times New Roman"/>
          <w:szCs w:val="21"/>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rPr>
      </w:pPr>
      <w:r>
        <w:rPr>
          <w:rFonts w:ascii="Times New Roman" w:hAnsi="Times New Roman"/>
          <w:szCs w:val="21"/>
        </w:rPr>
        <w:t>6．</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（其他补充说明）。</w:t>
      </w:r>
    </w:p>
    <w:p>
      <w:pPr>
        <w:spacing w:line="440" w:lineRule="exact"/>
        <w:ind w:firstLine="420" w:firstLineChars="200"/>
        <w:rPr>
          <w:rFonts w:ascii="Times New Roman" w:hAnsi="Times New Roman"/>
          <w:szCs w:val="21"/>
        </w:rPr>
      </w:pPr>
    </w:p>
    <w:p>
      <w:pPr>
        <w:spacing w:line="440" w:lineRule="exact"/>
        <w:ind w:firstLine="2520" w:firstLineChars="1200"/>
        <w:jc w:val="left"/>
        <w:rPr>
          <w:rFonts w:ascii="Times New Roman" w:hAnsi="Times New Roman"/>
          <w:szCs w:val="21"/>
        </w:rPr>
      </w:pPr>
      <w:bookmarkStart w:id="31" w:name="_Toc16568"/>
      <w:bookmarkEnd w:id="31"/>
      <w:bookmarkStart w:id="32" w:name="_Toc369531696"/>
      <w:bookmarkEnd w:id="32"/>
      <w:bookmarkStart w:id="33" w:name="_Toc369531695"/>
      <w:bookmarkEnd w:id="33"/>
      <w:bookmarkStart w:id="34" w:name="_Toc352691659"/>
      <w:bookmarkEnd w:id="34"/>
      <w:bookmarkStart w:id="35" w:name="_Toc16824"/>
      <w:bookmarkEnd w:id="35"/>
      <w:bookmarkStart w:id="36" w:name="_Toc352691660"/>
      <w:bookmarkEnd w:id="36"/>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2520" w:firstLineChars="1200"/>
        <w:jc w:val="lef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电    话：</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传    真：</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邮政编码：</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4725" w:firstLineChars="2250"/>
        <w:jc w:val="right"/>
        <w:rPr>
          <w:rFonts w:ascii="Times New Roman" w:hAnsi="Times New Roman" w:eastAsia="黑体"/>
          <w:color w:val="000000"/>
          <w:sz w:val="20"/>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bookmarkStart w:id="37" w:name="_Toc384308375"/>
      <w:bookmarkStart w:id="38" w:name="_Toc144974856"/>
      <w:bookmarkStart w:id="39" w:name="_Toc17960"/>
      <w:bookmarkStart w:id="40" w:name="_Toc361508752"/>
      <w:bookmarkStart w:id="41" w:name="_Toc152042576"/>
      <w:bookmarkStart w:id="42" w:name="_Toc300835209"/>
      <w:bookmarkStart w:id="43" w:name="_Toc352691661"/>
      <w:bookmarkStart w:id="44" w:name="_Toc247514246"/>
      <w:bookmarkStart w:id="45" w:name="_Toc247527827"/>
      <w:bookmarkStart w:id="46" w:name="_Toc369531697"/>
      <w:bookmarkStart w:id="47" w:name="_Toc152045787"/>
    </w:p>
    <w:p>
      <w:pPr>
        <w:pStyle w:val="3"/>
        <w:jc w:val="center"/>
        <w:rPr>
          <w:rFonts w:ascii="Times New Roman" w:hAnsi="Times New Roman"/>
          <w:color w:val="000000"/>
        </w:rPr>
      </w:pPr>
      <w:bookmarkStart w:id="48" w:name="_Toc492300529"/>
      <w:r>
        <w:rPr>
          <w:rFonts w:ascii="Times New Roman" w:hAnsi="Times New Roman"/>
          <w:color w:val="000000"/>
        </w:rPr>
        <w:t>二</w:t>
      </w:r>
      <w:bookmarkEnd w:id="37"/>
      <w:bookmarkEnd w:id="38"/>
      <w:bookmarkEnd w:id="39"/>
      <w:bookmarkEnd w:id="40"/>
      <w:bookmarkEnd w:id="41"/>
      <w:bookmarkEnd w:id="42"/>
      <w:bookmarkEnd w:id="43"/>
      <w:bookmarkEnd w:id="44"/>
      <w:bookmarkEnd w:id="45"/>
      <w:bookmarkEnd w:id="46"/>
      <w:bookmarkEnd w:id="47"/>
      <w:r>
        <w:rPr>
          <w:rFonts w:ascii="Times New Roman" w:hAnsi="Times New Roman"/>
          <w:color w:val="000000"/>
        </w:rPr>
        <w:t>、法定代表人身份证明</w:t>
      </w:r>
      <w:bookmarkEnd w:id="48"/>
    </w:p>
    <w:p>
      <w:pPr>
        <w:spacing w:line="440" w:lineRule="exact"/>
        <w:rPr>
          <w:rFonts w:ascii="Times New Roman" w:hAnsi="Times New Roman"/>
          <w:color w:val="000000"/>
          <w:sz w:val="20"/>
        </w:rPr>
      </w:pP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投标人名称：</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姓名：</w:t>
      </w:r>
      <w:r>
        <w:rPr>
          <w:rFonts w:ascii="Times New Roman" w:hAnsi="Times New Roman"/>
          <w:u w:val="single"/>
        </w:rPr>
        <w:t xml:space="preserve">                </w:t>
      </w:r>
      <w:r>
        <w:rPr>
          <w:rFonts w:ascii="Times New Roman" w:hAnsi="Times New Roman"/>
          <w:color w:val="000000"/>
        </w:rPr>
        <w:t>性别：</w:t>
      </w:r>
      <w:bookmarkStart w:id="49" w:name="_Toc352691662"/>
      <w:bookmarkStart w:id="50" w:name="_Toc369531698"/>
      <w:bookmarkStart w:id="51" w:name="_Toc27897"/>
      <w:r>
        <w:rPr>
          <w:rFonts w:ascii="Times New Roman" w:hAnsi="Times New Roman"/>
          <w:u w:val="single"/>
        </w:rPr>
        <w:t xml:space="preserve">        </w:t>
      </w:r>
      <w:r>
        <w:rPr>
          <w:rFonts w:ascii="Times New Roman" w:hAnsi="Times New Roman"/>
          <w:color w:val="000000"/>
        </w:rPr>
        <w:t>年</w:t>
      </w:r>
      <w:bookmarkEnd w:id="49"/>
      <w:bookmarkEnd w:id="50"/>
      <w:bookmarkEnd w:id="51"/>
      <w:r>
        <w:rPr>
          <w:rFonts w:ascii="Times New Roman" w:hAnsi="Times New Roman"/>
          <w:color w:val="000000"/>
        </w:rPr>
        <w:t>龄</w:t>
      </w:r>
      <w:bookmarkStart w:id="52" w:name="_Toc361508754"/>
      <w:bookmarkStart w:id="53" w:name="_Toc152045789"/>
      <w:bookmarkStart w:id="54" w:name="_Toc247514248"/>
      <w:bookmarkStart w:id="55" w:name="_Toc384308377"/>
      <w:bookmarkStart w:id="56" w:name="_Toc352691663"/>
      <w:bookmarkStart w:id="57" w:name="_Toc300835211"/>
      <w:bookmarkStart w:id="58" w:name="_Toc247527829"/>
      <w:bookmarkStart w:id="59" w:name="_Toc152042578"/>
      <w:bookmarkStart w:id="60" w:name="_Toc144974858"/>
      <w:bookmarkStart w:id="61" w:name="_Toc15573"/>
      <w:bookmarkStart w:id="62" w:name="_Toc369531699"/>
      <w:r>
        <w:rPr>
          <w:rFonts w:ascii="Times New Roman" w:hAnsi="Times New Roman"/>
          <w:color w:val="000000"/>
        </w:rPr>
        <w:t>：</w:t>
      </w:r>
      <w:bookmarkEnd w:id="52"/>
      <w:bookmarkEnd w:id="53"/>
      <w:bookmarkEnd w:id="54"/>
      <w:bookmarkEnd w:id="55"/>
      <w:bookmarkEnd w:id="56"/>
      <w:bookmarkEnd w:id="57"/>
      <w:bookmarkEnd w:id="58"/>
      <w:bookmarkEnd w:id="59"/>
      <w:bookmarkEnd w:id="60"/>
      <w:bookmarkEnd w:id="61"/>
      <w:bookmarkEnd w:id="62"/>
      <w:r>
        <w:rPr>
          <w:rFonts w:ascii="Times New Roman" w:hAnsi="Times New Roman"/>
          <w:u w:val="single"/>
        </w:rPr>
        <w:t xml:space="preserve">        </w:t>
      </w:r>
      <w:r>
        <w:rPr>
          <w:rFonts w:ascii="Times New Roman" w:hAnsi="Times New Roman"/>
          <w:color w:val="000000"/>
        </w:rPr>
        <w:t>职务：</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系</w:t>
      </w:r>
      <w:r>
        <w:rPr>
          <w:rFonts w:ascii="Times New Roman" w:hAnsi="Times New Roman"/>
          <w:u w:val="single"/>
        </w:rPr>
        <w:t xml:space="preserve">                        </w:t>
      </w:r>
      <w:r>
        <w:rPr>
          <w:rFonts w:ascii="Times New Roman" w:hAnsi="Times New Roman"/>
          <w:color w:val="000000"/>
        </w:rPr>
        <w:t>（投标人名称）的法定代表人。</w:t>
      </w:r>
    </w:p>
    <w:p>
      <w:pPr>
        <w:spacing w:line="440" w:lineRule="exact"/>
        <w:ind w:firstLine="420" w:firstLineChars="200"/>
        <w:rPr>
          <w:rFonts w:ascii="Times New Roman" w:hAnsi="Times New Roman"/>
          <w:color w:val="000000"/>
        </w:rPr>
      </w:pPr>
      <w:r>
        <w:rPr>
          <w:rFonts w:ascii="Times New Roman" w:hAnsi="Times New Roman"/>
          <w:color w:val="000000"/>
        </w:rPr>
        <w:t>特此证明。</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注：本身份证明需由投标人加盖单位公章。</w:t>
      </w:r>
    </w:p>
    <w:p>
      <w:pPr>
        <w:spacing w:line="440" w:lineRule="exact"/>
        <w:rPr>
          <w:rFonts w:ascii="Times New Roman" w:hAnsi="Times New Roman"/>
          <w:color w:val="000000"/>
        </w:rPr>
      </w:pPr>
    </w:p>
    <w:p>
      <w:pPr>
        <w:spacing w:line="440" w:lineRule="exact"/>
        <w:rPr>
          <w:rFonts w:ascii="Times New Roman" w:hAnsi="Times New Roman"/>
          <w:color w:val="000000"/>
        </w:rPr>
      </w:pPr>
    </w:p>
    <w:p>
      <w:pPr>
        <w:spacing w:line="440" w:lineRule="exact"/>
        <w:jc w:val="center"/>
        <w:rPr>
          <w:rFonts w:ascii="Times New Roman" w:hAnsi="Times New Roman"/>
          <w:color w:val="000000"/>
        </w:rPr>
      </w:pPr>
      <w:r>
        <w:rPr>
          <w:rFonts w:ascii="Times New Roman" w:hAnsi="Times New Roman"/>
          <w:color w:val="000000"/>
        </w:rPr>
        <w:t xml:space="preserve">                              投标人：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rPr>
          <w:rFonts w:ascii="Times New Roman" w:hAnsi="Times New Roman"/>
          <w:color w:val="000000"/>
        </w:rPr>
      </w:pPr>
    </w:p>
    <w:p>
      <w:pPr>
        <w:spacing w:line="440" w:lineRule="exact"/>
        <w:ind w:firstLine="4620" w:firstLineChars="2200"/>
        <w:rPr>
          <w:rFonts w:ascii="Times New Roman" w:hAnsi="Times New Roman"/>
          <w:color w:val="000000"/>
        </w:rPr>
      </w:pPr>
      <w:r>
        <w:rPr>
          <w:rFonts w:ascii="Times New Roman" w:hAnsi="Times New Roman"/>
          <w:u w:val="single"/>
        </w:rPr>
        <w:t xml:space="preserve">      </w:t>
      </w:r>
      <w:r>
        <w:rPr>
          <w:rFonts w:ascii="Times New Roman" w:hAnsi="Times New Roman"/>
          <w:color w:val="000000"/>
        </w:rPr>
        <w:t>年</w:t>
      </w:r>
      <w:r>
        <w:rPr>
          <w:rFonts w:ascii="Times New Roman" w:hAnsi="Times New Roman"/>
          <w:u w:val="single"/>
        </w:rPr>
        <w:t xml:space="preserve">      </w:t>
      </w:r>
      <w:r>
        <w:rPr>
          <w:rFonts w:ascii="Times New Roman" w:hAnsi="Times New Roman"/>
          <w:color w:val="000000"/>
        </w:rPr>
        <w:t>月</w:t>
      </w:r>
      <w:r>
        <w:rPr>
          <w:rFonts w:ascii="Times New Roman" w:hAnsi="Times New Roman"/>
          <w:u w:val="single"/>
        </w:rPr>
        <w:t xml:space="preserve">      </w:t>
      </w:r>
      <w:r>
        <w:rPr>
          <w:rFonts w:ascii="Times New Roman" w:hAnsi="Times New Roman"/>
          <w:color w:val="000000"/>
        </w:rPr>
        <w:t>日</w:t>
      </w:r>
    </w:p>
    <w:p>
      <w:pPr>
        <w:spacing w:line="440" w:lineRule="exact"/>
        <w:rPr>
          <w:rFonts w:ascii="Times New Roman" w:hAnsi="Times New Roman" w:eastAsia="黑体"/>
          <w:color w:val="000000"/>
          <w:sz w:val="20"/>
        </w:rPr>
      </w:pPr>
    </w:p>
    <w:p>
      <w:pPr>
        <w:spacing w:line="440" w:lineRule="exact"/>
        <w:jc w:val="center"/>
        <w:rPr>
          <w:rFonts w:ascii="Times New Roman" w:hAnsi="Times New Roman" w:eastAsia="黑体"/>
          <w:color w:val="000000"/>
          <w:sz w:val="20"/>
        </w:rPr>
      </w:pPr>
      <w:r>
        <w:rPr>
          <w:rFonts w:ascii="Times New Roman" w:hAnsi="Times New Roman" w:eastAsia="黑体"/>
          <w:color w:val="000000"/>
          <w:sz w:val="20"/>
        </w:rPr>
        <w:br w:type="page"/>
      </w:r>
    </w:p>
    <w:p>
      <w:pPr>
        <w:pStyle w:val="3"/>
        <w:jc w:val="center"/>
        <w:rPr>
          <w:rFonts w:ascii="Times New Roman" w:hAnsi="Times New Roman"/>
          <w:color w:val="000000"/>
        </w:rPr>
      </w:pPr>
      <w:bookmarkStart w:id="63" w:name="_Toc492300530"/>
      <w:r>
        <w:rPr>
          <w:rFonts w:hint="eastAsia" w:ascii="Times New Roman" w:hAnsi="Times New Roman"/>
        </w:rPr>
        <w:t>二、授权委托</w:t>
      </w:r>
      <w:r>
        <w:rPr>
          <w:rFonts w:hint="eastAsia" w:ascii="Times New Roman" w:hAnsi="Times New Roman"/>
          <w:color w:val="000000"/>
        </w:rPr>
        <w:t>书</w:t>
      </w:r>
      <w:bookmarkEnd w:id="63"/>
    </w:p>
    <w:p>
      <w:pPr>
        <w:spacing w:line="440" w:lineRule="exact"/>
        <w:rPr>
          <w:rFonts w:ascii="Times New Roman" w:hAnsi="Times New Roman" w:eastAsia="黑体"/>
          <w:color w:val="000000"/>
        </w:rPr>
      </w:pPr>
    </w:p>
    <w:p>
      <w:pPr>
        <w:topLinePunct/>
        <w:spacing w:line="440" w:lineRule="exact"/>
        <w:ind w:firstLine="420" w:firstLineChars="200"/>
        <w:rPr>
          <w:rFonts w:ascii="Times New Roman" w:hAnsi="Times New Roman"/>
          <w:color w:val="000000"/>
        </w:rPr>
      </w:pPr>
      <w:r>
        <w:rPr>
          <w:rFonts w:ascii="Times New Roman" w:hAnsi="Times New Roman"/>
          <w:color w:val="000000"/>
        </w:rPr>
        <w:t>本人</w:t>
      </w:r>
      <w:r>
        <w:rPr>
          <w:rFonts w:ascii="Times New Roman" w:hAnsi="Times New Roman"/>
          <w:u w:val="single"/>
        </w:rPr>
        <w:t xml:space="preserve">              </w:t>
      </w:r>
      <w:r>
        <w:rPr>
          <w:rFonts w:ascii="Times New Roman" w:hAnsi="Times New Roman"/>
          <w:color w:val="000000"/>
        </w:rPr>
        <w:t>（姓名）系</w:t>
      </w:r>
      <w:r>
        <w:rPr>
          <w:rFonts w:ascii="Times New Roman" w:hAnsi="Times New Roman"/>
          <w:u w:val="single"/>
        </w:rPr>
        <w:t xml:space="preserve">                    </w:t>
      </w:r>
      <w:r>
        <w:rPr>
          <w:rFonts w:ascii="Times New Roman" w:hAnsi="Times New Roman"/>
          <w:color w:val="000000"/>
        </w:rPr>
        <w:t>（投标人名称）的法定代表人，现委托</w:t>
      </w:r>
      <w:r>
        <w:rPr>
          <w:rFonts w:ascii="Times New Roman" w:hAnsi="Times New Roman"/>
          <w:u w:val="single"/>
        </w:rPr>
        <w:t xml:space="preserve">            </w:t>
      </w:r>
      <w:r>
        <w:rPr>
          <w:rFonts w:ascii="Times New Roman" w:hAnsi="Times New Roman"/>
          <w:color w:val="000000"/>
        </w:rPr>
        <w:t>（姓名）为我方代理人。代理人根据授权，以我方名义签署、澄清确认、递交、撤回、修改招标项目投标文件、签订合同和处理有关事宜，其法律后果由我方承担。</w:t>
      </w:r>
    </w:p>
    <w:p>
      <w:pPr>
        <w:spacing w:line="440" w:lineRule="exact"/>
        <w:rPr>
          <w:rFonts w:ascii="Times New Roman" w:hAnsi="Times New Roman"/>
          <w:color w:val="000000"/>
        </w:rPr>
      </w:pPr>
      <w:r>
        <w:rPr>
          <w:rFonts w:ascii="Times New Roman" w:hAnsi="Times New Roman"/>
          <w:color w:val="000000"/>
        </w:rPr>
        <w:t>委托期限：</w:t>
      </w:r>
      <w:r>
        <w:rPr>
          <w:rFonts w:ascii="Times New Roman" w:hAnsi="Times New Roman"/>
          <w:u w:val="single"/>
        </w:rPr>
        <w:t xml:space="preserve">                       </w:t>
      </w:r>
      <w:r>
        <w:rPr>
          <w:rFonts w:ascii="Times New Roman" w:hAnsi="Times New Roman"/>
          <w:color w:val="000000"/>
        </w:rPr>
        <w:t>。</w:t>
      </w:r>
    </w:p>
    <w:p>
      <w:pPr>
        <w:spacing w:line="440" w:lineRule="exact"/>
        <w:ind w:firstLine="420" w:firstLineChars="200"/>
        <w:rPr>
          <w:rFonts w:ascii="Times New Roman" w:hAnsi="Times New Roman"/>
          <w:color w:val="000000"/>
        </w:rPr>
      </w:pPr>
      <w:r>
        <w:rPr>
          <w:rFonts w:ascii="Times New Roman" w:hAnsi="Times New Roman"/>
          <w:color w:val="000000"/>
        </w:rPr>
        <w:t>代理人无转委托权。</w:t>
      </w:r>
    </w:p>
    <w:p>
      <w:pPr>
        <w:spacing w:line="440" w:lineRule="exact"/>
        <w:ind w:firstLine="420" w:firstLineChars="200"/>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附：法定代表人身份证复印件及委托代理人身份证复印件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注：本授权委托书需由投标人加盖单位公章并由其法定代表人和委托代理人签字。</w:t>
      </w:r>
    </w:p>
    <w:p>
      <w:pPr>
        <w:spacing w:line="440" w:lineRule="exact"/>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投  标  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ind w:firstLine="2692" w:firstLineChars="1282"/>
        <w:rPr>
          <w:rFonts w:ascii="Times New Roman" w:hAnsi="Times New Roman"/>
          <w:color w:val="000000"/>
        </w:rPr>
      </w:pPr>
    </w:p>
    <w:p>
      <w:pPr>
        <w:spacing w:line="440" w:lineRule="exact"/>
        <w:ind w:firstLine="2690" w:firstLineChars="1281"/>
        <w:jc w:val="left"/>
        <w:rPr>
          <w:rFonts w:ascii="Times New Roman" w:hAnsi="Times New Roman"/>
          <w:color w:val="000000"/>
        </w:rPr>
      </w:pPr>
      <w:r>
        <w:rPr>
          <w:rFonts w:ascii="Times New Roman" w:hAnsi="Times New Roman"/>
          <w:color w:val="000000"/>
        </w:rPr>
        <w:t>法定代表人：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r>
        <w:rPr>
          <w:rFonts w:hint="eastAsia" w:ascii="Times New Roman" w:hAnsi="Times New Roman"/>
          <w:color w:val="000000"/>
        </w:rPr>
        <w:t>或签章</w:t>
      </w:r>
      <w:r>
        <w:rPr>
          <w:rFonts w:ascii="Times New Roman" w:hAnsi="Times New Roman"/>
          <w:color w:val="000000"/>
        </w:rPr>
        <w:t>）</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委托代理人：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p>
    <w:p>
      <w:pPr>
        <w:spacing w:line="440" w:lineRule="exact"/>
        <w:ind w:firstLine="4057" w:firstLineChars="1932"/>
        <w:jc w:val="right"/>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p>
    <w:p>
      <w:pPr>
        <w:spacing w:line="440" w:lineRule="exact"/>
        <w:ind w:firstLine="4057" w:firstLineChars="1932"/>
        <w:jc w:val="right"/>
        <w:rPr>
          <w:rFonts w:ascii="Times New Roman" w:hAnsi="Times New Roman"/>
          <w:color w:val="000000"/>
        </w:rPr>
      </w:pPr>
      <w:r>
        <w:rPr>
          <w:rFonts w:ascii="Times New Roman" w:hAnsi="Times New Roman"/>
          <w:color w:val="000000"/>
        </w:rPr>
        <w:br w:type="page"/>
      </w:r>
    </w:p>
    <w:p>
      <w:pPr>
        <w:pStyle w:val="3"/>
        <w:jc w:val="center"/>
        <w:rPr>
          <w:rFonts w:ascii="Times New Roman" w:hAnsi="Times New Roman"/>
        </w:rPr>
      </w:pPr>
      <w:bookmarkStart w:id="64" w:name="_Toc492300532"/>
      <w:r>
        <w:rPr>
          <w:rFonts w:hint="eastAsia" w:ascii="Times New Roman" w:hAnsi="Times New Roman"/>
        </w:rPr>
        <w:t>三、</w:t>
      </w:r>
      <w:bookmarkStart w:id="65" w:name="_Toc247527832"/>
      <w:bookmarkStart w:id="66" w:name="_Toc247514284"/>
      <w:bookmarkStart w:id="67" w:name="_Toc352691666"/>
      <w:bookmarkStart w:id="68" w:name="_Toc152042581"/>
      <w:bookmarkStart w:id="69" w:name="_Toc152045792"/>
      <w:bookmarkStart w:id="70" w:name="_Toc300835214"/>
      <w:bookmarkStart w:id="71" w:name="_Toc361508757"/>
      <w:bookmarkStart w:id="72" w:name="_Toc144974861"/>
      <w:bookmarkStart w:id="73" w:name="_Toc13469"/>
      <w:bookmarkStart w:id="74" w:name="_Toc369531702"/>
      <w:bookmarkStart w:id="75" w:name="_Toc384308381"/>
      <w:r>
        <w:rPr>
          <w:rFonts w:hint="eastAsia" w:ascii="Times New Roman" w:hAnsi="Times New Roman"/>
        </w:rPr>
        <w:t>投标保证金</w:t>
      </w:r>
      <w:bookmarkEnd w:id="64"/>
    </w:p>
    <w:p>
      <w:pPr>
        <w:spacing w:line="440" w:lineRule="exact"/>
        <w:ind w:firstLine="420" w:firstLineChars="200"/>
        <w:rPr>
          <w:rFonts w:ascii="Times New Roman" w:hAnsi="Times New Roman"/>
          <w:szCs w:val="21"/>
        </w:rPr>
      </w:pPr>
      <w:r>
        <w:rPr>
          <w:rFonts w:ascii="Times New Roman" w:hAnsi="Times New Roman"/>
          <w:szCs w:val="21"/>
        </w:rPr>
        <w:t>1.</w:t>
      </w:r>
      <w:r>
        <w:rPr>
          <w:rFonts w:hint="eastAsia" w:ascii="Times New Roman" w:hAnsi="Times New Roman"/>
          <w:szCs w:val="21"/>
        </w:rPr>
        <w:t>中国</w:t>
      </w:r>
      <w:r>
        <w:rPr>
          <w:rFonts w:ascii="Times New Roman" w:hAnsi="Times New Roman"/>
          <w:szCs w:val="21"/>
        </w:rPr>
        <w:t>人民银行核发的《基本存款账户开户许可证》或基本存款账户开户银行出具的《基本存款账户信息》（加盖银行印章</w:t>
      </w:r>
      <w:r>
        <w:rPr>
          <w:rFonts w:hint="eastAsia" w:ascii="Times New Roman" w:hAnsi="Times New Roman"/>
          <w:szCs w:val="21"/>
        </w:rPr>
        <w:t>或投标人公章</w:t>
      </w:r>
      <w:r>
        <w:rPr>
          <w:rFonts w:ascii="Times New Roman" w:hAnsi="Times New Roman"/>
          <w:szCs w:val="21"/>
        </w:rPr>
        <w:t>）：</w:t>
      </w:r>
    </w:p>
    <w:p>
      <w:pPr>
        <w:spacing w:line="440" w:lineRule="exact"/>
        <w:ind w:firstLine="420" w:firstLineChars="200"/>
        <w:rPr>
          <w:rFonts w:ascii="Times New Roman" w:hAnsi="Times New Roman"/>
          <w:szCs w:val="21"/>
        </w:rPr>
      </w:pPr>
    </w:p>
    <w:p>
      <w:pPr>
        <w:spacing w:line="440" w:lineRule="exact"/>
        <w:ind w:firstLine="420" w:firstLineChars="200"/>
        <w:rPr>
          <w:rFonts w:ascii="Times New Roman" w:hAnsi="Times New Roman"/>
          <w:szCs w:val="21"/>
        </w:rPr>
      </w:pPr>
    </w:p>
    <w:p>
      <w:pPr>
        <w:spacing w:line="440" w:lineRule="exact"/>
        <w:ind w:firstLine="420" w:firstLineChars="200"/>
        <w:rPr>
          <w:rFonts w:ascii="Times New Roman" w:hAnsi="Times New Roman"/>
          <w:szCs w:val="21"/>
        </w:rPr>
      </w:pPr>
    </w:p>
    <w:p>
      <w:pPr>
        <w:spacing w:line="440" w:lineRule="exact"/>
        <w:ind w:firstLine="420" w:firstLineChars="200"/>
        <w:rPr>
          <w:rFonts w:ascii="Times New Roman" w:hAnsi="Times New Roman"/>
          <w:szCs w:val="21"/>
        </w:rPr>
      </w:pPr>
    </w:p>
    <w:p>
      <w:pPr>
        <w:spacing w:line="440" w:lineRule="exact"/>
        <w:ind w:firstLine="420" w:firstLineChars="200"/>
        <w:rPr>
          <w:rFonts w:ascii="Times New Roman" w:hAnsi="Times New Roman"/>
          <w:szCs w:val="21"/>
        </w:rPr>
      </w:pPr>
      <w:r>
        <w:rPr>
          <w:rFonts w:ascii="Times New Roman" w:hAnsi="Times New Roman"/>
          <w:szCs w:val="21"/>
        </w:rPr>
        <w:t>2.保证金转账或电汇凭证：</w:t>
      </w:r>
    </w:p>
    <w:p>
      <w:pPr>
        <w:spacing w:line="440" w:lineRule="exact"/>
        <w:ind w:firstLine="420" w:firstLineChars="200"/>
        <w:rPr>
          <w:rFonts w:ascii="Times New Roman" w:hAnsi="Times New Roman"/>
          <w:szCs w:val="21"/>
        </w:rPr>
      </w:pPr>
    </w:p>
    <w:p>
      <w:pPr>
        <w:spacing w:line="440" w:lineRule="exact"/>
        <w:ind w:firstLine="420" w:firstLineChars="200"/>
        <w:rPr>
          <w:rFonts w:ascii="Times New Roman" w:hAnsi="Times New Roman"/>
          <w:szCs w:val="21"/>
        </w:rPr>
      </w:pPr>
    </w:p>
    <w:p>
      <w:pPr>
        <w:spacing w:line="440" w:lineRule="exact"/>
        <w:ind w:firstLine="420" w:firstLineChars="200"/>
        <w:rPr>
          <w:rFonts w:ascii="Times New Roman" w:hAnsi="Times New Roman"/>
          <w:szCs w:val="21"/>
        </w:rPr>
      </w:pPr>
    </w:p>
    <w:p>
      <w:pPr>
        <w:spacing w:line="440" w:lineRule="exact"/>
        <w:ind w:firstLine="420" w:firstLineChars="200"/>
        <w:rPr>
          <w:rFonts w:ascii="Times New Roman" w:hAnsi="Times New Roman"/>
          <w:szCs w:val="21"/>
        </w:rPr>
      </w:pPr>
    </w:p>
    <w:p>
      <w:pPr>
        <w:spacing w:line="440" w:lineRule="exact"/>
        <w:ind w:firstLine="420" w:firstLineChars="200"/>
        <w:rPr>
          <w:rFonts w:ascii="Times New Roman" w:hAnsi="Times New Roman"/>
          <w:szCs w:val="21"/>
        </w:rPr>
      </w:pPr>
      <w:r>
        <w:rPr>
          <w:rFonts w:ascii="Times New Roman" w:hAnsi="Times New Roman"/>
          <w:szCs w:val="21"/>
        </w:rPr>
        <w:t>备注：缴纳保证金的开户行、账号等信息须与基本存款账户信息一致</w:t>
      </w:r>
    </w:p>
    <w:p>
      <w:pPr>
        <w:spacing w:line="440" w:lineRule="exact"/>
        <w:ind w:firstLine="420" w:firstLineChars="200"/>
        <w:rPr>
          <w:rFonts w:ascii="Times New Roman" w:hAnsi="Times New Roman"/>
          <w:szCs w:val="21"/>
        </w:rPr>
      </w:pPr>
    </w:p>
    <w:p>
      <w:pPr>
        <w:spacing w:line="440" w:lineRule="exact"/>
        <w:ind w:firstLine="420" w:firstLineChars="200"/>
        <w:rPr>
          <w:rFonts w:ascii="Times New Roman" w:hAnsi="Times New Roman"/>
          <w:szCs w:val="21"/>
        </w:rPr>
      </w:pPr>
    </w:p>
    <w:bookmarkEnd w:id="65"/>
    <w:bookmarkEnd w:id="66"/>
    <w:bookmarkEnd w:id="67"/>
    <w:bookmarkEnd w:id="68"/>
    <w:bookmarkEnd w:id="69"/>
    <w:bookmarkEnd w:id="70"/>
    <w:bookmarkEnd w:id="71"/>
    <w:bookmarkEnd w:id="72"/>
    <w:bookmarkEnd w:id="73"/>
    <w:bookmarkEnd w:id="74"/>
    <w:bookmarkEnd w:id="75"/>
    <w:p>
      <w:pPr>
        <w:spacing w:line="440" w:lineRule="exact"/>
        <w:ind w:firstLine="2158" w:firstLineChars="1028"/>
        <w:rPr>
          <w:rFonts w:ascii="Times New Roman" w:hAnsi="Times New Roman"/>
          <w:color w:val="000000"/>
        </w:rPr>
      </w:pPr>
    </w:p>
    <w:p>
      <w:pPr>
        <w:rPr>
          <w:rFonts w:ascii="Times New Roman" w:hAnsi="Times New Roman"/>
        </w:rPr>
      </w:pPr>
      <w:bookmarkStart w:id="76" w:name="_Toc492300533"/>
      <w:r>
        <w:rPr>
          <w:rFonts w:ascii="Times New Roman" w:hAnsi="Times New Roman"/>
        </w:rPr>
        <w:br w:type="page"/>
      </w:r>
    </w:p>
    <w:p>
      <w:pPr>
        <w:pStyle w:val="3"/>
        <w:jc w:val="center"/>
        <w:rPr>
          <w:rFonts w:ascii="Times New Roman" w:hAnsi="Times New Roman"/>
        </w:rPr>
      </w:pPr>
      <w:r>
        <w:rPr>
          <w:rFonts w:hint="eastAsia" w:ascii="Times New Roman" w:hAnsi="Times New Roman"/>
        </w:rPr>
        <w:t>四</w:t>
      </w:r>
      <w:r>
        <w:rPr>
          <w:rFonts w:ascii="Times New Roman" w:hAnsi="Times New Roman"/>
        </w:rPr>
        <w:t>、</w:t>
      </w:r>
      <w:r>
        <w:rPr>
          <w:rFonts w:hint="eastAsia" w:ascii="Times New Roman" w:hAnsi="Times New Roman"/>
        </w:rPr>
        <w:t>服务</w:t>
      </w:r>
      <w:r>
        <w:rPr>
          <w:rFonts w:ascii="Times New Roman" w:hAnsi="Times New Roman"/>
        </w:rPr>
        <w:t>费用清单</w:t>
      </w:r>
      <w:bookmarkEnd w:id="76"/>
    </w:p>
    <w:p>
      <w:pPr>
        <w:spacing w:line="440" w:lineRule="exact"/>
        <w:ind w:firstLine="420" w:firstLineChars="200"/>
        <w:rPr>
          <w:rFonts w:ascii="Times New Roman" w:hAnsi="Times New Roman"/>
          <w:szCs w:val="21"/>
        </w:rPr>
      </w:pPr>
      <w:r>
        <w:rPr>
          <w:rFonts w:ascii="Times New Roman" w:hAnsi="Times New Roman"/>
          <w:szCs w:val="21"/>
        </w:rPr>
        <w:t xml:space="preserve">1. </w:t>
      </w:r>
      <w:r>
        <w:rPr>
          <w:rFonts w:hint="eastAsia" w:ascii="Times New Roman" w:hAnsi="Times New Roman"/>
          <w:szCs w:val="21"/>
        </w:rPr>
        <w:t>服务</w:t>
      </w:r>
      <w:r>
        <w:rPr>
          <w:rFonts w:ascii="Times New Roman" w:hAnsi="Times New Roman"/>
          <w:szCs w:val="21"/>
        </w:rPr>
        <w:t>费用清单说明</w:t>
      </w:r>
    </w:p>
    <w:p>
      <w:pPr>
        <w:spacing w:line="440" w:lineRule="exact"/>
        <w:ind w:firstLine="420" w:firstLineChars="200"/>
        <w:rPr>
          <w:rFonts w:ascii="Times New Roman" w:hAnsi="Times New Roman"/>
          <w:szCs w:val="21"/>
        </w:rPr>
      </w:pPr>
      <w:r>
        <w:rPr>
          <w:rFonts w:ascii="Times New Roman" w:hAnsi="Times New Roman"/>
          <w:szCs w:val="21"/>
        </w:rPr>
        <w:t xml:space="preserve">2. </w:t>
      </w:r>
      <w:r>
        <w:rPr>
          <w:rFonts w:hint="eastAsia" w:ascii="Times New Roman" w:hAnsi="Times New Roman"/>
          <w:szCs w:val="21"/>
        </w:rPr>
        <w:t>服务</w:t>
      </w:r>
      <w:r>
        <w:rPr>
          <w:rFonts w:ascii="Times New Roman" w:hAnsi="Times New Roman"/>
          <w:szCs w:val="21"/>
        </w:rPr>
        <w:t>费用清单</w:t>
      </w:r>
    </w:p>
    <w:p>
      <w:pPr>
        <w:spacing w:line="440" w:lineRule="exact"/>
        <w:ind w:firstLine="420" w:firstLineChars="200"/>
        <w:jc w:val="right"/>
        <w:rPr>
          <w:rFonts w:ascii="Times New Roman" w:hAnsi="Times New Roman"/>
          <w:szCs w:val="21"/>
        </w:rPr>
      </w:pPr>
      <w:r>
        <w:rPr>
          <w:rFonts w:ascii="Times New Roman" w:hAnsi="Times New Roman"/>
          <w:szCs w:val="21"/>
        </w:rPr>
        <w:t>单位：人民币元</w:t>
      </w:r>
    </w:p>
    <w:tbl>
      <w:tblPr>
        <w:tblStyle w:val="1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rPr>
            </w:pPr>
            <w:bookmarkStart w:id="77" w:name="_Toc361508760"/>
            <w:r>
              <w:rPr>
                <w:rFonts w:ascii="Times New Roman" w:hAnsi="Times New Roman"/>
                <w:b/>
                <w:kern w:val="0"/>
                <w:szCs w:val="21"/>
              </w:rPr>
              <w:t>序号</w:t>
            </w:r>
          </w:p>
        </w:tc>
        <w:tc>
          <w:tcPr>
            <w:tcW w:w="2410" w:type="dxa"/>
            <w:vAlign w:val="center"/>
          </w:tcPr>
          <w:p>
            <w:pPr>
              <w:widowControl/>
              <w:jc w:val="center"/>
              <w:rPr>
                <w:rFonts w:ascii="Times New Roman" w:hAnsi="Times New Roman"/>
                <w:b/>
                <w:kern w:val="0"/>
                <w:szCs w:val="21"/>
              </w:rPr>
            </w:pPr>
            <w:r>
              <w:rPr>
                <w:rFonts w:hint="eastAsia" w:ascii="Times New Roman" w:hAnsi="Times New Roman"/>
                <w:b/>
                <w:kern w:val="0"/>
                <w:szCs w:val="21"/>
              </w:rPr>
              <w:t>服务</w:t>
            </w:r>
            <w:r>
              <w:rPr>
                <w:rFonts w:ascii="Times New Roman" w:hAnsi="Times New Roman"/>
                <w:b/>
                <w:kern w:val="0"/>
                <w:szCs w:val="21"/>
              </w:rPr>
              <w:t>费用分项名称</w:t>
            </w:r>
          </w:p>
        </w:tc>
        <w:tc>
          <w:tcPr>
            <w:tcW w:w="2268" w:type="dxa"/>
            <w:vAlign w:val="center"/>
          </w:tcPr>
          <w:p>
            <w:pPr>
              <w:widowControl/>
              <w:jc w:val="center"/>
              <w:rPr>
                <w:rFonts w:ascii="Times New Roman" w:hAnsi="Times New Roman"/>
                <w:b/>
                <w:kern w:val="0"/>
                <w:szCs w:val="21"/>
              </w:rPr>
            </w:pPr>
            <w:r>
              <w:rPr>
                <w:rFonts w:ascii="Times New Roman" w:hAnsi="Times New Roman"/>
                <w:b/>
                <w:kern w:val="0"/>
                <w:szCs w:val="21"/>
              </w:rPr>
              <w:t>计算依据、过程和公式</w:t>
            </w:r>
          </w:p>
        </w:tc>
        <w:tc>
          <w:tcPr>
            <w:tcW w:w="1322" w:type="dxa"/>
            <w:vAlign w:val="center"/>
          </w:tcPr>
          <w:p>
            <w:pPr>
              <w:widowControl/>
              <w:jc w:val="center"/>
              <w:rPr>
                <w:rFonts w:ascii="Times New Roman" w:hAnsi="Times New Roman"/>
                <w:b/>
                <w:kern w:val="0"/>
                <w:szCs w:val="21"/>
              </w:rPr>
            </w:pPr>
            <w:r>
              <w:rPr>
                <w:rFonts w:ascii="Times New Roman" w:hAnsi="Times New Roman"/>
                <w:b/>
                <w:kern w:val="0"/>
                <w:szCs w:val="21"/>
              </w:rPr>
              <w:t>金额（元）</w:t>
            </w:r>
          </w:p>
        </w:tc>
        <w:tc>
          <w:tcPr>
            <w:tcW w:w="1938" w:type="dxa"/>
            <w:vAlign w:val="center"/>
          </w:tcPr>
          <w:p>
            <w:pPr>
              <w:widowControl/>
              <w:jc w:val="center"/>
              <w:rPr>
                <w:rFonts w:ascii="Times New Roman" w:hAnsi="Times New Roman"/>
                <w:b/>
                <w:kern w:val="0"/>
                <w:szCs w:val="21"/>
              </w:rPr>
            </w:pPr>
            <w:r>
              <w:rPr>
                <w:rFonts w:ascii="Times New Roman" w:hAnsi="Times New Roman"/>
                <w:b/>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rPr>
            </w:pPr>
            <w:r>
              <w:rPr>
                <w:rFonts w:ascii="Times New Roman" w:hAnsi="Times New Roman"/>
              </w:rPr>
              <w:t>1</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2</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3</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4</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5</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410"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rPr>
            </w:pPr>
            <w:r>
              <w:rPr>
                <w:rFonts w:hint="eastAsia" w:ascii="Times New Roman" w:hAnsi="Times New Roman"/>
                <w:b/>
                <w:kern w:val="0"/>
                <w:szCs w:val="21"/>
              </w:rPr>
              <w:t>合计报价</w:t>
            </w: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bl>
    <w:p>
      <w:pPr>
        <w:widowControl/>
        <w:ind w:right="105"/>
        <w:jc w:val="right"/>
        <w:rPr>
          <w:rFonts w:ascii="Times New Roman" w:hAnsi="Times New Roman"/>
          <w:kern w:val="0"/>
        </w:rPr>
      </w:pPr>
    </w:p>
    <w:p>
      <w:pPr>
        <w:widowControl/>
        <w:ind w:right="105"/>
        <w:jc w:val="right"/>
        <w:rPr>
          <w:rFonts w:ascii="Times New Roman" w:hAnsi="Times New Roman"/>
          <w:kern w:val="0"/>
        </w:rPr>
      </w:pPr>
    </w:p>
    <w:p>
      <w:pPr>
        <w:spacing w:line="400" w:lineRule="exact"/>
        <w:ind w:firstLine="420" w:firstLineChars="200"/>
        <w:rPr>
          <w:rFonts w:ascii="Times New Roman" w:hAnsi="Times New Roman"/>
        </w:rPr>
      </w:pPr>
    </w:p>
    <w:p>
      <w:pPr>
        <w:widowControl/>
        <w:ind w:right="105"/>
        <w:jc w:val="left"/>
        <w:rPr>
          <w:rFonts w:ascii="Times New Roman" w:hAnsi="Times New Roman"/>
          <w:kern w:val="0"/>
        </w:rPr>
      </w:pPr>
    </w:p>
    <w:p>
      <w:pPr>
        <w:pStyle w:val="3"/>
        <w:spacing w:after="0"/>
        <w:jc w:val="center"/>
        <w:rPr>
          <w:rFonts w:ascii="Times New Roman" w:hAnsi="Times New Roman"/>
          <w:color w:val="000000"/>
        </w:rPr>
      </w:pPr>
      <w:r>
        <w:rPr>
          <w:rFonts w:ascii="Times New Roman" w:hAnsi="Times New Roman"/>
          <w:color w:val="000000"/>
        </w:rPr>
        <w:br w:type="page"/>
      </w:r>
      <w:bookmarkStart w:id="78" w:name="_Toc492300534"/>
      <w:r>
        <w:rPr>
          <w:rFonts w:hint="eastAsia" w:ascii="Times New Roman" w:hAnsi="Times New Roman"/>
          <w:color w:val="000000"/>
        </w:rPr>
        <w:t>五、资格审查资料</w:t>
      </w:r>
      <w:bookmarkEnd w:id="78"/>
    </w:p>
    <w:p>
      <w:pPr>
        <w:pStyle w:val="4"/>
        <w:spacing w:before="20" w:after="0"/>
        <w:ind w:firstLine="137"/>
        <w:rPr>
          <w:rFonts w:ascii="Times New Roman" w:hAnsi="Times New Roman"/>
          <w:color w:val="000000"/>
        </w:rPr>
      </w:pPr>
      <w:bookmarkStart w:id="79" w:name="_Toc492300535"/>
      <w:r>
        <w:rPr>
          <w:rFonts w:hint="eastAsia" w:ascii="Times New Roman" w:hAnsi="Times New Roman"/>
          <w:color w:val="000000"/>
        </w:rPr>
        <w:t>（一）基本情况表</w:t>
      </w:r>
      <w:bookmarkEnd w:id="79"/>
    </w:p>
    <w:tbl>
      <w:tblPr>
        <w:tblStyle w:val="15"/>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w:t>
            </w:r>
            <w:r>
              <w:rPr>
                <w:rFonts w:ascii="Times New Roman" w:hAnsi="Times New Roman"/>
              </w:rPr>
              <w:t xml:space="preserve"> </w:t>
            </w:r>
            <w:r>
              <w:rPr>
                <w:rFonts w:hint="eastAsia" w:ascii="Times New Roman" w:hAnsi="Times New Roman"/>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传</w:t>
            </w:r>
            <w:r>
              <w:rPr>
                <w:rFonts w:ascii="Times New Roman" w:hAnsi="Times New Roman"/>
              </w:rPr>
              <w:t xml:space="preserve">  </w:t>
            </w:r>
            <w:r>
              <w:rPr>
                <w:rFonts w:hint="eastAsia" w:ascii="Times New Roman" w:hAnsi="Times New Roman"/>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网</w:t>
            </w:r>
            <w:r>
              <w:rPr>
                <w:rFonts w:ascii="Times New Roman" w:hAnsi="Times New Roman"/>
              </w:rPr>
              <w:t xml:space="preserve"> </w:t>
            </w:r>
            <w:r>
              <w:rPr>
                <w:rFonts w:hint="eastAsia" w:ascii="Times New Roman" w:hAnsi="Times New Roman"/>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企业资质证书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szCs w:val="21"/>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rPr>
            </w:pPr>
            <w:r>
              <w:rPr>
                <w:rFonts w:hint="eastAsia" w:ascii="Times New Roman" w:hAnsi="Times New Roman"/>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szCs w:val="21"/>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bl>
    <w:p>
      <w:pPr>
        <w:spacing w:line="400" w:lineRule="exact"/>
        <w:rPr>
          <w:rFonts w:ascii="Times New Roman" w:hAnsi="Times New Roman"/>
          <w:color w:val="000000"/>
        </w:rPr>
      </w:pPr>
      <w:r>
        <w:rPr>
          <w:rFonts w:ascii="Times New Roman" w:hAnsi="Times New Roman"/>
          <w:color w:val="000000"/>
        </w:rPr>
        <w:t>注：</w:t>
      </w:r>
      <w:r>
        <w:rPr>
          <w:rFonts w:hint="eastAsia" w:ascii="Times New Roman" w:hAnsi="Times New Roman"/>
          <w:color w:val="000000"/>
        </w:rPr>
        <w:t>“投标人基本情况表”应附投标人</w:t>
      </w:r>
      <w:r>
        <w:rPr>
          <w:rFonts w:hint="eastAsia" w:ascii="Times New Roman" w:hAnsi="Times New Roman"/>
          <w:b/>
          <w:bCs/>
          <w:color w:val="000000"/>
        </w:rPr>
        <w:t>营业执照、资质证书</w:t>
      </w:r>
      <w:r>
        <w:rPr>
          <w:rFonts w:hint="eastAsia" w:ascii="Times New Roman" w:hAnsi="Times New Roman"/>
          <w:color w:val="000000"/>
        </w:rPr>
        <w:t>等材料的复印件，加盖投标人公章。</w:t>
      </w:r>
    </w:p>
    <w:p>
      <w:pPr>
        <w:spacing w:line="440" w:lineRule="exact"/>
        <w:rPr>
          <w:rFonts w:ascii="Times New Roman" w:hAnsi="Times New Roman"/>
          <w:color w:val="000000"/>
          <w:u w:val="single"/>
        </w:rPr>
      </w:pPr>
    </w:p>
    <w:p>
      <w:pPr>
        <w:rPr>
          <w:rFonts w:ascii="Times New Roman" w:hAnsi="Times New Roman"/>
        </w:rPr>
      </w:pPr>
      <w:bookmarkStart w:id="80" w:name="_Toc492300536"/>
      <w:r>
        <w:rPr>
          <w:rFonts w:hint="eastAsia" w:ascii="Times New Roman" w:hAnsi="Times New Roman"/>
        </w:rPr>
        <w:br w:type="page"/>
      </w:r>
    </w:p>
    <w:bookmarkEnd w:id="80"/>
    <w:p>
      <w:pPr>
        <w:pStyle w:val="4"/>
        <w:ind w:firstLine="137"/>
        <w:rPr>
          <w:rFonts w:ascii="Times New Roman" w:hAnsi="Times New Roman"/>
        </w:rPr>
      </w:pPr>
      <w:bookmarkStart w:id="81" w:name="_Toc492300537"/>
      <w:r>
        <w:rPr>
          <w:rFonts w:hint="eastAsia" w:ascii="Times New Roman" w:hAnsi="Times New Roman"/>
        </w:rPr>
        <w:t>（二）近年财务状况表</w:t>
      </w:r>
    </w:p>
    <w:p>
      <w:pPr>
        <w:topLinePunct/>
        <w:spacing w:line="440" w:lineRule="exact"/>
        <w:ind w:firstLine="420" w:firstLineChars="200"/>
        <w:rPr>
          <w:rFonts w:ascii="Times New Roman" w:hAnsi="Times New Roman"/>
          <w:color w:val="000000"/>
        </w:rPr>
      </w:pPr>
      <w:r>
        <w:rPr>
          <w:rFonts w:hint="eastAsia" w:ascii="Times New Roman" w:hAnsi="Times New Roman"/>
          <w:color w:val="000000"/>
        </w:rPr>
        <w:t>“近年财务状况表”应附经会计师事务所或审计机构审计的财务会计报表，包括资产负债表、现金流量表、利润表和财务情况说明书的复印件，具体年份要求见投标人须知前附表。</w:t>
      </w:r>
    </w:p>
    <w:p>
      <w:pPr>
        <w:topLinePunct/>
        <w:spacing w:line="440" w:lineRule="exact"/>
        <w:ind w:firstLine="420" w:firstLineChars="200"/>
        <w:rPr>
          <w:rFonts w:ascii="Times New Roman" w:hAnsi="Times New Roman"/>
          <w:color w:val="000000"/>
        </w:rPr>
      </w:pPr>
      <w:r>
        <w:rPr>
          <w:rFonts w:hint="eastAsia" w:ascii="Times New Roman" w:hAnsi="Times New Roman"/>
          <w:color w:val="000000"/>
        </w:rPr>
        <w:t>投标人的成立时间少于投标人须知前附表规定年份的，应提供成立以来的财务状况表。</w:t>
      </w:r>
    </w:p>
    <w:p>
      <w:pPr>
        <w:topLinePunct/>
        <w:spacing w:line="440" w:lineRule="exact"/>
        <w:ind w:firstLine="420" w:firstLineChars="200"/>
        <w:rPr>
          <w:rFonts w:ascii="Times New Roman" w:hAnsi="Times New Roman"/>
          <w:color w:val="000000"/>
        </w:rPr>
      </w:pPr>
    </w:p>
    <w:p>
      <w:pPr>
        <w:pStyle w:val="4"/>
        <w:spacing w:line="440" w:lineRule="exact"/>
        <w:ind w:firstLine="137"/>
        <w:rPr>
          <w:rFonts w:ascii="Times New Roman" w:hAnsi="Times New Roman"/>
          <w:color w:val="000000"/>
        </w:rPr>
      </w:pPr>
    </w:p>
    <w:p>
      <w:pPr>
        <w:pStyle w:val="4"/>
        <w:spacing w:line="440" w:lineRule="exact"/>
        <w:ind w:firstLine="137"/>
        <w:rPr>
          <w:rFonts w:ascii="Times New Roman" w:hAnsi="Times New Roman"/>
          <w:color w:val="000000"/>
        </w:rPr>
      </w:pPr>
    </w:p>
    <w:p>
      <w:pPr>
        <w:pStyle w:val="4"/>
        <w:spacing w:line="440" w:lineRule="exact"/>
        <w:ind w:firstLine="137"/>
        <w:rPr>
          <w:rFonts w:ascii="Times New Roman" w:hAnsi="Times New Roman"/>
          <w:color w:val="000000"/>
        </w:rPr>
      </w:pPr>
    </w:p>
    <w:p>
      <w:pPr>
        <w:pStyle w:val="4"/>
        <w:spacing w:line="440" w:lineRule="exact"/>
        <w:ind w:firstLine="137"/>
        <w:rPr>
          <w:rFonts w:ascii="Times New Roman" w:hAnsi="Times New Roman"/>
          <w:color w:val="000000"/>
        </w:rPr>
      </w:pPr>
    </w:p>
    <w:p>
      <w:pPr>
        <w:pStyle w:val="4"/>
        <w:spacing w:line="440" w:lineRule="exact"/>
        <w:ind w:firstLine="137"/>
        <w:rPr>
          <w:rFonts w:ascii="Times New Roman" w:hAnsi="Times New Roman"/>
          <w:color w:val="000000"/>
        </w:rPr>
      </w:pPr>
    </w:p>
    <w:p>
      <w:pPr>
        <w:pStyle w:val="4"/>
        <w:spacing w:line="440" w:lineRule="exact"/>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pStyle w:val="4"/>
        <w:spacing w:line="440" w:lineRule="exact"/>
        <w:rPr>
          <w:rFonts w:ascii="Times New Roman" w:hAnsi="Times New Roman"/>
          <w:color w:val="000000"/>
        </w:rPr>
      </w:pPr>
      <w:r>
        <w:rPr>
          <w:rFonts w:hint="eastAsia" w:ascii="Times New Roman" w:hAnsi="Times New Roman"/>
          <w:color w:val="000000"/>
        </w:rPr>
        <w:t>（三）近年发生的诉讼及仲裁情况</w:t>
      </w:r>
    </w:p>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“近年发生的诉讼及仲裁情况”应说明投标人败诉的服务合同的相关情况，并附法院或仲裁机构作出的判决、裁决等有关法律文书复印件，具体时间要求见投标人须知前附表。</w:t>
      </w:r>
    </w:p>
    <w:p>
      <w:pPr>
        <w:rPr>
          <w:rFonts w:ascii="Times New Roman" w:hAnsi="Times New Roman"/>
        </w:rPr>
      </w:pPr>
      <w:r>
        <w:rPr>
          <w:rFonts w:hint="eastAsia" w:ascii="Times New Roman" w:hAnsi="Times New Roman"/>
        </w:rPr>
        <w:br w:type="page"/>
      </w:r>
    </w:p>
    <w:p>
      <w:pPr>
        <w:pStyle w:val="4"/>
        <w:spacing w:before="20" w:after="0"/>
        <w:ind w:firstLine="137"/>
        <w:rPr>
          <w:rFonts w:ascii="Times New Roman" w:hAnsi="Times New Roman"/>
          <w:color w:val="000000"/>
        </w:rPr>
      </w:pPr>
    </w:p>
    <w:p>
      <w:pPr>
        <w:pStyle w:val="4"/>
        <w:spacing w:before="20" w:after="0"/>
        <w:ind w:firstLine="137"/>
        <w:rPr>
          <w:rFonts w:ascii="Times New Roman" w:hAnsi="Times New Roman"/>
          <w:color w:val="000000"/>
        </w:rPr>
      </w:pPr>
      <w:r>
        <w:rPr>
          <w:rFonts w:hint="eastAsia" w:ascii="Times New Roman" w:hAnsi="Times New Roman"/>
          <w:color w:val="000000"/>
        </w:rPr>
        <w:t>（四）近年完成的类似项目情况表</w:t>
      </w:r>
      <w:bookmarkEnd w:id="81"/>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“近年完成的类似项目情况表”应附合同协议书的复印件或扫描件，并加盖投标人公章；具体时间要求见投标人须知前附表，每张表格只填写一个项目，并标明序号。</w:t>
      </w:r>
    </w:p>
    <w:p>
      <w:pPr>
        <w:spacing w:line="440" w:lineRule="exact"/>
        <w:rPr>
          <w:rFonts w:ascii="Times New Roman" w:hAnsi="Times New Roman"/>
        </w:rPr>
      </w:pPr>
    </w:p>
    <w:p>
      <w:pPr>
        <w:spacing w:line="440" w:lineRule="exact"/>
        <w:rPr>
          <w:rFonts w:ascii="Times New Roman" w:hAnsi="Times New Roman"/>
        </w:rPr>
      </w:pPr>
    </w:p>
    <w:p>
      <w:pPr>
        <w:topLinePunct/>
        <w:spacing w:line="440" w:lineRule="exact"/>
        <w:rPr>
          <w:rFonts w:ascii="Times New Roman" w:hAnsi="Times New Roman"/>
        </w:rPr>
      </w:pPr>
      <w:r>
        <w:rPr>
          <w:rFonts w:ascii="Times New Roman" w:hAnsi="Times New Roman"/>
        </w:rPr>
        <w:br w:type="page"/>
      </w:r>
    </w:p>
    <w:p>
      <w:pPr>
        <w:pStyle w:val="4"/>
        <w:ind w:firstLine="137"/>
        <w:rPr>
          <w:rFonts w:ascii="Times New Roman" w:hAnsi="Times New Roman"/>
        </w:rPr>
      </w:pPr>
      <w:bookmarkStart w:id="82" w:name="_Toc492300538"/>
      <w:bookmarkStart w:id="83" w:name="_Toc370676438"/>
      <w:bookmarkStart w:id="84" w:name="_Toc152045810"/>
      <w:bookmarkStart w:id="85" w:name="_Toc152042599"/>
      <w:bookmarkStart w:id="86" w:name="_Toc384308388"/>
      <w:bookmarkStart w:id="87" w:name="_Toc247527850"/>
      <w:bookmarkStart w:id="88" w:name="_Toc247514302"/>
      <w:bookmarkStart w:id="89" w:name="_Toc359594247"/>
      <w:bookmarkStart w:id="90" w:name="_Toc300835226"/>
      <w:bookmarkStart w:id="91" w:name="_Toc144974878"/>
      <w:bookmarkStart w:id="92" w:name="_Toc361508766"/>
      <w:bookmarkStart w:id="93" w:name="_Toc152042600"/>
      <w:bookmarkStart w:id="94" w:name="_Toc152045811"/>
      <w:bookmarkStart w:id="95" w:name="_Toc247514303"/>
      <w:bookmarkStart w:id="96" w:name="_Toc144974879"/>
      <w:bookmarkStart w:id="97" w:name="_Toc247527851"/>
      <w:r>
        <w:rPr>
          <w:rFonts w:hint="eastAsia" w:ascii="Times New Roman" w:hAnsi="Times New Roman"/>
        </w:rPr>
        <w:t>（五）正在履行和新承接的项目情况表</w:t>
      </w:r>
      <w:bookmarkEnd w:id="82"/>
      <w:bookmarkEnd w:id="83"/>
      <w:bookmarkEnd w:id="84"/>
      <w:bookmarkEnd w:id="85"/>
      <w:bookmarkEnd w:id="86"/>
      <w:bookmarkEnd w:id="87"/>
      <w:bookmarkEnd w:id="88"/>
      <w:bookmarkEnd w:id="89"/>
      <w:bookmarkEnd w:id="90"/>
      <w:bookmarkEnd w:id="91"/>
      <w:bookmarkEnd w:id="92"/>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rPr>
              <w:t>服务</w:t>
            </w:r>
            <w:r>
              <w:rPr>
                <w:rFonts w:ascii="Times New Roman" w:hAnsi="Times New Roman"/>
                <w:szCs w:val="21"/>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bookmarkEnd w:id="93"/>
      <w:bookmarkEnd w:id="94"/>
      <w:bookmarkEnd w:id="95"/>
      <w:bookmarkEnd w:id="96"/>
      <w:bookmarkEnd w:id="97"/>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“正在履行和新承接的项目情况表”应附中标通知书或合同协议书的复印件或扫描件，并加盖投标人公章。每张表格只填写一个项目，并标明序号。</w:t>
      </w:r>
    </w:p>
    <w:p>
      <w:pPr>
        <w:spacing w:line="440" w:lineRule="exact"/>
        <w:rPr>
          <w:rFonts w:ascii="Times New Roman" w:hAnsi="Times New Roman"/>
        </w:rPr>
      </w:pPr>
      <w:r>
        <w:rPr>
          <w:rFonts w:ascii="Times New Roman" w:hAnsi="Times New Roman"/>
        </w:rPr>
        <w:br w:type="page"/>
      </w:r>
    </w:p>
    <w:p>
      <w:pPr>
        <w:spacing w:line="440" w:lineRule="exact"/>
        <w:rPr>
          <w:rFonts w:ascii="Times New Roman" w:hAnsi="Times New Roman"/>
        </w:rPr>
      </w:pPr>
    </w:p>
    <w:p>
      <w:pPr>
        <w:spacing w:line="440" w:lineRule="exact"/>
        <w:rPr>
          <w:rFonts w:ascii="Times New Roman" w:hAnsi="Times New Roman"/>
        </w:rPr>
      </w:pPr>
    </w:p>
    <w:bookmarkEnd w:id="77"/>
    <w:p>
      <w:pPr>
        <w:pStyle w:val="4"/>
        <w:rPr>
          <w:rFonts w:ascii="Times New Roman" w:hAnsi="Times New Roman"/>
        </w:rPr>
      </w:pPr>
      <w:bookmarkStart w:id="98" w:name="_Toc482188667"/>
      <w:bookmarkStart w:id="99" w:name="_Toc492300540"/>
      <w:r>
        <w:rPr>
          <w:rFonts w:hint="eastAsia" w:ascii="Times New Roman" w:hAnsi="Times New Roman"/>
        </w:rPr>
        <w:t>（六）拟委任的主要人员汇总表</w:t>
      </w:r>
      <w:bookmarkEnd w:id="98"/>
      <w:bookmarkEnd w:id="99"/>
    </w:p>
    <w:tbl>
      <w:tblPr>
        <w:tblStyle w:val="15"/>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rPr>
            </w:pPr>
            <w:r>
              <w:rPr>
                <w:rFonts w:hint="eastAsia" w:ascii="Times New Roman" w:hAnsi="Times New Roman"/>
              </w:rPr>
              <w:t>序号</w:t>
            </w:r>
          </w:p>
        </w:tc>
        <w:tc>
          <w:tcPr>
            <w:tcW w:w="1275" w:type="dxa"/>
            <w:vMerge w:val="restart"/>
            <w:vAlign w:val="center"/>
          </w:tcPr>
          <w:p>
            <w:pPr>
              <w:spacing w:line="440" w:lineRule="exact"/>
              <w:jc w:val="center"/>
              <w:rPr>
                <w:rFonts w:ascii="Times New Roman" w:hAnsi="Times New Roman"/>
              </w:rPr>
            </w:pPr>
            <w:r>
              <w:rPr>
                <w:rFonts w:hint="eastAsia" w:ascii="Times New Roman" w:hAnsi="Times New Roman"/>
              </w:rPr>
              <w:t>本项目任职</w:t>
            </w:r>
          </w:p>
        </w:tc>
        <w:tc>
          <w:tcPr>
            <w:tcW w:w="992" w:type="dxa"/>
            <w:vMerge w:val="restart"/>
            <w:vAlign w:val="center"/>
          </w:tcPr>
          <w:p>
            <w:pPr>
              <w:spacing w:line="440" w:lineRule="exact"/>
              <w:jc w:val="center"/>
              <w:rPr>
                <w:rFonts w:ascii="Times New Roman" w:hAnsi="Times New Roman"/>
              </w:rPr>
            </w:pPr>
            <w:r>
              <w:rPr>
                <w:rFonts w:hint="eastAsia" w:ascii="Times New Roman" w:hAnsi="Times New Roman"/>
              </w:rPr>
              <w:t>姓名</w:t>
            </w:r>
          </w:p>
        </w:tc>
        <w:tc>
          <w:tcPr>
            <w:tcW w:w="603" w:type="dxa"/>
            <w:vMerge w:val="restart"/>
            <w:vAlign w:val="center"/>
          </w:tcPr>
          <w:p>
            <w:pPr>
              <w:spacing w:line="440" w:lineRule="exact"/>
              <w:jc w:val="center"/>
              <w:rPr>
                <w:rFonts w:ascii="Times New Roman" w:hAnsi="Times New Roman"/>
              </w:rPr>
            </w:pPr>
            <w:r>
              <w:rPr>
                <w:rFonts w:hint="eastAsia" w:ascii="Times New Roman" w:hAnsi="Times New Roman"/>
              </w:rPr>
              <w:t>职称</w:t>
            </w:r>
          </w:p>
        </w:tc>
        <w:tc>
          <w:tcPr>
            <w:tcW w:w="488" w:type="dxa"/>
            <w:vMerge w:val="restart"/>
            <w:vAlign w:val="center"/>
          </w:tcPr>
          <w:p>
            <w:pPr>
              <w:spacing w:line="440" w:lineRule="exact"/>
              <w:jc w:val="center"/>
              <w:rPr>
                <w:rFonts w:ascii="Times New Roman" w:hAnsi="Times New Roman"/>
              </w:rPr>
            </w:pPr>
            <w:r>
              <w:rPr>
                <w:rFonts w:hint="eastAsia" w:ascii="Times New Roman" w:hAnsi="Times New Roman"/>
              </w:rPr>
              <w:t>专业</w:t>
            </w:r>
          </w:p>
        </w:tc>
        <w:tc>
          <w:tcPr>
            <w:tcW w:w="2714" w:type="dxa"/>
            <w:gridSpan w:val="3"/>
            <w:vAlign w:val="center"/>
          </w:tcPr>
          <w:p>
            <w:pPr>
              <w:spacing w:line="440" w:lineRule="exact"/>
              <w:jc w:val="center"/>
              <w:rPr>
                <w:rFonts w:ascii="Times New Roman" w:hAnsi="Times New Roman"/>
              </w:rPr>
            </w:pPr>
            <w:r>
              <w:rPr>
                <w:rFonts w:hint="eastAsia" w:ascii="Times New Roman" w:hAnsi="Times New Roman"/>
              </w:rPr>
              <w:t>执业或职业资格证明</w:t>
            </w:r>
          </w:p>
        </w:tc>
        <w:tc>
          <w:tcPr>
            <w:tcW w:w="1656" w:type="dxa"/>
            <w:vAlign w:val="center"/>
          </w:tcPr>
          <w:p>
            <w:pPr>
              <w:spacing w:line="440" w:lineRule="exact"/>
              <w:jc w:val="center"/>
              <w:rPr>
                <w:rFonts w:ascii="Times New Roman" w:hAnsi="Times New Roman"/>
              </w:rPr>
            </w:pPr>
            <w:r>
              <w:rPr>
                <w:rFonts w:hint="eastAsia"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rPr>
            </w:pPr>
          </w:p>
        </w:tc>
        <w:tc>
          <w:tcPr>
            <w:tcW w:w="1275" w:type="dxa"/>
            <w:vMerge w:val="continue"/>
          </w:tcPr>
          <w:p>
            <w:pPr>
              <w:rPr>
                <w:rFonts w:ascii="Times New Roman" w:hAnsi="Times New Roman"/>
              </w:rPr>
            </w:pPr>
          </w:p>
        </w:tc>
        <w:tc>
          <w:tcPr>
            <w:tcW w:w="992" w:type="dxa"/>
            <w:vMerge w:val="continue"/>
            <w:vAlign w:val="center"/>
          </w:tcPr>
          <w:p>
            <w:pPr>
              <w:rPr>
                <w:rFonts w:ascii="Times New Roman" w:hAnsi="Times New Roman"/>
              </w:rPr>
            </w:pPr>
          </w:p>
        </w:tc>
        <w:tc>
          <w:tcPr>
            <w:tcW w:w="603" w:type="dxa"/>
            <w:vMerge w:val="continue"/>
            <w:vAlign w:val="center"/>
          </w:tcPr>
          <w:p>
            <w:pPr>
              <w:rPr>
                <w:rFonts w:ascii="Times New Roman" w:hAnsi="Times New Roman"/>
              </w:rPr>
            </w:pPr>
          </w:p>
        </w:tc>
        <w:tc>
          <w:tcPr>
            <w:tcW w:w="488" w:type="dxa"/>
            <w:vMerge w:val="continue"/>
            <w:vAlign w:val="center"/>
          </w:tcPr>
          <w:p>
            <w:pPr>
              <w:spacing w:line="440" w:lineRule="exact"/>
              <w:jc w:val="center"/>
              <w:rPr>
                <w:rFonts w:ascii="Times New Roman" w:hAnsi="Times New Roman"/>
              </w:rPr>
            </w:pPr>
          </w:p>
        </w:tc>
        <w:tc>
          <w:tcPr>
            <w:tcW w:w="1134"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证书名称</w:t>
            </w:r>
          </w:p>
        </w:tc>
        <w:tc>
          <w:tcPr>
            <w:tcW w:w="709"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级别</w:t>
            </w:r>
          </w:p>
        </w:tc>
        <w:tc>
          <w:tcPr>
            <w:tcW w:w="871"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证号</w:t>
            </w:r>
          </w:p>
        </w:tc>
        <w:tc>
          <w:tcPr>
            <w:tcW w:w="165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vAlign w:val="center"/>
          </w:tcPr>
          <w:p>
            <w:pPr>
              <w:spacing w:line="440" w:lineRule="exact"/>
              <w:jc w:val="center"/>
              <w:rPr>
                <w:rFonts w:ascii="Times New Roman" w:hAnsi="Times New Roman"/>
              </w:rPr>
            </w:pPr>
          </w:p>
        </w:tc>
        <w:tc>
          <w:tcPr>
            <w:tcW w:w="603" w:type="dxa"/>
            <w:vAlign w:val="center"/>
          </w:tcPr>
          <w:p>
            <w:pPr>
              <w:spacing w:line="440" w:lineRule="exact"/>
              <w:jc w:val="center"/>
              <w:rPr>
                <w:rFonts w:ascii="Times New Roman" w:hAnsi="Times New Roman"/>
              </w:rPr>
            </w:pPr>
          </w:p>
        </w:tc>
        <w:tc>
          <w:tcPr>
            <w:tcW w:w="488"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c>
          <w:tcPr>
            <w:tcW w:w="709" w:type="dxa"/>
            <w:vAlign w:val="center"/>
          </w:tcPr>
          <w:p>
            <w:pPr>
              <w:spacing w:line="440" w:lineRule="exact"/>
              <w:jc w:val="center"/>
              <w:rPr>
                <w:rFonts w:ascii="Times New Roman" w:hAnsi="Times New Roman"/>
              </w:rPr>
            </w:pPr>
          </w:p>
        </w:tc>
        <w:tc>
          <w:tcPr>
            <w:tcW w:w="871" w:type="dxa"/>
            <w:vAlign w:val="center"/>
          </w:tcPr>
          <w:p>
            <w:pPr>
              <w:spacing w:line="440" w:lineRule="exact"/>
              <w:jc w:val="center"/>
              <w:rPr>
                <w:rFonts w:ascii="Times New Roman" w:hAnsi="Times New Roman"/>
              </w:rPr>
            </w:pPr>
          </w:p>
        </w:tc>
        <w:tc>
          <w:tcPr>
            <w:tcW w:w="165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56" w:type="dxa"/>
          </w:tcPr>
          <w:p>
            <w:pPr>
              <w:spacing w:line="440" w:lineRule="exact"/>
              <w:jc w:val="center"/>
              <w:rPr>
                <w:rFonts w:ascii="Times New Roman" w:hAnsi="Times New Roman"/>
              </w:rPr>
            </w:pPr>
          </w:p>
        </w:tc>
      </w:tr>
    </w:tbl>
    <w:p>
      <w:pPr>
        <w:spacing w:line="440" w:lineRule="exact"/>
        <w:rPr>
          <w:rFonts w:ascii="Times New Roman" w:hAnsi="Times New Roman"/>
        </w:rPr>
      </w:pPr>
      <w:r>
        <w:rPr>
          <w:rFonts w:hint="eastAsia" w:ascii="Times New Roman" w:hAnsi="Times New Roman"/>
        </w:rPr>
        <w:t>注：“拟委任的主要人员汇总表”应填报满足招标文件规定的项目负责人和其他主要人员的相关信息。</w:t>
      </w:r>
    </w:p>
    <w:p>
      <w:pPr>
        <w:spacing w:line="440" w:lineRule="exact"/>
        <w:rPr>
          <w:rFonts w:ascii="Times New Roman" w:hAnsi="Times New Roman"/>
        </w:rPr>
      </w:pPr>
      <w:r>
        <w:rPr>
          <w:rFonts w:ascii="Times New Roman" w:hAnsi="Times New Roman"/>
        </w:rPr>
        <w:br w:type="page"/>
      </w:r>
      <w:bookmarkStart w:id="100" w:name="_Toc179632825"/>
      <w:bookmarkStart w:id="101" w:name="_Toc152042594"/>
      <w:bookmarkStart w:id="102" w:name="_Toc152045805"/>
      <w:bookmarkStart w:id="103" w:name="_Toc144974873"/>
    </w:p>
    <w:p>
      <w:pPr>
        <w:pStyle w:val="4"/>
        <w:ind w:firstLine="137"/>
        <w:rPr>
          <w:rFonts w:ascii="Times New Roman" w:hAnsi="Times New Roman"/>
        </w:rPr>
      </w:pPr>
      <w:bookmarkStart w:id="104" w:name="_Toc482188668"/>
      <w:bookmarkStart w:id="105" w:name="_Toc359594249"/>
      <w:bookmarkStart w:id="106" w:name="_Toc492300541"/>
      <w:bookmarkStart w:id="107" w:name="_Toc391394125"/>
      <w:bookmarkStart w:id="108" w:name="_Toc300835232"/>
      <w:bookmarkStart w:id="109" w:name="_Toc370676440"/>
      <w:bookmarkStart w:id="110" w:name="_Toc384308390"/>
      <w:bookmarkStart w:id="111" w:name="_Toc385943079"/>
      <w:r>
        <w:rPr>
          <w:rFonts w:hint="eastAsia" w:ascii="Times New Roman" w:hAnsi="Times New Roman"/>
        </w:rPr>
        <w:t>（七）主要人员简历表</w:t>
      </w:r>
      <w:bookmarkEnd w:id="100"/>
      <w:bookmarkEnd w:id="101"/>
      <w:bookmarkEnd w:id="102"/>
      <w:bookmarkEnd w:id="103"/>
      <w:bookmarkEnd w:id="104"/>
      <w:bookmarkEnd w:id="105"/>
      <w:bookmarkEnd w:id="106"/>
      <w:bookmarkEnd w:id="107"/>
      <w:bookmarkEnd w:id="108"/>
      <w:bookmarkEnd w:id="109"/>
      <w:bookmarkEnd w:id="110"/>
      <w:bookmarkEnd w:id="111"/>
    </w:p>
    <w:p>
      <w:pPr>
        <w:topLinePunct/>
        <w:spacing w:line="440" w:lineRule="exact"/>
        <w:jc w:val="center"/>
        <w:rPr>
          <w:rFonts w:ascii="Times New Roman" w:hAnsi="Times New Roman"/>
          <w:sz w:val="23"/>
        </w:rPr>
      </w:pPr>
      <w:r>
        <w:rPr>
          <w:rFonts w:hint="eastAsia" w:ascii="Times New Roman" w:hAnsi="Times New Roman"/>
        </w:rPr>
        <w:t xml:space="preserve"> </w:t>
      </w: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rPr>
            </w:pPr>
            <w:r>
              <w:rPr>
                <w:rFonts w:hint="eastAsia" w:ascii="Times New Roman" w:hAnsi="Times New Roman"/>
              </w:rPr>
              <w:t>姓</w:t>
            </w:r>
            <w:r>
              <w:rPr>
                <w:rFonts w:ascii="Times New Roman" w:hAnsi="Times New Roman"/>
              </w:rPr>
              <w:t xml:space="preserve">  </w:t>
            </w:r>
            <w:r>
              <w:rPr>
                <w:rFonts w:hint="eastAsia" w:ascii="Times New Roman" w:hAnsi="Times New Roman"/>
              </w:rPr>
              <w:t>名</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line="440" w:lineRule="exact"/>
              <w:jc w:val="center"/>
              <w:rPr>
                <w:rFonts w:ascii="Times New Roman" w:hAnsi="Times New Roman"/>
              </w:rPr>
            </w:pPr>
            <w:r>
              <w:rPr>
                <w:rFonts w:hint="eastAsia" w:ascii="Times New Roman" w:hAnsi="Times New Roman"/>
              </w:rPr>
              <w:t>年龄</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line="440" w:lineRule="exact"/>
              <w:jc w:val="center"/>
              <w:rPr>
                <w:rFonts w:ascii="Times New Roman" w:hAnsi="Times New Roman"/>
              </w:rPr>
            </w:pPr>
            <w:r>
              <w:rPr>
                <w:rFonts w:hint="eastAsia" w:ascii="Times New Roman" w:hAnsi="Times New Roman"/>
              </w:rPr>
              <w:t>执业资格证书（或上岗证书）名称</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rPr>
            </w:pPr>
            <w:r>
              <w:rPr>
                <w:rFonts w:hint="eastAsia" w:ascii="Times New Roman" w:hAnsi="Times New Roman"/>
              </w:rPr>
              <w:t>职</w:t>
            </w:r>
            <w:r>
              <w:rPr>
                <w:rFonts w:ascii="Times New Roman" w:hAnsi="Times New Roman"/>
              </w:rPr>
              <w:t xml:space="preserve">  </w:t>
            </w:r>
            <w:r>
              <w:rPr>
                <w:rFonts w:hint="eastAsia" w:ascii="Times New Roman" w:hAnsi="Times New Roman"/>
              </w:rPr>
              <w:t>称</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学历</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拟在本项目任职</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工作年限</w:t>
            </w:r>
          </w:p>
        </w:tc>
        <w:tc>
          <w:tcPr>
            <w:tcW w:w="3071" w:type="dxa"/>
            <w:gridSpan w:val="4"/>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从事行业工作年限</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rPr>
            </w:pPr>
            <w:r>
              <w:rPr>
                <w:rFonts w:hint="eastAsia" w:ascii="Times New Roman" w:hAnsi="Times New Roman"/>
              </w:rPr>
              <w:t>年毕业于</w:t>
            </w:r>
            <w:r>
              <w:rPr>
                <w:rFonts w:ascii="Times New Roman" w:hAnsi="Times New Roman"/>
              </w:rPr>
              <w:t xml:space="preserve">            </w:t>
            </w:r>
            <w:r>
              <w:rPr>
                <w:rFonts w:hint="eastAsia" w:ascii="Times New Roman" w:hAnsi="Times New Roman"/>
              </w:rPr>
              <w:t>学校</w:t>
            </w:r>
            <w:r>
              <w:rPr>
                <w:rFonts w:ascii="Times New Roman" w:hAnsi="Times New Roman"/>
              </w:rPr>
              <w:t xml:space="preserve">        </w:t>
            </w:r>
            <w:r>
              <w:rPr>
                <w:rFonts w:hint="eastAsia" w:ascii="Times New Roman" w:hAnsi="Times New Roma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rPr>
            </w:pPr>
            <w:r>
              <w:rPr>
                <w:rFonts w:hint="eastAsia" w:ascii="Times New Roman" w:hAnsi="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时</w:t>
            </w:r>
            <w:r>
              <w:rPr>
                <w:rFonts w:ascii="Times New Roman" w:hAnsi="Times New Roman"/>
              </w:rPr>
              <w:t xml:space="preserve">  </w:t>
            </w:r>
            <w:r>
              <w:rPr>
                <w:rFonts w:hint="eastAsia" w:ascii="Times New Roman" w:hAnsi="Times New Roman"/>
              </w:rPr>
              <w:t>间</w:t>
            </w:r>
          </w:p>
        </w:tc>
        <w:tc>
          <w:tcPr>
            <w:tcW w:w="3420" w:type="dxa"/>
            <w:gridSpan w:val="4"/>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参加过的类似项目</w:t>
            </w:r>
          </w:p>
        </w:tc>
        <w:tc>
          <w:tcPr>
            <w:tcW w:w="1261"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担任职务</w:t>
            </w:r>
          </w:p>
        </w:tc>
        <w:tc>
          <w:tcPr>
            <w:tcW w:w="2297" w:type="dxa"/>
            <w:gridSpan w:val="2"/>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“主要人员简历表”中</w:t>
      </w:r>
      <w:r>
        <w:rPr>
          <w:rFonts w:hint="eastAsia" w:ascii="Times New Roman" w:hAnsi="Times New Roman"/>
          <w:b/>
          <w:bCs/>
          <w:color w:val="000000"/>
        </w:rPr>
        <w:t>项目负责人</w:t>
      </w:r>
      <w:r>
        <w:rPr>
          <w:rFonts w:hint="eastAsia" w:ascii="Times New Roman" w:hAnsi="Times New Roman"/>
          <w:color w:val="000000"/>
        </w:rPr>
        <w:t>应附身份证、学历证、职称证、执业资格证书和社保缴费证明复印件，管理过的项目业绩须附合同协议书等有效材料复印件；其他主要人员应附身份证、学历证、职称证、有关资格证书和社保缴费证明复印件，所有证明材料要求加盖投标人公章。社保证明要求为</w:t>
      </w:r>
      <w:r>
        <w:rPr>
          <w:rFonts w:hint="eastAsia" w:ascii="Times New Roman" w:hAnsi="Times New Roman"/>
        </w:rPr>
        <w:t>由本单位为其缴纳的至少</w:t>
      </w:r>
      <w:r>
        <w:rPr>
          <w:rFonts w:hint="eastAsia" w:ascii="Times New Roman" w:hAnsi="Times New Roman"/>
          <w:b/>
          <w:bCs/>
        </w:rPr>
        <w:t>连续6个月的社保证明</w:t>
      </w:r>
      <w:r>
        <w:rPr>
          <w:rFonts w:hint="eastAsia" w:ascii="Times New Roman" w:hAnsi="Times New Roman"/>
        </w:rPr>
        <w:t>（由当地社保主管部门出具的2020年1月1日以来的有效社保证明）</w:t>
      </w:r>
      <w:r>
        <w:rPr>
          <w:rFonts w:ascii="Times New Roman" w:hAnsi="Times New Roman"/>
        </w:rPr>
        <w:br w:type="page"/>
      </w:r>
      <w:bookmarkStart w:id="112" w:name="_Toc300835229"/>
      <w:bookmarkStart w:id="113" w:name="_Toc352703741"/>
    </w:p>
    <w:bookmarkEnd w:id="112"/>
    <w:bookmarkEnd w:id="113"/>
    <w:p>
      <w:pPr>
        <w:pStyle w:val="3"/>
        <w:spacing w:after="0"/>
        <w:jc w:val="center"/>
        <w:rPr>
          <w:rFonts w:ascii="Times New Roman" w:hAnsi="Times New Roman"/>
          <w:color w:val="000000"/>
        </w:rPr>
      </w:pPr>
      <w:bookmarkStart w:id="114" w:name="_Toc492300542"/>
      <w:r>
        <w:rPr>
          <w:rFonts w:hint="eastAsia" w:ascii="Times New Roman" w:hAnsi="Times New Roman"/>
          <w:color w:val="000000"/>
        </w:rPr>
        <w:t>六</w:t>
      </w:r>
      <w:r>
        <w:rPr>
          <w:rFonts w:ascii="Times New Roman" w:hAnsi="Times New Roman"/>
          <w:color w:val="000000"/>
        </w:rPr>
        <w:t>、</w:t>
      </w:r>
      <w:bookmarkEnd w:id="114"/>
      <w:r>
        <w:rPr>
          <w:rFonts w:hint="eastAsia" w:ascii="Times New Roman" w:hAnsi="Times New Roman"/>
          <w:color w:val="000000"/>
        </w:rPr>
        <w:t>服务方案</w:t>
      </w:r>
    </w:p>
    <w:p>
      <w:pPr>
        <w:spacing w:line="360" w:lineRule="auto"/>
        <w:ind w:firstLine="474" w:firstLineChars="226"/>
        <w:rPr>
          <w:rFonts w:ascii="Times New Roman" w:hAnsi="Times New Roman"/>
          <w:szCs w:val="21"/>
        </w:rPr>
      </w:pPr>
      <w:r>
        <w:rPr>
          <w:rFonts w:hint="eastAsia" w:ascii="Times New Roman" w:hAnsi="Times New Roman"/>
          <w:szCs w:val="21"/>
        </w:rPr>
        <w:t>服务方案应包括（但不限于）下列内容：</w:t>
      </w:r>
    </w:p>
    <w:p>
      <w:pPr>
        <w:spacing w:line="360" w:lineRule="auto"/>
        <w:ind w:firstLine="474" w:firstLineChars="226"/>
        <w:rPr>
          <w:rFonts w:ascii="Times New Roman" w:hAnsi="Times New Roman"/>
          <w:szCs w:val="21"/>
        </w:rPr>
      </w:pPr>
      <w:r>
        <w:rPr>
          <w:rFonts w:hint="eastAsia" w:ascii="Times New Roman" w:hAnsi="Times New Roman"/>
          <w:szCs w:val="21"/>
        </w:rPr>
        <w:t>一、项目概况；</w:t>
      </w:r>
    </w:p>
    <w:p>
      <w:pPr>
        <w:spacing w:line="360" w:lineRule="auto"/>
        <w:ind w:firstLine="474" w:firstLineChars="226"/>
        <w:rPr>
          <w:rFonts w:ascii="Times New Roman" w:hAnsi="Times New Roman"/>
          <w:szCs w:val="21"/>
        </w:rPr>
      </w:pPr>
      <w:r>
        <w:rPr>
          <w:rFonts w:hint="eastAsia" w:ascii="Times New Roman" w:hAnsi="Times New Roman"/>
          <w:szCs w:val="21"/>
        </w:rPr>
        <w:t>二、工作范围、工作内容；</w:t>
      </w:r>
    </w:p>
    <w:p>
      <w:pPr>
        <w:spacing w:line="360" w:lineRule="auto"/>
        <w:ind w:firstLine="474" w:firstLineChars="226"/>
        <w:rPr>
          <w:rFonts w:ascii="Times New Roman" w:hAnsi="Times New Roman"/>
          <w:szCs w:val="21"/>
        </w:rPr>
      </w:pPr>
      <w:r>
        <w:rPr>
          <w:rFonts w:hint="eastAsia" w:ascii="Times New Roman" w:hAnsi="Times New Roman"/>
          <w:szCs w:val="21"/>
        </w:rPr>
        <w:t>三、工作依据、工作目标；</w:t>
      </w:r>
    </w:p>
    <w:p>
      <w:pPr>
        <w:spacing w:line="360" w:lineRule="auto"/>
        <w:ind w:firstLine="474" w:firstLineChars="226"/>
        <w:rPr>
          <w:rFonts w:ascii="Times New Roman" w:hAnsi="Times New Roman"/>
          <w:szCs w:val="21"/>
        </w:rPr>
      </w:pPr>
      <w:r>
        <w:rPr>
          <w:rFonts w:hint="eastAsia" w:ascii="Times New Roman" w:hAnsi="Times New Roman"/>
          <w:szCs w:val="21"/>
        </w:rPr>
        <w:t>四、机构设置（框图）、岗位职责；</w:t>
      </w:r>
    </w:p>
    <w:p>
      <w:pPr>
        <w:spacing w:line="360" w:lineRule="auto"/>
        <w:ind w:firstLine="474" w:firstLineChars="226"/>
        <w:rPr>
          <w:rFonts w:ascii="Times New Roman" w:hAnsi="Times New Roman"/>
          <w:szCs w:val="21"/>
        </w:rPr>
      </w:pPr>
      <w:r>
        <w:rPr>
          <w:rFonts w:hint="eastAsia" w:ascii="Times New Roman" w:hAnsi="Times New Roman"/>
          <w:szCs w:val="21"/>
        </w:rPr>
        <w:t>五、说明和方案；</w:t>
      </w:r>
    </w:p>
    <w:p>
      <w:pPr>
        <w:spacing w:line="360" w:lineRule="auto"/>
        <w:ind w:firstLine="474" w:firstLineChars="226"/>
        <w:rPr>
          <w:rFonts w:ascii="Times New Roman" w:hAnsi="Times New Roman"/>
          <w:szCs w:val="21"/>
        </w:rPr>
      </w:pPr>
      <w:r>
        <w:rPr>
          <w:rFonts w:hint="eastAsia" w:ascii="Times New Roman" w:hAnsi="Times New Roman"/>
          <w:szCs w:val="21"/>
        </w:rPr>
        <w:t>六、拟投入的人员；</w:t>
      </w:r>
    </w:p>
    <w:p>
      <w:pPr>
        <w:spacing w:line="360" w:lineRule="auto"/>
        <w:ind w:firstLine="474" w:firstLineChars="226"/>
        <w:rPr>
          <w:rFonts w:ascii="Times New Roman" w:hAnsi="Times New Roman"/>
          <w:szCs w:val="21"/>
        </w:rPr>
      </w:pPr>
      <w:r>
        <w:rPr>
          <w:rFonts w:hint="eastAsia" w:ascii="Times New Roman" w:hAnsi="Times New Roman"/>
          <w:szCs w:val="21"/>
        </w:rPr>
        <w:t xml:space="preserve">七、工作质量、进度、保密等保证措施； </w:t>
      </w:r>
    </w:p>
    <w:p>
      <w:pPr>
        <w:spacing w:line="360" w:lineRule="auto"/>
        <w:ind w:firstLine="474" w:firstLineChars="226"/>
        <w:rPr>
          <w:rFonts w:ascii="Times New Roman" w:hAnsi="Times New Roman"/>
          <w:szCs w:val="21"/>
        </w:rPr>
      </w:pPr>
      <w:r>
        <w:rPr>
          <w:rFonts w:hint="eastAsia" w:ascii="Times New Roman" w:hAnsi="Times New Roman"/>
          <w:szCs w:val="21"/>
        </w:rPr>
        <w:t>八、工作重点、难点分析；</w:t>
      </w:r>
    </w:p>
    <w:p>
      <w:pPr>
        <w:spacing w:line="360" w:lineRule="auto"/>
        <w:ind w:firstLine="474" w:firstLineChars="226"/>
        <w:rPr>
          <w:rFonts w:ascii="Times New Roman" w:hAnsi="Times New Roman"/>
          <w:szCs w:val="21"/>
        </w:rPr>
      </w:pPr>
      <w:r>
        <w:rPr>
          <w:rFonts w:hint="eastAsia" w:ascii="Times New Roman" w:hAnsi="Times New Roman"/>
          <w:szCs w:val="21"/>
        </w:rPr>
        <w:t>九、对本项目的合理化建议。</w:t>
      </w:r>
    </w:p>
    <w:p>
      <w:pPr>
        <w:wordWrap w:val="0"/>
        <w:spacing w:line="560" w:lineRule="exact"/>
        <w:ind w:left="840"/>
        <w:rPr>
          <w:rFonts w:ascii="Times New Roman" w:hAnsi="Times New Roman" w:cs="Times New Roman"/>
          <w:kern w:val="0"/>
          <w:sz w:val="24"/>
        </w:rPr>
      </w:pPr>
    </w:p>
    <w:p>
      <w:pPr>
        <w:wordWrap w:val="0"/>
        <w:spacing w:line="560" w:lineRule="exact"/>
        <w:ind w:left="840"/>
        <w:rPr>
          <w:rFonts w:ascii="Times New Roman" w:hAnsi="Times New Roman"/>
        </w:rPr>
      </w:pPr>
      <w:r>
        <w:rPr>
          <w:rFonts w:ascii="Times New Roman" w:hAnsi="Times New Roman"/>
        </w:rPr>
        <w:br w:type="page"/>
      </w:r>
    </w:p>
    <w:p>
      <w:pPr>
        <w:pStyle w:val="3"/>
        <w:spacing w:after="0"/>
        <w:jc w:val="center"/>
        <w:rPr>
          <w:rFonts w:ascii="Times New Roman" w:hAnsi="Times New Roman"/>
          <w:color w:val="000000"/>
        </w:rPr>
      </w:pPr>
      <w:bookmarkStart w:id="115" w:name="_Toc492300543"/>
      <w:r>
        <w:rPr>
          <w:rFonts w:hint="eastAsia" w:ascii="Times New Roman" w:hAnsi="Times New Roman"/>
          <w:color w:val="000000"/>
        </w:rPr>
        <w:t>七</w:t>
      </w:r>
      <w:r>
        <w:rPr>
          <w:rFonts w:ascii="Times New Roman" w:hAnsi="Times New Roman"/>
          <w:color w:val="000000"/>
        </w:rPr>
        <w:t>、其他资料</w:t>
      </w:r>
      <w:bookmarkEnd w:id="115"/>
    </w:p>
    <w:p>
      <w:pPr>
        <w:rPr>
          <w:rFonts w:ascii="Times New Roman" w:hAnsi="Times New Roman"/>
        </w:rPr>
      </w:pPr>
    </w:p>
    <w:p>
      <w:pPr>
        <w:ind w:firstLine="420" w:firstLineChars="200"/>
        <w:rPr>
          <w:rFonts w:ascii="Times New Roman" w:hAnsi="Times New Roman"/>
        </w:rPr>
      </w:pPr>
      <w:r>
        <w:rPr>
          <w:rFonts w:hint="eastAsia" w:ascii="Times New Roman" w:hAnsi="Times New Roman"/>
        </w:rPr>
        <w:t>第六章“投标文件格式”未详尽列举，但招标文件要求或有必要提供的资料。</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10"/>
        <w:rPr>
          <w:rFonts w:ascii="Times New Roman" w:hAnsi="Times New Roman"/>
        </w:rPr>
      </w:pPr>
    </w:p>
    <w:p>
      <w:pPr>
        <w:rPr>
          <w:rFonts w:ascii="Times New Roman" w:hAnsi="Times New Roman"/>
        </w:rPr>
      </w:pPr>
    </w:p>
    <w:p>
      <w:pPr>
        <w:pStyle w:val="10"/>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3"/>
        <w:spacing w:line="400" w:lineRule="exact"/>
        <w:jc w:val="center"/>
        <w:rPr>
          <w:rFonts w:ascii="Times New Roman" w:hAnsi="Times New Roman"/>
        </w:rPr>
      </w:pPr>
    </w:p>
    <w:p>
      <w:pPr>
        <w:rPr>
          <w:rFonts w:ascii="宋体" w:hAnsi="宋体" w:eastAsia="宋体" w:cs="宋体"/>
          <w:kern w:val="0"/>
          <w:sz w:val="24"/>
        </w:rPr>
      </w:pPr>
    </w:p>
    <w:sectPr>
      <w:headerReference r:id="rId4" w:type="default"/>
      <w:footerReference r:id="rId5" w:type="default"/>
      <w:pgSz w:w="11906" w:h="16838"/>
      <w:pgMar w:top="1417" w:right="1417" w:bottom="1417" w:left="1417"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v:fill on="f" focussize="0,0"/>
              <v:stroke on="f" weight="0.5pt"/>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BhlWFeEAIAAAcEAAAOAAAAAAAAAAEAIAAA&#10;AB8BAABkcnMvZTJvRG9jLnhtbFBLBQYAAAAABgAGAFkBAAChBQAAAAA=&#10;">
              <v:fill on="f" focussize="0,0"/>
              <v:stroke on="f" weight="0.5pt"/>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44AE1E4"/>
    <w:multiLevelType w:val="singleLevel"/>
    <w:tmpl w:val="B44AE1E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C27"/>
    <w:rsid w:val="00082FF2"/>
    <w:rsid w:val="00123D25"/>
    <w:rsid w:val="002C069E"/>
    <w:rsid w:val="002D5803"/>
    <w:rsid w:val="003022E5"/>
    <w:rsid w:val="00312014"/>
    <w:rsid w:val="00327DCE"/>
    <w:rsid w:val="00374AA7"/>
    <w:rsid w:val="003C5C12"/>
    <w:rsid w:val="0040224D"/>
    <w:rsid w:val="005611A7"/>
    <w:rsid w:val="00634D25"/>
    <w:rsid w:val="006727D1"/>
    <w:rsid w:val="00685326"/>
    <w:rsid w:val="006C1E2D"/>
    <w:rsid w:val="00733B0B"/>
    <w:rsid w:val="00764376"/>
    <w:rsid w:val="00796B76"/>
    <w:rsid w:val="007F5C4E"/>
    <w:rsid w:val="00861D38"/>
    <w:rsid w:val="00871B8D"/>
    <w:rsid w:val="00881F29"/>
    <w:rsid w:val="008B0C89"/>
    <w:rsid w:val="008E78DA"/>
    <w:rsid w:val="008F3299"/>
    <w:rsid w:val="00936B7D"/>
    <w:rsid w:val="0096577D"/>
    <w:rsid w:val="0097492C"/>
    <w:rsid w:val="009E0C5D"/>
    <w:rsid w:val="00A55CD0"/>
    <w:rsid w:val="00A7088B"/>
    <w:rsid w:val="00A81A2B"/>
    <w:rsid w:val="00AF005D"/>
    <w:rsid w:val="00B12806"/>
    <w:rsid w:val="00BC5A82"/>
    <w:rsid w:val="00D6247C"/>
    <w:rsid w:val="00D75A86"/>
    <w:rsid w:val="00E63C27"/>
    <w:rsid w:val="00FA6F7E"/>
    <w:rsid w:val="011B4471"/>
    <w:rsid w:val="012C662E"/>
    <w:rsid w:val="01331963"/>
    <w:rsid w:val="0145105E"/>
    <w:rsid w:val="01506981"/>
    <w:rsid w:val="016064BD"/>
    <w:rsid w:val="019846E3"/>
    <w:rsid w:val="01CB0CDF"/>
    <w:rsid w:val="01CD2334"/>
    <w:rsid w:val="01E140D3"/>
    <w:rsid w:val="01E178D4"/>
    <w:rsid w:val="01E744E5"/>
    <w:rsid w:val="02024244"/>
    <w:rsid w:val="021D348F"/>
    <w:rsid w:val="02327409"/>
    <w:rsid w:val="026E5FAB"/>
    <w:rsid w:val="028F13B3"/>
    <w:rsid w:val="02901A41"/>
    <w:rsid w:val="02983D41"/>
    <w:rsid w:val="029E1B94"/>
    <w:rsid w:val="02A46690"/>
    <w:rsid w:val="02AC508C"/>
    <w:rsid w:val="02B260EE"/>
    <w:rsid w:val="02E242A2"/>
    <w:rsid w:val="030A4D65"/>
    <w:rsid w:val="03236444"/>
    <w:rsid w:val="0324584F"/>
    <w:rsid w:val="032D2CB8"/>
    <w:rsid w:val="03350CA9"/>
    <w:rsid w:val="035021B2"/>
    <w:rsid w:val="035440B3"/>
    <w:rsid w:val="03603AF0"/>
    <w:rsid w:val="036E069E"/>
    <w:rsid w:val="03C10800"/>
    <w:rsid w:val="03C96DCC"/>
    <w:rsid w:val="03E156EA"/>
    <w:rsid w:val="03FB5B2D"/>
    <w:rsid w:val="03FB71CD"/>
    <w:rsid w:val="040666CB"/>
    <w:rsid w:val="04082EC8"/>
    <w:rsid w:val="041933AF"/>
    <w:rsid w:val="042C575E"/>
    <w:rsid w:val="043062B7"/>
    <w:rsid w:val="04382327"/>
    <w:rsid w:val="043F5557"/>
    <w:rsid w:val="044322AF"/>
    <w:rsid w:val="045946F9"/>
    <w:rsid w:val="04885B47"/>
    <w:rsid w:val="04A52387"/>
    <w:rsid w:val="04CC5770"/>
    <w:rsid w:val="04CC6656"/>
    <w:rsid w:val="04CD15E8"/>
    <w:rsid w:val="04CF4810"/>
    <w:rsid w:val="04E77332"/>
    <w:rsid w:val="04EB08D2"/>
    <w:rsid w:val="04EC7DA2"/>
    <w:rsid w:val="0500728B"/>
    <w:rsid w:val="0536325C"/>
    <w:rsid w:val="0572490A"/>
    <w:rsid w:val="05783BE5"/>
    <w:rsid w:val="058253F2"/>
    <w:rsid w:val="05906C58"/>
    <w:rsid w:val="05D9116E"/>
    <w:rsid w:val="06005DF8"/>
    <w:rsid w:val="061B2948"/>
    <w:rsid w:val="061C5226"/>
    <w:rsid w:val="061F0438"/>
    <w:rsid w:val="0632522A"/>
    <w:rsid w:val="063F4D83"/>
    <w:rsid w:val="06406934"/>
    <w:rsid w:val="064568BB"/>
    <w:rsid w:val="06501BB5"/>
    <w:rsid w:val="067C3CB3"/>
    <w:rsid w:val="068C09EB"/>
    <w:rsid w:val="068C5473"/>
    <w:rsid w:val="06940561"/>
    <w:rsid w:val="06A57F73"/>
    <w:rsid w:val="06A848F7"/>
    <w:rsid w:val="06B02C05"/>
    <w:rsid w:val="06D9502E"/>
    <w:rsid w:val="06EB4F76"/>
    <w:rsid w:val="06ED1728"/>
    <w:rsid w:val="06F569C1"/>
    <w:rsid w:val="06F76B9D"/>
    <w:rsid w:val="06F81D74"/>
    <w:rsid w:val="074267A8"/>
    <w:rsid w:val="074A7C93"/>
    <w:rsid w:val="07666E00"/>
    <w:rsid w:val="07972327"/>
    <w:rsid w:val="079B5585"/>
    <w:rsid w:val="07A85930"/>
    <w:rsid w:val="07DF0EDF"/>
    <w:rsid w:val="07EE56D8"/>
    <w:rsid w:val="08023267"/>
    <w:rsid w:val="08397FAF"/>
    <w:rsid w:val="08554A0D"/>
    <w:rsid w:val="086B7162"/>
    <w:rsid w:val="086D3DA1"/>
    <w:rsid w:val="08774BE1"/>
    <w:rsid w:val="088F5820"/>
    <w:rsid w:val="08932D8F"/>
    <w:rsid w:val="08E51768"/>
    <w:rsid w:val="08EC1249"/>
    <w:rsid w:val="08ED571D"/>
    <w:rsid w:val="09470AAE"/>
    <w:rsid w:val="0967298A"/>
    <w:rsid w:val="096C737A"/>
    <w:rsid w:val="09A71C3D"/>
    <w:rsid w:val="09A9136D"/>
    <w:rsid w:val="09AF2C22"/>
    <w:rsid w:val="09B32D8C"/>
    <w:rsid w:val="09BD647E"/>
    <w:rsid w:val="09C043B8"/>
    <w:rsid w:val="09C37FE6"/>
    <w:rsid w:val="09F35B18"/>
    <w:rsid w:val="0A354EBE"/>
    <w:rsid w:val="0A3B332D"/>
    <w:rsid w:val="0A5234C1"/>
    <w:rsid w:val="0A855747"/>
    <w:rsid w:val="0A8B5261"/>
    <w:rsid w:val="0A8E5075"/>
    <w:rsid w:val="0AA913FB"/>
    <w:rsid w:val="0AB930A2"/>
    <w:rsid w:val="0AB95EE8"/>
    <w:rsid w:val="0AC06F59"/>
    <w:rsid w:val="0ADD0DF0"/>
    <w:rsid w:val="0AE110F3"/>
    <w:rsid w:val="0AEB40E8"/>
    <w:rsid w:val="0B0D2105"/>
    <w:rsid w:val="0B263B4F"/>
    <w:rsid w:val="0B416906"/>
    <w:rsid w:val="0B494DBB"/>
    <w:rsid w:val="0B5D1C2A"/>
    <w:rsid w:val="0B5E66CB"/>
    <w:rsid w:val="0B7202E7"/>
    <w:rsid w:val="0BB837D0"/>
    <w:rsid w:val="0BCF2D52"/>
    <w:rsid w:val="0C0D5729"/>
    <w:rsid w:val="0C110CA2"/>
    <w:rsid w:val="0C39312E"/>
    <w:rsid w:val="0C69162B"/>
    <w:rsid w:val="0C6C1AD6"/>
    <w:rsid w:val="0C773477"/>
    <w:rsid w:val="0C9E3808"/>
    <w:rsid w:val="0CA71E75"/>
    <w:rsid w:val="0CAA6622"/>
    <w:rsid w:val="0CE1084F"/>
    <w:rsid w:val="0D1B15FF"/>
    <w:rsid w:val="0D2466BD"/>
    <w:rsid w:val="0D331D7B"/>
    <w:rsid w:val="0D357C26"/>
    <w:rsid w:val="0D37434E"/>
    <w:rsid w:val="0D4B73C6"/>
    <w:rsid w:val="0D744A9C"/>
    <w:rsid w:val="0D7B4E04"/>
    <w:rsid w:val="0D7F3B4D"/>
    <w:rsid w:val="0DA277FF"/>
    <w:rsid w:val="0DAC4AAC"/>
    <w:rsid w:val="0DAE4257"/>
    <w:rsid w:val="0DAE4CB4"/>
    <w:rsid w:val="0DB8057F"/>
    <w:rsid w:val="0DDB677F"/>
    <w:rsid w:val="0DE26DAB"/>
    <w:rsid w:val="0E1A08D4"/>
    <w:rsid w:val="0E2B3745"/>
    <w:rsid w:val="0E2F0928"/>
    <w:rsid w:val="0E3867E0"/>
    <w:rsid w:val="0E3C08A3"/>
    <w:rsid w:val="0E472E61"/>
    <w:rsid w:val="0E626142"/>
    <w:rsid w:val="0E6D3EE4"/>
    <w:rsid w:val="0E71322E"/>
    <w:rsid w:val="0E8168AC"/>
    <w:rsid w:val="0E9601D9"/>
    <w:rsid w:val="0E9B2FB3"/>
    <w:rsid w:val="0EDF4D5E"/>
    <w:rsid w:val="0F024085"/>
    <w:rsid w:val="0F1438EF"/>
    <w:rsid w:val="0F1B5CB5"/>
    <w:rsid w:val="0F1F2CB2"/>
    <w:rsid w:val="0F221F24"/>
    <w:rsid w:val="0F4B0F6A"/>
    <w:rsid w:val="0F5F5CB1"/>
    <w:rsid w:val="0F6D5EB3"/>
    <w:rsid w:val="0FA819A2"/>
    <w:rsid w:val="0FCA08C0"/>
    <w:rsid w:val="0FCA14B6"/>
    <w:rsid w:val="0FDE7517"/>
    <w:rsid w:val="0FE42DE8"/>
    <w:rsid w:val="101038A7"/>
    <w:rsid w:val="101E2D38"/>
    <w:rsid w:val="104F235E"/>
    <w:rsid w:val="1069417C"/>
    <w:rsid w:val="106C1E4B"/>
    <w:rsid w:val="10754912"/>
    <w:rsid w:val="10C9116B"/>
    <w:rsid w:val="11114551"/>
    <w:rsid w:val="11356135"/>
    <w:rsid w:val="11432FA9"/>
    <w:rsid w:val="11800917"/>
    <w:rsid w:val="118955AD"/>
    <w:rsid w:val="118A2D81"/>
    <w:rsid w:val="1197226B"/>
    <w:rsid w:val="11A71024"/>
    <w:rsid w:val="11B07818"/>
    <w:rsid w:val="11CD444A"/>
    <w:rsid w:val="11FC3F3B"/>
    <w:rsid w:val="121D3694"/>
    <w:rsid w:val="123B2BFF"/>
    <w:rsid w:val="123B6B10"/>
    <w:rsid w:val="123D4277"/>
    <w:rsid w:val="125A52C4"/>
    <w:rsid w:val="12655D96"/>
    <w:rsid w:val="12791521"/>
    <w:rsid w:val="128E3C38"/>
    <w:rsid w:val="12BF2922"/>
    <w:rsid w:val="12C942C8"/>
    <w:rsid w:val="12D6334A"/>
    <w:rsid w:val="12DC5F5E"/>
    <w:rsid w:val="12DC7F8C"/>
    <w:rsid w:val="12E82A0B"/>
    <w:rsid w:val="12F80C0C"/>
    <w:rsid w:val="13030470"/>
    <w:rsid w:val="13274F9C"/>
    <w:rsid w:val="132E6DC6"/>
    <w:rsid w:val="13417410"/>
    <w:rsid w:val="134A448A"/>
    <w:rsid w:val="134F7EA7"/>
    <w:rsid w:val="135107A8"/>
    <w:rsid w:val="136066CF"/>
    <w:rsid w:val="13657E31"/>
    <w:rsid w:val="137F3F6F"/>
    <w:rsid w:val="137F7BEC"/>
    <w:rsid w:val="138468CC"/>
    <w:rsid w:val="1387094F"/>
    <w:rsid w:val="138966A1"/>
    <w:rsid w:val="13D35238"/>
    <w:rsid w:val="13F76E85"/>
    <w:rsid w:val="14556EA9"/>
    <w:rsid w:val="147C5008"/>
    <w:rsid w:val="147E2423"/>
    <w:rsid w:val="1487273A"/>
    <w:rsid w:val="148B0444"/>
    <w:rsid w:val="14937242"/>
    <w:rsid w:val="14944440"/>
    <w:rsid w:val="14A059A0"/>
    <w:rsid w:val="14B97B05"/>
    <w:rsid w:val="14CD31B9"/>
    <w:rsid w:val="14D37411"/>
    <w:rsid w:val="14E67563"/>
    <w:rsid w:val="15021B62"/>
    <w:rsid w:val="150860B9"/>
    <w:rsid w:val="150A21BA"/>
    <w:rsid w:val="1522437E"/>
    <w:rsid w:val="15283931"/>
    <w:rsid w:val="155029D1"/>
    <w:rsid w:val="158374C1"/>
    <w:rsid w:val="15A62ECC"/>
    <w:rsid w:val="15C516BD"/>
    <w:rsid w:val="15F44127"/>
    <w:rsid w:val="1619526F"/>
    <w:rsid w:val="166266B1"/>
    <w:rsid w:val="167B5BAE"/>
    <w:rsid w:val="16895690"/>
    <w:rsid w:val="168D3C48"/>
    <w:rsid w:val="16B76968"/>
    <w:rsid w:val="16BB1A22"/>
    <w:rsid w:val="16D411E7"/>
    <w:rsid w:val="16FD1B88"/>
    <w:rsid w:val="170756D4"/>
    <w:rsid w:val="170F4587"/>
    <w:rsid w:val="17404713"/>
    <w:rsid w:val="176115DC"/>
    <w:rsid w:val="17824660"/>
    <w:rsid w:val="178F2FF8"/>
    <w:rsid w:val="17AE02C7"/>
    <w:rsid w:val="17C41ABF"/>
    <w:rsid w:val="18175D56"/>
    <w:rsid w:val="18276B10"/>
    <w:rsid w:val="184E2E1A"/>
    <w:rsid w:val="188A1EE1"/>
    <w:rsid w:val="188A4FD4"/>
    <w:rsid w:val="189B5F22"/>
    <w:rsid w:val="189D0AA5"/>
    <w:rsid w:val="18A70256"/>
    <w:rsid w:val="18B73074"/>
    <w:rsid w:val="18BF685C"/>
    <w:rsid w:val="18C34CE4"/>
    <w:rsid w:val="18DA76F1"/>
    <w:rsid w:val="18EA5CD5"/>
    <w:rsid w:val="19034C2D"/>
    <w:rsid w:val="1916127C"/>
    <w:rsid w:val="191733E3"/>
    <w:rsid w:val="193B5BAF"/>
    <w:rsid w:val="193D465D"/>
    <w:rsid w:val="194A29ED"/>
    <w:rsid w:val="195C4AAE"/>
    <w:rsid w:val="196C6238"/>
    <w:rsid w:val="197A5B1F"/>
    <w:rsid w:val="198A59D6"/>
    <w:rsid w:val="19A73D74"/>
    <w:rsid w:val="19AA5416"/>
    <w:rsid w:val="19B810F3"/>
    <w:rsid w:val="19D44196"/>
    <w:rsid w:val="19D70C6D"/>
    <w:rsid w:val="19E2271F"/>
    <w:rsid w:val="1A075570"/>
    <w:rsid w:val="1A1C623A"/>
    <w:rsid w:val="1A1C768B"/>
    <w:rsid w:val="1A270D5F"/>
    <w:rsid w:val="1A2A56A5"/>
    <w:rsid w:val="1A2B6C62"/>
    <w:rsid w:val="1A2C27B8"/>
    <w:rsid w:val="1A4D4CED"/>
    <w:rsid w:val="1A797469"/>
    <w:rsid w:val="1AA6248A"/>
    <w:rsid w:val="1AA823C6"/>
    <w:rsid w:val="1AB466E5"/>
    <w:rsid w:val="1ADB0B95"/>
    <w:rsid w:val="1AF97748"/>
    <w:rsid w:val="1B262D26"/>
    <w:rsid w:val="1B2670F4"/>
    <w:rsid w:val="1B2D1E19"/>
    <w:rsid w:val="1B3A5220"/>
    <w:rsid w:val="1B3B258E"/>
    <w:rsid w:val="1B652C95"/>
    <w:rsid w:val="1B70155F"/>
    <w:rsid w:val="1B723039"/>
    <w:rsid w:val="1B7700FA"/>
    <w:rsid w:val="1B8C1172"/>
    <w:rsid w:val="1B910C38"/>
    <w:rsid w:val="1B971889"/>
    <w:rsid w:val="1BB12BB2"/>
    <w:rsid w:val="1BD12722"/>
    <w:rsid w:val="1BEA796F"/>
    <w:rsid w:val="1BF87FBA"/>
    <w:rsid w:val="1BFA70F2"/>
    <w:rsid w:val="1C100B6A"/>
    <w:rsid w:val="1C2B6CB4"/>
    <w:rsid w:val="1C32372E"/>
    <w:rsid w:val="1C5C5972"/>
    <w:rsid w:val="1C5D1F6F"/>
    <w:rsid w:val="1C5D5F8B"/>
    <w:rsid w:val="1C6E241C"/>
    <w:rsid w:val="1C88579D"/>
    <w:rsid w:val="1CB07DF9"/>
    <w:rsid w:val="1CB27F03"/>
    <w:rsid w:val="1CC3681B"/>
    <w:rsid w:val="1CF251D3"/>
    <w:rsid w:val="1CFC6686"/>
    <w:rsid w:val="1CFF3217"/>
    <w:rsid w:val="1D1D0D81"/>
    <w:rsid w:val="1D5835F0"/>
    <w:rsid w:val="1D711D80"/>
    <w:rsid w:val="1D8C5045"/>
    <w:rsid w:val="1D931CEA"/>
    <w:rsid w:val="1DC177D9"/>
    <w:rsid w:val="1DDE5A52"/>
    <w:rsid w:val="1DE05881"/>
    <w:rsid w:val="1E0D15BF"/>
    <w:rsid w:val="1E195369"/>
    <w:rsid w:val="1E1A236E"/>
    <w:rsid w:val="1E225BB3"/>
    <w:rsid w:val="1E2A6113"/>
    <w:rsid w:val="1E2D212B"/>
    <w:rsid w:val="1E416163"/>
    <w:rsid w:val="1E616EBD"/>
    <w:rsid w:val="1EA573D8"/>
    <w:rsid w:val="1EB0513B"/>
    <w:rsid w:val="1EB72F76"/>
    <w:rsid w:val="1EC83F50"/>
    <w:rsid w:val="1EE36B2C"/>
    <w:rsid w:val="1F127B09"/>
    <w:rsid w:val="1F36160E"/>
    <w:rsid w:val="1F671677"/>
    <w:rsid w:val="1F722047"/>
    <w:rsid w:val="1F74018B"/>
    <w:rsid w:val="1F904945"/>
    <w:rsid w:val="1F995EE2"/>
    <w:rsid w:val="1FAA6A2E"/>
    <w:rsid w:val="1FE570E2"/>
    <w:rsid w:val="1FE7673E"/>
    <w:rsid w:val="1FF95638"/>
    <w:rsid w:val="201E585F"/>
    <w:rsid w:val="20220E10"/>
    <w:rsid w:val="20373DA2"/>
    <w:rsid w:val="203C0CC8"/>
    <w:rsid w:val="2049266D"/>
    <w:rsid w:val="20534B67"/>
    <w:rsid w:val="20557DC5"/>
    <w:rsid w:val="207C33EE"/>
    <w:rsid w:val="20872644"/>
    <w:rsid w:val="209740BF"/>
    <w:rsid w:val="2099242E"/>
    <w:rsid w:val="20B0411F"/>
    <w:rsid w:val="20D153A6"/>
    <w:rsid w:val="20D658C9"/>
    <w:rsid w:val="20D95B5B"/>
    <w:rsid w:val="20DC2416"/>
    <w:rsid w:val="20DE40B6"/>
    <w:rsid w:val="20EC5273"/>
    <w:rsid w:val="20ED0783"/>
    <w:rsid w:val="20F1526B"/>
    <w:rsid w:val="20F22231"/>
    <w:rsid w:val="21015C26"/>
    <w:rsid w:val="21121083"/>
    <w:rsid w:val="211518DD"/>
    <w:rsid w:val="21222CFA"/>
    <w:rsid w:val="212B2F31"/>
    <w:rsid w:val="212F2875"/>
    <w:rsid w:val="21327DB2"/>
    <w:rsid w:val="213B367E"/>
    <w:rsid w:val="213D7BD8"/>
    <w:rsid w:val="214C4EC5"/>
    <w:rsid w:val="2153567F"/>
    <w:rsid w:val="217422B6"/>
    <w:rsid w:val="21931526"/>
    <w:rsid w:val="21A51802"/>
    <w:rsid w:val="21A61686"/>
    <w:rsid w:val="21C13A32"/>
    <w:rsid w:val="21C21022"/>
    <w:rsid w:val="21D56393"/>
    <w:rsid w:val="22133103"/>
    <w:rsid w:val="222B58B1"/>
    <w:rsid w:val="224D73DD"/>
    <w:rsid w:val="225427C3"/>
    <w:rsid w:val="22592601"/>
    <w:rsid w:val="225D230C"/>
    <w:rsid w:val="22682273"/>
    <w:rsid w:val="22873591"/>
    <w:rsid w:val="22A55D22"/>
    <w:rsid w:val="22C8632C"/>
    <w:rsid w:val="231918CF"/>
    <w:rsid w:val="233F5F96"/>
    <w:rsid w:val="235F4D23"/>
    <w:rsid w:val="236D4028"/>
    <w:rsid w:val="237E225A"/>
    <w:rsid w:val="23881DFE"/>
    <w:rsid w:val="238D12CE"/>
    <w:rsid w:val="239F4CF5"/>
    <w:rsid w:val="23A62332"/>
    <w:rsid w:val="23C13A6D"/>
    <w:rsid w:val="23E41B96"/>
    <w:rsid w:val="23F34DAB"/>
    <w:rsid w:val="24133909"/>
    <w:rsid w:val="241A2F59"/>
    <w:rsid w:val="24226CC5"/>
    <w:rsid w:val="24251ADF"/>
    <w:rsid w:val="242F0269"/>
    <w:rsid w:val="24312A4A"/>
    <w:rsid w:val="244A5E9A"/>
    <w:rsid w:val="244C4BB8"/>
    <w:rsid w:val="244D69EE"/>
    <w:rsid w:val="24691193"/>
    <w:rsid w:val="246C3A46"/>
    <w:rsid w:val="246D433F"/>
    <w:rsid w:val="2497503D"/>
    <w:rsid w:val="249F676F"/>
    <w:rsid w:val="24A54A93"/>
    <w:rsid w:val="251A7612"/>
    <w:rsid w:val="25237A22"/>
    <w:rsid w:val="254042BC"/>
    <w:rsid w:val="25471E6E"/>
    <w:rsid w:val="25481BCE"/>
    <w:rsid w:val="257C16E4"/>
    <w:rsid w:val="25814DB7"/>
    <w:rsid w:val="25824959"/>
    <w:rsid w:val="25987A23"/>
    <w:rsid w:val="25C1112B"/>
    <w:rsid w:val="25C517A2"/>
    <w:rsid w:val="25D71F7E"/>
    <w:rsid w:val="25F5789E"/>
    <w:rsid w:val="25FD6A72"/>
    <w:rsid w:val="2608561B"/>
    <w:rsid w:val="262128E2"/>
    <w:rsid w:val="26261861"/>
    <w:rsid w:val="26382AAC"/>
    <w:rsid w:val="26385943"/>
    <w:rsid w:val="26506FAD"/>
    <w:rsid w:val="266123C4"/>
    <w:rsid w:val="26656277"/>
    <w:rsid w:val="26663117"/>
    <w:rsid w:val="26807144"/>
    <w:rsid w:val="268A362E"/>
    <w:rsid w:val="269560EE"/>
    <w:rsid w:val="26D16018"/>
    <w:rsid w:val="26DB3228"/>
    <w:rsid w:val="26DF6074"/>
    <w:rsid w:val="26FD40A1"/>
    <w:rsid w:val="26FE679C"/>
    <w:rsid w:val="272036E1"/>
    <w:rsid w:val="27301EDB"/>
    <w:rsid w:val="276C029F"/>
    <w:rsid w:val="27982DD4"/>
    <w:rsid w:val="27AE74EC"/>
    <w:rsid w:val="27D32915"/>
    <w:rsid w:val="27DD09CE"/>
    <w:rsid w:val="27EC553C"/>
    <w:rsid w:val="280E49C2"/>
    <w:rsid w:val="2813394B"/>
    <w:rsid w:val="283610D5"/>
    <w:rsid w:val="285F5293"/>
    <w:rsid w:val="28622D71"/>
    <w:rsid w:val="28676D4A"/>
    <w:rsid w:val="286E69FD"/>
    <w:rsid w:val="28FA546B"/>
    <w:rsid w:val="28FE025E"/>
    <w:rsid w:val="29425136"/>
    <w:rsid w:val="29586D7A"/>
    <w:rsid w:val="296F309D"/>
    <w:rsid w:val="29772B51"/>
    <w:rsid w:val="2984235F"/>
    <w:rsid w:val="29967FD2"/>
    <w:rsid w:val="29C56C3A"/>
    <w:rsid w:val="29D872DD"/>
    <w:rsid w:val="29DC3955"/>
    <w:rsid w:val="29E1380C"/>
    <w:rsid w:val="29E85046"/>
    <w:rsid w:val="29F652CD"/>
    <w:rsid w:val="29FD1468"/>
    <w:rsid w:val="2A017BFD"/>
    <w:rsid w:val="2A866E26"/>
    <w:rsid w:val="2A9154D8"/>
    <w:rsid w:val="2AA04C57"/>
    <w:rsid w:val="2AB5287E"/>
    <w:rsid w:val="2AC64316"/>
    <w:rsid w:val="2AD750C3"/>
    <w:rsid w:val="2ADC79B6"/>
    <w:rsid w:val="2AE77D08"/>
    <w:rsid w:val="2AEC65C6"/>
    <w:rsid w:val="2B470CEC"/>
    <w:rsid w:val="2B535ACE"/>
    <w:rsid w:val="2B652A8D"/>
    <w:rsid w:val="2B730CB9"/>
    <w:rsid w:val="2B7807CD"/>
    <w:rsid w:val="2B9A5392"/>
    <w:rsid w:val="2BAA3243"/>
    <w:rsid w:val="2BC815D5"/>
    <w:rsid w:val="2BDC69C5"/>
    <w:rsid w:val="2BE110FF"/>
    <w:rsid w:val="2BED2378"/>
    <w:rsid w:val="2BF4029C"/>
    <w:rsid w:val="2C270D43"/>
    <w:rsid w:val="2C2D7692"/>
    <w:rsid w:val="2C5D64D4"/>
    <w:rsid w:val="2C6436A6"/>
    <w:rsid w:val="2C6B3556"/>
    <w:rsid w:val="2C6B3C58"/>
    <w:rsid w:val="2C7A2A8F"/>
    <w:rsid w:val="2C7E2BF6"/>
    <w:rsid w:val="2C9023A5"/>
    <w:rsid w:val="2C937549"/>
    <w:rsid w:val="2C9774E2"/>
    <w:rsid w:val="2C9D6A04"/>
    <w:rsid w:val="2CB62598"/>
    <w:rsid w:val="2CB8266E"/>
    <w:rsid w:val="2CB90CE8"/>
    <w:rsid w:val="2CE1064E"/>
    <w:rsid w:val="2CEE5A2E"/>
    <w:rsid w:val="2CF93B62"/>
    <w:rsid w:val="2CFE607B"/>
    <w:rsid w:val="2D095409"/>
    <w:rsid w:val="2D29258D"/>
    <w:rsid w:val="2D317311"/>
    <w:rsid w:val="2D39385A"/>
    <w:rsid w:val="2D3A3199"/>
    <w:rsid w:val="2D5470D9"/>
    <w:rsid w:val="2D772574"/>
    <w:rsid w:val="2D8D4665"/>
    <w:rsid w:val="2DCC12FC"/>
    <w:rsid w:val="2E266A7B"/>
    <w:rsid w:val="2E3820D2"/>
    <w:rsid w:val="2E5B23DC"/>
    <w:rsid w:val="2E652B8E"/>
    <w:rsid w:val="2E66167A"/>
    <w:rsid w:val="2E6C7EF1"/>
    <w:rsid w:val="2E6F6584"/>
    <w:rsid w:val="2E853551"/>
    <w:rsid w:val="2E933BCE"/>
    <w:rsid w:val="2E9C6490"/>
    <w:rsid w:val="2EAA3B87"/>
    <w:rsid w:val="2EAB34EE"/>
    <w:rsid w:val="2EB66E96"/>
    <w:rsid w:val="2EBC23A0"/>
    <w:rsid w:val="2EFA0191"/>
    <w:rsid w:val="2F191446"/>
    <w:rsid w:val="2F257D3F"/>
    <w:rsid w:val="2F436846"/>
    <w:rsid w:val="2F4556CE"/>
    <w:rsid w:val="2F754A27"/>
    <w:rsid w:val="2FB16F5F"/>
    <w:rsid w:val="2FB76AE7"/>
    <w:rsid w:val="2FDF5AEE"/>
    <w:rsid w:val="2FFE1C0F"/>
    <w:rsid w:val="305C41A9"/>
    <w:rsid w:val="30675E48"/>
    <w:rsid w:val="307E45C5"/>
    <w:rsid w:val="30885DC9"/>
    <w:rsid w:val="308E41B5"/>
    <w:rsid w:val="30952C59"/>
    <w:rsid w:val="30DE5EB2"/>
    <w:rsid w:val="30F61AC9"/>
    <w:rsid w:val="30FF4D69"/>
    <w:rsid w:val="3113559B"/>
    <w:rsid w:val="311C6D1F"/>
    <w:rsid w:val="3127420C"/>
    <w:rsid w:val="315523B1"/>
    <w:rsid w:val="316E460D"/>
    <w:rsid w:val="317C4F27"/>
    <w:rsid w:val="318D159F"/>
    <w:rsid w:val="31CD31BF"/>
    <w:rsid w:val="31E10F55"/>
    <w:rsid w:val="31F30B11"/>
    <w:rsid w:val="32094676"/>
    <w:rsid w:val="3219008D"/>
    <w:rsid w:val="32215B79"/>
    <w:rsid w:val="322241F2"/>
    <w:rsid w:val="3225454D"/>
    <w:rsid w:val="322D5AFA"/>
    <w:rsid w:val="325B156D"/>
    <w:rsid w:val="3263454E"/>
    <w:rsid w:val="326A09D0"/>
    <w:rsid w:val="327756C1"/>
    <w:rsid w:val="32974C7A"/>
    <w:rsid w:val="32A0614B"/>
    <w:rsid w:val="32BB4ABE"/>
    <w:rsid w:val="32C65934"/>
    <w:rsid w:val="32C8549C"/>
    <w:rsid w:val="32CA16D9"/>
    <w:rsid w:val="32D24178"/>
    <w:rsid w:val="32E83928"/>
    <w:rsid w:val="330D3F04"/>
    <w:rsid w:val="33293165"/>
    <w:rsid w:val="33462380"/>
    <w:rsid w:val="335D7EC3"/>
    <w:rsid w:val="336652CB"/>
    <w:rsid w:val="33672310"/>
    <w:rsid w:val="338F53C2"/>
    <w:rsid w:val="33925662"/>
    <w:rsid w:val="339B7AA1"/>
    <w:rsid w:val="33B67B53"/>
    <w:rsid w:val="33B7637D"/>
    <w:rsid w:val="33D4661F"/>
    <w:rsid w:val="33F808BA"/>
    <w:rsid w:val="342A5DF5"/>
    <w:rsid w:val="344851FD"/>
    <w:rsid w:val="344D7218"/>
    <w:rsid w:val="345F396D"/>
    <w:rsid w:val="34705124"/>
    <w:rsid w:val="34AA020B"/>
    <w:rsid w:val="34B76332"/>
    <w:rsid w:val="34BC17DA"/>
    <w:rsid w:val="34F85DA8"/>
    <w:rsid w:val="3509398E"/>
    <w:rsid w:val="3529248D"/>
    <w:rsid w:val="35302984"/>
    <w:rsid w:val="3554479E"/>
    <w:rsid w:val="356435F5"/>
    <w:rsid w:val="357C058F"/>
    <w:rsid w:val="357F00D0"/>
    <w:rsid w:val="35894506"/>
    <w:rsid w:val="359610EC"/>
    <w:rsid w:val="35A86D02"/>
    <w:rsid w:val="35B72988"/>
    <w:rsid w:val="35D8069B"/>
    <w:rsid w:val="360530D8"/>
    <w:rsid w:val="36162F1C"/>
    <w:rsid w:val="361F4C3A"/>
    <w:rsid w:val="365227BF"/>
    <w:rsid w:val="36557110"/>
    <w:rsid w:val="365F3B92"/>
    <w:rsid w:val="366244D5"/>
    <w:rsid w:val="36804AFE"/>
    <w:rsid w:val="36A82C1D"/>
    <w:rsid w:val="36B27FC4"/>
    <w:rsid w:val="36C342D9"/>
    <w:rsid w:val="36D03EEF"/>
    <w:rsid w:val="370F2E93"/>
    <w:rsid w:val="371074CE"/>
    <w:rsid w:val="374E35E0"/>
    <w:rsid w:val="37560CC6"/>
    <w:rsid w:val="376C6FA1"/>
    <w:rsid w:val="378D0CEB"/>
    <w:rsid w:val="379A026D"/>
    <w:rsid w:val="37A2207E"/>
    <w:rsid w:val="37ED6D6E"/>
    <w:rsid w:val="37F07D29"/>
    <w:rsid w:val="38793271"/>
    <w:rsid w:val="3884063D"/>
    <w:rsid w:val="38AE496C"/>
    <w:rsid w:val="38B54D45"/>
    <w:rsid w:val="38D242CD"/>
    <w:rsid w:val="38F771A1"/>
    <w:rsid w:val="38FB71F9"/>
    <w:rsid w:val="390213B8"/>
    <w:rsid w:val="3908561E"/>
    <w:rsid w:val="3934018A"/>
    <w:rsid w:val="393E0C7A"/>
    <w:rsid w:val="39420C69"/>
    <w:rsid w:val="394A6F66"/>
    <w:rsid w:val="39821F75"/>
    <w:rsid w:val="398C3DB7"/>
    <w:rsid w:val="39F227B1"/>
    <w:rsid w:val="3A184BCA"/>
    <w:rsid w:val="3A292038"/>
    <w:rsid w:val="3A411531"/>
    <w:rsid w:val="3A524E6B"/>
    <w:rsid w:val="3A5B4E9F"/>
    <w:rsid w:val="3A762A49"/>
    <w:rsid w:val="3A9D28F5"/>
    <w:rsid w:val="3ACD43C9"/>
    <w:rsid w:val="3B266962"/>
    <w:rsid w:val="3B2F69DB"/>
    <w:rsid w:val="3B326717"/>
    <w:rsid w:val="3B6A2EE5"/>
    <w:rsid w:val="3B702135"/>
    <w:rsid w:val="3B71545F"/>
    <w:rsid w:val="3B932344"/>
    <w:rsid w:val="3B9479A7"/>
    <w:rsid w:val="3B9D20F5"/>
    <w:rsid w:val="3BB33F88"/>
    <w:rsid w:val="3BD93153"/>
    <w:rsid w:val="3BDA6996"/>
    <w:rsid w:val="3C0A3047"/>
    <w:rsid w:val="3C2450C5"/>
    <w:rsid w:val="3C266642"/>
    <w:rsid w:val="3C2B0A3C"/>
    <w:rsid w:val="3C2E50FB"/>
    <w:rsid w:val="3C37637A"/>
    <w:rsid w:val="3C4A12AD"/>
    <w:rsid w:val="3C5125FC"/>
    <w:rsid w:val="3C690ECB"/>
    <w:rsid w:val="3C8F227A"/>
    <w:rsid w:val="3C960BC8"/>
    <w:rsid w:val="3CA174DE"/>
    <w:rsid w:val="3CA509D1"/>
    <w:rsid w:val="3CD303A6"/>
    <w:rsid w:val="3CD93879"/>
    <w:rsid w:val="3CF66B0D"/>
    <w:rsid w:val="3D1B4642"/>
    <w:rsid w:val="3D2571D3"/>
    <w:rsid w:val="3D3F6323"/>
    <w:rsid w:val="3D7A2818"/>
    <w:rsid w:val="3D8106EA"/>
    <w:rsid w:val="3D834DF8"/>
    <w:rsid w:val="3D8F433C"/>
    <w:rsid w:val="3DA352B1"/>
    <w:rsid w:val="3DC60B7F"/>
    <w:rsid w:val="3DE97AD2"/>
    <w:rsid w:val="3E100FFC"/>
    <w:rsid w:val="3E200447"/>
    <w:rsid w:val="3E201534"/>
    <w:rsid w:val="3E595FC6"/>
    <w:rsid w:val="3E651EE9"/>
    <w:rsid w:val="3E735CF7"/>
    <w:rsid w:val="3E946898"/>
    <w:rsid w:val="3E950079"/>
    <w:rsid w:val="3EBF4258"/>
    <w:rsid w:val="3F3C595E"/>
    <w:rsid w:val="3F59346C"/>
    <w:rsid w:val="3F657308"/>
    <w:rsid w:val="3F7856B5"/>
    <w:rsid w:val="3F8003ED"/>
    <w:rsid w:val="3F8E199B"/>
    <w:rsid w:val="3F9954D3"/>
    <w:rsid w:val="3FB718D6"/>
    <w:rsid w:val="3FD0326B"/>
    <w:rsid w:val="3FD34D1A"/>
    <w:rsid w:val="3FFB7CE9"/>
    <w:rsid w:val="3FFC4A81"/>
    <w:rsid w:val="40031733"/>
    <w:rsid w:val="40076D3D"/>
    <w:rsid w:val="401F65F0"/>
    <w:rsid w:val="404C2292"/>
    <w:rsid w:val="405D572D"/>
    <w:rsid w:val="40620F95"/>
    <w:rsid w:val="406955D5"/>
    <w:rsid w:val="406B6B90"/>
    <w:rsid w:val="408D1EA0"/>
    <w:rsid w:val="409D2A1A"/>
    <w:rsid w:val="40B21FB5"/>
    <w:rsid w:val="40B52DEB"/>
    <w:rsid w:val="40C17F9E"/>
    <w:rsid w:val="40C43B66"/>
    <w:rsid w:val="40DF2C99"/>
    <w:rsid w:val="411A4BA6"/>
    <w:rsid w:val="415978C8"/>
    <w:rsid w:val="415C1B4D"/>
    <w:rsid w:val="417843F2"/>
    <w:rsid w:val="418A1799"/>
    <w:rsid w:val="418F24EB"/>
    <w:rsid w:val="418F5F01"/>
    <w:rsid w:val="41A61C3F"/>
    <w:rsid w:val="41AC4278"/>
    <w:rsid w:val="41B17185"/>
    <w:rsid w:val="41B54036"/>
    <w:rsid w:val="41E4762D"/>
    <w:rsid w:val="41F05895"/>
    <w:rsid w:val="4226611D"/>
    <w:rsid w:val="4248208D"/>
    <w:rsid w:val="424E3D5C"/>
    <w:rsid w:val="425402BB"/>
    <w:rsid w:val="42564ADA"/>
    <w:rsid w:val="42857A83"/>
    <w:rsid w:val="428F4EFE"/>
    <w:rsid w:val="42AC2F79"/>
    <w:rsid w:val="42C56463"/>
    <w:rsid w:val="42D55162"/>
    <w:rsid w:val="42DF24BA"/>
    <w:rsid w:val="42FA6BD0"/>
    <w:rsid w:val="42FB4E01"/>
    <w:rsid w:val="4301585B"/>
    <w:rsid w:val="431B31A4"/>
    <w:rsid w:val="43316CFC"/>
    <w:rsid w:val="43412297"/>
    <w:rsid w:val="43413ED4"/>
    <w:rsid w:val="43476404"/>
    <w:rsid w:val="43594499"/>
    <w:rsid w:val="43636C3F"/>
    <w:rsid w:val="436B10F9"/>
    <w:rsid w:val="43701E7D"/>
    <w:rsid w:val="438073DF"/>
    <w:rsid w:val="438E2FDF"/>
    <w:rsid w:val="439D6340"/>
    <w:rsid w:val="43A32EDA"/>
    <w:rsid w:val="43D47F7C"/>
    <w:rsid w:val="43E84FC1"/>
    <w:rsid w:val="43F43505"/>
    <w:rsid w:val="43FD7280"/>
    <w:rsid w:val="441C5686"/>
    <w:rsid w:val="442C59F4"/>
    <w:rsid w:val="44477A7A"/>
    <w:rsid w:val="446120C9"/>
    <w:rsid w:val="44AB34BD"/>
    <w:rsid w:val="44D43BF4"/>
    <w:rsid w:val="44DC0CFE"/>
    <w:rsid w:val="44DC4FCA"/>
    <w:rsid w:val="44E34E27"/>
    <w:rsid w:val="44F11FE8"/>
    <w:rsid w:val="45073943"/>
    <w:rsid w:val="454276A8"/>
    <w:rsid w:val="45465AD9"/>
    <w:rsid w:val="45A31600"/>
    <w:rsid w:val="45EF5694"/>
    <w:rsid w:val="45F32D75"/>
    <w:rsid w:val="45FE4441"/>
    <w:rsid w:val="4627123A"/>
    <w:rsid w:val="463A1299"/>
    <w:rsid w:val="463A35BA"/>
    <w:rsid w:val="46440391"/>
    <w:rsid w:val="46950A00"/>
    <w:rsid w:val="46A86AC5"/>
    <w:rsid w:val="46AE23CC"/>
    <w:rsid w:val="46AF0ACC"/>
    <w:rsid w:val="46CD2EA3"/>
    <w:rsid w:val="46F50298"/>
    <w:rsid w:val="471B210D"/>
    <w:rsid w:val="472052DC"/>
    <w:rsid w:val="47330BB1"/>
    <w:rsid w:val="47422869"/>
    <w:rsid w:val="474340E1"/>
    <w:rsid w:val="4754737E"/>
    <w:rsid w:val="476E5DEA"/>
    <w:rsid w:val="477956B0"/>
    <w:rsid w:val="477B022D"/>
    <w:rsid w:val="47876644"/>
    <w:rsid w:val="47914A33"/>
    <w:rsid w:val="479B0044"/>
    <w:rsid w:val="479C10BC"/>
    <w:rsid w:val="47A4380D"/>
    <w:rsid w:val="47A6297A"/>
    <w:rsid w:val="47B35BF8"/>
    <w:rsid w:val="47C041C7"/>
    <w:rsid w:val="47CD1E0C"/>
    <w:rsid w:val="48012A31"/>
    <w:rsid w:val="48107B05"/>
    <w:rsid w:val="481D4366"/>
    <w:rsid w:val="48224F06"/>
    <w:rsid w:val="48463D34"/>
    <w:rsid w:val="485803F1"/>
    <w:rsid w:val="486942C4"/>
    <w:rsid w:val="48793BBC"/>
    <w:rsid w:val="48944C88"/>
    <w:rsid w:val="489A60FA"/>
    <w:rsid w:val="48B05292"/>
    <w:rsid w:val="48B971DC"/>
    <w:rsid w:val="48DD0215"/>
    <w:rsid w:val="48E6266C"/>
    <w:rsid w:val="48F556EA"/>
    <w:rsid w:val="48FA0664"/>
    <w:rsid w:val="48FF442C"/>
    <w:rsid w:val="4918776A"/>
    <w:rsid w:val="49276380"/>
    <w:rsid w:val="494B0B0D"/>
    <w:rsid w:val="495277D4"/>
    <w:rsid w:val="495A425A"/>
    <w:rsid w:val="49820EB7"/>
    <w:rsid w:val="499416E9"/>
    <w:rsid w:val="499B7BE5"/>
    <w:rsid w:val="49A049F1"/>
    <w:rsid w:val="49A63EAD"/>
    <w:rsid w:val="49B707DC"/>
    <w:rsid w:val="49FD2EE4"/>
    <w:rsid w:val="4A0B4FDE"/>
    <w:rsid w:val="4A3174A8"/>
    <w:rsid w:val="4A497D35"/>
    <w:rsid w:val="4A8B39B4"/>
    <w:rsid w:val="4A8B4AB2"/>
    <w:rsid w:val="4AD9595B"/>
    <w:rsid w:val="4AE51859"/>
    <w:rsid w:val="4AFD2C13"/>
    <w:rsid w:val="4B2159C1"/>
    <w:rsid w:val="4B311212"/>
    <w:rsid w:val="4B371F9D"/>
    <w:rsid w:val="4B4213B4"/>
    <w:rsid w:val="4B43535A"/>
    <w:rsid w:val="4B625BF7"/>
    <w:rsid w:val="4B8B418C"/>
    <w:rsid w:val="4BB54107"/>
    <w:rsid w:val="4BB67EEE"/>
    <w:rsid w:val="4BB75ABD"/>
    <w:rsid w:val="4BC0175A"/>
    <w:rsid w:val="4BC7287B"/>
    <w:rsid w:val="4BD21459"/>
    <w:rsid w:val="4BD53E7D"/>
    <w:rsid w:val="4BDA3E81"/>
    <w:rsid w:val="4BDC5109"/>
    <w:rsid w:val="4BE84FA7"/>
    <w:rsid w:val="4BF70C92"/>
    <w:rsid w:val="4BFD0513"/>
    <w:rsid w:val="4BFE3913"/>
    <w:rsid w:val="4C005E77"/>
    <w:rsid w:val="4C075089"/>
    <w:rsid w:val="4C1846F0"/>
    <w:rsid w:val="4C2B76C1"/>
    <w:rsid w:val="4C5429A3"/>
    <w:rsid w:val="4C645A11"/>
    <w:rsid w:val="4C87254B"/>
    <w:rsid w:val="4CA61ADB"/>
    <w:rsid w:val="4CC74C75"/>
    <w:rsid w:val="4D1C2C8C"/>
    <w:rsid w:val="4D1E77BE"/>
    <w:rsid w:val="4D245FC5"/>
    <w:rsid w:val="4D2B3B2C"/>
    <w:rsid w:val="4D4356BB"/>
    <w:rsid w:val="4D4E187F"/>
    <w:rsid w:val="4D706D60"/>
    <w:rsid w:val="4D772301"/>
    <w:rsid w:val="4DA159F3"/>
    <w:rsid w:val="4DA943B0"/>
    <w:rsid w:val="4DBB2356"/>
    <w:rsid w:val="4DD64458"/>
    <w:rsid w:val="4DE4706D"/>
    <w:rsid w:val="4DEE51C1"/>
    <w:rsid w:val="4E125AC9"/>
    <w:rsid w:val="4E135BFA"/>
    <w:rsid w:val="4E355E12"/>
    <w:rsid w:val="4E737EEE"/>
    <w:rsid w:val="4E9B1112"/>
    <w:rsid w:val="4E9D2AC1"/>
    <w:rsid w:val="4EA06365"/>
    <w:rsid w:val="4ECB676A"/>
    <w:rsid w:val="4ED26FFB"/>
    <w:rsid w:val="4ED4046B"/>
    <w:rsid w:val="4EDA3F30"/>
    <w:rsid w:val="4EDF4B15"/>
    <w:rsid w:val="4EF43B16"/>
    <w:rsid w:val="4F167770"/>
    <w:rsid w:val="4F227C53"/>
    <w:rsid w:val="4F3153D3"/>
    <w:rsid w:val="4F37038B"/>
    <w:rsid w:val="4F4E6AF9"/>
    <w:rsid w:val="4F624F05"/>
    <w:rsid w:val="4F7C7C8F"/>
    <w:rsid w:val="4F804E7C"/>
    <w:rsid w:val="4F8C04F3"/>
    <w:rsid w:val="4F944D8F"/>
    <w:rsid w:val="4FA86E1B"/>
    <w:rsid w:val="4FAF47A1"/>
    <w:rsid w:val="4FE75F86"/>
    <w:rsid w:val="4FED0FB9"/>
    <w:rsid w:val="4FF01436"/>
    <w:rsid w:val="5002763C"/>
    <w:rsid w:val="50137461"/>
    <w:rsid w:val="502261F0"/>
    <w:rsid w:val="50802423"/>
    <w:rsid w:val="50A97681"/>
    <w:rsid w:val="50AE3B94"/>
    <w:rsid w:val="50B960CF"/>
    <w:rsid w:val="50E93575"/>
    <w:rsid w:val="50F04D4E"/>
    <w:rsid w:val="50F57385"/>
    <w:rsid w:val="50F6016F"/>
    <w:rsid w:val="51151213"/>
    <w:rsid w:val="51167BFA"/>
    <w:rsid w:val="511D6EF0"/>
    <w:rsid w:val="51304AA8"/>
    <w:rsid w:val="513F5114"/>
    <w:rsid w:val="51416DA1"/>
    <w:rsid w:val="51580FEA"/>
    <w:rsid w:val="515E6A1B"/>
    <w:rsid w:val="515E7C93"/>
    <w:rsid w:val="516B705C"/>
    <w:rsid w:val="5177537A"/>
    <w:rsid w:val="51A1217B"/>
    <w:rsid w:val="51A3361E"/>
    <w:rsid w:val="51BC2004"/>
    <w:rsid w:val="51CB74F6"/>
    <w:rsid w:val="51D13948"/>
    <w:rsid w:val="51D17FFD"/>
    <w:rsid w:val="51EB5979"/>
    <w:rsid w:val="52086B8C"/>
    <w:rsid w:val="521A0101"/>
    <w:rsid w:val="522D1CB6"/>
    <w:rsid w:val="5243562D"/>
    <w:rsid w:val="52660A26"/>
    <w:rsid w:val="52717995"/>
    <w:rsid w:val="52990759"/>
    <w:rsid w:val="52B87033"/>
    <w:rsid w:val="52E56296"/>
    <w:rsid w:val="53165A69"/>
    <w:rsid w:val="531B72EC"/>
    <w:rsid w:val="531E35FC"/>
    <w:rsid w:val="532C2C22"/>
    <w:rsid w:val="533C60DF"/>
    <w:rsid w:val="533E6E17"/>
    <w:rsid w:val="5343182D"/>
    <w:rsid w:val="535778DE"/>
    <w:rsid w:val="53607B9C"/>
    <w:rsid w:val="536C4A63"/>
    <w:rsid w:val="53985AB4"/>
    <w:rsid w:val="53993406"/>
    <w:rsid w:val="53A201DA"/>
    <w:rsid w:val="53A409AA"/>
    <w:rsid w:val="53B22D34"/>
    <w:rsid w:val="53C06927"/>
    <w:rsid w:val="53EF2FDD"/>
    <w:rsid w:val="54052D64"/>
    <w:rsid w:val="540540F5"/>
    <w:rsid w:val="542913B3"/>
    <w:rsid w:val="543F18BA"/>
    <w:rsid w:val="54705A29"/>
    <w:rsid w:val="54883400"/>
    <w:rsid w:val="54B8748D"/>
    <w:rsid w:val="54BE5C92"/>
    <w:rsid w:val="54C85ABD"/>
    <w:rsid w:val="54DE5D86"/>
    <w:rsid w:val="550922BB"/>
    <w:rsid w:val="550E49C6"/>
    <w:rsid w:val="552738F0"/>
    <w:rsid w:val="553415E2"/>
    <w:rsid w:val="553E035B"/>
    <w:rsid w:val="55A47D96"/>
    <w:rsid w:val="55DA287E"/>
    <w:rsid w:val="56073162"/>
    <w:rsid w:val="560C1692"/>
    <w:rsid w:val="561A48C1"/>
    <w:rsid w:val="563D619D"/>
    <w:rsid w:val="565076F1"/>
    <w:rsid w:val="56537C47"/>
    <w:rsid w:val="56657632"/>
    <w:rsid w:val="56A010C0"/>
    <w:rsid w:val="56BC356B"/>
    <w:rsid w:val="56D10359"/>
    <w:rsid w:val="56D42684"/>
    <w:rsid w:val="56DD2471"/>
    <w:rsid w:val="5700351E"/>
    <w:rsid w:val="57210A6D"/>
    <w:rsid w:val="573831E9"/>
    <w:rsid w:val="573A06A5"/>
    <w:rsid w:val="57543081"/>
    <w:rsid w:val="57822360"/>
    <w:rsid w:val="57A816D2"/>
    <w:rsid w:val="57B5303D"/>
    <w:rsid w:val="57B65A36"/>
    <w:rsid w:val="57C83C57"/>
    <w:rsid w:val="57ED3AEF"/>
    <w:rsid w:val="57F81F57"/>
    <w:rsid w:val="581D41A6"/>
    <w:rsid w:val="582028C2"/>
    <w:rsid w:val="58204FD5"/>
    <w:rsid w:val="58243758"/>
    <w:rsid w:val="582908A2"/>
    <w:rsid w:val="582C533E"/>
    <w:rsid w:val="583D07DD"/>
    <w:rsid w:val="58504C30"/>
    <w:rsid w:val="585F1862"/>
    <w:rsid w:val="58620D26"/>
    <w:rsid w:val="58706FB1"/>
    <w:rsid w:val="58783F85"/>
    <w:rsid w:val="587C5983"/>
    <w:rsid w:val="591C580B"/>
    <w:rsid w:val="5926497A"/>
    <w:rsid w:val="594D41AD"/>
    <w:rsid w:val="59A11353"/>
    <w:rsid w:val="59AE43F1"/>
    <w:rsid w:val="59C61AC7"/>
    <w:rsid w:val="59C73A62"/>
    <w:rsid w:val="5A0336C4"/>
    <w:rsid w:val="5A381296"/>
    <w:rsid w:val="5A391B40"/>
    <w:rsid w:val="5A3952EF"/>
    <w:rsid w:val="5A70211C"/>
    <w:rsid w:val="5AAB2A29"/>
    <w:rsid w:val="5AAC7307"/>
    <w:rsid w:val="5AAD44EE"/>
    <w:rsid w:val="5AD07CB2"/>
    <w:rsid w:val="5AD448DF"/>
    <w:rsid w:val="5AEF1DC1"/>
    <w:rsid w:val="5B4B2EB1"/>
    <w:rsid w:val="5B570332"/>
    <w:rsid w:val="5B5F0395"/>
    <w:rsid w:val="5B6300A3"/>
    <w:rsid w:val="5B6C0ED6"/>
    <w:rsid w:val="5B750097"/>
    <w:rsid w:val="5B790B4E"/>
    <w:rsid w:val="5B7A2400"/>
    <w:rsid w:val="5BB71DB2"/>
    <w:rsid w:val="5BD32897"/>
    <w:rsid w:val="5C061F9E"/>
    <w:rsid w:val="5C295CCC"/>
    <w:rsid w:val="5C656DAC"/>
    <w:rsid w:val="5C66538F"/>
    <w:rsid w:val="5C872DAA"/>
    <w:rsid w:val="5C884199"/>
    <w:rsid w:val="5C974816"/>
    <w:rsid w:val="5C9C6263"/>
    <w:rsid w:val="5CA97228"/>
    <w:rsid w:val="5CBA57BD"/>
    <w:rsid w:val="5CBB0E9C"/>
    <w:rsid w:val="5CEE7B85"/>
    <w:rsid w:val="5CF73D69"/>
    <w:rsid w:val="5D035BF6"/>
    <w:rsid w:val="5D1B3EAC"/>
    <w:rsid w:val="5D4700C2"/>
    <w:rsid w:val="5D5A1D40"/>
    <w:rsid w:val="5D6C4615"/>
    <w:rsid w:val="5D7C5A81"/>
    <w:rsid w:val="5D8813BF"/>
    <w:rsid w:val="5DD31E8F"/>
    <w:rsid w:val="5DDF2196"/>
    <w:rsid w:val="5DFF05CD"/>
    <w:rsid w:val="5E1672C2"/>
    <w:rsid w:val="5E1B6033"/>
    <w:rsid w:val="5E2612F9"/>
    <w:rsid w:val="5E467062"/>
    <w:rsid w:val="5E534129"/>
    <w:rsid w:val="5E5D40AB"/>
    <w:rsid w:val="5E6E3C24"/>
    <w:rsid w:val="5E7255BD"/>
    <w:rsid w:val="5EA73AAF"/>
    <w:rsid w:val="5EBE317E"/>
    <w:rsid w:val="5EC14E33"/>
    <w:rsid w:val="5EEB1B2A"/>
    <w:rsid w:val="5EF357CB"/>
    <w:rsid w:val="5EF83794"/>
    <w:rsid w:val="5EFE216C"/>
    <w:rsid w:val="5F1F6F46"/>
    <w:rsid w:val="5F3E18BD"/>
    <w:rsid w:val="5F475677"/>
    <w:rsid w:val="5F502D49"/>
    <w:rsid w:val="5F567498"/>
    <w:rsid w:val="5F6C29EA"/>
    <w:rsid w:val="5F7B3AC3"/>
    <w:rsid w:val="5F8420E2"/>
    <w:rsid w:val="5F887220"/>
    <w:rsid w:val="5F9C067A"/>
    <w:rsid w:val="5FAA36E4"/>
    <w:rsid w:val="5FB81E56"/>
    <w:rsid w:val="5FD85FDC"/>
    <w:rsid w:val="5FEC00EE"/>
    <w:rsid w:val="5FF628E8"/>
    <w:rsid w:val="6003190F"/>
    <w:rsid w:val="600951D4"/>
    <w:rsid w:val="601A25EF"/>
    <w:rsid w:val="601A55F7"/>
    <w:rsid w:val="60250EC1"/>
    <w:rsid w:val="6044067F"/>
    <w:rsid w:val="604642E4"/>
    <w:rsid w:val="60793AF7"/>
    <w:rsid w:val="60905650"/>
    <w:rsid w:val="6099592B"/>
    <w:rsid w:val="60A13AB9"/>
    <w:rsid w:val="60A7744C"/>
    <w:rsid w:val="60CF04AB"/>
    <w:rsid w:val="60D90C1B"/>
    <w:rsid w:val="60DB5486"/>
    <w:rsid w:val="60E82C1A"/>
    <w:rsid w:val="60EC0541"/>
    <w:rsid w:val="60FD245E"/>
    <w:rsid w:val="61102584"/>
    <w:rsid w:val="61247250"/>
    <w:rsid w:val="61251167"/>
    <w:rsid w:val="61573E97"/>
    <w:rsid w:val="61664F12"/>
    <w:rsid w:val="61757E7D"/>
    <w:rsid w:val="619749B4"/>
    <w:rsid w:val="61AF6C07"/>
    <w:rsid w:val="61C52DA5"/>
    <w:rsid w:val="61EA093B"/>
    <w:rsid w:val="61FB7AA5"/>
    <w:rsid w:val="62117D72"/>
    <w:rsid w:val="62210A89"/>
    <w:rsid w:val="62277495"/>
    <w:rsid w:val="62285DB7"/>
    <w:rsid w:val="625E00F8"/>
    <w:rsid w:val="62923991"/>
    <w:rsid w:val="62A6720D"/>
    <w:rsid w:val="62E709EF"/>
    <w:rsid w:val="62E90396"/>
    <w:rsid w:val="62F26EC0"/>
    <w:rsid w:val="62F74F33"/>
    <w:rsid w:val="63090A2F"/>
    <w:rsid w:val="632A3D0D"/>
    <w:rsid w:val="633443AB"/>
    <w:rsid w:val="634E3941"/>
    <w:rsid w:val="63561245"/>
    <w:rsid w:val="638857E1"/>
    <w:rsid w:val="63C233E4"/>
    <w:rsid w:val="63C85688"/>
    <w:rsid w:val="63CA2510"/>
    <w:rsid w:val="63CD5666"/>
    <w:rsid w:val="63D01EF3"/>
    <w:rsid w:val="63D2038C"/>
    <w:rsid w:val="63F66CE6"/>
    <w:rsid w:val="640E7E19"/>
    <w:rsid w:val="647527CB"/>
    <w:rsid w:val="648A0F84"/>
    <w:rsid w:val="648E4974"/>
    <w:rsid w:val="649E65A7"/>
    <w:rsid w:val="64A45065"/>
    <w:rsid w:val="64AF4A3C"/>
    <w:rsid w:val="64B70C4D"/>
    <w:rsid w:val="64D075F2"/>
    <w:rsid w:val="64D14920"/>
    <w:rsid w:val="64EA382F"/>
    <w:rsid w:val="64ED3306"/>
    <w:rsid w:val="64FF3FF1"/>
    <w:rsid w:val="6511603A"/>
    <w:rsid w:val="65434194"/>
    <w:rsid w:val="65477730"/>
    <w:rsid w:val="656A4332"/>
    <w:rsid w:val="65707B48"/>
    <w:rsid w:val="65733372"/>
    <w:rsid w:val="657845AE"/>
    <w:rsid w:val="65991D3E"/>
    <w:rsid w:val="65AC6D55"/>
    <w:rsid w:val="65B74A52"/>
    <w:rsid w:val="65BD55BD"/>
    <w:rsid w:val="65CA1D49"/>
    <w:rsid w:val="65F93F36"/>
    <w:rsid w:val="6602655A"/>
    <w:rsid w:val="66037BA1"/>
    <w:rsid w:val="660D45C7"/>
    <w:rsid w:val="66280ABB"/>
    <w:rsid w:val="6668032B"/>
    <w:rsid w:val="667C4290"/>
    <w:rsid w:val="66924AA7"/>
    <w:rsid w:val="66A613B8"/>
    <w:rsid w:val="66C95898"/>
    <w:rsid w:val="66F8201A"/>
    <w:rsid w:val="671C5A04"/>
    <w:rsid w:val="674B06E8"/>
    <w:rsid w:val="676777C3"/>
    <w:rsid w:val="677D4B8A"/>
    <w:rsid w:val="67802ACE"/>
    <w:rsid w:val="67804B33"/>
    <w:rsid w:val="67BC7C72"/>
    <w:rsid w:val="67C40A09"/>
    <w:rsid w:val="67D020A7"/>
    <w:rsid w:val="67E0560E"/>
    <w:rsid w:val="67EF59A2"/>
    <w:rsid w:val="681D6267"/>
    <w:rsid w:val="683220F2"/>
    <w:rsid w:val="683F1E9B"/>
    <w:rsid w:val="685C5B46"/>
    <w:rsid w:val="688C0656"/>
    <w:rsid w:val="689A4B04"/>
    <w:rsid w:val="68AE1735"/>
    <w:rsid w:val="68BF191E"/>
    <w:rsid w:val="68D60630"/>
    <w:rsid w:val="69207F67"/>
    <w:rsid w:val="6922077E"/>
    <w:rsid w:val="692E40A2"/>
    <w:rsid w:val="697E7396"/>
    <w:rsid w:val="69A009FE"/>
    <w:rsid w:val="69A30E32"/>
    <w:rsid w:val="69F66247"/>
    <w:rsid w:val="69F86AAF"/>
    <w:rsid w:val="6A0A6EEB"/>
    <w:rsid w:val="6A1F6154"/>
    <w:rsid w:val="6A2746CC"/>
    <w:rsid w:val="6A5517EC"/>
    <w:rsid w:val="6A557CD5"/>
    <w:rsid w:val="6A694BA1"/>
    <w:rsid w:val="6A7C79EE"/>
    <w:rsid w:val="6A9F3C0E"/>
    <w:rsid w:val="6ABC3292"/>
    <w:rsid w:val="6AD34458"/>
    <w:rsid w:val="6AD37813"/>
    <w:rsid w:val="6ADF25FC"/>
    <w:rsid w:val="6B020CD0"/>
    <w:rsid w:val="6B0C60EB"/>
    <w:rsid w:val="6B1148AC"/>
    <w:rsid w:val="6B1C1758"/>
    <w:rsid w:val="6B1F67CE"/>
    <w:rsid w:val="6B1F6D6A"/>
    <w:rsid w:val="6B251E99"/>
    <w:rsid w:val="6B496FC7"/>
    <w:rsid w:val="6B4A5562"/>
    <w:rsid w:val="6B565807"/>
    <w:rsid w:val="6B6358D9"/>
    <w:rsid w:val="6B6A7BB0"/>
    <w:rsid w:val="6B7A369F"/>
    <w:rsid w:val="6BAC2823"/>
    <w:rsid w:val="6BB45C26"/>
    <w:rsid w:val="6BBB0690"/>
    <w:rsid w:val="6BBD5024"/>
    <w:rsid w:val="6BE563FB"/>
    <w:rsid w:val="6BF37DF1"/>
    <w:rsid w:val="6BF75233"/>
    <w:rsid w:val="6BFA22C8"/>
    <w:rsid w:val="6C233FFC"/>
    <w:rsid w:val="6C630CE9"/>
    <w:rsid w:val="6CE0793D"/>
    <w:rsid w:val="6CEC0F34"/>
    <w:rsid w:val="6CF73CA4"/>
    <w:rsid w:val="6D005FF7"/>
    <w:rsid w:val="6D05105B"/>
    <w:rsid w:val="6D0D4EC9"/>
    <w:rsid w:val="6D171651"/>
    <w:rsid w:val="6D207FCD"/>
    <w:rsid w:val="6D2B5B01"/>
    <w:rsid w:val="6D381497"/>
    <w:rsid w:val="6D6A2DB3"/>
    <w:rsid w:val="6D6A69AA"/>
    <w:rsid w:val="6D79127B"/>
    <w:rsid w:val="6D895F92"/>
    <w:rsid w:val="6DD91C20"/>
    <w:rsid w:val="6E01482E"/>
    <w:rsid w:val="6E0405DA"/>
    <w:rsid w:val="6E403BCF"/>
    <w:rsid w:val="6E424CF7"/>
    <w:rsid w:val="6E66587A"/>
    <w:rsid w:val="6E6A2339"/>
    <w:rsid w:val="6E6D0CF1"/>
    <w:rsid w:val="6E96703D"/>
    <w:rsid w:val="6E984122"/>
    <w:rsid w:val="6EC4761A"/>
    <w:rsid w:val="6ED26905"/>
    <w:rsid w:val="6EE20566"/>
    <w:rsid w:val="6EEE3447"/>
    <w:rsid w:val="6EF513F6"/>
    <w:rsid w:val="6EF773A4"/>
    <w:rsid w:val="6EF8649B"/>
    <w:rsid w:val="6F1F0771"/>
    <w:rsid w:val="6F2A3731"/>
    <w:rsid w:val="6F3669E2"/>
    <w:rsid w:val="6F3A0437"/>
    <w:rsid w:val="6F452492"/>
    <w:rsid w:val="6F4E1ABB"/>
    <w:rsid w:val="6F65489B"/>
    <w:rsid w:val="6F9E4E98"/>
    <w:rsid w:val="6FA72F23"/>
    <w:rsid w:val="6FC169C6"/>
    <w:rsid w:val="700148B1"/>
    <w:rsid w:val="701B23F8"/>
    <w:rsid w:val="70262445"/>
    <w:rsid w:val="702C1F44"/>
    <w:rsid w:val="704C56BE"/>
    <w:rsid w:val="709304FC"/>
    <w:rsid w:val="70BA4068"/>
    <w:rsid w:val="70BA6F46"/>
    <w:rsid w:val="70D972E2"/>
    <w:rsid w:val="70F36F46"/>
    <w:rsid w:val="71231B23"/>
    <w:rsid w:val="714633CE"/>
    <w:rsid w:val="714D333A"/>
    <w:rsid w:val="717A4816"/>
    <w:rsid w:val="71815EAB"/>
    <w:rsid w:val="718621EE"/>
    <w:rsid w:val="71894FD2"/>
    <w:rsid w:val="719C0849"/>
    <w:rsid w:val="71A3311F"/>
    <w:rsid w:val="71DA48AF"/>
    <w:rsid w:val="72005730"/>
    <w:rsid w:val="7202345C"/>
    <w:rsid w:val="72201D39"/>
    <w:rsid w:val="72386C6E"/>
    <w:rsid w:val="723A3057"/>
    <w:rsid w:val="72400885"/>
    <w:rsid w:val="72523240"/>
    <w:rsid w:val="725273EA"/>
    <w:rsid w:val="725B1897"/>
    <w:rsid w:val="72603689"/>
    <w:rsid w:val="726C47BC"/>
    <w:rsid w:val="72CD2240"/>
    <w:rsid w:val="72DE6017"/>
    <w:rsid w:val="72DF6675"/>
    <w:rsid w:val="72EC4E12"/>
    <w:rsid w:val="7308325D"/>
    <w:rsid w:val="733F7A24"/>
    <w:rsid w:val="73435690"/>
    <w:rsid w:val="73590DBA"/>
    <w:rsid w:val="735C44F0"/>
    <w:rsid w:val="736A01CD"/>
    <w:rsid w:val="73741988"/>
    <w:rsid w:val="73814929"/>
    <w:rsid w:val="7393399F"/>
    <w:rsid w:val="73984022"/>
    <w:rsid w:val="73D67D9C"/>
    <w:rsid w:val="73E15CA0"/>
    <w:rsid w:val="73E2421D"/>
    <w:rsid w:val="74000D97"/>
    <w:rsid w:val="74017B4B"/>
    <w:rsid w:val="74150C9D"/>
    <w:rsid w:val="742872D7"/>
    <w:rsid w:val="746A6AAD"/>
    <w:rsid w:val="747A4FBC"/>
    <w:rsid w:val="74994B58"/>
    <w:rsid w:val="74D94903"/>
    <w:rsid w:val="74DC7834"/>
    <w:rsid w:val="74E271F1"/>
    <w:rsid w:val="74FB6D20"/>
    <w:rsid w:val="7551327B"/>
    <w:rsid w:val="75541AA3"/>
    <w:rsid w:val="755E519C"/>
    <w:rsid w:val="755F782E"/>
    <w:rsid w:val="75A16A9F"/>
    <w:rsid w:val="75E27D49"/>
    <w:rsid w:val="75EB2346"/>
    <w:rsid w:val="76034F5F"/>
    <w:rsid w:val="761867BE"/>
    <w:rsid w:val="7624491F"/>
    <w:rsid w:val="76365AD0"/>
    <w:rsid w:val="764350A1"/>
    <w:rsid w:val="76462BBA"/>
    <w:rsid w:val="765D57EA"/>
    <w:rsid w:val="767926C9"/>
    <w:rsid w:val="7688585F"/>
    <w:rsid w:val="76C53B2B"/>
    <w:rsid w:val="76F54CF0"/>
    <w:rsid w:val="76FD5906"/>
    <w:rsid w:val="770B684E"/>
    <w:rsid w:val="771702EE"/>
    <w:rsid w:val="77204CB1"/>
    <w:rsid w:val="77523A4E"/>
    <w:rsid w:val="7753763B"/>
    <w:rsid w:val="776F3C37"/>
    <w:rsid w:val="77876B11"/>
    <w:rsid w:val="77951FA8"/>
    <w:rsid w:val="77A14CDE"/>
    <w:rsid w:val="77AA2F7D"/>
    <w:rsid w:val="77C729A3"/>
    <w:rsid w:val="77CB0A4F"/>
    <w:rsid w:val="782B4A23"/>
    <w:rsid w:val="78302F8F"/>
    <w:rsid w:val="78413D2D"/>
    <w:rsid w:val="78510397"/>
    <w:rsid w:val="78536D5A"/>
    <w:rsid w:val="7874259E"/>
    <w:rsid w:val="78754CBA"/>
    <w:rsid w:val="78814E77"/>
    <w:rsid w:val="788B612E"/>
    <w:rsid w:val="78A1304E"/>
    <w:rsid w:val="78CB3FEB"/>
    <w:rsid w:val="78FA724D"/>
    <w:rsid w:val="79071CEC"/>
    <w:rsid w:val="792F2FC5"/>
    <w:rsid w:val="793B5CE2"/>
    <w:rsid w:val="797B3C8A"/>
    <w:rsid w:val="797F45FC"/>
    <w:rsid w:val="798300B5"/>
    <w:rsid w:val="79D140BC"/>
    <w:rsid w:val="79DB75C0"/>
    <w:rsid w:val="79E37881"/>
    <w:rsid w:val="79EA2E0E"/>
    <w:rsid w:val="79ED08FA"/>
    <w:rsid w:val="7A067AFA"/>
    <w:rsid w:val="7A0C585A"/>
    <w:rsid w:val="7A2C7450"/>
    <w:rsid w:val="7A326B5A"/>
    <w:rsid w:val="7A3A4AA6"/>
    <w:rsid w:val="7A616D0A"/>
    <w:rsid w:val="7A78495E"/>
    <w:rsid w:val="7A7F2C76"/>
    <w:rsid w:val="7A9876AA"/>
    <w:rsid w:val="7A9C2983"/>
    <w:rsid w:val="7AA75FD2"/>
    <w:rsid w:val="7AAC462A"/>
    <w:rsid w:val="7AB6471A"/>
    <w:rsid w:val="7AF84FA0"/>
    <w:rsid w:val="7AF909C6"/>
    <w:rsid w:val="7B330A87"/>
    <w:rsid w:val="7B367302"/>
    <w:rsid w:val="7B415613"/>
    <w:rsid w:val="7B46280B"/>
    <w:rsid w:val="7B4D33E4"/>
    <w:rsid w:val="7B6F1BD0"/>
    <w:rsid w:val="7B732126"/>
    <w:rsid w:val="7B755C15"/>
    <w:rsid w:val="7B8E1216"/>
    <w:rsid w:val="7B9A1345"/>
    <w:rsid w:val="7BA100E3"/>
    <w:rsid w:val="7BB27AE4"/>
    <w:rsid w:val="7BC6210E"/>
    <w:rsid w:val="7BCA6C86"/>
    <w:rsid w:val="7BF32D06"/>
    <w:rsid w:val="7C044DA1"/>
    <w:rsid w:val="7C3963C9"/>
    <w:rsid w:val="7CA33449"/>
    <w:rsid w:val="7D0A0BA4"/>
    <w:rsid w:val="7D20462D"/>
    <w:rsid w:val="7D4253C7"/>
    <w:rsid w:val="7D6B705F"/>
    <w:rsid w:val="7D8E577D"/>
    <w:rsid w:val="7D99139D"/>
    <w:rsid w:val="7D9A426A"/>
    <w:rsid w:val="7D9D0BA6"/>
    <w:rsid w:val="7DA934FA"/>
    <w:rsid w:val="7DCB52C5"/>
    <w:rsid w:val="7DCF4A14"/>
    <w:rsid w:val="7DDA5609"/>
    <w:rsid w:val="7DEA007E"/>
    <w:rsid w:val="7E156796"/>
    <w:rsid w:val="7E2C100A"/>
    <w:rsid w:val="7E333E03"/>
    <w:rsid w:val="7E357621"/>
    <w:rsid w:val="7E391FE6"/>
    <w:rsid w:val="7E450EC4"/>
    <w:rsid w:val="7E7F4C37"/>
    <w:rsid w:val="7E8D09E2"/>
    <w:rsid w:val="7E90531E"/>
    <w:rsid w:val="7E916762"/>
    <w:rsid w:val="7EA916FD"/>
    <w:rsid w:val="7EB42C24"/>
    <w:rsid w:val="7EE53C64"/>
    <w:rsid w:val="7EF330F4"/>
    <w:rsid w:val="7EF4442A"/>
    <w:rsid w:val="7F437962"/>
    <w:rsid w:val="7F541580"/>
    <w:rsid w:val="7F611935"/>
    <w:rsid w:val="7F667225"/>
    <w:rsid w:val="7F8F683E"/>
    <w:rsid w:val="7FAA1C29"/>
    <w:rsid w:val="7FAC4830"/>
    <w:rsid w:val="7FC732C5"/>
    <w:rsid w:val="7FCC55AD"/>
    <w:rsid w:val="7FDA0E8C"/>
    <w:rsid w:val="7FEC4B3F"/>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ind w:left="420" w:leftChars="200"/>
    </w:pPr>
  </w:style>
  <w:style w:type="paragraph" w:styleId="8">
    <w:name w:val="Plain Text"/>
    <w:basedOn w:val="1"/>
    <w:qFormat/>
    <w:uiPriority w:val="0"/>
    <w:rPr>
      <w:rFonts w:ascii="宋体" w:hAnsi="Courier New"/>
      <w:szCs w:val="20"/>
    </w:rPr>
  </w:style>
  <w:style w:type="paragraph" w:styleId="9">
    <w:name w:val="Balloon Text"/>
    <w:basedOn w:val="1"/>
    <w:link w:val="27"/>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6"/>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character" w:customStyle="1" w:styleId="27">
    <w:name w:val="批注框文本 字符"/>
    <w:basedOn w:val="17"/>
    <w:link w:val="9"/>
    <w:qFormat/>
    <w:uiPriority w:val="0"/>
    <w:rPr>
      <w:kern w:val="2"/>
      <w:sz w:val="18"/>
      <w:szCs w:val="18"/>
    </w:rPr>
  </w:style>
  <w:style w:type="paragraph" w:customStyle="1" w:styleId="28">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36</Pages>
  <Words>2160</Words>
  <Characters>12312</Characters>
  <Lines>102</Lines>
  <Paragraphs>28</Paragraphs>
  <TotalTime>63</TotalTime>
  <ScaleCrop>false</ScaleCrop>
  <LinksUpToDate>false</LinksUpToDate>
  <CharactersWithSpaces>14444</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才凤英</cp:lastModifiedBy>
  <cp:lastPrinted>2020-08-20T09:48:00Z</cp:lastPrinted>
  <dcterms:modified xsi:type="dcterms:W3CDTF">2020-08-21T03:00:01Z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