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700" w:lineRule="exact"/>
        <w:jc w:val="center"/>
        <w:textAlignment w:val="auto"/>
        <w:rPr>
          <w:rFonts w:ascii="Times New Roman" w:hAnsi="Times New Roman" w:eastAsia="黑体" w:cs="Times New Roman"/>
          <w:kern w:val="0"/>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700" w:lineRule="exact"/>
        <w:jc w:val="center"/>
        <w:textAlignment w:val="auto"/>
        <w:rPr>
          <w:rFonts w:hint="eastAsia" w:ascii="Times New Roman" w:hAnsi="Times New Roman" w:eastAsia="黑体" w:cs="Times New Roman"/>
          <w:kern w:val="0"/>
          <w:sz w:val="44"/>
          <w:szCs w:val="44"/>
          <w:highlight w:val="none"/>
          <w:lang w:eastAsia="zh-CN"/>
        </w:rPr>
      </w:pPr>
      <w:r>
        <w:rPr>
          <w:rFonts w:hint="eastAsia" w:ascii="Times New Roman" w:hAnsi="Times New Roman" w:eastAsia="黑体" w:cs="Times New Roman"/>
          <w:kern w:val="0"/>
          <w:sz w:val="44"/>
          <w:szCs w:val="44"/>
          <w:highlight w:val="none"/>
          <w:lang w:eastAsia="zh-CN"/>
        </w:rPr>
        <w:t>亳州交通投资控股集团有限公司财务共享中心项目招标文件（二次）</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BZJK-2020-027号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亳州交通投资控股集团有限公司</w:t>
      </w: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lang w:eastAsia="zh-CN"/>
        </w:rPr>
        <w:t>二〇二〇年七月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..10</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17</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lang w:eastAsia="zh-CN"/>
        </w:rPr>
        <w:t>招标人要求</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18</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第六章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17" w:right="1531" w:bottom="1417" w:left="1531" w:header="851" w:footer="992" w:gutter="0"/>
          <w:pgNumType w:start="1"/>
          <w:cols w:space="0" w:num="1"/>
          <w:rtlGutter w:val="0"/>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b/>
          <w:bCs/>
          <w:sz w:val="24"/>
          <w:szCs w:val="24"/>
          <w:highlight w:val="none"/>
          <w:lang w:eastAsia="zh-CN"/>
        </w:rPr>
        <w:t>亳州交通投资控股集团有限公司财务共享中心项目</w:t>
      </w:r>
      <w:r>
        <w:rPr>
          <w:rFonts w:hint="eastAsia" w:asciiTheme="minorEastAsia" w:hAnsiTheme="minorEastAsia" w:eastAsiaTheme="minorEastAsia" w:cstheme="minorEastAsia"/>
          <w:b/>
          <w:bCs/>
          <w:sz w:val="24"/>
          <w:szCs w:val="24"/>
          <w:highlight w:val="none"/>
        </w:rPr>
        <w:t>招标公告</w:t>
      </w:r>
      <w:bookmarkStart w:id="0" w:name="_Toc246996909"/>
      <w:bookmarkStart w:id="1" w:name="_Toc296602410"/>
      <w:bookmarkStart w:id="2" w:name="_Toc152045519"/>
      <w:bookmarkStart w:id="3" w:name="_Toc152042295"/>
      <w:bookmarkStart w:id="4" w:name="_Toc246996166"/>
      <w:bookmarkStart w:id="5" w:name="_Toc247085680"/>
      <w:bookmarkStart w:id="6" w:name="_Toc179632536"/>
      <w:bookmarkStart w:id="7" w:name="_Toc144974487"/>
      <w:r>
        <w:rPr>
          <w:rFonts w:hint="eastAsia" w:asciiTheme="minorEastAsia" w:hAnsiTheme="minorEastAsia" w:cstheme="minorEastAsia"/>
          <w:b/>
          <w:bCs/>
          <w:sz w:val="24"/>
          <w:szCs w:val="24"/>
          <w:highlight w:val="none"/>
          <w:lang w:eastAsia="zh-CN"/>
        </w:rPr>
        <w:t>（二次）</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一、招标条件</w:t>
      </w:r>
      <w:bookmarkEnd w:id="0"/>
      <w:bookmarkEnd w:id="1"/>
      <w:bookmarkEnd w:id="2"/>
      <w:bookmarkEnd w:id="3"/>
      <w:bookmarkEnd w:id="4"/>
      <w:bookmarkEnd w:id="5"/>
      <w:bookmarkEnd w:id="6"/>
      <w:bookmarkEnd w:id="7"/>
      <w:r>
        <w:rPr>
          <w:rFonts w:hint="eastAsia" w:asciiTheme="minorEastAsia" w:hAnsiTheme="minorEastAsia" w:eastAsiaTheme="minorEastAsia" w:cstheme="minorEastAsia"/>
          <w:b/>
          <w:bCs/>
          <w:sz w:val="21"/>
          <w:szCs w:val="21"/>
          <w:highlight w:val="none"/>
        </w:rPr>
        <w:tab/>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bookmarkStart w:id="8" w:name="_Toc144974488"/>
      <w:bookmarkStart w:id="9" w:name="_Toc247085681"/>
      <w:bookmarkStart w:id="10" w:name="_Toc152042296"/>
      <w:bookmarkStart w:id="11" w:name="_Toc246996167"/>
      <w:bookmarkStart w:id="12" w:name="_Toc296602411"/>
      <w:bookmarkStart w:id="13" w:name="_Toc152045520"/>
      <w:bookmarkStart w:id="14" w:name="_Toc179632537"/>
      <w:bookmarkStart w:id="15" w:name="_Toc246996910"/>
      <w:r>
        <w:rPr>
          <w:rFonts w:hint="eastAsia" w:asciiTheme="minorEastAsia" w:hAnsiTheme="minorEastAsia" w:eastAsiaTheme="minorEastAsia" w:cstheme="minorEastAsia"/>
          <w:sz w:val="21"/>
          <w:szCs w:val="21"/>
          <w:highlight w:val="none"/>
        </w:rPr>
        <w:t>本招标项目为</w:t>
      </w:r>
      <w:r>
        <w:rPr>
          <w:rFonts w:hint="eastAsia" w:asciiTheme="minorEastAsia" w:hAnsiTheme="minorEastAsia" w:eastAsiaTheme="minorEastAsia" w:cstheme="minorEastAsia"/>
          <w:sz w:val="21"/>
          <w:szCs w:val="21"/>
          <w:highlight w:val="none"/>
          <w:u w:val="single"/>
          <w:lang w:eastAsia="zh-CN"/>
        </w:rPr>
        <w:t>亳州交通投资控股集团有限公司财务共享中心项目</w:t>
      </w:r>
      <w:r>
        <w:rPr>
          <w:rFonts w:hint="eastAsia" w:asciiTheme="minorEastAsia" w:hAnsiTheme="minorEastAsia" w:eastAsiaTheme="minorEastAsia" w:cstheme="minorEastAsia"/>
          <w:sz w:val="21"/>
          <w:szCs w:val="21"/>
          <w:highlight w:val="none"/>
        </w:rPr>
        <w:t>，项目编号为</w:t>
      </w:r>
      <w:r>
        <w:rPr>
          <w:rFonts w:hint="eastAsia" w:asciiTheme="minorEastAsia" w:hAnsiTheme="minorEastAsia" w:eastAsiaTheme="minorEastAsia" w:cstheme="minorEastAsia"/>
          <w:sz w:val="21"/>
          <w:szCs w:val="21"/>
          <w:highlight w:val="none"/>
          <w:u w:val="single"/>
          <w:lang w:eastAsia="zh-CN"/>
        </w:rPr>
        <w:t>BZJK-2020-027号</w:t>
      </w:r>
      <w:r>
        <w:rPr>
          <w:rFonts w:hint="eastAsia" w:asciiTheme="minorEastAsia" w:hAnsiTheme="minorEastAsia" w:eastAsiaTheme="minorEastAsia" w:cstheme="minorEastAsia"/>
          <w:sz w:val="21"/>
          <w:szCs w:val="21"/>
          <w:highlight w:val="none"/>
        </w:rPr>
        <w:t>，招标人为</w:t>
      </w:r>
      <w:r>
        <w:rPr>
          <w:rFonts w:hint="eastAsia" w:asciiTheme="minorEastAsia" w:hAnsiTheme="minorEastAsia" w:eastAsiaTheme="minorEastAsia" w:cstheme="minorEastAsia"/>
          <w:sz w:val="21"/>
          <w:szCs w:val="21"/>
          <w:highlight w:val="none"/>
          <w:u w:val="single"/>
        </w:rPr>
        <w:t>亳州交通投资控股集团有限公司</w:t>
      </w:r>
      <w:r>
        <w:rPr>
          <w:rFonts w:hint="eastAsia" w:asciiTheme="minorEastAsia" w:hAnsiTheme="minorEastAsia" w:eastAsiaTheme="minorEastAsia" w:cstheme="minorEastAsia"/>
          <w:sz w:val="21"/>
          <w:szCs w:val="21"/>
          <w:highlight w:val="none"/>
        </w:rPr>
        <w:t>，项目资金来自</w:t>
      </w:r>
      <w:r>
        <w:rPr>
          <w:rFonts w:hint="eastAsia" w:asciiTheme="minorEastAsia" w:hAnsiTheme="minorEastAsia" w:eastAsiaTheme="minorEastAsia" w:cstheme="minorEastAsia"/>
          <w:sz w:val="21"/>
          <w:szCs w:val="21"/>
          <w:highlight w:val="none"/>
          <w:u w:val="single"/>
        </w:rPr>
        <w:t>企业自筹</w:t>
      </w:r>
      <w:r>
        <w:rPr>
          <w:rFonts w:hint="eastAsia" w:asciiTheme="minorEastAsia" w:hAnsiTheme="minorEastAsia" w:eastAsiaTheme="minorEastAsia" w:cstheme="minorEastAsia"/>
          <w:sz w:val="21"/>
          <w:szCs w:val="21"/>
          <w:highlight w:val="none"/>
        </w:rPr>
        <w:t>。项目已具备招标条件，现对该项目进行</w:t>
      </w:r>
      <w:r>
        <w:rPr>
          <w:rFonts w:hint="eastAsia" w:asciiTheme="minorEastAsia" w:hAnsiTheme="minorEastAsia" w:eastAsiaTheme="minorEastAsia" w:cstheme="minorEastAsia"/>
          <w:sz w:val="21"/>
          <w:szCs w:val="21"/>
          <w:highlight w:val="none"/>
          <w:u w:val="single"/>
        </w:rPr>
        <w:t>自主公开招标</w:t>
      </w:r>
      <w:r>
        <w:rPr>
          <w:rFonts w:hint="eastAsia" w:asciiTheme="minorEastAsia" w:hAnsiTheme="minorEastAsia" w:eastAsiaTheme="minorEastAsia" w:cstheme="minorEastAsia"/>
          <w:sz w:val="21"/>
          <w:szCs w:val="21"/>
          <w:highlight w:val="none"/>
        </w:rPr>
        <w:t>。</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二、项目概况与招标范围</w:t>
      </w:r>
      <w:bookmarkEnd w:id="8"/>
      <w:bookmarkEnd w:id="9"/>
      <w:bookmarkEnd w:id="10"/>
      <w:bookmarkEnd w:id="11"/>
      <w:bookmarkEnd w:id="12"/>
      <w:bookmarkEnd w:id="13"/>
      <w:bookmarkEnd w:id="14"/>
      <w:bookmarkEnd w:id="15"/>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（一）项目概况：</w:t>
      </w:r>
      <w:r>
        <w:rPr>
          <w:rFonts w:hint="eastAsia" w:asciiTheme="minorEastAsia" w:hAnsiTheme="minorEastAsia" w:eastAsiaTheme="minorEastAsia" w:cstheme="minorEastAsia"/>
          <w:sz w:val="21"/>
          <w:szCs w:val="21"/>
          <w:highlight w:val="none"/>
          <w:lang w:eastAsia="zh-CN"/>
        </w:rPr>
        <w:t>为保障招标人业务发展需要，提高企业管理和决策的效率、促进内部沟通、提升外部竞争力，现对实施信息化系统开发及实施能力的软件服务商进行招标</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（二）招标范围：包括但不限于网报系统、资金管理系统、账务核算系统、影像系统、OA系统相关内容。具体要求详见第五章</w:t>
      </w:r>
      <w:r>
        <w:rPr>
          <w:rFonts w:hint="eastAsia" w:asciiTheme="minorEastAsia" w:hAnsiTheme="minorEastAsia" w:eastAsiaTheme="minorEastAsia" w:cstheme="minorEastAsia"/>
          <w:sz w:val="21"/>
          <w:szCs w:val="21"/>
          <w:highlight w:val="none"/>
          <w:lang w:eastAsia="zh-CN"/>
        </w:rPr>
        <w:t>招标人要求</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（三）质量标准：应符合国家法律、法规、规章、标准、规范、规程等要求，</w:t>
      </w:r>
      <w:r>
        <w:rPr>
          <w:rFonts w:hint="eastAsia" w:asciiTheme="minorEastAsia" w:hAnsiTheme="minorEastAsia" w:eastAsiaTheme="minorEastAsia" w:cstheme="minorEastAsia"/>
          <w:b/>
          <w:bCs/>
          <w:sz w:val="21"/>
          <w:szCs w:val="21"/>
          <w:highlight w:val="none"/>
        </w:rPr>
        <w:t>各模块满足亳州交控集团以财务共享模式运行并正式上线</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w:t>
      </w:r>
      <w:r>
        <w:rPr>
          <w:rFonts w:hint="eastAsia" w:asciiTheme="minorEastAsia" w:hAnsiTheme="minorEastAsia" w:eastAsiaTheme="minorEastAsia" w:cstheme="minorEastAsia"/>
          <w:b/>
          <w:bCs/>
          <w:sz w:val="21"/>
          <w:szCs w:val="21"/>
          <w:highlight w:val="none"/>
          <w:lang w:eastAsia="zh-CN"/>
        </w:rPr>
        <w:t>建设</w:t>
      </w:r>
      <w:r>
        <w:rPr>
          <w:rFonts w:hint="eastAsia" w:asciiTheme="minorEastAsia" w:hAnsiTheme="minorEastAsia" w:eastAsiaTheme="minorEastAsia" w:cstheme="minorEastAsia"/>
          <w:b/>
          <w:bCs/>
          <w:sz w:val="21"/>
          <w:szCs w:val="21"/>
          <w:highlight w:val="none"/>
        </w:rPr>
        <w:t>服务期限</w:t>
      </w:r>
      <w:r>
        <w:rPr>
          <w:rFonts w:hint="eastAsia" w:asciiTheme="minorEastAsia" w:hAnsiTheme="minorEastAsia" w:eastAsiaTheme="minorEastAsia" w:cstheme="minorEastAsia"/>
          <w:sz w:val="21"/>
          <w:szCs w:val="21"/>
          <w:highlight w:val="none"/>
        </w:rPr>
        <w:t>：自合同签订之日起6个月内</w:t>
      </w:r>
      <w:r>
        <w:rPr>
          <w:rFonts w:hint="eastAsia" w:asciiTheme="minorEastAsia" w:hAnsiTheme="minorEastAsia" w:eastAsiaTheme="minorEastAsia" w:cstheme="minorEastAsia"/>
          <w:sz w:val="21"/>
          <w:szCs w:val="21"/>
          <w:highlight w:val="none"/>
          <w:lang w:eastAsia="zh-CN"/>
        </w:rPr>
        <w:t>系统</w:t>
      </w:r>
      <w:r>
        <w:rPr>
          <w:rFonts w:hint="eastAsia" w:asciiTheme="minorEastAsia" w:hAnsiTheme="minorEastAsia" w:eastAsiaTheme="minorEastAsia" w:cstheme="minorEastAsia"/>
          <w:sz w:val="21"/>
          <w:szCs w:val="21"/>
          <w:highlight w:val="none"/>
        </w:rPr>
        <w:t>正式上线。</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（五）</w:t>
      </w:r>
      <w:r>
        <w:rPr>
          <w:rFonts w:hint="eastAsia" w:asciiTheme="minorEastAsia" w:hAnsiTheme="minorEastAsia" w:eastAsiaTheme="minorEastAsia" w:cstheme="minorEastAsia"/>
          <w:b/>
          <w:bCs/>
          <w:sz w:val="21"/>
          <w:szCs w:val="21"/>
          <w:highlight w:val="none"/>
        </w:rPr>
        <w:t>免费维护期</w:t>
      </w:r>
      <w:r>
        <w:rPr>
          <w:rFonts w:hint="eastAsia" w:asciiTheme="minorEastAsia" w:hAnsiTheme="minorEastAsia" w:eastAsiaTheme="minorEastAsia" w:cstheme="minorEastAsia"/>
          <w:sz w:val="21"/>
          <w:szCs w:val="21"/>
          <w:highlight w:val="none"/>
        </w:rPr>
        <w:t>：自验收合格之日起一年。</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六</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最高投标限价</w:t>
      </w:r>
      <w:r>
        <w:rPr>
          <w:rFonts w:hint="eastAsia" w:asciiTheme="minorEastAsia" w:hAnsiTheme="minorEastAsia" w:eastAsiaTheme="minorEastAsia" w:cstheme="minorEastAsia"/>
          <w:b/>
          <w:bCs/>
          <w:sz w:val="21"/>
          <w:szCs w:val="21"/>
          <w:highlight w:val="none"/>
          <w:lang w:eastAsia="zh-CN"/>
        </w:rPr>
        <w:t>（含税）</w:t>
      </w:r>
      <w:r>
        <w:rPr>
          <w:rFonts w:hint="eastAsia" w:asciiTheme="minorEastAsia" w:hAnsiTheme="minorEastAsia" w:eastAsiaTheme="minorEastAsia" w:cstheme="minorEastAsia"/>
          <w:sz w:val="21"/>
          <w:szCs w:val="21"/>
          <w:highlight w:val="none"/>
        </w:rPr>
        <w:t>：此项目</w:t>
      </w:r>
      <w:r>
        <w:rPr>
          <w:rFonts w:hint="eastAsia" w:asciiTheme="minorEastAsia" w:hAnsiTheme="minorEastAsia" w:cstheme="minorEastAsia"/>
          <w:sz w:val="21"/>
          <w:szCs w:val="21"/>
          <w:highlight w:val="none"/>
          <w:lang w:eastAsia="zh-CN"/>
        </w:rPr>
        <w:t>划</w:t>
      </w:r>
      <w:r>
        <w:rPr>
          <w:rFonts w:hint="eastAsia" w:asciiTheme="minorEastAsia" w:hAnsiTheme="minorEastAsia" w:eastAsiaTheme="minorEastAsia" w:cstheme="minorEastAsia"/>
          <w:sz w:val="21"/>
          <w:szCs w:val="21"/>
          <w:highlight w:val="none"/>
        </w:rPr>
        <w:t>分为</w:t>
      </w:r>
      <w:r>
        <w:rPr>
          <w:rFonts w:hint="eastAsia" w:asciiTheme="minorEastAsia" w:hAnsiTheme="minorEastAsia" w:eastAsiaTheme="minorEastAsia" w:cstheme="minorEastAsia"/>
          <w:b/>
          <w:bCs/>
          <w:sz w:val="21"/>
          <w:szCs w:val="21"/>
          <w:highlight w:val="none"/>
        </w:rPr>
        <w:t>实施开发阶段和后期维护</w:t>
      </w:r>
      <w:r>
        <w:rPr>
          <w:rFonts w:hint="eastAsia" w:asciiTheme="minorEastAsia" w:hAnsiTheme="minorEastAsia" w:cstheme="minorEastAsia"/>
          <w:b/>
          <w:bCs/>
          <w:sz w:val="21"/>
          <w:szCs w:val="21"/>
          <w:highlight w:val="none"/>
          <w:lang w:eastAsia="zh-CN"/>
        </w:rPr>
        <w:t>阶段</w:t>
      </w:r>
      <w:r>
        <w:rPr>
          <w:rFonts w:hint="eastAsia" w:asciiTheme="minorEastAsia" w:hAnsiTheme="minorEastAsia" w:eastAsiaTheme="minorEastAsia" w:cstheme="minorEastAsia"/>
          <w:b w:val="0"/>
          <w:bCs w:val="0"/>
          <w:sz w:val="21"/>
          <w:szCs w:val="21"/>
          <w:highlight w:val="none"/>
        </w:rPr>
        <w:t>两个阶段</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实施开发阶段包括咨询设计、蓝图规划、软件开发、系统上线运营及验收等全过程</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实施开发阶段费用</w:t>
      </w:r>
      <w:r>
        <w:rPr>
          <w:rFonts w:hint="eastAsia" w:asciiTheme="minorEastAsia" w:hAnsiTheme="minorEastAsia" w:eastAsiaTheme="minorEastAsia" w:cstheme="minorEastAsia"/>
          <w:sz w:val="21"/>
          <w:szCs w:val="21"/>
          <w:highlight w:val="none"/>
        </w:rPr>
        <w:t>最高限价为</w:t>
      </w:r>
      <w:r>
        <w:rPr>
          <w:rFonts w:hint="eastAsia" w:asciiTheme="minorEastAsia" w:hAnsiTheme="minorEastAsia" w:eastAsiaTheme="minorEastAsia" w:cstheme="minorEastAsia"/>
          <w:b/>
          <w:bCs/>
          <w:sz w:val="21"/>
          <w:szCs w:val="21"/>
          <w:highlight w:val="none"/>
        </w:rPr>
        <w:t>人民币（大写）：壹佰肆拾伍万元整，（小写）：¥1450000元（含税）</w:t>
      </w:r>
      <w:r>
        <w:rPr>
          <w:rFonts w:hint="eastAsia" w:asciiTheme="minorEastAsia" w:hAnsiTheme="minorEastAsia" w:cstheme="minorEastAsia"/>
          <w:b/>
          <w:bCs/>
          <w:sz w:val="21"/>
          <w:szCs w:val="21"/>
          <w:highlight w:val="none"/>
          <w:lang w:eastAsia="zh-CN"/>
        </w:rPr>
        <w:t>，</w:t>
      </w:r>
      <w:r>
        <w:rPr>
          <w:rFonts w:hint="eastAsia" w:asciiTheme="minorEastAsia" w:hAnsiTheme="minorEastAsia" w:eastAsiaTheme="minorEastAsia" w:cstheme="minorEastAsia"/>
          <w:b/>
          <w:bCs/>
          <w:sz w:val="21"/>
          <w:szCs w:val="21"/>
          <w:highlight w:val="none"/>
        </w:rPr>
        <w:t>后期年维护费不超过实施开发阶段费用的5%</w:t>
      </w:r>
      <w:r>
        <w:rPr>
          <w:rFonts w:hint="eastAsia" w:asciiTheme="minorEastAsia" w:hAnsiTheme="minorEastAsia" w:cstheme="minorEastAsia"/>
          <w:b w:val="0"/>
          <w:bCs w:val="0"/>
          <w:sz w:val="21"/>
          <w:szCs w:val="21"/>
          <w:highlight w:val="none"/>
          <w:lang w:eastAsia="zh-CN"/>
        </w:rPr>
        <w:t>。</w:t>
      </w:r>
      <w:r>
        <w:rPr>
          <w:rFonts w:hint="eastAsia" w:asciiTheme="minorEastAsia" w:hAnsiTheme="minorEastAsia" w:eastAsiaTheme="minorEastAsia" w:cstheme="minorEastAsia"/>
          <w:sz w:val="21"/>
          <w:szCs w:val="21"/>
          <w:highlight w:val="none"/>
        </w:rPr>
        <w:t>实施开发阶段费用</w:t>
      </w:r>
      <w:r>
        <w:rPr>
          <w:rFonts w:hint="eastAsia" w:asciiTheme="minorEastAsia" w:hAnsiTheme="minorEastAsia" w:eastAsiaTheme="minorEastAsia" w:cstheme="minorEastAsia"/>
          <w:sz w:val="21"/>
          <w:szCs w:val="21"/>
          <w:highlight w:val="none"/>
          <w:lang w:eastAsia="zh-CN"/>
        </w:rPr>
        <w:t>按</w:t>
      </w:r>
      <w:r>
        <w:rPr>
          <w:rFonts w:hint="eastAsia" w:asciiTheme="minorEastAsia" w:hAnsiTheme="minorEastAsia" w:eastAsiaTheme="minorEastAsia" w:cstheme="minorEastAsia"/>
          <w:b/>
          <w:bCs/>
          <w:sz w:val="21"/>
          <w:szCs w:val="21"/>
          <w:highlight w:val="none"/>
          <w:lang w:eastAsia="zh-CN"/>
        </w:rPr>
        <w:t>固定总价报价</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后期年维护费以实施开发阶段费为基数按</w:t>
      </w:r>
      <w:r>
        <w:rPr>
          <w:rFonts w:hint="eastAsia" w:asciiTheme="minorEastAsia" w:hAnsiTheme="minorEastAsia" w:eastAsiaTheme="minorEastAsia" w:cstheme="minorEastAsia"/>
          <w:b/>
          <w:bCs/>
          <w:sz w:val="21"/>
          <w:szCs w:val="21"/>
          <w:highlight w:val="none"/>
        </w:rPr>
        <w:t>比率</w:t>
      </w:r>
      <w:r>
        <w:rPr>
          <w:rFonts w:hint="eastAsia" w:asciiTheme="minorEastAsia" w:hAnsiTheme="minorEastAsia" w:cstheme="minorEastAsia"/>
          <w:sz w:val="21"/>
          <w:szCs w:val="21"/>
          <w:highlight w:val="none"/>
          <w:lang w:eastAsia="zh-CN"/>
        </w:rPr>
        <w:t>报价</w:t>
      </w:r>
      <w:r>
        <w:rPr>
          <w:rFonts w:hint="eastAsia" w:asciiTheme="minorEastAsia" w:hAnsiTheme="minorEastAsia" w:eastAsiaTheme="minorEastAsia" w:cstheme="minorEastAsia"/>
          <w:sz w:val="21"/>
          <w:szCs w:val="21"/>
          <w:highlight w:val="none"/>
        </w:rPr>
        <w:t>。投标人投标报价超出限价的按无效投标处理；投标报价应包括为完成各阶段工作内容以及后期服务所需的</w:t>
      </w:r>
      <w:r>
        <w:rPr>
          <w:rFonts w:hint="eastAsia" w:asciiTheme="minorEastAsia" w:hAnsiTheme="minorEastAsia" w:eastAsiaTheme="minorEastAsia" w:cstheme="minorEastAsia"/>
          <w:b/>
          <w:bCs/>
          <w:sz w:val="21"/>
          <w:szCs w:val="21"/>
          <w:highlight w:val="none"/>
        </w:rPr>
        <w:t>差旅费、食宿费</w:t>
      </w:r>
      <w:r>
        <w:rPr>
          <w:rFonts w:hint="eastAsia" w:asciiTheme="minorEastAsia" w:hAnsiTheme="minorEastAsia" w:eastAsiaTheme="minorEastAsia" w:cstheme="minorEastAsia"/>
          <w:sz w:val="21"/>
          <w:szCs w:val="21"/>
          <w:highlight w:val="none"/>
          <w:lang w:eastAsia="zh-CN"/>
        </w:rPr>
        <w:t>等</w:t>
      </w:r>
      <w:r>
        <w:rPr>
          <w:rFonts w:hint="eastAsia" w:asciiTheme="minorEastAsia" w:hAnsiTheme="minorEastAsia" w:eastAsiaTheme="minorEastAsia" w:cstheme="minorEastAsia"/>
          <w:sz w:val="21"/>
          <w:szCs w:val="21"/>
          <w:highlight w:val="none"/>
        </w:rPr>
        <w:t>全部费用及税费</w:t>
      </w:r>
      <w:r>
        <w:rPr>
          <w:rFonts w:hint="eastAsia" w:asciiTheme="minorEastAsia" w:hAnsiTheme="minorEastAsia" w:eastAsiaTheme="minorEastAsia" w:cstheme="minorEastAsia"/>
          <w:sz w:val="21"/>
          <w:szCs w:val="21"/>
          <w:highlight w:val="none"/>
          <w:lang w:eastAsia="zh-CN"/>
        </w:rPr>
        <w:t>，其他未尽事宜应</w:t>
      </w:r>
      <w:r>
        <w:rPr>
          <w:rFonts w:hint="eastAsia" w:asciiTheme="minorEastAsia" w:hAnsiTheme="minorEastAsia" w:eastAsiaTheme="minorEastAsia" w:cstheme="minorEastAsia"/>
          <w:sz w:val="21"/>
          <w:szCs w:val="21"/>
          <w:highlight w:val="none"/>
        </w:rPr>
        <w:t>统一考虑在报价内。</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三、投标人资格要求</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（一）具备独立的法人资格，具备独立承担民事责任的能力；</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（二）有依法缴纳税收和社会保障资金的良好记录；</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（三）具有行政主管部门颁发的合法有效的</w:t>
      </w:r>
      <w:r>
        <w:rPr>
          <w:rFonts w:hint="eastAsia" w:asciiTheme="minorEastAsia" w:hAnsiTheme="minorEastAsia" w:eastAsiaTheme="minorEastAsia" w:cstheme="minorEastAsia"/>
          <w:b/>
          <w:bCs/>
          <w:sz w:val="21"/>
          <w:szCs w:val="21"/>
          <w:highlight w:val="none"/>
        </w:rPr>
        <w:t>CMMI4及以上</w:t>
      </w:r>
      <w:r>
        <w:rPr>
          <w:rFonts w:hint="eastAsia" w:asciiTheme="minorEastAsia" w:hAnsiTheme="minorEastAsia" w:eastAsiaTheme="minorEastAsia" w:cstheme="minorEastAsia"/>
          <w:sz w:val="21"/>
          <w:szCs w:val="21"/>
          <w:highlight w:val="none"/>
        </w:rPr>
        <w:t>软件资质证书；</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（四）近三年</w:t>
      </w:r>
      <w:r>
        <w:rPr>
          <w:rFonts w:hint="eastAsia" w:asciiTheme="minorEastAsia" w:hAnsiTheme="minorEastAsia" w:eastAsiaTheme="minorEastAsia" w:cstheme="minorEastAsia"/>
          <w:b/>
          <w:bCs/>
          <w:sz w:val="21"/>
          <w:szCs w:val="21"/>
          <w:highlight w:val="none"/>
        </w:rPr>
        <w:t>（2017年1月1日至今）</w:t>
      </w:r>
      <w:r>
        <w:rPr>
          <w:rFonts w:hint="eastAsia" w:asciiTheme="minorEastAsia" w:hAnsiTheme="minorEastAsia" w:eastAsiaTheme="minorEastAsia" w:cstheme="minorEastAsia"/>
          <w:sz w:val="21"/>
          <w:szCs w:val="21"/>
          <w:highlight w:val="none"/>
        </w:rPr>
        <w:t>国内成功实施过至少3个单项合同金额</w:t>
      </w:r>
      <w:r>
        <w:rPr>
          <w:rFonts w:hint="eastAsia" w:asciiTheme="minorEastAsia" w:hAnsiTheme="minorEastAsia" w:eastAsiaTheme="minorEastAsia" w:cstheme="minorEastAsia"/>
          <w:b/>
          <w:bCs/>
          <w:sz w:val="21"/>
          <w:szCs w:val="21"/>
          <w:highlight w:val="none"/>
        </w:rPr>
        <w:t>不少于200万元</w:t>
      </w:r>
      <w:r>
        <w:rPr>
          <w:rFonts w:hint="eastAsia" w:asciiTheme="minorEastAsia" w:hAnsiTheme="minorEastAsia" w:eastAsiaTheme="minorEastAsia" w:cstheme="minorEastAsia"/>
          <w:sz w:val="21"/>
          <w:szCs w:val="21"/>
          <w:highlight w:val="none"/>
        </w:rPr>
        <w:t>企业财务共享中心项目业绩，业绩合同以合同签订时间为准。投标人须提供业绩合同复印件或扫描件，加盖单位公章并装订入投标文件中</w:t>
      </w:r>
      <w:r>
        <w:rPr>
          <w:rFonts w:hint="eastAsia" w:asciiTheme="minorEastAsia" w:hAnsiTheme="minorEastAsia" w:eastAsiaTheme="minorEastAsia" w:cstheme="minorEastAsia"/>
          <w:sz w:val="21"/>
          <w:szCs w:val="21"/>
          <w:highlight w:val="none"/>
          <w:lang w:eastAsia="zh-CN"/>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五</w:t>
      </w:r>
      <w:r>
        <w:rPr>
          <w:rFonts w:hint="eastAsia" w:asciiTheme="minorEastAsia" w:hAnsiTheme="minorEastAsia" w:eastAsiaTheme="minorEastAsia" w:cstheme="minorEastAsia"/>
          <w:sz w:val="21"/>
          <w:szCs w:val="21"/>
          <w:highlight w:val="none"/>
        </w:rPr>
        <w:t>）拟派项目负责人须具有5年及以上计算机信息系统行业经验，且在</w:t>
      </w:r>
      <w:r>
        <w:rPr>
          <w:rFonts w:hint="eastAsia" w:asciiTheme="minorEastAsia" w:hAnsiTheme="minorEastAsia" w:eastAsiaTheme="minorEastAsia" w:cstheme="minorEastAsia"/>
          <w:b/>
          <w:bCs/>
          <w:sz w:val="21"/>
          <w:szCs w:val="21"/>
          <w:highlight w:val="none"/>
        </w:rPr>
        <w:t>近三年（2017年1月1日至今）</w:t>
      </w:r>
      <w:r>
        <w:rPr>
          <w:rFonts w:hint="eastAsia" w:asciiTheme="minorEastAsia" w:hAnsiTheme="minorEastAsia" w:eastAsiaTheme="minorEastAsia" w:cstheme="minorEastAsia"/>
          <w:sz w:val="21"/>
          <w:szCs w:val="21"/>
          <w:highlight w:val="none"/>
        </w:rPr>
        <w:t>担任过单项合同金额</w:t>
      </w:r>
      <w:r>
        <w:rPr>
          <w:rFonts w:hint="eastAsia" w:asciiTheme="minorEastAsia" w:hAnsiTheme="minorEastAsia" w:eastAsiaTheme="minorEastAsia" w:cstheme="minorEastAsia"/>
          <w:b/>
          <w:bCs/>
          <w:sz w:val="21"/>
          <w:szCs w:val="21"/>
          <w:highlight w:val="none"/>
        </w:rPr>
        <w:t>不少于200万元</w:t>
      </w:r>
      <w:r>
        <w:rPr>
          <w:rFonts w:hint="eastAsia" w:asciiTheme="minorEastAsia" w:hAnsiTheme="minorEastAsia" w:eastAsiaTheme="minorEastAsia" w:cstheme="minorEastAsia"/>
          <w:sz w:val="21"/>
          <w:szCs w:val="21"/>
          <w:highlight w:val="none"/>
        </w:rPr>
        <w:t>企业财务共享中心项目负责人，要求提供</w:t>
      </w:r>
      <w:r>
        <w:rPr>
          <w:rFonts w:hint="eastAsia" w:asciiTheme="minorEastAsia" w:hAnsiTheme="minorEastAsia" w:eastAsiaTheme="minorEastAsia" w:cstheme="minorEastAsia"/>
          <w:b/>
          <w:bCs/>
          <w:sz w:val="21"/>
          <w:szCs w:val="21"/>
          <w:highlight w:val="none"/>
        </w:rPr>
        <w:t>至少1个</w:t>
      </w:r>
      <w:r>
        <w:rPr>
          <w:rFonts w:hint="eastAsia" w:asciiTheme="minorEastAsia" w:hAnsiTheme="minorEastAsia" w:eastAsiaTheme="minorEastAsia" w:cstheme="minorEastAsia"/>
          <w:sz w:val="21"/>
          <w:szCs w:val="21"/>
          <w:highlight w:val="none"/>
        </w:rPr>
        <w:t>项目负责人业绩。投标人须提供</w:t>
      </w:r>
      <w:r>
        <w:rPr>
          <w:rFonts w:hint="eastAsia" w:asciiTheme="minorEastAsia" w:hAnsiTheme="minorEastAsia" w:eastAsiaTheme="minorEastAsia" w:cstheme="minorEastAsia"/>
          <w:b/>
          <w:bCs/>
          <w:sz w:val="21"/>
          <w:szCs w:val="21"/>
          <w:highlight w:val="none"/>
        </w:rPr>
        <w:t>合同复印件和业主单位出具的人员业绩证明及业主单位联系方式等有效证明材料</w:t>
      </w:r>
      <w:r>
        <w:rPr>
          <w:rFonts w:hint="eastAsia" w:asciiTheme="minorEastAsia" w:hAnsiTheme="minorEastAsia" w:eastAsiaTheme="minorEastAsia" w:cstheme="minorEastAsia"/>
          <w:sz w:val="21"/>
          <w:szCs w:val="21"/>
          <w:highlight w:val="none"/>
        </w:rPr>
        <w:t>，加盖单位公章并装订入投标文件中，</w:t>
      </w:r>
      <w:r>
        <w:rPr>
          <w:rFonts w:hint="eastAsia" w:asciiTheme="minorEastAsia" w:hAnsiTheme="minorEastAsia" w:eastAsiaTheme="minorEastAsia" w:cstheme="minorEastAsia"/>
          <w:b/>
          <w:bCs/>
          <w:sz w:val="21"/>
          <w:szCs w:val="21"/>
          <w:highlight w:val="none"/>
        </w:rPr>
        <w:t>项目业绩时间以合同签订时间为准，业主单位出具的人员业绩证明以载明的服务期起始时间为准</w:t>
      </w:r>
      <w:r>
        <w:rPr>
          <w:rFonts w:hint="eastAsia" w:asciiTheme="minorEastAsia" w:hAnsiTheme="minorEastAsia" w:eastAsiaTheme="minorEastAsia" w:cstheme="minorEastAsia"/>
          <w:sz w:val="21"/>
          <w:szCs w:val="21"/>
          <w:highlight w:val="none"/>
        </w:rPr>
        <w:t>。同时要求提供由本单位为其缴纳的至少</w:t>
      </w:r>
      <w:r>
        <w:rPr>
          <w:rFonts w:hint="eastAsia" w:asciiTheme="minorEastAsia" w:hAnsiTheme="minorEastAsia" w:eastAsiaTheme="minorEastAsia" w:cstheme="minorEastAsia"/>
          <w:b/>
          <w:bCs/>
          <w:sz w:val="21"/>
          <w:szCs w:val="21"/>
          <w:highlight w:val="none"/>
        </w:rPr>
        <w:t>连续6个月</w:t>
      </w:r>
      <w:r>
        <w:rPr>
          <w:rFonts w:hint="eastAsia" w:asciiTheme="minorEastAsia" w:hAnsiTheme="minorEastAsia" w:eastAsiaTheme="minorEastAsia" w:cstheme="minorEastAsia"/>
          <w:sz w:val="21"/>
          <w:szCs w:val="21"/>
          <w:highlight w:val="none"/>
        </w:rPr>
        <w:t>的社保证明（由当地社保主管部门出具的2020年1月1日以来的有效社保证明）</w:t>
      </w:r>
      <w:r>
        <w:rPr>
          <w:rFonts w:hint="eastAsia" w:asciiTheme="minorEastAsia" w:hAnsiTheme="minorEastAsia" w:eastAsiaTheme="minorEastAsia" w:cstheme="minorEastAsia"/>
          <w:sz w:val="21"/>
          <w:szCs w:val="21"/>
          <w:highlight w:val="none"/>
          <w:lang w:eastAsia="zh-CN"/>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（六）具有履行合同所必须的设备、专业技术能力及办公场所；</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（七）</w:t>
      </w:r>
      <w:r>
        <w:rPr>
          <w:rFonts w:hint="eastAsia" w:asciiTheme="minorEastAsia" w:hAnsiTheme="minorEastAsia" w:eastAsiaTheme="minorEastAsia" w:cstheme="minorEastAsia"/>
          <w:sz w:val="21"/>
          <w:szCs w:val="21"/>
          <w:highlight w:val="none"/>
        </w:rPr>
        <w:t>本次招标</w:t>
      </w:r>
      <w:r>
        <w:rPr>
          <w:rFonts w:hint="eastAsia" w:asciiTheme="minorEastAsia" w:hAnsiTheme="minorEastAsia" w:eastAsiaTheme="minorEastAsia" w:cstheme="minorEastAsia"/>
          <w:sz w:val="21"/>
          <w:szCs w:val="21"/>
          <w:highlight w:val="none"/>
          <w:u w:val="single"/>
        </w:rPr>
        <w:t>不接受</w:t>
      </w:r>
      <w:r>
        <w:rPr>
          <w:rFonts w:hint="eastAsia" w:asciiTheme="minorEastAsia" w:hAnsiTheme="minorEastAsia" w:eastAsiaTheme="minorEastAsia" w:cstheme="minorEastAsia"/>
          <w:sz w:val="21"/>
          <w:szCs w:val="21"/>
          <w:highlight w:val="none"/>
        </w:rPr>
        <w:t>联合体投标。</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八</w:t>
      </w:r>
      <w:r>
        <w:rPr>
          <w:rFonts w:hint="eastAsia" w:asciiTheme="minorEastAsia" w:hAnsiTheme="minorEastAsia" w:eastAsiaTheme="minorEastAsia" w:cstheme="minorEastAsia"/>
          <w:sz w:val="21"/>
          <w:szCs w:val="21"/>
          <w:highlight w:val="none"/>
        </w:rPr>
        <w:t>）投标人存在以下不良信用记录情形之一的，不得推荐为中标候选人，更不得确定为中标人：</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1.投标人被人民法院列入失信被执行人的；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2.投标人或其法定代表人或拟派项目负责人被人民检察院列入行贿犯罪档案的；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3.投标人被工商行政管理部门列入企业经营异常名录的；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4.投标人被税务部门列入重大税收违法案件当事人名单的；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wordWrap w:val="0"/>
        <w:spacing w:line="480" w:lineRule="exact"/>
        <w:ind w:firstLine="422" w:firstLineChars="200"/>
        <w:rPr>
          <w:rFonts w:hint="eastAsia" w:asciiTheme="minorEastAsia" w:hAnsiTheme="minorEastAsia" w:cstheme="minorEastAsia"/>
          <w:b/>
          <w:bCs/>
          <w:sz w:val="21"/>
          <w:szCs w:val="21"/>
          <w:highlight w:val="none"/>
          <w:lang w:eastAsia="zh-CN"/>
        </w:rPr>
      </w:pPr>
      <w:r>
        <w:rPr>
          <w:rFonts w:hint="eastAsia" w:asciiTheme="minorEastAsia" w:hAnsiTheme="minorEastAsia" w:cstheme="minorEastAsia"/>
          <w:b/>
          <w:bCs/>
          <w:sz w:val="21"/>
          <w:szCs w:val="21"/>
          <w:highlight w:val="none"/>
          <w:lang w:eastAsia="zh-CN"/>
        </w:rPr>
        <w:t>四、招标文件的获取</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凡有意参加投标者，请于投标文件递交截止时间前到亳州交通投资控股集团有限公司官网信息公开栏（www.bzjkjt.com/article/index-94.html）自行下载电子招标文件及其他附件。</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五</w:t>
      </w:r>
      <w:r>
        <w:rPr>
          <w:rFonts w:hint="eastAsia" w:asciiTheme="minorEastAsia" w:hAnsiTheme="minorEastAsia" w:eastAsiaTheme="minorEastAsia" w:cstheme="minorEastAsia"/>
          <w:b/>
          <w:bCs/>
          <w:sz w:val="21"/>
          <w:szCs w:val="21"/>
          <w:highlight w:val="none"/>
        </w:rPr>
        <w:t>、投标文件的递交</w:t>
      </w:r>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（一）投标文件递交的截止时间（投标截止时间，下同）为</w:t>
      </w:r>
      <w:r>
        <w:rPr>
          <w:rFonts w:hint="eastAsia" w:asciiTheme="minorEastAsia" w:hAnsiTheme="minorEastAsia" w:cstheme="minorEastAsia"/>
          <w:b/>
          <w:bCs/>
          <w:sz w:val="21"/>
          <w:szCs w:val="21"/>
          <w:highlight w:val="none"/>
          <w:lang w:eastAsia="zh-CN"/>
        </w:rPr>
        <w:t>2020年7月31日14时30分</w:t>
      </w:r>
      <w:r>
        <w:rPr>
          <w:rFonts w:hint="eastAsia" w:asciiTheme="minorEastAsia" w:hAnsiTheme="minorEastAsia" w:eastAsiaTheme="minorEastAsia" w:cstheme="minorEastAsia"/>
          <w:sz w:val="21"/>
          <w:szCs w:val="21"/>
          <w:highlight w:val="none"/>
        </w:rPr>
        <w:t>，地点为亳州交通投资控股集团有限公司8楼会议室（药都大道与希夷大道交叉口东北角8楼）。</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（二）逾期送达的、未送达指定地点的或者不按照招标文件要求密封的投标文件，招标人将予以拒收。</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六</w:t>
      </w:r>
      <w:r>
        <w:rPr>
          <w:rFonts w:hint="eastAsia" w:asciiTheme="minorEastAsia" w:hAnsiTheme="minorEastAsia" w:eastAsiaTheme="minorEastAsia" w:cstheme="minorEastAsia"/>
          <w:b/>
          <w:bCs/>
          <w:sz w:val="21"/>
          <w:szCs w:val="21"/>
          <w:highlight w:val="none"/>
        </w:rPr>
        <w:t>、发布公告的媒介</w:t>
      </w:r>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本次招标公告同时在亳州交通投资控股集团有限公司官网（www.bzjkjt.com）、安徽省招标投标信息网（www.ahtba.org.cn）上发布。</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七</w:t>
      </w:r>
      <w:r>
        <w:rPr>
          <w:rFonts w:hint="eastAsia" w:asciiTheme="minorEastAsia" w:hAnsiTheme="minorEastAsia" w:eastAsiaTheme="minorEastAsia" w:cstheme="minorEastAsia"/>
          <w:b/>
          <w:bCs/>
          <w:sz w:val="21"/>
          <w:szCs w:val="21"/>
          <w:highlight w:val="none"/>
        </w:rPr>
        <w:t>、联系方式</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 标 人：亳州交通投资控股集团有限公司</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地    址：亳州市谯城区药都大道1289号</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联 系 人：</w:t>
      </w:r>
      <w:r>
        <w:rPr>
          <w:rFonts w:hint="eastAsia" w:asciiTheme="minorEastAsia" w:hAnsiTheme="minorEastAsia" w:eastAsiaTheme="minorEastAsia" w:cstheme="minorEastAsia"/>
          <w:sz w:val="21"/>
          <w:szCs w:val="21"/>
          <w:highlight w:val="none"/>
          <w:lang w:eastAsia="zh-CN"/>
        </w:rPr>
        <w:t>陈</w:t>
      </w:r>
      <w:r>
        <w:rPr>
          <w:rFonts w:hint="eastAsia" w:asciiTheme="minorEastAsia" w:hAnsiTheme="minorEastAsia" w:eastAsiaTheme="minorEastAsia" w:cstheme="minorEastAsia"/>
          <w:sz w:val="21"/>
          <w:szCs w:val="21"/>
          <w:highlight w:val="none"/>
        </w:rPr>
        <w:t>工</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电    话：</w:t>
      </w:r>
      <w:r>
        <w:rPr>
          <w:rFonts w:hint="eastAsia" w:asciiTheme="minorEastAsia" w:hAnsiTheme="minorEastAsia" w:eastAsiaTheme="minorEastAsia" w:cstheme="minorEastAsia"/>
          <w:sz w:val="21"/>
          <w:szCs w:val="21"/>
          <w:highlight w:val="none"/>
          <w:lang w:val="en-US" w:eastAsia="zh-CN"/>
        </w:rPr>
        <w:t>17756777055</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val="en-US" w:eastAsia="zh-CN"/>
        </w:rPr>
      </w:pP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招标平台：</w:t>
      </w:r>
      <w:r>
        <w:rPr>
          <w:rFonts w:hint="eastAsia" w:asciiTheme="minorEastAsia" w:hAnsiTheme="minorEastAsia" w:eastAsiaTheme="minorEastAsia" w:cstheme="minorEastAsia"/>
          <w:sz w:val="21"/>
          <w:szCs w:val="21"/>
          <w:highlight w:val="none"/>
          <w:lang w:eastAsia="zh-CN"/>
        </w:rPr>
        <w:t>亳州交控集团法务部（招投标中心）</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地    址：亳州市谯城区药都大道1289号</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联 系 人：</w:t>
      </w:r>
      <w:r>
        <w:rPr>
          <w:rFonts w:hint="eastAsia" w:asciiTheme="minorEastAsia" w:hAnsiTheme="minorEastAsia" w:eastAsiaTheme="minorEastAsia" w:cstheme="minorEastAsia"/>
          <w:sz w:val="21"/>
          <w:szCs w:val="21"/>
          <w:highlight w:val="none"/>
          <w:lang w:eastAsia="zh-CN"/>
        </w:rPr>
        <w:t>才工</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电    话：</w:t>
      </w:r>
      <w:r>
        <w:rPr>
          <w:rFonts w:hint="eastAsia" w:asciiTheme="minorEastAsia" w:hAnsiTheme="minorEastAsia" w:eastAsiaTheme="minorEastAsia" w:cstheme="minorEastAsia"/>
          <w:sz w:val="21"/>
          <w:szCs w:val="21"/>
          <w:highlight w:val="none"/>
          <w:lang w:eastAsia="zh-CN"/>
        </w:rPr>
        <w:t>0558-5190035</w:t>
      </w:r>
    </w:p>
    <w:p>
      <w:pPr>
        <w:wordWrap w:val="0"/>
        <w:spacing w:line="480" w:lineRule="exact"/>
        <w:rPr>
          <w:rFonts w:hint="eastAsia" w:asciiTheme="minorEastAsia" w:hAnsiTheme="minorEastAsia" w:eastAsiaTheme="minorEastAsia" w:cstheme="minorEastAsia"/>
          <w:sz w:val="21"/>
          <w:szCs w:val="21"/>
          <w:highlight w:val="none"/>
        </w:rPr>
      </w:pPr>
    </w:p>
    <w:p>
      <w:pPr>
        <w:wordWrap w:val="0"/>
        <w:spacing w:line="480" w:lineRule="exact"/>
        <w:rPr>
          <w:rFonts w:hint="eastAsia" w:asciiTheme="minorEastAsia" w:hAnsiTheme="minorEastAsia" w:eastAsiaTheme="minorEastAsia" w:cstheme="minorEastAsia"/>
          <w:sz w:val="21"/>
          <w:szCs w:val="21"/>
          <w:highlight w:val="none"/>
        </w:rPr>
      </w:pPr>
    </w:p>
    <w:p>
      <w:pPr>
        <w:wordWrap w:val="0"/>
        <w:spacing w:line="480" w:lineRule="exact"/>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亳州交通投资控股集团有限公司</w:t>
      </w:r>
    </w:p>
    <w:p>
      <w:pPr>
        <w:wordWrap w:val="0"/>
        <w:spacing w:line="480" w:lineRule="exact"/>
        <w:ind w:firstLine="4410" w:firstLineChars="2100"/>
        <w:jc w:val="center"/>
        <w:rPr>
          <w:rFonts w:ascii="Times New Roman" w:hAnsi="Times New Roman" w:eastAsia="仿宋_GB2312" w:cs="Times New Roman"/>
          <w:kern w:val="0"/>
          <w:sz w:val="32"/>
          <w:szCs w:val="32"/>
          <w:highlight w:val="none"/>
        </w:rPr>
      </w:pPr>
      <w:r>
        <w:rPr>
          <w:rFonts w:hint="eastAsia" w:asciiTheme="minorEastAsia" w:hAnsi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eastAsia="zh-CN"/>
        </w:rPr>
        <w:t>2020年</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lang w:eastAsia="zh-CN"/>
        </w:rPr>
        <w:t>月</w:t>
      </w:r>
      <w:r>
        <w:rPr>
          <w:rFonts w:hint="eastAsia" w:asciiTheme="minorEastAsia" w:hAnsiTheme="minorEastAsia" w:cstheme="minorEastAsia"/>
          <w:sz w:val="21"/>
          <w:szCs w:val="21"/>
          <w:highlight w:val="none"/>
          <w:lang w:val="en-US" w:eastAsia="zh-CN"/>
        </w:rPr>
        <w:t>25</w:t>
      </w:r>
      <w:r>
        <w:rPr>
          <w:rFonts w:hint="eastAsia" w:asciiTheme="minorEastAsia" w:hAnsiTheme="minorEastAsia" w:eastAsiaTheme="minorEastAsia" w:cstheme="minorEastAsia"/>
          <w:sz w:val="21"/>
          <w:szCs w:val="21"/>
          <w:highlight w:val="none"/>
          <w:lang w:eastAsia="zh-CN"/>
        </w:rPr>
        <w:t>日</w:t>
      </w:r>
      <w:r>
        <w:rPr>
          <w:rFonts w:ascii="Times New Roman" w:hAnsi="Times New Roman" w:eastAsia="仿宋_GB2312" w:cs="Times New Roman"/>
          <w:kern w:val="0"/>
          <w:sz w:val="32"/>
          <w:szCs w:val="32"/>
          <w:highlight w:val="none"/>
        </w:rPr>
        <w:br w:type="page"/>
      </w:r>
    </w:p>
    <w:p>
      <w:pPr>
        <w:wordWrap w:val="0"/>
        <w:spacing w:line="480" w:lineRule="exact"/>
        <w:jc w:val="center"/>
        <w:rPr>
          <w:rFonts w:hint="eastAsia"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详见第一章招标公告、第四章合同条款及格式、第五章</w:t>
            </w:r>
            <w:r>
              <w:rPr>
                <w:rFonts w:hint="eastAsia" w:ascii="Times New Roman" w:hAnsi="Times New Roman" w:cs="Times New Roman"/>
                <w:sz w:val="21"/>
                <w:szCs w:val="21"/>
                <w:highlight w:val="none"/>
                <w:lang w:eastAsia="zh-CN"/>
              </w:rPr>
              <w:t>招标人要求</w:t>
            </w:r>
            <w:r>
              <w:rPr>
                <w:rFonts w:hint="eastAsia" w:ascii="Times New Roman" w:hAnsi="Times New Roman" w:cs="Times New Roman"/>
                <w:sz w:val="21"/>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2" w:firstLineChars="200"/>
              <w:rPr>
                <w:rFonts w:ascii="Times New Roman" w:hAnsi="Times New Roman" w:cs="Times New Roman"/>
                <w:szCs w:val="21"/>
                <w:highlight w:val="none"/>
              </w:rPr>
            </w:pPr>
            <w:r>
              <w:rPr>
                <w:rFonts w:hint="eastAsia" w:asciiTheme="minorEastAsia" w:hAnsiTheme="minorEastAsia" w:cstheme="minorEastAsia"/>
                <w:b/>
                <w:bCs/>
                <w:szCs w:val="21"/>
              </w:rPr>
              <w:t>2020年7月</w:t>
            </w:r>
            <w:r>
              <w:rPr>
                <w:rFonts w:hint="eastAsia" w:asciiTheme="minorEastAsia" w:hAnsiTheme="minorEastAsia" w:cstheme="minorEastAsia"/>
                <w:b/>
                <w:bCs/>
                <w:szCs w:val="21"/>
                <w:lang w:val="en-US" w:eastAsia="zh-CN"/>
              </w:rPr>
              <w:t>30</w:t>
            </w:r>
            <w:bookmarkStart w:id="127" w:name="_GoBack"/>
            <w:bookmarkEnd w:id="127"/>
            <w:r>
              <w:rPr>
                <w:rFonts w:hint="eastAsia" w:asciiTheme="minorEastAsia" w:hAnsiTheme="minorEastAsia" w:cstheme="minorEastAsia"/>
                <w:b/>
                <w:bCs/>
                <w:szCs w:val="21"/>
              </w:rPr>
              <w:t>日17时30分前</w:t>
            </w:r>
            <w:r>
              <w:rPr>
                <w:rFonts w:hint="eastAsia" w:asciiTheme="minorEastAsia" w:hAnsiTheme="minorEastAsia" w:cstheme="minorEastAsia"/>
                <w:szCs w:val="21"/>
              </w:rPr>
              <w:t>，投标人的</w:t>
            </w:r>
            <w:r>
              <w:rPr>
                <w:rFonts w:hint="eastAsia" w:asciiTheme="minorEastAsia" w:hAnsiTheme="minorEastAsia" w:cstheme="minorEastAsia"/>
                <w:b/>
                <w:bCs/>
                <w:szCs w:val="21"/>
              </w:rPr>
              <w:t>投标意向确认书</w:t>
            </w:r>
            <w:r>
              <w:rPr>
                <w:rFonts w:hint="eastAsia" w:asciiTheme="minorEastAsia" w:hAnsiTheme="minorEastAsia" w:cstheme="minorEastAsia"/>
                <w:szCs w:val="21"/>
              </w:rPr>
              <w:t>扫描件发送至招标人</w:t>
            </w:r>
            <w:r>
              <w:rPr>
                <w:rFonts w:hint="eastAsia" w:asciiTheme="minorEastAsia" w:hAnsiTheme="minorEastAsia" w:cstheme="minorEastAsia"/>
                <w:b/>
                <w:bCs/>
                <w:szCs w:val="21"/>
              </w:rPr>
              <w:t>指定邮箱2998147858@qq.com</w:t>
            </w:r>
            <w:r>
              <w:rPr>
                <w:rFonts w:hint="eastAsia" w:asciiTheme="minorEastAsia" w:hAnsiTheme="minorEastAsia" w:cstheme="minorEastAsia"/>
                <w:szCs w:val="21"/>
              </w:rPr>
              <w:t>，无需以纸质形式回复，</w:t>
            </w:r>
            <w:r>
              <w:rPr>
                <w:rFonts w:hint="eastAsia" w:asciiTheme="minorEastAsia" w:hAnsiTheme="minorEastAsia" w:cstheme="minorEastAsia"/>
                <w:b/>
                <w:bCs/>
                <w:szCs w:val="21"/>
              </w:rPr>
              <w:t>邮件到达时间视为投标人确认时间</w:t>
            </w:r>
            <w:r>
              <w:rPr>
                <w:rFonts w:hint="eastAsia" w:asciiTheme="minorEastAsia" w:hAnsiTheme="minorEastAsia" w:cstheme="minorEastAsia"/>
                <w:szCs w:val="21"/>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eastAsiaTheme="minorEastAsia"/>
                <w:b/>
                <w:bCs/>
                <w:szCs w:val="21"/>
                <w:highlight w:val="none"/>
                <w:lang w:eastAsia="zh-CN"/>
              </w:rPr>
              <w:t>实施开发阶段费用按固定总价报价，后期年维护费以实施开发阶段费为基数按比率报价。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贰万玖仟</w:t>
            </w:r>
            <w:r>
              <w:rPr>
                <w:rFonts w:hint="eastAsia" w:ascii="Times New Roman" w:hAnsi="Times New Roman" w:cs="Times New Roman"/>
                <w:szCs w:val="21"/>
                <w:highlight w:val="none"/>
              </w:rPr>
              <w:t>元</w:t>
            </w:r>
            <w:r>
              <w:rPr>
                <w:rFonts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29000</w:t>
            </w:r>
            <w:r>
              <w:rPr>
                <w:rFonts w:ascii="Times New Roman" w:hAnsi="Times New Roman" w:cs="Times New Roman"/>
                <w:szCs w:val="21"/>
                <w:highlight w:val="none"/>
              </w:rPr>
              <w:t>元。</w:t>
            </w: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lang w:eastAsia="zh-CN"/>
              </w:rPr>
              <w:t>BZJK-2020-027号</w:t>
            </w:r>
            <w:r>
              <w:rPr>
                <w:rFonts w:hint="eastAsia" w:ascii="Times New Roman" w:hAnsi="Times New Roman" w:cs="Times New Roman"/>
                <w:b/>
                <w:bCs/>
                <w:szCs w:val="21"/>
                <w:highlight w:val="none"/>
              </w:rPr>
              <w:t>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u w:val="none"/>
              </w:rPr>
              <w:t>201</w:t>
            </w:r>
            <w:r>
              <w:rPr>
                <w:rFonts w:hint="eastAsia" w:ascii="Times New Roman" w:hAnsi="Times New Roman" w:cs="Times New Roman"/>
                <w:b/>
                <w:bCs/>
                <w:szCs w:val="21"/>
                <w:highlight w:val="none"/>
                <w:u w:val="none"/>
                <w:lang w:val="en-US" w:eastAsia="zh-CN"/>
              </w:rPr>
              <w:t>8</w:t>
            </w:r>
            <w:r>
              <w:rPr>
                <w:rFonts w:hint="eastAsia" w:ascii="Times New Roman" w:hAnsi="Times New Roman" w:cs="Times New Roman"/>
                <w:b/>
                <w:bCs/>
                <w:szCs w:val="21"/>
                <w:highlight w:val="none"/>
                <w:u w:val="none"/>
              </w:rPr>
              <w:t>年至201</w:t>
            </w:r>
            <w:r>
              <w:rPr>
                <w:rFonts w:hint="eastAsia" w:ascii="Times New Roman" w:hAnsi="Times New Roman" w:cs="Times New Roman"/>
                <w:b/>
                <w:bCs/>
                <w:szCs w:val="21"/>
                <w:highlight w:val="none"/>
                <w:u w:val="none"/>
                <w:lang w:val="en-US" w:eastAsia="zh-CN"/>
              </w:rPr>
              <w:t>9</w:t>
            </w:r>
            <w:r>
              <w:rPr>
                <w:rFonts w:hint="eastAsia" w:ascii="Times New Roman" w:hAnsi="Times New Roman" w:cs="Times New Roman"/>
                <w:b/>
                <w:bCs/>
                <w:szCs w:val="21"/>
                <w:highlight w:val="none"/>
                <w:u w:val="none"/>
              </w:rPr>
              <w:t>年</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w:t>
            </w:r>
            <w:r>
              <w:rPr>
                <w:rFonts w:hint="eastAsia" w:ascii="Times New Roman" w:hAnsi="Times New Roman" w:cs="Times New Roman"/>
                <w:b/>
                <w:bCs/>
                <w:szCs w:val="21"/>
                <w:highlight w:val="none"/>
                <w:lang w:val="en-US" w:eastAsia="zh-CN"/>
              </w:rPr>
              <w:t>4</w:t>
            </w:r>
            <w:r>
              <w:rPr>
                <w:rFonts w:hint="eastAsia" w:ascii="Times New Roman" w:hAnsi="Times New Roman" w:cs="Times New Roman"/>
                <w:b/>
                <w:bCs/>
                <w:szCs w:val="21"/>
                <w:highlight w:val="none"/>
              </w:rPr>
              <w:t>份</w:t>
            </w:r>
          </w:p>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是否要求提交电子版文件</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是，以U盘形式提交。</w:t>
            </w:r>
          </w:p>
          <w:p>
            <w:pPr>
              <w:wordWrap w:val="0"/>
              <w:spacing w:line="430" w:lineRule="exact"/>
              <w:rPr>
                <w:rFonts w:hint="default"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rPr>
              <w:t>是否要求现场述标：</w:t>
            </w:r>
            <w:r>
              <w:rPr>
                <w:rFonts w:hint="eastAsia" w:ascii="Times New Roman" w:hAnsi="Times New Roman" w:cs="Times New Roman"/>
                <w:b/>
                <w:bCs/>
                <w:szCs w:val="21"/>
                <w:highlight w:val="none"/>
              </w:rPr>
              <w:t>是，</w:t>
            </w:r>
            <w:r>
              <w:rPr>
                <w:rFonts w:hint="eastAsia" w:ascii="Times New Roman" w:hAnsi="Times New Roman" w:cs="Times New Roman"/>
                <w:b/>
                <w:bCs/>
                <w:szCs w:val="21"/>
                <w:highlight w:val="none"/>
                <w:lang w:eastAsia="zh-CN"/>
              </w:rPr>
              <w:t>投标人</w:t>
            </w:r>
            <w:r>
              <w:rPr>
                <w:rFonts w:hint="eastAsia" w:ascii="Times New Roman" w:hAnsi="Times New Roman" w:cs="Times New Roman"/>
                <w:b/>
                <w:bCs/>
                <w:szCs w:val="21"/>
                <w:highlight w:val="none"/>
              </w:rPr>
              <w:t>自行准备演示</w:t>
            </w:r>
            <w:r>
              <w:rPr>
                <w:rFonts w:hint="eastAsia" w:ascii="Times New Roman" w:hAnsi="Times New Roman" w:cs="Times New Roman"/>
                <w:b/>
                <w:bCs/>
                <w:szCs w:val="21"/>
                <w:highlight w:val="none"/>
                <w:lang w:eastAsia="zh-CN"/>
              </w:rPr>
              <w:t>文稿放入提交的</w:t>
            </w:r>
            <w:r>
              <w:rPr>
                <w:rFonts w:hint="eastAsia" w:ascii="Times New Roman" w:hAnsi="Times New Roman" w:cs="Times New Roman"/>
                <w:b/>
                <w:bCs/>
                <w:szCs w:val="21"/>
                <w:highlight w:val="none"/>
                <w:lang w:val="en-US" w:eastAsia="zh-CN"/>
              </w:rPr>
              <w:t>U盘中</w:t>
            </w:r>
            <w:r>
              <w:rPr>
                <w:rFonts w:hint="eastAsia" w:ascii="Times New Roman" w:hAnsi="Times New Roman" w:cs="Times New Roman"/>
                <w:b/>
                <w:bCs/>
                <w:szCs w:val="21"/>
                <w:highlight w:val="none"/>
                <w:lang w:eastAsia="zh-CN"/>
              </w:rPr>
              <w:t>，每家投标人述标时间不超过</w:t>
            </w:r>
            <w:r>
              <w:rPr>
                <w:rFonts w:hint="eastAsia" w:ascii="Times New Roman" w:hAnsi="Times New Roman" w:cs="Times New Roman"/>
                <w:b/>
                <w:bCs/>
                <w:szCs w:val="21"/>
                <w:highlight w:val="none"/>
                <w:lang w:val="en-US" w:eastAsia="zh-CN"/>
              </w:rPr>
              <w:t>15min。</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2" w:firstLineChars="200"/>
              <w:rPr>
                <w:rFonts w:ascii="Times New Roman" w:hAnsi="Times New Roman" w:cs="Times New Roman"/>
                <w:szCs w:val="21"/>
                <w:highlight w:val="none"/>
              </w:rPr>
            </w:pPr>
            <w:r>
              <w:rPr>
                <w:rFonts w:hint="eastAsia" w:ascii="Times New Roman" w:hAnsi="Times New Roman" w:cs="Times New Roman"/>
                <w:b/>
                <w:bCs/>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招标人名称：</w:t>
            </w:r>
            <w:r>
              <w:rPr>
                <w:rFonts w:hint="eastAsia" w:ascii="Times New Roman" w:hAnsi="Times New Roman" w:cs="Times New Roman"/>
                <w:szCs w:val="21"/>
                <w:highlight w:val="none"/>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亳州交通投资控股集团有限公司财务共享中心项目</w:t>
            </w:r>
            <w:r>
              <w:rPr>
                <w:rFonts w:ascii="Times New Roman" w:hAnsi="Times New Roman" w:cs="Times New Roman"/>
                <w:szCs w:val="21"/>
                <w:highlight w:val="none"/>
              </w:rPr>
              <w:t>投标文件</w:t>
            </w:r>
          </w:p>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招标项目编号：</w:t>
            </w:r>
            <w:r>
              <w:rPr>
                <w:rFonts w:hint="eastAsia" w:ascii="Times New Roman" w:hAnsi="Times New Roman" w:cs="Times New Roman"/>
                <w:szCs w:val="21"/>
                <w:highlight w:val="none"/>
                <w:lang w:eastAsia="zh-CN"/>
              </w:rPr>
              <w:t>BZJK-2020-027号</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在</w:t>
            </w:r>
            <w:r>
              <w:rPr>
                <w:rFonts w:ascii="Times New Roman" w:hAnsi="Times New Roman" w:cs="Times New Roman"/>
                <w:b/>
                <w:bCs/>
                <w:szCs w:val="21"/>
                <w:highlight w:val="none"/>
                <w:u w:val="none"/>
              </w:rPr>
              <w:t>20</w:t>
            </w:r>
            <w:r>
              <w:rPr>
                <w:rFonts w:hint="eastAsia" w:ascii="Times New Roman" w:hAnsi="Times New Roman" w:cs="Times New Roman"/>
                <w:b/>
                <w:bCs/>
                <w:szCs w:val="21"/>
                <w:highlight w:val="none"/>
                <w:u w:val="none"/>
              </w:rPr>
              <w:t>20</w:t>
            </w:r>
            <w:r>
              <w:rPr>
                <w:rFonts w:ascii="Times New Roman" w:hAnsi="Times New Roman" w:cs="Times New Roman"/>
                <w:b/>
                <w:bCs/>
                <w:szCs w:val="21"/>
                <w:highlight w:val="none"/>
                <w:u w:val="none"/>
              </w:rPr>
              <w:t>年</w:t>
            </w:r>
            <w:r>
              <w:rPr>
                <w:rFonts w:hint="eastAsia" w:ascii="Times New Roman" w:hAnsi="Times New Roman" w:cs="Times New Roman"/>
                <w:b/>
                <w:bCs/>
                <w:szCs w:val="21"/>
                <w:highlight w:val="none"/>
                <w:u w:val="none"/>
                <w:lang w:val="en-US" w:eastAsia="zh-CN"/>
              </w:rPr>
              <w:t xml:space="preserve">7 </w:t>
            </w:r>
            <w:r>
              <w:rPr>
                <w:rFonts w:ascii="Times New Roman" w:hAnsi="Times New Roman" w:cs="Times New Roman"/>
                <w:b/>
                <w:bCs/>
                <w:szCs w:val="21"/>
                <w:highlight w:val="none"/>
                <w:u w:val="none"/>
              </w:rPr>
              <w:t>月</w:t>
            </w:r>
            <w:r>
              <w:rPr>
                <w:rFonts w:hint="eastAsia" w:ascii="Times New Roman" w:hAnsi="Times New Roman" w:cs="Times New Roman"/>
                <w:b/>
                <w:bCs/>
                <w:szCs w:val="21"/>
                <w:highlight w:val="none"/>
                <w:u w:val="none"/>
                <w:lang w:val="en-US" w:eastAsia="zh-CN"/>
              </w:rPr>
              <w:t xml:space="preserve"> 31 </w:t>
            </w:r>
            <w:r>
              <w:rPr>
                <w:rFonts w:ascii="Times New Roman" w:hAnsi="Times New Roman" w:cs="Times New Roman"/>
                <w:b/>
                <w:bCs/>
                <w:szCs w:val="21"/>
                <w:highlight w:val="none"/>
                <w:u w:val="none"/>
              </w:rPr>
              <w:t>日</w:t>
            </w:r>
            <w:r>
              <w:rPr>
                <w:rFonts w:hint="eastAsia" w:ascii="Times New Roman" w:hAnsi="Times New Roman" w:cs="Times New Roman"/>
                <w:b/>
                <w:bCs/>
                <w:szCs w:val="21"/>
                <w:highlight w:val="none"/>
                <w:u w:val="none"/>
                <w:lang w:val="en-US" w:eastAsia="zh-CN"/>
              </w:rPr>
              <w:t>14</w:t>
            </w:r>
            <w:r>
              <w:rPr>
                <w:rFonts w:ascii="Times New Roman" w:hAnsi="Times New Roman" w:cs="Times New Roman"/>
                <w:b/>
                <w:bCs/>
                <w:szCs w:val="21"/>
                <w:highlight w:val="none"/>
                <w:u w:val="none"/>
              </w:rPr>
              <w:t>时</w:t>
            </w:r>
            <w:r>
              <w:rPr>
                <w:rFonts w:hint="eastAsia" w:ascii="Times New Roman" w:hAnsi="Times New Roman" w:cs="Times New Roman"/>
                <w:b/>
                <w:bCs/>
                <w:szCs w:val="21"/>
                <w:highlight w:val="none"/>
                <w:u w:val="none"/>
                <w:lang w:val="en-US" w:eastAsia="zh-CN"/>
              </w:rPr>
              <w:t>3</w:t>
            </w:r>
            <w:r>
              <w:rPr>
                <w:rFonts w:ascii="Times New Roman" w:hAnsi="Times New Roman" w:cs="Times New Roman"/>
                <w:b/>
                <w:bCs/>
                <w:szCs w:val="21"/>
                <w:highlight w:val="none"/>
                <w:u w:val="none"/>
              </w:rPr>
              <w:t>0分</w:t>
            </w:r>
            <w:r>
              <w:rPr>
                <w:rFonts w:ascii="Times New Roman" w:hAnsi="Times New Roman" w:cs="Times New Roman"/>
                <w:b/>
                <w:bCs/>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szCs w:val="21"/>
                <w:highlight w:val="none"/>
              </w:rPr>
            </w:pPr>
            <w:r>
              <w:rPr>
                <w:rFonts w:hint="eastAsia" w:ascii="Times New Roman" w:hAnsi="Times New Roman" w:cs="Times New Roman"/>
                <w:szCs w:val="21"/>
                <w:highlight w:val="none"/>
              </w:rPr>
              <w:t>2020年</w:t>
            </w:r>
            <w:r>
              <w:rPr>
                <w:rFonts w:hint="eastAsia" w:ascii="Times New Roman" w:hAnsi="Times New Roman" w:cs="Times New Roman"/>
                <w:szCs w:val="21"/>
                <w:highlight w:val="none"/>
                <w:lang w:val="en-US" w:eastAsia="zh-CN"/>
              </w:rPr>
              <w:t xml:space="preserve"> 7 </w:t>
            </w:r>
            <w:r>
              <w:rPr>
                <w:rFonts w:hint="eastAsia" w:ascii="Times New Roman" w:hAnsi="Times New Roman" w:cs="Times New Roman"/>
                <w:szCs w:val="21"/>
                <w:highlight w:val="none"/>
              </w:rPr>
              <w:t>月</w:t>
            </w:r>
            <w:r>
              <w:rPr>
                <w:rFonts w:hint="eastAsia" w:ascii="Times New Roman" w:hAnsi="Times New Roman" w:cs="Times New Roman"/>
                <w:szCs w:val="21"/>
                <w:highlight w:val="none"/>
                <w:lang w:val="en-US" w:eastAsia="zh-CN"/>
              </w:rPr>
              <w:t>31</w:t>
            </w:r>
            <w:r>
              <w:rPr>
                <w:rFonts w:hint="eastAsia" w:ascii="Times New Roman" w:hAnsi="Times New Roman" w:cs="Times New Roman"/>
                <w:szCs w:val="21"/>
                <w:highlight w:val="none"/>
              </w:rPr>
              <w:t>日</w:t>
            </w:r>
            <w:r>
              <w:rPr>
                <w:rFonts w:hint="eastAsia" w:ascii="Times New Roman" w:hAnsi="Times New Roman" w:cs="Times New Roman"/>
                <w:szCs w:val="21"/>
                <w:highlight w:val="none"/>
                <w:lang w:val="en-US" w:eastAsia="zh-CN"/>
              </w:rPr>
              <w:t>14</w:t>
            </w:r>
            <w:r>
              <w:rPr>
                <w:rFonts w:hint="eastAsia" w:ascii="Times New Roman" w:hAnsi="Times New Roman" w:cs="Times New Roman"/>
                <w:szCs w:val="21"/>
                <w:highlight w:val="none"/>
              </w:rPr>
              <w:t>时</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rPr>
              <w:t>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履约担保的形式：</w:t>
            </w:r>
            <w:r>
              <w:rPr>
                <w:rFonts w:hint="eastAsia" w:ascii="Times New Roman" w:hAnsi="Times New Roman" w:cs="Times New Roman"/>
                <w:b/>
                <w:bCs/>
                <w:szCs w:val="21"/>
                <w:highlight w:val="none"/>
                <w:lang w:eastAsia="zh-CN"/>
              </w:rPr>
              <w:t>汇款或银行保函形式</w:t>
            </w:r>
            <w:r>
              <w:rPr>
                <w:rFonts w:hint="eastAsia" w:ascii="Times New Roman" w:hAnsi="Times New Roman" w:cs="Times New Roman"/>
                <w:szCs w:val="21"/>
                <w:highlight w:val="none"/>
                <w:lang w:eastAsia="zh-CN"/>
              </w:rPr>
              <w:t>。</w:t>
            </w:r>
            <w:r>
              <w:rPr>
                <w:rFonts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rPr>
              <w:t>0</w:t>
            </w:r>
            <w:r>
              <w:rPr>
                <w:rFonts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eastAsia="zh-CN"/>
              </w:rPr>
              <w:t>或保函</w:t>
            </w:r>
            <w:r>
              <w:rPr>
                <w:rFonts w:ascii="Times New Roman" w:hAnsi="Times New Roman" w:cs="Times New Roman"/>
                <w:szCs w:val="21"/>
                <w:highlight w:val="none"/>
              </w:rPr>
              <w:t>。</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履约担保的金额：</w:t>
            </w:r>
            <w:r>
              <w:rPr>
                <w:rFonts w:ascii="Times New Roman" w:hAnsi="Times New Roman" w:cs="Times New Roman"/>
                <w:b/>
                <w:bCs/>
                <w:szCs w:val="21"/>
                <w:highlight w:val="none"/>
              </w:rPr>
              <w:t>中标价的</w:t>
            </w:r>
            <w:r>
              <w:rPr>
                <w:rFonts w:hint="eastAsia" w:ascii="Times New Roman" w:hAnsi="Times New Roman" w:cs="Times New Roman"/>
                <w:b/>
                <w:bCs/>
                <w:szCs w:val="21"/>
                <w:highlight w:val="none"/>
              </w:rPr>
              <w:t>10</w:t>
            </w:r>
            <w:r>
              <w:rPr>
                <w:rFonts w:ascii="Times New Roman" w:hAnsi="Times New Roman" w:cs="Times New Roman"/>
                <w:b/>
                <w:bCs/>
                <w:szCs w:val="21"/>
                <w:highlight w:val="none"/>
              </w:rPr>
              <w:t>%</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w:t>
            </w:r>
            <w:r>
              <w:rPr>
                <w:rFonts w:ascii="Times New Roman" w:hAnsi="Times New Roman" w:cs="Times New Roman"/>
                <w:b/>
                <w:bCs/>
                <w:szCs w:val="21"/>
                <w:highlight w:val="none"/>
              </w:rPr>
              <w:t>无违约行为发生或违约行为已处理的情况下，</w:t>
            </w:r>
            <w:r>
              <w:rPr>
                <w:rFonts w:hint="eastAsia" w:ascii="Times New Roman" w:hAnsi="Times New Roman" w:cs="Times New Roman"/>
                <w:b/>
                <w:bCs/>
                <w:szCs w:val="21"/>
                <w:highlight w:val="none"/>
              </w:rPr>
              <w:t>各模块满足招标人运行要求、</w:t>
            </w:r>
            <w:r>
              <w:rPr>
                <w:rFonts w:hint="eastAsia" w:ascii="Times New Roman" w:hAnsi="Times New Roman" w:cs="Times New Roman"/>
                <w:b/>
                <w:bCs/>
                <w:szCs w:val="21"/>
                <w:highlight w:val="none"/>
                <w:lang w:eastAsia="zh-CN"/>
              </w:rPr>
              <w:t>系统</w:t>
            </w:r>
            <w:r>
              <w:rPr>
                <w:rFonts w:hint="eastAsia" w:ascii="Times New Roman" w:hAnsi="Times New Roman" w:cs="Times New Roman"/>
                <w:b/>
                <w:bCs/>
                <w:szCs w:val="21"/>
                <w:highlight w:val="none"/>
              </w:rPr>
              <w:t>正式上线并经招标人最终验收合格后10个工作日内无息退还</w:t>
            </w:r>
            <w:r>
              <w:rPr>
                <w:rFonts w:ascii="Times New Roman" w:hAnsi="Times New Roman" w:cs="Times New Roman"/>
                <w:b/>
                <w:bCs/>
                <w:szCs w:val="21"/>
                <w:highlight w:val="none"/>
              </w:rPr>
              <w:t>（无息）</w:t>
            </w:r>
            <w:r>
              <w:rPr>
                <w:rFonts w:ascii="Times New Roman" w:hAnsi="Times New Roman" w:cs="Times New Roman"/>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特别提示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rPr>
              <w:t>若中标人未按照合同及招标文件约定开展工作或提交的成果</w:t>
            </w:r>
            <w:r>
              <w:rPr>
                <w:rFonts w:hint="eastAsia" w:ascii="Times New Roman" w:hAnsi="Times New Roman" w:cs="Times New Roman"/>
                <w:b/>
                <w:bCs/>
                <w:szCs w:val="21"/>
                <w:highlight w:val="none"/>
                <w:lang w:eastAsia="zh-CN"/>
              </w:rPr>
              <w:t>与招标人需求</w:t>
            </w:r>
            <w:r>
              <w:rPr>
                <w:rFonts w:hint="eastAsia" w:ascii="Times New Roman" w:hAnsi="Times New Roman" w:cs="Times New Roman"/>
                <w:b/>
                <w:bCs/>
                <w:szCs w:val="21"/>
                <w:highlight w:val="none"/>
              </w:rPr>
              <w:t>存在较大差距，招标人有权单方面解除合同，不支付费用，且不承担任何法律责任</w:t>
            </w:r>
            <w:r>
              <w:rPr>
                <w:rFonts w:hint="eastAsia" w:ascii="Times New Roman" w:hAnsi="Times New Roman" w:cs="Times New Roman"/>
                <w:b/>
                <w:bCs/>
                <w:szCs w:val="21"/>
                <w:highlight w:val="none"/>
                <w:lang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wordWrap w:val="0"/>
        <w:spacing w:line="480" w:lineRule="exact"/>
        <w:jc w:val="center"/>
        <w:rPr>
          <w:rFonts w:hint="eastAsia"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第三章 评标办法（综合评估法）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评标办法前附表</w:t>
      </w:r>
      <w:bookmarkStart w:id="16" w:name="_Toc247085747"/>
      <w:bookmarkStart w:id="17" w:name="_Toc246996975"/>
      <w:bookmarkStart w:id="18" w:name="_Toc144974556"/>
      <w:bookmarkStart w:id="19" w:name="_Toc152045589"/>
      <w:bookmarkStart w:id="20" w:name="_Toc246996232"/>
      <w:bookmarkStart w:id="21" w:name="_Toc152042366"/>
      <w:bookmarkStart w:id="22" w:name="_Toc179632607"/>
      <w:bookmarkStart w:id="23" w:name="_Toc296602477"/>
    </w:p>
    <w:p>
      <w:pPr>
        <w:spacing w:line="480" w:lineRule="exact"/>
        <w:rPr>
          <w:rFonts w:hint="eastAsia" w:asciiTheme="minorEastAsia" w:hAnsiTheme="minorEastAsia" w:eastAsiaTheme="minorEastAsia" w:cstheme="minorEastAsia"/>
          <w:b/>
          <w:bCs/>
          <w:sz w:val="21"/>
          <w:szCs w:val="21"/>
          <w:highlight w:val="none"/>
        </w:rPr>
      </w:pPr>
    </w:p>
    <w:tbl>
      <w:tblPr>
        <w:tblStyle w:val="14"/>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5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评审因素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评标方法</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中标候选人排序方法</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投标人名称</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投标函签字盖章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投标文件格式</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营业执照</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资质要求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业绩要求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项目负责人</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其他要求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投标报价</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服务期限</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免费维护期</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质量标准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投标有效期</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投标保证金</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权利义务</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kern w:val="0"/>
                <w:sz w:val="21"/>
                <w:szCs w:val="21"/>
                <w:highlight w:val="none"/>
              </w:rPr>
              <w:t>服务方案</w:t>
            </w:r>
            <w:r>
              <w:rPr>
                <w:rFonts w:hint="eastAsia" w:asciiTheme="minorEastAsia" w:hAnsiTheme="minorEastAsia" w:eastAsiaTheme="minorEastAsia" w:cstheme="minorEastAsia"/>
                <w:kern w:val="0"/>
                <w:sz w:val="21"/>
                <w:szCs w:val="21"/>
                <w:highlight w:val="none"/>
                <w:lang w:eastAsia="zh-CN"/>
              </w:rPr>
              <w:t>及内容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符合第五章“</w:t>
            </w:r>
            <w:r>
              <w:rPr>
                <w:rFonts w:hint="eastAsia" w:asciiTheme="minorEastAsia" w:hAnsiTheme="minorEastAsia" w:eastAsiaTheme="minorEastAsia" w:cstheme="minorEastAsia"/>
                <w:kern w:val="0"/>
                <w:sz w:val="21"/>
                <w:szCs w:val="21"/>
                <w:highlight w:val="none"/>
                <w:lang w:eastAsia="zh-CN"/>
              </w:rPr>
              <w:t>招标人要求</w:t>
            </w:r>
            <w:r>
              <w:rPr>
                <w:rFonts w:hint="eastAsia" w:asciiTheme="minorEastAsia" w:hAnsiTheme="minorEastAsia" w:eastAsiaTheme="minorEastAsia" w:cstheme="minorEastAsia"/>
                <w:kern w:val="0"/>
                <w:sz w:val="21"/>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条款内容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9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分值构成</w:t>
            </w:r>
          </w:p>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（总分100分）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1.</w:t>
            </w:r>
            <w:r>
              <w:rPr>
                <w:rFonts w:hint="eastAsia" w:asciiTheme="minorEastAsia" w:hAnsiTheme="minorEastAsia" w:eastAsiaTheme="minorEastAsia" w:cstheme="minorEastAsia"/>
                <w:b/>
                <w:bCs/>
                <w:kern w:val="0"/>
                <w:sz w:val="21"/>
                <w:szCs w:val="21"/>
                <w:highlight w:val="none"/>
                <w:lang w:eastAsia="zh-CN"/>
              </w:rPr>
              <w:t>商务分：</w:t>
            </w:r>
            <w:r>
              <w:rPr>
                <w:rFonts w:hint="eastAsia" w:asciiTheme="minorEastAsia" w:hAnsiTheme="minorEastAsia" w:eastAsiaTheme="minorEastAsia" w:cstheme="minorEastAsia"/>
                <w:b/>
                <w:bCs/>
                <w:kern w:val="0"/>
                <w:sz w:val="21"/>
                <w:szCs w:val="21"/>
                <w:highlight w:val="none"/>
                <w:lang w:val="en-US" w:eastAsia="zh-CN"/>
              </w:rPr>
              <w:t>44分</w:t>
            </w:r>
          </w:p>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lang w:val="en-US" w:eastAsia="zh-CN"/>
              </w:rPr>
              <w:t>其中</w:t>
            </w:r>
            <w:r>
              <w:rPr>
                <w:rFonts w:hint="eastAsia" w:asciiTheme="minorEastAsia" w:hAnsiTheme="minorEastAsia" w:eastAsiaTheme="minorEastAsia" w:cstheme="minorEastAsia"/>
                <w:kern w:val="0"/>
                <w:sz w:val="21"/>
                <w:szCs w:val="21"/>
                <w:highlight w:val="none"/>
              </w:rPr>
              <w:t>投标报价：</w:t>
            </w:r>
            <w:r>
              <w:rPr>
                <w:rFonts w:hint="eastAsia" w:asciiTheme="minorEastAsia" w:hAnsiTheme="minorEastAsia" w:eastAsiaTheme="minorEastAsia" w:cstheme="minorEastAsia"/>
                <w:kern w:val="0"/>
                <w:sz w:val="21"/>
                <w:szCs w:val="21"/>
                <w:highlight w:val="none"/>
                <w:u w:val="single"/>
              </w:rPr>
              <w:t>20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人员配备：</w:t>
            </w:r>
            <w:r>
              <w:rPr>
                <w:rFonts w:hint="eastAsia" w:asciiTheme="minorEastAsia" w:hAnsiTheme="minorEastAsia" w:eastAsiaTheme="minorEastAsia" w:cstheme="minorEastAsia"/>
                <w:kern w:val="0"/>
                <w:sz w:val="21"/>
                <w:szCs w:val="21"/>
                <w:highlight w:val="none"/>
                <w:u w:val="single"/>
                <w:lang w:val="en-US" w:eastAsia="zh-CN"/>
              </w:rPr>
              <w:t>1</w:t>
            </w:r>
            <w:r>
              <w:rPr>
                <w:rFonts w:hint="eastAsia" w:asciiTheme="minorEastAsia" w:hAnsiTheme="minorEastAsia" w:eastAsiaTheme="minorEastAsia" w:cstheme="minorEastAsia"/>
                <w:kern w:val="0"/>
                <w:sz w:val="21"/>
                <w:szCs w:val="21"/>
                <w:highlight w:val="none"/>
                <w:u w:val="single"/>
              </w:rPr>
              <w:t>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企业实力：</w:t>
            </w:r>
            <w:r>
              <w:rPr>
                <w:rFonts w:hint="eastAsia" w:asciiTheme="minorEastAsia" w:hAnsiTheme="minorEastAsia" w:eastAsiaTheme="minorEastAsia" w:cstheme="minorEastAsia"/>
                <w:kern w:val="0"/>
                <w:sz w:val="21"/>
                <w:szCs w:val="21"/>
                <w:highlight w:val="none"/>
                <w:u w:val="single"/>
                <w:lang w:val="en-US" w:eastAsia="zh-CN"/>
              </w:rPr>
              <w:t>14</w:t>
            </w:r>
            <w:r>
              <w:rPr>
                <w:rFonts w:hint="eastAsia" w:asciiTheme="minorEastAsia" w:hAnsiTheme="minorEastAsia" w:eastAsiaTheme="minorEastAsia" w:cstheme="minorEastAsia"/>
                <w:kern w:val="0"/>
                <w:sz w:val="21"/>
                <w:szCs w:val="21"/>
                <w:highlight w:val="none"/>
              </w:rPr>
              <w:t>分</w:t>
            </w:r>
          </w:p>
          <w:p>
            <w:p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2.技术分：48分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软件系统技术实现方案：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u w:val="single"/>
              </w:rPr>
              <w:t>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接口方案（包括历史数据迁移）：</w:t>
            </w:r>
            <w:r>
              <w:rPr>
                <w:rFonts w:hint="eastAsia" w:asciiTheme="minorEastAsia" w:hAnsiTheme="minorEastAsia" w:eastAsiaTheme="minorEastAsia" w:cstheme="minorEastAsia"/>
                <w:kern w:val="0"/>
                <w:sz w:val="21"/>
                <w:szCs w:val="21"/>
                <w:highlight w:val="none"/>
                <w:u w:val="single"/>
                <w:lang w:val="en-US" w:eastAsia="zh-CN"/>
              </w:rPr>
              <w:t>4</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数据安全解决方案：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项目设计实施方案：</w:t>
            </w:r>
            <w:r>
              <w:rPr>
                <w:rFonts w:hint="eastAsia" w:asciiTheme="minorEastAsia" w:hAnsiTheme="minorEastAsia" w:eastAsiaTheme="minorEastAsia" w:cstheme="minorEastAsia"/>
                <w:kern w:val="0"/>
                <w:sz w:val="21"/>
                <w:szCs w:val="21"/>
                <w:highlight w:val="none"/>
                <w:u w:val="single"/>
                <w:lang w:val="en-US" w:eastAsia="zh-CN"/>
              </w:rPr>
              <w:t>6</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系统测试方案：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项目培训方案：</w:t>
            </w:r>
            <w:r>
              <w:rPr>
                <w:rFonts w:hint="eastAsia" w:asciiTheme="minorEastAsia" w:hAnsiTheme="minorEastAsia" w:eastAsiaTheme="minorEastAsia" w:cstheme="minorEastAsia"/>
                <w:kern w:val="0"/>
                <w:sz w:val="21"/>
                <w:szCs w:val="21"/>
                <w:highlight w:val="none"/>
                <w:u w:val="single"/>
                <w:lang w:val="en-US" w:eastAsia="zh-CN"/>
              </w:rPr>
              <w:t>2</w:t>
            </w:r>
            <w:r>
              <w:rPr>
                <w:rFonts w:hint="eastAsia" w:asciiTheme="minorEastAsia" w:hAnsiTheme="minorEastAsia" w:eastAsiaTheme="minorEastAsia" w:cstheme="minorEastAsia"/>
                <w:kern w:val="0"/>
                <w:sz w:val="21"/>
                <w:szCs w:val="21"/>
                <w:highlight w:val="none"/>
              </w:rPr>
              <w:t>分</w:t>
            </w:r>
          </w:p>
          <w:p>
            <w:pPr>
              <w:numPr>
                <w:ilvl w:val="0"/>
                <w:numId w:val="1"/>
              </w:num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其他：8分</w:t>
            </w:r>
          </w:p>
          <w:p>
            <w:pPr>
              <w:numPr>
                <w:ilvl w:val="0"/>
                <w:numId w:val="0"/>
              </w:num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color w:val="000000"/>
                <w:kern w:val="0"/>
                <w:sz w:val="21"/>
                <w:szCs w:val="21"/>
              </w:rPr>
              <w:t>售后服务及维护方案</w:t>
            </w:r>
            <w:r>
              <w:rPr>
                <w:rFonts w:hint="eastAsia" w:asciiTheme="minorEastAsia" w:hAnsiTheme="minorEastAsia" w:eastAsiaTheme="minorEastAsia" w:cstheme="minorEastAsia"/>
                <w:color w:val="000000"/>
                <w:kern w:val="0"/>
                <w:sz w:val="21"/>
                <w:szCs w:val="21"/>
                <w:lang w:eastAsia="zh-CN"/>
              </w:rPr>
              <w:t>：</w:t>
            </w:r>
            <w:r>
              <w:rPr>
                <w:rFonts w:hint="eastAsia" w:asciiTheme="minorEastAsia" w:hAnsiTheme="minorEastAsia" w:eastAsiaTheme="minorEastAsia" w:cstheme="minorEastAsia"/>
                <w:color w:val="000000"/>
                <w:kern w:val="0"/>
                <w:sz w:val="21"/>
                <w:szCs w:val="21"/>
                <w:u w:val="single"/>
                <w:lang w:val="en-US" w:eastAsia="zh-CN"/>
              </w:rPr>
              <w:t>8</w:t>
            </w:r>
            <w:r>
              <w:rPr>
                <w:rFonts w:hint="eastAsia" w:asciiTheme="minorEastAsia" w:hAnsiTheme="minorEastAsia" w:eastAsiaTheme="minorEastAsia" w:cstheme="minorEastAsia"/>
                <w:color w:val="000000"/>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评分因素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一</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632" w:firstLineChars="300"/>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商务分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843" w:firstLineChars="4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满分44分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投标报价</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20分）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取所有有效投标人报价的算术平均数作为评标基准价，若有效投标人大于</w:t>
            </w:r>
            <w:r>
              <w:rPr>
                <w:rFonts w:hint="eastAsia" w:asciiTheme="minorEastAsia" w:hAnsiTheme="minorEastAsia" w:cstheme="minorEastAsia"/>
                <w:kern w:val="0"/>
                <w:sz w:val="21"/>
                <w:szCs w:val="21"/>
                <w:highlight w:val="none"/>
                <w:lang w:eastAsia="zh-CN"/>
              </w:rPr>
              <w:t>或等于</w:t>
            </w:r>
            <w:r>
              <w:rPr>
                <w:rFonts w:hint="eastAsia" w:asciiTheme="minorEastAsia" w:hAnsiTheme="minorEastAsia" w:eastAsiaTheme="minorEastAsia" w:cstheme="minorEastAsia"/>
                <w:kern w:val="0"/>
                <w:sz w:val="21"/>
                <w:szCs w:val="21"/>
                <w:highlight w:val="none"/>
              </w:rPr>
              <w:t>5家，则去掉最高价和最低价后取算术平均数作为评标基准价。</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在所有有效投标报价中，投标报价与评标基准价相比，投标报价比评标基准价每低于（小于）1%扣0.3分，每高于（大于）1%扣0.5分；最多扣5分。不足1%部分按直线插入法同比率计算得分（四舍五入保留两位小数）。</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人员配备（</w:t>
            </w:r>
            <w:r>
              <w:rPr>
                <w:rFonts w:hint="eastAsia" w:asciiTheme="minorEastAsia" w:hAnsiTheme="minorEastAsia" w:eastAsiaTheme="minorEastAsia" w:cstheme="minorEastAsia"/>
                <w:b/>
                <w:bCs/>
                <w:kern w:val="0"/>
                <w:sz w:val="21"/>
                <w:szCs w:val="21"/>
                <w:highlight w:val="none"/>
                <w:lang w:val="en-US" w:eastAsia="zh-CN"/>
              </w:rPr>
              <w:t>10分）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项目负责人（4分）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1.具有国家工业与信息化部颁发的高级项目经理证书，得1分，满分1分；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2.自2017年1月1日至今，每提供1个担任单项合同金额不少于200万元企业财务共享中心项目负责人业绩，得1分，满分3分； </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项目团队人员（不</w:t>
            </w:r>
            <w:r>
              <w:rPr>
                <w:rFonts w:hint="eastAsia" w:asciiTheme="minorEastAsia" w:hAnsiTheme="minorEastAsia" w:eastAsiaTheme="minorEastAsia" w:cstheme="minorEastAsia"/>
                <w:b/>
                <w:bCs/>
                <w:kern w:val="0"/>
                <w:sz w:val="21"/>
                <w:szCs w:val="21"/>
                <w:highlight w:val="none"/>
                <w:lang w:eastAsia="zh-CN"/>
              </w:rPr>
              <w:t>含</w:t>
            </w:r>
            <w:r>
              <w:rPr>
                <w:rFonts w:hint="eastAsia" w:asciiTheme="minorEastAsia" w:hAnsiTheme="minorEastAsia" w:eastAsiaTheme="minorEastAsia" w:cstheme="minorEastAsia"/>
                <w:b/>
                <w:bCs/>
                <w:kern w:val="0"/>
                <w:sz w:val="21"/>
                <w:szCs w:val="21"/>
                <w:highlight w:val="none"/>
              </w:rPr>
              <w:t>项目负责人）（6分）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1.项目团队成员具有国家工业与信息化部颁发的“系统分析师”或“系统架构设计师”或“系统规划与管理师”或“高级程序员”证书，每人得1分，满分3分。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2.项目团队成员自2017年1月1日至今参与过企业财务共享中心项目建设，每人得1分，满分3分。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（人员配备资格证明需提供合同复印件和业主单位出具的人员业绩证明及业主单位联系方式等有效证明材料。）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color w:val="000000"/>
                <w:kern w:val="0"/>
                <w:sz w:val="21"/>
                <w:szCs w:val="21"/>
              </w:rPr>
              <w:t>企业实力</w:t>
            </w:r>
            <w:r>
              <w:rPr>
                <w:rFonts w:hint="eastAsia" w:asciiTheme="minorEastAsia" w:hAnsiTheme="minorEastAsia" w:eastAsiaTheme="minorEastAsia" w:cstheme="minorEastAsia"/>
                <w:b/>
                <w:bCs/>
                <w:color w:val="000000"/>
                <w:kern w:val="0"/>
                <w:sz w:val="21"/>
                <w:szCs w:val="21"/>
                <w:lang w:eastAsia="zh-CN"/>
              </w:rPr>
              <w:t>（</w:t>
            </w:r>
            <w:r>
              <w:rPr>
                <w:rFonts w:hint="eastAsia" w:asciiTheme="minorEastAsia" w:hAnsiTheme="minorEastAsia" w:eastAsiaTheme="minorEastAsia" w:cstheme="minorEastAsia"/>
                <w:b/>
                <w:bCs/>
                <w:color w:val="000000"/>
                <w:kern w:val="0"/>
                <w:sz w:val="21"/>
                <w:szCs w:val="21"/>
                <w:lang w:val="en-US" w:eastAsia="zh-CN"/>
              </w:rPr>
              <w:t>14分）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1.投标人具有国家级高新技术软件企业证书，得1分；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2.投标人具有CCRC信息安全服务资质认证证书，得1分；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3.具有CMMI5等级证书认证且在有效期内，得1分；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4.具有中国信息安全测评中心颁发的国家信息安全评测信息安全服务安全工程类一级（包含）以上资质，得1分；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5.自2018年1月1日以来，获得由国家发改委、工业和信息化部、财政部、商务部、国家税务总局等部委颁发的“国家规划布局内重点软件企业证书”，得1分。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6.2019年进入工信部发布的中国互联网100强企业，得3分。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7.投标人通过ISO9001或ISO20000体系认证且在有效期内，每提供1个得1分，满分2分。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8.2017年1月1日至今，国内成功实施过3个单项合同金额不少于200万元企业财务共享中心项目业绩，每多提供1个得2分，满分4分。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w:t>
            </w:r>
            <w:r>
              <w:rPr>
                <w:rFonts w:hint="eastAsia" w:asciiTheme="minorEastAsia" w:hAnsiTheme="minorEastAsia" w:eastAsiaTheme="minorEastAsia" w:cstheme="minorEastAsia"/>
                <w:b/>
                <w:bCs/>
                <w:kern w:val="0"/>
                <w:sz w:val="21"/>
                <w:szCs w:val="21"/>
                <w:highlight w:val="none"/>
              </w:rPr>
              <w:t>业绩认定以合同复印件和验收报告或初验报告为准，其中合同复印件要求提供合同首页、合同金额页、模块页、盖章页，缺少任何一项视为无效合同；业绩证明合同签约主体需与投标主体为同一法人，否则无效</w:t>
            </w:r>
            <w:r>
              <w:rPr>
                <w:rFonts w:hint="eastAsia" w:asciiTheme="minorEastAsia" w:hAnsiTheme="minorEastAsia" w:eastAsiaTheme="minorEastAsia" w:cstheme="minorEastAsia"/>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二</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color w:val="000000"/>
                <w:kern w:val="0"/>
                <w:sz w:val="21"/>
                <w:szCs w:val="21"/>
                <w:lang w:eastAsia="zh-CN"/>
              </w:rPr>
            </w:pPr>
            <w:r>
              <w:rPr>
                <w:rFonts w:hint="eastAsia" w:asciiTheme="minorEastAsia" w:hAnsiTheme="minorEastAsia" w:eastAsiaTheme="minorEastAsia" w:cstheme="minorEastAsia"/>
                <w:b/>
                <w:bCs/>
                <w:color w:val="000000"/>
                <w:kern w:val="0"/>
                <w:sz w:val="21"/>
                <w:szCs w:val="21"/>
                <w:lang w:eastAsia="zh-CN"/>
              </w:rPr>
              <w:t>技术分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满分</w:t>
            </w:r>
            <w:r>
              <w:rPr>
                <w:rFonts w:hint="eastAsia" w:asciiTheme="minorEastAsia" w:hAnsiTheme="minorEastAsia" w:eastAsiaTheme="minorEastAsia" w:cstheme="minorEastAsia"/>
                <w:b/>
                <w:bCs/>
                <w:kern w:val="0"/>
                <w:sz w:val="21"/>
                <w:szCs w:val="21"/>
                <w:highlight w:val="none"/>
                <w:lang w:val="en-US" w:eastAsia="zh-CN"/>
              </w:rPr>
              <w:t>48分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软件系统技术实现方案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rPr>
              <w:t>30分</w:t>
            </w:r>
            <w:r>
              <w:rPr>
                <w:rFonts w:hint="eastAsia" w:asciiTheme="minorEastAsia" w:hAnsiTheme="minorEastAsia" w:eastAsiaTheme="minorEastAsia" w:cstheme="minorEastAsia"/>
                <w:b/>
                <w:bCs/>
                <w:kern w:val="0"/>
                <w:sz w:val="21"/>
                <w:szCs w:val="21"/>
                <w:highlight w:val="none"/>
                <w:lang w:eastAsia="zh-CN"/>
              </w:rPr>
              <w:t>）</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详细描述系统的功能及实现方案，完全满足项目的需要，但不限于招标文件中需求。要求界面设计简洁大方、栏目板块设置合理；集成财务管理系统、网报系统、OA系统等系统，各系统间实现信息共享、消息互通、操作互访；实现统一用户管理, 统一认证与授权管理；后期门户能快速集成添加一些其它个性化应用。</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1.网报系统（6分）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   面向全员提供所有财务前端业务的统一入口，实现个人费用报账、对公往来及结算业务报账流程在线审批；全业务实现报账，系统内嵌报销标准。本项满分6分，评委根据投标文件对比，酌情给分。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2.资金系统（6分）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满足集团资金管理需求，系统涵盖企业资金支出、账户管理、融资管理全过程管理，降低企业财务管理成本，提高财务人员的付款、收款、对账效率和准确性，减少人为干预带来的资金管理风险，与集团财务管控系统其他模块、集团业务系统进行数据交互。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3.财务核算管理系统（6分）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满足集团财务核算管理系统信息化建设目标需求,实现集团总体财务管控的需要，响应招标技术需求。本项满分6分，评委根据投标文件对比，酌情给分。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4.影像系统（4分）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支持采集原始凭证影像，实现影像文件自动与业务流程挂接，在线审核，实现原始凭证电子化、规范化管理。本项满分4分，评委根据投标文件对比，酌情给分。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5.OA系统（4分）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系统科学合理、各功能模块描述详细，满足招标方要求的各项功能及性能需求。如支持图形化流程设计功能、自定义平台、自定义数据表、自定义表单、自定义业务模块、自定义信息模块等。本项满分4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6.移动客户端（4分）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支持全模块的移动客户端（Android、iOS）应用,要求设计合理、功能满足业务要求、支持后期添加应用。本项满分4分，评委根据投标文件对比，酌情给分。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接口方案（包括历史数据迁移）</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rPr>
              <w:t>4分</w:t>
            </w:r>
            <w:r>
              <w:rPr>
                <w:rFonts w:hint="eastAsia" w:asciiTheme="minorEastAsia" w:hAnsiTheme="minorEastAsia" w:eastAsiaTheme="minorEastAsia" w:cstheme="minorEastAsia"/>
                <w:b/>
                <w:bCs/>
                <w:kern w:val="0"/>
                <w:sz w:val="21"/>
                <w:szCs w:val="21"/>
                <w:highlight w:val="none"/>
                <w:lang w:eastAsia="zh-CN"/>
              </w:rPr>
              <w:t>）</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1.能提供详细、科学、准确的接口方案及历史数据迁移方案，满足系统接口开发及数据迁移需求。本项满分2分，评委根据投标文件对比，酌情给分。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2.与现有业务系统进行对接并预留端口，满足后期与行业ERP系统对接的相关要求。本项满分2分，评委根据投标文件对比，酌情给分。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数据安全解决方案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3分）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提供详细、科学、优秀的整体安全设计方案，包括数据库数据安全策略设计、用户展现层安全策略、负载过大等引起的服务器安全策略、黑客等恶意攻击安全策略、数据备份策略等。另需用到CA认证、加密狗、U盾等加密设备的需提供有关设备技术特点。本项满分</w:t>
            </w:r>
            <w:r>
              <w:rPr>
                <w:rFonts w:hint="eastAsia" w:asciiTheme="minorEastAsia" w:hAnsiTheme="minorEastAsia" w:eastAsiaTheme="minorEastAsia" w:cstheme="minorEastAsia"/>
                <w:kern w:val="0"/>
                <w:sz w:val="21"/>
                <w:szCs w:val="21"/>
                <w:highlight w:val="none"/>
                <w:lang w:val="en-US" w:eastAsia="zh-CN"/>
              </w:rPr>
              <w:t>3</w:t>
            </w:r>
            <w:r>
              <w:rPr>
                <w:rFonts w:hint="eastAsia" w:asciiTheme="minorEastAsia" w:hAnsiTheme="minorEastAsia" w:eastAsiaTheme="minorEastAsia" w:cstheme="minorEastAsia"/>
                <w:kern w:val="0"/>
                <w:sz w:val="21"/>
                <w:szCs w:val="21"/>
                <w:highlight w:val="none"/>
              </w:rPr>
              <w:t>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项目设计实施方案</w:t>
            </w:r>
            <w:r>
              <w:rPr>
                <w:rFonts w:hint="eastAsia" w:asciiTheme="minorEastAsia" w:hAnsiTheme="minorEastAsia" w:eastAsiaTheme="minorEastAsia" w:cstheme="minorEastAsia"/>
                <w:b/>
                <w:bCs/>
                <w:kern w:val="0"/>
                <w:sz w:val="21"/>
                <w:szCs w:val="21"/>
                <w:highlight w:val="none"/>
                <w:lang w:eastAsia="zh-CN"/>
              </w:rPr>
              <w:t>（6分）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1.能够针对交控集团财务共享服务中心建设开展调研及分析，对财务共享组织建设、业务流程优化、信息系统建设、共享运营管理提出设计方案。本项满分3分，评委根据投标文件对比，酌情给分。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项目实施方案科学合理，有明确的工程进度和管理措施，有明确的项目实施保障措施，对质量有详细的控制方案和措施，有详细、明确的验收方案。培训工作的目标、任务、计划、组织等实施方案安排合理、可行。本项满分3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系统测试方案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3分）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制定科学、合理、规范的系统测试方案，包括测试方法、测试工具、测试数据及用例、测试审核及结果认定办法。本项满分3分，评委根据投标文件对比，酌情给分。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项目培训方案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2分）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制定科学、合理，适应不同层次使用人员的培训方案，包括培训讲师安排、培训教材制作、培训课程计划执行、培训规范制定等。本项满分2分，评委根据投标文件对比，酌情给分。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三</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其他</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满分</w:t>
            </w:r>
            <w:r>
              <w:rPr>
                <w:rFonts w:hint="eastAsia" w:asciiTheme="minorEastAsia" w:hAnsiTheme="minorEastAsia" w:cstheme="minorEastAsia"/>
                <w:b/>
                <w:bCs/>
                <w:kern w:val="0"/>
                <w:sz w:val="21"/>
                <w:szCs w:val="21"/>
                <w:highlight w:val="none"/>
                <w:lang w:val="en-US" w:eastAsia="zh-CN"/>
              </w:rPr>
              <w:t>8</w:t>
            </w:r>
            <w:r>
              <w:rPr>
                <w:rFonts w:hint="eastAsia" w:asciiTheme="minorEastAsia" w:hAnsiTheme="minorEastAsia" w:eastAsiaTheme="minorEastAsia" w:cstheme="minorEastAsia"/>
                <w:b/>
                <w:bCs/>
                <w:kern w:val="0"/>
                <w:sz w:val="21"/>
                <w:szCs w:val="21"/>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售后服务及维护方案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8分）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1.免费维护期1年，每增加1年，得1分，满分3分；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2.后期维护费比率在5%的基础上，每降低1%得2分，满分4分；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3.承诺在产品服务期间提供系统软件免费升级，得1分。</w:t>
            </w:r>
          </w:p>
        </w:tc>
      </w:tr>
    </w:tbl>
    <w:p>
      <w:pP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sz w:val="21"/>
          <w:szCs w:val="21"/>
          <w:highlight w:val="none"/>
        </w:rPr>
        <w:t>说明：评分区间一律按左闭右开计算，评分保留</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位小数。</w:t>
      </w:r>
    </w:p>
    <w:p>
      <w:pP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br w:type="page"/>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1. 评标方法</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 评审标准</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2.1 初步评审标准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2.1.1 形式评审标准：见评标办法前附表。</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2.1.2 资格评审标准：见评标办法前附表。</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2.1.3 响应性评审标准：见评标办法前附表。</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2.2 分值构成与评分标准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2.2.1 分值构成</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（1）商务部分：见评标办法前附表；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（2）技术部分：见评标办法前附表；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（3）其他部分：见评标办法前附表。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2.2.2 评标基准价计算</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评标基准价计算方法：见评标办法前附表。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2.2.3 投标报价的偏差率计算</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投标报价的偏差率计算公式：见评标办法前附表。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2.2.4 评分标准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r>
        <w:rPr>
          <w:rFonts w:hint="eastAsia" w:asciiTheme="minorEastAsia" w:hAnsiTheme="minorEastAsia" w:eastAsiaTheme="minorEastAsia" w:cstheme="minorEastAsia"/>
          <w:kern w:val="0"/>
          <w:sz w:val="21"/>
          <w:szCs w:val="21"/>
          <w:highlight w:val="none"/>
          <w:lang w:eastAsia="zh-CN"/>
        </w:rPr>
        <w:t>商务</w:t>
      </w:r>
      <w:r>
        <w:rPr>
          <w:rFonts w:hint="eastAsia" w:asciiTheme="minorEastAsia" w:hAnsiTheme="minorEastAsia" w:eastAsiaTheme="minorEastAsia" w:cstheme="minorEastAsia"/>
          <w:kern w:val="0"/>
          <w:sz w:val="21"/>
          <w:szCs w:val="21"/>
          <w:highlight w:val="none"/>
        </w:rPr>
        <w:t>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w:t>
      </w:r>
      <w:r>
        <w:rPr>
          <w:rFonts w:hint="eastAsia" w:asciiTheme="minorEastAsia" w:hAnsiTheme="minorEastAsia" w:eastAsiaTheme="minorEastAsia" w:cstheme="minorEastAsia"/>
          <w:kern w:val="0"/>
          <w:sz w:val="21"/>
          <w:szCs w:val="21"/>
          <w:highlight w:val="none"/>
          <w:lang w:eastAsia="zh-CN"/>
        </w:rPr>
        <w:t>技术</w:t>
      </w:r>
      <w:r>
        <w:rPr>
          <w:rFonts w:hint="eastAsia" w:asciiTheme="minorEastAsia" w:hAnsiTheme="minorEastAsia" w:eastAsiaTheme="minorEastAsia" w:cstheme="minorEastAsia"/>
          <w:kern w:val="0"/>
          <w:sz w:val="21"/>
          <w:szCs w:val="21"/>
          <w:highlight w:val="none"/>
        </w:rPr>
        <w:t>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w:t>
      </w:r>
      <w:r>
        <w:rPr>
          <w:rFonts w:hint="eastAsia" w:asciiTheme="minorEastAsia" w:hAnsiTheme="minorEastAsia" w:eastAsiaTheme="minorEastAsia" w:cstheme="minorEastAsia"/>
          <w:kern w:val="0"/>
          <w:sz w:val="21"/>
          <w:szCs w:val="21"/>
          <w:highlight w:val="none"/>
          <w:lang w:eastAsia="zh-CN"/>
        </w:rPr>
        <w:t>其他</w:t>
      </w:r>
      <w:r>
        <w:rPr>
          <w:rFonts w:hint="eastAsia" w:asciiTheme="minorEastAsia" w:hAnsiTheme="minorEastAsia" w:eastAsiaTheme="minorEastAsia" w:cstheme="minorEastAsia"/>
          <w:kern w:val="0"/>
          <w:sz w:val="21"/>
          <w:szCs w:val="21"/>
          <w:highlight w:val="none"/>
        </w:rPr>
        <w:t>部分：见评标办法前附表。</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 评标程序</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3.1 初步评审</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3.1.2 投标人有以下情形之一的，评标委员会应当否决其投标：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（1）国家发改委发布的《中华人民共和国标准招标文件》第二章“投标人须知”细则中第1.4.3项、第1.4.4项规定的任何一种情形的；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（2）串通投标或弄虚作假或有其他违法行为的；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（3）不按评标委员会要求澄清、说明或补正的。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3.1.3投标报价有算术错误及其他错误的，评标委员会按以下原则要求投标人对投标报价进行修正，并要求投标人书面澄清确认。投标人拒不澄清确认的，评标委员会应当否决其投标：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（1）投标文件中的大写金额与小写金额不一致的，以大写金额为准；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（2）总价金额与依据单价计算出的结果不一致的，以单价金额为准修正总价，但单价金额小数点有明显错误的除外。</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3.2 详细评审</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3.2.1 评标委员会按本章规定的量化因素和分值进行打分，并计算出综合评估得分。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（1）按本章规定的评审因素和分值对商务部分计算出得分A；</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（2）按本章规定的评审因素和分值对技术部分计算出得分B；</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（3）按本章规定的评审因素和分值对</w:t>
      </w:r>
      <w:r>
        <w:rPr>
          <w:rFonts w:hint="eastAsia" w:asciiTheme="minorEastAsia" w:hAnsiTheme="minorEastAsia" w:eastAsiaTheme="minorEastAsia" w:cstheme="minorEastAsia"/>
          <w:kern w:val="0"/>
          <w:sz w:val="21"/>
          <w:szCs w:val="21"/>
          <w:highlight w:val="none"/>
          <w:lang w:eastAsia="zh-CN"/>
        </w:rPr>
        <w:t>其他</w:t>
      </w:r>
      <w:r>
        <w:rPr>
          <w:rFonts w:hint="eastAsia" w:asciiTheme="minorEastAsia" w:hAnsiTheme="minorEastAsia" w:eastAsiaTheme="minorEastAsia" w:cstheme="minorEastAsia"/>
          <w:kern w:val="0"/>
          <w:sz w:val="21"/>
          <w:szCs w:val="21"/>
          <w:highlight w:val="none"/>
        </w:rPr>
        <w:t>部分计算出得分C。</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3.2.2 评分分值计算保留小数点后两位，小数点后第三位“四舍五入”。</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3.2.3 投标人得分=A+B+C。</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3.3 投标文件的澄清和补正</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3.3.2 澄清、说明或补正不得超出投标文件的范围且不得改变投标文件的实质性内容，并构成投标文件的组成部分。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3.3.3 评标委员会对投标人提交的澄清、说明或补正有疑问的，可以要求投标人进一步澄清、说明或补正，直至满足评标委员会的要求。</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3.4 评标结果</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3.4.1 除第二章“投标人须知”前附表授权直接确定中标人外，评标委员会按照得分由高到低的顺序推荐中标候选人，并标明排序。</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序号</w:t>
            </w:r>
          </w:p>
        </w:tc>
        <w:tc>
          <w:tcPr>
            <w:tcW w:w="1417"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条款名称</w:t>
            </w:r>
          </w:p>
        </w:tc>
        <w:tc>
          <w:tcPr>
            <w:tcW w:w="6611"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1417"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付款人</w:t>
            </w:r>
          </w:p>
        </w:tc>
        <w:tc>
          <w:tcPr>
            <w:tcW w:w="6611" w:type="dxa"/>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w:t>
            </w:r>
          </w:p>
        </w:tc>
        <w:tc>
          <w:tcPr>
            <w:tcW w:w="1417"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付款方式</w:t>
            </w:r>
          </w:p>
        </w:tc>
        <w:tc>
          <w:tcPr>
            <w:tcW w:w="6611" w:type="dxa"/>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1.完成前期调研、咨询、出具设计方案经招标人确认合格后10个工作日内，支付至合同总价款的20%；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2.完成系统搭建、相关业务培训、上线试运行，经招标人初验合格后10个工作日内，支付至合同总价款的50%；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3.各模块满足亳州交控集团财务共享模式运行，并完成正式上线，经招标人最终验收合格后10个工作日内，支付至合同总价款的90%；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4.剩余10%合同价款在验收合格并正常运行满12个月后10个工作日内支付。</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5. </w:t>
            </w:r>
            <w:r>
              <w:rPr>
                <w:rFonts w:hint="eastAsia" w:asciiTheme="minorEastAsia" w:hAnsiTheme="minorEastAsia" w:eastAsiaTheme="minorEastAsia" w:cstheme="minorEastAsia"/>
                <w:b/>
                <w:bCs/>
                <w:kern w:val="0"/>
                <w:sz w:val="21"/>
                <w:szCs w:val="21"/>
                <w:highlight w:val="none"/>
              </w:rPr>
              <w:t>若中标人未按照合同及招标文件约定开展工作或提交的成果</w:t>
            </w:r>
            <w:r>
              <w:rPr>
                <w:rFonts w:hint="eastAsia" w:asciiTheme="minorEastAsia" w:hAnsiTheme="minorEastAsia" w:cstheme="minorEastAsia"/>
                <w:b/>
                <w:bCs/>
                <w:kern w:val="0"/>
                <w:sz w:val="21"/>
                <w:szCs w:val="21"/>
                <w:highlight w:val="none"/>
                <w:lang w:eastAsia="zh-CN"/>
              </w:rPr>
              <w:t>与招标人需求</w:t>
            </w:r>
            <w:r>
              <w:rPr>
                <w:rFonts w:hint="eastAsia" w:asciiTheme="minorEastAsia" w:hAnsiTheme="minorEastAsia" w:eastAsiaTheme="minorEastAsia" w:cstheme="minorEastAsia"/>
                <w:b/>
                <w:bCs/>
                <w:kern w:val="0"/>
                <w:sz w:val="21"/>
                <w:szCs w:val="21"/>
                <w:highlight w:val="none"/>
              </w:rPr>
              <w:t>存在较大差距，招标人有权单方面解除合同，不支付费用，且不承担任何法律责任</w:t>
            </w:r>
            <w:r>
              <w:rPr>
                <w:rFonts w:hint="eastAsia" w:asciiTheme="minorEastAsia" w:hAnsiTheme="minorEastAsia" w:eastAsiaTheme="minorEastAsia" w:cstheme="minorEastAsia"/>
                <w:kern w:val="0"/>
                <w:sz w:val="21"/>
                <w:szCs w:val="21"/>
                <w:highlight w:val="none"/>
              </w:rPr>
              <w:t>。</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注：</w:t>
            </w:r>
            <w:r>
              <w:rPr>
                <w:rFonts w:hint="eastAsia" w:asciiTheme="minorEastAsia" w:hAnsiTheme="minorEastAsia" w:eastAsiaTheme="minorEastAsia" w:cstheme="minorEastAsia"/>
                <w:kern w:val="0"/>
                <w:sz w:val="21"/>
                <w:szCs w:val="21"/>
                <w:highlight w:val="none"/>
                <w:lang w:eastAsia="zh-CN"/>
              </w:rPr>
              <w:t>招标人</w:t>
            </w:r>
            <w:r>
              <w:rPr>
                <w:rFonts w:hint="eastAsia" w:asciiTheme="minorEastAsia" w:hAnsiTheme="minorEastAsia" w:eastAsiaTheme="minorEastAsia" w:cstheme="minorEastAsia"/>
                <w:kern w:val="0"/>
                <w:sz w:val="21"/>
                <w:szCs w:val="21"/>
                <w:highlight w:val="none"/>
              </w:rPr>
              <w:t>付款前，</w:t>
            </w:r>
            <w:r>
              <w:rPr>
                <w:rFonts w:hint="eastAsia" w:asciiTheme="minorEastAsia" w:hAnsiTheme="minorEastAsia" w:eastAsiaTheme="minorEastAsia" w:cstheme="minorEastAsia"/>
                <w:kern w:val="0"/>
                <w:sz w:val="21"/>
                <w:szCs w:val="21"/>
                <w:highlight w:val="none"/>
                <w:lang w:eastAsia="zh-CN"/>
              </w:rPr>
              <w:t>中标人</w:t>
            </w:r>
            <w:r>
              <w:rPr>
                <w:rFonts w:hint="eastAsia" w:asciiTheme="minorEastAsia" w:hAnsiTheme="minorEastAsia" w:eastAsiaTheme="minorEastAsia" w:cstheme="minorEastAsia"/>
                <w:kern w:val="0"/>
                <w:sz w:val="21"/>
                <w:szCs w:val="21"/>
                <w:highlight w:val="none"/>
              </w:rPr>
              <w:t>应按照国家税收有关规定开具等额增值税专用发票。</w:t>
            </w:r>
          </w:p>
        </w:tc>
      </w:tr>
    </w:tbl>
    <w:p>
      <w:pPr>
        <w:spacing w:line="480" w:lineRule="exact"/>
        <w:rPr>
          <w:rFonts w:ascii="Times New Roman" w:hAnsi="Times New Roman" w:eastAsia="仿宋_GB2312" w:cs="Times New Roman"/>
          <w:sz w:val="28"/>
          <w:szCs w:val="28"/>
          <w:highlight w:val="none"/>
        </w:rPr>
      </w:pPr>
    </w:p>
    <w:p>
      <w:pPr>
        <w:spacing w:line="480" w:lineRule="exact"/>
        <w:ind w:firstLine="420"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sz w:val="21"/>
          <w:szCs w:val="21"/>
          <w:highlight w:val="none"/>
        </w:rPr>
        <w:t>具体合同内容由招标人与中标单位在不违背招标文件内容和投标文件承诺的条件下友好协商签订。</w:t>
      </w:r>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p>
      <w:pPr>
        <w:spacing w:line="480" w:lineRule="exact"/>
        <w:jc w:val="center"/>
        <w:rPr>
          <w:rFonts w:hint="eastAsia" w:asciiTheme="majorEastAsia" w:hAnsiTheme="majorEastAsia" w:eastAsiaTheme="majorEastAsia" w:cstheme="majorEastAsia"/>
          <w:b/>
          <w:bCs/>
          <w:sz w:val="32"/>
          <w:szCs w:val="32"/>
          <w:highlight w:val="none"/>
          <w:lang w:eastAsia="zh-CN"/>
        </w:rPr>
      </w:pPr>
      <w:r>
        <w:rPr>
          <w:rFonts w:hint="eastAsia" w:asciiTheme="majorEastAsia" w:hAnsiTheme="majorEastAsia" w:eastAsiaTheme="majorEastAsia" w:cstheme="majorEastAsia"/>
          <w:b/>
          <w:bCs/>
          <w:sz w:val="32"/>
          <w:szCs w:val="32"/>
          <w:highlight w:val="none"/>
        </w:rPr>
        <w:t xml:space="preserve">第五章 </w:t>
      </w:r>
      <w:r>
        <w:rPr>
          <w:rFonts w:hint="eastAsia" w:asciiTheme="majorEastAsia" w:hAnsiTheme="majorEastAsia" w:eastAsiaTheme="majorEastAsia" w:cstheme="majorEastAsia"/>
          <w:b/>
          <w:bCs/>
          <w:sz w:val="32"/>
          <w:szCs w:val="32"/>
          <w:highlight w:val="none"/>
          <w:lang w:eastAsia="zh-CN"/>
        </w:rPr>
        <w:t>招标人要求</w:t>
      </w:r>
    </w:p>
    <w:p>
      <w:pPr>
        <w:keepNext w:val="0"/>
        <w:keepLines w:val="0"/>
        <w:pageBreakBefore w:val="0"/>
        <w:widowControl w:val="0"/>
        <w:kinsoku/>
        <w:wordWrap/>
        <w:overflowPunct/>
        <w:topLinePunct w:val="0"/>
        <w:bidi w:val="0"/>
        <w:snapToGrid/>
        <w:spacing w:line="540" w:lineRule="exact"/>
        <w:ind w:firstLine="422" w:firstLineChars="200"/>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lang w:eastAsia="zh-CN"/>
        </w:rPr>
        <w:t>一</w:t>
      </w:r>
      <w:r>
        <w:rPr>
          <w:rFonts w:hint="eastAsia" w:asciiTheme="minorEastAsia" w:hAnsiTheme="minorEastAsia" w:eastAsiaTheme="minorEastAsia" w:cstheme="minorEastAsia"/>
          <w:b/>
          <w:bCs w:val="0"/>
          <w:sz w:val="21"/>
          <w:szCs w:val="21"/>
        </w:rPr>
        <w:t>、招标人需求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（一）项目建设目标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总体目标：通过建立亳州交控集团财务共享中心，实现业财一体化管理。集团各级公司的财务统一由财务共享中心履行财务监督和核算职能，通过财务共享中心模式进行相应的财务处理和应用。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具体目标：通过实施统一报账管理，实现报账流程规范化、电子化，并对单据的内容进行规范，实现财务记账自动化、标准化；实现预算事前管理和事中控制；实施影像管理，通过扫描实现对会计档案信息的异地采集、及时传递；实现信息快速准确传递以及资金的集中支付。实现全报账平台的时效性、准确性、可扩充性、稳定性、易用性和安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具体如下：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（1）加强管控。以集团管控为导向，规范各单位的业务处理标准，加强财务业务流程中的各节点风险管控，强化各单位财务人员对风险的敏感性，提高财务管理效能，最终提升集团整体的风险管控和合规性。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2）统一规范。通过财务基础核算业务的集中处理，统一集团的财务系统、统一业务流程、统一数据标准、统一会计政策、统一会计科目，实现全集团各公司的财务业务处理方式达到统一，及时发现核算处理中的共性问题，避免同类问题再次出现错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3）提升效率。通过财务业务流程的再造，配合财务共享系统平台的建设，实现异地远程集中处理基础会计业务，提高从报账到审批、审核入账、付款、归档等全业务流程的效率，使财务更多地为业务单位服务，提高财务的管理水平。</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（4）支撑业务。在集团快速发展的同时，财务资源能在集团内得到有效配置，成立新的分子公司，财务能快速响应，迅速支撑业务的发展。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5）业财融合。财务进行转型，财务人员从繁杂的交易处理业务中解脱出来后，深入集团各个业务板块的价值链，关注业务和风险，有效支持业务运作。财务人员将触角延伸至业务层面，更加了解公司业务运作情况，更多地参与各业务单元的预算管理、成本管理、资金管理等，为集团领导决策提供多角度、全流程精细化的财务数据支撑。</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（二）项目建设原则</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实用性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系统基于实际业务需求和交控集团管理特点进行建设；系统易于财务人员和相关业务人员使用，各种功能操作简单明确，系统维护集中、简单。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先进性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技术上采用当前稳定网络计算技术和分布式处理模式，符合国际、国内标准的硬件和软件技术规范，保证技术上的先进性和前瞻性。软件系统在满足业务需求的基础上具有易改造、易升级、易操作、易维护等特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规范性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系统设计符合相关国家及软件行业已有的标准规范。充分考虑集团下属子公司实际业务可能存在一定差异，在满足整体要求的同时根据实际情况调整或扩充部分功能以适应个性化的管理需求。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经济性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的建设充分考虑利用交控集团现有平台、硬件和软件资源，保护已有投资，设计灵活、多样的接口配置；如需要新的投入，在满足业务需求的情况下，选用高性价比的产品，节省投资，并同时兼顾今后的系统运行维护成本和管理成本。</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安全性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系统设计达到一定的安全保密标准，系统的软硬件具备较强的容错能力，并选择成熟的技术。在应用软件的设计上，强化权限管理功能，具有多级安全机制，具备完善的日志管理。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在网络上，保证内部系统的数据不被非法用户所获取。在应用软件的设计上，强化权限管理功能，具有多级安全机制。通过对各级人员及不同岗位人员的权限分配，做到所有人员只能查看与自己相关的数据，并建立完善的日志管理，做到所有操作都有据可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扩充性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考虑未来的发展和内部的变化，适应今后由于机构设置、管理制度、业务流程和系统功能等发生变化而导致的业务重组，满足系统未来的发展需要。报账平台系统建设应考虑未来业务的需要，要能以快速灵活的配置方式，扩充管理范围，逐步发展成为更加全面的财务管控支撑平台。</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系统体系结构和软硬件配置方面在考虑当前需求的前提下，为今后的扩展预留空间。系统采用开放型的应用接口，具有灵活的扩充性，满足交控集团未来的业务系统发展需要。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高效性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结合使用人员文化习惯，界面友好、方便使用。提供报账人、审批人和会计等人员高效快捷操作功能，支撑大量报账业务的快速处理，提高财务人员、业务人员及合作伙伴供应商的满意度。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集成性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系统应实现与外部系统之间的对接，特别是本次规划的财务系统与原来已经存在以及建设和规划中的业务系统的接口问题，实现系统的集成应用，保障不同业务系统之间的数据交换和资源共享。</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（三）具体功能需求：包括但不限于以下功能需求。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1.财务共享咨询需求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针对交控集团财务共享服务中心建设开展调研及分析，对财务共享组织建设、业务流程优化、信息系统建设、共享运营管理提出高阶设计方案。满足财务共享中心上线需求，针对交控集团财务共享组织建设、业务流程标准、信息系统建设、共享运营管理等出具详阶设计方案，以指导后续落地实施，同时，为保障财务共享中心顺利上线，提前做好迁移策划及方案。</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2.网报系统管理需求</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2.1面向全员提供所有财务前端业务的统一入口，实现个人费用报账、对公往来及结算业务报账流程在线审批。全业务实现报账，系统内嵌报销标准，做到在共享平台内单据统一、流程统一、内置控制标准统一。</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2.2支持报账单据的灵活自定义，能够满足公司财务管理的需要。</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2.3可提供员工自助填单、自助查询、个人信息管理、提醒预警事项处理等。</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2.4结合影像系统、电子发票查验，实现对发票真伪查验、取数，电子影像存档。</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2.5嵌入费用预算控制，实现对费用的管控。通过信用等管理，实现对报账质量的控制。</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2.6支持按照用户查询权限对可查询单据内容进行控制；提供报账关键指标实时查看，并按角色分层级展示；支持对查询信息的导出、下载等；提供业务单据查询，可实际查询报账单据的填单情况、审批详情；支持自定义多维度统计报表功能，支持多维度、个性化查询，提供图形化查询展示。</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3.资金管理系统需求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资金管理系统涵盖企业资金支出、账户管理、融资管理全过程管理，降低企业财务管理成本，提高财务人员的付款、收款、对账效率和准确性，减少人为干预带来的资金管理风险。资金管理平台提供标准对外接口，与集团财务管控系统其他模块、集团业务系统进行数据交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3.1账户管理：支撑全集团范围内的账户基本信息及其全生命周期的流程化管理，规范账户的开立、变更、撤销等的审批及备案，对银行账户进行统一备案和集中管理，融入控制企业开户数量等管控。支持基于层次结构和相应权限的账户信息查询，查询人仅可查询权限内账户信息，能够基于组织、开户行、账号、账户性质、存款类型、币种等多维度的信息进行账户检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3.2银企直连：与工、农、中、建、药都银行等国内主要银行能够建立银企直联，实现资金支付指令不落地，对于疑似的重复支付数据有支付监控功能，并对异常数据进行提示，能够基于收付款单据批号、金额、结算渠道、日期等多种查询条件进行收付款单据的查询。查询到的收付款单据可打开查看其中所包含的收付款单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3.3资金归集与支付：能够实现将集团各子公司资金按照规则归集到集团账户，集中办理理财等业务。子公司提交资金支付申请后，集团公司自动划拨款项到子公司账户，由子公司账户自动拨付。支持银行回单打印，银行电子回单自动匹配业务。支持银行对账单与企业会计凭证、银行存款日记账的对账。在多个组织使用同一银行账户进行收付款时，支持多单位账务合并对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3.4借还款管理：借款合同登记、变更、提款管理，借款台账登记管理，包括长期借款、短期借款、债券等不同融资方式，可在线进行还款登记、还本付息、利息计提、利息结清等管理，实现融资合同的全生命周期管理。能够按期计提利息，并自动生成凭证。付息期进行付息操作，并自动生成凭证，对借款利息进行查询和管理，能够按借款合同约定规则对借款利息进行调整。能够基于组织名称、开户行、币种、期限分类、担保方式、借款到期日等多维度信息进行融资分析。对即将到期借款提前一定期限预警。报表可多维查询融资台账、融资成本分析、融资结构分析、利息预测、到期还款预测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3.5统借统还管理：实现集团统借统还类融资管理，集团统一借款后可在线进行资金的分配和在线还本付息等操作，实现集团与下级单位间的联动，确保统借统还业务的协同。</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3.6内部借款管理：支持借款申请、借款合同、借款发放、还款、展期、利息计提和结息、会计核算全流程管理。支持集团与成员单位的集成协同处理，包括业务申请和业务回单、会计账务处理、查询统计。支持提前部分还款利随本清。支持还款时由用户逐笔指定偿还原哪笔放款，展期针对每笔放款进行展期。支持灵活设置存借款结息日，支持按月、按季、在年底结息。支持设定利率调整的多种日期生效方式。利率设置支持基准利率+浮动比例、固定利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3.7资金计划管理：包括资金计划编制、资金计划审批、资金计划汇总、资金计划控制等。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3.8收款管理：根据银企直连，识别来款源，进行收款认领，认领过程以系统设置的规则自动匹配为主。通过收款信息统计，可以分析收款客户分布、收款量、收款趋势等数据。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3.9资金看板：可视化的应用效果展示资金管理相关内容，包括但不限于展示账户分布、资金结构分布，大额资金变动监控，资金缺口公司风险预警、敏感词预警。借款结构分析、筹资分析、到期还款预警、资金成本分析、资金归集率分析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4.财务核算管理系统需求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可实现由前端业务自动生成会计凭证，降低手工凭证比率。科目设置权限由集团统一管理，进行末级科目管理。部分科目进行模块化管理，满足集团对数据查询需求。具体核算需求包括但不限于以下内容：</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4" w:name="_Toc511120973"/>
      <w:r>
        <w:rPr>
          <w:rFonts w:hint="eastAsia" w:asciiTheme="minorEastAsia" w:hAnsiTheme="minorEastAsia" w:eastAsiaTheme="minorEastAsia" w:cstheme="minorEastAsia"/>
          <w:sz w:val="21"/>
          <w:szCs w:val="21"/>
        </w:rPr>
        <w:t>4.1总账</w:t>
      </w:r>
      <w:bookmarkEnd w:id="24"/>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（1）构建统一的财务管理体系，包含会计政策、会计科目、合并抵销、核算报表、凭证模板等体系。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（2）完成记账凭证编制到各种账表的生成，能够处理财务核算过程中常用的业务，包括初始建账，制单、复核、记账、出纳业务、各种账务查询、月末年末结转等基本账务处理。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（3）灵活的建账模式，定义期末生成的规则凭证、调汇凭证、结转凭证。进行余额初始。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（4）月末自动完成转账、期末调汇规则凭证的生成、并进行平衡检查、月末结转、年末结转等工作。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（5）完整的出纳业务，实现对现金日记账、银行日记账、资金日报表的查询、输出，实现支票管理和银行对账，最终实现货币资金的电子化管理。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（6）查询和打印需求，支持包括总账、日记账、明细账、余额表、序时账、辅助账、凭证、科目汇总表、现金流量表、往来账等的查询，凭证批量打印、各类账簿的打印功能。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（7）可以数量核算，将科目定义为数量账，完成金额和实物数量核算科目的业务处理。并提供数量金额总账、数量金额明细账查询。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（8）支持交控集团与建安集团浪潮核算系统间的接口对接，实现报表数据导入等，以达到建安集团出具大合并报表的目的。</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5" w:name="_Toc511120974"/>
      <w:bookmarkStart w:id="26" w:name="_Toc488335773"/>
      <w:r>
        <w:rPr>
          <w:rFonts w:hint="eastAsia" w:asciiTheme="minorEastAsia" w:hAnsiTheme="minorEastAsia" w:eastAsiaTheme="minorEastAsia" w:cstheme="minorEastAsia"/>
          <w:sz w:val="21"/>
          <w:szCs w:val="21"/>
        </w:rPr>
        <w:t>4.2往来</w:t>
      </w:r>
      <w:bookmarkEnd w:id="25"/>
      <w:bookmarkEnd w:id="26"/>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（1）实现内、外部个人往来明细核算，可形成个人余额表、明细账等其他个人分析账表。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（2）可对内、外部单位的往来明细核算，自动生成账龄分析、单位余额表、单位三栏账、单位多栏账以及其他分析用账表。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（3）可对进行单位往来核算的科目，进行核销，从而形成新的单位余额表，并对其余额进行分析。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7" w:name="_Toc511120976"/>
      <w:bookmarkStart w:id="28" w:name="_Toc488335775"/>
      <w:r>
        <w:rPr>
          <w:rFonts w:hint="eastAsia" w:asciiTheme="minorEastAsia" w:hAnsiTheme="minorEastAsia" w:eastAsiaTheme="minorEastAsia" w:cstheme="minorEastAsia"/>
          <w:sz w:val="21"/>
          <w:szCs w:val="21"/>
        </w:rPr>
        <w:t>4.3固定资产</w:t>
      </w:r>
      <w:bookmarkEnd w:id="27"/>
      <w:bookmarkEnd w:id="28"/>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（1）建立、完善固定资产卡片，并自定义部门编码结构、资产类别、资产项目编码结构、折旧方法、年限等资产属性。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（2）支持自定义业务处理流程，实现资产的增加、减少、原值重置、资产评估、部门调动、内部调拨、状态变动、大修理记录等业务的处理。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（3）可实现自动计提、分摊各类资产减值准备、折旧，也可手工调整各类资产的减值准备、折旧额。</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（4）可根据自定义的钩稽关系，对固定资产账和总账进行平衡检查。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（5）可定义凭证接口模板，在账务子系统中自动生成反映资产增加、减少、计提折旧、折旧分摊等各项业务的凭证。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提供资产信息的综合查询及原始单据信息查询、预览、卡片打印，实现资产总账、资产明细表、资产明细折旧、折旧汇总表、资产明细登记簿、各个部门的资产折旧明细情况、任意汇总表、以及逾龄资产信息的查询、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9" w:name="_Toc511120977"/>
      <w:bookmarkStart w:id="30" w:name="_Toc488335776"/>
      <w:r>
        <w:rPr>
          <w:rFonts w:hint="eastAsia" w:asciiTheme="minorEastAsia" w:hAnsiTheme="minorEastAsia" w:eastAsiaTheme="minorEastAsia" w:cstheme="minorEastAsia"/>
          <w:sz w:val="21"/>
          <w:szCs w:val="21"/>
        </w:rPr>
        <w:t>4.4现金流量</w:t>
      </w:r>
      <w:bookmarkEnd w:id="29"/>
      <w:bookmarkEnd w:id="30"/>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提供现金流量项目设置、分析规则的设置、主表项目分析、附表项目分析、及现金流量的查询统计分析，能够快速分析出各个现金流量项目的金额，实现对公司的现金流入流出进行分析。</w:t>
      </w:r>
      <w:bookmarkStart w:id="31" w:name="_Toc488335778"/>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2" w:name="_Toc511120978"/>
      <w:r>
        <w:rPr>
          <w:rFonts w:hint="eastAsia" w:asciiTheme="minorEastAsia" w:hAnsiTheme="minorEastAsia" w:eastAsiaTheme="minorEastAsia" w:cstheme="minorEastAsia"/>
          <w:sz w:val="21"/>
          <w:szCs w:val="21"/>
        </w:rPr>
        <w:t>4.5应收管理</w:t>
      </w:r>
      <w:bookmarkEnd w:id="32"/>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（1）可以设置个人、单位、项目等明细辅助核算科目，记录销售产生的应收、暂估应收、员工借款等多种应收业务，形成应收、预收、核销记录。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（2）能够进行账务总账数据与应收明细账数据的平衡检查、月末的汇兑损益调整、月结处理及会计期间维护等功能。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（3）实现对应收款项进行账龄分析以及其他对应收数据进行各种统计分析，提示风险预警。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（4）对应收账款进行坏账计提准备，坏账确认和坏账收回处理。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（5）主要实现对应收数据、收款数据、核销数据以及汇兑损益处理数据的汇总查询、明细查询、单据查询等。</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3" w:name="_Toc511120979"/>
      <w:r>
        <w:rPr>
          <w:rFonts w:hint="eastAsia" w:asciiTheme="minorEastAsia" w:hAnsiTheme="minorEastAsia" w:eastAsiaTheme="minorEastAsia" w:cstheme="minorEastAsia"/>
          <w:sz w:val="21"/>
          <w:szCs w:val="21"/>
        </w:rPr>
        <w:t>4.6应付管理</w:t>
      </w:r>
      <w:bookmarkEnd w:id="33"/>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（1）可以设置个人、单位、项目等明细辅助核算科目，实现对采购产生的应付账款、非采购产生的其他应付款、以及应付暂估的记录，形成付款、预付、核销记录。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（2）能进行账务总账数据与应付明细账数据的平衡检查、月末的汇兑损益调整、月结处理及会计期间维护等功能。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（3）主要实现对应付数据、付款数据、核销数据以及汇兑损益处理数据的汇总查询、明细查询、单据查询等。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（4）实现对应付数据进行各种统计分析。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4" w:name="_Toc511120980"/>
      <w:r>
        <w:rPr>
          <w:rFonts w:hint="eastAsia" w:asciiTheme="minorEastAsia" w:hAnsiTheme="minorEastAsia" w:eastAsiaTheme="minorEastAsia" w:cstheme="minorEastAsia"/>
          <w:sz w:val="21"/>
          <w:szCs w:val="21"/>
        </w:rPr>
        <w:t>4.7报表</w:t>
      </w:r>
      <w:bookmarkEnd w:id="31"/>
      <w:r>
        <w:rPr>
          <w:rFonts w:hint="eastAsia" w:asciiTheme="minorEastAsia" w:hAnsiTheme="minorEastAsia" w:eastAsiaTheme="minorEastAsia" w:cstheme="minorEastAsia"/>
          <w:sz w:val="21"/>
          <w:szCs w:val="21"/>
        </w:rPr>
        <w:t>及合并报表</w:t>
      </w:r>
      <w:bookmarkEnd w:id="34"/>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（1）报表包含资产负债表、利润表、现金流量表、所有者权益变动表。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（2）自动复核报表的正确性，并显示存在的问题。</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（3）支持提取会计科目数据：可自定义设置提取的会计科目数据，比如，某一会计期间货币资金全部会计科目余额、应收账款明细科目余额按金额大小排序进行提取数据等。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（4）报表合并过程中自动进行内部交易数据的取数对账及相关抵消分录的生成；</w:t>
      </w:r>
      <w:r>
        <w:rPr>
          <w:rFonts w:hint="eastAsia" w:asciiTheme="minorEastAsia" w:hAnsiTheme="minorEastAsia" w:eastAsiaTheme="minorEastAsia" w:cstheme="minorEastAsia"/>
          <w:bCs/>
          <w:sz w:val="21"/>
          <w:szCs w:val="21"/>
        </w:rPr>
        <w:t>支持绩效指标+明细维度的内部交易、内部往来、权益投资和股息分配等的对账，并形成多种形式的对账报告；支持完全对符的对账和差额对账方式。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（5）可实现合并账、实际账、抵销账自动展示功能，并可实现任意口径合并。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（6）支持自定义筛选条件设置，</w:t>
      </w:r>
      <w:r>
        <w:rPr>
          <w:rFonts w:hint="eastAsia" w:asciiTheme="minorEastAsia" w:hAnsiTheme="minorEastAsia" w:eastAsiaTheme="minorEastAsia" w:cstheme="minorEastAsia"/>
          <w:bCs/>
          <w:sz w:val="21"/>
          <w:szCs w:val="21"/>
        </w:rPr>
        <w:t>按照不同的合并目的和口径</w:t>
      </w:r>
      <w:r>
        <w:rPr>
          <w:rFonts w:hint="eastAsia" w:asciiTheme="minorEastAsia" w:hAnsiTheme="minorEastAsia" w:eastAsiaTheme="minorEastAsia" w:cstheme="minorEastAsia"/>
          <w:sz w:val="21"/>
          <w:szCs w:val="21"/>
        </w:rPr>
        <w:t>生成各种财务报表</w:t>
      </w:r>
      <w:r>
        <w:rPr>
          <w:rFonts w:hint="eastAsia" w:asciiTheme="minorEastAsia" w:hAnsiTheme="minorEastAsia" w:eastAsiaTheme="minorEastAsia" w:cstheme="minorEastAsia"/>
          <w:bCs/>
          <w:sz w:val="21"/>
          <w:szCs w:val="21"/>
        </w:rPr>
        <w:t>。合并体系支持多版本，灵活适应集团企业收购、出售及重组行为对合并体系的影响，支持分部报告的出具。支持多重方案的股权投资关系维护。按照逐级合并的报表组织体系出具合并报表结果。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bCs/>
          <w:sz w:val="21"/>
          <w:szCs w:val="21"/>
        </w:rPr>
        <w:t>支持与国资委报表系统进行对接并一键生成报表。</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（8）实现从合并报表-单体报表-明细账-凭证-原始单据-上游单据的全面图型化页面展示追溯。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4.8历史数据迁移，投标人需将亳州交控集团原有财务核算系统中的历史数据完整准确的迁移到新建核算系统中。</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5.影像系统管理需求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支持采集原始凭证影像，实现影像文件自动与业务流程挂接，在线审核，实现原始凭证电子化、规范化管理；与信息系统集成实现采集的影像自动挂接到电子单据；支持移动终端可进行影像调阅，智能提取包括增值税专用发票在内的通用票据的关键要素信息，鉴别发票真伪，供其他业务系统利用。支持多种影像采集设备，支持高拍仪、批量式扫描仪、手机摄像头等，文件格式JPG、PDF、JPEG、BMP等主流格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6.OA系统管理需求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办公OA系统要求本地部署，满足弹性扩展、访问流畅，同时支撑企业构建高并发、高性能、高可用、安全的互联网应用，既能满足现有需求且能保证未来的扩展需求的技术架构。一方面能够与本次招标信息化系统和移动端进行集成，另一方面也提供了标准接口，供第三方厂商或自行开发应用接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Web门户：企业web门户作为统一的企业信息资源的访问入口，聚合待办任务，聚合应用服务，提供先进的门户设计器，使用自由布局，快速组建企业多维信息门户。支持多级门户、主题门户、角色门户等的配置与管理。支持门户页面个性化配置，如公司门户或集团门户，能够聚合待办信息、公司新闻、最新发文、集团新闻、待办任务、未读微邮等通用组件。每个权属企业的管理员都可以根据已有模版或页面快速定制出具有企业特性的门户页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6.2移动门户：移动门户，作为全员应用入口，主要包括模块聚合待办消息、统一消息中心、统一通知中心、统一通讯录、聚合企业服务等能力。同时基于企业个性化需求，提供灵活定制移动门户的能力，打造企业专属移动门户。</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6.3公告：公告应用是用来满足企业内部发布通知、公告、新闻、快讯、报告、公示、规范制度的需求，是企业内部文化传播的重要渠道。公告管理重，可对公告类别、类别层级、各级发布权限及受众进行定义，从而满足集团对内部信息发布管理的机密性、信息查看的复杂要求。发布信息时，信息内容支持多格式的内容编辑，包括文字、图片、文档、多媒体、流媒体等；同时支持PDF文档作为正文发布，同时支持信息发布过程的流程审批管控。未读公告提醒、快速筛选公告内容，不遗漏重要信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6.4文库：基于企业管理、团队协作、项目协作、个人工作等文献归纳管理场景下，满足个人学习、分享经验、总结汇报的工作需要，针对不同时期、不同地域、不同成员的各类文档进行统一归档、管理，加强了企业的知识积累，逐步形成有价值的、多维度的、可沉淀的，并助力于塑造企业文化的知识库。</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（1）可对企业/团队/项目/个人文档的存储、共享与协作，支持一人在线演示多人即时同步预览体验。</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（2）企业文档支持多级目录下各级目录的授权管理，支持分级授权和范围授权。</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（3）支持多种文档格式预览，满足日常办公需求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（4）可异地同步预览并演示重要文档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（5）支持通过移动端IM快速分发文件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6.5项目：满足企业中的团队或组织为某个事件以项目协作的方式做工作计划、以任务的方式安排分解项目工作，项目组成员随时跟踪项目任务执行的进展，推进项目的执行。包括建立项目创建、项目协作、任务的执行、项目任务统计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6.6工作日志：工作日志帮助团队成员记录每天、周、月、达成的工作成效，通过及时的工作总结，总结经验，提升个人工作能力；管理人员随时查看整个组织每位成员的工作内容、工作状态和成效、事项的进度，并支持点评。系统应支持日志查询、日志统计、日志汇总、日志报表、日志模板。</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6.7工作清单：用户可直接在工作清单快速创建自己的工作事项,并同步到其他(任务)应用，给用户提供一个集中管理的入口,合理根据清单形式安排自己的工作,让用户高效工作并处理业务。实现多个应用的所有待办任务，解决多来源，信息混乱，一通过一个中心集中处理，提高办理效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6.8会议管理：会议管理包括会议室申请、预定、会议通知、会议提醒、会议取消、会议签到（移动签到）、会议议程等管理。系统应自动标出当天有时间冲突的会议安排，方便用户根据需要选择需要参加的会议，合理的安排工作时间。支持参会确认，参会回执可统计；移动端支持会议室预定。</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6.9公文：公文管理严格遵循公文管理制度、公文流转方式实现安全规范、高效方便、统一管控的公文业务管理。包括：收文管理、发文管理、公文查询、公文交换等全过程管理。系统应具备流程权限灵活设置、过程留痕、权限可分级管理；收发文过程支持将公文内容进行归档、转任务、转公告、转会议等其他模块的关联，无缝衔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6.10通信录：统一通讯录，支持企业通讯录查询、订阅号查找、支持添加好友，方便企业内部找人、沟通、协同。管理员可以进行统一隐私设置，隐藏手机号和邮箱信息；也可以设置查看范围。支持通过通讯录选人、创建群组、创建团队。</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6.11日程管理：日程应用数据可来源于个人任务、会议等应用，可以来自于手机日程、主动创建，当用户被指派任务或受邀请会议时，将在日程应用中自动展示，日程应用支持多视图模式的查看，分别可按周、月视图切换，每一项日程可设置重复属性、日程提醒，日程参与人及分享出日程，日程同样可关联文件、描述等信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6.12表单流程管理：用户可以根据管理需要自定义表单，并灵活地设计审批流，满足日常管理需求。后台管理员可以去修改每个流程的细节，包括定义表单结构、关联的流程，每个流程环节的审批人，及其对应的处理动作与权限等，实现了高自由度的定制化方案。用户可通过移动端或者Web端快速发起审批，并且跟踪流程的处理进度。作为审批人则可以即时收到审批通知，随时随地处理审批。提供可视化的流程设计器，支持改派、前后加签、指派、驳回、转任务；系统应提供表单模板库，用户可以方便快捷的添加各类表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6.13IM即时沟通工具：多种即时通讯方式，包括文字、图片、拍照、表情、文件、语音、共享位置、红包、电话、小视频、@人等消息类型。对消息的加工处理，包括消息转发、消息撤回、消息删除、消息复制、消息转任务等功能，为用户提供更方便快捷的沟通形式。支持快速创建群组聊天，im＋业务协作，打造场景化的即时沟通新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6.14内部邮件：满足内部邮件管理需求，支持附件上传、下载，能够显示已读/未读状态不同以提示相关人员识别。同时支持代收发配置功能，实现对企业内部邮箱及通用的邮箱的代收发功能；支持手机收发邮件。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6.15其他需求：系统还应支持话题讨论、工作圈、动态、投票等功能。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7.客户端需求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客户端支持windows7/windows8/windows10/iOS等多种操作系统，支持全模块的移动客户端（Android、iOS）应用,要求设计合理、功能满足业务要求、支持后期添加应用。文</w:t>
      </w:r>
      <w:r>
        <w:rPr>
          <w:rFonts w:hint="eastAsia" w:asciiTheme="minorEastAsia" w:hAnsiTheme="minorEastAsia" w:eastAsiaTheme="minorEastAsia" w:cstheme="minorEastAsia"/>
          <w:bCs/>
          <w:sz w:val="21"/>
          <w:szCs w:val="21"/>
        </w:rPr>
        <w:t>字处理软件:office 2007（包含office 2007）以上；支持IE8.0（包含</w:t>
      </w:r>
      <w:r>
        <w:rPr>
          <w:rFonts w:hint="eastAsia" w:asciiTheme="minorEastAsia" w:hAnsiTheme="minorEastAsia" w:eastAsiaTheme="minorEastAsia" w:cstheme="minorEastAsia"/>
          <w:kern w:val="0"/>
          <w:sz w:val="21"/>
          <w:szCs w:val="21"/>
        </w:rPr>
        <w:t>IE8.0）以上、360、谷歌、猎豹等多种浏览器。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实现移动端报账，移动审批，可在移动端查看影像，可实现对单据的催办、撤回、转交等操作。支持移动监控组织、银行、账户的余额、流入、流出情况。实现融资额度、还款监控等。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8.用户数</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用户数为并发数，核算满足同时在线人数50人、资金满足同时在线人数50人，网报、OA系统、移动应用等满足同时在线人数500人。</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（四）实施服务需求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本次产品实施不得分包、转包或外包给第三方公司。</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1.实施体系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（1)实施工作遵从系统、科学、完整、可行的实施方法论体系。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（2)参照最佳业务实践，提供管理改进建议。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2.实施计划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（1)投标单位需要制定详细可落地的实施计划。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（2)说明实施计划的可行性与前提保障。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3.实施组织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(1)提出参与实施各方的项目实施组织架构建议，确保实施分工科学合理、项目各方紧密协调合作，共同完成项目的实施工作。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(2)明确实施组织内各方、各级人员的工作职责。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(3)明确项目实施过程中的管理与协调机制。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(4)投标人项目团队说明，项目人员简介。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4.实施人员</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投标人项目经理能够迅速深入地理解行业情况与企业现状，具有丰富的项目管理及项目实施经验，具有较强的与高层、中层管理人员和普通业务人员之间的沟通协调能力、组织管理能力、资源调动能力，以及高度的责任心。</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(2)投标人技术人员需要具有丰富的实施经验，并必须具有良好的与中层管理人员和普通业务人员之间沟通、协调能力。</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5.风险控制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(1)分析项目实施过程中可能遇到的风险。</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(2)提出对项目实施风险进行预防与管控的手段。</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6.质量衡量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(1)提出衡量项目实施质量的标准。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(2)提出项目实施质量出现偏差时的纠正措施。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7.实施培训</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提出项目实施培训体系。投标方应提供一套科学完整的培训方案及计划，包括：培训目的、培训目标、培训对象、培训方式、培训课程、培训考核等，从而保障系统实施过程及系统运行后高效的操作、运行管理及维护。</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8.知识转移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（1)提出转移的知识体系。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（2)提出转移知识的方法。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9.产品服务与技术支持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（1)说明产品服务的机构。</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（2)说明对本项目的产品服务与技术支持制度。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（3)技术服务包括：远程支持服务、现场支持服务、紧急故障排除服务。</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（4)承诺服务响应的时间和方式。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实时服务：提供每周7×24小时的电话、电子邮件服务响应。</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现场服务：出现重大故障时，专业技术人员应在6小时内赶到现场，并在4小时内提供解决方案解决问题；如果投标方在接到通知后未及时作出响应，投标方必须对由于故障所造成的损失后果负责。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10.安全保密要求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(1)系统建设必须遵循有关国家电子政务信息安全保障体系要求，按照国家法规实施安全等级保护，加强系统信息安全管理。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(2)投标方必须明确提供完善的，可行的系统安全方案，应包括有双向身份认证、文件加密、数据备份与恢复、防病毒、防入侵等功能，应支持PKI加密，电子签名和第三方的CA安全认证。</w:t>
      </w:r>
    </w:p>
    <w:p>
      <w:pPr>
        <w:spacing w:line="480" w:lineRule="exact"/>
        <w:jc w:val="center"/>
        <w:rPr>
          <w:rFonts w:asciiTheme="majorEastAsia" w:hAnsiTheme="majorEastAsia" w:eastAsiaTheme="majorEastAsia" w:cstheme="majorEastAsia"/>
          <w:b/>
          <w:bCs/>
          <w:sz w:val="32"/>
          <w:szCs w:val="32"/>
          <w:highlight w:val="none"/>
        </w:rPr>
      </w:pPr>
    </w:p>
    <w:bookmarkEnd w:id="16"/>
    <w:bookmarkEnd w:id="17"/>
    <w:bookmarkEnd w:id="18"/>
    <w:bookmarkEnd w:id="19"/>
    <w:bookmarkEnd w:id="20"/>
    <w:bookmarkEnd w:id="21"/>
    <w:bookmarkEnd w:id="22"/>
    <w:bookmarkEnd w:id="23"/>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both"/>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hint="eastAsia" w:ascii="Times New Roman" w:hAnsi="Times New Roman" w:eastAsia="黑体" w:cs="Times New Roman"/>
          <w:kern w:val="0"/>
          <w:sz w:val="48"/>
          <w:szCs w:val="48"/>
          <w:highlight w:val="none"/>
          <w:lang w:eastAsia="zh-CN"/>
        </w:rPr>
      </w:pPr>
      <w:r>
        <w:rPr>
          <w:rFonts w:hint="eastAsia" w:ascii="Times New Roman" w:hAnsi="Times New Roman" w:eastAsia="黑体" w:cs="Times New Roman"/>
          <w:kern w:val="0"/>
          <w:sz w:val="48"/>
          <w:szCs w:val="48"/>
          <w:highlight w:val="none"/>
          <w:lang w:eastAsia="zh-CN"/>
        </w:rPr>
        <w:t>亳州交通投资控股集团有限公司财务共享中心项目投标文件（二次）</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BZJK-2020-027号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六、服务方案</w:t>
      </w:r>
    </w:p>
    <w:p>
      <w:pPr>
        <w:wordWrap w:val="0"/>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35" w:name="_Toc492300526"/>
      <w:r>
        <w:rPr>
          <w:rFonts w:ascii="Times New Roman" w:hAnsi="Times New Roman"/>
          <w:highlight w:val="none"/>
        </w:rPr>
        <w:t>一、投标</w:t>
      </w:r>
      <w:bookmarkStart w:id="36" w:name="_Toc6931"/>
      <w:bookmarkStart w:id="37" w:name="_Toc369531692"/>
      <w:bookmarkStart w:id="38" w:name="_Toc352691656"/>
      <w:r>
        <w:rPr>
          <w:rFonts w:ascii="Times New Roman" w:hAnsi="Times New Roman"/>
          <w:highlight w:val="none"/>
        </w:rPr>
        <w:t>函</w:t>
      </w:r>
      <w:bookmarkEnd w:id="35"/>
      <w:bookmarkEnd w:id="36"/>
      <w:bookmarkEnd w:id="37"/>
      <w:bookmarkEnd w:id="38"/>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w:t>
      </w:r>
      <w:r>
        <w:rPr>
          <w:rFonts w:hint="eastAsia" w:ascii="Times New Roman" w:hAnsi="Times New Roman"/>
          <w:szCs w:val="21"/>
          <w:highlight w:val="none"/>
        </w:rPr>
        <w:t>实施开发阶段</w:t>
      </w:r>
      <w:r>
        <w:rPr>
          <w:rFonts w:hint="eastAsia" w:ascii="Times New Roman" w:hAnsi="Times New Roman"/>
          <w:szCs w:val="21"/>
          <w:highlight w:val="none"/>
          <w:lang w:eastAsia="zh-CN"/>
        </w:rPr>
        <w:t>总报价，</w:t>
      </w:r>
      <w:r>
        <w:rPr>
          <w:rFonts w:hint="eastAsia" w:ascii="Times New Roman" w:hAnsi="Times New Roman"/>
          <w:szCs w:val="21"/>
          <w:highlight w:val="none"/>
        </w:rPr>
        <w:t>后期</w:t>
      </w:r>
      <w:r>
        <w:rPr>
          <w:rFonts w:hint="eastAsia" w:ascii="Times New Roman" w:hAnsi="Times New Roman"/>
          <w:szCs w:val="21"/>
          <w:highlight w:val="none"/>
          <w:lang w:eastAsia="zh-CN"/>
        </w:rPr>
        <w:t>年</w:t>
      </w:r>
      <w:r>
        <w:rPr>
          <w:rFonts w:hint="eastAsia" w:ascii="Times New Roman" w:hAnsi="Times New Roman"/>
          <w:szCs w:val="21"/>
          <w:highlight w:val="none"/>
        </w:rPr>
        <w:t>维护</w:t>
      </w:r>
      <w:r>
        <w:rPr>
          <w:rFonts w:hint="eastAsia" w:ascii="Times New Roman" w:hAnsi="Times New Roman"/>
          <w:szCs w:val="21"/>
          <w:highlight w:val="none"/>
          <w:lang w:eastAsia="zh-CN"/>
        </w:rPr>
        <w:t>费为</w:t>
      </w:r>
      <w:r>
        <w:rPr>
          <w:rFonts w:hint="eastAsia" w:ascii="Times New Roman" w:hAnsi="Times New Roman"/>
          <w:szCs w:val="21"/>
          <w:highlight w:val="none"/>
        </w:rPr>
        <w:t>实施开发阶段费用的</w:t>
      </w:r>
      <w:r>
        <w:rPr>
          <w:rFonts w:ascii="Times New Roman" w:hAnsi="Times New Roman" w:eastAsia="黑体"/>
          <w:color w:val="000000"/>
          <w:szCs w:val="21"/>
          <w:highlight w:val="none"/>
          <w:u w:val="single"/>
        </w:rPr>
        <w:t xml:space="preserve">       </w:t>
      </w:r>
      <w:r>
        <w:rPr>
          <w:rFonts w:hint="eastAsia" w:ascii="Times New Roman" w:hAnsi="Times New Roman" w:eastAsia="黑体"/>
          <w:color w:val="000000"/>
          <w:szCs w:val="21"/>
          <w:highlight w:val="none"/>
          <w:u w:val="single"/>
          <w:lang w:val="en-US" w:eastAsia="zh-CN"/>
        </w:rPr>
        <w:t>%</w:t>
      </w:r>
      <w:r>
        <w:rPr>
          <w:rFonts w:hint="eastAsia" w:ascii="Times New Roman" w:hAnsi="Times New Roman"/>
          <w:szCs w:val="21"/>
          <w:highlight w:val="none"/>
          <w:lang w:val="en-US" w:eastAsia="zh-CN"/>
        </w:rPr>
        <w:t>进行投标报价</w:t>
      </w:r>
      <w:r>
        <w:rPr>
          <w:rFonts w:hint="eastAsia" w:ascii="Times New Roman" w:hAnsi="Times New Roman"/>
          <w:szCs w:val="21"/>
          <w:highlight w:val="none"/>
          <w:u w:val="none"/>
          <w:lang w:val="en-US" w:eastAsia="zh-CN"/>
        </w:rPr>
        <w:t xml:space="preserve"> </w:t>
      </w:r>
      <w:r>
        <w:rPr>
          <w:rFonts w:ascii="Times New Roman" w:hAnsi="Times New Roman"/>
          <w:szCs w:val="21"/>
          <w:highlight w:val="none"/>
        </w:rPr>
        <w:t>（其中，增值税税率为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ascii="Times New Roman" w:hAnsi="Times New Roman"/>
          <w:szCs w:val="21"/>
          <w:highlight w:val="none"/>
        </w:rPr>
        <w:t>，</w:t>
      </w:r>
      <w:r>
        <w:rPr>
          <w:rFonts w:hint="eastAsia" w:ascii="Times New Roman" w:hAnsi="Times New Roman"/>
          <w:szCs w:val="21"/>
          <w:highlight w:val="none"/>
          <w:lang w:eastAsia="zh-CN"/>
        </w:rPr>
        <w:t>免费维护期为</w:t>
      </w:r>
      <w:r>
        <w:rPr>
          <w:rFonts w:ascii="Times New Roman" w:hAnsi="Times New Roman" w:eastAsia="黑体"/>
          <w:color w:val="000000"/>
          <w:szCs w:val="21"/>
          <w:highlight w:val="none"/>
          <w:u w:val="single"/>
        </w:rPr>
        <w:t xml:space="preserve">        </w:t>
      </w:r>
      <w:r>
        <w:rPr>
          <w:rFonts w:hint="eastAsia" w:ascii="Times New Roman" w:hAnsi="Times New Roman" w:eastAsia="黑体"/>
          <w:color w:val="000000"/>
          <w:szCs w:val="21"/>
          <w:highlight w:val="none"/>
          <w:u w:val="none"/>
          <w:lang w:eastAsia="zh-CN"/>
        </w:rPr>
        <w:t>，</w:t>
      </w:r>
      <w:r>
        <w:rPr>
          <w:rFonts w:ascii="Times New Roman" w:hAnsi="Times New Roman"/>
          <w:szCs w:val="21"/>
          <w:highlight w:val="none"/>
        </w:rPr>
        <w:t>按合同约定完成</w:t>
      </w:r>
      <w:r>
        <w:rPr>
          <w:rFonts w:hint="eastAsia" w:ascii="Times New Roman" w:hAnsi="Times New Roman"/>
          <w:szCs w:val="21"/>
          <w:highlight w:val="none"/>
          <w:lang w:eastAsia="zh-CN"/>
        </w:rPr>
        <w:t>系统开发及后期维护</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39" w:name="_Toc1187"/>
      <w:bookmarkStart w:id="40" w:name="_Toc352691658"/>
      <w:bookmarkStart w:id="41" w:name="_Toc369531694"/>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39"/>
      <w:bookmarkEnd w:id="40"/>
      <w:bookmarkEnd w:id="41"/>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42" w:name="_Toc352691659"/>
      <w:bookmarkEnd w:id="42"/>
      <w:bookmarkStart w:id="43" w:name="_Toc369531696"/>
      <w:bookmarkEnd w:id="43"/>
      <w:bookmarkStart w:id="44" w:name="_Toc16568"/>
      <w:bookmarkEnd w:id="44"/>
      <w:bookmarkStart w:id="45" w:name="_Toc352691660"/>
      <w:bookmarkEnd w:id="45"/>
      <w:bookmarkStart w:id="46" w:name="_Toc369531695"/>
      <w:bookmarkEnd w:id="46"/>
      <w:bookmarkStart w:id="47" w:name="_Toc16824"/>
      <w:bookmarkEnd w:id="47"/>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48" w:name="_Toc144974856"/>
      <w:bookmarkStart w:id="49" w:name="_Toc361508752"/>
      <w:bookmarkStart w:id="50" w:name="_Toc384308375"/>
      <w:bookmarkStart w:id="51" w:name="_Toc352691661"/>
      <w:bookmarkStart w:id="52" w:name="_Toc247514246"/>
      <w:bookmarkStart w:id="53" w:name="_Toc247527827"/>
      <w:bookmarkStart w:id="54" w:name="_Toc152042576"/>
      <w:bookmarkStart w:id="55" w:name="_Toc369531697"/>
      <w:bookmarkStart w:id="56" w:name="_Toc17960"/>
      <w:bookmarkStart w:id="57" w:name="_Toc300835209"/>
      <w:bookmarkStart w:id="58" w:name="_Toc152045787"/>
    </w:p>
    <w:p>
      <w:pPr>
        <w:pStyle w:val="3"/>
        <w:jc w:val="center"/>
        <w:rPr>
          <w:rFonts w:ascii="Times New Roman" w:hAnsi="Times New Roman"/>
          <w:color w:val="000000"/>
          <w:highlight w:val="none"/>
        </w:rPr>
      </w:pPr>
      <w:bookmarkStart w:id="59" w:name="_Toc492300529"/>
      <w:r>
        <w:rPr>
          <w:rFonts w:ascii="Times New Roman" w:hAnsi="Times New Roman"/>
          <w:color w:val="000000"/>
          <w:highlight w:val="none"/>
        </w:rPr>
        <w:t>二</w:t>
      </w:r>
      <w:bookmarkEnd w:id="48"/>
      <w:bookmarkEnd w:id="49"/>
      <w:bookmarkEnd w:id="50"/>
      <w:bookmarkEnd w:id="51"/>
      <w:bookmarkEnd w:id="52"/>
      <w:bookmarkEnd w:id="53"/>
      <w:bookmarkEnd w:id="54"/>
      <w:bookmarkEnd w:id="55"/>
      <w:bookmarkEnd w:id="56"/>
      <w:bookmarkEnd w:id="57"/>
      <w:bookmarkEnd w:id="58"/>
      <w:r>
        <w:rPr>
          <w:rFonts w:ascii="Times New Roman" w:hAnsi="Times New Roman"/>
          <w:color w:val="000000"/>
          <w:highlight w:val="none"/>
        </w:rPr>
        <w:t>、法定代表人身份证明</w:t>
      </w:r>
      <w:bookmarkEnd w:id="59"/>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60" w:name="_Toc369531698"/>
      <w:bookmarkStart w:id="61" w:name="_Toc27897"/>
      <w:bookmarkStart w:id="62" w:name="_Toc352691662"/>
      <w:r>
        <w:rPr>
          <w:rFonts w:ascii="Times New Roman" w:hAnsi="Times New Roman"/>
          <w:highlight w:val="none"/>
          <w:u w:val="single"/>
        </w:rPr>
        <w:t xml:space="preserve">        </w:t>
      </w:r>
      <w:r>
        <w:rPr>
          <w:rFonts w:ascii="Times New Roman" w:hAnsi="Times New Roman"/>
          <w:color w:val="000000"/>
          <w:highlight w:val="none"/>
        </w:rPr>
        <w:t>年</w:t>
      </w:r>
      <w:bookmarkEnd w:id="60"/>
      <w:bookmarkEnd w:id="61"/>
      <w:bookmarkEnd w:id="62"/>
      <w:r>
        <w:rPr>
          <w:rFonts w:ascii="Times New Roman" w:hAnsi="Times New Roman"/>
          <w:color w:val="000000"/>
          <w:highlight w:val="none"/>
        </w:rPr>
        <w:t>龄</w:t>
      </w:r>
      <w:bookmarkStart w:id="63" w:name="_Toc15573"/>
      <w:bookmarkStart w:id="64" w:name="_Toc352691663"/>
      <w:bookmarkStart w:id="65" w:name="_Toc247514248"/>
      <w:bookmarkStart w:id="66" w:name="_Toc152042578"/>
      <w:bookmarkStart w:id="67" w:name="_Toc152045789"/>
      <w:bookmarkStart w:id="68" w:name="_Toc300835211"/>
      <w:bookmarkStart w:id="69" w:name="_Toc369531699"/>
      <w:bookmarkStart w:id="70" w:name="_Toc384308377"/>
      <w:bookmarkStart w:id="71" w:name="_Toc247527829"/>
      <w:bookmarkStart w:id="72" w:name="_Toc361508754"/>
      <w:bookmarkStart w:id="73" w:name="_Toc144974858"/>
      <w:r>
        <w:rPr>
          <w:rFonts w:ascii="Times New Roman" w:hAnsi="Times New Roman"/>
          <w:color w:val="000000"/>
          <w:highlight w:val="none"/>
        </w:rPr>
        <w:t>：</w:t>
      </w:r>
      <w:bookmarkEnd w:id="63"/>
      <w:bookmarkEnd w:id="64"/>
      <w:bookmarkEnd w:id="65"/>
      <w:bookmarkEnd w:id="66"/>
      <w:bookmarkEnd w:id="67"/>
      <w:bookmarkEnd w:id="68"/>
      <w:bookmarkEnd w:id="69"/>
      <w:bookmarkEnd w:id="70"/>
      <w:bookmarkEnd w:id="71"/>
      <w:bookmarkEnd w:id="72"/>
      <w:bookmarkEnd w:id="73"/>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74"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74"/>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75" w:name="_Toc492300532"/>
      <w:r>
        <w:rPr>
          <w:rFonts w:hint="eastAsia" w:ascii="Times New Roman" w:hAnsi="Times New Roman"/>
          <w:highlight w:val="none"/>
        </w:rPr>
        <w:t>三、</w:t>
      </w:r>
      <w:bookmarkStart w:id="76" w:name="_Toc152042581"/>
      <w:bookmarkStart w:id="77" w:name="_Toc247527832"/>
      <w:bookmarkStart w:id="78" w:name="_Toc144974861"/>
      <w:bookmarkStart w:id="79" w:name="_Toc352691666"/>
      <w:bookmarkStart w:id="80" w:name="_Toc247514284"/>
      <w:bookmarkStart w:id="81" w:name="_Toc13469"/>
      <w:bookmarkStart w:id="82" w:name="_Toc300835214"/>
      <w:bookmarkStart w:id="83" w:name="_Toc369531702"/>
      <w:bookmarkStart w:id="84" w:name="_Toc361508757"/>
      <w:bookmarkStart w:id="85" w:name="_Toc384308381"/>
      <w:bookmarkStart w:id="86" w:name="_Toc152045792"/>
      <w:r>
        <w:rPr>
          <w:rFonts w:hint="eastAsia" w:ascii="Times New Roman" w:hAnsi="Times New Roman"/>
          <w:highlight w:val="none"/>
        </w:rPr>
        <w:t>投标保证金</w:t>
      </w:r>
      <w:bookmarkEnd w:id="75"/>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76"/>
    <w:bookmarkEnd w:id="77"/>
    <w:bookmarkEnd w:id="78"/>
    <w:bookmarkEnd w:id="79"/>
    <w:bookmarkEnd w:id="80"/>
    <w:bookmarkEnd w:id="81"/>
    <w:bookmarkEnd w:id="82"/>
    <w:bookmarkEnd w:id="83"/>
    <w:bookmarkEnd w:id="84"/>
    <w:bookmarkEnd w:id="85"/>
    <w:bookmarkEnd w:id="86"/>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87"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87"/>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88"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89" w:name="_Toc492300534"/>
      <w:r>
        <w:rPr>
          <w:rFonts w:hint="eastAsia" w:ascii="Times New Roman" w:hAnsi="Times New Roman"/>
          <w:color w:val="000000"/>
          <w:highlight w:val="none"/>
        </w:rPr>
        <w:t>五、资格审查资料</w:t>
      </w:r>
      <w:bookmarkEnd w:id="89"/>
    </w:p>
    <w:p>
      <w:pPr>
        <w:pStyle w:val="4"/>
        <w:spacing w:before="20" w:after="0"/>
        <w:ind w:firstLine="137"/>
        <w:rPr>
          <w:rFonts w:ascii="Times New Roman" w:hAnsi="Times New Roman"/>
          <w:color w:val="000000"/>
          <w:highlight w:val="none"/>
        </w:rPr>
      </w:pPr>
      <w:bookmarkStart w:id="90" w:name="_Toc492300535"/>
      <w:r>
        <w:rPr>
          <w:rFonts w:hint="eastAsia" w:ascii="Times New Roman" w:hAnsi="Times New Roman"/>
          <w:color w:val="000000"/>
          <w:highlight w:val="none"/>
        </w:rPr>
        <w:t>（一）基本情况表</w:t>
      </w:r>
      <w:bookmarkEnd w:id="90"/>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营业执照、资质证书</w:t>
      </w:r>
      <w:r>
        <w:rPr>
          <w:rFonts w:hint="eastAsia" w:ascii="Times New Roman" w:hAnsi="Times New Roman"/>
          <w:color w:val="000000"/>
          <w:highlight w:val="none"/>
        </w:rPr>
        <w:t>副本等材料的复印件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91" w:name="_Toc492300536"/>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（二）近年财务状况表</w:t>
      </w:r>
      <w:bookmarkEnd w:id="91"/>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投标人的成立时间少于投标人须知前附表规定年份的，应提供成立以来的财务状况表。</w:t>
      </w:r>
    </w:p>
    <w:p>
      <w:pPr>
        <w:topLinePunct/>
        <w:spacing w:line="440" w:lineRule="exact"/>
        <w:ind w:firstLine="420" w:firstLineChars="200"/>
        <w:rPr>
          <w:rFonts w:ascii="Times New Roman" w:hAnsi="Times New Roman"/>
          <w:color w:val="000000"/>
          <w:highlight w:val="none"/>
        </w:rPr>
      </w:pP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spacing w:line="440" w:lineRule="exact"/>
        <w:ind w:firstLine="137"/>
        <w:rPr>
          <w:rFonts w:ascii="Times New Roman" w:hAnsi="Times New Roman"/>
          <w:color w:val="000000"/>
          <w:highlight w:val="none"/>
        </w:rPr>
      </w:pPr>
      <w:bookmarkStart w:id="92" w:name="_Toc492300537"/>
      <w:r>
        <w:rPr>
          <w:rFonts w:hint="eastAsia" w:ascii="Times New Roman" w:hAnsi="Times New Roman"/>
          <w:color w:val="000000"/>
          <w:highlight w:val="none"/>
        </w:rPr>
        <w:t>（三）近年发生的诉讼及仲裁情况</w:t>
      </w:r>
    </w:p>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“近年发生的诉讼及仲裁情况”应说明投标人败诉的服务合同的相关情况，并附法院或仲裁机构作出的判决、裁决等有关法律文书复印件，具体时间要求见投标人须知前附表。</w:t>
      </w:r>
    </w:p>
    <w:p>
      <w:pPr>
        <w:rPr>
          <w:rFonts w:ascii="Times New Roman" w:hAnsi="Times New Roman"/>
          <w:highlight w:val="none"/>
        </w:rPr>
      </w:pPr>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（四）近年完成的类似项目情况表</w:t>
      </w:r>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93" w:name="_Toc359594247"/>
      <w:bookmarkStart w:id="94" w:name="_Toc300835226"/>
      <w:bookmarkStart w:id="95" w:name="_Toc152042599"/>
      <w:bookmarkStart w:id="96" w:name="_Toc144974878"/>
      <w:bookmarkStart w:id="97" w:name="_Toc492300538"/>
      <w:bookmarkStart w:id="98" w:name="_Toc247514302"/>
      <w:bookmarkStart w:id="99" w:name="_Toc384308388"/>
      <w:bookmarkStart w:id="100" w:name="_Toc370676438"/>
      <w:bookmarkStart w:id="101" w:name="_Toc152045810"/>
      <w:bookmarkStart w:id="102" w:name="_Toc361508766"/>
      <w:bookmarkStart w:id="103" w:name="_Toc247527850"/>
      <w:bookmarkStart w:id="104" w:name="_Toc144974879"/>
      <w:bookmarkStart w:id="105" w:name="_Toc152042600"/>
      <w:bookmarkStart w:id="106" w:name="_Toc247527851"/>
      <w:bookmarkStart w:id="107" w:name="_Toc152045811"/>
      <w:bookmarkStart w:id="108" w:name="_Toc247514303"/>
      <w:r>
        <w:rPr>
          <w:rFonts w:hint="eastAsia" w:ascii="Times New Roman" w:hAnsi="Times New Roman"/>
          <w:highlight w:val="none"/>
        </w:rPr>
        <w:t>（五）正在履行和新承接的项目情况表</w:t>
      </w:r>
      <w:bookmarkEnd w:id="93"/>
      <w:bookmarkEnd w:id="94"/>
      <w:bookmarkEnd w:id="95"/>
      <w:bookmarkEnd w:id="96"/>
      <w:bookmarkEnd w:id="97"/>
      <w:bookmarkEnd w:id="98"/>
      <w:bookmarkEnd w:id="99"/>
      <w:bookmarkEnd w:id="100"/>
      <w:bookmarkEnd w:id="101"/>
      <w:bookmarkEnd w:id="102"/>
      <w:bookmarkEnd w:id="103"/>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04"/>
      <w:bookmarkEnd w:id="105"/>
      <w:bookmarkEnd w:id="106"/>
      <w:bookmarkEnd w:id="107"/>
      <w:bookmarkEnd w:id="108"/>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88"/>
    <w:p>
      <w:pPr>
        <w:pStyle w:val="4"/>
        <w:rPr>
          <w:rFonts w:ascii="Times New Roman" w:hAnsi="Times New Roman"/>
          <w:highlight w:val="none"/>
        </w:rPr>
      </w:pPr>
      <w:bookmarkStart w:id="109" w:name="_Toc492300540"/>
      <w:bookmarkStart w:id="110" w:name="_Toc482188667"/>
      <w:r>
        <w:rPr>
          <w:rFonts w:hint="eastAsia" w:ascii="Times New Roman" w:hAnsi="Times New Roman"/>
          <w:highlight w:val="none"/>
        </w:rPr>
        <w:t>（六）拟委任的主要人员汇总表</w:t>
      </w:r>
      <w:bookmarkEnd w:id="109"/>
      <w:bookmarkEnd w:id="110"/>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注：“拟委任的主要人员汇总表”应填报满足招标文件规定的项目负责人和其他主要人员的相关信息。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11" w:name="_Toc179632825"/>
      <w:bookmarkStart w:id="112" w:name="_Toc144974873"/>
      <w:bookmarkStart w:id="113" w:name="_Toc152045805"/>
      <w:bookmarkStart w:id="114" w:name="_Toc152042594"/>
    </w:p>
    <w:p>
      <w:pPr>
        <w:pStyle w:val="4"/>
        <w:ind w:firstLine="137"/>
        <w:rPr>
          <w:rFonts w:ascii="Times New Roman" w:hAnsi="Times New Roman"/>
          <w:highlight w:val="none"/>
        </w:rPr>
      </w:pPr>
      <w:bookmarkStart w:id="115" w:name="_Toc384308390"/>
      <w:bookmarkStart w:id="116" w:name="_Toc385943079"/>
      <w:bookmarkStart w:id="117" w:name="_Toc300835232"/>
      <w:bookmarkStart w:id="118" w:name="_Toc492300541"/>
      <w:bookmarkStart w:id="119" w:name="_Toc359594249"/>
      <w:bookmarkStart w:id="120" w:name="_Toc391394125"/>
      <w:bookmarkStart w:id="121" w:name="_Toc482188668"/>
      <w:bookmarkStart w:id="122" w:name="_Toc370676440"/>
      <w:r>
        <w:rPr>
          <w:rFonts w:hint="eastAsia" w:ascii="Times New Roman" w:hAnsi="Times New Roman"/>
          <w:highlight w:val="none"/>
        </w:rPr>
        <w:t>（七）主要人员简历表</w:t>
      </w:r>
      <w:bookmarkEnd w:id="111"/>
      <w:bookmarkEnd w:id="112"/>
      <w:bookmarkEnd w:id="113"/>
      <w:bookmarkEnd w:id="114"/>
      <w:bookmarkEnd w:id="115"/>
      <w:bookmarkEnd w:id="116"/>
      <w:bookmarkEnd w:id="117"/>
      <w:bookmarkEnd w:id="118"/>
      <w:bookmarkEnd w:id="119"/>
      <w:bookmarkEnd w:id="120"/>
      <w:bookmarkEnd w:id="121"/>
      <w:bookmarkEnd w:id="122"/>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“主要人员简历表”中项目负责人应附身份证、学历证、职称证、资格证书和社保缴费证明复印件，管理过的项目业绩须业绩合同复印件或业主单位出具的人员业绩证明等有效证明材料</w:t>
      </w:r>
      <w:r>
        <w:rPr>
          <w:rFonts w:hint="eastAsia" w:ascii="Times New Roman" w:hAnsi="Times New Roman"/>
          <w:color w:val="000000"/>
          <w:highlight w:val="none"/>
          <w:lang w:eastAsia="zh-CN"/>
        </w:rPr>
        <w:t>等</w:t>
      </w:r>
      <w:r>
        <w:rPr>
          <w:rFonts w:hint="eastAsia" w:ascii="Times New Roman" w:hAnsi="Times New Roman"/>
          <w:color w:val="000000"/>
          <w:highlight w:val="none"/>
        </w:rPr>
        <w:t>复印件；其他主要人员应附身份证、学历证、职称证、资格证书和社保缴费证明复印件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。项目业绩时间以合同签订时间为准，业主单位出具的人员业绩证明以载明的服务期起始时间为准</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由本单位为其缴纳的至少连续6个月的社保证明（由当地社保主管部门出具的</w:t>
      </w:r>
      <w:r>
        <w:rPr>
          <w:rFonts w:hint="eastAsia" w:ascii="Times New Roman" w:hAnsi="Times New Roman"/>
          <w:highlight w:val="none"/>
          <w:lang w:eastAsia="zh-CN"/>
        </w:rPr>
        <w:t>2020年1月1日</w:t>
      </w:r>
      <w:r>
        <w:rPr>
          <w:rFonts w:hint="eastAsia" w:ascii="Times New Roman" w:hAnsi="Times New Roman"/>
          <w:highlight w:val="none"/>
        </w:rPr>
        <w:t>以来的有效社保证明）</w:t>
      </w:r>
      <w:r>
        <w:rPr>
          <w:rFonts w:ascii="Times New Roman" w:hAnsi="Times New Roman"/>
          <w:highlight w:val="none"/>
        </w:rPr>
        <w:br w:type="page"/>
      </w:r>
      <w:bookmarkStart w:id="123" w:name="_Toc352703741"/>
      <w:bookmarkStart w:id="124" w:name="_Toc300835229"/>
    </w:p>
    <w:bookmarkEnd w:id="123"/>
    <w:bookmarkEnd w:id="124"/>
    <w:p>
      <w:pPr>
        <w:pStyle w:val="3"/>
        <w:spacing w:after="0"/>
        <w:jc w:val="center"/>
        <w:rPr>
          <w:rFonts w:ascii="Times New Roman" w:hAnsi="Times New Roman"/>
          <w:color w:val="000000"/>
          <w:highlight w:val="none"/>
        </w:rPr>
      </w:pPr>
      <w:bookmarkStart w:id="125" w:name="_Toc492300542"/>
      <w:r>
        <w:rPr>
          <w:rFonts w:hint="eastAsia" w:ascii="Times New Roman" w:hAnsi="Times New Roman"/>
          <w:color w:val="000000"/>
          <w:highlight w:val="none"/>
        </w:rPr>
        <w:t>六</w:t>
      </w:r>
      <w:r>
        <w:rPr>
          <w:rFonts w:ascii="Times New Roman" w:hAnsi="Times New Roman"/>
          <w:color w:val="000000"/>
          <w:highlight w:val="none"/>
        </w:rPr>
        <w:t>、</w:t>
      </w:r>
      <w:r>
        <w:rPr>
          <w:rFonts w:hint="eastAsia" w:ascii="Times New Roman" w:hAnsi="Times New Roman"/>
          <w:color w:val="000000"/>
          <w:highlight w:val="none"/>
        </w:rPr>
        <w:t>服务</w:t>
      </w:r>
      <w:r>
        <w:rPr>
          <w:rFonts w:ascii="Times New Roman" w:hAnsi="Times New Roman"/>
          <w:color w:val="000000"/>
          <w:highlight w:val="none"/>
        </w:rPr>
        <w:t>方案</w:t>
      </w:r>
      <w:bookmarkEnd w:id="125"/>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服务方案应包括（但不限于）下列内容：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一、项目概况；</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二、工作范围、工作内容；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三、工作依据、工作目标；</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四、机构设置（框图）、岗位职责；</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五、软件系统技术实现方案；</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六、接口方案（包括历史数据迁移）；</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 xml:space="preserve">七、数据安全解决方案； </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八、项目设计实施方案；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rPr>
        <w:t>九、系统测试方案</w:t>
      </w:r>
      <w:r>
        <w:rPr>
          <w:rFonts w:hint="eastAsia" w:ascii="Times New Roman" w:hAnsi="Times New Roman"/>
          <w:szCs w:val="21"/>
          <w:highlight w:val="none"/>
          <w:lang w:eastAsia="zh-CN"/>
        </w:rPr>
        <w:t>；</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十、项目培训方案；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十一、售后服务及维护方案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十二、相关承诺及其他内容</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26"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26"/>
    </w:p>
    <w:p>
      <w:pPr>
        <w:rPr>
          <w:rFonts w:ascii="Times New Roman" w:hAnsi="Times New Roman"/>
          <w:highlight w:val="none"/>
        </w:rPr>
      </w:pPr>
    </w:p>
    <w:p>
      <w:pPr>
        <w:ind w:firstLine="420" w:firstLineChars="200"/>
        <w:rPr>
          <w:rFonts w:hint="eastAsia" w:ascii="Times New Roman" w:hAnsi="Times New Roman"/>
          <w:highlight w:val="none"/>
        </w:rPr>
      </w:pPr>
      <w:r>
        <w:rPr>
          <w:rFonts w:hint="eastAsia" w:ascii="Times New Roman" w:hAnsi="Times New Roman"/>
          <w:highlight w:val="none"/>
        </w:rPr>
        <w:t>第六章“投标文件格式”未详尽列举，但招标文件要求或有必要提供的资料。</w:t>
      </w: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rPr>
          <w:rFonts w:hint="eastAsia" w:ascii="Times New Roman" w:hAnsi="Times New Roman"/>
          <w:highlight w:val="none"/>
          <w:lang w:val="en-US" w:eastAsia="zh-CN"/>
        </w:rPr>
      </w:pPr>
      <w:r>
        <w:rPr>
          <w:rFonts w:hint="eastAsia" w:ascii="Times New Roman" w:hAnsi="Times New Roman"/>
          <w:highlight w:val="none"/>
          <w:lang w:eastAsia="zh-CN"/>
        </w:rPr>
        <w:t>附件</w:t>
      </w:r>
      <w:r>
        <w:rPr>
          <w:rFonts w:hint="eastAsia" w:ascii="Times New Roman" w:hAnsi="Times New Roman"/>
          <w:highlight w:val="none"/>
          <w:lang w:val="en-US" w:eastAsia="zh-CN"/>
        </w:rPr>
        <w:t>1</w:t>
      </w:r>
    </w:p>
    <w:p>
      <w:pPr>
        <w:rPr>
          <w:rFonts w:hint="eastAsia" w:ascii="Times New Roman" w:hAnsi="Times New Roman"/>
          <w:highlight w:val="none"/>
          <w:lang w:val="en-US" w:eastAsia="zh-CN"/>
        </w:rPr>
      </w:pPr>
    </w:p>
    <w:p>
      <w:pPr>
        <w:rPr>
          <w:rFonts w:hint="eastAsia" w:ascii="Times New Roman" w:hAnsi="Times New Roman"/>
          <w:highlight w:val="none"/>
          <w:lang w:val="en-US" w:eastAsia="zh-CN"/>
        </w:rPr>
      </w:pPr>
    </w:p>
    <w:p>
      <w:pPr>
        <w:wordWrap w:val="0"/>
        <w:spacing w:line="600" w:lineRule="exact"/>
        <w:jc w:val="center"/>
        <w:rPr>
          <w:rFonts w:asciiTheme="minorEastAsia" w:hAnsiTheme="minorEastAsia" w:cstheme="minorEastAsia"/>
          <w:b/>
          <w:bCs/>
          <w:sz w:val="24"/>
        </w:rPr>
      </w:pPr>
      <w:r>
        <w:rPr>
          <w:rFonts w:hint="eastAsia" w:asciiTheme="minorEastAsia" w:hAnsiTheme="minorEastAsia" w:cstheme="minorEastAsia"/>
          <w:b/>
          <w:bCs/>
          <w:sz w:val="24"/>
        </w:rPr>
        <w:t>投标意向确认书</w:t>
      </w:r>
    </w:p>
    <w:p>
      <w:pPr>
        <w:wordWrap w:val="0"/>
        <w:spacing w:line="600" w:lineRule="exact"/>
        <w:rPr>
          <w:rFonts w:asciiTheme="minorEastAsia" w:hAnsiTheme="minorEastAsia" w:cstheme="minorEastAsia"/>
          <w:szCs w:val="21"/>
          <w:u w:val="single"/>
        </w:rPr>
      </w:pPr>
      <w:r>
        <w:rPr>
          <w:rFonts w:hint="eastAsia" w:asciiTheme="minorEastAsia" w:hAnsiTheme="minorEastAsia" w:cstheme="minorEastAsia"/>
          <w:szCs w:val="21"/>
          <w:u w:val="single"/>
        </w:rPr>
        <w:t>亳州交通投资控股集团有限公司</w:t>
      </w:r>
      <w:r>
        <w:rPr>
          <w:rFonts w:hint="eastAsia" w:asciiTheme="minorEastAsia" w:hAnsiTheme="minorEastAsia" w:cstheme="minorEastAsia"/>
          <w:szCs w:val="21"/>
        </w:rPr>
        <w:t>：</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我方已仔细研究了</w:t>
      </w:r>
      <w:r>
        <w:rPr>
          <w:rFonts w:hint="eastAsia" w:asciiTheme="minorEastAsia" w:hAnsiTheme="minorEastAsia" w:cstheme="minorEastAsia"/>
          <w:szCs w:val="21"/>
          <w:lang w:eastAsia="zh-CN"/>
        </w:rPr>
        <w:t>亳州交通投资控股集团有限公司财务共享中心项目招标文件（二次）</w:t>
      </w:r>
      <w:r>
        <w:rPr>
          <w:rFonts w:hint="eastAsia" w:asciiTheme="minorEastAsia" w:hAnsiTheme="minorEastAsia" w:cstheme="minorEastAsia"/>
          <w:szCs w:val="21"/>
        </w:rPr>
        <w:t>的全部内容，做出如下承诺：</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（1）我方完全理解并接受亳州交通投资控股集团有限公司招标文件内容并不在提出异议，并确认参加该项目投标并按照招标文件要求提交投标文件和投标保证金；</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（2）我方同意提供按照亳州交通投资控股集团有限公司要求的与其参选有关的一切证书、数据或资料，并且有关资料内容完整、真实和准确，且不存在法律法规规定的禁止投标情形。</w:t>
      </w:r>
    </w:p>
    <w:p>
      <w:pPr>
        <w:wordWrap w:val="0"/>
        <w:spacing w:line="600" w:lineRule="exact"/>
        <w:ind w:firstLine="420" w:firstLineChars="200"/>
        <w:rPr>
          <w:rFonts w:asciiTheme="minorEastAsia" w:hAnsiTheme="minorEastAsia" w:cstheme="minorEastAsia"/>
          <w:szCs w:val="21"/>
        </w:rPr>
      </w:pP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 标 人：</w:t>
      </w:r>
      <w:r>
        <w:rPr>
          <w:rFonts w:hint="eastAsia" w:asciiTheme="minorEastAsia" w:hAnsiTheme="minorEastAsia" w:cstheme="minorEastAsia"/>
          <w:szCs w:val="21"/>
          <w:u w:val="single"/>
        </w:rPr>
        <w:t xml:space="preserve">                          （盖单位章）</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法定代表人或其委托代理人：</w:t>
      </w:r>
      <w:r>
        <w:rPr>
          <w:rFonts w:hint="eastAsia" w:asciiTheme="minorEastAsia" w:hAnsiTheme="minorEastAsia" w:cstheme="minorEastAsia"/>
          <w:szCs w:val="21"/>
          <w:u w:val="single"/>
        </w:rPr>
        <w:t xml:space="preserve">              （签字或签章）</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地    址：</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电    话：</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传    真：</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邮政编码：</w:t>
      </w:r>
      <w:r>
        <w:rPr>
          <w:rFonts w:hint="eastAsia" w:asciiTheme="minorEastAsia" w:hAnsiTheme="minorEastAsia" w:cstheme="minorEastAsia"/>
          <w:szCs w:val="21"/>
          <w:u w:val="single"/>
        </w:rPr>
        <w:t xml:space="preserve">                                      </w:t>
      </w:r>
    </w:p>
    <w:p>
      <w:pPr>
        <w:wordWrap w:val="0"/>
        <w:spacing w:line="600" w:lineRule="exact"/>
        <w:jc w:val="right"/>
        <w:rPr>
          <w:rFonts w:asciiTheme="minorEastAsia" w:hAnsiTheme="minorEastAsia" w:cstheme="minorEastAsia"/>
          <w:szCs w:val="21"/>
          <w:u w:val="single"/>
        </w:rPr>
      </w:pPr>
    </w:p>
    <w:p>
      <w:pPr>
        <w:wordWrap w:val="0"/>
        <w:spacing w:line="600" w:lineRule="exact"/>
        <w:jc w:val="right"/>
        <w:rPr>
          <w:rFonts w:asciiTheme="minorEastAsia" w:hAnsiTheme="minorEastAsia" w:cstheme="minorEastAsia"/>
          <w:szCs w:val="21"/>
        </w:rPr>
      </w:pP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F1F09"/>
    <w:multiLevelType w:val="singleLevel"/>
    <w:tmpl w:val="718F1F09"/>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733B0B"/>
    <w:rsid w:val="00764376"/>
    <w:rsid w:val="00796B76"/>
    <w:rsid w:val="008B0C89"/>
    <w:rsid w:val="008E78DA"/>
    <w:rsid w:val="00936B7D"/>
    <w:rsid w:val="009550EB"/>
    <w:rsid w:val="00D6247C"/>
    <w:rsid w:val="00E63C27"/>
    <w:rsid w:val="00FA6F7E"/>
    <w:rsid w:val="012C662E"/>
    <w:rsid w:val="01331963"/>
    <w:rsid w:val="0145105E"/>
    <w:rsid w:val="019846E3"/>
    <w:rsid w:val="01CB0CDF"/>
    <w:rsid w:val="01CD2334"/>
    <w:rsid w:val="01E140D3"/>
    <w:rsid w:val="01E744E5"/>
    <w:rsid w:val="021377AB"/>
    <w:rsid w:val="021D348F"/>
    <w:rsid w:val="02327409"/>
    <w:rsid w:val="026E5FAB"/>
    <w:rsid w:val="02983D41"/>
    <w:rsid w:val="02A46690"/>
    <w:rsid w:val="02AC508C"/>
    <w:rsid w:val="02E242A2"/>
    <w:rsid w:val="030A4D65"/>
    <w:rsid w:val="0324584F"/>
    <w:rsid w:val="034C6A36"/>
    <w:rsid w:val="035021B2"/>
    <w:rsid w:val="036E069E"/>
    <w:rsid w:val="03C10800"/>
    <w:rsid w:val="03C96DCC"/>
    <w:rsid w:val="03E156EA"/>
    <w:rsid w:val="03FB5B2D"/>
    <w:rsid w:val="03FB71CD"/>
    <w:rsid w:val="040666CB"/>
    <w:rsid w:val="04082EC8"/>
    <w:rsid w:val="042C575E"/>
    <w:rsid w:val="043062B7"/>
    <w:rsid w:val="04382327"/>
    <w:rsid w:val="043F5557"/>
    <w:rsid w:val="04885B47"/>
    <w:rsid w:val="04A52387"/>
    <w:rsid w:val="04CD15E8"/>
    <w:rsid w:val="04CF4810"/>
    <w:rsid w:val="04EB08D2"/>
    <w:rsid w:val="04EC7DA2"/>
    <w:rsid w:val="0536325C"/>
    <w:rsid w:val="054C4655"/>
    <w:rsid w:val="0572490A"/>
    <w:rsid w:val="05783BE5"/>
    <w:rsid w:val="058253F2"/>
    <w:rsid w:val="05906C58"/>
    <w:rsid w:val="05D9116E"/>
    <w:rsid w:val="061F0438"/>
    <w:rsid w:val="063F4D83"/>
    <w:rsid w:val="06501BB5"/>
    <w:rsid w:val="067C3CB3"/>
    <w:rsid w:val="068C09EB"/>
    <w:rsid w:val="06975584"/>
    <w:rsid w:val="06A848F7"/>
    <w:rsid w:val="06D9502E"/>
    <w:rsid w:val="06EB4F76"/>
    <w:rsid w:val="06ED1728"/>
    <w:rsid w:val="06F569C1"/>
    <w:rsid w:val="06F76B9D"/>
    <w:rsid w:val="06F81D74"/>
    <w:rsid w:val="074267A8"/>
    <w:rsid w:val="074A7C93"/>
    <w:rsid w:val="07666E00"/>
    <w:rsid w:val="07972327"/>
    <w:rsid w:val="07A85930"/>
    <w:rsid w:val="07EE56D8"/>
    <w:rsid w:val="08397FAF"/>
    <w:rsid w:val="08554A0D"/>
    <w:rsid w:val="086D3DA1"/>
    <w:rsid w:val="08774BE1"/>
    <w:rsid w:val="088F5820"/>
    <w:rsid w:val="08932D8F"/>
    <w:rsid w:val="08AB5891"/>
    <w:rsid w:val="08E51768"/>
    <w:rsid w:val="08EC1249"/>
    <w:rsid w:val="08ED571D"/>
    <w:rsid w:val="0967298A"/>
    <w:rsid w:val="097F30A8"/>
    <w:rsid w:val="09A71C3D"/>
    <w:rsid w:val="09AF2C22"/>
    <w:rsid w:val="09B32D8C"/>
    <w:rsid w:val="09BD647E"/>
    <w:rsid w:val="09C043B8"/>
    <w:rsid w:val="09C37FE6"/>
    <w:rsid w:val="09F35B18"/>
    <w:rsid w:val="09F95A90"/>
    <w:rsid w:val="0A3B332D"/>
    <w:rsid w:val="0A5234C1"/>
    <w:rsid w:val="0A855747"/>
    <w:rsid w:val="0A8B5261"/>
    <w:rsid w:val="0A8E5075"/>
    <w:rsid w:val="0AA913FB"/>
    <w:rsid w:val="0AB930A2"/>
    <w:rsid w:val="0ADD0DF0"/>
    <w:rsid w:val="0AEB40E8"/>
    <w:rsid w:val="0B416906"/>
    <w:rsid w:val="0B494DBB"/>
    <w:rsid w:val="0B5D1C2A"/>
    <w:rsid w:val="0B5E66CB"/>
    <w:rsid w:val="0B7202E7"/>
    <w:rsid w:val="0BB837D0"/>
    <w:rsid w:val="0BCF2D52"/>
    <w:rsid w:val="0C110CA2"/>
    <w:rsid w:val="0C773477"/>
    <w:rsid w:val="0CAA6622"/>
    <w:rsid w:val="0CD71B17"/>
    <w:rsid w:val="0CE1084F"/>
    <w:rsid w:val="0D137A9C"/>
    <w:rsid w:val="0D1B15FF"/>
    <w:rsid w:val="0D2466BD"/>
    <w:rsid w:val="0D331D7B"/>
    <w:rsid w:val="0D37434E"/>
    <w:rsid w:val="0D4B73C6"/>
    <w:rsid w:val="0D744A9C"/>
    <w:rsid w:val="0D7F3B4D"/>
    <w:rsid w:val="0DA277FF"/>
    <w:rsid w:val="0DB8057F"/>
    <w:rsid w:val="0DDB677F"/>
    <w:rsid w:val="0E3867E0"/>
    <w:rsid w:val="0E3C08A3"/>
    <w:rsid w:val="0E472E61"/>
    <w:rsid w:val="0E626142"/>
    <w:rsid w:val="0E6D3EE4"/>
    <w:rsid w:val="0E8168AC"/>
    <w:rsid w:val="0E9601D9"/>
    <w:rsid w:val="0EDF4D5E"/>
    <w:rsid w:val="0EFB661E"/>
    <w:rsid w:val="0F024085"/>
    <w:rsid w:val="0F1438EF"/>
    <w:rsid w:val="0F221F24"/>
    <w:rsid w:val="0F4B0F6A"/>
    <w:rsid w:val="0F5F5CB1"/>
    <w:rsid w:val="0FA819A2"/>
    <w:rsid w:val="0FCA08C0"/>
    <w:rsid w:val="0FCA14B6"/>
    <w:rsid w:val="0FE42DE8"/>
    <w:rsid w:val="101038A7"/>
    <w:rsid w:val="101E2D38"/>
    <w:rsid w:val="1069417C"/>
    <w:rsid w:val="106C1E4B"/>
    <w:rsid w:val="10754912"/>
    <w:rsid w:val="11114551"/>
    <w:rsid w:val="11356135"/>
    <w:rsid w:val="11800917"/>
    <w:rsid w:val="118955AD"/>
    <w:rsid w:val="1197226B"/>
    <w:rsid w:val="11CD444A"/>
    <w:rsid w:val="11FC3F3B"/>
    <w:rsid w:val="123B6B10"/>
    <w:rsid w:val="125A52C4"/>
    <w:rsid w:val="12655D96"/>
    <w:rsid w:val="128E3C38"/>
    <w:rsid w:val="12BF2922"/>
    <w:rsid w:val="12C942C8"/>
    <w:rsid w:val="12DC5F5E"/>
    <w:rsid w:val="12DC7F8C"/>
    <w:rsid w:val="12E82A0B"/>
    <w:rsid w:val="13274F9C"/>
    <w:rsid w:val="132E6DC6"/>
    <w:rsid w:val="13417410"/>
    <w:rsid w:val="134A448A"/>
    <w:rsid w:val="134F7EA7"/>
    <w:rsid w:val="135107A8"/>
    <w:rsid w:val="136066CF"/>
    <w:rsid w:val="13657E31"/>
    <w:rsid w:val="137F3F6F"/>
    <w:rsid w:val="137F7BEC"/>
    <w:rsid w:val="138468CC"/>
    <w:rsid w:val="1387094F"/>
    <w:rsid w:val="13D35238"/>
    <w:rsid w:val="147E2423"/>
    <w:rsid w:val="1487273A"/>
    <w:rsid w:val="148B0444"/>
    <w:rsid w:val="14944440"/>
    <w:rsid w:val="14A059A0"/>
    <w:rsid w:val="14B97B05"/>
    <w:rsid w:val="14CD31B9"/>
    <w:rsid w:val="14E67563"/>
    <w:rsid w:val="14F41A7D"/>
    <w:rsid w:val="15021B62"/>
    <w:rsid w:val="150A21BA"/>
    <w:rsid w:val="1522437E"/>
    <w:rsid w:val="15283931"/>
    <w:rsid w:val="158374C1"/>
    <w:rsid w:val="15A62ECC"/>
    <w:rsid w:val="15C516BD"/>
    <w:rsid w:val="15F44127"/>
    <w:rsid w:val="166266B1"/>
    <w:rsid w:val="168D3C48"/>
    <w:rsid w:val="16D411E7"/>
    <w:rsid w:val="170756D4"/>
    <w:rsid w:val="170F4587"/>
    <w:rsid w:val="176115DC"/>
    <w:rsid w:val="17824660"/>
    <w:rsid w:val="178F2FF8"/>
    <w:rsid w:val="17C41ABF"/>
    <w:rsid w:val="18175D56"/>
    <w:rsid w:val="18276B10"/>
    <w:rsid w:val="189B5F22"/>
    <w:rsid w:val="18A70256"/>
    <w:rsid w:val="18B73074"/>
    <w:rsid w:val="18BF685C"/>
    <w:rsid w:val="18DA76F1"/>
    <w:rsid w:val="18EA5CD5"/>
    <w:rsid w:val="19034C2D"/>
    <w:rsid w:val="1916127C"/>
    <w:rsid w:val="193B5BAF"/>
    <w:rsid w:val="193D465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C27B8"/>
    <w:rsid w:val="1A4D4CED"/>
    <w:rsid w:val="1A797469"/>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FA70F2"/>
    <w:rsid w:val="1C100B6A"/>
    <w:rsid w:val="1C2B6CB4"/>
    <w:rsid w:val="1C5D5F8B"/>
    <w:rsid w:val="1C6E241C"/>
    <w:rsid w:val="1C88579D"/>
    <w:rsid w:val="1CB07DF9"/>
    <w:rsid w:val="1CB27F03"/>
    <w:rsid w:val="1CC3681B"/>
    <w:rsid w:val="1CF251D3"/>
    <w:rsid w:val="1CFC6686"/>
    <w:rsid w:val="1CFF3217"/>
    <w:rsid w:val="1D1D0D81"/>
    <w:rsid w:val="1D5835F0"/>
    <w:rsid w:val="1D75242A"/>
    <w:rsid w:val="1D8108D0"/>
    <w:rsid w:val="1D8C5045"/>
    <w:rsid w:val="1D931CEA"/>
    <w:rsid w:val="1DC177D9"/>
    <w:rsid w:val="1DE05881"/>
    <w:rsid w:val="1E195369"/>
    <w:rsid w:val="1E1A236E"/>
    <w:rsid w:val="1E225BB3"/>
    <w:rsid w:val="1E2A6113"/>
    <w:rsid w:val="1E2D212B"/>
    <w:rsid w:val="1E416163"/>
    <w:rsid w:val="1EA573D8"/>
    <w:rsid w:val="1EB0513B"/>
    <w:rsid w:val="1EB72F76"/>
    <w:rsid w:val="1EC83F50"/>
    <w:rsid w:val="1ED305B4"/>
    <w:rsid w:val="1EE36B2C"/>
    <w:rsid w:val="1F127B09"/>
    <w:rsid w:val="1F36160E"/>
    <w:rsid w:val="1F671677"/>
    <w:rsid w:val="1F722047"/>
    <w:rsid w:val="1F904945"/>
    <w:rsid w:val="1FAA43D1"/>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F2875"/>
    <w:rsid w:val="21327DB2"/>
    <w:rsid w:val="213B367E"/>
    <w:rsid w:val="213D7BD8"/>
    <w:rsid w:val="214C4EC5"/>
    <w:rsid w:val="2153567F"/>
    <w:rsid w:val="217422B6"/>
    <w:rsid w:val="21A51802"/>
    <w:rsid w:val="21A61686"/>
    <w:rsid w:val="21C13A32"/>
    <w:rsid w:val="21D56393"/>
    <w:rsid w:val="22133103"/>
    <w:rsid w:val="224D73DD"/>
    <w:rsid w:val="22592601"/>
    <w:rsid w:val="22682273"/>
    <w:rsid w:val="22C8632C"/>
    <w:rsid w:val="231918CF"/>
    <w:rsid w:val="233F5F96"/>
    <w:rsid w:val="235F4D23"/>
    <w:rsid w:val="236D4028"/>
    <w:rsid w:val="23F34DAB"/>
    <w:rsid w:val="241A2F59"/>
    <w:rsid w:val="24226CC5"/>
    <w:rsid w:val="242F0269"/>
    <w:rsid w:val="24312A4A"/>
    <w:rsid w:val="244A5E9A"/>
    <w:rsid w:val="244C4BB8"/>
    <w:rsid w:val="24691193"/>
    <w:rsid w:val="246C3A46"/>
    <w:rsid w:val="251A7612"/>
    <w:rsid w:val="25237A22"/>
    <w:rsid w:val="254042BC"/>
    <w:rsid w:val="25471E6E"/>
    <w:rsid w:val="25481BCE"/>
    <w:rsid w:val="255B696D"/>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AE74EC"/>
    <w:rsid w:val="27D32915"/>
    <w:rsid w:val="27DD09CE"/>
    <w:rsid w:val="27EC553C"/>
    <w:rsid w:val="2813394B"/>
    <w:rsid w:val="283610D5"/>
    <w:rsid w:val="285F5293"/>
    <w:rsid w:val="28622D71"/>
    <w:rsid w:val="28676D4A"/>
    <w:rsid w:val="286E69FD"/>
    <w:rsid w:val="28FA546B"/>
    <w:rsid w:val="28FE025E"/>
    <w:rsid w:val="29586D7A"/>
    <w:rsid w:val="296F309D"/>
    <w:rsid w:val="29772B51"/>
    <w:rsid w:val="2984235F"/>
    <w:rsid w:val="29967FD2"/>
    <w:rsid w:val="29C56C3A"/>
    <w:rsid w:val="29D872DD"/>
    <w:rsid w:val="29DC3955"/>
    <w:rsid w:val="29E1380C"/>
    <w:rsid w:val="29E85046"/>
    <w:rsid w:val="29F652CD"/>
    <w:rsid w:val="2A017BFD"/>
    <w:rsid w:val="2A443C9D"/>
    <w:rsid w:val="2A9154D8"/>
    <w:rsid w:val="2AA04C57"/>
    <w:rsid w:val="2AD750C3"/>
    <w:rsid w:val="2AE77D08"/>
    <w:rsid w:val="2B470CEC"/>
    <w:rsid w:val="2B652A8D"/>
    <w:rsid w:val="2BF4029C"/>
    <w:rsid w:val="2C270D43"/>
    <w:rsid w:val="2C6436A6"/>
    <w:rsid w:val="2C7A2A8F"/>
    <w:rsid w:val="2C7E2BF6"/>
    <w:rsid w:val="2C9023A5"/>
    <w:rsid w:val="2C937549"/>
    <w:rsid w:val="2C9D6A04"/>
    <w:rsid w:val="2CA5077A"/>
    <w:rsid w:val="2CB62598"/>
    <w:rsid w:val="2CB8266E"/>
    <w:rsid w:val="2CFE607B"/>
    <w:rsid w:val="2D095409"/>
    <w:rsid w:val="2D124FE3"/>
    <w:rsid w:val="2D39385A"/>
    <w:rsid w:val="2D3A3199"/>
    <w:rsid w:val="2D5470D9"/>
    <w:rsid w:val="2D772574"/>
    <w:rsid w:val="2DCC12FC"/>
    <w:rsid w:val="2E266A7B"/>
    <w:rsid w:val="2E652B8E"/>
    <w:rsid w:val="2E66167A"/>
    <w:rsid w:val="2E6C7EF1"/>
    <w:rsid w:val="2E6F6584"/>
    <w:rsid w:val="2E933BCE"/>
    <w:rsid w:val="2E9C6490"/>
    <w:rsid w:val="2EAA3B87"/>
    <w:rsid w:val="2EAB34EE"/>
    <w:rsid w:val="2EB66E96"/>
    <w:rsid w:val="2EBC23A0"/>
    <w:rsid w:val="2EFA0191"/>
    <w:rsid w:val="2F436846"/>
    <w:rsid w:val="2F4556CE"/>
    <w:rsid w:val="2F754A27"/>
    <w:rsid w:val="2FB16F5F"/>
    <w:rsid w:val="2FFE1C0F"/>
    <w:rsid w:val="305C41A9"/>
    <w:rsid w:val="30675E48"/>
    <w:rsid w:val="307E45C5"/>
    <w:rsid w:val="308E41B5"/>
    <w:rsid w:val="30952C59"/>
    <w:rsid w:val="30DE5EB2"/>
    <w:rsid w:val="30FF4D69"/>
    <w:rsid w:val="3113559B"/>
    <w:rsid w:val="311C6D1F"/>
    <w:rsid w:val="3127420C"/>
    <w:rsid w:val="315523B1"/>
    <w:rsid w:val="316E460D"/>
    <w:rsid w:val="31CD31BF"/>
    <w:rsid w:val="31E10F55"/>
    <w:rsid w:val="31F30B11"/>
    <w:rsid w:val="3219008D"/>
    <w:rsid w:val="32215B79"/>
    <w:rsid w:val="322241F2"/>
    <w:rsid w:val="322D5AFA"/>
    <w:rsid w:val="325B0F93"/>
    <w:rsid w:val="327756C1"/>
    <w:rsid w:val="32974C7A"/>
    <w:rsid w:val="32A0614B"/>
    <w:rsid w:val="32BB4ABE"/>
    <w:rsid w:val="32C8549C"/>
    <w:rsid w:val="32CA16D9"/>
    <w:rsid w:val="32E83928"/>
    <w:rsid w:val="33672310"/>
    <w:rsid w:val="337527B8"/>
    <w:rsid w:val="338F53C2"/>
    <w:rsid w:val="33925662"/>
    <w:rsid w:val="339B7AA1"/>
    <w:rsid w:val="33B67B53"/>
    <w:rsid w:val="33B7637D"/>
    <w:rsid w:val="33D4661F"/>
    <w:rsid w:val="33F808BA"/>
    <w:rsid w:val="342A5DF5"/>
    <w:rsid w:val="344851FD"/>
    <w:rsid w:val="34AA020B"/>
    <w:rsid w:val="34BC17DA"/>
    <w:rsid w:val="34F85DA8"/>
    <w:rsid w:val="3509398E"/>
    <w:rsid w:val="3554479E"/>
    <w:rsid w:val="35685668"/>
    <w:rsid w:val="357F00D0"/>
    <w:rsid w:val="35894506"/>
    <w:rsid w:val="35B72988"/>
    <w:rsid w:val="360530D8"/>
    <w:rsid w:val="36162F1C"/>
    <w:rsid w:val="365227BF"/>
    <w:rsid w:val="365F3B92"/>
    <w:rsid w:val="366244D5"/>
    <w:rsid w:val="36A82C1D"/>
    <w:rsid w:val="36B27FC4"/>
    <w:rsid w:val="36C342D9"/>
    <w:rsid w:val="36CA5D7B"/>
    <w:rsid w:val="370F2E93"/>
    <w:rsid w:val="37297BF3"/>
    <w:rsid w:val="374E35E0"/>
    <w:rsid w:val="37560CC6"/>
    <w:rsid w:val="376C6FA1"/>
    <w:rsid w:val="378D0CEB"/>
    <w:rsid w:val="379A026D"/>
    <w:rsid w:val="37A208AC"/>
    <w:rsid w:val="37A2207E"/>
    <w:rsid w:val="37ED6D6E"/>
    <w:rsid w:val="3884063D"/>
    <w:rsid w:val="38AE496C"/>
    <w:rsid w:val="38B54D45"/>
    <w:rsid w:val="38D242CD"/>
    <w:rsid w:val="390213B8"/>
    <w:rsid w:val="3908561E"/>
    <w:rsid w:val="393E0C7A"/>
    <w:rsid w:val="39821F75"/>
    <w:rsid w:val="398C3DB7"/>
    <w:rsid w:val="39F227B1"/>
    <w:rsid w:val="3A292038"/>
    <w:rsid w:val="3A524E6B"/>
    <w:rsid w:val="3A5A7CCF"/>
    <w:rsid w:val="3A762A49"/>
    <w:rsid w:val="3A9D28F5"/>
    <w:rsid w:val="3ACD43C9"/>
    <w:rsid w:val="3B2F69DB"/>
    <w:rsid w:val="3B702135"/>
    <w:rsid w:val="3B71545F"/>
    <w:rsid w:val="3B932344"/>
    <w:rsid w:val="3B9479A7"/>
    <w:rsid w:val="3B9D20F5"/>
    <w:rsid w:val="3BB33F88"/>
    <w:rsid w:val="3BD93153"/>
    <w:rsid w:val="3BDA6996"/>
    <w:rsid w:val="3C0A3047"/>
    <w:rsid w:val="3C266642"/>
    <w:rsid w:val="3C2E50FB"/>
    <w:rsid w:val="3C37637A"/>
    <w:rsid w:val="3C4A12AD"/>
    <w:rsid w:val="3C5125FC"/>
    <w:rsid w:val="3C690ECB"/>
    <w:rsid w:val="3C960BC8"/>
    <w:rsid w:val="3CA509D1"/>
    <w:rsid w:val="3CD303A6"/>
    <w:rsid w:val="3CD93879"/>
    <w:rsid w:val="3CF24534"/>
    <w:rsid w:val="3D2571D3"/>
    <w:rsid w:val="3D7A2818"/>
    <w:rsid w:val="3D8106EA"/>
    <w:rsid w:val="3D834DF8"/>
    <w:rsid w:val="3D8F433C"/>
    <w:rsid w:val="3DA352B1"/>
    <w:rsid w:val="3DC60B7F"/>
    <w:rsid w:val="3DE97AD2"/>
    <w:rsid w:val="3DFF5461"/>
    <w:rsid w:val="3E100FFC"/>
    <w:rsid w:val="3E201534"/>
    <w:rsid w:val="3E595FC6"/>
    <w:rsid w:val="3E651EE9"/>
    <w:rsid w:val="3E946898"/>
    <w:rsid w:val="3E950079"/>
    <w:rsid w:val="3F3C595E"/>
    <w:rsid w:val="3F59346C"/>
    <w:rsid w:val="3F657308"/>
    <w:rsid w:val="3F7856B5"/>
    <w:rsid w:val="3F8003ED"/>
    <w:rsid w:val="3FB718D6"/>
    <w:rsid w:val="3FD0326B"/>
    <w:rsid w:val="3FD34D1A"/>
    <w:rsid w:val="3FFC4A81"/>
    <w:rsid w:val="40031733"/>
    <w:rsid w:val="40076D3D"/>
    <w:rsid w:val="401F65F0"/>
    <w:rsid w:val="404C2292"/>
    <w:rsid w:val="405D572D"/>
    <w:rsid w:val="40620F95"/>
    <w:rsid w:val="408D1EA0"/>
    <w:rsid w:val="409D2A1A"/>
    <w:rsid w:val="40B21FB5"/>
    <w:rsid w:val="40C17F9E"/>
    <w:rsid w:val="40C43B66"/>
    <w:rsid w:val="415978C8"/>
    <w:rsid w:val="415C1B4D"/>
    <w:rsid w:val="417843F2"/>
    <w:rsid w:val="418A1799"/>
    <w:rsid w:val="41A61C3F"/>
    <w:rsid w:val="41B17185"/>
    <w:rsid w:val="41EA256B"/>
    <w:rsid w:val="41ED76F2"/>
    <w:rsid w:val="41F05895"/>
    <w:rsid w:val="4226611D"/>
    <w:rsid w:val="4248208D"/>
    <w:rsid w:val="425402BB"/>
    <w:rsid w:val="42564ADA"/>
    <w:rsid w:val="428F4EFE"/>
    <w:rsid w:val="42AC2F79"/>
    <w:rsid w:val="42D55162"/>
    <w:rsid w:val="42FA6BD0"/>
    <w:rsid w:val="42FB4E01"/>
    <w:rsid w:val="4301585B"/>
    <w:rsid w:val="431B31A4"/>
    <w:rsid w:val="43412297"/>
    <w:rsid w:val="43413ED4"/>
    <w:rsid w:val="43594499"/>
    <w:rsid w:val="43636C3F"/>
    <w:rsid w:val="43701E7D"/>
    <w:rsid w:val="438073DF"/>
    <w:rsid w:val="439D6340"/>
    <w:rsid w:val="43A32EDA"/>
    <w:rsid w:val="43FD7280"/>
    <w:rsid w:val="440E6794"/>
    <w:rsid w:val="441C5686"/>
    <w:rsid w:val="442C59F4"/>
    <w:rsid w:val="44373E57"/>
    <w:rsid w:val="44477A7A"/>
    <w:rsid w:val="44AB34BD"/>
    <w:rsid w:val="44BE5958"/>
    <w:rsid w:val="44DC0CFE"/>
    <w:rsid w:val="44DC4FCA"/>
    <w:rsid w:val="454276A8"/>
    <w:rsid w:val="45465AD9"/>
    <w:rsid w:val="45855151"/>
    <w:rsid w:val="45A31600"/>
    <w:rsid w:val="45EF5694"/>
    <w:rsid w:val="45F32D75"/>
    <w:rsid w:val="45FE4441"/>
    <w:rsid w:val="463A1299"/>
    <w:rsid w:val="463A35BA"/>
    <w:rsid w:val="46440391"/>
    <w:rsid w:val="46A86AC5"/>
    <w:rsid w:val="46AF0ACC"/>
    <w:rsid w:val="46CD2EA3"/>
    <w:rsid w:val="471B210D"/>
    <w:rsid w:val="47330BB1"/>
    <w:rsid w:val="473D751C"/>
    <w:rsid w:val="474340E1"/>
    <w:rsid w:val="4754737E"/>
    <w:rsid w:val="476E5DEA"/>
    <w:rsid w:val="47824911"/>
    <w:rsid w:val="47914A33"/>
    <w:rsid w:val="479B0044"/>
    <w:rsid w:val="479C10BC"/>
    <w:rsid w:val="47A4380D"/>
    <w:rsid w:val="47A6297A"/>
    <w:rsid w:val="47B35BF8"/>
    <w:rsid w:val="47C041C7"/>
    <w:rsid w:val="47CD1E0C"/>
    <w:rsid w:val="48012A31"/>
    <w:rsid w:val="481D4366"/>
    <w:rsid w:val="48224F06"/>
    <w:rsid w:val="485803F1"/>
    <w:rsid w:val="486942C4"/>
    <w:rsid w:val="48944C88"/>
    <w:rsid w:val="48B05292"/>
    <w:rsid w:val="48B971DC"/>
    <w:rsid w:val="48F556EA"/>
    <w:rsid w:val="48FA0664"/>
    <w:rsid w:val="48FF442C"/>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B311212"/>
    <w:rsid w:val="4B4213B4"/>
    <w:rsid w:val="4B43535A"/>
    <w:rsid w:val="4B625BF7"/>
    <w:rsid w:val="4BB54107"/>
    <w:rsid w:val="4BB67EEE"/>
    <w:rsid w:val="4BD53E7D"/>
    <w:rsid w:val="4BDC5109"/>
    <w:rsid w:val="4BE84FA7"/>
    <w:rsid w:val="4BF70C92"/>
    <w:rsid w:val="4BFD0513"/>
    <w:rsid w:val="4BFE3913"/>
    <w:rsid w:val="4C005E77"/>
    <w:rsid w:val="4C2B76C1"/>
    <w:rsid w:val="4C5429A3"/>
    <w:rsid w:val="4C645A11"/>
    <w:rsid w:val="4C87254B"/>
    <w:rsid w:val="4CC74C75"/>
    <w:rsid w:val="4D1C2C8C"/>
    <w:rsid w:val="4D1E77BE"/>
    <w:rsid w:val="4D245FC5"/>
    <w:rsid w:val="4D2B3B2C"/>
    <w:rsid w:val="4D706D60"/>
    <w:rsid w:val="4DA943B0"/>
    <w:rsid w:val="4DBB2356"/>
    <w:rsid w:val="4DD64458"/>
    <w:rsid w:val="4DE4706D"/>
    <w:rsid w:val="4DEE51C1"/>
    <w:rsid w:val="4E125AC9"/>
    <w:rsid w:val="4E135BFA"/>
    <w:rsid w:val="4E355E12"/>
    <w:rsid w:val="4E9B1112"/>
    <w:rsid w:val="4EA06365"/>
    <w:rsid w:val="4ED4046B"/>
    <w:rsid w:val="4EDF4B15"/>
    <w:rsid w:val="4EF43B16"/>
    <w:rsid w:val="4EF62C68"/>
    <w:rsid w:val="4F1C4A3F"/>
    <w:rsid w:val="4F3153D3"/>
    <w:rsid w:val="4F4E6AF9"/>
    <w:rsid w:val="4F5E4E8D"/>
    <w:rsid w:val="4F624F05"/>
    <w:rsid w:val="4F7C7C8F"/>
    <w:rsid w:val="4F804E7C"/>
    <w:rsid w:val="4F852019"/>
    <w:rsid w:val="4F944D8F"/>
    <w:rsid w:val="4FAF47A1"/>
    <w:rsid w:val="4FE75F86"/>
    <w:rsid w:val="4FED0FB9"/>
    <w:rsid w:val="502261F0"/>
    <w:rsid w:val="50802423"/>
    <w:rsid w:val="50A97681"/>
    <w:rsid w:val="50AE3B94"/>
    <w:rsid w:val="50E93575"/>
    <w:rsid w:val="50F04D4E"/>
    <w:rsid w:val="50F57385"/>
    <w:rsid w:val="50F6016F"/>
    <w:rsid w:val="51151213"/>
    <w:rsid w:val="513F5114"/>
    <w:rsid w:val="51416DA1"/>
    <w:rsid w:val="515E6A1B"/>
    <w:rsid w:val="516B705C"/>
    <w:rsid w:val="5177537A"/>
    <w:rsid w:val="51A1217B"/>
    <w:rsid w:val="51BC2004"/>
    <w:rsid w:val="51CB74F6"/>
    <w:rsid w:val="51D13948"/>
    <w:rsid w:val="51D17FFD"/>
    <w:rsid w:val="51EB5979"/>
    <w:rsid w:val="52086B8C"/>
    <w:rsid w:val="521A0101"/>
    <w:rsid w:val="522D1CB6"/>
    <w:rsid w:val="52660A26"/>
    <w:rsid w:val="52717995"/>
    <w:rsid w:val="52990759"/>
    <w:rsid w:val="52B87033"/>
    <w:rsid w:val="531B72EC"/>
    <w:rsid w:val="531E35FC"/>
    <w:rsid w:val="532C2C22"/>
    <w:rsid w:val="533E6E17"/>
    <w:rsid w:val="5343182D"/>
    <w:rsid w:val="536C4A63"/>
    <w:rsid w:val="53993406"/>
    <w:rsid w:val="53A201DA"/>
    <w:rsid w:val="53B22D34"/>
    <w:rsid w:val="53EF2FDD"/>
    <w:rsid w:val="540540F5"/>
    <w:rsid w:val="542913B3"/>
    <w:rsid w:val="543F18BA"/>
    <w:rsid w:val="54587C6A"/>
    <w:rsid w:val="54705A29"/>
    <w:rsid w:val="54883400"/>
    <w:rsid w:val="54DE5D86"/>
    <w:rsid w:val="550922BB"/>
    <w:rsid w:val="550E49C6"/>
    <w:rsid w:val="55A47D96"/>
    <w:rsid w:val="55DA287E"/>
    <w:rsid w:val="56073162"/>
    <w:rsid w:val="561A48C1"/>
    <w:rsid w:val="56325D9E"/>
    <w:rsid w:val="563D619D"/>
    <w:rsid w:val="56537C47"/>
    <w:rsid w:val="56721DD2"/>
    <w:rsid w:val="56A010C0"/>
    <w:rsid w:val="56D10359"/>
    <w:rsid w:val="56D42684"/>
    <w:rsid w:val="56DD2471"/>
    <w:rsid w:val="57210A6D"/>
    <w:rsid w:val="57543081"/>
    <w:rsid w:val="57B5303D"/>
    <w:rsid w:val="57B65A36"/>
    <w:rsid w:val="57C83C57"/>
    <w:rsid w:val="582028C2"/>
    <w:rsid w:val="582908A2"/>
    <w:rsid w:val="583D07DD"/>
    <w:rsid w:val="585F1862"/>
    <w:rsid w:val="58620D26"/>
    <w:rsid w:val="58706FB1"/>
    <w:rsid w:val="58783F85"/>
    <w:rsid w:val="587C5983"/>
    <w:rsid w:val="591C580B"/>
    <w:rsid w:val="5926497A"/>
    <w:rsid w:val="59A11353"/>
    <w:rsid w:val="59C73A62"/>
    <w:rsid w:val="5A0336C4"/>
    <w:rsid w:val="5A391B40"/>
    <w:rsid w:val="5A70211C"/>
    <w:rsid w:val="5AAB2A29"/>
    <w:rsid w:val="5AAC7307"/>
    <w:rsid w:val="5AAD44EE"/>
    <w:rsid w:val="5AD07CB2"/>
    <w:rsid w:val="5AEF1DC1"/>
    <w:rsid w:val="5B4B2EB1"/>
    <w:rsid w:val="5B570332"/>
    <w:rsid w:val="5B5F0395"/>
    <w:rsid w:val="5B6300A3"/>
    <w:rsid w:val="5B6C0ED6"/>
    <w:rsid w:val="5B750097"/>
    <w:rsid w:val="5B790B4E"/>
    <w:rsid w:val="5B7A2400"/>
    <w:rsid w:val="5B8A6DD9"/>
    <w:rsid w:val="5BB71DB2"/>
    <w:rsid w:val="5BD32897"/>
    <w:rsid w:val="5C061F9E"/>
    <w:rsid w:val="5C295CCC"/>
    <w:rsid w:val="5C66538F"/>
    <w:rsid w:val="5C872DAA"/>
    <w:rsid w:val="5C974816"/>
    <w:rsid w:val="5CA97228"/>
    <w:rsid w:val="5CBA57BD"/>
    <w:rsid w:val="5CEE7B85"/>
    <w:rsid w:val="5CF73D69"/>
    <w:rsid w:val="5D4700C2"/>
    <w:rsid w:val="5D5A1D40"/>
    <w:rsid w:val="5D6C4615"/>
    <w:rsid w:val="5D7C5A81"/>
    <w:rsid w:val="5D8813BF"/>
    <w:rsid w:val="5DD31E8F"/>
    <w:rsid w:val="5DDF2196"/>
    <w:rsid w:val="5DFF05CD"/>
    <w:rsid w:val="5E1672C2"/>
    <w:rsid w:val="5E1B6033"/>
    <w:rsid w:val="5E2612F9"/>
    <w:rsid w:val="5E534129"/>
    <w:rsid w:val="5E6E3C24"/>
    <w:rsid w:val="5E7255BD"/>
    <w:rsid w:val="5EC14E33"/>
    <w:rsid w:val="5EF83794"/>
    <w:rsid w:val="5EFE216C"/>
    <w:rsid w:val="5F3E18BD"/>
    <w:rsid w:val="5F475677"/>
    <w:rsid w:val="5F567498"/>
    <w:rsid w:val="5F6C29EA"/>
    <w:rsid w:val="5F7B3AC3"/>
    <w:rsid w:val="5F812322"/>
    <w:rsid w:val="5F8420E2"/>
    <w:rsid w:val="5F887220"/>
    <w:rsid w:val="5FB81E56"/>
    <w:rsid w:val="5FD85FDC"/>
    <w:rsid w:val="5FEC00EE"/>
    <w:rsid w:val="5FF628E8"/>
    <w:rsid w:val="600951D4"/>
    <w:rsid w:val="601A25EF"/>
    <w:rsid w:val="60250EC1"/>
    <w:rsid w:val="603061FE"/>
    <w:rsid w:val="6044067F"/>
    <w:rsid w:val="60793AF7"/>
    <w:rsid w:val="6099592B"/>
    <w:rsid w:val="60A13AB9"/>
    <w:rsid w:val="60A7744C"/>
    <w:rsid w:val="60CF04AB"/>
    <w:rsid w:val="60DB5486"/>
    <w:rsid w:val="60E82C1A"/>
    <w:rsid w:val="60EC0541"/>
    <w:rsid w:val="60F113D8"/>
    <w:rsid w:val="60F622C4"/>
    <w:rsid w:val="60FD245E"/>
    <w:rsid w:val="61102584"/>
    <w:rsid w:val="61247250"/>
    <w:rsid w:val="61251167"/>
    <w:rsid w:val="61AF6C07"/>
    <w:rsid w:val="61C52DA5"/>
    <w:rsid w:val="61EA093B"/>
    <w:rsid w:val="61FB7AA5"/>
    <w:rsid w:val="62117D72"/>
    <w:rsid w:val="62210A89"/>
    <w:rsid w:val="62285DB7"/>
    <w:rsid w:val="625E00F8"/>
    <w:rsid w:val="62923991"/>
    <w:rsid w:val="62E90396"/>
    <w:rsid w:val="62F26EC0"/>
    <w:rsid w:val="632A3D0D"/>
    <w:rsid w:val="633443AB"/>
    <w:rsid w:val="63561245"/>
    <w:rsid w:val="638857E1"/>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4FF3FF1"/>
    <w:rsid w:val="6511603A"/>
    <w:rsid w:val="65434194"/>
    <w:rsid w:val="654435A3"/>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6FE1C5F"/>
    <w:rsid w:val="671C5A04"/>
    <w:rsid w:val="674B06E8"/>
    <w:rsid w:val="676777C3"/>
    <w:rsid w:val="677D4B8A"/>
    <w:rsid w:val="67802ACE"/>
    <w:rsid w:val="67804B33"/>
    <w:rsid w:val="67BC7C72"/>
    <w:rsid w:val="67C40A09"/>
    <w:rsid w:val="67D020A7"/>
    <w:rsid w:val="67E0560E"/>
    <w:rsid w:val="67EF59A2"/>
    <w:rsid w:val="685C5B46"/>
    <w:rsid w:val="688C0656"/>
    <w:rsid w:val="689A4B04"/>
    <w:rsid w:val="68A210BC"/>
    <w:rsid w:val="68AE1735"/>
    <w:rsid w:val="68D60630"/>
    <w:rsid w:val="697E7396"/>
    <w:rsid w:val="69A009FE"/>
    <w:rsid w:val="69A30E32"/>
    <w:rsid w:val="69F66247"/>
    <w:rsid w:val="69F86AAF"/>
    <w:rsid w:val="6A0C4BE7"/>
    <w:rsid w:val="6A1F6154"/>
    <w:rsid w:val="6A2746CC"/>
    <w:rsid w:val="6A5517EC"/>
    <w:rsid w:val="6A694BA1"/>
    <w:rsid w:val="6A7C79EE"/>
    <w:rsid w:val="6ABC3292"/>
    <w:rsid w:val="6AD34458"/>
    <w:rsid w:val="6ADF25FC"/>
    <w:rsid w:val="6B020CD0"/>
    <w:rsid w:val="6B1148AC"/>
    <w:rsid w:val="6B1C1758"/>
    <w:rsid w:val="6B1F6D6A"/>
    <w:rsid w:val="6B4A5562"/>
    <w:rsid w:val="6B565807"/>
    <w:rsid w:val="6B6358D9"/>
    <w:rsid w:val="6B7A369F"/>
    <w:rsid w:val="6BAC2823"/>
    <w:rsid w:val="6BBB0690"/>
    <w:rsid w:val="6BBD5024"/>
    <w:rsid w:val="6BF37DF1"/>
    <w:rsid w:val="6BF75233"/>
    <w:rsid w:val="6C233FFC"/>
    <w:rsid w:val="6C4937C8"/>
    <w:rsid w:val="6C630CE9"/>
    <w:rsid w:val="6CE0793D"/>
    <w:rsid w:val="6CEB593E"/>
    <w:rsid w:val="6CEC0F34"/>
    <w:rsid w:val="6CF73CA4"/>
    <w:rsid w:val="6D005FF7"/>
    <w:rsid w:val="6D05105B"/>
    <w:rsid w:val="6D0D4EC9"/>
    <w:rsid w:val="6D207FCD"/>
    <w:rsid w:val="6D2B5B01"/>
    <w:rsid w:val="6D381497"/>
    <w:rsid w:val="6D6A2DB3"/>
    <w:rsid w:val="6D6A69AA"/>
    <w:rsid w:val="6D79127B"/>
    <w:rsid w:val="6E01482E"/>
    <w:rsid w:val="6E403BCF"/>
    <w:rsid w:val="6E424CF7"/>
    <w:rsid w:val="6E6F5D95"/>
    <w:rsid w:val="6E96703D"/>
    <w:rsid w:val="6E984122"/>
    <w:rsid w:val="6EC4761A"/>
    <w:rsid w:val="6ED26905"/>
    <w:rsid w:val="6EE20566"/>
    <w:rsid w:val="6EF513F6"/>
    <w:rsid w:val="6EF773A4"/>
    <w:rsid w:val="6EF8649B"/>
    <w:rsid w:val="6F1F0771"/>
    <w:rsid w:val="6F2A3731"/>
    <w:rsid w:val="6F3669E2"/>
    <w:rsid w:val="6F38730F"/>
    <w:rsid w:val="6F3A0437"/>
    <w:rsid w:val="6F452492"/>
    <w:rsid w:val="6F4E1ABB"/>
    <w:rsid w:val="6F65489B"/>
    <w:rsid w:val="6F9E4E98"/>
    <w:rsid w:val="6FA72F23"/>
    <w:rsid w:val="6FC169C6"/>
    <w:rsid w:val="700148B1"/>
    <w:rsid w:val="70262445"/>
    <w:rsid w:val="709304FC"/>
    <w:rsid w:val="70BA4068"/>
    <w:rsid w:val="70F36F46"/>
    <w:rsid w:val="710E0D1D"/>
    <w:rsid w:val="71231B23"/>
    <w:rsid w:val="714633CE"/>
    <w:rsid w:val="71655024"/>
    <w:rsid w:val="718621EE"/>
    <w:rsid w:val="71894FD2"/>
    <w:rsid w:val="71A3311F"/>
    <w:rsid w:val="71DA48AF"/>
    <w:rsid w:val="71F026ED"/>
    <w:rsid w:val="72005730"/>
    <w:rsid w:val="721B117A"/>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D67D9C"/>
    <w:rsid w:val="73E2421D"/>
    <w:rsid w:val="74000D97"/>
    <w:rsid w:val="74017B4B"/>
    <w:rsid w:val="74150C9D"/>
    <w:rsid w:val="746A6AAD"/>
    <w:rsid w:val="747A4FBC"/>
    <w:rsid w:val="74D94903"/>
    <w:rsid w:val="74DC7834"/>
    <w:rsid w:val="74E271F1"/>
    <w:rsid w:val="75073F66"/>
    <w:rsid w:val="7551327B"/>
    <w:rsid w:val="755F782E"/>
    <w:rsid w:val="75A16A9F"/>
    <w:rsid w:val="75E27D49"/>
    <w:rsid w:val="75EB2346"/>
    <w:rsid w:val="761867BE"/>
    <w:rsid w:val="76365AD0"/>
    <w:rsid w:val="764350A1"/>
    <w:rsid w:val="76462BBA"/>
    <w:rsid w:val="765D57EA"/>
    <w:rsid w:val="7688585F"/>
    <w:rsid w:val="76F54CF0"/>
    <w:rsid w:val="76FD5906"/>
    <w:rsid w:val="770B684E"/>
    <w:rsid w:val="771702EE"/>
    <w:rsid w:val="77204CB1"/>
    <w:rsid w:val="77A14CDE"/>
    <w:rsid w:val="77AA2F7D"/>
    <w:rsid w:val="782B4A23"/>
    <w:rsid w:val="78302F8F"/>
    <w:rsid w:val="78510397"/>
    <w:rsid w:val="7874259E"/>
    <w:rsid w:val="78754CBA"/>
    <w:rsid w:val="78814E77"/>
    <w:rsid w:val="78CB3FEB"/>
    <w:rsid w:val="793B5CE2"/>
    <w:rsid w:val="797B3C8A"/>
    <w:rsid w:val="797F45FC"/>
    <w:rsid w:val="79DB75C0"/>
    <w:rsid w:val="79E37881"/>
    <w:rsid w:val="79EA2E0E"/>
    <w:rsid w:val="79ED08FA"/>
    <w:rsid w:val="7A067AFA"/>
    <w:rsid w:val="7A0C585A"/>
    <w:rsid w:val="7A2C7450"/>
    <w:rsid w:val="7A326B5A"/>
    <w:rsid w:val="7A616D0A"/>
    <w:rsid w:val="7A78495E"/>
    <w:rsid w:val="7A7F2C76"/>
    <w:rsid w:val="7A9C2983"/>
    <w:rsid w:val="7AAC462A"/>
    <w:rsid w:val="7AF1177B"/>
    <w:rsid w:val="7AF84FA0"/>
    <w:rsid w:val="7AF909C6"/>
    <w:rsid w:val="7B330A87"/>
    <w:rsid w:val="7B415613"/>
    <w:rsid w:val="7B6F1BD0"/>
    <w:rsid w:val="7B732126"/>
    <w:rsid w:val="7B755C15"/>
    <w:rsid w:val="7B8E1216"/>
    <w:rsid w:val="7B9A1345"/>
    <w:rsid w:val="7BB27AE4"/>
    <w:rsid w:val="7BCA6C86"/>
    <w:rsid w:val="7C044DA1"/>
    <w:rsid w:val="7CA33449"/>
    <w:rsid w:val="7D0A0BA4"/>
    <w:rsid w:val="7D2E15A4"/>
    <w:rsid w:val="7D4253C7"/>
    <w:rsid w:val="7D7B1069"/>
    <w:rsid w:val="7D8E577D"/>
    <w:rsid w:val="7D9A426A"/>
    <w:rsid w:val="7DCB52C5"/>
    <w:rsid w:val="7E0F4D36"/>
    <w:rsid w:val="7E2C100A"/>
    <w:rsid w:val="7E333E03"/>
    <w:rsid w:val="7E391FE6"/>
    <w:rsid w:val="7E450EC4"/>
    <w:rsid w:val="7E7F4C37"/>
    <w:rsid w:val="7E90531E"/>
    <w:rsid w:val="7E916762"/>
    <w:rsid w:val="7EA916FD"/>
    <w:rsid w:val="7EE53C64"/>
    <w:rsid w:val="7F541580"/>
    <w:rsid w:val="7F667225"/>
    <w:rsid w:val="7FAA1C29"/>
    <w:rsid w:val="7FAC4830"/>
    <w:rsid w:val="7FCC55AD"/>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88</TotalTime>
  <ScaleCrop>false</ScaleCrop>
  <LinksUpToDate>false</LinksUpToDate>
  <CharactersWithSpaces>14020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2020-06-28T02:35:00Z</cp:lastPrinted>
  <dcterms:modified xsi:type="dcterms:W3CDTF">2020-07-25T01:57:00Z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