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20" w:lineRule="exact"/>
        <w:jc w:val="center"/>
        <w:rPr>
          <w:rFonts w:ascii="Times New Roman" w:hAnsi="Times New Roman" w:eastAsia="黑体" w:cs="Times New Roman"/>
          <w:kern w:val="0"/>
          <w:sz w:val="32"/>
          <w:szCs w:val="32"/>
          <w:highlight w:val="none"/>
        </w:rPr>
      </w:pPr>
    </w:p>
    <w:p>
      <w:pPr>
        <w:wordWrap w:val="0"/>
        <w:spacing w:line="520" w:lineRule="exact"/>
        <w:jc w:val="center"/>
        <w:rPr>
          <w:rFonts w:ascii="Times New Roman" w:hAnsi="Times New Roman" w:eastAsia="黑体" w:cs="Times New Roman"/>
          <w:kern w:val="0"/>
          <w:sz w:val="32"/>
          <w:szCs w:val="32"/>
          <w:highlight w:val="none"/>
        </w:rPr>
      </w:pPr>
    </w:p>
    <w:p>
      <w:pPr>
        <w:wordWrap w:val="0"/>
        <w:jc w:val="center"/>
        <w:rPr>
          <w:rFonts w:hint="eastAsia" w:ascii="Times New Roman" w:hAnsi="Times New Roman" w:eastAsia="黑体" w:cs="Times New Roman"/>
          <w:kern w:val="0"/>
          <w:sz w:val="44"/>
          <w:szCs w:val="44"/>
          <w:highlight w:val="none"/>
          <w:lang w:eastAsia="zh-CN"/>
        </w:rPr>
      </w:pPr>
      <w:bookmarkStart w:id="127" w:name="_GoBack"/>
      <w:r>
        <w:rPr>
          <w:rFonts w:hint="eastAsia" w:ascii="Times New Roman" w:hAnsi="Times New Roman" w:eastAsia="黑体" w:cs="Times New Roman"/>
          <w:kern w:val="0"/>
          <w:sz w:val="44"/>
          <w:szCs w:val="44"/>
          <w:highlight w:val="none"/>
          <w:lang w:eastAsia="zh-CN"/>
        </w:rPr>
        <w:t>亳州交通投资控股集团有限公司财务共享中心项目</w:t>
      </w:r>
    </w:p>
    <w:bookmarkEnd w:id="127"/>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招</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标</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文</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件</w:t>
      </w:r>
    </w:p>
    <w:p>
      <w:pPr>
        <w:wordWrap w:val="0"/>
        <w:jc w:val="center"/>
        <w:rPr>
          <w:rFonts w:ascii="Times New Roman" w:hAnsi="Times New Roman" w:eastAsia="楷体" w:cs="Times New Roman"/>
          <w:kern w:val="0"/>
          <w:sz w:val="28"/>
          <w:szCs w:val="28"/>
          <w:highlight w:val="none"/>
        </w:rPr>
      </w:pPr>
    </w:p>
    <w:p>
      <w:pPr>
        <w:wordWrap w:val="0"/>
        <w:jc w:val="center"/>
        <w:rPr>
          <w:rFonts w:hint="eastAsia" w:ascii="Times New Roman" w:hAnsi="Times New Roman" w:eastAsia="楷体" w:cs="Times New Roman"/>
          <w:kern w:val="0"/>
          <w:sz w:val="28"/>
          <w:szCs w:val="28"/>
          <w:highlight w:val="none"/>
          <w:lang w:eastAsia="zh-CN"/>
        </w:rPr>
      </w:pPr>
      <w:r>
        <w:rPr>
          <w:rFonts w:ascii="Times New Roman" w:hAnsi="Times New Roman" w:eastAsia="楷体" w:cs="Times New Roman"/>
          <w:kern w:val="0"/>
          <w:sz w:val="28"/>
          <w:szCs w:val="28"/>
          <w:highlight w:val="none"/>
        </w:rPr>
        <w:t>项目编号：</w:t>
      </w:r>
      <w:r>
        <w:rPr>
          <w:rFonts w:hint="eastAsia" w:ascii="Times New Roman" w:hAnsi="Times New Roman" w:eastAsia="楷体" w:cs="Times New Roman"/>
          <w:kern w:val="0"/>
          <w:sz w:val="28"/>
          <w:szCs w:val="28"/>
          <w:highlight w:val="none"/>
          <w:lang w:eastAsia="zh-CN"/>
        </w:rPr>
        <w:t>BZJK-2020-027号</w:t>
      </w:r>
    </w:p>
    <w:p>
      <w:pPr>
        <w:wordWrap w:val="0"/>
        <w:jc w:val="center"/>
        <w:rPr>
          <w:rFonts w:ascii="Times New Roman" w:hAnsi="Times New Roman" w:eastAsia="楷体" w:cs="Times New Roman"/>
          <w:kern w:val="0"/>
          <w:sz w:val="28"/>
          <w:szCs w:val="28"/>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ind w:left="1260" w:leftChars="600"/>
        <w:jc w:val="left"/>
        <w:rPr>
          <w:rFonts w:ascii="Times New Roman" w:hAnsi="Times New Roman" w:eastAsia="楷体" w:cs="Times New Roman"/>
          <w:kern w:val="0"/>
          <w:sz w:val="32"/>
          <w:szCs w:val="32"/>
          <w:highlight w:val="none"/>
        </w:rPr>
      </w:pPr>
      <w:r>
        <w:rPr>
          <w:rFonts w:ascii="Times New Roman" w:hAnsi="Times New Roman" w:eastAsia="楷体" w:cs="Times New Roman"/>
          <w:kern w:val="0"/>
          <w:sz w:val="32"/>
          <w:szCs w:val="32"/>
          <w:highlight w:val="none"/>
        </w:rPr>
        <w:t>招标单位：</w:t>
      </w:r>
      <w:r>
        <w:rPr>
          <w:rFonts w:hint="eastAsia" w:ascii="Times New Roman" w:hAnsi="Times New Roman" w:eastAsia="楷体" w:cs="Times New Roman"/>
          <w:kern w:val="0"/>
          <w:sz w:val="32"/>
          <w:szCs w:val="32"/>
          <w:highlight w:val="none"/>
        </w:rPr>
        <w:t>亳州交通投资控股集团有限公司</w:t>
      </w:r>
    </w:p>
    <w:p>
      <w:pPr>
        <w:wordWrap w:val="0"/>
        <w:ind w:left="1260" w:leftChars="600"/>
        <w:jc w:val="left"/>
        <w:rPr>
          <w:rFonts w:hint="eastAsia" w:ascii="Times New Roman" w:hAnsi="Times New Roman" w:eastAsia="楷体" w:cs="Times New Roman"/>
          <w:kern w:val="0"/>
          <w:sz w:val="32"/>
          <w:szCs w:val="32"/>
          <w:highlight w:val="none"/>
          <w:lang w:eastAsia="zh-CN"/>
        </w:rPr>
      </w:pPr>
      <w:r>
        <w:rPr>
          <w:rFonts w:ascii="Times New Roman" w:hAnsi="Times New Roman" w:eastAsia="楷体" w:cs="Times New Roman"/>
          <w:kern w:val="0"/>
          <w:sz w:val="32"/>
          <w:szCs w:val="32"/>
          <w:highlight w:val="none"/>
        </w:rPr>
        <w:t>编制日期：</w:t>
      </w:r>
      <w:r>
        <w:rPr>
          <w:rFonts w:hint="eastAsia" w:ascii="Times New Roman" w:hAnsi="Times New Roman" w:eastAsia="楷体" w:cs="Times New Roman"/>
          <w:kern w:val="0"/>
          <w:sz w:val="32"/>
          <w:szCs w:val="32"/>
          <w:highlight w:val="none"/>
          <w:lang w:eastAsia="zh-CN"/>
        </w:rPr>
        <w:t>二〇二〇年七月</w:t>
      </w:r>
    </w:p>
    <w:p>
      <w:pPr>
        <w:wordWrap w:val="0"/>
        <w:ind w:firstLine="1280" w:firstLineChars="400"/>
        <w:jc w:val="left"/>
        <w:rPr>
          <w:rFonts w:ascii="Times New Roman" w:hAnsi="Times New Roman" w:eastAsia="楷体" w:cs="Times New Roman"/>
          <w:kern w:val="0"/>
          <w:sz w:val="32"/>
          <w:szCs w:val="32"/>
          <w:highlight w:val="none"/>
        </w:rPr>
      </w:pPr>
      <w:r>
        <w:rPr>
          <w:rFonts w:ascii="Times New Roman" w:hAnsi="Times New Roman" w:eastAsia="楷体" w:cs="Times New Roman"/>
          <w:kern w:val="0"/>
          <w:sz w:val="32"/>
          <w:szCs w:val="32"/>
          <w:highlight w:val="none"/>
        </w:rPr>
        <w:br w:type="page"/>
      </w:r>
    </w:p>
    <w:p>
      <w:pPr>
        <w:wordWrap w:val="0"/>
        <w:jc w:val="center"/>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目录</w:t>
      </w:r>
    </w:p>
    <w:p>
      <w:pPr>
        <w:wordWrap w:val="0"/>
        <w:jc w:val="center"/>
        <w:rPr>
          <w:rFonts w:ascii="Times New Roman" w:hAnsi="Times New Roman" w:eastAsia="黑体" w:cs="Times New Roman"/>
          <w:kern w:val="0"/>
          <w:sz w:val="32"/>
          <w:szCs w:val="32"/>
          <w:highlight w:val="none"/>
        </w:rPr>
      </w:pP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第一章 招标公告.......................................................................1</w:t>
      </w: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第二章 投标人须知...................................................................</w:t>
      </w:r>
      <w:r>
        <w:rPr>
          <w:rFonts w:hint="eastAsia" w:ascii="Times New Roman" w:hAnsi="Times New Roman" w:eastAsia="黑体" w:cs="Times New Roman"/>
          <w:kern w:val="0"/>
          <w:sz w:val="32"/>
          <w:szCs w:val="32"/>
          <w:highlight w:val="none"/>
        </w:rPr>
        <w:t>4</w:t>
      </w: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第三章 评标办法................................................................</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..10</w:t>
      </w: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第四章 合同条款及格式......................................</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17</w:t>
      </w: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 xml:space="preserve">第五章 </w:t>
      </w:r>
      <w:r>
        <w:rPr>
          <w:rFonts w:hint="eastAsia" w:ascii="Times New Roman" w:hAnsi="Times New Roman" w:eastAsia="黑体" w:cs="Times New Roman"/>
          <w:kern w:val="0"/>
          <w:sz w:val="32"/>
          <w:szCs w:val="32"/>
          <w:highlight w:val="none"/>
          <w:lang w:eastAsia="zh-CN"/>
        </w:rPr>
        <w:t>招标人要求</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18</w:t>
      </w: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 xml:space="preserve">第六章 </w:t>
      </w:r>
      <w:r>
        <w:rPr>
          <w:rFonts w:hint="eastAsia" w:ascii="Times New Roman" w:hAnsi="Times New Roman" w:eastAsia="黑体" w:cs="Times New Roman"/>
          <w:kern w:val="0"/>
          <w:sz w:val="32"/>
          <w:szCs w:val="32"/>
          <w:highlight w:val="none"/>
        </w:rPr>
        <w:t>投标文件格式</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19</w:t>
      </w:r>
    </w:p>
    <w:p>
      <w:pPr>
        <w:wordWrap w:val="0"/>
        <w:rPr>
          <w:rFonts w:ascii="Times New Roman" w:hAnsi="Times New Roman" w:eastAsia="黑体" w:cs="Times New Roman"/>
          <w:kern w:val="0"/>
          <w:sz w:val="32"/>
          <w:szCs w:val="32"/>
          <w:highlight w:val="none"/>
        </w:rPr>
      </w:pPr>
    </w:p>
    <w:p>
      <w:pPr>
        <w:wordWrap w:val="0"/>
        <w:spacing w:line="400" w:lineRule="exact"/>
        <w:jc w:val="center"/>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520" w:lineRule="exact"/>
        <w:ind w:firstLine="1280" w:firstLineChars="400"/>
        <w:jc w:val="left"/>
        <w:rPr>
          <w:rFonts w:ascii="Times New Roman" w:hAnsi="Times New Roman" w:eastAsia="仿宋_GB2312" w:cs="Times New Roman"/>
          <w:kern w:val="0"/>
          <w:sz w:val="32"/>
          <w:szCs w:val="32"/>
          <w:highlight w:val="none"/>
        </w:rPr>
      </w:pPr>
    </w:p>
    <w:p>
      <w:pPr>
        <w:wordWrap w:val="0"/>
        <w:spacing w:line="520" w:lineRule="exact"/>
        <w:jc w:val="center"/>
        <w:rPr>
          <w:rFonts w:ascii="Times New Roman" w:hAnsi="Times New Roman" w:eastAsia="仿宋_GB2312" w:cs="Times New Roman"/>
          <w:kern w:val="0"/>
          <w:sz w:val="32"/>
          <w:szCs w:val="32"/>
          <w:highlight w:val="none"/>
        </w:rPr>
        <w:sectPr>
          <w:footerReference r:id="rId3" w:type="default"/>
          <w:pgSz w:w="11906" w:h="16838"/>
          <w:pgMar w:top="1417" w:right="1531" w:bottom="1417" w:left="1531" w:header="851" w:footer="992" w:gutter="0"/>
          <w:paperSrc/>
          <w:pgNumType w:start="1"/>
          <w:cols w:space="0" w:num="1"/>
          <w:rtlGutter w:val="0"/>
          <w:docGrid w:type="lines" w:linePitch="312" w:charSpace="0"/>
        </w:sectPr>
      </w:pPr>
    </w:p>
    <w:p>
      <w:pPr>
        <w:wordWrap w:val="0"/>
        <w:spacing w:line="480" w:lineRule="exact"/>
        <w:jc w:val="center"/>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t>第一章 招标公告</w:t>
      </w:r>
    </w:p>
    <w:p>
      <w:pPr>
        <w:wordWrap w:val="0"/>
        <w:spacing w:line="480" w:lineRule="exact"/>
        <w:ind w:firstLine="560" w:firstLineChars="200"/>
        <w:rPr>
          <w:rFonts w:ascii="Times New Roman" w:hAnsi="Times New Roman" w:eastAsia="仿宋_GB2312" w:cs="Times New Roman"/>
          <w:sz w:val="28"/>
          <w:szCs w:val="28"/>
          <w:highlight w:val="none"/>
        </w:rPr>
      </w:pPr>
    </w:p>
    <w:p>
      <w:pPr>
        <w:wordWrap w:val="0"/>
        <w:spacing w:line="460" w:lineRule="exact"/>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b/>
          <w:bCs/>
          <w:sz w:val="24"/>
          <w:szCs w:val="24"/>
          <w:highlight w:val="none"/>
          <w:lang w:eastAsia="zh-CN"/>
        </w:rPr>
        <w:t>亳州交通投资控股集团有限公司财务共享中心项目</w:t>
      </w:r>
      <w:r>
        <w:rPr>
          <w:rFonts w:hint="eastAsia" w:asciiTheme="minorEastAsia" w:hAnsiTheme="minorEastAsia" w:eastAsiaTheme="minorEastAsia" w:cstheme="minorEastAsia"/>
          <w:b/>
          <w:bCs/>
          <w:sz w:val="24"/>
          <w:szCs w:val="24"/>
          <w:highlight w:val="none"/>
        </w:rPr>
        <w:t>招标公告</w:t>
      </w:r>
      <w:bookmarkStart w:id="0" w:name="_Toc246996166"/>
      <w:bookmarkStart w:id="1" w:name="_Toc152042295"/>
      <w:bookmarkStart w:id="2" w:name="_Toc296602410"/>
      <w:bookmarkStart w:id="3" w:name="_Toc246996909"/>
      <w:bookmarkStart w:id="4" w:name="_Toc152045519"/>
      <w:bookmarkStart w:id="5" w:name="_Toc144974487"/>
      <w:bookmarkStart w:id="6" w:name="_Toc247085680"/>
      <w:bookmarkStart w:id="7" w:name="_Toc179632536"/>
    </w:p>
    <w:p>
      <w:pPr>
        <w:wordWrap w:val="0"/>
        <w:spacing w:line="480" w:lineRule="exact"/>
        <w:ind w:firstLine="422" w:firstLineChars="200"/>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bCs/>
          <w:sz w:val="21"/>
          <w:szCs w:val="21"/>
          <w:highlight w:val="none"/>
        </w:rPr>
        <w:t>一、招标条件</w:t>
      </w:r>
      <w:bookmarkEnd w:id="0"/>
      <w:bookmarkEnd w:id="1"/>
      <w:bookmarkEnd w:id="2"/>
      <w:bookmarkEnd w:id="3"/>
      <w:bookmarkEnd w:id="4"/>
      <w:bookmarkEnd w:id="5"/>
      <w:bookmarkEnd w:id="6"/>
      <w:bookmarkEnd w:id="7"/>
      <w:r>
        <w:rPr>
          <w:rFonts w:hint="eastAsia" w:asciiTheme="minorEastAsia" w:hAnsiTheme="minorEastAsia" w:eastAsiaTheme="minorEastAsia" w:cstheme="minorEastAsia"/>
          <w:b/>
          <w:bCs/>
          <w:sz w:val="21"/>
          <w:szCs w:val="21"/>
          <w:highlight w:val="none"/>
        </w:rPr>
        <w:tab/>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bookmarkStart w:id="8" w:name="_Toc152045520"/>
      <w:bookmarkStart w:id="9" w:name="_Toc296602411"/>
      <w:bookmarkStart w:id="10" w:name="_Toc246996910"/>
      <w:bookmarkStart w:id="11" w:name="_Toc179632537"/>
      <w:bookmarkStart w:id="12" w:name="_Toc246996167"/>
      <w:bookmarkStart w:id="13" w:name="_Toc152042296"/>
      <w:bookmarkStart w:id="14" w:name="_Toc247085681"/>
      <w:bookmarkStart w:id="15" w:name="_Toc144974488"/>
      <w:r>
        <w:rPr>
          <w:rFonts w:hint="eastAsia" w:asciiTheme="minorEastAsia" w:hAnsiTheme="minorEastAsia" w:eastAsiaTheme="minorEastAsia" w:cstheme="minorEastAsia"/>
          <w:sz w:val="21"/>
          <w:szCs w:val="21"/>
          <w:highlight w:val="none"/>
        </w:rPr>
        <w:t>本招标项目为</w:t>
      </w:r>
      <w:r>
        <w:rPr>
          <w:rFonts w:hint="eastAsia" w:asciiTheme="minorEastAsia" w:hAnsiTheme="minorEastAsia" w:eastAsiaTheme="minorEastAsia" w:cstheme="minorEastAsia"/>
          <w:sz w:val="21"/>
          <w:szCs w:val="21"/>
          <w:highlight w:val="none"/>
          <w:u w:val="single"/>
          <w:lang w:eastAsia="zh-CN"/>
        </w:rPr>
        <w:t>亳州交通投资控股集团有限公司财务共享中心项目</w:t>
      </w:r>
      <w:r>
        <w:rPr>
          <w:rFonts w:hint="eastAsia" w:asciiTheme="minorEastAsia" w:hAnsiTheme="minorEastAsia" w:eastAsiaTheme="minorEastAsia" w:cstheme="minorEastAsia"/>
          <w:sz w:val="21"/>
          <w:szCs w:val="21"/>
          <w:highlight w:val="none"/>
        </w:rPr>
        <w:t>，项目编号为</w:t>
      </w:r>
      <w:r>
        <w:rPr>
          <w:rFonts w:hint="eastAsia" w:asciiTheme="minorEastAsia" w:hAnsiTheme="minorEastAsia" w:eastAsiaTheme="minorEastAsia" w:cstheme="minorEastAsia"/>
          <w:sz w:val="21"/>
          <w:szCs w:val="21"/>
          <w:highlight w:val="none"/>
          <w:u w:val="single"/>
          <w:lang w:eastAsia="zh-CN"/>
        </w:rPr>
        <w:t>BZJK-2020-027号</w:t>
      </w:r>
      <w:r>
        <w:rPr>
          <w:rFonts w:hint="eastAsia" w:asciiTheme="minorEastAsia" w:hAnsiTheme="minorEastAsia" w:eastAsiaTheme="minorEastAsia" w:cstheme="minorEastAsia"/>
          <w:sz w:val="21"/>
          <w:szCs w:val="21"/>
          <w:highlight w:val="none"/>
        </w:rPr>
        <w:t>，招标人为</w:t>
      </w:r>
      <w:r>
        <w:rPr>
          <w:rFonts w:hint="eastAsia" w:asciiTheme="minorEastAsia" w:hAnsiTheme="minorEastAsia" w:eastAsiaTheme="minorEastAsia" w:cstheme="minorEastAsia"/>
          <w:sz w:val="21"/>
          <w:szCs w:val="21"/>
          <w:highlight w:val="none"/>
          <w:u w:val="single"/>
        </w:rPr>
        <w:t>亳州交通投资控股集团有限公司</w:t>
      </w:r>
      <w:r>
        <w:rPr>
          <w:rFonts w:hint="eastAsia" w:asciiTheme="minorEastAsia" w:hAnsiTheme="minorEastAsia" w:eastAsiaTheme="minorEastAsia" w:cstheme="minorEastAsia"/>
          <w:sz w:val="21"/>
          <w:szCs w:val="21"/>
          <w:highlight w:val="none"/>
        </w:rPr>
        <w:t>，项目资金来自</w:t>
      </w:r>
      <w:r>
        <w:rPr>
          <w:rFonts w:hint="eastAsia" w:asciiTheme="minorEastAsia" w:hAnsiTheme="minorEastAsia" w:eastAsiaTheme="minorEastAsia" w:cstheme="minorEastAsia"/>
          <w:sz w:val="21"/>
          <w:szCs w:val="21"/>
          <w:highlight w:val="none"/>
          <w:u w:val="single"/>
        </w:rPr>
        <w:t>企业自筹</w:t>
      </w:r>
      <w:r>
        <w:rPr>
          <w:rFonts w:hint="eastAsia" w:asciiTheme="minorEastAsia" w:hAnsiTheme="minorEastAsia" w:eastAsiaTheme="minorEastAsia" w:cstheme="minorEastAsia"/>
          <w:sz w:val="21"/>
          <w:szCs w:val="21"/>
          <w:highlight w:val="none"/>
        </w:rPr>
        <w:t>。项目已具备招标条件，现对该项目进行</w:t>
      </w:r>
      <w:r>
        <w:rPr>
          <w:rFonts w:hint="eastAsia" w:asciiTheme="minorEastAsia" w:hAnsiTheme="minorEastAsia" w:eastAsiaTheme="minorEastAsia" w:cstheme="minorEastAsia"/>
          <w:sz w:val="21"/>
          <w:szCs w:val="21"/>
          <w:highlight w:val="none"/>
          <w:u w:val="single"/>
        </w:rPr>
        <w:t>自主公开招标</w:t>
      </w:r>
      <w:r>
        <w:rPr>
          <w:rFonts w:hint="eastAsia" w:asciiTheme="minorEastAsia" w:hAnsiTheme="minorEastAsia" w:eastAsiaTheme="minorEastAsia" w:cstheme="minorEastAsia"/>
          <w:sz w:val="21"/>
          <w:szCs w:val="21"/>
          <w:highlight w:val="none"/>
        </w:rPr>
        <w:t>。</w:t>
      </w:r>
    </w:p>
    <w:p>
      <w:pPr>
        <w:wordWrap w:val="0"/>
        <w:spacing w:line="480" w:lineRule="exact"/>
        <w:ind w:firstLine="422" w:firstLineChars="200"/>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bCs/>
          <w:sz w:val="21"/>
          <w:szCs w:val="21"/>
          <w:highlight w:val="none"/>
        </w:rPr>
        <w:t>二、项目概况与招标范围</w:t>
      </w:r>
      <w:bookmarkEnd w:id="8"/>
      <w:bookmarkEnd w:id="9"/>
      <w:bookmarkEnd w:id="10"/>
      <w:bookmarkEnd w:id="11"/>
      <w:bookmarkEnd w:id="12"/>
      <w:bookmarkEnd w:id="13"/>
      <w:bookmarkEnd w:id="14"/>
      <w:bookmarkEnd w:id="15"/>
    </w:p>
    <w:p>
      <w:pPr>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（一）项目概况：</w:t>
      </w:r>
      <w:r>
        <w:rPr>
          <w:rFonts w:hint="eastAsia" w:asciiTheme="minorEastAsia" w:hAnsiTheme="minorEastAsia" w:eastAsiaTheme="minorEastAsia" w:cstheme="minorEastAsia"/>
          <w:sz w:val="21"/>
          <w:szCs w:val="21"/>
          <w:highlight w:val="none"/>
          <w:lang w:eastAsia="zh-CN"/>
        </w:rPr>
        <w:t>为保障招标人业务发展需要，提高企业管理和决策的效率、促进内部沟通、提升外部竞争力，现对实施信息化系统开发及实施能力的软件服务商进行招标</w:t>
      </w:r>
      <w:r>
        <w:rPr>
          <w:rFonts w:hint="eastAsia" w:asciiTheme="minorEastAsia" w:hAnsiTheme="minorEastAsia" w:eastAsiaTheme="minorEastAsia" w:cstheme="minorEastAsia"/>
          <w:sz w:val="21"/>
          <w:szCs w:val="21"/>
          <w:highlight w:val="none"/>
        </w:rPr>
        <w:t>。</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（二）招标范围：包括但不限于网报系统、资金管理系统、账务核算系统、影像系统、OA系统相关内容。具体要求详见第五章</w:t>
      </w:r>
      <w:r>
        <w:rPr>
          <w:rFonts w:hint="eastAsia" w:asciiTheme="minorEastAsia" w:hAnsiTheme="minorEastAsia" w:eastAsiaTheme="minorEastAsia" w:cstheme="minorEastAsia"/>
          <w:sz w:val="21"/>
          <w:szCs w:val="21"/>
          <w:highlight w:val="none"/>
          <w:lang w:eastAsia="zh-CN"/>
        </w:rPr>
        <w:t>招标人要求</w:t>
      </w:r>
      <w:r>
        <w:rPr>
          <w:rFonts w:hint="eastAsia" w:asciiTheme="minorEastAsia" w:hAnsiTheme="minorEastAsia" w:eastAsiaTheme="minorEastAsia" w:cstheme="minorEastAsia"/>
          <w:sz w:val="21"/>
          <w:szCs w:val="21"/>
          <w:highlight w:val="none"/>
        </w:rPr>
        <w:t>。</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（三）质量标准：应符合国家法律、法规、规章、标准、规范、规程等要求，</w:t>
      </w:r>
      <w:r>
        <w:rPr>
          <w:rFonts w:hint="eastAsia" w:asciiTheme="minorEastAsia" w:hAnsiTheme="minorEastAsia" w:eastAsiaTheme="minorEastAsia" w:cstheme="minorEastAsia"/>
          <w:b/>
          <w:bCs/>
          <w:sz w:val="21"/>
          <w:szCs w:val="21"/>
          <w:highlight w:val="none"/>
        </w:rPr>
        <w:t>各模块满足亳州交控集团以财务共享模式运行并正式上线</w:t>
      </w:r>
      <w:r>
        <w:rPr>
          <w:rFonts w:hint="eastAsia" w:asciiTheme="minorEastAsia" w:hAnsiTheme="minorEastAsia" w:eastAsiaTheme="minorEastAsia" w:cstheme="minorEastAsia"/>
          <w:sz w:val="21"/>
          <w:szCs w:val="21"/>
          <w:highlight w:val="none"/>
        </w:rPr>
        <w:t>。</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（四）</w:t>
      </w:r>
      <w:r>
        <w:rPr>
          <w:rFonts w:hint="eastAsia" w:asciiTheme="minorEastAsia" w:hAnsiTheme="minorEastAsia" w:eastAsiaTheme="minorEastAsia" w:cstheme="minorEastAsia"/>
          <w:b/>
          <w:bCs/>
          <w:sz w:val="21"/>
          <w:szCs w:val="21"/>
          <w:highlight w:val="none"/>
          <w:lang w:eastAsia="zh-CN"/>
        </w:rPr>
        <w:t>建设</w:t>
      </w:r>
      <w:r>
        <w:rPr>
          <w:rFonts w:hint="eastAsia" w:asciiTheme="minorEastAsia" w:hAnsiTheme="minorEastAsia" w:eastAsiaTheme="minorEastAsia" w:cstheme="minorEastAsia"/>
          <w:b/>
          <w:bCs/>
          <w:sz w:val="21"/>
          <w:szCs w:val="21"/>
          <w:highlight w:val="none"/>
        </w:rPr>
        <w:t>服务期限</w:t>
      </w:r>
      <w:r>
        <w:rPr>
          <w:rFonts w:hint="eastAsia" w:asciiTheme="minorEastAsia" w:hAnsiTheme="minorEastAsia" w:eastAsiaTheme="minorEastAsia" w:cstheme="minorEastAsia"/>
          <w:sz w:val="21"/>
          <w:szCs w:val="21"/>
          <w:highlight w:val="none"/>
        </w:rPr>
        <w:t>：自合同签订之日起6个月内</w:t>
      </w:r>
      <w:r>
        <w:rPr>
          <w:rFonts w:hint="eastAsia" w:asciiTheme="minorEastAsia" w:hAnsiTheme="minorEastAsia" w:eastAsiaTheme="minorEastAsia" w:cstheme="minorEastAsia"/>
          <w:sz w:val="21"/>
          <w:szCs w:val="21"/>
          <w:highlight w:val="none"/>
          <w:lang w:eastAsia="zh-CN"/>
        </w:rPr>
        <w:t>系统</w:t>
      </w:r>
      <w:r>
        <w:rPr>
          <w:rFonts w:hint="eastAsia" w:asciiTheme="minorEastAsia" w:hAnsiTheme="minorEastAsia" w:eastAsiaTheme="minorEastAsia" w:cstheme="minorEastAsia"/>
          <w:sz w:val="21"/>
          <w:szCs w:val="21"/>
          <w:highlight w:val="none"/>
        </w:rPr>
        <w:t>正式上线。</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（五）</w:t>
      </w:r>
      <w:r>
        <w:rPr>
          <w:rFonts w:hint="eastAsia" w:asciiTheme="minorEastAsia" w:hAnsiTheme="minorEastAsia" w:eastAsiaTheme="minorEastAsia" w:cstheme="minorEastAsia"/>
          <w:b/>
          <w:bCs/>
          <w:sz w:val="21"/>
          <w:szCs w:val="21"/>
          <w:highlight w:val="none"/>
        </w:rPr>
        <w:t>免费维护期</w:t>
      </w:r>
      <w:r>
        <w:rPr>
          <w:rFonts w:hint="eastAsia" w:asciiTheme="minorEastAsia" w:hAnsiTheme="minorEastAsia" w:eastAsiaTheme="minorEastAsia" w:cstheme="minorEastAsia"/>
          <w:sz w:val="21"/>
          <w:szCs w:val="21"/>
          <w:highlight w:val="none"/>
        </w:rPr>
        <w:t>：自验收合格之日起一年。</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eastAsia="zh-CN"/>
        </w:rPr>
        <w:t>六</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b/>
          <w:bCs/>
          <w:sz w:val="21"/>
          <w:szCs w:val="21"/>
          <w:highlight w:val="none"/>
        </w:rPr>
        <w:t>最高投标限价</w:t>
      </w:r>
      <w:r>
        <w:rPr>
          <w:rFonts w:hint="eastAsia" w:asciiTheme="minorEastAsia" w:hAnsiTheme="minorEastAsia" w:eastAsiaTheme="minorEastAsia" w:cstheme="minorEastAsia"/>
          <w:b/>
          <w:bCs/>
          <w:sz w:val="21"/>
          <w:szCs w:val="21"/>
          <w:highlight w:val="none"/>
          <w:lang w:eastAsia="zh-CN"/>
        </w:rPr>
        <w:t>（含税）</w:t>
      </w:r>
      <w:r>
        <w:rPr>
          <w:rFonts w:hint="eastAsia" w:asciiTheme="minorEastAsia" w:hAnsiTheme="minorEastAsia" w:eastAsiaTheme="minorEastAsia" w:cstheme="minorEastAsia"/>
          <w:sz w:val="21"/>
          <w:szCs w:val="21"/>
          <w:highlight w:val="none"/>
        </w:rPr>
        <w:t>：此项目</w:t>
      </w:r>
      <w:r>
        <w:rPr>
          <w:rFonts w:hint="eastAsia" w:asciiTheme="minorEastAsia" w:hAnsiTheme="minorEastAsia" w:cstheme="minorEastAsia"/>
          <w:sz w:val="21"/>
          <w:szCs w:val="21"/>
          <w:highlight w:val="none"/>
          <w:lang w:eastAsia="zh-CN"/>
        </w:rPr>
        <w:t>划</w:t>
      </w:r>
      <w:r>
        <w:rPr>
          <w:rFonts w:hint="eastAsia" w:asciiTheme="minorEastAsia" w:hAnsiTheme="minorEastAsia" w:eastAsiaTheme="minorEastAsia" w:cstheme="minorEastAsia"/>
          <w:sz w:val="21"/>
          <w:szCs w:val="21"/>
          <w:highlight w:val="none"/>
        </w:rPr>
        <w:t>分为</w:t>
      </w:r>
      <w:r>
        <w:rPr>
          <w:rFonts w:hint="eastAsia" w:asciiTheme="minorEastAsia" w:hAnsiTheme="minorEastAsia" w:eastAsiaTheme="minorEastAsia" w:cstheme="minorEastAsia"/>
          <w:b/>
          <w:bCs/>
          <w:sz w:val="21"/>
          <w:szCs w:val="21"/>
          <w:highlight w:val="none"/>
        </w:rPr>
        <w:t>实施开发阶段和后期维护</w:t>
      </w:r>
      <w:r>
        <w:rPr>
          <w:rFonts w:hint="eastAsia" w:asciiTheme="minorEastAsia" w:hAnsiTheme="minorEastAsia" w:cstheme="minorEastAsia"/>
          <w:b/>
          <w:bCs/>
          <w:sz w:val="21"/>
          <w:szCs w:val="21"/>
          <w:highlight w:val="none"/>
          <w:lang w:eastAsia="zh-CN"/>
        </w:rPr>
        <w:t>阶段</w:t>
      </w:r>
      <w:r>
        <w:rPr>
          <w:rFonts w:hint="eastAsia" w:asciiTheme="minorEastAsia" w:hAnsiTheme="minorEastAsia" w:eastAsiaTheme="minorEastAsia" w:cstheme="minorEastAsia"/>
          <w:b w:val="0"/>
          <w:bCs w:val="0"/>
          <w:sz w:val="21"/>
          <w:szCs w:val="21"/>
          <w:highlight w:val="none"/>
        </w:rPr>
        <w:t>两个阶段</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b/>
          <w:bCs/>
          <w:sz w:val="21"/>
          <w:szCs w:val="21"/>
          <w:highlight w:val="none"/>
        </w:rPr>
        <w:t>实施开发阶段包括咨询设计、蓝图规划、软件开发、系统上线运营及验收等全过程</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b/>
          <w:bCs/>
          <w:sz w:val="21"/>
          <w:szCs w:val="21"/>
          <w:highlight w:val="none"/>
        </w:rPr>
        <w:t>实施开发阶段费用</w:t>
      </w:r>
      <w:r>
        <w:rPr>
          <w:rFonts w:hint="eastAsia" w:asciiTheme="minorEastAsia" w:hAnsiTheme="minorEastAsia" w:eastAsiaTheme="minorEastAsia" w:cstheme="minorEastAsia"/>
          <w:sz w:val="21"/>
          <w:szCs w:val="21"/>
          <w:highlight w:val="none"/>
        </w:rPr>
        <w:t>最高限价为</w:t>
      </w:r>
      <w:r>
        <w:rPr>
          <w:rFonts w:hint="eastAsia" w:asciiTheme="minorEastAsia" w:hAnsiTheme="minorEastAsia" w:eastAsiaTheme="minorEastAsia" w:cstheme="minorEastAsia"/>
          <w:b/>
          <w:bCs/>
          <w:sz w:val="21"/>
          <w:szCs w:val="21"/>
          <w:highlight w:val="none"/>
        </w:rPr>
        <w:t>人民币（大写）：壹佰肆拾伍万元整，（小写）：¥1450000元（含税）</w:t>
      </w:r>
      <w:r>
        <w:rPr>
          <w:rFonts w:hint="eastAsia" w:asciiTheme="minorEastAsia" w:hAnsiTheme="minorEastAsia" w:cstheme="minorEastAsia"/>
          <w:b/>
          <w:bCs/>
          <w:sz w:val="21"/>
          <w:szCs w:val="21"/>
          <w:highlight w:val="none"/>
          <w:lang w:eastAsia="zh-CN"/>
        </w:rPr>
        <w:t>，</w:t>
      </w:r>
      <w:r>
        <w:rPr>
          <w:rFonts w:hint="eastAsia" w:asciiTheme="minorEastAsia" w:hAnsiTheme="minorEastAsia" w:eastAsiaTheme="minorEastAsia" w:cstheme="minorEastAsia"/>
          <w:b/>
          <w:bCs/>
          <w:sz w:val="21"/>
          <w:szCs w:val="21"/>
          <w:highlight w:val="none"/>
        </w:rPr>
        <w:t>后期年维护费不超过实施开发阶段费用的5%</w:t>
      </w:r>
      <w:r>
        <w:rPr>
          <w:rFonts w:hint="eastAsia" w:asciiTheme="minorEastAsia" w:hAnsiTheme="minorEastAsia" w:cstheme="minorEastAsia"/>
          <w:b w:val="0"/>
          <w:bCs w:val="0"/>
          <w:sz w:val="21"/>
          <w:szCs w:val="21"/>
          <w:highlight w:val="none"/>
          <w:lang w:eastAsia="zh-CN"/>
        </w:rPr>
        <w:t>。</w:t>
      </w:r>
      <w:r>
        <w:rPr>
          <w:rFonts w:hint="eastAsia" w:asciiTheme="minorEastAsia" w:hAnsiTheme="minorEastAsia" w:eastAsiaTheme="minorEastAsia" w:cstheme="minorEastAsia"/>
          <w:sz w:val="21"/>
          <w:szCs w:val="21"/>
          <w:highlight w:val="none"/>
        </w:rPr>
        <w:t>实施开发阶段费用</w:t>
      </w:r>
      <w:r>
        <w:rPr>
          <w:rFonts w:hint="eastAsia" w:asciiTheme="minorEastAsia" w:hAnsiTheme="minorEastAsia" w:eastAsiaTheme="minorEastAsia" w:cstheme="minorEastAsia"/>
          <w:sz w:val="21"/>
          <w:szCs w:val="21"/>
          <w:highlight w:val="none"/>
          <w:lang w:eastAsia="zh-CN"/>
        </w:rPr>
        <w:t>按</w:t>
      </w:r>
      <w:r>
        <w:rPr>
          <w:rFonts w:hint="eastAsia" w:asciiTheme="minorEastAsia" w:hAnsiTheme="minorEastAsia" w:eastAsiaTheme="minorEastAsia" w:cstheme="minorEastAsia"/>
          <w:b/>
          <w:bCs/>
          <w:sz w:val="21"/>
          <w:szCs w:val="21"/>
          <w:highlight w:val="none"/>
          <w:lang w:eastAsia="zh-CN"/>
        </w:rPr>
        <w:t>固定总价报价</w:t>
      </w:r>
      <w:r>
        <w:rPr>
          <w:rFonts w:hint="eastAsia" w:asciiTheme="minorEastAsia" w:hAnsiTheme="minorEastAsia" w:eastAsiaTheme="minorEastAsia" w:cstheme="minorEastAsia"/>
          <w:sz w:val="21"/>
          <w:szCs w:val="21"/>
          <w:highlight w:val="none"/>
          <w:lang w:eastAsia="zh-CN"/>
        </w:rPr>
        <w:t>，</w:t>
      </w:r>
      <w:r>
        <w:rPr>
          <w:rFonts w:hint="eastAsia" w:asciiTheme="minorEastAsia" w:hAnsiTheme="minorEastAsia" w:eastAsiaTheme="minorEastAsia" w:cstheme="minorEastAsia"/>
          <w:sz w:val="21"/>
          <w:szCs w:val="21"/>
          <w:highlight w:val="none"/>
        </w:rPr>
        <w:t>后期年维护费以实施开发阶段费为基数按</w:t>
      </w:r>
      <w:r>
        <w:rPr>
          <w:rFonts w:hint="eastAsia" w:asciiTheme="minorEastAsia" w:hAnsiTheme="minorEastAsia" w:eastAsiaTheme="minorEastAsia" w:cstheme="minorEastAsia"/>
          <w:b/>
          <w:bCs/>
          <w:sz w:val="21"/>
          <w:szCs w:val="21"/>
          <w:highlight w:val="none"/>
        </w:rPr>
        <w:t>比率</w:t>
      </w:r>
      <w:r>
        <w:rPr>
          <w:rFonts w:hint="eastAsia" w:asciiTheme="minorEastAsia" w:hAnsiTheme="minorEastAsia" w:cstheme="minorEastAsia"/>
          <w:sz w:val="21"/>
          <w:szCs w:val="21"/>
          <w:highlight w:val="none"/>
          <w:lang w:eastAsia="zh-CN"/>
        </w:rPr>
        <w:t>报价</w:t>
      </w:r>
      <w:r>
        <w:rPr>
          <w:rFonts w:hint="eastAsia" w:asciiTheme="minorEastAsia" w:hAnsiTheme="minorEastAsia" w:eastAsiaTheme="minorEastAsia" w:cstheme="minorEastAsia"/>
          <w:sz w:val="21"/>
          <w:szCs w:val="21"/>
          <w:highlight w:val="none"/>
        </w:rPr>
        <w:t>。投标人投标报价超出限价的按无效投标处理；投标报价应包括为完成各阶段工作内容以及后期服务所需的</w:t>
      </w:r>
      <w:r>
        <w:rPr>
          <w:rFonts w:hint="eastAsia" w:asciiTheme="minorEastAsia" w:hAnsiTheme="minorEastAsia" w:eastAsiaTheme="minorEastAsia" w:cstheme="minorEastAsia"/>
          <w:b/>
          <w:bCs/>
          <w:sz w:val="21"/>
          <w:szCs w:val="21"/>
          <w:highlight w:val="none"/>
        </w:rPr>
        <w:t>差旅费、食宿费</w:t>
      </w:r>
      <w:r>
        <w:rPr>
          <w:rFonts w:hint="eastAsia" w:asciiTheme="minorEastAsia" w:hAnsiTheme="minorEastAsia" w:eastAsiaTheme="minorEastAsia" w:cstheme="minorEastAsia"/>
          <w:sz w:val="21"/>
          <w:szCs w:val="21"/>
          <w:highlight w:val="none"/>
          <w:lang w:eastAsia="zh-CN"/>
        </w:rPr>
        <w:t>等</w:t>
      </w:r>
      <w:r>
        <w:rPr>
          <w:rFonts w:hint="eastAsia" w:asciiTheme="minorEastAsia" w:hAnsiTheme="minorEastAsia" w:eastAsiaTheme="minorEastAsia" w:cstheme="minorEastAsia"/>
          <w:sz w:val="21"/>
          <w:szCs w:val="21"/>
          <w:highlight w:val="none"/>
        </w:rPr>
        <w:t>全部费用及税费</w:t>
      </w:r>
      <w:r>
        <w:rPr>
          <w:rFonts w:hint="eastAsia" w:asciiTheme="minorEastAsia" w:hAnsiTheme="minorEastAsia" w:eastAsiaTheme="minorEastAsia" w:cstheme="minorEastAsia"/>
          <w:sz w:val="21"/>
          <w:szCs w:val="21"/>
          <w:highlight w:val="none"/>
          <w:lang w:eastAsia="zh-CN"/>
        </w:rPr>
        <w:t>，其他未尽事宜应</w:t>
      </w:r>
      <w:r>
        <w:rPr>
          <w:rFonts w:hint="eastAsia" w:asciiTheme="minorEastAsia" w:hAnsiTheme="minorEastAsia" w:eastAsiaTheme="minorEastAsia" w:cstheme="minorEastAsia"/>
          <w:sz w:val="21"/>
          <w:szCs w:val="21"/>
          <w:highlight w:val="none"/>
        </w:rPr>
        <w:t>统一考虑在报价内。</w:t>
      </w:r>
    </w:p>
    <w:p>
      <w:pPr>
        <w:wordWrap w:val="0"/>
        <w:spacing w:line="480" w:lineRule="exact"/>
        <w:ind w:firstLine="422" w:firstLineChars="200"/>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bCs/>
          <w:sz w:val="21"/>
          <w:szCs w:val="21"/>
          <w:highlight w:val="none"/>
        </w:rPr>
        <w:t>三、投标人资格要求</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（一）具备独立的法人资格，具备独立承担民事责任的能力；</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（二）有依法缴纳税收和社会保障资金的良好记录；</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（三）具有行政主管部门颁发的合法有效的</w:t>
      </w:r>
      <w:r>
        <w:rPr>
          <w:rFonts w:hint="eastAsia" w:asciiTheme="minorEastAsia" w:hAnsiTheme="minorEastAsia" w:eastAsiaTheme="minorEastAsia" w:cstheme="minorEastAsia"/>
          <w:b/>
          <w:bCs/>
          <w:sz w:val="21"/>
          <w:szCs w:val="21"/>
          <w:highlight w:val="none"/>
        </w:rPr>
        <w:t>CMMI4及以上</w:t>
      </w:r>
      <w:r>
        <w:rPr>
          <w:rFonts w:hint="eastAsia" w:asciiTheme="minorEastAsia" w:hAnsiTheme="minorEastAsia" w:eastAsiaTheme="minorEastAsia" w:cstheme="minorEastAsia"/>
          <w:sz w:val="21"/>
          <w:szCs w:val="21"/>
          <w:highlight w:val="none"/>
        </w:rPr>
        <w:t>软件资质证书；</w:t>
      </w:r>
    </w:p>
    <w:p>
      <w:pPr>
        <w:wordWrap w:val="0"/>
        <w:spacing w:line="480" w:lineRule="exact"/>
        <w:ind w:firstLine="420" w:firstLineChars="200"/>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rPr>
        <w:t>（四）近三年</w:t>
      </w:r>
      <w:r>
        <w:rPr>
          <w:rFonts w:hint="eastAsia" w:asciiTheme="minorEastAsia" w:hAnsiTheme="minorEastAsia" w:eastAsiaTheme="minorEastAsia" w:cstheme="minorEastAsia"/>
          <w:b/>
          <w:bCs/>
          <w:sz w:val="21"/>
          <w:szCs w:val="21"/>
          <w:highlight w:val="none"/>
        </w:rPr>
        <w:t>（2017年1月1日至今）</w:t>
      </w:r>
      <w:r>
        <w:rPr>
          <w:rFonts w:hint="eastAsia" w:asciiTheme="minorEastAsia" w:hAnsiTheme="minorEastAsia" w:eastAsiaTheme="minorEastAsia" w:cstheme="minorEastAsia"/>
          <w:sz w:val="21"/>
          <w:szCs w:val="21"/>
          <w:highlight w:val="none"/>
        </w:rPr>
        <w:t>国内成功实施过至少3个单项合同金额</w:t>
      </w:r>
      <w:r>
        <w:rPr>
          <w:rFonts w:hint="eastAsia" w:asciiTheme="minorEastAsia" w:hAnsiTheme="minorEastAsia" w:eastAsiaTheme="minorEastAsia" w:cstheme="minorEastAsia"/>
          <w:b/>
          <w:bCs/>
          <w:sz w:val="21"/>
          <w:szCs w:val="21"/>
          <w:highlight w:val="none"/>
        </w:rPr>
        <w:t>不少于200万元</w:t>
      </w:r>
      <w:r>
        <w:rPr>
          <w:rFonts w:hint="eastAsia" w:asciiTheme="minorEastAsia" w:hAnsiTheme="minorEastAsia" w:eastAsiaTheme="minorEastAsia" w:cstheme="minorEastAsia"/>
          <w:sz w:val="21"/>
          <w:szCs w:val="21"/>
          <w:highlight w:val="none"/>
        </w:rPr>
        <w:t>企业财务共享中心项目业绩，业绩合同以合同签订时间为准。投标人须提供业绩合同复印件或扫描件，加盖单位公章并装订入投标文件中</w:t>
      </w:r>
      <w:r>
        <w:rPr>
          <w:rFonts w:hint="eastAsia" w:asciiTheme="minorEastAsia" w:hAnsiTheme="minorEastAsia" w:eastAsiaTheme="minorEastAsia" w:cstheme="minorEastAsia"/>
          <w:sz w:val="21"/>
          <w:szCs w:val="21"/>
          <w:highlight w:val="none"/>
          <w:lang w:eastAsia="zh-CN"/>
        </w:rPr>
        <w:t>；</w:t>
      </w:r>
    </w:p>
    <w:p>
      <w:pPr>
        <w:wordWrap w:val="0"/>
        <w:spacing w:line="480" w:lineRule="exact"/>
        <w:ind w:firstLine="420" w:firstLineChars="200"/>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eastAsia="zh-CN"/>
        </w:rPr>
        <w:t>五</w:t>
      </w:r>
      <w:r>
        <w:rPr>
          <w:rFonts w:hint="eastAsia" w:asciiTheme="minorEastAsia" w:hAnsiTheme="minorEastAsia" w:eastAsiaTheme="minorEastAsia" w:cstheme="minorEastAsia"/>
          <w:sz w:val="21"/>
          <w:szCs w:val="21"/>
          <w:highlight w:val="none"/>
        </w:rPr>
        <w:t>）拟派项目负责人须具有5年及以上计算机信息系统行业经验，且在</w:t>
      </w:r>
      <w:r>
        <w:rPr>
          <w:rFonts w:hint="eastAsia" w:asciiTheme="minorEastAsia" w:hAnsiTheme="minorEastAsia" w:eastAsiaTheme="minorEastAsia" w:cstheme="minorEastAsia"/>
          <w:b/>
          <w:bCs/>
          <w:sz w:val="21"/>
          <w:szCs w:val="21"/>
          <w:highlight w:val="none"/>
        </w:rPr>
        <w:t>近三年（2017年1月1日至今）</w:t>
      </w:r>
      <w:r>
        <w:rPr>
          <w:rFonts w:hint="eastAsia" w:asciiTheme="minorEastAsia" w:hAnsiTheme="minorEastAsia" w:eastAsiaTheme="minorEastAsia" w:cstheme="minorEastAsia"/>
          <w:sz w:val="21"/>
          <w:szCs w:val="21"/>
          <w:highlight w:val="none"/>
        </w:rPr>
        <w:t>担任过单项合同金额</w:t>
      </w:r>
      <w:r>
        <w:rPr>
          <w:rFonts w:hint="eastAsia" w:asciiTheme="minorEastAsia" w:hAnsiTheme="minorEastAsia" w:eastAsiaTheme="minorEastAsia" w:cstheme="minorEastAsia"/>
          <w:b/>
          <w:bCs/>
          <w:sz w:val="21"/>
          <w:szCs w:val="21"/>
          <w:highlight w:val="none"/>
        </w:rPr>
        <w:t>不少于200万元</w:t>
      </w:r>
      <w:r>
        <w:rPr>
          <w:rFonts w:hint="eastAsia" w:asciiTheme="minorEastAsia" w:hAnsiTheme="minorEastAsia" w:eastAsiaTheme="minorEastAsia" w:cstheme="minorEastAsia"/>
          <w:sz w:val="21"/>
          <w:szCs w:val="21"/>
          <w:highlight w:val="none"/>
        </w:rPr>
        <w:t>企业财务共享中心项目负责人，要求提供</w:t>
      </w:r>
      <w:r>
        <w:rPr>
          <w:rFonts w:hint="eastAsia" w:asciiTheme="minorEastAsia" w:hAnsiTheme="minorEastAsia" w:eastAsiaTheme="minorEastAsia" w:cstheme="minorEastAsia"/>
          <w:b/>
          <w:bCs/>
          <w:sz w:val="21"/>
          <w:szCs w:val="21"/>
          <w:highlight w:val="none"/>
        </w:rPr>
        <w:t>至少1个</w:t>
      </w:r>
      <w:r>
        <w:rPr>
          <w:rFonts w:hint="eastAsia" w:asciiTheme="minorEastAsia" w:hAnsiTheme="minorEastAsia" w:eastAsiaTheme="minorEastAsia" w:cstheme="minorEastAsia"/>
          <w:sz w:val="21"/>
          <w:szCs w:val="21"/>
          <w:highlight w:val="none"/>
        </w:rPr>
        <w:t>项目负责人业绩。投标人须提供</w:t>
      </w:r>
      <w:r>
        <w:rPr>
          <w:rFonts w:hint="eastAsia" w:asciiTheme="minorEastAsia" w:hAnsiTheme="minorEastAsia" w:eastAsiaTheme="minorEastAsia" w:cstheme="minorEastAsia"/>
          <w:b/>
          <w:bCs/>
          <w:sz w:val="21"/>
          <w:szCs w:val="21"/>
          <w:highlight w:val="none"/>
        </w:rPr>
        <w:t>合同复印件和业主单位出具的人员业绩证明及业主单位联系方式等有效证明材料</w:t>
      </w:r>
      <w:r>
        <w:rPr>
          <w:rFonts w:hint="eastAsia" w:asciiTheme="minorEastAsia" w:hAnsiTheme="minorEastAsia" w:eastAsiaTheme="minorEastAsia" w:cstheme="minorEastAsia"/>
          <w:sz w:val="21"/>
          <w:szCs w:val="21"/>
          <w:highlight w:val="none"/>
        </w:rPr>
        <w:t>，加盖单位公章并装订入投标文件中，</w:t>
      </w:r>
      <w:r>
        <w:rPr>
          <w:rFonts w:hint="eastAsia" w:asciiTheme="minorEastAsia" w:hAnsiTheme="minorEastAsia" w:eastAsiaTheme="minorEastAsia" w:cstheme="minorEastAsia"/>
          <w:b/>
          <w:bCs/>
          <w:sz w:val="21"/>
          <w:szCs w:val="21"/>
          <w:highlight w:val="none"/>
        </w:rPr>
        <w:t>项目业绩时间以合同签订时间为准，业主单位出具的人员业绩证明以载明的服务期起始时间为准</w:t>
      </w:r>
      <w:r>
        <w:rPr>
          <w:rFonts w:hint="eastAsia" w:asciiTheme="minorEastAsia" w:hAnsiTheme="minorEastAsia" w:eastAsiaTheme="minorEastAsia" w:cstheme="minorEastAsia"/>
          <w:sz w:val="21"/>
          <w:szCs w:val="21"/>
          <w:highlight w:val="none"/>
        </w:rPr>
        <w:t>。同时要求提供由本单位为其缴纳的至少</w:t>
      </w:r>
      <w:r>
        <w:rPr>
          <w:rFonts w:hint="eastAsia" w:asciiTheme="minorEastAsia" w:hAnsiTheme="minorEastAsia" w:eastAsiaTheme="minorEastAsia" w:cstheme="minorEastAsia"/>
          <w:b/>
          <w:bCs/>
          <w:sz w:val="21"/>
          <w:szCs w:val="21"/>
          <w:highlight w:val="none"/>
        </w:rPr>
        <w:t>连续6个月</w:t>
      </w:r>
      <w:r>
        <w:rPr>
          <w:rFonts w:hint="eastAsia" w:asciiTheme="minorEastAsia" w:hAnsiTheme="minorEastAsia" w:eastAsiaTheme="minorEastAsia" w:cstheme="minorEastAsia"/>
          <w:sz w:val="21"/>
          <w:szCs w:val="21"/>
          <w:highlight w:val="none"/>
        </w:rPr>
        <w:t>的社保证明（由当地社保主管部门出具的2020年1月1日以来的有效社保证明）</w:t>
      </w:r>
      <w:r>
        <w:rPr>
          <w:rFonts w:hint="eastAsia" w:asciiTheme="minorEastAsia" w:hAnsiTheme="minorEastAsia" w:eastAsiaTheme="minorEastAsia" w:cstheme="minorEastAsia"/>
          <w:sz w:val="21"/>
          <w:szCs w:val="21"/>
          <w:highlight w:val="none"/>
          <w:lang w:eastAsia="zh-CN"/>
        </w:rPr>
        <w:t>；</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eastAsia="zh-CN"/>
        </w:rPr>
        <w:t>（六）具有履行合同所必须的设备、专业技术能力及办公场所；</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eastAsia="zh-CN"/>
        </w:rPr>
        <w:t>（七）</w:t>
      </w:r>
      <w:r>
        <w:rPr>
          <w:rFonts w:hint="eastAsia" w:asciiTheme="minorEastAsia" w:hAnsiTheme="minorEastAsia" w:eastAsiaTheme="minorEastAsia" w:cstheme="minorEastAsia"/>
          <w:sz w:val="21"/>
          <w:szCs w:val="21"/>
          <w:highlight w:val="none"/>
        </w:rPr>
        <w:t>本次招标</w:t>
      </w:r>
      <w:r>
        <w:rPr>
          <w:rFonts w:hint="eastAsia" w:asciiTheme="minorEastAsia" w:hAnsiTheme="minorEastAsia" w:eastAsiaTheme="minorEastAsia" w:cstheme="minorEastAsia"/>
          <w:sz w:val="21"/>
          <w:szCs w:val="21"/>
          <w:highlight w:val="none"/>
          <w:u w:val="single"/>
        </w:rPr>
        <w:t>不接受</w:t>
      </w:r>
      <w:r>
        <w:rPr>
          <w:rFonts w:hint="eastAsia" w:asciiTheme="minorEastAsia" w:hAnsiTheme="minorEastAsia" w:eastAsiaTheme="minorEastAsia" w:cstheme="minorEastAsia"/>
          <w:sz w:val="21"/>
          <w:szCs w:val="21"/>
          <w:highlight w:val="none"/>
        </w:rPr>
        <w:t>联合体投标。</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eastAsia="zh-CN"/>
        </w:rPr>
        <w:t>八</w:t>
      </w:r>
      <w:r>
        <w:rPr>
          <w:rFonts w:hint="eastAsia" w:asciiTheme="minorEastAsia" w:hAnsiTheme="minorEastAsia" w:eastAsiaTheme="minorEastAsia" w:cstheme="minorEastAsia"/>
          <w:sz w:val="21"/>
          <w:szCs w:val="21"/>
          <w:highlight w:val="none"/>
        </w:rPr>
        <w:t>）投标人存在以下不良信用记录情形之一的，不得推荐为中标候选人，更不得确定为中标人：</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1.投标人被人民法院列入失信被执行人的；</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2.投标人或其法定代表人或拟派项目负责人被人民检察院列入行贿犯罪档案的；</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3.投标人被工商行政管理部门列入企业经营异常名录的；</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4.投标人被税务部门列入重大税收违法案件当事人名单的；</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p>
    <w:p>
      <w:pPr>
        <w:wordWrap w:val="0"/>
        <w:spacing w:line="480" w:lineRule="exact"/>
        <w:ind w:firstLine="422" w:firstLineChars="200"/>
        <w:rPr>
          <w:rFonts w:hint="eastAsia" w:asciiTheme="minorEastAsia" w:hAnsiTheme="minorEastAsia" w:cstheme="minorEastAsia"/>
          <w:b/>
          <w:bCs/>
          <w:sz w:val="21"/>
          <w:szCs w:val="21"/>
          <w:highlight w:val="none"/>
          <w:lang w:eastAsia="zh-CN"/>
        </w:rPr>
      </w:pPr>
      <w:r>
        <w:rPr>
          <w:rFonts w:hint="eastAsia" w:asciiTheme="minorEastAsia" w:hAnsiTheme="minorEastAsia" w:cstheme="minorEastAsia"/>
          <w:b/>
          <w:bCs/>
          <w:sz w:val="21"/>
          <w:szCs w:val="21"/>
          <w:highlight w:val="none"/>
          <w:lang w:eastAsia="zh-CN"/>
        </w:rPr>
        <w:t>四、招标文件的获取</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凡有意参加投标者，请于投标文件递交截止时间前到亳州交通投资控股集团有限公司官网信息公开栏（www.bzjkjt.com/article/index-94.html）自行下载电子招标文件及其他附件。</w:t>
      </w:r>
    </w:p>
    <w:p>
      <w:pPr>
        <w:wordWrap w:val="0"/>
        <w:spacing w:line="480" w:lineRule="exact"/>
        <w:ind w:firstLine="422" w:firstLineChars="200"/>
        <w:rPr>
          <w:rFonts w:hint="eastAsia" w:asciiTheme="minorEastAsia" w:hAnsiTheme="minorEastAsia" w:eastAsiaTheme="minorEastAsia" w:cstheme="minorEastAsia"/>
          <w:b/>
          <w:bCs/>
          <w:sz w:val="21"/>
          <w:szCs w:val="21"/>
          <w:highlight w:val="none"/>
        </w:rPr>
      </w:pPr>
      <w:r>
        <w:rPr>
          <w:rFonts w:hint="eastAsia" w:asciiTheme="minorEastAsia" w:hAnsiTheme="minorEastAsia" w:cstheme="minorEastAsia"/>
          <w:b/>
          <w:bCs/>
          <w:sz w:val="21"/>
          <w:szCs w:val="21"/>
          <w:highlight w:val="none"/>
          <w:lang w:eastAsia="zh-CN"/>
        </w:rPr>
        <w:t>五</w:t>
      </w:r>
      <w:r>
        <w:rPr>
          <w:rFonts w:hint="eastAsia" w:asciiTheme="minorEastAsia" w:hAnsiTheme="minorEastAsia" w:eastAsiaTheme="minorEastAsia" w:cstheme="minorEastAsia"/>
          <w:b/>
          <w:bCs/>
          <w:sz w:val="21"/>
          <w:szCs w:val="21"/>
          <w:highlight w:val="none"/>
        </w:rPr>
        <w:t>、投标文件的递交</w:t>
      </w:r>
    </w:p>
    <w:p>
      <w:pPr>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（一）投标文件递交的截止时间（投标截止时间，下同）为</w:t>
      </w:r>
      <w:r>
        <w:rPr>
          <w:rFonts w:hint="eastAsia" w:asciiTheme="minorEastAsia" w:hAnsiTheme="minorEastAsia" w:eastAsiaTheme="minorEastAsia" w:cstheme="minorEastAsia"/>
          <w:b/>
          <w:bCs/>
          <w:sz w:val="21"/>
          <w:szCs w:val="21"/>
          <w:highlight w:val="none"/>
          <w:lang w:eastAsia="zh-CN"/>
        </w:rPr>
        <w:t>2020年7月25日9时00分</w:t>
      </w:r>
      <w:r>
        <w:rPr>
          <w:rFonts w:hint="eastAsia" w:asciiTheme="minorEastAsia" w:hAnsiTheme="minorEastAsia" w:eastAsiaTheme="minorEastAsia" w:cstheme="minorEastAsia"/>
          <w:sz w:val="21"/>
          <w:szCs w:val="21"/>
          <w:highlight w:val="none"/>
        </w:rPr>
        <w:t>，地点为亳州交通投资控股集团有限公司8楼会议室（药都大道与希夷大道交叉口东北角8楼）。</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（二）逾期送达的、未送达指定地点的或者不按照招标文件要求密封的投标文件，招标人将予以拒收。</w:t>
      </w:r>
    </w:p>
    <w:p>
      <w:pPr>
        <w:wordWrap w:val="0"/>
        <w:spacing w:line="480" w:lineRule="exact"/>
        <w:ind w:firstLine="422" w:firstLineChars="200"/>
        <w:rPr>
          <w:rFonts w:hint="eastAsia" w:asciiTheme="minorEastAsia" w:hAnsiTheme="minorEastAsia" w:eastAsiaTheme="minorEastAsia" w:cstheme="minorEastAsia"/>
          <w:b/>
          <w:bCs/>
          <w:sz w:val="21"/>
          <w:szCs w:val="21"/>
          <w:highlight w:val="none"/>
        </w:rPr>
      </w:pPr>
      <w:r>
        <w:rPr>
          <w:rFonts w:hint="eastAsia" w:asciiTheme="minorEastAsia" w:hAnsiTheme="minorEastAsia" w:cstheme="minorEastAsia"/>
          <w:b/>
          <w:bCs/>
          <w:sz w:val="21"/>
          <w:szCs w:val="21"/>
          <w:highlight w:val="none"/>
          <w:lang w:eastAsia="zh-CN"/>
        </w:rPr>
        <w:t>六</w:t>
      </w:r>
      <w:r>
        <w:rPr>
          <w:rFonts w:hint="eastAsia" w:asciiTheme="minorEastAsia" w:hAnsiTheme="minorEastAsia" w:eastAsiaTheme="minorEastAsia" w:cstheme="minorEastAsia"/>
          <w:b/>
          <w:bCs/>
          <w:sz w:val="21"/>
          <w:szCs w:val="21"/>
          <w:highlight w:val="none"/>
        </w:rPr>
        <w:t>、发布公告的媒介</w:t>
      </w:r>
    </w:p>
    <w:p>
      <w:pPr>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本次招标公告同时在亳州交通投资控股集团有限公司官网（www.bzjkjt.com）、安徽省招标投标信息网（www.ahtba.org.cn）上发布。</w:t>
      </w:r>
    </w:p>
    <w:p>
      <w:pPr>
        <w:wordWrap w:val="0"/>
        <w:spacing w:line="480" w:lineRule="exact"/>
        <w:ind w:firstLine="422" w:firstLineChars="200"/>
        <w:rPr>
          <w:rFonts w:hint="eastAsia" w:asciiTheme="minorEastAsia" w:hAnsiTheme="minorEastAsia" w:eastAsiaTheme="minorEastAsia" w:cstheme="minorEastAsia"/>
          <w:b/>
          <w:bCs/>
          <w:sz w:val="21"/>
          <w:szCs w:val="21"/>
          <w:highlight w:val="none"/>
        </w:rPr>
      </w:pPr>
      <w:r>
        <w:rPr>
          <w:rFonts w:hint="eastAsia" w:asciiTheme="minorEastAsia" w:hAnsiTheme="minorEastAsia" w:cstheme="minorEastAsia"/>
          <w:b/>
          <w:bCs/>
          <w:sz w:val="21"/>
          <w:szCs w:val="21"/>
          <w:highlight w:val="none"/>
          <w:lang w:eastAsia="zh-CN"/>
        </w:rPr>
        <w:t>七</w:t>
      </w:r>
      <w:r>
        <w:rPr>
          <w:rFonts w:hint="eastAsia" w:asciiTheme="minorEastAsia" w:hAnsiTheme="minorEastAsia" w:eastAsiaTheme="minorEastAsia" w:cstheme="minorEastAsia"/>
          <w:b/>
          <w:bCs/>
          <w:sz w:val="21"/>
          <w:szCs w:val="21"/>
          <w:highlight w:val="none"/>
        </w:rPr>
        <w:t>、联系方式</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招 标 人：亳州交通投资控股集团有限公司</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地    址：亳州市谯城区药都大道1289号</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联 系 人：</w:t>
      </w:r>
      <w:r>
        <w:rPr>
          <w:rFonts w:hint="eastAsia" w:asciiTheme="minorEastAsia" w:hAnsiTheme="minorEastAsia" w:eastAsiaTheme="minorEastAsia" w:cstheme="minorEastAsia"/>
          <w:sz w:val="21"/>
          <w:szCs w:val="21"/>
          <w:highlight w:val="none"/>
          <w:lang w:eastAsia="zh-CN"/>
        </w:rPr>
        <w:t>陈</w:t>
      </w:r>
      <w:r>
        <w:rPr>
          <w:rFonts w:hint="eastAsia" w:asciiTheme="minorEastAsia" w:hAnsiTheme="minorEastAsia" w:eastAsiaTheme="minorEastAsia" w:cstheme="minorEastAsia"/>
          <w:sz w:val="21"/>
          <w:szCs w:val="21"/>
          <w:highlight w:val="none"/>
        </w:rPr>
        <w:t>工</w:t>
      </w:r>
    </w:p>
    <w:p>
      <w:pPr>
        <w:wordWrap w:val="0"/>
        <w:spacing w:line="480" w:lineRule="exact"/>
        <w:ind w:firstLine="420" w:firstLineChars="200"/>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rPr>
        <w:t>电    话：</w:t>
      </w:r>
      <w:r>
        <w:rPr>
          <w:rFonts w:hint="eastAsia" w:asciiTheme="minorEastAsia" w:hAnsiTheme="minorEastAsia" w:eastAsiaTheme="minorEastAsia" w:cstheme="minorEastAsia"/>
          <w:sz w:val="21"/>
          <w:szCs w:val="21"/>
          <w:highlight w:val="none"/>
          <w:lang w:val="en-US" w:eastAsia="zh-CN"/>
        </w:rPr>
        <w:t>17756777055</w:t>
      </w:r>
    </w:p>
    <w:p>
      <w:pPr>
        <w:wordWrap w:val="0"/>
        <w:spacing w:line="480" w:lineRule="exact"/>
        <w:ind w:firstLine="420" w:firstLineChars="200"/>
        <w:rPr>
          <w:rFonts w:hint="eastAsia" w:asciiTheme="minorEastAsia" w:hAnsiTheme="minorEastAsia" w:eastAsiaTheme="minorEastAsia" w:cstheme="minorEastAsia"/>
          <w:sz w:val="21"/>
          <w:szCs w:val="21"/>
          <w:highlight w:val="none"/>
          <w:lang w:val="en-US" w:eastAsia="zh-CN"/>
        </w:rPr>
      </w:pPr>
    </w:p>
    <w:p>
      <w:pPr>
        <w:wordWrap w:val="0"/>
        <w:spacing w:line="480" w:lineRule="exact"/>
        <w:ind w:firstLine="420" w:firstLineChars="200"/>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rPr>
        <w:t>招标平台：</w:t>
      </w:r>
      <w:r>
        <w:rPr>
          <w:rFonts w:hint="eastAsia" w:asciiTheme="minorEastAsia" w:hAnsiTheme="minorEastAsia" w:eastAsiaTheme="minorEastAsia" w:cstheme="minorEastAsia"/>
          <w:sz w:val="21"/>
          <w:szCs w:val="21"/>
          <w:highlight w:val="none"/>
          <w:lang w:eastAsia="zh-CN"/>
        </w:rPr>
        <w:t>亳州交控集团法务部（招投标中心）</w:t>
      </w:r>
    </w:p>
    <w:p>
      <w:pPr>
        <w:wordWrap w:val="0"/>
        <w:spacing w:line="48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地    址：亳州市谯城区药都大道1289号</w:t>
      </w:r>
    </w:p>
    <w:p>
      <w:pPr>
        <w:wordWrap w:val="0"/>
        <w:spacing w:line="480" w:lineRule="exact"/>
        <w:ind w:firstLine="420" w:firstLineChars="200"/>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rPr>
        <w:t>联 系 人：</w:t>
      </w:r>
      <w:r>
        <w:rPr>
          <w:rFonts w:hint="eastAsia" w:asciiTheme="minorEastAsia" w:hAnsiTheme="minorEastAsia" w:eastAsiaTheme="minorEastAsia" w:cstheme="minorEastAsia"/>
          <w:sz w:val="21"/>
          <w:szCs w:val="21"/>
          <w:highlight w:val="none"/>
          <w:lang w:eastAsia="zh-CN"/>
        </w:rPr>
        <w:t>才工</w:t>
      </w:r>
    </w:p>
    <w:p>
      <w:pPr>
        <w:wordWrap w:val="0"/>
        <w:spacing w:line="480" w:lineRule="exact"/>
        <w:ind w:firstLine="420" w:firstLineChars="200"/>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rPr>
        <w:t>电    话：</w:t>
      </w:r>
      <w:r>
        <w:rPr>
          <w:rFonts w:hint="eastAsia" w:asciiTheme="minorEastAsia" w:hAnsiTheme="minorEastAsia" w:eastAsiaTheme="minorEastAsia" w:cstheme="minorEastAsia"/>
          <w:sz w:val="21"/>
          <w:szCs w:val="21"/>
          <w:highlight w:val="none"/>
          <w:lang w:eastAsia="zh-CN"/>
        </w:rPr>
        <w:t>0558-5190035</w:t>
      </w:r>
    </w:p>
    <w:p>
      <w:pPr>
        <w:wordWrap w:val="0"/>
        <w:spacing w:line="480" w:lineRule="exact"/>
        <w:rPr>
          <w:rFonts w:hint="eastAsia" w:asciiTheme="minorEastAsia" w:hAnsiTheme="minorEastAsia" w:eastAsiaTheme="minorEastAsia" w:cstheme="minorEastAsia"/>
          <w:sz w:val="21"/>
          <w:szCs w:val="21"/>
          <w:highlight w:val="none"/>
        </w:rPr>
      </w:pPr>
    </w:p>
    <w:p>
      <w:pPr>
        <w:wordWrap w:val="0"/>
        <w:spacing w:line="480" w:lineRule="exact"/>
        <w:rPr>
          <w:rFonts w:hint="eastAsia" w:asciiTheme="minorEastAsia" w:hAnsiTheme="minorEastAsia" w:eastAsiaTheme="minorEastAsia" w:cstheme="minorEastAsia"/>
          <w:sz w:val="21"/>
          <w:szCs w:val="21"/>
          <w:highlight w:val="none"/>
        </w:rPr>
      </w:pPr>
    </w:p>
    <w:p>
      <w:pPr>
        <w:wordWrap w:val="0"/>
        <w:spacing w:line="480" w:lineRule="exact"/>
        <w:jc w:val="righ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亳州交通投资控股集团有限公司</w:t>
      </w:r>
    </w:p>
    <w:p>
      <w:pPr>
        <w:wordWrap w:val="0"/>
        <w:spacing w:line="480" w:lineRule="exact"/>
        <w:ind w:firstLine="4410" w:firstLineChars="2100"/>
        <w:jc w:val="center"/>
        <w:rPr>
          <w:rFonts w:ascii="Times New Roman" w:hAnsi="Times New Roman" w:eastAsia="仿宋_GB2312" w:cs="Times New Roman"/>
          <w:kern w:val="0"/>
          <w:sz w:val="32"/>
          <w:szCs w:val="32"/>
          <w:highlight w:val="none"/>
        </w:rPr>
      </w:pPr>
      <w:r>
        <w:rPr>
          <w:rFonts w:hint="eastAsia" w:asciiTheme="minorEastAsia" w:hAnsiTheme="minorEastAsia" w:cstheme="minorEastAsia"/>
          <w:sz w:val="21"/>
          <w:szCs w:val="21"/>
          <w:highlight w:val="none"/>
          <w:lang w:val="en-US" w:eastAsia="zh-CN"/>
        </w:rPr>
        <w:t xml:space="preserve">               </w:t>
      </w:r>
      <w:r>
        <w:rPr>
          <w:rFonts w:hint="eastAsia" w:asciiTheme="minorEastAsia" w:hAnsiTheme="minorEastAsia" w:eastAsiaTheme="minorEastAsia" w:cstheme="minorEastAsia"/>
          <w:sz w:val="21"/>
          <w:szCs w:val="21"/>
          <w:highlight w:val="none"/>
          <w:lang w:eastAsia="zh-CN"/>
        </w:rPr>
        <w:t>2020年</w:t>
      </w:r>
      <w:r>
        <w:rPr>
          <w:rFonts w:hint="eastAsia" w:asciiTheme="minorEastAsia" w:hAnsiTheme="minorEastAsia" w:eastAsiaTheme="minorEastAsia" w:cstheme="minorEastAsia"/>
          <w:sz w:val="21"/>
          <w:szCs w:val="21"/>
          <w:highlight w:val="none"/>
          <w:lang w:val="en-US" w:eastAsia="zh-CN"/>
        </w:rPr>
        <w:t>7</w:t>
      </w:r>
      <w:r>
        <w:rPr>
          <w:rFonts w:hint="eastAsia" w:asciiTheme="minorEastAsia" w:hAnsiTheme="minorEastAsia" w:eastAsiaTheme="minorEastAsia" w:cstheme="minorEastAsia"/>
          <w:sz w:val="21"/>
          <w:szCs w:val="21"/>
          <w:highlight w:val="none"/>
          <w:lang w:eastAsia="zh-CN"/>
        </w:rPr>
        <w:t>月</w:t>
      </w:r>
      <w:r>
        <w:rPr>
          <w:rFonts w:hint="eastAsia" w:asciiTheme="minorEastAsia" w:hAnsiTheme="minorEastAsia" w:eastAsiaTheme="minorEastAsia" w:cstheme="minorEastAsia"/>
          <w:sz w:val="21"/>
          <w:szCs w:val="21"/>
          <w:highlight w:val="none"/>
          <w:lang w:val="en-US" w:eastAsia="zh-CN"/>
        </w:rPr>
        <w:t>1</w:t>
      </w:r>
      <w:r>
        <w:rPr>
          <w:rFonts w:hint="eastAsia" w:asciiTheme="minorEastAsia" w:hAnsiTheme="minorEastAsia" w:cstheme="minorEastAsia"/>
          <w:sz w:val="21"/>
          <w:szCs w:val="21"/>
          <w:highlight w:val="none"/>
          <w:lang w:val="en-US" w:eastAsia="zh-CN"/>
        </w:rPr>
        <w:t>7</w:t>
      </w:r>
      <w:r>
        <w:rPr>
          <w:rFonts w:hint="eastAsia" w:asciiTheme="minorEastAsia" w:hAnsiTheme="minorEastAsia" w:eastAsiaTheme="minorEastAsia" w:cstheme="minorEastAsia"/>
          <w:sz w:val="21"/>
          <w:szCs w:val="21"/>
          <w:highlight w:val="none"/>
          <w:lang w:eastAsia="zh-CN"/>
        </w:rPr>
        <w:t>日</w:t>
      </w:r>
      <w:r>
        <w:rPr>
          <w:rFonts w:ascii="Times New Roman" w:hAnsi="Times New Roman" w:eastAsia="仿宋_GB2312" w:cs="Times New Roman"/>
          <w:kern w:val="0"/>
          <w:sz w:val="32"/>
          <w:szCs w:val="32"/>
          <w:highlight w:val="none"/>
        </w:rPr>
        <w:br w:type="page"/>
      </w:r>
    </w:p>
    <w:p>
      <w:pPr>
        <w:wordWrap w:val="0"/>
        <w:spacing w:line="480" w:lineRule="exact"/>
        <w:jc w:val="center"/>
        <w:rPr>
          <w:rFonts w:hint="eastAsia"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t>第二章 投标人须知</w:t>
      </w:r>
    </w:p>
    <w:p>
      <w:pPr>
        <w:spacing w:line="480" w:lineRule="exact"/>
        <w:rPr>
          <w:rFonts w:asciiTheme="majorEastAsia" w:hAnsiTheme="majorEastAsia" w:eastAsiaTheme="majorEastAsia" w:cstheme="majorEastAsia"/>
          <w:b/>
          <w:bCs/>
          <w:sz w:val="28"/>
          <w:szCs w:val="28"/>
          <w:highlight w:val="none"/>
        </w:rPr>
      </w:pPr>
    </w:p>
    <w:p>
      <w:pPr>
        <w:spacing w:line="480" w:lineRule="exact"/>
        <w:rPr>
          <w:rFonts w:asciiTheme="majorEastAsia" w:hAnsiTheme="majorEastAsia" w:eastAsiaTheme="majorEastAsia" w:cstheme="majorEastAsia"/>
          <w:b/>
          <w:bCs/>
          <w:sz w:val="28"/>
          <w:szCs w:val="28"/>
          <w:highlight w:val="none"/>
        </w:rPr>
      </w:pPr>
      <w:r>
        <w:rPr>
          <w:rFonts w:hint="eastAsia" w:asciiTheme="majorEastAsia" w:hAnsiTheme="majorEastAsia" w:eastAsiaTheme="majorEastAsia" w:cstheme="majorEastAsia"/>
          <w:b/>
          <w:bCs/>
          <w:sz w:val="28"/>
          <w:szCs w:val="28"/>
          <w:highlight w:val="none"/>
        </w:rPr>
        <w:t>投标人须知前附表</w:t>
      </w:r>
    </w:p>
    <w:p>
      <w:pPr>
        <w:spacing w:line="480" w:lineRule="exact"/>
        <w:rPr>
          <w:rFonts w:asciiTheme="majorEastAsia" w:hAnsiTheme="majorEastAsia" w:eastAsiaTheme="majorEastAsia" w:cstheme="majorEastAsia"/>
          <w:b/>
          <w:bCs/>
          <w:sz w:val="28"/>
          <w:szCs w:val="28"/>
          <w:highlight w:val="none"/>
        </w:rPr>
      </w:pPr>
    </w:p>
    <w:tbl>
      <w:tblPr>
        <w:tblStyle w:val="14"/>
        <w:tblW w:w="9127" w:type="dxa"/>
        <w:tblInd w:w="0" w:type="dxa"/>
        <w:tblLayout w:type="fixed"/>
        <w:tblCellMar>
          <w:top w:w="0" w:type="dxa"/>
          <w:left w:w="108" w:type="dxa"/>
          <w:bottom w:w="0" w:type="dxa"/>
          <w:right w:w="108" w:type="dxa"/>
        </w:tblCellMar>
      </w:tblPr>
      <w:tblGrid>
        <w:gridCol w:w="1008"/>
        <w:gridCol w:w="3780"/>
        <w:gridCol w:w="4339"/>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highlight w:val="none"/>
              </w:rPr>
            </w:pPr>
            <w:r>
              <w:rPr>
                <w:rFonts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highlight w:val="none"/>
              </w:rPr>
            </w:pPr>
            <w:r>
              <w:rPr>
                <w:rFonts w:ascii="Times New Roman" w:hAnsi="Times New Roman" w:cs="Times New Roman"/>
                <w:b/>
                <w:szCs w:val="21"/>
                <w:highlight w:val="none"/>
              </w:rPr>
              <w:t>条  款  名  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highlight w:val="none"/>
              </w:rPr>
            </w:pPr>
            <w:r>
              <w:rPr>
                <w:rFonts w:ascii="Times New Roman" w:hAnsi="Times New Roman" w:cs="Times New Roman"/>
                <w:b/>
                <w:szCs w:val="21"/>
                <w:highlight w:val="none"/>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招标人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招标</w:t>
            </w:r>
            <w:r>
              <w:rPr>
                <w:rFonts w:hint="eastAsia" w:ascii="Times New Roman" w:hAnsi="Times New Roman" w:cs="Times New Roman"/>
                <w:szCs w:val="21"/>
                <w:highlight w:val="none"/>
              </w:rPr>
              <w:t>平台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招标</w:t>
            </w:r>
            <w:r>
              <w:rPr>
                <w:rFonts w:ascii="Times New Roman" w:hAnsi="Times New Roman" w:cs="Times New Roman"/>
                <w:szCs w:val="21"/>
                <w:highlight w:val="none"/>
              </w:rPr>
              <w:t>项目名称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项目概况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资金来源及比例</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企业自筹，100%</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资金落实情况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招标范围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服务期限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质量</w:t>
            </w:r>
            <w:r>
              <w:rPr>
                <w:rFonts w:hint="eastAsia" w:ascii="Times New Roman" w:hAnsi="Times New Roman" w:cs="Times New Roman"/>
                <w:szCs w:val="21"/>
                <w:highlight w:val="none"/>
              </w:rPr>
              <w:t>标准</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投标人资质条件、能力</w:t>
            </w:r>
            <w:r>
              <w:rPr>
                <w:rFonts w:hint="eastAsia" w:ascii="Times New Roman" w:hAnsi="Times New Roman" w:cs="Times New Roman"/>
                <w:szCs w:val="21"/>
                <w:highlight w:val="none"/>
              </w:rPr>
              <w:t>、信誉</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1.4.2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是否接受联合体投标</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 w:val="32"/>
                <w:szCs w:val="32"/>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不</w:t>
            </w:r>
            <w:r>
              <w:rPr>
                <w:rFonts w:hint="eastAsia" w:ascii="Times New Roman" w:hAnsi="Times New Roman" w:cs="Times New Roman"/>
                <w:sz w:val="21"/>
                <w:szCs w:val="21"/>
                <w:highlight w:val="none"/>
              </w:rPr>
              <w:t>接受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1.4.3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投标人不得存在的其他情形</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imes New Roman" w:hAnsi="Times New Roman" w:cs="Times New Roman"/>
                <w:sz w:val="32"/>
                <w:szCs w:val="32"/>
                <w:highlight w:val="none"/>
              </w:rPr>
            </w:pPr>
            <w:r>
              <w:rPr>
                <w:rFonts w:hint="eastAsia" w:ascii="Times New Roman" w:hAnsi="Times New Roman" w:cs="Times New Roman"/>
                <w:sz w:val="21"/>
                <w:szCs w:val="21"/>
                <w:highlight w:val="none"/>
              </w:rPr>
              <w:t>参照相关法律法规、国家发改委印发的《标准招标文件》有关规定执行。</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1.9.1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踏勘现场</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不组织</w:t>
            </w:r>
            <w:r>
              <w:rPr>
                <w:rFonts w:hint="eastAsia" w:ascii="Times New Roman" w:hAnsi="Times New Roman" w:cs="Times New Roman"/>
                <w:sz w:val="21"/>
                <w:szCs w:val="21"/>
                <w:highlight w:val="none"/>
              </w:rPr>
              <w:t>，自行踏勘现场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1.10.1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投标预备会</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 w:val="32"/>
                <w:szCs w:val="32"/>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不召开</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1.11.1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分包</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 w:val="21"/>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 w:val="21"/>
                <w:szCs w:val="21"/>
                <w:highlight w:val="none"/>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实质性要求和条件</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imes New Roman" w:hAnsi="Times New Roman" w:cs="Times New Roman"/>
                <w:sz w:val="21"/>
                <w:szCs w:val="21"/>
                <w:highlight w:val="none"/>
              </w:rPr>
            </w:pPr>
            <w:r>
              <w:rPr>
                <w:rFonts w:hint="eastAsia" w:ascii="Times New Roman" w:hAnsi="Times New Roman" w:cs="Times New Roman"/>
                <w:sz w:val="21"/>
                <w:szCs w:val="21"/>
                <w:highlight w:val="none"/>
              </w:rPr>
              <w:t>详见第一章招标公告、第四章合同条款及格式、第五章</w:t>
            </w:r>
            <w:r>
              <w:rPr>
                <w:rFonts w:hint="eastAsia" w:ascii="Times New Roman" w:hAnsi="Times New Roman" w:cs="Times New Roman"/>
                <w:sz w:val="21"/>
                <w:szCs w:val="21"/>
                <w:highlight w:val="none"/>
                <w:lang w:eastAsia="zh-CN"/>
              </w:rPr>
              <w:t>招标人要求</w:t>
            </w:r>
            <w:r>
              <w:rPr>
                <w:rFonts w:hint="eastAsia" w:ascii="Times New Roman" w:hAnsi="Times New Roman" w:cs="Times New Roman"/>
                <w:sz w:val="21"/>
                <w:szCs w:val="21"/>
                <w:highlight w:val="none"/>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w:t>
            </w:r>
            <w:r>
              <w:rPr>
                <w:rFonts w:hint="eastAsia" w:ascii="Times New Roman" w:hAnsi="Times New Roman" w:cs="Times New Roman"/>
                <w:szCs w:val="21"/>
                <w:highlight w:val="none"/>
              </w:rPr>
              <w:t>12.3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偏离</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imes New Roman" w:hAnsi="Times New Roman" w:cs="Times New Roman"/>
                <w:sz w:val="21"/>
                <w:szCs w:val="21"/>
                <w:highlight w:val="none"/>
              </w:rPr>
            </w:pPr>
            <w:r>
              <w:rPr>
                <w:rFonts w:ascii="Times New Roman" w:hAnsi="Times New Roman" w:cs="Times New Roman"/>
                <w:sz w:val="21"/>
                <w:szCs w:val="21"/>
                <w:highlight w:val="none"/>
              </w:rPr>
              <w:t>评标委员会可根据具体情况要求投标人对细微偏差进行澄清，作为评标参考依据。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构成招标文件的其他材料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2.2.1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投标人要求澄清招标文件</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2.2.2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招标文件澄清、修改及补充发出的形式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u w:val="single"/>
              </w:rPr>
            </w:pPr>
            <w:r>
              <w:rPr>
                <w:rFonts w:hint="eastAsia" w:ascii="Times New Roman" w:hAnsi="Times New Roman" w:cs="Times New Roman"/>
                <w:szCs w:val="21"/>
                <w:highlight w:val="none"/>
              </w:rPr>
              <w:t>投标截止时间前，招标文件的澄清、修改及补充等将在亳州交通投资控股集团有限公司官网（www.bzjkjt.com）上进行发布。</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2.2.3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投标人确认收到招标文件澄清、修改及补充的时间与形式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招标文件的澄清、修改及补充在亳州交通投资控股集团有限公司官网（www.bzjkjt.com）上的发布时间，视为投标人确认收到招标文件澄清、修改及补充的时间。</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b/>
                <w:bCs/>
                <w:szCs w:val="21"/>
                <w:highlight w:val="none"/>
              </w:rPr>
              <w:t>投标人报名投标的时间与形式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2" w:firstLineChars="200"/>
              <w:rPr>
                <w:rFonts w:ascii="Times New Roman" w:hAnsi="Times New Roman" w:cs="Times New Roman"/>
                <w:szCs w:val="21"/>
                <w:highlight w:val="none"/>
              </w:rPr>
            </w:pPr>
            <w:r>
              <w:rPr>
                <w:rFonts w:hint="eastAsia" w:asciiTheme="minorEastAsia" w:hAnsiTheme="minorEastAsia" w:cstheme="minorEastAsia"/>
                <w:b/>
                <w:bCs/>
                <w:szCs w:val="21"/>
              </w:rPr>
              <w:t>2020年7月</w:t>
            </w:r>
            <w:r>
              <w:rPr>
                <w:rFonts w:hint="eastAsia" w:asciiTheme="minorEastAsia" w:hAnsiTheme="minorEastAsia" w:cstheme="minorEastAsia"/>
                <w:b/>
                <w:bCs/>
                <w:szCs w:val="21"/>
                <w:lang w:val="en-US" w:eastAsia="zh-CN"/>
              </w:rPr>
              <w:t>22</w:t>
            </w:r>
            <w:r>
              <w:rPr>
                <w:rFonts w:hint="eastAsia" w:asciiTheme="minorEastAsia" w:hAnsiTheme="minorEastAsia" w:cstheme="minorEastAsia"/>
                <w:b/>
                <w:bCs/>
                <w:szCs w:val="21"/>
              </w:rPr>
              <w:t>日17时30分前</w:t>
            </w:r>
            <w:r>
              <w:rPr>
                <w:rFonts w:hint="eastAsia" w:asciiTheme="minorEastAsia" w:hAnsiTheme="minorEastAsia" w:cstheme="minorEastAsia"/>
                <w:szCs w:val="21"/>
              </w:rPr>
              <w:t>，投标人的</w:t>
            </w:r>
            <w:r>
              <w:rPr>
                <w:rFonts w:hint="eastAsia" w:asciiTheme="minorEastAsia" w:hAnsiTheme="minorEastAsia" w:cstheme="minorEastAsia"/>
                <w:b/>
                <w:bCs/>
                <w:szCs w:val="21"/>
              </w:rPr>
              <w:t>投标意向确认书</w:t>
            </w:r>
            <w:r>
              <w:rPr>
                <w:rFonts w:hint="eastAsia" w:asciiTheme="minorEastAsia" w:hAnsiTheme="minorEastAsia" w:cstheme="minorEastAsia"/>
                <w:szCs w:val="21"/>
              </w:rPr>
              <w:t>扫描件发送至招标人</w:t>
            </w:r>
            <w:r>
              <w:rPr>
                <w:rFonts w:hint="eastAsia" w:asciiTheme="minorEastAsia" w:hAnsiTheme="minorEastAsia" w:cstheme="minorEastAsia"/>
                <w:b/>
                <w:bCs/>
                <w:szCs w:val="21"/>
              </w:rPr>
              <w:t>指定邮箱2998147858@qq.com</w:t>
            </w:r>
            <w:r>
              <w:rPr>
                <w:rFonts w:hint="eastAsia" w:asciiTheme="minorEastAsia" w:hAnsiTheme="minorEastAsia" w:cstheme="minorEastAsia"/>
                <w:szCs w:val="21"/>
              </w:rPr>
              <w:t>，无需以纸质形式回复，</w:t>
            </w:r>
            <w:r>
              <w:rPr>
                <w:rFonts w:hint="eastAsia" w:asciiTheme="minorEastAsia" w:hAnsiTheme="minorEastAsia" w:cstheme="minorEastAsia"/>
                <w:b/>
                <w:bCs/>
                <w:szCs w:val="21"/>
              </w:rPr>
              <w:t>邮件到达时间视为投标人确认时间</w:t>
            </w:r>
            <w:r>
              <w:rPr>
                <w:rFonts w:hint="eastAsia" w:asciiTheme="minorEastAsia" w:hAnsiTheme="minorEastAsia" w:cstheme="minorEastAsia"/>
                <w:szCs w:val="21"/>
              </w:rPr>
              <w:t>。否则，造成的一切后果由投标人自行承担。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构成投标文件的其他材料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增值税税金的计算方法</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投标报价应包括国家规定的增值税税金，增值税税金按一般计税方法计算。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b/>
                <w:bCs/>
                <w:szCs w:val="21"/>
                <w:highlight w:val="none"/>
              </w:rPr>
              <w:t>报价方式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hint="eastAsia" w:ascii="Times New Roman" w:hAnsi="Times New Roman" w:cs="Times New Roman" w:eastAsiaTheme="minorEastAsia"/>
                <w:szCs w:val="21"/>
                <w:highlight w:val="none"/>
                <w:lang w:eastAsia="zh-CN"/>
              </w:rPr>
            </w:pPr>
            <w:r>
              <w:rPr>
                <w:rFonts w:hint="eastAsia" w:ascii="Times New Roman" w:hAnsi="Times New Roman" w:cs="Times New Roman" w:eastAsiaTheme="minorEastAsia"/>
                <w:b/>
                <w:bCs/>
                <w:szCs w:val="21"/>
                <w:highlight w:val="none"/>
                <w:lang w:eastAsia="zh-CN"/>
              </w:rPr>
              <w:t>实施开发阶段费用按固定总价报价，后期年维护费以实施开发阶段费为基数按比率报价。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最高投标限价</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有，最高投标限价：详见第一章招标公告。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3.2.5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投标报价的其他要求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投标有效期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投标截止之日起</w:t>
            </w:r>
            <w:r>
              <w:rPr>
                <w:rFonts w:ascii="Times New Roman" w:hAnsi="Times New Roman" w:cs="Times New Roman"/>
                <w:szCs w:val="21"/>
                <w:highlight w:val="none"/>
                <w:u w:val="single"/>
              </w:rPr>
              <w:t>90</w:t>
            </w:r>
            <w:r>
              <w:rPr>
                <w:rFonts w:ascii="Times New Roman" w:hAnsi="Times New Roman" w:cs="Times New Roman"/>
                <w:szCs w:val="21"/>
                <w:highlight w:val="none"/>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 w:val="32"/>
                <w:szCs w:val="32"/>
                <w:highlight w:val="none"/>
              </w:rPr>
            </w:pPr>
            <w:r>
              <w:rPr>
                <w:rFonts w:hint="eastAsia" w:ascii="Times New Roman" w:hAnsi="Times New Roman" w:cs="Times New Roman"/>
                <w:szCs w:val="21"/>
                <w:highlight w:val="none"/>
              </w:rPr>
              <w:t>是否要求投标人递交投标保证金：</w:t>
            </w:r>
          </w:p>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Cs w:val="21"/>
                <w:highlight w:val="none"/>
              </w:rPr>
              <w:t>要求</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投标保证金的形式：银行汇款或转账</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投标保证金的金额：人民币（大写）</w:t>
            </w:r>
            <w:r>
              <w:rPr>
                <w:rFonts w:hint="eastAsia" w:ascii="Times New Roman" w:hAnsi="Times New Roman" w:cs="Times New Roman"/>
                <w:b/>
                <w:bCs/>
                <w:szCs w:val="21"/>
                <w:highlight w:val="none"/>
                <w:lang w:eastAsia="zh-CN"/>
              </w:rPr>
              <w:t>贰万玖仟</w:t>
            </w:r>
            <w:r>
              <w:rPr>
                <w:rFonts w:hint="eastAsia" w:ascii="Times New Roman" w:hAnsi="Times New Roman" w:cs="Times New Roman"/>
                <w:szCs w:val="21"/>
                <w:highlight w:val="none"/>
              </w:rPr>
              <w:t>元</w:t>
            </w:r>
            <w:r>
              <w:rPr>
                <w:rFonts w:ascii="Times New Roman" w:hAnsi="Times New Roman" w:cs="Times New Roman"/>
                <w:szCs w:val="21"/>
                <w:highlight w:val="none"/>
              </w:rPr>
              <w:t>整，（小写）</w:t>
            </w:r>
            <w:r>
              <w:rPr>
                <w:rFonts w:hint="eastAsia" w:ascii="Times New Roman" w:hAnsi="Times New Roman" w:cs="Times New Roman"/>
                <w:b/>
                <w:bCs/>
                <w:szCs w:val="21"/>
                <w:highlight w:val="none"/>
                <w:lang w:val="en-US" w:eastAsia="zh-CN"/>
              </w:rPr>
              <w:t>29000</w:t>
            </w:r>
            <w:r>
              <w:rPr>
                <w:rFonts w:ascii="Times New Roman" w:hAnsi="Times New Roman" w:cs="Times New Roman"/>
                <w:szCs w:val="21"/>
                <w:highlight w:val="none"/>
              </w:rPr>
              <w:t>元。</w:t>
            </w:r>
          </w:p>
          <w:p>
            <w:pPr>
              <w:wordWrap w:val="0"/>
              <w:spacing w:line="430" w:lineRule="exact"/>
              <w:rPr>
                <w:rFonts w:ascii="Times New Roman" w:hAnsi="Times New Roman" w:cs="Times New Roman"/>
                <w:b/>
                <w:bCs/>
                <w:szCs w:val="21"/>
                <w:highlight w:val="none"/>
              </w:rPr>
            </w:pPr>
            <w:r>
              <w:rPr>
                <w:rFonts w:ascii="Times New Roman" w:hAnsi="Times New Roman" w:cs="Times New Roman"/>
                <w:b/>
                <w:bCs/>
                <w:szCs w:val="21"/>
                <w:highlight w:val="none"/>
              </w:rPr>
              <w:t>收取投标保证金的账号信息：</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开户名称：亳州交通投资控股集团有限公司</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开户银行：中国农业银行亳州分行营业部</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银行账号：12670801040009482</w:t>
            </w:r>
          </w:p>
          <w:p>
            <w:pPr>
              <w:wordWrap w:val="0"/>
              <w:spacing w:line="430" w:lineRule="exact"/>
              <w:rPr>
                <w:rFonts w:ascii="Times New Roman" w:hAnsi="Times New Roman" w:cs="Times New Roman"/>
                <w:szCs w:val="21"/>
                <w:highlight w:val="none"/>
              </w:rPr>
            </w:pPr>
          </w:p>
          <w:p>
            <w:pPr>
              <w:wordWrap w:val="0"/>
              <w:spacing w:line="430" w:lineRule="exact"/>
              <w:rPr>
                <w:rFonts w:ascii="Times New Roman" w:hAnsi="Times New Roman" w:cs="Times New Roman"/>
                <w:b/>
                <w:bCs/>
                <w:szCs w:val="21"/>
                <w:highlight w:val="none"/>
              </w:rPr>
            </w:pPr>
            <w:r>
              <w:rPr>
                <w:rFonts w:ascii="Times New Roman" w:hAnsi="Times New Roman" w:cs="Times New Roman"/>
                <w:b/>
                <w:bCs/>
                <w:szCs w:val="21"/>
                <w:highlight w:val="none"/>
              </w:rPr>
              <w:t>其他要求：</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rPr>
              <w:t>“</w:t>
            </w:r>
            <w:r>
              <w:rPr>
                <w:rFonts w:hint="eastAsia" w:ascii="Times New Roman" w:hAnsi="Times New Roman" w:cs="Times New Roman"/>
                <w:b/>
                <w:bCs/>
                <w:szCs w:val="21"/>
                <w:highlight w:val="none"/>
                <w:lang w:eastAsia="zh-CN"/>
              </w:rPr>
              <w:t>BZJK-2020-027号</w:t>
            </w:r>
            <w:r>
              <w:rPr>
                <w:rFonts w:hint="eastAsia" w:ascii="Times New Roman" w:hAnsi="Times New Roman" w:cs="Times New Roman"/>
                <w:b/>
                <w:bCs/>
                <w:szCs w:val="21"/>
                <w:highlight w:val="none"/>
              </w:rPr>
              <w:t>保证金</w:t>
            </w:r>
            <w:r>
              <w:rPr>
                <w:rFonts w:hint="eastAsia" w:ascii="Times New Roman" w:hAnsi="Times New Roman" w:cs="Times New Roman"/>
                <w:szCs w:val="21"/>
                <w:highlight w:val="none"/>
              </w:rPr>
              <w:t>”</w:t>
            </w:r>
            <w:r>
              <w:rPr>
                <w:rFonts w:ascii="Times New Roman" w:hAnsi="Times New Roman" w:cs="Times New Roman"/>
                <w:szCs w:val="21"/>
                <w:highlight w:val="none"/>
              </w:rPr>
              <w:t>，否则</w:t>
            </w:r>
            <w:r>
              <w:rPr>
                <w:rFonts w:hint="eastAsia" w:ascii="Times New Roman" w:hAnsi="Times New Roman" w:cs="Times New Roman"/>
                <w:szCs w:val="21"/>
                <w:highlight w:val="none"/>
              </w:rPr>
              <w:t>，</w:t>
            </w:r>
            <w:r>
              <w:rPr>
                <w:rFonts w:ascii="Times New Roman" w:hAnsi="Times New Roman" w:cs="Times New Roman"/>
                <w:szCs w:val="21"/>
                <w:highlight w:val="none"/>
              </w:rPr>
              <w:t>责任自负。</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wordWrap w:val="0"/>
              <w:spacing w:line="430" w:lineRule="exact"/>
              <w:ind w:firstLine="420" w:firstLineChars="200"/>
              <w:rPr>
                <w:rFonts w:ascii="Times New Roman" w:hAnsi="Times New Roman" w:cs="Times New Roman"/>
                <w:szCs w:val="21"/>
                <w:highlight w:val="none"/>
              </w:rPr>
            </w:pPr>
          </w:p>
          <w:p>
            <w:pPr>
              <w:wordWrap w:val="0"/>
              <w:spacing w:line="430" w:lineRule="exact"/>
              <w:rPr>
                <w:rFonts w:ascii="Times New Roman" w:hAnsi="Times New Roman" w:cs="Times New Roman"/>
                <w:b/>
                <w:bCs/>
                <w:szCs w:val="21"/>
                <w:highlight w:val="none"/>
              </w:rPr>
            </w:pPr>
            <w:r>
              <w:rPr>
                <w:rFonts w:ascii="Times New Roman" w:hAnsi="Times New Roman" w:cs="Times New Roman"/>
                <w:b/>
                <w:bCs/>
                <w:szCs w:val="21"/>
                <w:highlight w:val="none"/>
              </w:rPr>
              <w:t>投标保证金</w:t>
            </w:r>
            <w:r>
              <w:rPr>
                <w:rFonts w:hint="eastAsia" w:ascii="Times New Roman" w:hAnsi="Times New Roman" w:cs="Times New Roman"/>
                <w:b/>
                <w:bCs/>
                <w:szCs w:val="21"/>
                <w:highlight w:val="none"/>
              </w:rPr>
              <w:t>的</w:t>
            </w:r>
            <w:r>
              <w:rPr>
                <w:rFonts w:ascii="Times New Roman" w:hAnsi="Times New Roman" w:cs="Times New Roman"/>
                <w:b/>
                <w:bCs/>
                <w:szCs w:val="21"/>
                <w:highlight w:val="none"/>
              </w:rPr>
              <w:t>退还（无息）：</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（1）招标不成功（或开标现场拒收投标文件）的，5日内直接退还至该投标人汇出帐户。</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rPr>
              <w:t>在</w:t>
            </w:r>
            <w:r>
              <w:rPr>
                <w:rFonts w:ascii="Times New Roman" w:hAnsi="Times New Roman" w:cs="Times New Roman"/>
                <w:szCs w:val="21"/>
                <w:highlight w:val="none"/>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3.4.4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其他不予退还投标保证金的情形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1.中标人无正当理由不与招标人订立合同，在签订合同时向招标人提出附加条件，或者不按照招标文件要求提交履约保证金的，取消其中标资格，投标保证金不予退还；</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2.投标人采用不正当手段（串通投标、弄虚作假、行贿等）骗取中标的；</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3.投标人经评标委员会认定为异常低价竞标或不以中标为目的的投标的；</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4.投标人在投标有效期内撤回投标文件的；</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5.国家法律法规规定的其他情形。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资格审查资料的特殊要求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b/>
                <w:bCs/>
                <w:szCs w:val="21"/>
                <w:highlight w:val="none"/>
              </w:rPr>
              <w:t>近年财务状况的年份要求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b/>
                <w:bCs/>
                <w:szCs w:val="21"/>
                <w:highlight w:val="none"/>
                <w:u w:val="none"/>
              </w:rPr>
              <w:t>201</w:t>
            </w:r>
            <w:r>
              <w:rPr>
                <w:rFonts w:hint="eastAsia" w:ascii="Times New Roman" w:hAnsi="Times New Roman" w:cs="Times New Roman"/>
                <w:b/>
                <w:bCs/>
                <w:szCs w:val="21"/>
                <w:highlight w:val="none"/>
                <w:u w:val="none"/>
                <w:lang w:val="en-US" w:eastAsia="zh-CN"/>
              </w:rPr>
              <w:t>8</w:t>
            </w:r>
            <w:r>
              <w:rPr>
                <w:rFonts w:hint="eastAsia" w:ascii="Times New Roman" w:hAnsi="Times New Roman" w:cs="Times New Roman"/>
                <w:b/>
                <w:bCs/>
                <w:szCs w:val="21"/>
                <w:highlight w:val="none"/>
                <w:u w:val="none"/>
              </w:rPr>
              <w:t>年至201</w:t>
            </w:r>
            <w:r>
              <w:rPr>
                <w:rFonts w:hint="eastAsia" w:ascii="Times New Roman" w:hAnsi="Times New Roman" w:cs="Times New Roman"/>
                <w:b/>
                <w:bCs/>
                <w:szCs w:val="21"/>
                <w:highlight w:val="none"/>
                <w:u w:val="none"/>
                <w:lang w:val="en-US" w:eastAsia="zh-CN"/>
              </w:rPr>
              <w:t>9</w:t>
            </w:r>
            <w:r>
              <w:rPr>
                <w:rFonts w:hint="eastAsia" w:ascii="Times New Roman" w:hAnsi="Times New Roman" w:cs="Times New Roman"/>
                <w:b/>
                <w:bCs/>
                <w:szCs w:val="21"/>
                <w:highlight w:val="none"/>
                <w:u w:val="none"/>
              </w:rPr>
              <w:t>年</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b/>
                <w:bCs/>
                <w:szCs w:val="21"/>
                <w:highlight w:val="none"/>
              </w:rPr>
              <w:t>近年完成的类似项目情况的时间要求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hint="eastAsia" w:ascii="Times New Roman" w:hAnsi="Times New Roman" w:cs="Times New Roman" w:eastAsiaTheme="minorEastAsia"/>
                <w:szCs w:val="21"/>
                <w:highlight w:val="none"/>
                <w:lang w:eastAsia="zh-CN"/>
              </w:rPr>
            </w:pPr>
            <w:r>
              <w:rPr>
                <w:rFonts w:hint="eastAsia" w:ascii="Times New Roman" w:hAnsi="Times New Roman" w:cs="Times New Roman"/>
                <w:b/>
                <w:bCs/>
                <w:szCs w:val="21"/>
                <w:highlight w:val="none"/>
                <w:lang w:eastAsia="zh-CN"/>
              </w:rPr>
              <w:t>2017年1月1日至今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b/>
                <w:bCs/>
                <w:szCs w:val="21"/>
                <w:highlight w:val="none"/>
              </w:rPr>
              <w:t>近年发生的诉讼及仲裁情况的时间要求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hint="eastAsia" w:ascii="Times New Roman" w:hAnsi="Times New Roman" w:cs="Times New Roman" w:eastAsiaTheme="minorEastAsia"/>
                <w:szCs w:val="21"/>
                <w:highlight w:val="none"/>
                <w:lang w:eastAsia="zh-CN"/>
              </w:rPr>
            </w:pPr>
            <w:r>
              <w:rPr>
                <w:rFonts w:hint="eastAsia" w:ascii="Times New Roman" w:hAnsi="Times New Roman" w:cs="Times New Roman"/>
                <w:b/>
                <w:bCs/>
                <w:szCs w:val="21"/>
                <w:highlight w:val="none"/>
                <w:lang w:eastAsia="zh-CN"/>
              </w:rPr>
              <w:t>2017年1月1日至今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是否允许递交备选投标方案</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3.7.3A（2）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投标文件份数及其他要求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b/>
                <w:bCs/>
                <w:szCs w:val="21"/>
                <w:highlight w:val="none"/>
              </w:rPr>
            </w:pPr>
            <w:r>
              <w:rPr>
                <w:rFonts w:hint="eastAsia" w:ascii="Times New Roman" w:hAnsi="Times New Roman" w:cs="Times New Roman"/>
                <w:b/>
                <w:bCs/>
                <w:szCs w:val="21"/>
                <w:highlight w:val="none"/>
              </w:rPr>
              <w:t>投标文件份数：正本1份、副本</w:t>
            </w:r>
            <w:r>
              <w:rPr>
                <w:rFonts w:hint="eastAsia" w:ascii="Times New Roman" w:hAnsi="Times New Roman" w:cs="Times New Roman"/>
                <w:b/>
                <w:bCs/>
                <w:szCs w:val="21"/>
                <w:highlight w:val="none"/>
                <w:lang w:val="en-US" w:eastAsia="zh-CN"/>
              </w:rPr>
              <w:t>4</w:t>
            </w:r>
            <w:r>
              <w:rPr>
                <w:rFonts w:hint="eastAsia" w:ascii="Times New Roman" w:hAnsi="Times New Roman" w:cs="Times New Roman"/>
                <w:b/>
                <w:bCs/>
                <w:szCs w:val="21"/>
                <w:highlight w:val="none"/>
              </w:rPr>
              <w:t>份</w:t>
            </w:r>
          </w:p>
          <w:p>
            <w:pPr>
              <w:wordWrap w:val="0"/>
              <w:spacing w:line="430" w:lineRule="exact"/>
              <w:rPr>
                <w:rFonts w:hint="eastAsia" w:ascii="Times New Roman" w:hAnsi="Times New Roman" w:cs="Times New Roman"/>
                <w:b/>
                <w:bCs/>
                <w:szCs w:val="21"/>
                <w:highlight w:val="none"/>
              </w:rPr>
            </w:pPr>
            <w:r>
              <w:rPr>
                <w:rFonts w:hint="eastAsia" w:ascii="Times New Roman" w:hAnsi="Times New Roman" w:cs="Times New Roman"/>
                <w:b/>
                <w:bCs/>
                <w:szCs w:val="21"/>
                <w:highlight w:val="none"/>
              </w:rPr>
              <w:t>是否要求提交电子版文件</w:t>
            </w:r>
            <w:r>
              <w:rPr>
                <w:rFonts w:hint="eastAsia" w:ascii="Times New Roman" w:hAnsi="Times New Roman" w:cs="Times New Roman"/>
                <w:szCs w:val="21"/>
                <w:highlight w:val="none"/>
              </w:rPr>
              <w:t>：</w:t>
            </w:r>
            <w:r>
              <w:rPr>
                <w:rFonts w:hint="eastAsia" w:ascii="Times New Roman" w:hAnsi="Times New Roman" w:cs="Times New Roman"/>
                <w:b/>
                <w:bCs/>
                <w:szCs w:val="21"/>
                <w:highlight w:val="none"/>
              </w:rPr>
              <w:t>是，以U盘形式提交。</w:t>
            </w:r>
          </w:p>
          <w:p>
            <w:pPr>
              <w:wordWrap w:val="0"/>
              <w:spacing w:line="430" w:lineRule="exact"/>
              <w:rPr>
                <w:rFonts w:hint="default" w:ascii="Times New Roman" w:hAnsi="Times New Roman" w:cs="Times New Roman" w:eastAsiaTheme="minorEastAsia"/>
                <w:b/>
                <w:bCs/>
                <w:szCs w:val="21"/>
                <w:highlight w:val="none"/>
                <w:lang w:val="en-US" w:eastAsia="zh-CN"/>
              </w:rPr>
            </w:pPr>
            <w:r>
              <w:rPr>
                <w:rFonts w:hint="eastAsia" w:ascii="Times New Roman" w:hAnsi="Times New Roman" w:cs="Times New Roman"/>
                <w:szCs w:val="21"/>
                <w:highlight w:val="none"/>
              </w:rPr>
              <w:t>是否要求现场述标：</w:t>
            </w:r>
            <w:r>
              <w:rPr>
                <w:rFonts w:hint="eastAsia" w:ascii="Times New Roman" w:hAnsi="Times New Roman" w:cs="Times New Roman"/>
                <w:b/>
                <w:bCs/>
                <w:szCs w:val="21"/>
                <w:highlight w:val="none"/>
              </w:rPr>
              <w:t>是，</w:t>
            </w:r>
            <w:r>
              <w:rPr>
                <w:rFonts w:hint="eastAsia" w:ascii="Times New Roman" w:hAnsi="Times New Roman" w:cs="Times New Roman"/>
                <w:b/>
                <w:bCs/>
                <w:szCs w:val="21"/>
                <w:highlight w:val="none"/>
                <w:lang w:eastAsia="zh-CN"/>
              </w:rPr>
              <w:t>投标人</w:t>
            </w:r>
            <w:r>
              <w:rPr>
                <w:rFonts w:hint="eastAsia" w:ascii="Times New Roman" w:hAnsi="Times New Roman" w:cs="Times New Roman"/>
                <w:b/>
                <w:bCs/>
                <w:szCs w:val="21"/>
                <w:highlight w:val="none"/>
              </w:rPr>
              <w:t>自行准备演示</w:t>
            </w:r>
            <w:r>
              <w:rPr>
                <w:rFonts w:hint="eastAsia" w:ascii="Times New Roman" w:hAnsi="Times New Roman" w:cs="Times New Roman"/>
                <w:b/>
                <w:bCs/>
                <w:szCs w:val="21"/>
                <w:highlight w:val="none"/>
                <w:lang w:eastAsia="zh-CN"/>
              </w:rPr>
              <w:t>文稿放入提交的</w:t>
            </w:r>
            <w:r>
              <w:rPr>
                <w:rFonts w:hint="eastAsia" w:ascii="Times New Roman" w:hAnsi="Times New Roman" w:cs="Times New Roman"/>
                <w:b/>
                <w:bCs/>
                <w:szCs w:val="21"/>
                <w:highlight w:val="none"/>
                <w:lang w:val="en-US" w:eastAsia="zh-CN"/>
              </w:rPr>
              <w:t>U盘中</w:t>
            </w:r>
            <w:r>
              <w:rPr>
                <w:rFonts w:hint="eastAsia" w:ascii="Times New Roman" w:hAnsi="Times New Roman" w:cs="Times New Roman"/>
                <w:b/>
                <w:bCs/>
                <w:szCs w:val="21"/>
                <w:highlight w:val="none"/>
                <w:lang w:eastAsia="zh-CN"/>
              </w:rPr>
              <w:t>，每家投标人述标时间不超过</w:t>
            </w:r>
            <w:r>
              <w:rPr>
                <w:rFonts w:hint="eastAsia" w:ascii="Times New Roman" w:hAnsi="Times New Roman" w:cs="Times New Roman"/>
                <w:b/>
                <w:bCs/>
                <w:szCs w:val="21"/>
                <w:highlight w:val="none"/>
                <w:lang w:val="en-US" w:eastAsia="zh-CN"/>
              </w:rPr>
              <w:t>15min。</w:t>
            </w:r>
          </w:p>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其他要求：</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（1）所有正本与副本封装在一个密封袋中，且在投标文件封面标明“正本”或“副本”的字样；</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（2）投标文件应按要求密封，密封袋封口加盖投标单位印章；</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3.7.3A（3）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投标文件是否需分册装订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不需要</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投标文件所附证书证件要求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2" w:firstLineChars="200"/>
              <w:rPr>
                <w:rFonts w:ascii="Times New Roman" w:hAnsi="Times New Roman" w:cs="Times New Roman"/>
                <w:szCs w:val="21"/>
                <w:highlight w:val="none"/>
              </w:rPr>
            </w:pPr>
            <w:r>
              <w:rPr>
                <w:rFonts w:hint="eastAsia" w:ascii="Times New Roman" w:hAnsi="Times New Roman" w:cs="Times New Roman"/>
                <w:b/>
                <w:bCs/>
                <w:szCs w:val="21"/>
                <w:highlight w:val="none"/>
              </w:rPr>
              <w:t>证书的复印件或扫描件，加盖投标人单位公章，装订入投标文件中。</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w:t>
            </w:r>
            <w:r>
              <w:rPr>
                <w:rFonts w:hint="eastAsia" w:ascii="Times New Roman" w:hAnsi="Times New Roman" w:cs="Times New Roman"/>
                <w:szCs w:val="21"/>
                <w:highlight w:val="none"/>
              </w:rPr>
              <w:t>7</w:t>
            </w:r>
            <w:r>
              <w:rPr>
                <w:rFonts w:ascii="Times New Roman" w:hAnsi="Times New Roman" w:cs="Times New Roman"/>
                <w:szCs w:val="21"/>
                <w:highlight w:val="none"/>
              </w:rPr>
              <w:t>.3</w:t>
            </w:r>
            <w:r>
              <w:rPr>
                <w:rFonts w:hint="eastAsia" w:ascii="Times New Roman" w:hAnsi="Times New Roman" w:cs="Times New Roman"/>
                <w:szCs w:val="21"/>
                <w:highlight w:val="none"/>
              </w:rPr>
              <w:t>（B）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w:t>
            </w:r>
            <w:r>
              <w:rPr>
                <w:rFonts w:ascii="Times New Roman" w:hAnsi="Times New Roman" w:cs="Times New Roman"/>
                <w:szCs w:val="21"/>
                <w:highlight w:val="none"/>
              </w:rPr>
              <w:t>签字或盖章要求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4.1.2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封套上应载明的信息</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招标人名称：</w:t>
            </w:r>
            <w:r>
              <w:rPr>
                <w:rFonts w:hint="eastAsia" w:ascii="Times New Roman" w:hAnsi="Times New Roman" w:cs="Times New Roman"/>
                <w:szCs w:val="21"/>
                <w:highlight w:val="none"/>
              </w:rPr>
              <w:t>亳州交通投资控股集团有限公司</w:t>
            </w:r>
          </w:p>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开标</w:t>
            </w:r>
            <w:r>
              <w:rPr>
                <w:rFonts w:ascii="Times New Roman" w:hAnsi="Times New Roman" w:cs="Times New Roman"/>
                <w:szCs w:val="21"/>
                <w:highlight w:val="none"/>
              </w:rPr>
              <w:t>地址：</w:t>
            </w:r>
            <w:r>
              <w:rPr>
                <w:rFonts w:hint="eastAsia" w:ascii="Times New Roman" w:hAnsi="Times New Roman" w:cs="Times New Roman"/>
                <w:szCs w:val="21"/>
                <w:highlight w:val="none"/>
              </w:rPr>
              <w:t>亳州市谯城区药都大道1289号</w:t>
            </w:r>
          </w:p>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u w:val="single"/>
                <w:lang w:eastAsia="zh-CN"/>
              </w:rPr>
              <w:t>亳州交通投资控股集团有限公司财务共享中心项目</w:t>
            </w:r>
            <w:r>
              <w:rPr>
                <w:rFonts w:ascii="Times New Roman" w:hAnsi="Times New Roman" w:cs="Times New Roman"/>
                <w:szCs w:val="21"/>
                <w:highlight w:val="none"/>
              </w:rPr>
              <w:t>投标文件</w:t>
            </w:r>
          </w:p>
          <w:p>
            <w:pPr>
              <w:wordWrap w:val="0"/>
              <w:spacing w:line="430" w:lineRule="exact"/>
              <w:ind w:firstLine="420" w:firstLineChars="200"/>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rPr>
              <w:t>招标项目编号：</w:t>
            </w:r>
            <w:r>
              <w:rPr>
                <w:rFonts w:hint="eastAsia" w:ascii="Times New Roman" w:hAnsi="Times New Roman" w:cs="Times New Roman"/>
                <w:szCs w:val="21"/>
                <w:highlight w:val="none"/>
                <w:lang w:eastAsia="zh-CN"/>
              </w:rPr>
              <w:t>BZJK-2020-027号</w:t>
            </w:r>
          </w:p>
          <w:p>
            <w:pPr>
              <w:wordWrap w:val="0"/>
              <w:spacing w:line="430" w:lineRule="exact"/>
              <w:ind w:firstLine="422" w:firstLineChars="200"/>
              <w:rPr>
                <w:rFonts w:ascii="Times New Roman" w:hAnsi="Times New Roman" w:cs="Times New Roman"/>
                <w:szCs w:val="21"/>
                <w:highlight w:val="none"/>
              </w:rPr>
            </w:pPr>
            <w:r>
              <w:rPr>
                <w:rFonts w:ascii="Times New Roman" w:hAnsi="Times New Roman" w:cs="Times New Roman"/>
                <w:b/>
                <w:bCs/>
                <w:szCs w:val="21"/>
                <w:highlight w:val="none"/>
              </w:rPr>
              <w:t>在</w:t>
            </w:r>
            <w:r>
              <w:rPr>
                <w:rFonts w:ascii="Times New Roman" w:hAnsi="Times New Roman" w:cs="Times New Roman"/>
                <w:b/>
                <w:bCs/>
                <w:szCs w:val="21"/>
                <w:highlight w:val="none"/>
                <w:u w:val="none"/>
              </w:rPr>
              <w:t>20</w:t>
            </w:r>
            <w:r>
              <w:rPr>
                <w:rFonts w:hint="eastAsia" w:ascii="Times New Roman" w:hAnsi="Times New Roman" w:cs="Times New Roman"/>
                <w:b/>
                <w:bCs/>
                <w:szCs w:val="21"/>
                <w:highlight w:val="none"/>
                <w:u w:val="none"/>
              </w:rPr>
              <w:t>20</w:t>
            </w:r>
            <w:r>
              <w:rPr>
                <w:rFonts w:ascii="Times New Roman" w:hAnsi="Times New Roman" w:cs="Times New Roman"/>
                <w:b/>
                <w:bCs/>
                <w:szCs w:val="21"/>
                <w:highlight w:val="none"/>
                <w:u w:val="none"/>
              </w:rPr>
              <w:t>年</w:t>
            </w:r>
            <w:r>
              <w:rPr>
                <w:rFonts w:hint="eastAsia" w:ascii="Times New Roman" w:hAnsi="Times New Roman" w:cs="Times New Roman"/>
                <w:b/>
                <w:bCs/>
                <w:szCs w:val="21"/>
                <w:highlight w:val="none"/>
                <w:u w:val="none"/>
                <w:lang w:val="en-US" w:eastAsia="zh-CN"/>
              </w:rPr>
              <w:t xml:space="preserve">7 </w:t>
            </w:r>
            <w:r>
              <w:rPr>
                <w:rFonts w:ascii="Times New Roman" w:hAnsi="Times New Roman" w:cs="Times New Roman"/>
                <w:b/>
                <w:bCs/>
                <w:szCs w:val="21"/>
                <w:highlight w:val="none"/>
                <w:u w:val="none"/>
              </w:rPr>
              <w:t>月</w:t>
            </w:r>
            <w:r>
              <w:rPr>
                <w:rFonts w:hint="eastAsia" w:ascii="Times New Roman" w:hAnsi="Times New Roman" w:cs="Times New Roman"/>
                <w:b/>
                <w:bCs/>
                <w:szCs w:val="21"/>
                <w:highlight w:val="none"/>
                <w:u w:val="none"/>
                <w:lang w:val="en-US" w:eastAsia="zh-CN"/>
              </w:rPr>
              <w:t xml:space="preserve"> 25 </w:t>
            </w:r>
            <w:r>
              <w:rPr>
                <w:rFonts w:ascii="Times New Roman" w:hAnsi="Times New Roman" w:cs="Times New Roman"/>
                <w:b/>
                <w:bCs/>
                <w:szCs w:val="21"/>
                <w:highlight w:val="none"/>
                <w:u w:val="none"/>
              </w:rPr>
              <w:t>日9时00分</w:t>
            </w:r>
            <w:r>
              <w:rPr>
                <w:rFonts w:ascii="Times New Roman" w:hAnsi="Times New Roman" w:cs="Times New Roman"/>
                <w:b/>
                <w:bCs/>
                <w:szCs w:val="21"/>
                <w:highlight w:val="none"/>
              </w:rPr>
              <w:t>前不得开启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4.2.1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投标截止时间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u w:val="none"/>
              </w:rPr>
            </w:pPr>
            <w:r>
              <w:rPr>
                <w:rFonts w:ascii="Times New Roman" w:hAnsi="Times New Roman" w:cs="Times New Roman"/>
                <w:b/>
                <w:bCs/>
                <w:szCs w:val="21"/>
                <w:highlight w:val="none"/>
                <w:u w:val="none"/>
              </w:rPr>
              <w:t>20</w:t>
            </w:r>
            <w:r>
              <w:rPr>
                <w:rFonts w:hint="eastAsia" w:ascii="Times New Roman" w:hAnsi="Times New Roman" w:cs="Times New Roman"/>
                <w:b/>
                <w:bCs/>
                <w:szCs w:val="21"/>
                <w:highlight w:val="none"/>
                <w:u w:val="none"/>
              </w:rPr>
              <w:t>20</w:t>
            </w:r>
            <w:r>
              <w:rPr>
                <w:rFonts w:ascii="Times New Roman" w:hAnsi="Times New Roman" w:cs="Times New Roman"/>
                <w:b/>
                <w:bCs/>
                <w:szCs w:val="21"/>
                <w:highlight w:val="none"/>
                <w:u w:val="none"/>
              </w:rPr>
              <w:t>年</w:t>
            </w:r>
            <w:r>
              <w:rPr>
                <w:rFonts w:hint="eastAsia" w:ascii="Times New Roman" w:hAnsi="Times New Roman" w:cs="Times New Roman"/>
                <w:b/>
                <w:bCs/>
                <w:szCs w:val="21"/>
                <w:highlight w:val="none"/>
                <w:u w:val="none"/>
                <w:lang w:val="en-US" w:eastAsia="zh-CN"/>
              </w:rPr>
              <w:t xml:space="preserve"> 7 </w:t>
            </w:r>
            <w:r>
              <w:rPr>
                <w:rFonts w:ascii="Times New Roman" w:hAnsi="Times New Roman" w:cs="Times New Roman"/>
                <w:b/>
                <w:bCs/>
                <w:szCs w:val="21"/>
                <w:highlight w:val="none"/>
                <w:u w:val="none"/>
              </w:rPr>
              <w:t>月</w:t>
            </w:r>
            <w:r>
              <w:rPr>
                <w:rFonts w:hint="eastAsia" w:ascii="Times New Roman" w:hAnsi="Times New Roman" w:cs="Times New Roman"/>
                <w:b/>
                <w:bCs/>
                <w:szCs w:val="21"/>
                <w:highlight w:val="none"/>
                <w:u w:val="none"/>
                <w:lang w:val="en-US" w:eastAsia="zh-CN"/>
              </w:rPr>
              <w:t>25</w:t>
            </w:r>
            <w:r>
              <w:rPr>
                <w:rFonts w:ascii="Times New Roman" w:hAnsi="Times New Roman" w:cs="Times New Roman"/>
                <w:b/>
                <w:bCs/>
                <w:szCs w:val="21"/>
                <w:highlight w:val="none"/>
                <w:u w:val="none"/>
              </w:rPr>
              <w:t>日9时00分</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4.2.2</w:t>
            </w:r>
            <w:r>
              <w:rPr>
                <w:rFonts w:hint="eastAsia" w:ascii="Times New Roman" w:hAnsi="Times New Roman" w:cs="Times New Roman"/>
                <w:szCs w:val="21"/>
                <w:highlight w:val="none"/>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递交投标文件地点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亳州交通投资控股集团有限公司8楼会议室（药都大道与希夷大道交叉口东北角8楼）</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4.2.3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投标文件</w:t>
            </w:r>
            <w:r>
              <w:rPr>
                <w:rFonts w:hint="eastAsia" w:ascii="Times New Roman" w:hAnsi="Times New Roman" w:cs="Times New Roman"/>
                <w:szCs w:val="21"/>
                <w:highlight w:val="none"/>
              </w:rPr>
              <w:t>是否退还</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5.1</w:t>
            </w:r>
            <w:r>
              <w:rPr>
                <w:rFonts w:hint="eastAsia" w:ascii="Times New Roman" w:hAnsi="Times New Roman" w:cs="Times New Roman"/>
                <w:szCs w:val="21"/>
                <w:highlight w:val="none"/>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开标时间和地点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开标时间：同投标截止时间</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开标地点：</w:t>
            </w:r>
            <w:r>
              <w:rPr>
                <w:rFonts w:hint="eastAsia" w:ascii="Times New Roman" w:hAnsi="Times New Roman" w:cs="Times New Roman"/>
                <w:szCs w:val="21"/>
                <w:highlight w:val="none"/>
              </w:rPr>
              <w:t>同递交投标文件地点</w:t>
            </w:r>
          </w:p>
          <w:p>
            <w:pPr>
              <w:wordWrap w:val="0"/>
              <w:spacing w:line="430" w:lineRule="exact"/>
              <w:ind w:firstLine="422" w:firstLineChars="200"/>
              <w:rPr>
                <w:rFonts w:ascii="Times New Roman" w:hAnsi="Times New Roman" w:cs="Times New Roman"/>
                <w:szCs w:val="21"/>
                <w:highlight w:val="none"/>
              </w:rPr>
            </w:pPr>
            <w:r>
              <w:rPr>
                <w:rFonts w:ascii="Times New Roman" w:hAnsi="Times New Roman" w:cs="Times New Roman"/>
                <w:b/>
                <w:bCs/>
                <w:szCs w:val="21"/>
                <w:highlight w:val="none"/>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5.2</w:t>
            </w:r>
            <w:r>
              <w:rPr>
                <w:rFonts w:hint="eastAsia" w:ascii="Times New Roman" w:hAnsi="Times New Roman" w:cs="Times New Roman"/>
                <w:szCs w:val="21"/>
                <w:highlight w:val="none"/>
              </w:rPr>
              <w:t>（4）（A）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开标程序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密封情况检查：</w:t>
            </w:r>
            <w:r>
              <w:rPr>
                <w:rFonts w:hint="eastAsia" w:ascii="Times New Roman" w:hAnsi="Times New Roman" w:cs="Times New Roman"/>
                <w:szCs w:val="21"/>
                <w:highlight w:val="none"/>
              </w:rPr>
              <w:t>由投标人代表、招标平台工作人员、监标人共同检查确认。</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6.1.1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评标委员会的组建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评标委员会构成：</w:t>
            </w:r>
            <w:r>
              <w:rPr>
                <w:rFonts w:hint="eastAsia" w:ascii="Times New Roman" w:hAnsi="Times New Roman" w:cs="Times New Roman"/>
                <w:szCs w:val="21"/>
                <w:highlight w:val="none"/>
                <w:u w:val="single"/>
              </w:rPr>
              <w:t>5</w:t>
            </w:r>
            <w:r>
              <w:rPr>
                <w:rFonts w:ascii="Times New Roman" w:hAnsi="Times New Roman" w:cs="Times New Roman"/>
                <w:szCs w:val="21"/>
                <w:highlight w:val="none"/>
              </w:rPr>
              <w:t>人，其中招标人代表</w:t>
            </w:r>
            <w:r>
              <w:rPr>
                <w:rFonts w:hint="eastAsia" w:ascii="Times New Roman" w:hAnsi="Times New Roman" w:cs="Times New Roman"/>
                <w:szCs w:val="21"/>
                <w:highlight w:val="none"/>
                <w:u w:val="single"/>
              </w:rPr>
              <w:t>1</w:t>
            </w:r>
            <w:r>
              <w:rPr>
                <w:rFonts w:ascii="Times New Roman" w:hAnsi="Times New Roman" w:cs="Times New Roman"/>
                <w:szCs w:val="21"/>
                <w:highlight w:val="none"/>
              </w:rPr>
              <w:t>人，专家</w:t>
            </w:r>
            <w:r>
              <w:rPr>
                <w:rFonts w:hint="eastAsia" w:ascii="Times New Roman" w:hAnsi="Times New Roman" w:cs="Times New Roman"/>
                <w:szCs w:val="21"/>
                <w:highlight w:val="none"/>
                <w:u w:val="single"/>
              </w:rPr>
              <w:t>4</w:t>
            </w:r>
            <w:r>
              <w:rPr>
                <w:rFonts w:ascii="Times New Roman" w:hAnsi="Times New Roman" w:cs="Times New Roman"/>
                <w:szCs w:val="21"/>
                <w:highlight w:val="none"/>
              </w:rPr>
              <w:t>人；</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评标专家确定方式：按有关规定组建。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6.3.2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评标委员会推荐中标候选人的人数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 w:val="32"/>
                <w:szCs w:val="32"/>
                <w:highlight w:val="none"/>
              </w:rPr>
            </w:pPr>
            <w:r>
              <w:rPr>
                <w:rFonts w:hint="eastAsia" w:ascii="Times New Roman" w:hAnsi="Times New Roman" w:cs="Times New Roman"/>
                <w:szCs w:val="21"/>
                <w:highlight w:val="none"/>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7.1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中标候选人公示媒介</w:t>
            </w:r>
            <w:r>
              <w:rPr>
                <w:rFonts w:hint="eastAsia" w:ascii="Times New Roman" w:hAnsi="Times New Roman" w:cs="Times New Roman"/>
                <w:szCs w:val="21"/>
                <w:highlight w:val="none"/>
              </w:rPr>
              <w:t>及期限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公示媒介：亳州交通投资控股集团有限公司官网（www.bzjkjt.com）</w:t>
            </w:r>
          </w:p>
          <w:p>
            <w:pPr>
              <w:wordWrap w:val="0"/>
              <w:spacing w:line="430" w:lineRule="exact"/>
              <w:rPr>
                <w:rFonts w:ascii="Times New Roman" w:hAnsi="Times New Roman" w:cs="Times New Roman"/>
                <w:sz w:val="32"/>
                <w:szCs w:val="32"/>
                <w:highlight w:val="none"/>
              </w:rPr>
            </w:pPr>
            <w:r>
              <w:rPr>
                <w:rFonts w:ascii="Times New Roman" w:hAnsi="Times New Roman" w:cs="Times New Roman"/>
                <w:szCs w:val="21"/>
                <w:highlight w:val="none"/>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7.</w:t>
            </w:r>
            <w:r>
              <w:rPr>
                <w:rFonts w:hint="eastAsia" w:ascii="Times New Roman" w:hAnsi="Times New Roman" w:cs="Times New Roman"/>
                <w:szCs w:val="21"/>
                <w:highlight w:val="none"/>
              </w:rPr>
              <w:t>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是否授权评标委员会确定中标人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7.6.1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履约保证金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是否要求投标人提交履约保证金：</w:t>
            </w:r>
          </w:p>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要求</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履约担保的形式：</w:t>
            </w:r>
            <w:r>
              <w:rPr>
                <w:rFonts w:hint="eastAsia" w:ascii="Times New Roman" w:hAnsi="Times New Roman" w:cs="Times New Roman"/>
                <w:b/>
                <w:bCs/>
                <w:szCs w:val="21"/>
                <w:highlight w:val="none"/>
                <w:lang w:eastAsia="zh-CN"/>
              </w:rPr>
              <w:t>汇款或银行保函形式</w:t>
            </w:r>
            <w:r>
              <w:rPr>
                <w:rFonts w:hint="eastAsia" w:ascii="Times New Roman" w:hAnsi="Times New Roman" w:cs="Times New Roman"/>
                <w:szCs w:val="21"/>
                <w:highlight w:val="none"/>
                <w:lang w:eastAsia="zh-CN"/>
              </w:rPr>
              <w:t>。</w:t>
            </w:r>
            <w:r>
              <w:rPr>
                <w:rFonts w:ascii="Times New Roman" w:hAnsi="Times New Roman" w:cs="Times New Roman"/>
                <w:szCs w:val="21"/>
                <w:highlight w:val="none"/>
              </w:rPr>
              <w:t>中标后，投标保证金自动转为履约保证金，履约保证金不足部分由中标人在收到中标通知书1</w:t>
            </w:r>
            <w:r>
              <w:rPr>
                <w:rFonts w:hint="eastAsia" w:ascii="Times New Roman" w:hAnsi="Times New Roman" w:cs="Times New Roman"/>
                <w:szCs w:val="21"/>
                <w:highlight w:val="none"/>
              </w:rPr>
              <w:t>0</w:t>
            </w:r>
            <w:r>
              <w:rPr>
                <w:rFonts w:ascii="Times New Roman" w:hAnsi="Times New Roman" w:cs="Times New Roman"/>
                <w:szCs w:val="21"/>
                <w:highlight w:val="none"/>
              </w:rPr>
              <w:t>日内从其基本账户开户行银行汇款</w:t>
            </w:r>
            <w:r>
              <w:rPr>
                <w:rFonts w:hint="eastAsia" w:ascii="Times New Roman" w:hAnsi="Times New Roman" w:cs="Times New Roman"/>
                <w:szCs w:val="21"/>
                <w:highlight w:val="none"/>
                <w:lang w:eastAsia="zh-CN"/>
              </w:rPr>
              <w:t>或保函</w:t>
            </w:r>
            <w:r>
              <w:rPr>
                <w:rFonts w:ascii="Times New Roman" w:hAnsi="Times New Roman" w:cs="Times New Roman"/>
                <w:szCs w:val="21"/>
                <w:highlight w:val="none"/>
              </w:rPr>
              <w:t>。</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履约担保的金额：</w:t>
            </w:r>
            <w:r>
              <w:rPr>
                <w:rFonts w:ascii="Times New Roman" w:hAnsi="Times New Roman" w:cs="Times New Roman"/>
                <w:b/>
                <w:bCs/>
                <w:szCs w:val="21"/>
                <w:highlight w:val="none"/>
              </w:rPr>
              <w:t>中标价的</w:t>
            </w:r>
            <w:r>
              <w:rPr>
                <w:rFonts w:hint="eastAsia" w:ascii="Times New Roman" w:hAnsi="Times New Roman" w:cs="Times New Roman"/>
                <w:b/>
                <w:bCs/>
                <w:szCs w:val="21"/>
                <w:highlight w:val="none"/>
              </w:rPr>
              <w:t>10</w:t>
            </w:r>
            <w:r>
              <w:rPr>
                <w:rFonts w:ascii="Times New Roman" w:hAnsi="Times New Roman" w:cs="Times New Roman"/>
                <w:b/>
                <w:bCs/>
                <w:szCs w:val="21"/>
                <w:highlight w:val="none"/>
              </w:rPr>
              <w:t>%</w:t>
            </w:r>
          </w:p>
          <w:p>
            <w:pPr>
              <w:wordWrap w:val="0"/>
              <w:spacing w:line="430" w:lineRule="exact"/>
              <w:rPr>
                <w:rFonts w:ascii="Times New Roman" w:hAnsi="Times New Roman" w:cs="Times New Roman"/>
                <w:sz w:val="32"/>
                <w:szCs w:val="32"/>
                <w:highlight w:val="none"/>
              </w:rPr>
            </w:pPr>
            <w:r>
              <w:rPr>
                <w:rFonts w:ascii="Times New Roman" w:hAnsi="Times New Roman" w:cs="Times New Roman"/>
                <w:szCs w:val="21"/>
                <w:highlight w:val="none"/>
              </w:rPr>
              <w:t>履约保证金的退还：</w:t>
            </w:r>
            <w:r>
              <w:rPr>
                <w:rFonts w:ascii="Times New Roman" w:hAnsi="Times New Roman" w:cs="Times New Roman"/>
                <w:b/>
                <w:bCs/>
                <w:szCs w:val="21"/>
                <w:highlight w:val="none"/>
              </w:rPr>
              <w:t>无违约行为发生或违约行为已处理的情况下，</w:t>
            </w:r>
            <w:r>
              <w:rPr>
                <w:rFonts w:hint="eastAsia" w:ascii="Times New Roman" w:hAnsi="Times New Roman" w:cs="Times New Roman"/>
                <w:b/>
                <w:bCs/>
                <w:szCs w:val="21"/>
                <w:highlight w:val="none"/>
              </w:rPr>
              <w:t>各模块满足招标人运行要求、</w:t>
            </w:r>
            <w:r>
              <w:rPr>
                <w:rFonts w:hint="eastAsia" w:ascii="Times New Roman" w:hAnsi="Times New Roman" w:cs="Times New Roman"/>
                <w:b/>
                <w:bCs/>
                <w:szCs w:val="21"/>
                <w:highlight w:val="none"/>
                <w:lang w:eastAsia="zh-CN"/>
              </w:rPr>
              <w:t>系统</w:t>
            </w:r>
            <w:r>
              <w:rPr>
                <w:rFonts w:hint="eastAsia" w:ascii="Times New Roman" w:hAnsi="Times New Roman" w:cs="Times New Roman"/>
                <w:b/>
                <w:bCs/>
                <w:szCs w:val="21"/>
                <w:highlight w:val="none"/>
              </w:rPr>
              <w:t>正式上线并经招标人最终验收合格后10个工作日内无息退还</w:t>
            </w:r>
            <w:r>
              <w:rPr>
                <w:rFonts w:ascii="Times New Roman" w:hAnsi="Times New Roman" w:cs="Times New Roman"/>
                <w:b/>
                <w:bCs/>
                <w:szCs w:val="21"/>
                <w:highlight w:val="none"/>
              </w:rPr>
              <w:t>（无息）</w:t>
            </w:r>
            <w:r>
              <w:rPr>
                <w:rFonts w:ascii="Times New Roman" w:hAnsi="Times New Roman" w:cs="Times New Roman"/>
                <w:szCs w:val="21"/>
                <w:highlight w:val="none"/>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8</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hint="eastAsia" w:ascii="Times New Roman" w:hAnsi="Times New Roman" w:cs="Times New Roman" w:eastAsiaTheme="minorEastAsia"/>
                <w:szCs w:val="21"/>
                <w:highlight w:val="none"/>
                <w:lang w:eastAsia="zh-CN"/>
              </w:rPr>
            </w:pPr>
            <w:r>
              <w:rPr>
                <w:rFonts w:hint="eastAsia" w:ascii="Times New Roman" w:hAnsi="Times New Roman" w:cs="Times New Roman"/>
                <w:b/>
                <w:bCs/>
                <w:szCs w:val="21"/>
                <w:highlight w:val="none"/>
                <w:lang w:eastAsia="zh-CN"/>
              </w:rPr>
              <w:t>特别提示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hint="eastAsia" w:ascii="Times New Roman" w:hAnsi="Times New Roman" w:cs="Times New Roman" w:eastAsiaTheme="minorEastAsia"/>
                <w:szCs w:val="21"/>
                <w:highlight w:val="none"/>
                <w:lang w:eastAsia="zh-CN"/>
              </w:rPr>
            </w:pPr>
            <w:r>
              <w:rPr>
                <w:rFonts w:hint="eastAsia" w:ascii="Times New Roman" w:hAnsi="Times New Roman" w:cs="Times New Roman"/>
                <w:b/>
                <w:bCs/>
                <w:szCs w:val="21"/>
                <w:highlight w:val="none"/>
              </w:rPr>
              <w:t>若中标人未按照合同及招标文件约定开展工作或提交的成果</w:t>
            </w:r>
            <w:r>
              <w:rPr>
                <w:rFonts w:hint="eastAsia" w:ascii="Times New Roman" w:hAnsi="Times New Roman" w:cs="Times New Roman"/>
                <w:b/>
                <w:bCs/>
                <w:szCs w:val="21"/>
                <w:highlight w:val="none"/>
                <w:lang w:eastAsia="zh-CN"/>
              </w:rPr>
              <w:t>与招标人需求</w:t>
            </w:r>
            <w:r>
              <w:rPr>
                <w:rFonts w:hint="eastAsia" w:ascii="Times New Roman" w:hAnsi="Times New Roman" w:cs="Times New Roman"/>
                <w:b/>
                <w:bCs/>
                <w:szCs w:val="21"/>
                <w:highlight w:val="none"/>
              </w:rPr>
              <w:t>存在较大差距，招标人有权单方面解除合同，不支付费用，且不承担任何法律责任</w:t>
            </w:r>
            <w:r>
              <w:rPr>
                <w:rFonts w:hint="eastAsia" w:ascii="Times New Roman" w:hAnsi="Times New Roman" w:cs="Times New Roman"/>
                <w:b/>
                <w:bCs/>
                <w:szCs w:val="21"/>
                <w:highlight w:val="none"/>
                <w:lang w:eastAsia="zh-CN"/>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9</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是否采用电子招标投标</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10</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需要补充的其他内容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（1）投标人准备和参加投标活动发生的费用自理；</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（2）所有计量均采用中华人民共和国法定计量单位；</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（3）构成本招标文件的各个组成文件应互为解释，互为说明。如有不明确或不一致的，由招标人负责解释。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8119" w:type="dxa"/>
            <w:gridSpan w:val="2"/>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w:t>
            </w:r>
          </w:p>
        </w:tc>
      </w:tr>
    </w:tbl>
    <w:p>
      <w:pPr>
        <w:wordWrap w:val="0"/>
        <w:spacing w:line="400" w:lineRule="exact"/>
        <w:ind w:firstLine="420" w:firstLineChars="200"/>
        <w:rPr>
          <w:rFonts w:ascii="Times New Roman" w:hAnsi="Times New Roman" w:cs="Times New Roman"/>
          <w:color w:val="000000"/>
          <w:highlight w:val="none"/>
        </w:rPr>
      </w:pPr>
      <w:r>
        <w:rPr>
          <w:rFonts w:hint="eastAsia" w:ascii="黑体" w:hAnsi="黑体" w:eastAsia="黑体" w:cs="黑体"/>
          <w:color w:val="000000"/>
          <w:highlight w:val="none"/>
        </w:rPr>
        <w:t>说明：</w:t>
      </w:r>
      <w:r>
        <w:rPr>
          <w:rFonts w:ascii="Times New Roman" w:hAnsi="Times New Roman" w:cs="Times New Roman"/>
          <w:color w:val="000000"/>
          <w:highlight w:val="none"/>
        </w:rPr>
        <w:t>投标人须知细则</w:t>
      </w:r>
      <w:r>
        <w:rPr>
          <w:rFonts w:hint="eastAsia" w:ascii="Times New Roman" w:hAnsi="Times New Roman" w:cs="Times New Roman"/>
          <w:color w:val="000000"/>
          <w:highlight w:val="none"/>
        </w:rPr>
        <w:t>参照</w:t>
      </w:r>
      <w:r>
        <w:rPr>
          <w:rFonts w:ascii="Times New Roman" w:hAnsi="Times New Roman" w:cs="Times New Roman"/>
          <w:color w:val="000000"/>
          <w:highlight w:val="none"/>
        </w:rPr>
        <w:t>国家发改委印发的《标准招标文件》执行。招标文件相关内容与投标人须知前附表不一致的，以投标人须知前附表为准。</w:t>
      </w:r>
    </w:p>
    <w:p>
      <w:pPr>
        <w:rPr>
          <w:rFonts w:asciiTheme="majorEastAsia" w:hAnsiTheme="majorEastAsia" w:eastAsiaTheme="majorEastAsia" w:cstheme="majorEastAsia"/>
          <w:b/>
          <w:bCs/>
          <w:sz w:val="32"/>
          <w:szCs w:val="32"/>
          <w:highlight w:val="none"/>
        </w:rPr>
      </w:pPr>
      <w:r>
        <w:rPr>
          <w:rFonts w:asciiTheme="majorEastAsia" w:hAnsiTheme="majorEastAsia" w:eastAsiaTheme="majorEastAsia" w:cstheme="majorEastAsia"/>
          <w:b/>
          <w:bCs/>
          <w:sz w:val="32"/>
          <w:szCs w:val="32"/>
          <w:highlight w:val="none"/>
        </w:rPr>
        <w:br w:type="page"/>
      </w:r>
    </w:p>
    <w:p>
      <w:pPr>
        <w:wordWrap w:val="0"/>
        <w:spacing w:line="480" w:lineRule="exact"/>
        <w:jc w:val="center"/>
        <w:rPr>
          <w:rFonts w:hint="eastAsia"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t>第三章 评标办法（综合评估法）</w:t>
      </w:r>
    </w:p>
    <w:p>
      <w:pPr>
        <w:spacing w:line="480" w:lineRule="exact"/>
        <w:jc w:val="center"/>
        <w:rPr>
          <w:rFonts w:asciiTheme="majorEastAsia" w:hAnsiTheme="majorEastAsia" w:eastAsiaTheme="majorEastAsia" w:cstheme="majorEastAsia"/>
          <w:b/>
          <w:bCs/>
          <w:sz w:val="28"/>
          <w:szCs w:val="28"/>
          <w:highlight w:val="none"/>
        </w:rPr>
      </w:pPr>
    </w:p>
    <w:p>
      <w:pPr>
        <w:spacing w:line="480" w:lineRule="exact"/>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bCs/>
          <w:sz w:val="21"/>
          <w:szCs w:val="21"/>
          <w:highlight w:val="none"/>
        </w:rPr>
        <w:t>评标办法前附表</w:t>
      </w:r>
      <w:bookmarkStart w:id="16" w:name="_Toc144974556"/>
      <w:bookmarkStart w:id="17" w:name="_Toc247085747"/>
      <w:bookmarkStart w:id="18" w:name="_Toc246996975"/>
      <w:bookmarkStart w:id="19" w:name="_Toc152045589"/>
      <w:bookmarkStart w:id="20" w:name="_Toc246996232"/>
      <w:bookmarkStart w:id="21" w:name="_Toc179632607"/>
      <w:bookmarkStart w:id="22" w:name="_Toc296602477"/>
      <w:bookmarkStart w:id="23" w:name="_Toc152042366"/>
    </w:p>
    <w:p>
      <w:pPr>
        <w:spacing w:line="480" w:lineRule="exact"/>
        <w:rPr>
          <w:rFonts w:hint="eastAsia" w:asciiTheme="minorEastAsia" w:hAnsiTheme="minorEastAsia" w:eastAsiaTheme="minorEastAsia" w:cstheme="minorEastAsia"/>
          <w:b/>
          <w:bCs/>
          <w:sz w:val="21"/>
          <w:szCs w:val="21"/>
          <w:highlight w:val="none"/>
        </w:rPr>
      </w:pPr>
    </w:p>
    <w:tbl>
      <w:tblPr>
        <w:tblStyle w:val="14"/>
        <w:tblW w:w="920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55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b/>
                <w:kern w:val="0"/>
                <w:sz w:val="21"/>
                <w:szCs w:val="21"/>
                <w:highlight w:val="none"/>
              </w:rPr>
            </w:pPr>
            <w:r>
              <w:rPr>
                <w:rFonts w:hint="eastAsia" w:asciiTheme="minorEastAsia" w:hAnsiTheme="minorEastAsia" w:eastAsiaTheme="minorEastAsia" w:cstheme="minorEastAsia"/>
                <w:b/>
                <w:kern w:val="0"/>
                <w:sz w:val="21"/>
                <w:szCs w:val="21"/>
                <w:highlight w:val="none"/>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b/>
                <w:kern w:val="0"/>
                <w:sz w:val="21"/>
                <w:szCs w:val="21"/>
                <w:highlight w:val="none"/>
              </w:rPr>
            </w:pPr>
            <w:r>
              <w:rPr>
                <w:rFonts w:hint="eastAsia" w:asciiTheme="minorEastAsia" w:hAnsiTheme="minorEastAsia" w:eastAsiaTheme="minorEastAsia" w:cstheme="minorEastAsia"/>
                <w:b/>
                <w:kern w:val="0"/>
                <w:sz w:val="21"/>
                <w:szCs w:val="21"/>
                <w:highlight w:val="none"/>
              </w:rPr>
              <w:t>评审因素</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b/>
                <w:kern w:val="0"/>
                <w:sz w:val="21"/>
                <w:szCs w:val="21"/>
                <w:highlight w:val="none"/>
              </w:rPr>
            </w:pPr>
            <w:r>
              <w:rPr>
                <w:rFonts w:hint="eastAsia" w:asciiTheme="minorEastAsia" w:hAnsiTheme="minorEastAsia" w:eastAsiaTheme="minorEastAsia" w:cstheme="minorEastAsia"/>
                <w:b/>
                <w:kern w:val="0"/>
                <w:sz w:val="21"/>
                <w:szCs w:val="21"/>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w:t>
            </w:r>
          </w:p>
        </w:tc>
        <w:tc>
          <w:tcPr>
            <w:tcW w:w="850" w:type="dxa"/>
            <w:tcBorders>
              <w:top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评标方法</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中标候选人排序方法</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形式评审标准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投标人名称</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投标函签字盖章</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投标文件格式</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符合第六章“投标文件格式”的要求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2.1.2</w:t>
            </w:r>
          </w:p>
        </w:tc>
        <w:tc>
          <w:tcPr>
            <w:tcW w:w="850" w:type="dxa"/>
            <w:vMerge w:val="restart"/>
            <w:tcBorders>
              <w:top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资格评审标准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营业执照</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资质要求</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业绩要求</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项目负责人</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其他要求</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2.1.3</w:t>
            </w:r>
          </w:p>
        </w:tc>
        <w:tc>
          <w:tcPr>
            <w:tcW w:w="850" w:type="dxa"/>
            <w:vMerge w:val="restart"/>
            <w:tcBorders>
              <w:top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投标报价</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投标内容</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服务期限</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免费维护期</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质量标准</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投标有效期</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投标保证金</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850" w:type="dxa"/>
            <w:vMerge w:val="continue"/>
            <w:tcBorders>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权利义务</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符合第四章“合同条款及格式”规定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850" w:type="dxa"/>
            <w:vMerge w:val="continue"/>
            <w:tcBorders>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lang w:eastAsia="zh-CN"/>
              </w:rPr>
            </w:pPr>
            <w:r>
              <w:rPr>
                <w:rFonts w:hint="eastAsia" w:asciiTheme="minorEastAsia" w:hAnsiTheme="minorEastAsia" w:eastAsiaTheme="minorEastAsia" w:cstheme="minorEastAsia"/>
                <w:kern w:val="0"/>
                <w:sz w:val="21"/>
                <w:szCs w:val="21"/>
                <w:highlight w:val="none"/>
              </w:rPr>
              <w:t>服务方案</w:t>
            </w:r>
            <w:r>
              <w:rPr>
                <w:rFonts w:hint="eastAsia" w:asciiTheme="minorEastAsia" w:hAnsiTheme="minorEastAsia" w:eastAsiaTheme="minorEastAsia" w:cstheme="minorEastAsia"/>
                <w:kern w:val="0"/>
                <w:sz w:val="21"/>
                <w:szCs w:val="21"/>
                <w:highlight w:val="none"/>
                <w:lang w:eastAsia="zh-CN"/>
              </w:rPr>
              <w:t>及内容</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符合第五章“</w:t>
            </w:r>
            <w:r>
              <w:rPr>
                <w:rFonts w:hint="eastAsia" w:asciiTheme="minorEastAsia" w:hAnsiTheme="minorEastAsia" w:eastAsiaTheme="minorEastAsia" w:cstheme="minorEastAsia"/>
                <w:kern w:val="0"/>
                <w:sz w:val="21"/>
                <w:szCs w:val="21"/>
                <w:highlight w:val="none"/>
                <w:lang w:eastAsia="zh-CN"/>
              </w:rPr>
              <w:t>招标人要求</w:t>
            </w:r>
            <w:r>
              <w:rPr>
                <w:rFonts w:hint="eastAsia" w:asciiTheme="minorEastAsia" w:hAnsiTheme="minorEastAsia" w:eastAsiaTheme="minorEastAsia" w:cstheme="minorEastAsia"/>
                <w:kern w:val="0"/>
                <w:sz w:val="21"/>
                <w:szCs w:val="21"/>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b/>
                <w:bCs/>
                <w:kern w:val="0"/>
                <w:sz w:val="21"/>
                <w:szCs w:val="21"/>
                <w:highlight w:val="none"/>
                <w:lang w:val="en-US" w:eastAsia="zh-CN" w:bidi="ar-SA"/>
              </w:rPr>
            </w:pPr>
            <w:r>
              <w:rPr>
                <w:rFonts w:hint="eastAsia" w:asciiTheme="minorEastAsia" w:hAnsiTheme="minorEastAsia" w:eastAsiaTheme="minorEastAsia" w:cstheme="minorEastAsia"/>
                <w:b/>
                <w:bCs/>
                <w:kern w:val="0"/>
                <w:sz w:val="21"/>
                <w:szCs w:val="21"/>
                <w:highlight w:val="none"/>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b/>
                <w:bCs/>
                <w:kern w:val="0"/>
                <w:sz w:val="21"/>
                <w:szCs w:val="21"/>
                <w:highlight w:val="none"/>
                <w:lang w:val="en-US" w:eastAsia="zh-CN" w:bidi="ar-SA"/>
              </w:rPr>
            </w:pPr>
            <w:r>
              <w:rPr>
                <w:rFonts w:hint="eastAsia" w:asciiTheme="minorEastAsia" w:hAnsiTheme="minorEastAsia" w:eastAsiaTheme="minorEastAsia" w:cstheme="minorEastAsia"/>
                <w:b/>
                <w:bCs/>
                <w:kern w:val="0"/>
                <w:sz w:val="21"/>
                <w:szCs w:val="21"/>
                <w:highlight w:val="none"/>
              </w:rPr>
              <w:t>条款内容</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b/>
                <w:bCs/>
                <w:kern w:val="0"/>
                <w:sz w:val="21"/>
                <w:szCs w:val="21"/>
                <w:highlight w:val="none"/>
                <w:lang w:val="en-US" w:eastAsia="zh-CN" w:bidi="ar-SA"/>
              </w:rPr>
            </w:pPr>
            <w:r>
              <w:rPr>
                <w:rFonts w:hint="eastAsia" w:asciiTheme="minorEastAsia" w:hAnsiTheme="minorEastAsia" w:eastAsiaTheme="minorEastAsia" w:cstheme="minorEastAsia"/>
                <w:b/>
                <w:bCs/>
                <w:kern w:val="0"/>
                <w:sz w:val="21"/>
                <w:szCs w:val="21"/>
                <w:highlight w:val="none"/>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495" w:hRule="atLeast"/>
        </w:trPr>
        <w:tc>
          <w:tcPr>
            <w:tcW w:w="1700"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2.2.1</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分值构成</w:t>
            </w:r>
          </w:p>
          <w:p>
            <w:pPr>
              <w:wordWrap w:val="0"/>
              <w:spacing w:line="42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（总分100分）</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hint="eastAsia" w:asciiTheme="minorEastAsia" w:hAnsiTheme="minorEastAsia" w:eastAsiaTheme="minorEastAsia" w:cstheme="minorEastAsia"/>
                <w:b/>
                <w:bCs/>
                <w:kern w:val="0"/>
                <w:sz w:val="21"/>
                <w:szCs w:val="21"/>
                <w:highlight w:val="none"/>
                <w:lang w:val="en-US" w:eastAsia="zh-CN"/>
              </w:rPr>
            </w:pPr>
            <w:r>
              <w:rPr>
                <w:rFonts w:hint="eastAsia" w:asciiTheme="minorEastAsia" w:hAnsiTheme="minorEastAsia" w:eastAsiaTheme="minorEastAsia" w:cstheme="minorEastAsia"/>
                <w:b/>
                <w:bCs/>
                <w:kern w:val="0"/>
                <w:sz w:val="21"/>
                <w:szCs w:val="21"/>
                <w:highlight w:val="none"/>
                <w:lang w:val="en-US" w:eastAsia="zh-CN"/>
              </w:rPr>
              <w:t>1.</w:t>
            </w:r>
            <w:r>
              <w:rPr>
                <w:rFonts w:hint="eastAsia" w:asciiTheme="minorEastAsia" w:hAnsiTheme="minorEastAsia" w:eastAsiaTheme="minorEastAsia" w:cstheme="minorEastAsia"/>
                <w:b/>
                <w:bCs/>
                <w:kern w:val="0"/>
                <w:sz w:val="21"/>
                <w:szCs w:val="21"/>
                <w:highlight w:val="none"/>
                <w:lang w:eastAsia="zh-CN"/>
              </w:rPr>
              <w:t>商务分：</w:t>
            </w:r>
            <w:r>
              <w:rPr>
                <w:rFonts w:hint="eastAsia" w:asciiTheme="minorEastAsia" w:hAnsiTheme="minorEastAsia" w:eastAsiaTheme="minorEastAsia" w:cstheme="minorEastAsia"/>
                <w:b/>
                <w:bCs/>
                <w:kern w:val="0"/>
                <w:sz w:val="21"/>
                <w:szCs w:val="21"/>
                <w:highlight w:val="none"/>
                <w:lang w:val="en-US" w:eastAsia="zh-CN"/>
              </w:rPr>
              <w:t>44分</w:t>
            </w:r>
          </w:p>
          <w:p>
            <w:pPr>
              <w:wordWrap w:val="0"/>
              <w:spacing w:line="420" w:lineRule="exact"/>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lang w:val="en-US" w:eastAsia="zh-CN"/>
              </w:rPr>
              <w:t>其中</w:t>
            </w:r>
            <w:r>
              <w:rPr>
                <w:rFonts w:hint="eastAsia" w:asciiTheme="minorEastAsia" w:hAnsiTheme="minorEastAsia" w:eastAsiaTheme="minorEastAsia" w:cstheme="minorEastAsia"/>
                <w:kern w:val="0"/>
                <w:sz w:val="21"/>
                <w:szCs w:val="21"/>
                <w:highlight w:val="none"/>
              </w:rPr>
              <w:t>投标报价：</w:t>
            </w:r>
            <w:r>
              <w:rPr>
                <w:rFonts w:hint="eastAsia" w:asciiTheme="minorEastAsia" w:hAnsiTheme="minorEastAsia" w:eastAsiaTheme="minorEastAsia" w:cstheme="minorEastAsia"/>
                <w:kern w:val="0"/>
                <w:sz w:val="21"/>
                <w:szCs w:val="21"/>
                <w:highlight w:val="none"/>
                <w:u w:val="single"/>
              </w:rPr>
              <w:t>20</w:t>
            </w:r>
            <w:r>
              <w:rPr>
                <w:rFonts w:hint="eastAsia" w:asciiTheme="minorEastAsia" w:hAnsiTheme="minorEastAsia" w:eastAsiaTheme="minorEastAsia" w:cstheme="minorEastAsia"/>
                <w:kern w:val="0"/>
                <w:sz w:val="21"/>
                <w:szCs w:val="21"/>
                <w:highlight w:val="none"/>
              </w:rPr>
              <w:t>分</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人员配备：</w:t>
            </w:r>
            <w:r>
              <w:rPr>
                <w:rFonts w:hint="eastAsia" w:asciiTheme="minorEastAsia" w:hAnsiTheme="minorEastAsia" w:eastAsiaTheme="minorEastAsia" w:cstheme="minorEastAsia"/>
                <w:kern w:val="0"/>
                <w:sz w:val="21"/>
                <w:szCs w:val="21"/>
                <w:highlight w:val="none"/>
                <w:u w:val="single"/>
                <w:lang w:val="en-US" w:eastAsia="zh-CN"/>
              </w:rPr>
              <w:t>1</w:t>
            </w:r>
            <w:r>
              <w:rPr>
                <w:rFonts w:hint="eastAsia" w:asciiTheme="minorEastAsia" w:hAnsiTheme="minorEastAsia" w:eastAsiaTheme="minorEastAsia" w:cstheme="minorEastAsia"/>
                <w:kern w:val="0"/>
                <w:sz w:val="21"/>
                <w:szCs w:val="21"/>
                <w:highlight w:val="none"/>
                <w:u w:val="single"/>
              </w:rPr>
              <w:t>0</w:t>
            </w:r>
            <w:r>
              <w:rPr>
                <w:rFonts w:hint="eastAsia" w:asciiTheme="minorEastAsia" w:hAnsiTheme="minorEastAsia" w:eastAsiaTheme="minorEastAsia" w:cstheme="minorEastAsia"/>
                <w:kern w:val="0"/>
                <w:sz w:val="21"/>
                <w:szCs w:val="21"/>
                <w:highlight w:val="none"/>
              </w:rPr>
              <w:t>分</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企业实力：</w:t>
            </w:r>
            <w:r>
              <w:rPr>
                <w:rFonts w:hint="eastAsia" w:asciiTheme="minorEastAsia" w:hAnsiTheme="minorEastAsia" w:eastAsiaTheme="minorEastAsia" w:cstheme="minorEastAsia"/>
                <w:kern w:val="0"/>
                <w:sz w:val="21"/>
                <w:szCs w:val="21"/>
                <w:highlight w:val="none"/>
                <w:u w:val="single"/>
                <w:lang w:val="en-US" w:eastAsia="zh-CN"/>
              </w:rPr>
              <w:t>14</w:t>
            </w:r>
            <w:r>
              <w:rPr>
                <w:rFonts w:hint="eastAsia" w:asciiTheme="minorEastAsia" w:hAnsiTheme="minorEastAsia" w:eastAsiaTheme="minorEastAsia" w:cstheme="minorEastAsia"/>
                <w:kern w:val="0"/>
                <w:sz w:val="21"/>
                <w:szCs w:val="21"/>
                <w:highlight w:val="none"/>
              </w:rPr>
              <w:t>分</w:t>
            </w:r>
          </w:p>
          <w:p>
            <w:pPr>
              <w:wordWrap w:val="0"/>
              <w:spacing w:line="420" w:lineRule="exact"/>
              <w:rPr>
                <w:rFonts w:hint="eastAsia" w:asciiTheme="minorEastAsia" w:hAnsiTheme="minorEastAsia" w:eastAsiaTheme="minorEastAsia" w:cstheme="minorEastAsia"/>
                <w:b/>
                <w:bCs/>
                <w:kern w:val="0"/>
                <w:sz w:val="21"/>
                <w:szCs w:val="21"/>
                <w:highlight w:val="none"/>
                <w:lang w:val="en-US" w:eastAsia="zh-CN"/>
              </w:rPr>
            </w:pPr>
            <w:r>
              <w:rPr>
                <w:rFonts w:hint="eastAsia" w:asciiTheme="minorEastAsia" w:hAnsiTheme="minorEastAsia" w:eastAsiaTheme="minorEastAsia" w:cstheme="minorEastAsia"/>
                <w:b/>
                <w:bCs/>
                <w:kern w:val="0"/>
                <w:sz w:val="21"/>
                <w:szCs w:val="21"/>
                <w:highlight w:val="none"/>
                <w:lang w:val="en-US" w:eastAsia="zh-CN"/>
              </w:rPr>
              <w:t>2.技术分：48分</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软件系统技术实现方案：</w:t>
            </w:r>
            <w:r>
              <w:rPr>
                <w:rFonts w:hint="eastAsia" w:asciiTheme="minorEastAsia" w:hAnsiTheme="minorEastAsia" w:eastAsiaTheme="minorEastAsia" w:cstheme="minorEastAsia"/>
                <w:kern w:val="0"/>
                <w:sz w:val="21"/>
                <w:szCs w:val="21"/>
                <w:highlight w:val="none"/>
                <w:u w:val="single"/>
                <w:lang w:val="en-US" w:eastAsia="zh-CN"/>
              </w:rPr>
              <w:t>3</w:t>
            </w:r>
            <w:r>
              <w:rPr>
                <w:rFonts w:hint="eastAsia" w:asciiTheme="minorEastAsia" w:hAnsiTheme="minorEastAsia" w:eastAsiaTheme="minorEastAsia" w:cstheme="minorEastAsia"/>
                <w:kern w:val="0"/>
                <w:sz w:val="21"/>
                <w:szCs w:val="21"/>
                <w:highlight w:val="none"/>
                <w:u w:val="single"/>
              </w:rPr>
              <w:t>0</w:t>
            </w:r>
            <w:r>
              <w:rPr>
                <w:rFonts w:hint="eastAsia" w:asciiTheme="minorEastAsia" w:hAnsiTheme="minorEastAsia" w:eastAsiaTheme="minorEastAsia" w:cstheme="minorEastAsia"/>
                <w:kern w:val="0"/>
                <w:sz w:val="21"/>
                <w:szCs w:val="21"/>
                <w:highlight w:val="none"/>
              </w:rPr>
              <w:t>分</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接口方案（包括历史数据迁移）：</w:t>
            </w:r>
            <w:r>
              <w:rPr>
                <w:rFonts w:hint="eastAsia" w:asciiTheme="minorEastAsia" w:hAnsiTheme="minorEastAsia" w:eastAsiaTheme="minorEastAsia" w:cstheme="minorEastAsia"/>
                <w:kern w:val="0"/>
                <w:sz w:val="21"/>
                <w:szCs w:val="21"/>
                <w:highlight w:val="none"/>
                <w:u w:val="single"/>
                <w:lang w:val="en-US" w:eastAsia="zh-CN"/>
              </w:rPr>
              <w:t>4</w:t>
            </w:r>
            <w:r>
              <w:rPr>
                <w:rFonts w:hint="eastAsia" w:asciiTheme="minorEastAsia" w:hAnsiTheme="minorEastAsia" w:eastAsiaTheme="minorEastAsia" w:cstheme="minorEastAsia"/>
                <w:kern w:val="0"/>
                <w:sz w:val="21"/>
                <w:szCs w:val="21"/>
                <w:highlight w:val="none"/>
              </w:rPr>
              <w:t>分</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数据安全解决方案：</w:t>
            </w:r>
            <w:r>
              <w:rPr>
                <w:rFonts w:hint="eastAsia" w:asciiTheme="minorEastAsia" w:hAnsiTheme="minorEastAsia" w:eastAsiaTheme="minorEastAsia" w:cstheme="minorEastAsia"/>
                <w:kern w:val="0"/>
                <w:sz w:val="21"/>
                <w:szCs w:val="21"/>
                <w:highlight w:val="none"/>
                <w:u w:val="single"/>
                <w:lang w:val="en-US" w:eastAsia="zh-CN"/>
              </w:rPr>
              <w:t>3</w:t>
            </w:r>
            <w:r>
              <w:rPr>
                <w:rFonts w:hint="eastAsia" w:asciiTheme="minorEastAsia" w:hAnsiTheme="minorEastAsia" w:eastAsiaTheme="minorEastAsia" w:cstheme="minorEastAsia"/>
                <w:kern w:val="0"/>
                <w:sz w:val="21"/>
                <w:szCs w:val="21"/>
                <w:highlight w:val="none"/>
              </w:rPr>
              <w:t>分</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项目设计实施方案：</w:t>
            </w:r>
            <w:r>
              <w:rPr>
                <w:rFonts w:hint="eastAsia" w:asciiTheme="minorEastAsia" w:hAnsiTheme="minorEastAsia" w:eastAsiaTheme="minorEastAsia" w:cstheme="minorEastAsia"/>
                <w:kern w:val="0"/>
                <w:sz w:val="21"/>
                <w:szCs w:val="21"/>
                <w:highlight w:val="none"/>
                <w:u w:val="single"/>
                <w:lang w:val="en-US" w:eastAsia="zh-CN"/>
              </w:rPr>
              <w:t>6</w:t>
            </w:r>
            <w:r>
              <w:rPr>
                <w:rFonts w:hint="eastAsia" w:asciiTheme="minorEastAsia" w:hAnsiTheme="minorEastAsia" w:eastAsiaTheme="minorEastAsia" w:cstheme="minorEastAsia"/>
                <w:kern w:val="0"/>
                <w:sz w:val="21"/>
                <w:szCs w:val="21"/>
                <w:highlight w:val="none"/>
              </w:rPr>
              <w:t>分</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系统测试方案：</w:t>
            </w:r>
            <w:r>
              <w:rPr>
                <w:rFonts w:hint="eastAsia" w:asciiTheme="minorEastAsia" w:hAnsiTheme="minorEastAsia" w:eastAsiaTheme="minorEastAsia" w:cstheme="minorEastAsia"/>
                <w:kern w:val="0"/>
                <w:sz w:val="21"/>
                <w:szCs w:val="21"/>
                <w:highlight w:val="none"/>
                <w:u w:val="single"/>
                <w:lang w:val="en-US" w:eastAsia="zh-CN"/>
              </w:rPr>
              <w:t>3</w:t>
            </w:r>
            <w:r>
              <w:rPr>
                <w:rFonts w:hint="eastAsia" w:asciiTheme="minorEastAsia" w:hAnsiTheme="minorEastAsia" w:eastAsiaTheme="minorEastAsia" w:cstheme="minorEastAsia"/>
                <w:kern w:val="0"/>
                <w:sz w:val="21"/>
                <w:szCs w:val="21"/>
                <w:highlight w:val="none"/>
              </w:rPr>
              <w:t>分</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项目培训方案：</w:t>
            </w:r>
            <w:r>
              <w:rPr>
                <w:rFonts w:hint="eastAsia" w:asciiTheme="minorEastAsia" w:hAnsiTheme="minorEastAsia" w:eastAsiaTheme="minorEastAsia" w:cstheme="minorEastAsia"/>
                <w:kern w:val="0"/>
                <w:sz w:val="21"/>
                <w:szCs w:val="21"/>
                <w:highlight w:val="none"/>
                <w:u w:val="single"/>
                <w:lang w:val="en-US" w:eastAsia="zh-CN"/>
              </w:rPr>
              <w:t>2</w:t>
            </w:r>
            <w:r>
              <w:rPr>
                <w:rFonts w:hint="eastAsia" w:asciiTheme="minorEastAsia" w:hAnsiTheme="minorEastAsia" w:eastAsiaTheme="minorEastAsia" w:cstheme="minorEastAsia"/>
                <w:kern w:val="0"/>
                <w:sz w:val="21"/>
                <w:szCs w:val="21"/>
                <w:highlight w:val="none"/>
              </w:rPr>
              <w:t>分</w:t>
            </w:r>
          </w:p>
          <w:p>
            <w:pPr>
              <w:numPr>
                <w:ilvl w:val="0"/>
                <w:numId w:val="1"/>
              </w:numPr>
              <w:wordWrap w:val="0"/>
              <w:spacing w:line="420" w:lineRule="exact"/>
              <w:rPr>
                <w:rFonts w:hint="eastAsia" w:asciiTheme="minorEastAsia" w:hAnsiTheme="minorEastAsia" w:eastAsiaTheme="minorEastAsia" w:cstheme="minorEastAsia"/>
                <w:b/>
                <w:bCs/>
                <w:kern w:val="0"/>
                <w:sz w:val="21"/>
                <w:szCs w:val="21"/>
                <w:highlight w:val="none"/>
                <w:lang w:val="en-US" w:eastAsia="zh-CN"/>
              </w:rPr>
            </w:pPr>
            <w:r>
              <w:rPr>
                <w:rFonts w:hint="eastAsia" w:asciiTheme="minorEastAsia" w:hAnsiTheme="minorEastAsia" w:eastAsiaTheme="minorEastAsia" w:cstheme="minorEastAsia"/>
                <w:b/>
                <w:bCs/>
                <w:kern w:val="0"/>
                <w:sz w:val="21"/>
                <w:szCs w:val="21"/>
                <w:highlight w:val="none"/>
                <w:lang w:val="en-US" w:eastAsia="zh-CN"/>
              </w:rPr>
              <w:t>其他：8分</w:t>
            </w:r>
          </w:p>
          <w:p>
            <w:pPr>
              <w:numPr>
                <w:ilvl w:val="0"/>
                <w:numId w:val="0"/>
              </w:num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color w:val="000000"/>
                <w:kern w:val="0"/>
                <w:sz w:val="21"/>
                <w:szCs w:val="21"/>
              </w:rPr>
              <w:t>售后服务及维护方案</w:t>
            </w:r>
            <w:r>
              <w:rPr>
                <w:rFonts w:hint="eastAsia" w:asciiTheme="minorEastAsia" w:hAnsiTheme="minorEastAsia" w:eastAsiaTheme="minorEastAsia" w:cstheme="minorEastAsia"/>
                <w:color w:val="000000"/>
                <w:kern w:val="0"/>
                <w:sz w:val="21"/>
                <w:szCs w:val="21"/>
                <w:lang w:eastAsia="zh-CN"/>
              </w:rPr>
              <w:t>：</w:t>
            </w:r>
            <w:r>
              <w:rPr>
                <w:rFonts w:hint="eastAsia" w:asciiTheme="minorEastAsia" w:hAnsiTheme="minorEastAsia" w:eastAsiaTheme="minorEastAsia" w:cstheme="minorEastAsia"/>
                <w:color w:val="000000"/>
                <w:kern w:val="0"/>
                <w:sz w:val="21"/>
                <w:szCs w:val="21"/>
                <w:u w:val="single"/>
                <w:lang w:val="en-US" w:eastAsia="zh-CN"/>
              </w:rPr>
              <w:t>8</w:t>
            </w:r>
            <w:r>
              <w:rPr>
                <w:rFonts w:hint="eastAsia" w:asciiTheme="minorEastAsia" w:hAnsiTheme="minorEastAsia" w:eastAsiaTheme="minorEastAsia" w:cstheme="minorEastAsia"/>
                <w:color w:val="000000"/>
                <w:kern w:val="0"/>
                <w:sz w:val="21"/>
                <w:szCs w:val="21"/>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1700"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评分因素</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700" w:type="dxa"/>
            <w:gridSpan w:val="2"/>
            <w:tcBorders>
              <w:top w:val="single" w:color="auto" w:sz="4" w:space="0"/>
              <w:bottom w:val="single" w:color="auto" w:sz="4" w:space="0"/>
              <w:right w:val="single" w:color="auto" w:sz="4" w:space="0"/>
            </w:tcBorders>
            <w:vAlign w:val="center"/>
          </w:tcPr>
          <w:p>
            <w:pPr>
              <w:wordWrap w:val="0"/>
              <w:spacing w:line="440" w:lineRule="exact"/>
              <w:ind w:firstLine="422" w:firstLineChars="200"/>
              <w:rPr>
                <w:rFonts w:hint="eastAsia" w:asciiTheme="minorEastAsia" w:hAnsiTheme="minorEastAsia" w:eastAsiaTheme="minorEastAsia" w:cstheme="minorEastAsia"/>
                <w:b/>
                <w:bCs/>
                <w:kern w:val="0"/>
                <w:sz w:val="21"/>
                <w:szCs w:val="21"/>
                <w:highlight w:val="none"/>
                <w:lang w:eastAsia="zh-CN"/>
              </w:rPr>
            </w:pPr>
            <w:r>
              <w:rPr>
                <w:rFonts w:hint="eastAsia" w:asciiTheme="minorEastAsia" w:hAnsiTheme="minorEastAsia" w:eastAsiaTheme="minorEastAsia" w:cstheme="minorEastAsia"/>
                <w:b/>
                <w:bCs/>
                <w:kern w:val="0"/>
                <w:sz w:val="21"/>
                <w:szCs w:val="21"/>
                <w:highlight w:val="none"/>
                <w:lang w:eastAsia="zh-CN"/>
              </w:rPr>
              <w:t>一</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632" w:firstLineChars="300"/>
              <w:rPr>
                <w:rFonts w:hint="eastAsia" w:asciiTheme="minorEastAsia" w:hAnsiTheme="minorEastAsia" w:eastAsiaTheme="minorEastAsia" w:cstheme="minorEastAsia"/>
                <w:b/>
                <w:bCs/>
                <w:kern w:val="0"/>
                <w:sz w:val="21"/>
                <w:szCs w:val="21"/>
                <w:highlight w:val="none"/>
                <w:lang w:eastAsia="zh-CN"/>
              </w:rPr>
            </w:pPr>
            <w:r>
              <w:rPr>
                <w:rFonts w:hint="eastAsia" w:asciiTheme="minorEastAsia" w:hAnsiTheme="minorEastAsia" w:eastAsiaTheme="minorEastAsia" w:cstheme="minorEastAsia"/>
                <w:b/>
                <w:bCs/>
                <w:kern w:val="0"/>
                <w:sz w:val="21"/>
                <w:szCs w:val="21"/>
                <w:highlight w:val="none"/>
                <w:lang w:eastAsia="zh-CN"/>
              </w:rPr>
              <w:t>商务分</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843" w:firstLineChars="400"/>
              <w:rPr>
                <w:rFonts w:hint="eastAsia" w:asciiTheme="minorEastAsia" w:hAnsiTheme="minorEastAsia" w:eastAsiaTheme="minorEastAsia" w:cstheme="minorEastAsia"/>
                <w:b/>
                <w:bCs/>
                <w:kern w:val="0"/>
                <w:sz w:val="21"/>
                <w:szCs w:val="21"/>
                <w:highlight w:val="none"/>
                <w:lang w:val="en-US" w:eastAsia="zh-CN"/>
              </w:rPr>
            </w:pPr>
            <w:r>
              <w:rPr>
                <w:rFonts w:hint="eastAsia" w:asciiTheme="minorEastAsia" w:hAnsiTheme="minorEastAsia" w:eastAsiaTheme="minorEastAsia" w:cstheme="minorEastAsia"/>
                <w:b/>
                <w:bCs/>
                <w:kern w:val="0"/>
                <w:sz w:val="21"/>
                <w:szCs w:val="21"/>
                <w:highlight w:val="none"/>
                <w:lang w:val="en-US" w:eastAsia="zh-CN"/>
              </w:rPr>
              <w:t>满分44分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lang w:val="en-US" w:eastAsia="zh-CN"/>
              </w:rPr>
            </w:pPr>
            <w:r>
              <w:rPr>
                <w:rFonts w:hint="eastAsia" w:asciiTheme="minorEastAsia" w:hAnsiTheme="minorEastAsia" w:eastAsiaTheme="minorEastAsia" w:cstheme="minorEastAsia"/>
                <w:b/>
                <w:bCs/>
                <w:kern w:val="0"/>
                <w:sz w:val="21"/>
                <w:szCs w:val="21"/>
                <w:highlight w:val="none"/>
              </w:rPr>
              <w:t>投标报价</w:t>
            </w:r>
            <w:r>
              <w:rPr>
                <w:rFonts w:hint="eastAsia" w:asciiTheme="minorEastAsia" w:hAnsiTheme="minorEastAsia" w:eastAsiaTheme="minorEastAsia" w:cstheme="minorEastAsia"/>
                <w:b/>
                <w:bCs/>
                <w:kern w:val="0"/>
                <w:sz w:val="21"/>
                <w:szCs w:val="21"/>
                <w:highlight w:val="none"/>
                <w:lang w:eastAsia="zh-CN"/>
              </w:rPr>
              <w:t>（</w:t>
            </w:r>
            <w:r>
              <w:rPr>
                <w:rFonts w:hint="eastAsia" w:asciiTheme="minorEastAsia" w:hAnsiTheme="minorEastAsia" w:eastAsiaTheme="minorEastAsia" w:cstheme="minorEastAsia"/>
                <w:b/>
                <w:bCs/>
                <w:kern w:val="0"/>
                <w:sz w:val="21"/>
                <w:szCs w:val="21"/>
                <w:highlight w:val="none"/>
                <w:lang w:val="en-US" w:eastAsia="zh-CN"/>
              </w:rPr>
              <w:t>20分）</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取所有有效投标人报价的算术平均数作为评标基准价，若有效投标人大于</w:t>
            </w:r>
            <w:r>
              <w:rPr>
                <w:rFonts w:hint="eastAsia" w:asciiTheme="minorEastAsia" w:hAnsiTheme="minorEastAsia" w:cstheme="minorEastAsia"/>
                <w:kern w:val="0"/>
                <w:sz w:val="21"/>
                <w:szCs w:val="21"/>
                <w:highlight w:val="none"/>
                <w:lang w:eastAsia="zh-CN"/>
              </w:rPr>
              <w:t>或等于</w:t>
            </w:r>
            <w:r>
              <w:rPr>
                <w:rFonts w:hint="eastAsia" w:asciiTheme="minorEastAsia" w:hAnsiTheme="minorEastAsia" w:eastAsiaTheme="minorEastAsia" w:cstheme="minorEastAsia"/>
                <w:kern w:val="0"/>
                <w:sz w:val="21"/>
                <w:szCs w:val="21"/>
                <w:highlight w:val="none"/>
              </w:rPr>
              <w:t>5家，则去掉最高价和最低价后取算术平均数作为评标基准价。</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在所有有效投标报价中，投标报价与评标基准价相比，投标报价比评标基准价每低于（小于）1%扣0.3分，每高于（大于）1%扣0.5分；最多扣5分。不足1%部分按直线插入法同比率计算得分（四舍五入保留两位小数）。</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若评标委员会认定该投标报价低于成本价的，可以否决其投标。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lang w:val="en-US" w:eastAsia="zh-CN"/>
              </w:rPr>
            </w:pPr>
            <w:r>
              <w:rPr>
                <w:rFonts w:hint="eastAsia" w:asciiTheme="minorEastAsia" w:hAnsiTheme="minorEastAsia" w:eastAsiaTheme="minorEastAsia" w:cstheme="minorEastAsia"/>
                <w:kern w:val="0"/>
                <w:sz w:val="21"/>
                <w:szCs w:val="21"/>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lang w:val="en-US" w:eastAsia="zh-CN"/>
              </w:rPr>
            </w:pPr>
            <w:r>
              <w:rPr>
                <w:rFonts w:hint="eastAsia" w:asciiTheme="minorEastAsia" w:hAnsiTheme="minorEastAsia" w:eastAsiaTheme="minorEastAsia" w:cstheme="minorEastAsia"/>
                <w:b/>
                <w:bCs/>
                <w:kern w:val="0"/>
                <w:sz w:val="21"/>
                <w:szCs w:val="21"/>
                <w:highlight w:val="none"/>
                <w:lang w:eastAsia="zh-CN"/>
              </w:rPr>
              <w:t>人员配备（</w:t>
            </w:r>
            <w:r>
              <w:rPr>
                <w:rFonts w:hint="eastAsia" w:asciiTheme="minorEastAsia" w:hAnsiTheme="minorEastAsia" w:eastAsiaTheme="minorEastAsia" w:cstheme="minorEastAsia"/>
                <w:b/>
                <w:bCs/>
                <w:kern w:val="0"/>
                <w:sz w:val="21"/>
                <w:szCs w:val="21"/>
                <w:highlight w:val="none"/>
                <w:lang w:val="en-US" w:eastAsia="zh-CN"/>
              </w:rPr>
              <w:t>10分）</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2" w:firstLineChars="200"/>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项目负责人（4分）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1.具有国家工业与信息化部颁发的高级项目经理证书，得1分，满分1分；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 xml:space="preserve">2.自2017年1月1日至今，每提供1个担任单项合同金额不少于200万元企业财务共享中心项目负责人业绩，得1分，满分3分； </w:t>
            </w:r>
          </w:p>
          <w:p>
            <w:pPr>
              <w:wordWrap w:val="0"/>
              <w:spacing w:line="440" w:lineRule="exact"/>
              <w:ind w:firstLine="422" w:firstLineChars="200"/>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项目团队人员（不</w:t>
            </w:r>
            <w:r>
              <w:rPr>
                <w:rFonts w:hint="eastAsia" w:asciiTheme="minorEastAsia" w:hAnsiTheme="minorEastAsia" w:eastAsiaTheme="minorEastAsia" w:cstheme="minorEastAsia"/>
                <w:b/>
                <w:bCs/>
                <w:kern w:val="0"/>
                <w:sz w:val="21"/>
                <w:szCs w:val="21"/>
                <w:highlight w:val="none"/>
                <w:lang w:eastAsia="zh-CN"/>
              </w:rPr>
              <w:t>含</w:t>
            </w:r>
            <w:r>
              <w:rPr>
                <w:rFonts w:hint="eastAsia" w:asciiTheme="minorEastAsia" w:hAnsiTheme="minorEastAsia" w:eastAsiaTheme="minorEastAsia" w:cstheme="minorEastAsia"/>
                <w:b/>
                <w:bCs/>
                <w:kern w:val="0"/>
                <w:sz w:val="21"/>
                <w:szCs w:val="21"/>
                <w:highlight w:val="none"/>
              </w:rPr>
              <w:t>项目负责人）（6分）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1.项目团队成员具有国家工业与信息化部颁发的“系统分析师”或“系统架构设计师”或“系统规划与管理师”或“高级程序员”证书，每人得1分，满分3分。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2.项目团队成员自2017年1月1日至今参与过企业财务共享中心项目建设，每人得1分，满分3分。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（人员配备资格证明需提供合同复印件和业主单位出具的人员业绩证明及业主单位联系方式等有效证明材料。）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lang w:val="en-US" w:eastAsia="zh-CN"/>
              </w:rPr>
            </w:pPr>
            <w:r>
              <w:rPr>
                <w:rFonts w:hint="eastAsia" w:asciiTheme="minorEastAsia" w:hAnsiTheme="minorEastAsia" w:eastAsiaTheme="minorEastAsia" w:cstheme="minorEastAsia"/>
                <w:kern w:val="0"/>
                <w:sz w:val="21"/>
                <w:szCs w:val="21"/>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lang w:val="en-US" w:eastAsia="zh-CN"/>
              </w:rPr>
            </w:pPr>
            <w:r>
              <w:rPr>
                <w:rFonts w:hint="eastAsia" w:asciiTheme="minorEastAsia" w:hAnsiTheme="minorEastAsia" w:eastAsiaTheme="minorEastAsia" w:cstheme="minorEastAsia"/>
                <w:b/>
                <w:bCs/>
                <w:color w:val="000000"/>
                <w:kern w:val="0"/>
                <w:sz w:val="21"/>
                <w:szCs w:val="21"/>
              </w:rPr>
              <w:t>企业实力</w:t>
            </w:r>
            <w:r>
              <w:rPr>
                <w:rFonts w:hint="eastAsia" w:asciiTheme="minorEastAsia" w:hAnsiTheme="minorEastAsia" w:eastAsiaTheme="minorEastAsia" w:cstheme="minorEastAsia"/>
                <w:b/>
                <w:bCs/>
                <w:color w:val="000000"/>
                <w:kern w:val="0"/>
                <w:sz w:val="21"/>
                <w:szCs w:val="21"/>
                <w:lang w:eastAsia="zh-CN"/>
              </w:rPr>
              <w:t>（</w:t>
            </w:r>
            <w:r>
              <w:rPr>
                <w:rFonts w:hint="eastAsia" w:asciiTheme="minorEastAsia" w:hAnsiTheme="minorEastAsia" w:eastAsiaTheme="minorEastAsia" w:cstheme="minorEastAsia"/>
                <w:b/>
                <w:bCs/>
                <w:color w:val="000000"/>
                <w:kern w:val="0"/>
                <w:sz w:val="21"/>
                <w:szCs w:val="21"/>
                <w:lang w:val="en-US" w:eastAsia="zh-CN"/>
              </w:rPr>
              <w:t>14分）</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1.投标人具有国家级高新技术软件企业证书，得1分；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2.投标人具有CCRC信息安全服务资质认证证书，得1分；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3.具有CMMI5等级证书认证且在有效期内，得1分；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4.具有中国信息安全测评中心颁发的国家信息安全评测信息安全服务安全工程类一级（包含）以上资质，得1分；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5.自2018年1月1日以来，获得由国家发改委、工业和信息化部、财政部、商务部、国家税务总局等部委颁发的“国家规划布局内重点软件企业证书”，得1分。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6.2019年进入工信部发布的中国互联网100强企业，得3分。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7.投标人通过ISO9001或ISO20000体系认证且在有效期内，每提供1个得1分，满分2分。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8.2017年1月1日至今，国内成功实施过3个单项合同金额不少于200万元企业财务共享中心项目业绩，每多提供1个得2分，满分4分。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w:t>
            </w:r>
            <w:r>
              <w:rPr>
                <w:rFonts w:hint="eastAsia" w:asciiTheme="minorEastAsia" w:hAnsiTheme="minorEastAsia" w:eastAsiaTheme="minorEastAsia" w:cstheme="minorEastAsia"/>
                <w:b/>
                <w:bCs/>
                <w:kern w:val="0"/>
                <w:sz w:val="21"/>
                <w:szCs w:val="21"/>
                <w:highlight w:val="none"/>
              </w:rPr>
              <w:t>业绩认定以合同复印件和验收报告或初验报告为准，其中合同复印件要求提供合同首页、合同金额页、模块页、盖章页，缺少任何一项视为无效合同；业绩证明合同签约主体需与投标主体为同一法人，否则无效</w:t>
            </w:r>
            <w:r>
              <w:rPr>
                <w:rFonts w:hint="eastAsia" w:asciiTheme="minorEastAsia" w:hAnsiTheme="minorEastAsia" w:eastAsiaTheme="minorEastAsia" w:cstheme="minorEastAsia"/>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0" w:hRule="atLeast"/>
        </w:trPr>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b/>
                <w:bCs/>
                <w:kern w:val="0"/>
                <w:sz w:val="21"/>
                <w:szCs w:val="21"/>
                <w:highlight w:val="none"/>
                <w:lang w:val="en-US" w:eastAsia="zh-CN"/>
              </w:rPr>
            </w:pPr>
            <w:r>
              <w:rPr>
                <w:rFonts w:hint="eastAsia" w:asciiTheme="minorEastAsia" w:hAnsiTheme="minorEastAsia" w:eastAsiaTheme="minorEastAsia" w:cstheme="minorEastAsia"/>
                <w:b/>
                <w:bCs/>
                <w:kern w:val="0"/>
                <w:sz w:val="21"/>
                <w:szCs w:val="21"/>
                <w:highlight w:val="none"/>
                <w:lang w:val="en-US" w:eastAsia="zh-CN"/>
              </w:rPr>
              <w:t>二</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b/>
                <w:bCs/>
                <w:color w:val="000000"/>
                <w:kern w:val="0"/>
                <w:sz w:val="21"/>
                <w:szCs w:val="21"/>
                <w:lang w:eastAsia="zh-CN"/>
              </w:rPr>
            </w:pPr>
            <w:r>
              <w:rPr>
                <w:rFonts w:hint="eastAsia" w:asciiTheme="minorEastAsia" w:hAnsiTheme="minorEastAsia" w:eastAsiaTheme="minorEastAsia" w:cstheme="minorEastAsia"/>
                <w:b/>
                <w:bCs/>
                <w:color w:val="000000"/>
                <w:kern w:val="0"/>
                <w:sz w:val="21"/>
                <w:szCs w:val="21"/>
                <w:lang w:eastAsia="zh-CN"/>
              </w:rPr>
              <w:t>技术分</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2" w:firstLineChars="200"/>
              <w:rPr>
                <w:rFonts w:hint="eastAsia" w:asciiTheme="minorEastAsia" w:hAnsiTheme="minorEastAsia" w:eastAsiaTheme="minorEastAsia" w:cstheme="minorEastAsia"/>
                <w:b/>
                <w:bCs/>
                <w:kern w:val="0"/>
                <w:sz w:val="21"/>
                <w:szCs w:val="21"/>
                <w:highlight w:val="none"/>
                <w:lang w:val="en-US" w:eastAsia="zh-CN"/>
              </w:rPr>
            </w:pPr>
            <w:r>
              <w:rPr>
                <w:rFonts w:hint="eastAsia" w:asciiTheme="minorEastAsia" w:hAnsiTheme="minorEastAsia" w:eastAsiaTheme="minorEastAsia" w:cstheme="minorEastAsia"/>
                <w:b/>
                <w:bCs/>
                <w:kern w:val="0"/>
                <w:sz w:val="21"/>
                <w:szCs w:val="21"/>
                <w:highlight w:val="none"/>
                <w:lang w:eastAsia="zh-CN"/>
              </w:rPr>
              <w:t>满分</w:t>
            </w:r>
            <w:r>
              <w:rPr>
                <w:rFonts w:hint="eastAsia" w:asciiTheme="minorEastAsia" w:hAnsiTheme="minorEastAsia" w:eastAsiaTheme="minorEastAsia" w:cstheme="minorEastAsia"/>
                <w:b/>
                <w:bCs/>
                <w:kern w:val="0"/>
                <w:sz w:val="21"/>
                <w:szCs w:val="21"/>
                <w:highlight w:val="none"/>
                <w:lang w:val="en-US" w:eastAsia="zh-CN"/>
              </w:rPr>
              <w:t>48分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lang w:val="en-US" w:eastAsia="zh-CN"/>
              </w:rPr>
            </w:pPr>
            <w:r>
              <w:rPr>
                <w:rFonts w:hint="eastAsia" w:asciiTheme="minorEastAsia" w:hAnsiTheme="minorEastAsia" w:eastAsiaTheme="minorEastAsia" w:cstheme="minorEastAsia"/>
                <w:kern w:val="0"/>
                <w:sz w:val="21"/>
                <w:szCs w:val="21"/>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lang w:eastAsia="zh-CN"/>
              </w:rPr>
            </w:pPr>
            <w:r>
              <w:rPr>
                <w:rFonts w:hint="eastAsia" w:asciiTheme="minorEastAsia" w:hAnsiTheme="minorEastAsia" w:eastAsiaTheme="minorEastAsia" w:cstheme="minorEastAsia"/>
                <w:b/>
                <w:bCs/>
                <w:kern w:val="0"/>
                <w:sz w:val="21"/>
                <w:szCs w:val="21"/>
                <w:highlight w:val="none"/>
              </w:rPr>
              <w:t>软件系统技术实现方案</w:t>
            </w:r>
            <w:r>
              <w:rPr>
                <w:rFonts w:hint="eastAsia" w:asciiTheme="minorEastAsia" w:hAnsiTheme="minorEastAsia" w:eastAsiaTheme="minorEastAsia" w:cstheme="minorEastAsia"/>
                <w:b/>
                <w:bCs/>
                <w:kern w:val="0"/>
                <w:sz w:val="21"/>
                <w:szCs w:val="21"/>
                <w:highlight w:val="none"/>
                <w:lang w:eastAsia="zh-CN"/>
              </w:rPr>
              <w:t>（</w:t>
            </w:r>
            <w:r>
              <w:rPr>
                <w:rFonts w:hint="eastAsia" w:asciiTheme="minorEastAsia" w:hAnsiTheme="minorEastAsia" w:eastAsiaTheme="minorEastAsia" w:cstheme="minorEastAsia"/>
                <w:b/>
                <w:bCs/>
                <w:kern w:val="0"/>
                <w:sz w:val="21"/>
                <w:szCs w:val="21"/>
                <w:highlight w:val="none"/>
              </w:rPr>
              <w:t>30分</w:t>
            </w:r>
            <w:r>
              <w:rPr>
                <w:rFonts w:hint="eastAsia" w:asciiTheme="minorEastAsia" w:hAnsiTheme="minorEastAsia" w:eastAsiaTheme="minorEastAsia" w:cstheme="minorEastAsia"/>
                <w:b/>
                <w:bCs/>
                <w:kern w:val="0"/>
                <w:sz w:val="21"/>
                <w:szCs w:val="21"/>
                <w:highlight w:val="none"/>
                <w:lang w:eastAsia="zh-CN"/>
              </w:rPr>
              <w:t>）</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详细描述系统的功能及实现方案，完全满足项目的需要，但不限于招标文件中需求。要求界面设计简洁大方、栏目板块设置合理；集成财务管理系统、网报系统、OA系统等系统，各系统间实现信息共享、消息互通、操作互访；实现统一用户管理, 统一认证与授权管理；后期门户能快速集成添加一些其它个性化应用。</w:t>
            </w:r>
          </w:p>
          <w:p>
            <w:pPr>
              <w:wordWrap w:val="0"/>
              <w:spacing w:line="440" w:lineRule="exact"/>
              <w:ind w:firstLine="422" w:firstLineChars="200"/>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1.网报系统（6分）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 xml:space="preserve">   面向全员提供所有财务前端业务的统一入口，实现个人费用报账、对公往来及结算业务报账流程在线审批；全业务实现报账，系统内嵌报销标准。本项满分6分，评委根据投标文件对比，酌情给分。</w:t>
            </w:r>
          </w:p>
          <w:p>
            <w:pPr>
              <w:wordWrap w:val="0"/>
              <w:spacing w:line="440" w:lineRule="exact"/>
              <w:ind w:firstLine="422" w:firstLineChars="200"/>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2.资金系统（6分）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满足集团资金管理需求，系统涵盖企业资金支出、账户管理、融资管理全过程管理，降低企业财务管理成本，提高财务人员的付款、收款、对账效率和准确性，减少人为干预带来的资金管理风险，与集团财务管控系统其他模块、集团业务系统进行数据交互。本项满分6分，评委根据投标文件对比，酌情给分。</w:t>
            </w:r>
          </w:p>
          <w:p>
            <w:pPr>
              <w:wordWrap w:val="0"/>
              <w:spacing w:line="440" w:lineRule="exact"/>
              <w:ind w:firstLine="422" w:firstLineChars="200"/>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3.财务核算管理系统（6分）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满足集团财务核算管理系统信息化建设目标需求,实现集团总体财务管控的需要，响应招标技术需求。本项满分6分，评委根据投标文件对比，酌情给分。</w:t>
            </w:r>
          </w:p>
          <w:p>
            <w:pPr>
              <w:wordWrap w:val="0"/>
              <w:spacing w:line="440" w:lineRule="exact"/>
              <w:ind w:firstLine="422" w:firstLineChars="200"/>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4.影像系统（4分）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支持采集原始凭证影像，实现影像文件自动与业务流程挂接，在线审核，实现原始凭证电子化、规范化管理。本项满分4分，评委根据投标文件对比，酌情给分。</w:t>
            </w:r>
          </w:p>
          <w:p>
            <w:pPr>
              <w:wordWrap w:val="0"/>
              <w:spacing w:line="440" w:lineRule="exact"/>
              <w:ind w:firstLine="422" w:firstLineChars="200"/>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5.OA系统（4分）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系统科学合理、各功能模块描述详细，满足招标方要求的各项功能及性能需求。如支持图形化流程设计功能、自定义平台、自定义数据表、自定义表单、自定义业务模块、自定义信息模块等。本项满分4分，评委根据投标文件对比，酌情给分。</w:t>
            </w:r>
          </w:p>
          <w:p>
            <w:pPr>
              <w:wordWrap w:val="0"/>
              <w:spacing w:line="440" w:lineRule="exact"/>
              <w:ind w:firstLine="422" w:firstLineChars="200"/>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6.移动客户端（4分）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支持全模块的移动客户端（Android、iOS）应用,要求设计合理、功能满足业务要求、支持后期添加应用。本项满分4分，评委根据投标文件对比，酌情给分。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lang w:eastAsia="zh-CN"/>
              </w:rPr>
            </w:pPr>
            <w:r>
              <w:rPr>
                <w:rFonts w:hint="eastAsia" w:asciiTheme="minorEastAsia" w:hAnsiTheme="minorEastAsia" w:eastAsiaTheme="minorEastAsia" w:cstheme="minorEastAsia"/>
                <w:b/>
                <w:bCs/>
                <w:kern w:val="0"/>
                <w:sz w:val="21"/>
                <w:szCs w:val="21"/>
                <w:highlight w:val="none"/>
              </w:rPr>
              <w:t>接口方案（包括历史数据迁移）</w:t>
            </w:r>
            <w:r>
              <w:rPr>
                <w:rFonts w:hint="eastAsia" w:asciiTheme="minorEastAsia" w:hAnsiTheme="minorEastAsia" w:eastAsiaTheme="minorEastAsia" w:cstheme="minorEastAsia"/>
                <w:b/>
                <w:bCs/>
                <w:kern w:val="0"/>
                <w:sz w:val="21"/>
                <w:szCs w:val="21"/>
                <w:highlight w:val="none"/>
                <w:lang w:eastAsia="zh-CN"/>
              </w:rPr>
              <w:t>（</w:t>
            </w:r>
            <w:r>
              <w:rPr>
                <w:rFonts w:hint="eastAsia" w:asciiTheme="minorEastAsia" w:hAnsiTheme="minorEastAsia" w:eastAsiaTheme="minorEastAsia" w:cstheme="minorEastAsia"/>
                <w:b/>
                <w:bCs/>
                <w:kern w:val="0"/>
                <w:sz w:val="21"/>
                <w:szCs w:val="21"/>
                <w:highlight w:val="none"/>
              </w:rPr>
              <w:t>4分</w:t>
            </w:r>
            <w:r>
              <w:rPr>
                <w:rFonts w:hint="eastAsia" w:asciiTheme="minorEastAsia" w:hAnsiTheme="minorEastAsia" w:eastAsiaTheme="minorEastAsia" w:cstheme="minorEastAsia"/>
                <w:b/>
                <w:bCs/>
                <w:kern w:val="0"/>
                <w:sz w:val="21"/>
                <w:szCs w:val="21"/>
                <w:highlight w:val="none"/>
                <w:lang w:eastAsia="zh-CN"/>
              </w:rPr>
              <w:t>）</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1.能提供详细、科学、准确的接口方案及历史数据迁移方案，满足系统接口开发及数据迁移需求。本项满分2分，评委根据投标文件对比，酌情给分。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2.与现有业务系统进行对接并预留端口，满足后期与行业ERP系统对接的相关要求。本项满分2分，评委根据投标文件对比，酌情给分。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lang w:val="en-US" w:eastAsia="zh-CN"/>
              </w:rPr>
            </w:pPr>
            <w:r>
              <w:rPr>
                <w:rFonts w:hint="eastAsia" w:asciiTheme="minorEastAsia" w:hAnsiTheme="minorEastAsia" w:eastAsiaTheme="minorEastAsia" w:cstheme="minorEastAsia"/>
                <w:b/>
                <w:bCs/>
                <w:kern w:val="0"/>
                <w:sz w:val="21"/>
                <w:szCs w:val="21"/>
                <w:highlight w:val="none"/>
              </w:rPr>
              <w:t>数据安全解决方案</w:t>
            </w:r>
            <w:r>
              <w:rPr>
                <w:rFonts w:hint="eastAsia" w:asciiTheme="minorEastAsia" w:hAnsiTheme="minorEastAsia" w:eastAsiaTheme="minorEastAsia" w:cstheme="minorEastAsia"/>
                <w:b/>
                <w:bCs/>
                <w:kern w:val="0"/>
                <w:sz w:val="21"/>
                <w:szCs w:val="21"/>
                <w:highlight w:val="none"/>
                <w:lang w:eastAsia="zh-CN"/>
              </w:rPr>
              <w:t>（</w:t>
            </w:r>
            <w:r>
              <w:rPr>
                <w:rFonts w:hint="eastAsia" w:asciiTheme="minorEastAsia" w:hAnsiTheme="minorEastAsia" w:eastAsiaTheme="minorEastAsia" w:cstheme="minorEastAsia"/>
                <w:b/>
                <w:bCs/>
                <w:kern w:val="0"/>
                <w:sz w:val="21"/>
                <w:szCs w:val="21"/>
                <w:highlight w:val="none"/>
                <w:lang w:val="en-US" w:eastAsia="zh-CN"/>
              </w:rPr>
              <w:t>3分）</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提供详细、科学、优秀的整体安全设计方案，包括数据库数据安全策略设计、用户展现层安全策略、负载过大等引起的服务器安全策略、黑客等恶意攻击安全策略、数据备份策略等。另需用到CA认证、加密狗、U盾等加密设备的需提供有关设备技术特点。本项满分</w:t>
            </w:r>
            <w:r>
              <w:rPr>
                <w:rFonts w:hint="eastAsia" w:asciiTheme="minorEastAsia" w:hAnsiTheme="minorEastAsia" w:eastAsiaTheme="minorEastAsia" w:cstheme="minorEastAsia"/>
                <w:kern w:val="0"/>
                <w:sz w:val="21"/>
                <w:szCs w:val="21"/>
                <w:highlight w:val="none"/>
                <w:lang w:val="en-US" w:eastAsia="zh-CN"/>
              </w:rPr>
              <w:t>3</w:t>
            </w:r>
            <w:r>
              <w:rPr>
                <w:rFonts w:hint="eastAsia" w:asciiTheme="minorEastAsia" w:hAnsiTheme="minorEastAsia" w:eastAsiaTheme="minorEastAsia" w:cstheme="minorEastAsia"/>
                <w:kern w:val="0"/>
                <w:sz w:val="21"/>
                <w:szCs w:val="21"/>
                <w:highlight w:val="none"/>
              </w:rPr>
              <w:t>分，评委根据投标文件对比，酌情给分。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lang w:eastAsia="zh-CN"/>
              </w:rPr>
            </w:pPr>
            <w:r>
              <w:rPr>
                <w:rFonts w:hint="eastAsia" w:asciiTheme="minorEastAsia" w:hAnsiTheme="minorEastAsia" w:eastAsiaTheme="minorEastAsia" w:cstheme="minorEastAsia"/>
                <w:b/>
                <w:bCs/>
                <w:kern w:val="0"/>
                <w:sz w:val="21"/>
                <w:szCs w:val="21"/>
                <w:highlight w:val="none"/>
              </w:rPr>
              <w:t>项目设计实施方案</w:t>
            </w:r>
            <w:r>
              <w:rPr>
                <w:rFonts w:hint="eastAsia" w:asciiTheme="minorEastAsia" w:hAnsiTheme="minorEastAsia" w:eastAsiaTheme="minorEastAsia" w:cstheme="minorEastAsia"/>
                <w:b/>
                <w:bCs/>
                <w:kern w:val="0"/>
                <w:sz w:val="21"/>
                <w:szCs w:val="21"/>
                <w:highlight w:val="none"/>
                <w:lang w:eastAsia="zh-CN"/>
              </w:rPr>
              <w:t>（6分）</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1.能够针对交控集团财务共享服务中心建设开展调研及分析，对财务共享组织建设、业务流程优化、信息系统建设、共享运营管理提出设计方案。本项满分3分，评委根据投标文件对比，酌情给分。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项目实施方案科学合理，有明确的工程进度和管理措施，有明确的项目实施保障措施，对质量有详细的控制方案和措施，有详细、明确的验收方案。培训工作的目标、任务、计划、组织等实施方案安排合理、可行。本项满分3分，评委根据投标文件对比，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lang w:val="en-US" w:eastAsia="zh-CN"/>
              </w:rPr>
            </w:pPr>
            <w:r>
              <w:rPr>
                <w:rFonts w:hint="eastAsia" w:asciiTheme="minorEastAsia" w:hAnsiTheme="minorEastAsia" w:eastAsiaTheme="minorEastAsia" w:cstheme="minorEastAsia"/>
                <w:b/>
                <w:bCs/>
                <w:kern w:val="0"/>
                <w:sz w:val="21"/>
                <w:szCs w:val="21"/>
                <w:highlight w:val="none"/>
              </w:rPr>
              <w:t>系统测试方案</w:t>
            </w:r>
            <w:r>
              <w:rPr>
                <w:rFonts w:hint="eastAsia" w:asciiTheme="minorEastAsia" w:hAnsiTheme="minorEastAsia" w:eastAsiaTheme="minorEastAsia" w:cstheme="minorEastAsia"/>
                <w:b/>
                <w:bCs/>
                <w:kern w:val="0"/>
                <w:sz w:val="21"/>
                <w:szCs w:val="21"/>
                <w:highlight w:val="none"/>
                <w:lang w:eastAsia="zh-CN"/>
              </w:rPr>
              <w:t>（</w:t>
            </w:r>
            <w:r>
              <w:rPr>
                <w:rFonts w:hint="eastAsia" w:asciiTheme="minorEastAsia" w:hAnsiTheme="minorEastAsia" w:eastAsiaTheme="minorEastAsia" w:cstheme="minorEastAsia"/>
                <w:b/>
                <w:bCs/>
                <w:kern w:val="0"/>
                <w:sz w:val="21"/>
                <w:szCs w:val="21"/>
                <w:highlight w:val="none"/>
                <w:lang w:val="en-US" w:eastAsia="zh-CN"/>
              </w:rPr>
              <w:t>3分）</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制定科学、合理、规范的系统测试方案，包括测试方法、测试工具、测试数据及用例、测试审核及结果认定办法。本项满分3分，评委根据投标文件对比，酌情给分。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lang w:val="en-US" w:eastAsia="zh-CN"/>
              </w:rPr>
            </w:pPr>
            <w:r>
              <w:rPr>
                <w:rFonts w:hint="eastAsia" w:asciiTheme="minorEastAsia" w:hAnsiTheme="minorEastAsia" w:eastAsiaTheme="minorEastAsia" w:cstheme="minorEastAsia"/>
                <w:b/>
                <w:bCs/>
                <w:kern w:val="0"/>
                <w:sz w:val="21"/>
                <w:szCs w:val="21"/>
                <w:highlight w:val="none"/>
              </w:rPr>
              <w:t>项目培训方案</w:t>
            </w:r>
            <w:r>
              <w:rPr>
                <w:rFonts w:hint="eastAsia" w:asciiTheme="minorEastAsia" w:hAnsiTheme="minorEastAsia" w:eastAsiaTheme="minorEastAsia" w:cstheme="minorEastAsia"/>
                <w:b/>
                <w:bCs/>
                <w:kern w:val="0"/>
                <w:sz w:val="21"/>
                <w:szCs w:val="21"/>
                <w:highlight w:val="none"/>
                <w:lang w:eastAsia="zh-CN"/>
              </w:rPr>
              <w:t>（</w:t>
            </w:r>
            <w:r>
              <w:rPr>
                <w:rFonts w:hint="eastAsia" w:asciiTheme="minorEastAsia" w:hAnsiTheme="minorEastAsia" w:eastAsiaTheme="minorEastAsia" w:cstheme="minorEastAsia"/>
                <w:b/>
                <w:bCs/>
                <w:kern w:val="0"/>
                <w:sz w:val="21"/>
                <w:szCs w:val="21"/>
                <w:highlight w:val="none"/>
                <w:lang w:val="en-US" w:eastAsia="zh-CN"/>
              </w:rPr>
              <w:t>2分）</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制定科学、合理，适应不同层次使用人员的培训方案，包括培训讲师安排、培训教材制作、培训课程计划执行、培训规范制定等。本项满分2分，评委根据投标文件对比，酌情给分。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b/>
                <w:bCs/>
                <w:kern w:val="0"/>
                <w:sz w:val="21"/>
                <w:szCs w:val="21"/>
                <w:highlight w:val="none"/>
                <w:lang w:eastAsia="zh-CN"/>
              </w:rPr>
            </w:pPr>
            <w:r>
              <w:rPr>
                <w:rFonts w:hint="eastAsia" w:asciiTheme="minorEastAsia" w:hAnsiTheme="minorEastAsia" w:eastAsiaTheme="minorEastAsia" w:cstheme="minorEastAsia"/>
                <w:b/>
                <w:bCs/>
                <w:kern w:val="0"/>
                <w:sz w:val="21"/>
                <w:szCs w:val="21"/>
                <w:highlight w:val="none"/>
                <w:lang w:eastAsia="zh-CN"/>
              </w:rPr>
              <w:t>三</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b/>
                <w:bCs/>
                <w:kern w:val="0"/>
                <w:sz w:val="21"/>
                <w:szCs w:val="21"/>
                <w:highlight w:val="none"/>
                <w:lang w:val="en-US" w:eastAsia="zh-CN"/>
              </w:rPr>
            </w:pPr>
            <w:r>
              <w:rPr>
                <w:rFonts w:hint="eastAsia" w:asciiTheme="minorEastAsia" w:hAnsiTheme="minorEastAsia" w:eastAsiaTheme="minorEastAsia" w:cstheme="minorEastAsia"/>
                <w:b/>
                <w:bCs/>
                <w:kern w:val="0"/>
                <w:sz w:val="21"/>
                <w:szCs w:val="21"/>
                <w:highlight w:val="none"/>
                <w:lang w:val="en-US" w:eastAsia="zh-CN"/>
              </w:rPr>
              <w:t>其他</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2" w:firstLineChars="200"/>
              <w:rPr>
                <w:rFonts w:hint="eastAsia" w:asciiTheme="minorEastAsia" w:hAnsiTheme="minorEastAsia" w:eastAsiaTheme="minorEastAsia" w:cstheme="minorEastAsia"/>
                <w:b/>
                <w:bCs/>
                <w:kern w:val="0"/>
                <w:sz w:val="21"/>
                <w:szCs w:val="21"/>
                <w:highlight w:val="none"/>
                <w:lang w:val="en-US" w:eastAsia="zh-CN"/>
              </w:rPr>
            </w:pPr>
            <w:r>
              <w:rPr>
                <w:rFonts w:hint="eastAsia" w:asciiTheme="minorEastAsia" w:hAnsiTheme="minorEastAsia" w:eastAsiaTheme="minorEastAsia" w:cstheme="minorEastAsia"/>
                <w:b/>
                <w:bCs/>
                <w:kern w:val="0"/>
                <w:sz w:val="21"/>
                <w:szCs w:val="21"/>
                <w:highlight w:val="none"/>
                <w:lang w:eastAsia="zh-CN"/>
              </w:rPr>
              <w:t>满分</w:t>
            </w:r>
            <w:r>
              <w:rPr>
                <w:rFonts w:hint="eastAsia" w:asciiTheme="minorEastAsia" w:hAnsiTheme="minorEastAsia" w:cstheme="minorEastAsia"/>
                <w:b/>
                <w:bCs/>
                <w:kern w:val="0"/>
                <w:sz w:val="21"/>
                <w:szCs w:val="21"/>
                <w:highlight w:val="none"/>
                <w:lang w:val="en-US" w:eastAsia="zh-CN"/>
              </w:rPr>
              <w:t>8</w:t>
            </w:r>
            <w:r>
              <w:rPr>
                <w:rFonts w:hint="eastAsia" w:asciiTheme="minorEastAsia" w:hAnsiTheme="minorEastAsia" w:eastAsiaTheme="minorEastAsia" w:cstheme="minorEastAsia"/>
                <w:b/>
                <w:bCs/>
                <w:kern w:val="0"/>
                <w:sz w:val="21"/>
                <w:szCs w:val="21"/>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lang w:val="en-US" w:eastAsia="zh-CN"/>
              </w:rPr>
            </w:pPr>
            <w:r>
              <w:rPr>
                <w:rFonts w:hint="eastAsia" w:asciiTheme="minorEastAsia" w:hAnsiTheme="minorEastAsia" w:eastAsiaTheme="minorEastAsia" w:cstheme="minorEastAsia"/>
                <w:kern w:val="0"/>
                <w:sz w:val="21"/>
                <w:szCs w:val="21"/>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lang w:val="en-US" w:eastAsia="zh-CN"/>
              </w:rPr>
            </w:pPr>
            <w:r>
              <w:rPr>
                <w:rFonts w:hint="eastAsia" w:asciiTheme="minorEastAsia" w:hAnsiTheme="minorEastAsia" w:eastAsiaTheme="minorEastAsia" w:cstheme="minorEastAsia"/>
                <w:b/>
                <w:bCs/>
                <w:kern w:val="0"/>
                <w:sz w:val="21"/>
                <w:szCs w:val="21"/>
                <w:highlight w:val="none"/>
              </w:rPr>
              <w:t>售后服务及维护方案</w:t>
            </w:r>
            <w:r>
              <w:rPr>
                <w:rFonts w:hint="eastAsia" w:asciiTheme="minorEastAsia" w:hAnsiTheme="minorEastAsia" w:eastAsiaTheme="minorEastAsia" w:cstheme="minorEastAsia"/>
                <w:b/>
                <w:bCs/>
                <w:kern w:val="0"/>
                <w:sz w:val="21"/>
                <w:szCs w:val="21"/>
                <w:highlight w:val="none"/>
                <w:lang w:eastAsia="zh-CN"/>
              </w:rPr>
              <w:t>（</w:t>
            </w:r>
            <w:r>
              <w:rPr>
                <w:rFonts w:hint="eastAsia" w:asciiTheme="minorEastAsia" w:hAnsiTheme="minorEastAsia" w:eastAsiaTheme="minorEastAsia" w:cstheme="minorEastAsia"/>
                <w:b/>
                <w:bCs/>
                <w:kern w:val="0"/>
                <w:sz w:val="21"/>
                <w:szCs w:val="21"/>
                <w:highlight w:val="none"/>
                <w:lang w:val="en-US" w:eastAsia="zh-CN"/>
              </w:rPr>
              <w:t>8分）</w:t>
            </w:r>
          </w:p>
        </w:tc>
        <w:tc>
          <w:tcPr>
            <w:tcW w:w="552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1.免费维护期1年，每增加1年，得1分，满分3分；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2.后期维护费比率在5%的基础上，每降低1%得2分，满分4分；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3.承诺在产品服务期间提供系统软件免费升级，得1分。</w:t>
            </w:r>
          </w:p>
        </w:tc>
      </w:tr>
    </w:tbl>
    <w:p>
      <w:pPr>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sz w:val="21"/>
          <w:szCs w:val="21"/>
          <w:highlight w:val="none"/>
        </w:rPr>
        <w:t>说明：评分区间一律按左闭右开计算，评分保留</w:t>
      </w:r>
      <w:r>
        <w:rPr>
          <w:rFonts w:hint="eastAsia" w:asciiTheme="minorEastAsia" w:hAnsiTheme="minorEastAsia" w:eastAsiaTheme="minorEastAsia" w:cstheme="minorEastAsia"/>
          <w:sz w:val="21"/>
          <w:szCs w:val="21"/>
          <w:highlight w:val="none"/>
          <w:lang w:val="en-US" w:eastAsia="zh-CN"/>
        </w:rPr>
        <w:t>1</w:t>
      </w:r>
      <w:r>
        <w:rPr>
          <w:rFonts w:hint="eastAsia" w:asciiTheme="minorEastAsia" w:hAnsiTheme="minorEastAsia" w:eastAsiaTheme="minorEastAsia" w:cstheme="minorEastAsia"/>
          <w:sz w:val="21"/>
          <w:szCs w:val="21"/>
          <w:highlight w:val="none"/>
        </w:rPr>
        <w:t>位小数。</w:t>
      </w:r>
    </w:p>
    <w:p>
      <w:pPr>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br w:type="page"/>
      </w:r>
    </w:p>
    <w:p>
      <w:pPr>
        <w:wordWrap w:val="0"/>
        <w:spacing w:line="440" w:lineRule="exact"/>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1. 评标方法</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本次评标采用综合评估法。评标委员会对满足招标文件实质性要求的投标文件，按照本章规定的评分标准进行打分，并按得分由高到低顺序推荐中标候选人，或根据招标人授权直接确定中标人，但投标报价低于其成本的除外。综合评分相等时，以投标报价低的优先；投标报价也相等的，由招标人或者经招标人授权评标委员会自行确定。</w:t>
      </w:r>
    </w:p>
    <w:p>
      <w:pPr>
        <w:wordWrap w:val="0"/>
        <w:spacing w:line="440" w:lineRule="exact"/>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2. 评审标准</w:t>
      </w:r>
    </w:p>
    <w:p>
      <w:pPr>
        <w:wordWrap w:val="0"/>
        <w:spacing w:line="440" w:lineRule="exact"/>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2.1 初步评审标准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2.1.1 形式评审标准：见评标办法前附表。</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2.1.2 资格评审标准：见评标办法前附表。</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2.1.3 响应性评审标准：见评标办法前附表。</w:t>
      </w:r>
    </w:p>
    <w:p>
      <w:pPr>
        <w:wordWrap w:val="0"/>
        <w:spacing w:line="440" w:lineRule="exact"/>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2.2 分值构成与评分标准</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2.2.1 分值构成</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（1）商务部分：见评标办法前附表；</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（2）技术部分：见评标办法前附表；</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（3）其他部分：见评标办法前附表。</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2.2.2 评标基准价计算</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评标基准价计算方法：见评标办法前附表。</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2.2.3 投标报价的偏差率计算</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投标报价的偏差率计算公式：见评标办法前附表。</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2.2.4 评分标准</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w:t>
      </w:r>
      <w:r>
        <w:rPr>
          <w:rFonts w:hint="eastAsia" w:asciiTheme="minorEastAsia" w:hAnsiTheme="minorEastAsia" w:eastAsiaTheme="minorEastAsia" w:cstheme="minorEastAsia"/>
          <w:kern w:val="0"/>
          <w:sz w:val="21"/>
          <w:szCs w:val="21"/>
          <w:highlight w:val="none"/>
          <w:lang w:eastAsia="zh-CN"/>
        </w:rPr>
        <w:t>商务</w:t>
      </w:r>
      <w:r>
        <w:rPr>
          <w:rFonts w:hint="eastAsia" w:asciiTheme="minorEastAsia" w:hAnsiTheme="minorEastAsia" w:eastAsiaTheme="minorEastAsia" w:cstheme="minorEastAsia"/>
          <w:kern w:val="0"/>
          <w:sz w:val="21"/>
          <w:szCs w:val="21"/>
          <w:highlight w:val="none"/>
        </w:rPr>
        <w:t>部分：见评标办法前附表；</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w:t>
      </w:r>
      <w:r>
        <w:rPr>
          <w:rFonts w:hint="eastAsia" w:asciiTheme="minorEastAsia" w:hAnsiTheme="minorEastAsia" w:eastAsiaTheme="minorEastAsia" w:cstheme="minorEastAsia"/>
          <w:kern w:val="0"/>
          <w:sz w:val="21"/>
          <w:szCs w:val="21"/>
          <w:highlight w:val="none"/>
          <w:lang w:eastAsia="zh-CN"/>
        </w:rPr>
        <w:t>技术</w:t>
      </w:r>
      <w:r>
        <w:rPr>
          <w:rFonts w:hint="eastAsia" w:asciiTheme="minorEastAsia" w:hAnsiTheme="minorEastAsia" w:eastAsiaTheme="minorEastAsia" w:cstheme="minorEastAsia"/>
          <w:kern w:val="0"/>
          <w:sz w:val="21"/>
          <w:szCs w:val="21"/>
          <w:highlight w:val="none"/>
        </w:rPr>
        <w:t>部分：见评标办法前附表；</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w:t>
      </w:r>
      <w:r>
        <w:rPr>
          <w:rFonts w:hint="eastAsia" w:asciiTheme="minorEastAsia" w:hAnsiTheme="minorEastAsia" w:eastAsiaTheme="minorEastAsia" w:cstheme="minorEastAsia"/>
          <w:kern w:val="0"/>
          <w:sz w:val="21"/>
          <w:szCs w:val="21"/>
          <w:highlight w:val="none"/>
          <w:lang w:eastAsia="zh-CN"/>
        </w:rPr>
        <w:t>其他</w:t>
      </w:r>
      <w:r>
        <w:rPr>
          <w:rFonts w:hint="eastAsia" w:asciiTheme="minorEastAsia" w:hAnsiTheme="minorEastAsia" w:eastAsiaTheme="minorEastAsia" w:cstheme="minorEastAsia"/>
          <w:kern w:val="0"/>
          <w:sz w:val="21"/>
          <w:szCs w:val="21"/>
          <w:highlight w:val="none"/>
        </w:rPr>
        <w:t>部分：见评标办法前附表。</w:t>
      </w:r>
    </w:p>
    <w:p>
      <w:pPr>
        <w:wordWrap w:val="0"/>
        <w:spacing w:line="440" w:lineRule="exact"/>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3. 评标程序</w:t>
      </w:r>
    </w:p>
    <w:p>
      <w:pPr>
        <w:wordWrap w:val="0"/>
        <w:spacing w:line="440" w:lineRule="exact"/>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3.1 初步评审</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3.1.2 投标人有以下情形之一的，评标委员会应当否决其投标：</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（1）国家发改委发布的《中华人民共和国标准招标文件》第二章“投标人须知”细则中第1.4.3项、第1.4.4项规定的任何一种情形的；</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（2）串通投标或弄虚作假或有其他违法行为的；</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（3）不按评标委员会要求澄清、说明或补正的。</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3.1.3投标报价有算术错误及其他错误的，评标委员会按以下原则要求投标人对投标报价进行修正，并要求投标人书面澄清确认。投标人拒不澄清确认的，评标委员会应当否决其投标：</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（1）投标文件中的大写金额与小写金额不一致的，以大写金额为准；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（2）总价金额与依据单价计算出的结果不一致的，以单价金额为准修正总价，但单价金额小数点有明显错误的除外。</w:t>
      </w:r>
    </w:p>
    <w:p>
      <w:pPr>
        <w:wordWrap w:val="0"/>
        <w:spacing w:line="440" w:lineRule="exact"/>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3.2 详细评审</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3.2.1 评标委员会按本章规定的量化因素和分值进行打分，并计算出综合评估得分。</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（1）按本章规定的评审因素和分值对商务部分计算出得分A；</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（2）按本章规定的评审因素和分值对技术部分计算出得分B；</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（3）按本章规定的评审因素和分值对</w:t>
      </w:r>
      <w:r>
        <w:rPr>
          <w:rFonts w:hint="eastAsia" w:asciiTheme="minorEastAsia" w:hAnsiTheme="minorEastAsia" w:eastAsiaTheme="minorEastAsia" w:cstheme="minorEastAsia"/>
          <w:kern w:val="0"/>
          <w:sz w:val="21"/>
          <w:szCs w:val="21"/>
          <w:highlight w:val="none"/>
          <w:lang w:eastAsia="zh-CN"/>
        </w:rPr>
        <w:t>其他</w:t>
      </w:r>
      <w:r>
        <w:rPr>
          <w:rFonts w:hint="eastAsia" w:asciiTheme="minorEastAsia" w:hAnsiTheme="minorEastAsia" w:eastAsiaTheme="minorEastAsia" w:cstheme="minorEastAsia"/>
          <w:kern w:val="0"/>
          <w:sz w:val="21"/>
          <w:szCs w:val="21"/>
          <w:highlight w:val="none"/>
        </w:rPr>
        <w:t>部分计算出得分C。</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3.2.2 评分分值计算保留小数点后两位，小数点后第三位“四舍五入”。</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3.2.3 投标人得分=A+B+C。</w:t>
      </w:r>
    </w:p>
    <w:p>
      <w:pPr>
        <w:wordWrap w:val="0"/>
        <w:spacing w:line="42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3.2.4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wordWrap w:val="0"/>
        <w:spacing w:line="440" w:lineRule="exact"/>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3.3 投标文件的澄清和补正</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3.3.2 澄清、说明或补正不得超出投标文件的范围且不得改变投标文件的实质性内容，并构成投标文件的组成部分。</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3.3.3 评标委员会对投标人提交的澄清、说明或补正有疑问的，可以要求投标人进一步澄清、说明或补正，直至满足评标委员会的要求。</w:t>
      </w:r>
    </w:p>
    <w:p>
      <w:pPr>
        <w:wordWrap w:val="0"/>
        <w:spacing w:line="440" w:lineRule="exact"/>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3.4 评标结果</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3.4.1 除第二章“投标人须知”前附表授权直接确定中标人外，评标委员会按照得分由高到低的顺序推荐中标候选人，并标明排序。</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3.4.2 评标委员会完成评标后，应当向招标人提交书面评标报告和中标候选人名单。</w:t>
      </w:r>
    </w:p>
    <w:p>
      <w:pPr>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br w:type="page"/>
      </w:r>
    </w:p>
    <w:p>
      <w:pPr>
        <w:spacing w:line="480" w:lineRule="exact"/>
        <w:jc w:val="center"/>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t xml:space="preserve">第四章 </w:t>
      </w:r>
      <w:r>
        <w:rPr>
          <w:rFonts w:asciiTheme="majorEastAsia" w:hAnsiTheme="majorEastAsia" w:eastAsiaTheme="majorEastAsia" w:cstheme="majorEastAsia"/>
          <w:b/>
          <w:bCs/>
          <w:sz w:val="32"/>
          <w:szCs w:val="32"/>
          <w:highlight w:val="none"/>
        </w:rPr>
        <w:t>合同条款及格式</w:t>
      </w:r>
    </w:p>
    <w:p>
      <w:pPr>
        <w:spacing w:line="480" w:lineRule="exact"/>
        <w:jc w:val="center"/>
        <w:rPr>
          <w:rFonts w:asciiTheme="majorEastAsia" w:hAnsiTheme="majorEastAsia" w:eastAsiaTheme="majorEastAsia" w:cstheme="majorEastAsia"/>
          <w:b/>
          <w:bCs/>
          <w:sz w:val="32"/>
          <w:szCs w:val="32"/>
          <w:highlight w:val="none"/>
        </w:rPr>
      </w:pPr>
    </w:p>
    <w:p>
      <w:pPr>
        <w:spacing w:before="156" w:beforeLines="50" w:after="156" w:afterLines="50" w:line="480" w:lineRule="exact"/>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t>合同条款前附表</w:t>
      </w:r>
    </w:p>
    <w:tbl>
      <w:tblPr>
        <w:tblStyle w:val="15"/>
        <w:tblW w:w="88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序号</w:t>
            </w:r>
          </w:p>
        </w:tc>
        <w:tc>
          <w:tcPr>
            <w:tcW w:w="1417" w:type="dxa"/>
            <w:vAlign w:val="center"/>
          </w:tcPr>
          <w:p>
            <w:pPr>
              <w:wordWrap w:val="0"/>
              <w:spacing w:line="440" w:lineRule="exact"/>
              <w:jc w:val="center"/>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条款名称</w:t>
            </w:r>
          </w:p>
        </w:tc>
        <w:tc>
          <w:tcPr>
            <w:tcW w:w="6611" w:type="dxa"/>
            <w:vAlign w:val="center"/>
          </w:tcPr>
          <w:p>
            <w:pPr>
              <w:wordWrap w:val="0"/>
              <w:spacing w:line="440" w:lineRule="exact"/>
              <w:jc w:val="center"/>
              <w:rPr>
                <w:rFonts w:hint="eastAsia" w:asciiTheme="minorEastAsia" w:hAnsiTheme="minorEastAsia" w:eastAsiaTheme="minorEastAsia" w:cstheme="minorEastAsia"/>
                <w:b/>
                <w:bCs/>
                <w:kern w:val="0"/>
                <w:sz w:val="21"/>
                <w:szCs w:val="21"/>
                <w:highlight w:val="none"/>
              </w:rPr>
            </w:pPr>
            <w:r>
              <w:rPr>
                <w:rFonts w:hint="eastAsia" w:asciiTheme="minorEastAsia" w:hAnsiTheme="minorEastAsia" w:eastAsiaTheme="minorEastAsia" w:cstheme="minorEastAsia"/>
                <w:b/>
                <w:bCs/>
                <w:kern w:val="0"/>
                <w:sz w:val="21"/>
                <w:szCs w:val="21"/>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w:t>
            </w:r>
          </w:p>
        </w:tc>
        <w:tc>
          <w:tcPr>
            <w:tcW w:w="1417" w:type="dxa"/>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付款人</w:t>
            </w:r>
          </w:p>
        </w:tc>
        <w:tc>
          <w:tcPr>
            <w:tcW w:w="6611" w:type="dxa"/>
            <w:vAlign w:val="center"/>
          </w:tcPr>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亳州交通投资控股集团有限公司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w:t>
            </w:r>
          </w:p>
        </w:tc>
        <w:tc>
          <w:tcPr>
            <w:tcW w:w="1417" w:type="dxa"/>
            <w:vAlign w:val="center"/>
          </w:tcPr>
          <w:p>
            <w:pPr>
              <w:wordWrap w:val="0"/>
              <w:spacing w:line="440" w:lineRule="exact"/>
              <w:jc w:val="center"/>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付款方式</w:t>
            </w:r>
          </w:p>
        </w:tc>
        <w:tc>
          <w:tcPr>
            <w:tcW w:w="6611" w:type="dxa"/>
            <w:vAlign w:val="center"/>
          </w:tcPr>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1.完成前期调研、咨询、出具设计方案经招标人确认合格后10个工作日内，支付至合同总价款的20%；</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2.完成系统搭建、相关业务培训、上线试运行，经招标人初验合格后10个工作日内，支付至合同总价款的50%；</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3.各模块满足亳州交控集团财务共享模式运行，并完成正式上线，经招标人最终验收合格后10个工作日内，支付至合同总价款的90%；</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4.剩余10%合同价款在验收合格并正常运行满12个月后10个工作日内支付。</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 xml:space="preserve">5. </w:t>
            </w:r>
            <w:r>
              <w:rPr>
                <w:rFonts w:hint="eastAsia" w:asciiTheme="minorEastAsia" w:hAnsiTheme="minorEastAsia" w:eastAsiaTheme="minorEastAsia" w:cstheme="minorEastAsia"/>
                <w:b/>
                <w:bCs/>
                <w:kern w:val="0"/>
                <w:sz w:val="21"/>
                <w:szCs w:val="21"/>
                <w:highlight w:val="none"/>
              </w:rPr>
              <w:t>若中标人未按照合同及招标文件约定开展工作或提交的成果</w:t>
            </w:r>
            <w:r>
              <w:rPr>
                <w:rFonts w:hint="eastAsia" w:asciiTheme="minorEastAsia" w:hAnsiTheme="minorEastAsia" w:cstheme="minorEastAsia"/>
                <w:b/>
                <w:bCs/>
                <w:kern w:val="0"/>
                <w:sz w:val="21"/>
                <w:szCs w:val="21"/>
                <w:highlight w:val="none"/>
                <w:lang w:eastAsia="zh-CN"/>
              </w:rPr>
              <w:t>与招标人需求</w:t>
            </w:r>
            <w:r>
              <w:rPr>
                <w:rFonts w:hint="eastAsia" w:asciiTheme="minorEastAsia" w:hAnsiTheme="minorEastAsia" w:eastAsiaTheme="minorEastAsia" w:cstheme="minorEastAsia"/>
                <w:b/>
                <w:bCs/>
                <w:kern w:val="0"/>
                <w:sz w:val="21"/>
                <w:szCs w:val="21"/>
                <w:highlight w:val="none"/>
              </w:rPr>
              <w:t>存在较大差距，招标人有权单方面解除合同，不支付费用，且不承担任何法律责任</w:t>
            </w:r>
            <w:r>
              <w:rPr>
                <w:rFonts w:hint="eastAsia" w:asciiTheme="minorEastAsia" w:hAnsiTheme="minorEastAsia" w:eastAsiaTheme="minorEastAsia" w:cstheme="minorEastAsia"/>
                <w:kern w:val="0"/>
                <w:sz w:val="21"/>
                <w:szCs w:val="21"/>
                <w:highlight w:val="none"/>
              </w:rPr>
              <w:t>。</w:t>
            </w:r>
          </w:p>
          <w:p>
            <w:pPr>
              <w:wordWrap w:val="0"/>
              <w:spacing w:line="440" w:lineRule="exact"/>
              <w:ind w:firstLine="420" w:firstLineChars="20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注：</w:t>
            </w:r>
            <w:r>
              <w:rPr>
                <w:rFonts w:hint="eastAsia" w:asciiTheme="minorEastAsia" w:hAnsiTheme="minorEastAsia" w:eastAsiaTheme="minorEastAsia" w:cstheme="minorEastAsia"/>
                <w:kern w:val="0"/>
                <w:sz w:val="21"/>
                <w:szCs w:val="21"/>
                <w:highlight w:val="none"/>
                <w:lang w:eastAsia="zh-CN"/>
              </w:rPr>
              <w:t>招标人</w:t>
            </w:r>
            <w:r>
              <w:rPr>
                <w:rFonts w:hint="eastAsia" w:asciiTheme="minorEastAsia" w:hAnsiTheme="minorEastAsia" w:eastAsiaTheme="minorEastAsia" w:cstheme="minorEastAsia"/>
                <w:kern w:val="0"/>
                <w:sz w:val="21"/>
                <w:szCs w:val="21"/>
                <w:highlight w:val="none"/>
              </w:rPr>
              <w:t>付款前，</w:t>
            </w:r>
            <w:r>
              <w:rPr>
                <w:rFonts w:hint="eastAsia" w:asciiTheme="minorEastAsia" w:hAnsiTheme="minorEastAsia" w:eastAsiaTheme="minorEastAsia" w:cstheme="minorEastAsia"/>
                <w:kern w:val="0"/>
                <w:sz w:val="21"/>
                <w:szCs w:val="21"/>
                <w:highlight w:val="none"/>
                <w:lang w:eastAsia="zh-CN"/>
              </w:rPr>
              <w:t>中标人</w:t>
            </w:r>
            <w:r>
              <w:rPr>
                <w:rFonts w:hint="eastAsia" w:asciiTheme="minorEastAsia" w:hAnsiTheme="minorEastAsia" w:eastAsiaTheme="minorEastAsia" w:cstheme="minorEastAsia"/>
                <w:kern w:val="0"/>
                <w:sz w:val="21"/>
                <w:szCs w:val="21"/>
                <w:highlight w:val="none"/>
              </w:rPr>
              <w:t>应按照国家税收有关规定开具等额增值税专用发票。</w:t>
            </w:r>
          </w:p>
        </w:tc>
      </w:tr>
    </w:tbl>
    <w:p>
      <w:pPr>
        <w:spacing w:line="480" w:lineRule="exact"/>
        <w:rPr>
          <w:rFonts w:ascii="Times New Roman" w:hAnsi="Times New Roman" w:eastAsia="仿宋_GB2312" w:cs="Times New Roman"/>
          <w:sz w:val="28"/>
          <w:szCs w:val="28"/>
          <w:highlight w:val="none"/>
        </w:rPr>
      </w:pPr>
    </w:p>
    <w:p>
      <w:pPr>
        <w:spacing w:line="480" w:lineRule="exact"/>
        <w:ind w:firstLine="420" w:firstLineChars="200"/>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sz w:val="21"/>
          <w:szCs w:val="21"/>
          <w:highlight w:val="none"/>
        </w:rPr>
        <w:t>具体合同内容由招标人与中标单位在不违背招标文件内容和投标文件承诺的条件下友好协商签订。</w:t>
      </w:r>
    </w:p>
    <w:p>
      <w:pPr>
        <w:rPr>
          <w:rFonts w:hint="eastAsia" w:asciiTheme="minorEastAsia" w:hAnsiTheme="minorEastAsia" w:eastAsiaTheme="minorEastAsia" w:cstheme="minorEastAsia"/>
          <w:b/>
          <w:bCs/>
          <w:sz w:val="32"/>
          <w:szCs w:val="32"/>
          <w:highlight w:val="none"/>
        </w:rPr>
      </w:pPr>
    </w:p>
    <w:p>
      <w:pPr>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br w:type="page"/>
      </w:r>
    </w:p>
    <w:p>
      <w:pPr>
        <w:spacing w:line="480" w:lineRule="exact"/>
        <w:jc w:val="center"/>
        <w:rPr>
          <w:rFonts w:hint="eastAsia" w:asciiTheme="majorEastAsia" w:hAnsiTheme="majorEastAsia" w:eastAsiaTheme="majorEastAsia" w:cstheme="majorEastAsia"/>
          <w:b/>
          <w:bCs/>
          <w:sz w:val="32"/>
          <w:szCs w:val="32"/>
          <w:highlight w:val="none"/>
          <w:lang w:eastAsia="zh-CN"/>
        </w:rPr>
      </w:pPr>
      <w:r>
        <w:rPr>
          <w:rFonts w:hint="eastAsia" w:asciiTheme="majorEastAsia" w:hAnsiTheme="majorEastAsia" w:eastAsiaTheme="majorEastAsia" w:cstheme="majorEastAsia"/>
          <w:b/>
          <w:bCs/>
          <w:sz w:val="32"/>
          <w:szCs w:val="32"/>
          <w:highlight w:val="none"/>
        </w:rPr>
        <w:t xml:space="preserve">第五章 </w:t>
      </w:r>
      <w:r>
        <w:rPr>
          <w:rFonts w:hint="eastAsia" w:asciiTheme="majorEastAsia" w:hAnsiTheme="majorEastAsia" w:eastAsiaTheme="majorEastAsia" w:cstheme="majorEastAsia"/>
          <w:b/>
          <w:bCs/>
          <w:sz w:val="32"/>
          <w:szCs w:val="32"/>
          <w:highlight w:val="none"/>
          <w:lang w:eastAsia="zh-CN"/>
        </w:rPr>
        <w:t>招标人要求</w:t>
      </w:r>
    </w:p>
    <w:p>
      <w:pPr>
        <w:keepNext w:val="0"/>
        <w:keepLines w:val="0"/>
        <w:pageBreakBefore w:val="0"/>
        <w:widowControl w:val="0"/>
        <w:kinsoku/>
        <w:wordWrap/>
        <w:overflowPunct/>
        <w:topLinePunct w:val="0"/>
        <w:bidi w:val="0"/>
        <w:snapToGrid/>
        <w:spacing w:line="540" w:lineRule="exact"/>
        <w:ind w:firstLine="422" w:firstLineChars="200"/>
        <w:textAlignment w:val="auto"/>
        <w:rPr>
          <w:rFonts w:hint="eastAsia" w:asciiTheme="minorEastAsia" w:hAnsiTheme="minorEastAsia" w:eastAsiaTheme="minorEastAsia" w:cstheme="minorEastAsia"/>
          <w:b/>
          <w:bCs w:val="0"/>
          <w:sz w:val="21"/>
          <w:szCs w:val="21"/>
        </w:rPr>
      </w:pPr>
      <w:r>
        <w:rPr>
          <w:rFonts w:hint="eastAsia" w:asciiTheme="minorEastAsia" w:hAnsiTheme="minorEastAsia" w:eastAsiaTheme="minorEastAsia" w:cstheme="minorEastAsia"/>
          <w:b/>
          <w:bCs w:val="0"/>
          <w:sz w:val="21"/>
          <w:szCs w:val="21"/>
          <w:lang w:eastAsia="zh-CN"/>
        </w:rPr>
        <w:t>一</w:t>
      </w:r>
      <w:r>
        <w:rPr>
          <w:rFonts w:hint="eastAsia" w:asciiTheme="minorEastAsia" w:hAnsiTheme="minorEastAsia" w:eastAsiaTheme="minorEastAsia" w:cstheme="minorEastAsia"/>
          <w:b/>
          <w:bCs w:val="0"/>
          <w:sz w:val="21"/>
          <w:szCs w:val="21"/>
        </w:rPr>
        <w:t>、招标人需求</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（一）项目建设目标</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总体目标：通过建立亳州交控集团财务共享中心，实现业财一体化管理。集团各级公司的财务统一由财务共享中心履行财务监督和核算职能，通过财务共享中心模式进行相应的财务处理和应用。</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具体目标：通过实施统一报账管理，实现报账流程规范化、电子化，并对单据的内容进行规范，实现财务记账自动化、标准化；实现预算事前管理和事中控制；实施影像管理，通过扫描实现对会计档案信息的异地采集、及时传递；实现信息快速准确传递以及资金的集中支付。实现全报账平台的时效性、准确性、可扩充性、稳定性、易用性和安全性。</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具体如下：</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（1）加强管控。以集团管控为导向，规范各单位的业务处理标准，加强财务业务流程中的各节点风险管控，强化各单位财务人员对风险的敏感性，提高财务管理效能，最终提升集团整体的风险管控和合规性。</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2）统一规范。通过财务基础核算业务的集中处理，统一集团的财务系统、统一业务流程、统一数据标准、统一会计政策、统一会计科目，实现全集团各公司的财务业务处理方式达到统一，及时发现核算处理中的共性问题，避免同类问题再次出现错误。</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3）提升效率。通过财务业务流程的再造，配合财务共享系统平台的建设，实现异地远程集中处理基础会计业务，提高从报账到审批、审核入账、付款、归档等全业务流程的效率，使财务更多地为业务单位服务，提高财务的管理水平。</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（4）支撑业务。在集团快速发展的同时，财务资源能在集团内得到有效配置，成立新的分子公司，财务能快速响应，迅速支撑业务的发展。</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5）业财融合。财务进行转型，财务人员从繁杂的交易处理业务中解脱出来后，深入集团各个业务板块的价值链，关注业务和风险，有效支持业务运作。财务人员将触角延伸至业务层面，更加了解公司业务运作情况，更多地参与各业务单元的预算管理、成本管理、资金管理等，为集团领导决策提供多角度、全流程精细化的财务数据支撑。</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（二）项目建设原则</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w:t>
      </w:r>
      <w:r>
        <w:rPr>
          <w:rFonts w:hint="eastAsia" w:asciiTheme="minorEastAsia" w:hAnsiTheme="minorEastAsia" w:cstheme="minorEastAsia"/>
          <w:bCs/>
          <w:sz w:val="21"/>
          <w:szCs w:val="21"/>
          <w:lang w:eastAsia="zh-CN"/>
        </w:rPr>
        <w:t>.</w:t>
      </w:r>
      <w:r>
        <w:rPr>
          <w:rFonts w:hint="eastAsia" w:asciiTheme="minorEastAsia" w:hAnsiTheme="minorEastAsia" w:eastAsiaTheme="minorEastAsia" w:cstheme="minorEastAsia"/>
          <w:bCs/>
          <w:sz w:val="21"/>
          <w:szCs w:val="21"/>
        </w:rPr>
        <w:t>实用性</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系统基于实际业务需求和交控集团管理特点进行建设；系统易于财务人员和相关业务人员使用，各种功能操作简单明确，系统维护集中、简单。</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w:t>
      </w:r>
      <w:r>
        <w:rPr>
          <w:rFonts w:hint="eastAsia" w:asciiTheme="minorEastAsia" w:hAnsiTheme="minorEastAsia" w:cstheme="minorEastAsia"/>
          <w:bCs/>
          <w:sz w:val="21"/>
          <w:szCs w:val="21"/>
          <w:lang w:eastAsia="zh-CN"/>
        </w:rPr>
        <w:t>.</w:t>
      </w:r>
      <w:r>
        <w:rPr>
          <w:rFonts w:hint="eastAsia" w:asciiTheme="minorEastAsia" w:hAnsiTheme="minorEastAsia" w:eastAsiaTheme="minorEastAsia" w:cstheme="minorEastAsia"/>
          <w:bCs/>
          <w:sz w:val="21"/>
          <w:szCs w:val="21"/>
        </w:rPr>
        <w:t>先进性</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技术上采用当前稳定网络计算技术和分布式处理模式，符合国际、国内标准的硬件和软件技术规范，保证技术上的先进性和前瞻性。软件系统在满足业务需求的基础上具有易改造、易升级、易操作、易维护等特性。</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w:t>
      </w:r>
      <w:r>
        <w:rPr>
          <w:rFonts w:hint="eastAsia" w:asciiTheme="minorEastAsia" w:hAnsiTheme="minorEastAsia" w:cstheme="minorEastAsia"/>
          <w:bCs/>
          <w:sz w:val="21"/>
          <w:szCs w:val="21"/>
          <w:lang w:eastAsia="zh-CN"/>
        </w:rPr>
        <w:t>.</w:t>
      </w:r>
      <w:r>
        <w:rPr>
          <w:rFonts w:hint="eastAsia" w:asciiTheme="minorEastAsia" w:hAnsiTheme="minorEastAsia" w:eastAsiaTheme="minorEastAsia" w:cstheme="minorEastAsia"/>
          <w:bCs/>
          <w:sz w:val="21"/>
          <w:szCs w:val="21"/>
        </w:rPr>
        <w:t>规范性</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系统设计符合相关国家及软件行业已有的标准规范。充分考虑集团下属子公司实际业务可能存在一定差异，在满足整体要求的同时根据实际情况调整或扩充部分功能以适应个性化的管理需求。</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4</w:t>
      </w:r>
      <w:r>
        <w:rPr>
          <w:rFonts w:hint="eastAsia" w:asciiTheme="minorEastAsia" w:hAnsiTheme="minorEastAsia" w:cstheme="minorEastAsia"/>
          <w:bCs/>
          <w:sz w:val="21"/>
          <w:szCs w:val="21"/>
          <w:lang w:eastAsia="zh-CN"/>
        </w:rPr>
        <w:t>.</w:t>
      </w:r>
      <w:r>
        <w:rPr>
          <w:rFonts w:hint="eastAsia" w:asciiTheme="minorEastAsia" w:hAnsiTheme="minorEastAsia" w:eastAsiaTheme="minorEastAsia" w:cstheme="minorEastAsia"/>
          <w:bCs/>
          <w:sz w:val="21"/>
          <w:szCs w:val="21"/>
        </w:rPr>
        <w:t>经济性</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系统的建设充分考虑利用交控集团现有平台、硬件和软件资源，保护已有投资，设计灵活、多样的接口配置；如需要新的投入，在满足业务需求的情况下，选用高性价比的产品，节省投资，并同时兼顾今后的系统运行维护成本和管理成本。</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5</w:t>
      </w:r>
      <w:r>
        <w:rPr>
          <w:rFonts w:hint="eastAsia" w:asciiTheme="minorEastAsia" w:hAnsiTheme="minorEastAsia" w:cstheme="minorEastAsia"/>
          <w:bCs/>
          <w:sz w:val="21"/>
          <w:szCs w:val="21"/>
          <w:lang w:eastAsia="zh-CN"/>
        </w:rPr>
        <w:t>.</w:t>
      </w:r>
      <w:r>
        <w:rPr>
          <w:rFonts w:hint="eastAsia" w:asciiTheme="minorEastAsia" w:hAnsiTheme="minorEastAsia" w:eastAsiaTheme="minorEastAsia" w:cstheme="minorEastAsia"/>
          <w:bCs/>
          <w:sz w:val="21"/>
          <w:szCs w:val="21"/>
        </w:rPr>
        <w:t>安全性</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系统设计达到一定的安全保密标准，系统的软硬件具备较强的容错能力，并选择成熟的技术。在应用软件的设计上，强化权限管理功能，具有多级安全机制，具备完善的日志管理。</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在网络上，保证内部系统的数据不被非法用户所获取。在应用软件的设计上，强化权限管理功能，具有多级安全机制。通过对各级人员及不同岗位人员的权限分配，做到所有人员只能查看与自己相关的数据，并建立完善的日志管理，做到所有操作都有据可查。</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w:t>
      </w:r>
      <w:r>
        <w:rPr>
          <w:rFonts w:hint="eastAsia" w:asciiTheme="minorEastAsia" w:hAnsiTheme="minorEastAsia" w:cstheme="minorEastAsia"/>
          <w:bCs/>
          <w:sz w:val="21"/>
          <w:szCs w:val="21"/>
          <w:lang w:eastAsia="zh-CN"/>
        </w:rPr>
        <w:t>.</w:t>
      </w:r>
      <w:r>
        <w:rPr>
          <w:rFonts w:hint="eastAsia" w:asciiTheme="minorEastAsia" w:hAnsiTheme="minorEastAsia" w:eastAsiaTheme="minorEastAsia" w:cstheme="minorEastAsia"/>
          <w:bCs/>
          <w:sz w:val="21"/>
          <w:szCs w:val="21"/>
        </w:rPr>
        <w:t>扩充性</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系统设计考虑未来的发展和内部的变化，适应今后由于机构设置、管理制度、业务流程和系统功能等发生变化而导致的业务重组，满足系统未来的发展需要。报账平台系统建设应考虑未来业务的需要，要能以快速灵活的配置方式，扩充管理范围，逐步发展成为更加全面的财务管控支撑平台。</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系统体系结构和软硬件配置方面在考虑当前需求的前提下，为今后的扩展预留空间。系统采用开放型的应用接口，具有灵活的扩充性，满足交控集团未来的业务系统发展需要。</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7</w:t>
      </w:r>
      <w:r>
        <w:rPr>
          <w:rFonts w:hint="eastAsia" w:asciiTheme="minorEastAsia" w:hAnsiTheme="minorEastAsia" w:cstheme="minorEastAsia"/>
          <w:bCs/>
          <w:sz w:val="21"/>
          <w:szCs w:val="21"/>
          <w:lang w:eastAsia="zh-CN"/>
        </w:rPr>
        <w:t>.</w:t>
      </w:r>
      <w:r>
        <w:rPr>
          <w:rFonts w:hint="eastAsia" w:asciiTheme="minorEastAsia" w:hAnsiTheme="minorEastAsia" w:eastAsiaTheme="minorEastAsia" w:cstheme="minorEastAsia"/>
          <w:bCs/>
          <w:sz w:val="21"/>
          <w:szCs w:val="21"/>
        </w:rPr>
        <w:t>高效性</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结合使用人员文化习惯，界面友好、方便使用。提供报账人、审批人和会计等人员高效快捷操作功能，支撑大量报账业务的快速处理，提高财务人员、业务人员及合作伙伴供应商的满意度。</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8</w:t>
      </w:r>
      <w:r>
        <w:rPr>
          <w:rFonts w:hint="eastAsia" w:asciiTheme="minorEastAsia" w:hAnsiTheme="minorEastAsia" w:cstheme="minorEastAsia"/>
          <w:bCs/>
          <w:sz w:val="21"/>
          <w:szCs w:val="21"/>
          <w:lang w:eastAsia="zh-CN"/>
        </w:rPr>
        <w:t>.</w:t>
      </w:r>
      <w:r>
        <w:rPr>
          <w:rFonts w:hint="eastAsia" w:asciiTheme="minorEastAsia" w:hAnsiTheme="minorEastAsia" w:eastAsiaTheme="minorEastAsia" w:cstheme="minorEastAsia"/>
          <w:bCs/>
          <w:sz w:val="21"/>
          <w:szCs w:val="21"/>
        </w:rPr>
        <w:t>集成性</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系统应实现与外部系统之间的对接，特别是本次规划的财务系统与原来已经存在以及建设和规划中的业务系统的接口问题，实现系统的集成应用，保障不同业务系统之间的数据交换和资源共享。</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（三）具体功能需求：包括但不限于以下功能需求。</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1.财务共享咨询需求</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针对交控集团财务共享服务中心建设开展调研及分析，对财务共享组织建设、业务流程优化、信息系统建设、共享运营管理提出高阶设计方案。满足财务共享中心上线需求，针对交控集团财务共享组织建设、业务流程标准、信息系统建设、共享运营管理等出具详阶设计方案，以指导后续落地实施，同时，为保障财务共享中心顺利上线，提前做好迁移策划及方案。</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2.网报系统管理需求</w:t>
      </w:r>
    </w:p>
    <w:p>
      <w:pPr>
        <w:pStyle w:val="26"/>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2.1面向全员提供所有财务前端业务的统一入口，实现个人费用报账、对公往来及结算业务报账流程在线审批。全业务实现报账，系统内嵌报销标准，做到在共享平台内单据统一、流程统一、内置控制标准统一。</w:t>
      </w:r>
    </w:p>
    <w:p>
      <w:pPr>
        <w:pStyle w:val="26"/>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2.2支持报账单据的灵活自定义，能够满足公司财务管理的需要。</w:t>
      </w:r>
    </w:p>
    <w:p>
      <w:pPr>
        <w:pStyle w:val="26"/>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Cs/>
          <w:sz w:val="21"/>
          <w:szCs w:val="21"/>
        </w:rPr>
        <w:t>2.3可提供员工自助填单、自助查询、个人信息管理、提醒预警事项处理等。</w:t>
      </w:r>
    </w:p>
    <w:p>
      <w:pPr>
        <w:pStyle w:val="26"/>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2.4结合影像系统、电子发票查验，实现对发票真伪查验、取数，电子影像存档。</w:t>
      </w:r>
    </w:p>
    <w:p>
      <w:pPr>
        <w:pStyle w:val="26"/>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2.5嵌入费用预算控制，实现对费用的管控。通过信用等管理，实现对报账质量的控制。</w:t>
      </w:r>
    </w:p>
    <w:p>
      <w:pPr>
        <w:pStyle w:val="26"/>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2.6支持按照用户查询权限对可查询单据内容进行控制；提供报账关键指标实时查看，并按角色分层级展示；支持对查询信息的导出、下载等；提供业务单据查询，可实际查询报账单据的填单情况、审批详情；支持自定义多维度统计报表功能，支持多维度、个性化查询，提供图形化查询展示。</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3.资金管理系统需求</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资金管理系统涵盖企业资金支出、账户管理、融资管理全过程管理，降低企业财务管理成本，提高财务人员的付款、收款、对账效率和准确性，减少人为干预带来的资金管理风险。资金管理平台提供标准对外接口，与集团财务管控系统其他模块、集团业务系统进行数据交互。</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3.1账户管理：支撑全集团范围内的账户基本信息及其全生命周期的流程化管理，规范账户的开立、变更、撤销等的审批及备案，对银行账户进行统一备案和集中管理，融入控制企业开户数量等管控。支持基于层次结构和相应权限的账户信息查询，查询人仅可查询权限内账户信息，能够基于组织、开户行、账号、账户性质、存款类型、币种等多维度的信息进行账户检索。</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3.2银企直连：与工、农、中、建、药都银行等国内主要银行能够建立银企直联，实现资金支付指令不落地，对于疑似的重复支付数据有支付监控功能，并对异常数据进行提示，能够基于收付款单据批号、金额、结算渠道、日期等多种查询条件进行收付款单据的查询。查询到的收付款单据可打开查看其中所包含的收付款单据。</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3.3资金归集与支付：能够实现将集团各子公司资金按照规则归集到集团账户，集中办理理财等业务。子公司提交资金支付申请后，集团公司自动划拨款项到子公司账户，由子公司账户自动拨付。支持银行回单打印，银行电子回单自动匹配业务。支持银行对账单与企业会计凭证、银行存款日记账的对账。在多个组织使用同一银行账户进行收付款时，支持多单位账务合并对账。</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3.4借还款管理：借款合同登记、变更、提款管理，借款台账登记管理，包括长期借款、短期借款、债券等不同融资方式，可在线进行还款登记、还本付息、利息计提、利息结清等管理，实现融资合同的全生命周期管理。能够按期计提利息，并自动生成凭证。付息期进行付息操作，并自动生成凭证，对借款利息进行查询和管理，能够按借款合同约定规则对借款利息进行调整。能够基于组织名称、开户行、币种、期限分类、担保方式、借款到期日等多维度信息进行融资分析。对即将到期借款提前一定期限预警。报表可多维查询融资台账、融资成本分析、融资结构分析、利息预测、到期还款预测等。</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3.5统借统还管理：实现集团统借统还类融资管理，集团统一借款后可在线进行资金的分配和在线还本付息等操作，实现集团与下级单位间的联动，确保统借统还业务的协同。</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3.6内部借款管理：支持借款申请、借款合同、借款发放、还款、展期、利息计提和结息、会计核算全流程管理。支持集团与成员单位的集成协同处理，包括业务申请和业务回单、会计账务处理、查询统计。支持提前部分还款利随本清。支持还款时由用户逐笔指定偿还原哪笔放款，展期针对每笔放款进行展期。支持灵活设置存借款结息日，支持按月、按季、在年底结息。支持设定利率调整的多种日期生效方式。利率设置支持基准利率+浮动比例、固定利率。</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3.7资金计划管理：包括资金计划编制、资金计划审批、资金计划汇总、资金计划控制等。</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3.8收款管理：根据银企直连，识别来款源，进行收款认领，认领过程以系统设置的规则自动匹配为主。通过收款信息统计，可以分析收款客户分布、收款量、收款趋势等数据。</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3.9资金看板：可视化的应用效果展示资金管理相关内容，包括但不限于展示账户分布、资金结构分布，大额资金变动监控，资金缺口公司风险预警、敏感词预警。借款结构分析、筹资分析、到期还款预警、资金成本分析、资金归集率分析等。</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4.财务核算管理系统需求</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可实现由前端业务自动生成会计凭证，降低手工凭证比率。科目设置权限由集团统一管理，进行末级科目管理。部分科目进行模块化管理，满足集团对数据查询需求。具体核算需求包括但不限于以下内容：</w:t>
      </w:r>
    </w:p>
    <w:p>
      <w:pPr>
        <w:keepNext w:val="0"/>
        <w:keepLines w:val="0"/>
        <w:pageBreakBefore w:val="0"/>
        <w:widowControl w:val="0"/>
        <w:kinsoku/>
        <w:wordWrap/>
        <w:overflowPunct/>
        <w:topLinePunct w:val="0"/>
        <w:bidi w:val="0"/>
        <w:adjustRightInd w:val="0"/>
        <w:snapToGrid/>
        <w:spacing w:line="540" w:lineRule="exact"/>
        <w:ind w:firstLine="420" w:firstLineChars="200"/>
        <w:textAlignment w:val="auto"/>
        <w:rPr>
          <w:rFonts w:hint="eastAsia" w:asciiTheme="minorEastAsia" w:hAnsiTheme="minorEastAsia" w:eastAsiaTheme="minorEastAsia" w:cstheme="minorEastAsia"/>
          <w:sz w:val="21"/>
          <w:szCs w:val="21"/>
        </w:rPr>
      </w:pPr>
      <w:bookmarkStart w:id="24" w:name="_Toc511120973"/>
      <w:r>
        <w:rPr>
          <w:rFonts w:hint="eastAsia" w:asciiTheme="minorEastAsia" w:hAnsiTheme="minorEastAsia" w:eastAsiaTheme="minorEastAsia" w:cstheme="minorEastAsia"/>
          <w:sz w:val="21"/>
          <w:szCs w:val="21"/>
        </w:rPr>
        <w:t>4.1总账</w:t>
      </w:r>
      <w:bookmarkEnd w:id="24"/>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（1）构建统一的财务管理体系，包含会计政策、会计科目、合并抵销、核算报表、凭证模板等体系。</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（2）完成记账凭证编制到各种账表的生成，能够处理财务核算过程中常用的业务，包括初始建账，制单、复核、记账、出纳业务、各种账务查询、月末年末结转等基本账务处理。</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（3）灵活的建账模式，定义期末生成的规则凭证、调汇凭证、结转凭证。进行余额初始。</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（4）月末自动完成转账、期末调汇规则凭证的生成、并进行平衡检查、月末结转、年末结转等工作。</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（5）完整的出纳业务，实现对现金日记账、银行日记账、资金日报表的查询、输出，实现支票管理和银行对账，最终实现货币资金的电子化管理。</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（6）查询和打印需求，支持包括总账、日记账、明细账、余额表、序时账、辅助账、凭证、科目汇总表、现金流量表、往来账等的查询，凭证批量打印、各类账簿的打印功能。</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（7）可以数量核算，将科目定义为数量账，完成金额和实物数量核算科目的业务处理。并提供数量金额总账、数量金额明细账查询。</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（8）支持交控集团与建安集团浪潮核算系统间的接口对接，实现报表数据导入等，以达到建安集团出具大合并报表的目的。</w:t>
      </w:r>
    </w:p>
    <w:p>
      <w:pPr>
        <w:keepNext w:val="0"/>
        <w:keepLines w:val="0"/>
        <w:pageBreakBefore w:val="0"/>
        <w:widowControl w:val="0"/>
        <w:kinsoku/>
        <w:wordWrap/>
        <w:overflowPunct/>
        <w:topLinePunct w:val="0"/>
        <w:bidi w:val="0"/>
        <w:adjustRightInd w:val="0"/>
        <w:snapToGrid/>
        <w:spacing w:line="540" w:lineRule="exact"/>
        <w:ind w:firstLine="420" w:firstLineChars="200"/>
        <w:textAlignment w:val="auto"/>
        <w:rPr>
          <w:rFonts w:hint="eastAsia" w:asciiTheme="minorEastAsia" w:hAnsiTheme="minorEastAsia" w:eastAsiaTheme="minorEastAsia" w:cstheme="minorEastAsia"/>
          <w:sz w:val="21"/>
          <w:szCs w:val="21"/>
        </w:rPr>
      </w:pPr>
      <w:bookmarkStart w:id="25" w:name="_Toc511120974"/>
      <w:bookmarkStart w:id="26" w:name="_Toc488335773"/>
      <w:r>
        <w:rPr>
          <w:rFonts w:hint="eastAsia" w:asciiTheme="minorEastAsia" w:hAnsiTheme="minorEastAsia" w:eastAsiaTheme="minorEastAsia" w:cstheme="minorEastAsia"/>
          <w:sz w:val="21"/>
          <w:szCs w:val="21"/>
        </w:rPr>
        <w:t>4.2往来</w:t>
      </w:r>
      <w:bookmarkEnd w:id="25"/>
      <w:bookmarkEnd w:id="26"/>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（1）实现内、外部个人往来明细核算，可形成个人余额表、明细账等其他个人分析账表。</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（2）可对内、外部单位的往来明细核算，自动生成账龄分析、单位余额表、单位三栏账、单位多栏账以及其他分析用账表。</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（3）可对进行单位往来核算的科目，进行核销，从而形成新的单位余额表，并对其余额进行分析。</w:t>
      </w:r>
    </w:p>
    <w:p>
      <w:pPr>
        <w:keepNext w:val="0"/>
        <w:keepLines w:val="0"/>
        <w:pageBreakBefore w:val="0"/>
        <w:widowControl w:val="0"/>
        <w:kinsoku/>
        <w:wordWrap/>
        <w:overflowPunct/>
        <w:topLinePunct w:val="0"/>
        <w:bidi w:val="0"/>
        <w:adjustRightInd w:val="0"/>
        <w:snapToGrid/>
        <w:spacing w:line="540" w:lineRule="exact"/>
        <w:ind w:firstLine="420" w:firstLineChars="200"/>
        <w:textAlignment w:val="auto"/>
        <w:rPr>
          <w:rFonts w:hint="eastAsia" w:asciiTheme="minorEastAsia" w:hAnsiTheme="minorEastAsia" w:eastAsiaTheme="minorEastAsia" w:cstheme="minorEastAsia"/>
          <w:sz w:val="21"/>
          <w:szCs w:val="21"/>
        </w:rPr>
      </w:pPr>
      <w:bookmarkStart w:id="27" w:name="_Toc511120976"/>
      <w:bookmarkStart w:id="28" w:name="_Toc488335775"/>
      <w:r>
        <w:rPr>
          <w:rFonts w:hint="eastAsia" w:asciiTheme="minorEastAsia" w:hAnsiTheme="minorEastAsia" w:eastAsiaTheme="minorEastAsia" w:cstheme="minorEastAsia"/>
          <w:sz w:val="21"/>
          <w:szCs w:val="21"/>
        </w:rPr>
        <w:t>4.3固定资产</w:t>
      </w:r>
      <w:bookmarkEnd w:id="27"/>
      <w:bookmarkEnd w:id="28"/>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（1）建立、完善固定资产卡片，并自定义部门编码结构、资产类别、资产项目编码结构、折旧方法、年限等资产属性。</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（2）支持自定义业务处理流程，实现资产的增加、减少、原值重置、资产评估、部门调动、内部调拨、状态变动、大修理记录等业务的处理。</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（3）可实现自动计提、分摊各类资产减值准备、折旧，也可手工调整各类资产的减值准备、折旧额。</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（4）可根据自定义的钩稽关系，对固定资产账和总账进行平衡检查。</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（5）可定义凭证接口模板，在账务子系统中自动生成反映资产增加、减少、计提折旧、折旧分摊等各项业务的凭证。</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提供资产信息的综合查询及原始单据信息查询、预览、卡片打印，实现资产总账、资产明细表、资产明细折旧、折旧汇总表、资产明细登记簿、各个部门的资产折旧明细情况、任意汇总表、以及逾龄资产信息的查询、分析。</w:t>
      </w:r>
    </w:p>
    <w:p>
      <w:pPr>
        <w:keepNext w:val="0"/>
        <w:keepLines w:val="0"/>
        <w:pageBreakBefore w:val="0"/>
        <w:widowControl w:val="0"/>
        <w:kinsoku/>
        <w:wordWrap/>
        <w:overflowPunct/>
        <w:topLinePunct w:val="0"/>
        <w:bidi w:val="0"/>
        <w:adjustRightInd w:val="0"/>
        <w:snapToGrid/>
        <w:spacing w:line="540" w:lineRule="exact"/>
        <w:ind w:firstLine="420" w:firstLineChars="200"/>
        <w:textAlignment w:val="auto"/>
        <w:rPr>
          <w:rFonts w:hint="eastAsia" w:asciiTheme="minorEastAsia" w:hAnsiTheme="minorEastAsia" w:eastAsiaTheme="minorEastAsia" w:cstheme="minorEastAsia"/>
          <w:sz w:val="21"/>
          <w:szCs w:val="21"/>
        </w:rPr>
      </w:pPr>
      <w:bookmarkStart w:id="29" w:name="_Toc511120977"/>
      <w:bookmarkStart w:id="30" w:name="_Toc488335776"/>
      <w:r>
        <w:rPr>
          <w:rFonts w:hint="eastAsia" w:asciiTheme="minorEastAsia" w:hAnsiTheme="minorEastAsia" w:eastAsiaTheme="minorEastAsia" w:cstheme="minorEastAsia"/>
          <w:sz w:val="21"/>
          <w:szCs w:val="21"/>
        </w:rPr>
        <w:t>4.4现金流量</w:t>
      </w:r>
      <w:bookmarkEnd w:id="29"/>
      <w:bookmarkEnd w:id="30"/>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提供现金流量项目设置、分析规则的设置、主表项目分析、附表项目分析、及现金流量的查询统计分析，能够快速分析出各个现金流量项目的金额，实现对公司的现金流入流出进行分析。</w:t>
      </w:r>
      <w:bookmarkStart w:id="31" w:name="_Toc488335778"/>
    </w:p>
    <w:p>
      <w:pPr>
        <w:keepNext w:val="0"/>
        <w:keepLines w:val="0"/>
        <w:pageBreakBefore w:val="0"/>
        <w:widowControl w:val="0"/>
        <w:kinsoku/>
        <w:wordWrap/>
        <w:overflowPunct/>
        <w:topLinePunct w:val="0"/>
        <w:bidi w:val="0"/>
        <w:adjustRightInd w:val="0"/>
        <w:snapToGrid/>
        <w:spacing w:line="540" w:lineRule="exact"/>
        <w:ind w:firstLine="420" w:firstLineChars="200"/>
        <w:textAlignment w:val="auto"/>
        <w:rPr>
          <w:rFonts w:hint="eastAsia" w:asciiTheme="minorEastAsia" w:hAnsiTheme="minorEastAsia" w:eastAsiaTheme="minorEastAsia" w:cstheme="minorEastAsia"/>
          <w:sz w:val="21"/>
          <w:szCs w:val="21"/>
        </w:rPr>
      </w:pPr>
      <w:bookmarkStart w:id="32" w:name="_Toc511120978"/>
      <w:r>
        <w:rPr>
          <w:rFonts w:hint="eastAsia" w:asciiTheme="minorEastAsia" w:hAnsiTheme="minorEastAsia" w:eastAsiaTheme="minorEastAsia" w:cstheme="minorEastAsia"/>
          <w:sz w:val="21"/>
          <w:szCs w:val="21"/>
        </w:rPr>
        <w:t>4.5应收管理</w:t>
      </w:r>
      <w:bookmarkEnd w:id="32"/>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（1）可以设置个人、单位、项目等明细辅助核算科目，记录销售产生的应收、暂估应收、员工借款等多种应收业务，形成应收、预收、核销记录。</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（2）能够进行账务总账数据与应收明细账数据的平衡检查、月末的汇兑损益调整、月结处理及会计期间维护等功能。</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（3）实现对应收款项进行账龄分析以及其他对应收数据进行各种统计分析，提示风险预警。</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（4）对应收账款进行坏账计提准备，坏账确认和坏账收回处理。</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（5）主要实现对应收数据、收款数据、核销数据以及汇兑损益处理数据的汇总查询、明细查询、单据查询等。</w:t>
      </w:r>
    </w:p>
    <w:p>
      <w:pPr>
        <w:keepNext w:val="0"/>
        <w:keepLines w:val="0"/>
        <w:pageBreakBefore w:val="0"/>
        <w:widowControl w:val="0"/>
        <w:kinsoku/>
        <w:wordWrap/>
        <w:overflowPunct/>
        <w:topLinePunct w:val="0"/>
        <w:bidi w:val="0"/>
        <w:adjustRightInd w:val="0"/>
        <w:snapToGrid/>
        <w:spacing w:line="540" w:lineRule="exact"/>
        <w:ind w:firstLine="420" w:firstLineChars="200"/>
        <w:textAlignment w:val="auto"/>
        <w:rPr>
          <w:rFonts w:hint="eastAsia" w:asciiTheme="minorEastAsia" w:hAnsiTheme="minorEastAsia" w:eastAsiaTheme="minorEastAsia" w:cstheme="minorEastAsia"/>
          <w:sz w:val="21"/>
          <w:szCs w:val="21"/>
        </w:rPr>
      </w:pPr>
      <w:bookmarkStart w:id="33" w:name="_Toc511120979"/>
      <w:r>
        <w:rPr>
          <w:rFonts w:hint="eastAsia" w:asciiTheme="minorEastAsia" w:hAnsiTheme="minorEastAsia" w:eastAsiaTheme="minorEastAsia" w:cstheme="minorEastAsia"/>
          <w:sz w:val="21"/>
          <w:szCs w:val="21"/>
        </w:rPr>
        <w:t>4.6应付管理</w:t>
      </w:r>
      <w:bookmarkEnd w:id="33"/>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（1）可以设置个人、单位、项目等明细辅助核算科目，实现对采购产生的应付账款、非采购产生的其他应付款、以及应付暂估的记录，形成付款、预付、核销记录。</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（2）能进行账务总账数据与应付明细账数据的平衡检查、月末的汇兑损益调整、月结处理及会计期间维护等功能。</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（3）主要实现对应付数据、付款数据、核销数据以及汇兑损益处理数据的汇总查询、明细查询、单据查询等。</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（4）实现对应付数据进行各种统计分析。</w:t>
      </w:r>
    </w:p>
    <w:p>
      <w:pPr>
        <w:keepNext w:val="0"/>
        <w:keepLines w:val="0"/>
        <w:pageBreakBefore w:val="0"/>
        <w:widowControl w:val="0"/>
        <w:kinsoku/>
        <w:wordWrap/>
        <w:overflowPunct/>
        <w:topLinePunct w:val="0"/>
        <w:bidi w:val="0"/>
        <w:adjustRightInd w:val="0"/>
        <w:snapToGrid/>
        <w:spacing w:line="540" w:lineRule="exact"/>
        <w:ind w:firstLine="420" w:firstLineChars="200"/>
        <w:textAlignment w:val="auto"/>
        <w:rPr>
          <w:rFonts w:hint="eastAsia" w:asciiTheme="minorEastAsia" w:hAnsiTheme="minorEastAsia" w:eastAsiaTheme="minorEastAsia" w:cstheme="minorEastAsia"/>
          <w:sz w:val="21"/>
          <w:szCs w:val="21"/>
        </w:rPr>
      </w:pPr>
      <w:bookmarkStart w:id="34" w:name="_Toc511120980"/>
      <w:r>
        <w:rPr>
          <w:rFonts w:hint="eastAsia" w:asciiTheme="minorEastAsia" w:hAnsiTheme="minorEastAsia" w:eastAsiaTheme="minorEastAsia" w:cstheme="minorEastAsia"/>
          <w:sz w:val="21"/>
          <w:szCs w:val="21"/>
        </w:rPr>
        <w:t>4.7报表</w:t>
      </w:r>
      <w:bookmarkEnd w:id="31"/>
      <w:r>
        <w:rPr>
          <w:rFonts w:hint="eastAsia" w:asciiTheme="minorEastAsia" w:hAnsiTheme="minorEastAsia" w:eastAsiaTheme="minorEastAsia" w:cstheme="minorEastAsia"/>
          <w:sz w:val="21"/>
          <w:szCs w:val="21"/>
        </w:rPr>
        <w:t>及合并报表</w:t>
      </w:r>
      <w:bookmarkEnd w:id="34"/>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（1）报表包含资产负债表、利润表、现金流量表、所有者权益变动表。</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（2）自动复核报表的正确性，并显示存在的问题。</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（3）支持提取会计科目数据：可自定义设置提取的会计科目数据，比如，某一会计期间货币资金全部会计科目余额、应收账款明细科目余额按金额大小排序进行提取数据等。</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（4）报表合并过程中自动进行内部交易数据的取数对账及相关抵消分录的生成；</w:t>
      </w:r>
      <w:r>
        <w:rPr>
          <w:rFonts w:hint="eastAsia" w:asciiTheme="minorEastAsia" w:hAnsiTheme="minorEastAsia" w:eastAsiaTheme="minorEastAsia" w:cstheme="minorEastAsia"/>
          <w:bCs/>
          <w:sz w:val="21"/>
          <w:szCs w:val="21"/>
        </w:rPr>
        <w:t>支持绩效指标+明细维度的内部交易、内部往来、权益投资和股息分配等的对账，并形成多种形式的对账报告；支持完全对符的对账和差额对账方式。</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（5）可实现合并账、实际账、抵销账自动展示功能，并可实现任意口径合并。</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（6）支持自定义筛选条件设置，</w:t>
      </w:r>
      <w:r>
        <w:rPr>
          <w:rFonts w:hint="eastAsia" w:asciiTheme="minorEastAsia" w:hAnsiTheme="minorEastAsia" w:eastAsiaTheme="minorEastAsia" w:cstheme="minorEastAsia"/>
          <w:bCs/>
          <w:sz w:val="21"/>
          <w:szCs w:val="21"/>
        </w:rPr>
        <w:t>按照不同的合并目的和口径</w:t>
      </w:r>
      <w:r>
        <w:rPr>
          <w:rFonts w:hint="eastAsia" w:asciiTheme="minorEastAsia" w:hAnsiTheme="minorEastAsia" w:eastAsiaTheme="minorEastAsia" w:cstheme="minorEastAsia"/>
          <w:sz w:val="21"/>
          <w:szCs w:val="21"/>
        </w:rPr>
        <w:t>生成各种财务报表</w:t>
      </w:r>
      <w:r>
        <w:rPr>
          <w:rFonts w:hint="eastAsia" w:asciiTheme="minorEastAsia" w:hAnsiTheme="minorEastAsia" w:eastAsiaTheme="minorEastAsia" w:cstheme="minorEastAsia"/>
          <w:bCs/>
          <w:sz w:val="21"/>
          <w:szCs w:val="21"/>
        </w:rPr>
        <w:t>。合并体系支持多版本，灵活适应集团企业收购、出售及重组行为对合并体系的影响，支持分部报告的出具。支持多重方案的股权投资关系维护。按照逐级合并的报表组织体系出具合并报表结果。</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sz w:val="21"/>
          <w:szCs w:val="21"/>
        </w:rPr>
        <w:t>（7）</w:t>
      </w:r>
      <w:r>
        <w:rPr>
          <w:rFonts w:hint="eastAsia" w:asciiTheme="minorEastAsia" w:hAnsiTheme="minorEastAsia" w:eastAsiaTheme="minorEastAsia" w:cstheme="minorEastAsia"/>
          <w:bCs/>
          <w:sz w:val="21"/>
          <w:szCs w:val="21"/>
        </w:rPr>
        <w:t>支持与国资委报表系统进行对接并一键生成报表。</w:t>
      </w:r>
    </w:p>
    <w:p>
      <w:pPr>
        <w:keepNext w:val="0"/>
        <w:keepLines w:val="0"/>
        <w:pageBreakBefore w:val="0"/>
        <w:widowControl w:val="0"/>
        <w:kinsoku/>
        <w:wordWrap/>
        <w:overflowPunct/>
        <w:topLinePunct w:val="0"/>
        <w:bidi w:val="0"/>
        <w:adjustRightInd w:val="0"/>
        <w:snapToGrid/>
        <w:spacing w:line="5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（8）实现从合并报表-单体报表-明细账-凭证-原始单据-上游单据的全面图型化页面展示追溯。</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4.8历史数据迁移，投标人需将亳州交控集团原有财务核算系统中的历史数据完整准确的迁移到新建核算系统中。</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5.影像系统管理需求</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支持采集原始凭证影像，实现影像文件自动与业务流程挂接，在线审核，实现原始凭证电子化、规范化管理；与信息系统集成实现采集的影像自动挂接到电子单据；支持移动终端可进行影像调阅，智能提取包括增值税专用发票在内的通用票据的关键要素信息，鉴别发票真伪，供其他业务系统利用。支持多种影像采集设备，支持高拍仪、批量式扫描仪、手机摄像头等，文件格式JPG、PDF、JPEG、BMP等主流格式。</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6.OA系统管理需求</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办公OA系统要求本地部署，满足弹性扩展、访问流畅，同时支撑企业构建高并发、高性能、高可用、安全的互联网应用，既能满足现有需求且能保证未来的扩展需求的技术架构。一方面能够与本次招标信息化系统和移动端进行集成，另一方面也提供了标准接口，供第三方厂商或自行开发应用接入。</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6.1Web门户：企业web门户作为统一的企业信息资源的访问入口，聚合待办任务，聚合应用服务，提供先进的门户设计器，使用自由布局，快速组建企业多维信息门户。支持多级门户、主题门户、角色门户等的配置与管理。支持门户页面个性化配置，如公司门户或集团门户，能够聚合待办信息、公司新闻、最新发文、集团新闻、待办任务、未读微邮等通用组件。每个权属企业的管理员都可以根据已有模版或页面快速定制出具有企业特性的门户页面。</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6.2移动门户：移动门户，作为全员应用入口，主要包括模块聚合待办消息、统一消息中心、统一通知中心、统一通讯录、聚合企业服务等能力。同时基于企业个性化需求，提供灵活定制移动门户的能力，打造企业专属移动门户。</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6.3公告：公告应用是用来满足企业内部发布通知、公告、新闻、快讯、报告、公示、规范制度的需求，是企业内部文化传播的重要渠道。公告管理重，可对公告类别、类别层级、各级发布权限及受众进行定义，从而满足集团对内部信息发布管理的机密性、信息查看的复杂要求。发布信息时，信息内容支持多格式的内容编辑，包括文字、图片、文档、多媒体、流媒体等；同时支持PDF文档作为正文发布，同时支持信息发布过程的流程审批管控。未读公告提醒、快速筛选公告内容，不遗漏重要信息。</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6.4文库：基于企业管理、团队协作、项目协作、个人工作等文献归纳管理场景下，满足个人学习、分享经验、总结汇报的工作需要，针对不同时期、不同地域、不同成员的各类文档进行统一归档、管理，加强了企业的知识积累，逐步形成有价值的、多维度的、可沉淀的，并助力于塑造企业文化的知识库。</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（1）可对企业/团队/项目/个人文档的存储、共享与协作，支持一人在线演示多人即时同步预览体验。</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（2）企业文档支持多级目录下各级目录的授权管理，支持分级授权和范围授权。</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（3）支持多种文档格式预览，满足日常办公需求</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（4）可异地同步预览并演示重要文档</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（5）支持通过移动端IM快速分发文件</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6.5项目：满足企业中的团队或组织为某个事件以项目协作的方式做工作计划、以任务的方式安排分解项目工作，项目组成员随时跟踪项目任务执行的进展，推进项目的执行。包括建立项目创建、项目协作、任务的执行、项目任务统计等。</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6.6工作日志：工作日志帮助团队成员记录每天、周、月、达成的工作成效，通过及时的工作总结，总结经验，提升个人工作能力；管理人员随时查看整个组织每位成员的工作内容、工作状态和成效、事项的进度，并支持点评。系统应支持日志查询、日志统计、日志汇总、日志报表、日志模板。</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6.7工作清单：用户可直接在工作清单快速创建自己的工作事项,并同步到其他(任务)应用，给用户提供一个集中管理的入口,合理根据清单形式安排自己的工作,让用户高效工作并处理业务。实现多个应用的所有待办任务，解决多来源，信息混乱，一通过一个中心集中处理，提高办理效率。</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6.8会议管理：会议管理包括会议室申请、预定、会议通知、会议提醒、会议取消、会议签到（移动签到）、会议议程等管理。系统应自动标出当天有时间冲突的会议安排，方便用户根据需要选择需要参加的会议，合理的安排工作时间。支持参会确认，参会回执可统计；移动端支持会议室预定。</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6.9公文：公文管理严格遵循公文管理制度、公文流转方式实现安全规范、高效方便、统一管控的公文业务管理。包括：收文管理、发文管理、公文查询、公文交换等全过程管理。系统应具备流程权限灵活设置、过程留痕、权限可分级管理；收发文过程支持将公文内容进行归档、转任务、转公告、转会议等其他模块的关联，无缝衔接。</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6.10通信录：统一通讯录，支持企业通讯录查询、订阅号查找、支持添加好友，方便企业内部找人、沟通、协同。管理员可以进行统一隐私设置，隐藏手机号和邮箱信息；也可以设置查看范围。支持通过通讯录选人、创建群组、创建团队。</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6.11日程管理：日程应用数据可来源于个人任务、会议等应用，可以来自于手机日程、主动创建，当用户被指派任务或受邀请会议时，将在日程应用中自动展示，日程应用支持多视图模式的查看，分别可按周、月视图切换，每一项日程可设置重复属性、日程提醒，日程参与人及分享出日程，日程同样可关联文件、描述等信息。</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6.12表单流程管理：用户可以根据管理需要自定义表单，并灵活地设计审批流，满足日常管理需求。后台管理员可以去修改每个流程的细节，包括定义表单结构、关联的流程，每个流程环节的审批人，及其对应的处理动作与权限等，实现了高自由度的定制化方案。用户可通过移动端或者Web端快速发起审批，并且跟踪流程的处理进度。作为审批人则可以即时收到审批通知，随时随地处理审批。提供可视化的流程设计器，支持改派、前后加签、指派、驳回、转任务；系统应提供表单模板库，用户可以方便快捷的添加各类表单。</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6.13IM即时沟通工具：多种即时通讯方式，包括文字、图片、拍照、表情、文件、语音、共享位置、红包、电话、小视频、@人等消息类型。对消息的加工处理，包括消息转发、消息撤回、消息删除、消息复制、消息转任务等功能，为用户提供更方便快捷的沟通形式。支持快速创建群组聊天，im＋业务协作，打造场景化的即时沟通新方式。</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6.14内部邮件：满足内部邮件管理需求，支持附件上传、下载，能够显示已读/未读状态不同以提示相关人员识别。同时支持代收发配置功能，实现对企业内部邮箱及通用的邮箱的代收发功能；支持手机收发邮件。</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6.15其他需求：系统还应支持话题讨论、工作圈、动态、投票等功能。</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7.客户端需求</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客户端支持windows7/windows8/windows10/iOS等多种操作系统，支持全模块的移动客户端（Android、iOS）应用,要求设计合理、功能满足业务要求、支持后期添加应用。文</w:t>
      </w:r>
      <w:r>
        <w:rPr>
          <w:rFonts w:hint="eastAsia" w:asciiTheme="minorEastAsia" w:hAnsiTheme="minorEastAsia" w:eastAsiaTheme="minorEastAsia" w:cstheme="minorEastAsia"/>
          <w:bCs/>
          <w:sz w:val="21"/>
          <w:szCs w:val="21"/>
        </w:rPr>
        <w:t>字处理软件:office 2007（包含office 2007）以上；支持IE8.0（包含</w:t>
      </w:r>
      <w:r>
        <w:rPr>
          <w:rFonts w:hint="eastAsia" w:asciiTheme="minorEastAsia" w:hAnsiTheme="minorEastAsia" w:eastAsiaTheme="minorEastAsia" w:cstheme="minorEastAsia"/>
          <w:kern w:val="0"/>
          <w:sz w:val="21"/>
          <w:szCs w:val="21"/>
        </w:rPr>
        <w:t>IE8.0）以上、360、谷歌、猎豹等多种浏览器。</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实现移动端报账，移动审批，可在移动端查看影像，可实现对单据的催办、撤回、转交等操作。支持移动监控组织、银行、账户的余额、流入、流出情况。实现融资额度、还款监控等。</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8.用户数</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用户数为并发数，核算满足同时在线人数50人、资金满足同时在线人数50人，网报、OA系统、移动应用等满足同时在线人数500人。</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（四）实施服务需求</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本次产品实施不得分包、转包或外包给第三方公司。</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1.实施体系</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（1)实施工作遵从系统、科学、完整、可行的实施方法论体系。</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（2)参照最佳业务实践，提供管理改进建议。</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2.实施计划</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（1)投标单位需要制定详细可落地的实施计划。</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（2)说明实施计划的可行性与前提保障。</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3.实施组织</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(1)提出参与实施各方的项目实施组织架构建议，确保实施分工科学合理、项目各方紧密协调合作，共同完成项目的实施工作。</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(2)明确实施组织内各方、各级人员的工作职责。</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(3)明确项目实施过程中的管理与协调机制。</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(4)投标人项目团队说明，项目人员简介。</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4.实施人员</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投标人项目经理能够迅速深入地理解行业情况与企业现状，具有丰富的项目管理及项目实施经验，具有较强的与高层、中层管理人员和普通业务人员之间的沟通协调能力、组织管理能力、资源调动能力，以及高度的责任心。</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(2)投标人技术人员需要具有丰富的实施经验，并必须具有良好的与中层管理人员和普通业务人员之间沟通、协调能力。</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5.风险控制</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(1)分析项目实施过程中可能遇到的风险。</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(2)提出对项目实施风险进行预防与管控的手段。</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6.质量衡量</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(1)提出衡量项目实施质量的标准。</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(2)提出项目实施质量出现偏差时的纠正措施。</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7.实施培训</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提出项目实施培训体系。投标方应提供一套科学完整的培训方案及计划，包括：培训目的、培训目标、培训对象、培训方式、培训课程、培训考核等，从而保障系统实施过程及系统运行后高效的操作、运行管理及维护。</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8.知识转移</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（1)提出转移的知识体系。</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（2)提出转移知识的方法。</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9.产品服务与技术支持</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（1)说明产品服务的机构。</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（2)说明对本项目的产品服务与技术支持制度。</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（3)技术服务包括：远程支持服务、现场支持服务、紧急故障排除服务。</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（4)承诺服务响应的时间和方式。</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实时服务：提供每周7×24小时的电话、电子邮件服务响应。</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现场服务：出现重大故障时，专业技术人员应在6小时内赶到现场，并在4小时内提供解决方案解决问题；如果投标方在接到通知后未及时作出响应，投标方必须对由于故障所造成的损失后果负责。</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10.安全保密要求</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(1)系统建设必须遵循有关国家电子政务信息安全保障体系要求，按照国家法规实施安全等级保护，加强系统信息安全管理。</w:t>
      </w:r>
    </w:p>
    <w:p>
      <w:pPr>
        <w:keepNext w:val="0"/>
        <w:keepLines w:val="0"/>
        <w:pageBreakBefore w:val="0"/>
        <w:widowControl w:val="0"/>
        <w:kinsoku/>
        <w:wordWrap/>
        <w:overflowPunct/>
        <w:topLinePunct w:val="0"/>
        <w:bidi w:val="0"/>
        <w:snapToGrid/>
        <w:spacing w:line="540" w:lineRule="exact"/>
        <w:ind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(2)投标方必须明确提供完善的，可行的系统安全方案，应包括有双向身份认证、文件加密、数据备份与恢复、防病毒、防入侵等功能，应支持PKI加密，电子签名和第三方的CA安全认证。</w:t>
      </w:r>
    </w:p>
    <w:p>
      <w:pPr>
        <w:spacing w:line="480" w:lineRule="exact"/>
        <w:jc w:val="center"/>
        <w:rPr>
          <w:rFonts w:asciiTheme="majorEastAsia" w:hAnsiTheme="majorEastAsia" w:eastAsiaTheme="majorEastAsia" w:cstheme="majorEastAsia"/>
          <w:b/>
          <w:bCs/>
          <w:sz w:val="32"/>
          <w:szCs w:val="32"/>
          <w:highlight w:val="none"/>
        </w:rPr>
      </w:pPr>
    </w:p>
    <w:bookmarkEnd w:id="16"/>
    <w:bookmarkEnd w:id="17"/>
    <w:bookmarkEnd w:id="18"/>
    <w:bookmarkEnd w:id="19"/>
    <w:bookmarkEnd w:id="20"/>
    <w:bookmarkEnd w:id="21"/>
    <w:bookmarkEnd w:id="22"/>
    <w:bookmarkEnd w:id="23"/>
    <w:p>
      <w:pPr>
        <w:spacing w:line="480" w:lineRule="exact"/>
        <w:jc w:val="center"/>
        <w:rPr>
          <w:rFonts w:asciiTheme="majorEastAsia" w:hAnsiTheme="majorEastAsia" w:eastAsiaTheme="majorEastAsia" w:cstheme="majorEastAsia"/>
          <w:b/>
          <w:bCs/>
          <w:sz w:val="32"/>
          <w:szCs w:val="32"/>
          <w:highlight w:val="none"/>
        </w:rPr>
      </w:pPr>
    </w:p>
    <w:p>
      <w:pPr>
        <w:spacing w:line="480" w:lineRule="exact"/>
        <w:jc w:val="center"/>
        <w:rPr>
          <w:rFonts w:asciiTheme="majorEastAsia" w:hAnsiTheme="majorEastAsia" w:eastAsiaTheme="majorEastAsia" w:cstheme="majorEastAsia"/>
          <w:b/>
          <w:bCs/>
          <w:sz w:val="32"/>
          <w:szCs w:val="32"/>
          <w:highlight w:val="none"/>
        </w:rPr>
      </w:pPr>
    </w:p>
    <w:p>
      <w:pPr>
        <w:spacing w:line="480" w:lineRule="exact"/>
        <w:jc w:val="center"/>
        <w:rPr>
          <w:rFonts w:asciiTheme="majorEastAsia" w:hAnsiTheme="majorEastAsia" w:eastAsiaTheme="majorEastAsia" w:cstheme="majorEastAsia"/>
          <w:b/>
          <w:bCs/>
          <w:sz w:val="32"/>
          <w:szCs w:val="32"/>
          <w:highlight w:val="none"/>
        </w:rPr>
      </w:pPr>
    </w:p>
    <w:p>
      <w:pPr>
        <w:spacing w:line="480" w:lineRule="exact"/>
        <w:jc w:val="center"/>
        <w:rPr>
          <w:rFonts w:asciiTheme="majorEastAsia" w:hAnsiTheme="majorEastAsia" w:eastAsiaTheme="majorEastAsia" w:cstheme="majorEastAsia"/>
          <w:b/>
          <w:bCs/>
          <w:sz w:val="32"/>
          <w:szCs w:val="32"/>
          <w:highlight w:val="none"/>
        </w:rPr>
      </w:pPr>
    </w:p>
    <w:p>
      <w:pPr>
        <w:spacing w:line="480" w:lineRule="exact"/>
        <w:jc w:val="center"/>
        <w:rPr>
          <w:rFonts w:asciiTheme="majorEastAsia" w:hAnsiTheme="majorEastAsia" w:eastAsiaTheme="majorEastAsia" w:cstheme="majorEastAsia"/>
          <w:b/>
          <w:bCs/>
          <w:sz w:val="32"/>
          <w:szCs w:val="32"/>
          <w:highlight w:val="none"/>
        </w:rPr>
      </w:pPr>
    </w:p>
    <w:p>
      <w:pPr>
        <w:spacing w:line="480" w:lineRule="exact"/>
        <w:jc w:val="center"/>
        <w:rPr>
          <w:rFonts w:asciiTheme="majorEastAsia" w:hAnsiTheme="majorEastAsia" w:eastAsiaTheme="majorEastAsia" w:cstheme="majorEastAsia"/>
          <w:b/>
          <w:bCs/>
          <w:sz w:val="32"/>
          <w:szCs w:val="32"/>
          <w:highlight w:val="none"/>
        </w:rPr>
      </w:pPr>
    </w:p>
    <w:p>
      <w:pPr>
        <w:spacing w:line="480" w:lineRule="exact"/>
        <w:jc w:val="center"/>
        <w:rPr>
          <w:rFonts w:asciiTheme="majorEastAsia" w:hAnsiTheme="majorEastAsia" w:eastAsiaTheme="majorEastAsia" w:cstheme="majorEastAsia"/>
          <w:b/>
          <w:bCs/>
          <w:sz w:val="32"/>
          <w:szCs w:val="32"/>
          <w:highlight w:val="none"/>
        </w:rPr>
      </w:pPr>
    </w:p>
    <w:p>
      <w:pPr>
        <w:spacing w:line="480" w:lineRule="exact"/>
        <w:jc w:val="center"/>
        <w:rPr>
          <w:rFonts w:asciiTheme="majorEastAsia" w:hAnsiTheme="majorEastAsia" w:eastAsiaTheme="majorEastAsia" w:cstheme="majorEastAsia"/>
          <w:b/>
          <w:bCs/>
          <w:sz w:val="32"/>
          <w:szCs w:val="32"/>
          <w:highlight w:val="none"/>
        </w:rPr>
      </w:pPr>
    </w:p>
    <w:p>
      <w:pPr>
        <w:spacing w:line="480" w:lineRule="exact"/>
        <w:jc w:val="center"/>
        <w:rPr>
          <w:rFonts w:asciiTheme="majorEastAsia" w:hAnsiTheme="majorEastAsia" w:eastAsiaTheme="majorEastAsia" w:cstheme="majorEastAsia"/>
          <w:b/>
          <w:bCs/>
          <w:sz w:val="32"/>
          <w:szCs w:val="32"/>
          <w:highlight w:val="none"/>
        </w:rPr>
      </w:pPr>
    </w:p>
    <w:p>
      <w:pPr>
        <w:spacing w:line="480" w:lineRule="exact"/>
        <w:jc w:val="center"/>
        <w:rPr>
          <w:rFonts w:asciiTheme="majorEastAsia" w:hAnsiTheme="majorEastAsia" w:eastAsiaTheme="majorEastAsia" w:cstheme="majorEastAsia"/>
          <w:b/>
          <w:bCs/>
          <w:sz w:val="32"/>
          <w:szCs w:val="32"/>
          <w:highlight w:val="none"/>
        </w:rPr>
      </w:pPr>
    </w:p>
    <w:p>
      <w:pPr>
        <w:spacing w:line="480" w:lineRule="exact"/>
        <w:jc w:val="center"/>
        <w:rPr>
          <w:rFonts w:asciiTheme="majorEastAsia" w:hAnsiTheme="majorEastAsia" w:eastAsiaTheme="majorEastAsia" w:cstheme="majorEastAsia"/>
          <w:b/>
          <w:bCs/>
          <w:sz w:val="32"/>
          <w:szCs w:val="32"/>
          <w:highlight w:val="none"/>
        </w:rPr>
      </w:pPr>
    </w:p>
    <w:p>
      <w:pPr>
        <w:spacing w:line="480" w:lineRule="exact"/>
        <w:jc w:val="both"/>
        <w:rPr>
          <w:rFonts w:asciiTheme="majorEastAsia" w:hAnsiTheme="majorEastAsia" w:eastAsiaTheme="majorEastAsia" w:cstheme="majorEastAsia"/>
          <w:b/>
          <w:bCs/>
          <w:sz w:val="32"/>
          <w:szCs w:val="32"/>
          <w:highlight w:val="none"/>
        </w:rPr>
      </w:pPr>
    </w:p>
    <w:p>
      <w:pPr>
        <w:spacing w:line="480" w:lineRule="exact"/>
        <w:jc w:val="center"/>
        <w:rPr>
          <w:rFonts w:asciiTheme="majorEastAsia" w:hAnsiTheme="majorEastAsia" w:eastAsiaTheme="majorEastAsia" w:cstheme="majorEastAsia"/>
          <w:b/>
          <w:bCs/>
          <w:sz w:val="32"/>
          <w:szCs w:val="32"/>
          <w:highlight w:val="none"/>
        </w:rPr>
      </w:pPr>
      <w:r>
        <w:rPr>
          <w:rFonts w:asciiTheme="majorEastAsia" w:hAnsiTheme="majorEastAsia" w:eastAsiaTheme="majorEastAsia" w:cstheme="majorEastAsia"/>
          <w:b/>
          <w:bCs/>
          <w:sz w:val="32"/>
          <w:szCs w:val="32"/>
          <w:highlight w:val="none"/>
        </w:rPr>
        <w:t>第</w:t>
      </w:r>
      <w:r>
        <w:rPr>
          <w:rFonts w:hint="eastAsia" w:asciiTheme="majorEastAsia" w:hAnsiTheme="majorEastAsia" w:eastAsiaTheme="majorEastAsia" w:cstheme="majorEastAsia"/>
          <w:b/>
          <w:bCs/>
          <w:sz w:val="32"/>
          <w:szCs w:val="32"/>
          <w:highlight w:val="none"/>
        </w:rPr>
        <w:t>六</w:t>
      </w:r>
      <w:r>
        <w:rPr>
          <w:rFonts w:asciiTheme="majorEastAsia" w:hAnsiTheme="majorEastAsia" w:eastAsiaTheme="majorEastAsia" w:cstheme="majorEastAsia"/>
          <w:b/>
          <w:bCs/>
          <w:sz w:val="32"/>
          <w:szCs w:val="32"/>
          <w:highlight w:val="none"/>
        </w:rPr>
        <w:t>章</w:t>
      </w:r>
      <w:r>
        <w:rPr>
          <w:rFonts w:hint="eastAsia" w:asciiTheme="majorEastAsia" w:hAnsiTheme="majorEastAsia" w:eastAsiaTheme="majorEastAsia" w:cstheme="majorEastAsia"/>
          <w:b/>
          <w:bCs/>
          <w:sz w:val="32"/>
          <w:szCs w:val="32"/>
          <w:highlight w:val="none"/>
        </w:rPr>
        <w:t xml:space="preserve"> </w:t>
      </w:r>
      <w:r>
        <w:rPr>
          <w:rFonts w:asciiTheme="majorEastAsia" w:hAnsiTheme="majorEastAsia" w:eastAsiaTheme="majorEastAsia" w:cstheme="majorEastAsia"/>
          <w:b/>
          <w:bCs/>
          <w:sz w:val="32"/>
          <w:szCs w:val="32"/>
          <w:highlight w:val="none"/>
        </w:rPr>
        <w:t>投标文件格式</w:t>
      </w:r>
    </w:p>
    <w:p>
      <w:pPr>
        <w:wordWrap w:val="0"/>
        <w:spacing w:line="520" w:lineRule="exact"/>
        <w:jc w:val="center"/>
        <w:rPr>
          <w:rFonts w:ascii="Times New Roman" w:hAnsi="Times New Roman" w:eastAsia="黑体" w:cs="Times New Roman"/>
          <w:kern w:val="0"/>
          <w:sz w:val="32"/>
          <w:szCs w:val="32"/>
          <w:highlight w:val="none"/>
        </w:rPr>
      </w:pPr>
    </w:p>
    <w:p>
      <w:pPr>
        <w:wordWrap w:val="0"/>
        <w:spacing w:line="520" w:lineRule="exact"/>
        <w:jc w:val="center"/>
        <w:rPr>
          <w:rFonts w:ascii="Times New Roman" w:hAnsi="Times New Roman" w:eastAsia="黑体" w:cs="Times New Roman"/>
          <w:kern w:val="0"/>
          <w:sz w:val="32"/>
          <w:szCs w:val="32"/>
          <w:highlight w:val="none"/>
        </w:rPr>
      </w:pPr>
    </w:p>
    <w:p>
      <w:pPr>
        <w:wordWrap w:val="0"/>
        <w:jc w:val="center"/>
        <w:rPr>
          <w:rFonts w:hint="eastAsia" w:ascii="Times New Roman" w:hAnsi="Times New Roman" w:eastAsia="黑体" w:cs="Times New Roman"/>
          <w:kern w:val="0"/>
          <w:sz w:val="32"/>
          <w:szCs w:val="32"/>
          <w:highlight w:val="none"/>
          <w:lang w:eastAsia="zh-CN"/>
        </w:rPr>
      </w:pPr>
      <w:r>
        <w:rPr>
          <w:rFonts w:hint="eastAsia" w:ascii="Times New Roman" w:hAnsi="Times New Roman" w:eastAsia="黑体" w:cs="Times New Roman"/>
          <w:kern w:val="0"/>
          <w:sz w:val="32"/>
          <w:szCs w:val="32"/>
          <w:highlight w:val="none"/>
          <w:lang w:eastAsia="zh-CN"/>
        </w:rPr>
        <w:t>亳州交通投资控股集团有限公司财务共享中心项目</w:t>
      </w:r>
    </w:p>
    <w:p>
      <w:pPr>
        <w:wordWrap w:val="0"/>
        <w:jc w:val="center"/>
        <w:rPr>
          <w:rFonts w:ascii="Times New Roman" w:hAnsi="Times New Roman" w:eastAsia="黑体" w:cs="Times New Roman"/>
          <w:kern w:val="0"/>
          <w:sz w:val="32"/>
          <w:szCs w:val="32"/>
          <w:highlight w:val="none"/>
        </w:rPr>
      </w:pPr>
    </w:p>
    <w:p>
      <w:pPr>
        <w:wordWrap w:val="0"/>
        <w:jc w:val="center"/>
        <w:rPr>
          <w:rFonts w:ascii="Times New Roman" w:hAnsi="Times New Roman" w:eastAsia="方正小标宋简体" w:cs="Times New Roman"/>
          <w:kern w:val="0"/>
          <w:sz w:val="84"/>
          <w:szCs w:val="84"/>
          <w:highlight w:val="none"/>
        </w:rPr>
      </w:pPr>
      <w:r>
        <w:rPr>
          <w:rFonts w:hint="eastAsia" w:ascii="Times New Roman" w:hAnsi="Times New Roman" w:eastAsia="方正小标宋简体" w:cs="Times New Roman"/>
          <w:kern w:val="0"/>
          <w:sz w:val="84"/>
          <w:szCs w:val="84"/>
          <w:highlight w:val="none"/>
        </w:rPr>
        <w:t>投</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标</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文</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件</w:t>
      </w:r>
    </w:p>
    <w:p>
      <w:pPr>
        <w:wordWrap w:val="0"/>
        <w:jc w:val="center"/>
        <w:rPr>
          <w:rFonts w:ascii="Times New Roman" w:hAnsi="Times New Roman" w:eastAsia="楷体" w:cs="Times New Roman"/>
          <w:kern w:val="0"/>
          <w:sz w:val="28"/>
          <w:szCs w:val="28"/>
          <w:highlight w:val="none"/>
        </w:rPr>
      </w:pPr>
    </w:p>
    <w:p>
      <w:pPr>
        <w:wordWrap w:val="0"/>
        <w:jc w:val="center"/>
        <w:rPr>
          <w:rFonts w:hint="eastAsia" w:ascii="Times New Roman" w:hAnsi="Times New Roman" w:eastAsia="楷体" w:cs="Times New Roman"/>
          <w:kern w:val="0"/>
          <w:sz w:val="28"/>
          <w:szCs w:val="28"/>
          <w:highlight w:val="none"/>
          <w:lang w:eastAsia="zh-CN"/>
        </w:rPr>
      </w:pPr>
      <w:r>
        <w:rPr>
          <w:rFonts w:ascii="Times New Roman" w:hAnsi="Times New Roman" w:eastAsia="楷体" w:cs="Times New Roman"/>
          <w:kern w:val="0"/>
          <w:sz w:val="28"/>
          <w:szCs w:val="28"/>
          <w:highlight w:val="none"/>
        </w:rPr>
        <w:t>项目编号：</w:t>
      </w:r>
      <w:r>
        <w:rPr>
          <w:rFonts w:hint="eastAsia" w:ascii="Times New Roman" w:hAnsi="Times New Roman" w:eastAsia="楷体" w:cs="Times New Roman"/>
          <w:kern w:val="0"/>
          <w:sz w:val="28"/>
          <w:szCs w:val="28"/>
          <w:highlight w:val="none"/>
          <w:lang w:eastAsia="zh-CN"/>
        </w:rPr>
        <w:t>BZJK-2020-027号</w:t>
      </w:r>
    </w:p>
    <w:p>
      <w:pPr>
        <w:wordWrap w:val="0"/>
        <w:jc w:val="center"/>
        <w:rPr>
          <w:rFonts w:ascii="Times New Roman" w:hAnsi="Times New Roman" w:eastAsia="楷体" w:cs="Times New Roman"/>
          <w:kern w:val="0"/>
          <w:sz w:val="28"/>
          <w:szCs w:val="28"/>
          <w:highlight w:val="none"/>
        </w:rPr>
      </w:pPr>
    </w:p>
    <w:p>
      <w:pPr>
        <w:wordWrap w:val="0"/>
        <w:rPr>
          <w:rFonts w:ascii="Times New Roman" w:hAnsi="Times New Roman" w:eastAsia="楷体" w:cs="Times New Roman"/>
          <w:kern w:val="0"/>
          <w:sz w:val="32"/>
          <w:szCs w:val="32"/>
          <w:highlight w:val="none"/>
        </w:rPr>
      </w:pPr>
    </w:p>
    <w:p>
      <w:pPr>
        <w:wordWrap w:val="0"/>
        <w:ind w:left="1260" w:leftChars="600"/>
        <w:jc w:val="left"/>
        <w:rPr>
          <w:rFonts w:ascii="Times New Roman" w:hAnsi="Times New Roman" w:eastAsia="楷体" w:cs="Times New Roman"/>
          <w:kern w:val="0"/>
          <w:sz w:val="32"/>
          <w:szCs w:val="32"/>
          <w:highlight w:val="none"/>
        </w:rPr>
      </w:pPr>
      <w:r>
        <w:rPr>
          <w:rFonts w:hint="eastAsia" w:ascii="Times New Roman" w:hAnsi="Times New Roman" w:eastAsia="楷体" w:cs="Times New Roman"/>
          <w:kern w:val="0"/>
          <w:sz w:val="32"/>
          <w:szCs w:val="32"/>
          <w:highlight w:val="none"/>
        </w:rPr>
        <w:t>投标</w:t>
      </w:r>
      <w:r>
        <w:rPr>
          <w:rFonts w:ascii="Times New Roman" w:hAnsi="Times New Roman" w:eastAsia="楷体" w:cs="Times New Roman"/>
          <w:kern w:val="0"/>
          <w:sz w:val="32"/>
          <w:szCs w:val="32"/>
          <w:highlight w:val="none"/>
        </w:rPr>
        <w:t>单位：</w:t>
      </w: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（盖章）</w:t>
      </w:r>
    </w:p>
    <w:p>
      <w:pPr>
        <w:wordWrap w:val="0"/>
        <w:ind w:left="1260" w:leftChars="600"/>
        <w:jc w:val="left"/>
        <w:rPr>
          <w:rFonts w:ascii="Times New Roman" w:hAnsi="Times New Roman" w:eastAsia="楷体" w:cs="Times New Roman"/>
          <w:kern w:val="0"/>
          <w:sz w:val="32"/>
          <w:szCs w:val="32"/>
          <w:highlight w:val="none"/>
        </w:rPr>
      </w:pPr>
      <w:r>
        <w:rPr>
          <w:rFonts w:hint="eastAsia" w:ascii="Times New Roman" w:hAnsi="Times New Roman" w:eastAsia="楷体" w:cs="Times New Roman"/>
          <w:kern w:val="0"/>
          <w:sz w:val="32"/>
          <w:szCs w:val="32"/>
          <w:highlight w:val="none"/>
        </w:rPr>
        <w:t>法定代表人或其委托代理人：</w:t>
      </w: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（签字）</w:t>
      </w:r>
    </w:p>
    <w:p>
      <w:pPr>
        <w:ind w:firstLine="1920" w:firstLineChars="600"/>
        <w:jc w:val="left"/>
        <w:rPr>
          <w:rFonts w:ascii="Times New Roman" w:hAnsi="Times New Roman" w:eastAsia="楷体" w:cs="Times New Roman"/>
          <w:kern w:val="0"/>
          <w:sz w:val="32"/>
          <w:szCs w:val="32"/>
          <w:highlight w:val="none"/>
        </w:rPr>
      </w:pP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年</w:t>
      </w: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月</w:t>
      </w: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日</w:t>
      </w:r>
    </w:p>
    <w:p>
      <w:pPr>
        <w:wordWrap w:val="0"/>
        <w:spacing w:line="520" w:lineRule="exact"/>
        <w:rPr>
          <w:rFonts w:ascii="宋体" w:hAnsi="宋体" w:eastAsia="宋体" w:cs="宋体"/>
          <w:kern w:val="0"/>
          <w:sz w:val="24"/>
          <w:highlight w:val="none"/>
        </w:rPr>
      </w:pPr>
      <w:r>
        <w:rPr>
          <w:rFonts w:hint="eastAsia" w:ascii="宋体" w:hAnsi="宋体" w:eastAsia="宋体" w:cs="宋体"/>
          <w:kern w:val="0"/>
          <w:sz w:val="24"/>
          <w:highlight w:val="none"/>
        </w:rPr>
        <w:br w:type="page"/>
      </w:r>
    </w:p>
    <w:p>
      <w:pPr>
        <w:wordWrap w:val="0"/>
        <w:jc w:val="center"/>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目录</w:t>
      </w:r>
    </w:p>
    <w:p>
      <w:pPr>
        <w:wordWrap w:val="0"/>
        <w:jc w:val="center"/>
        <w:rPr>
          <w:rFonts w:ascii="Times New Roman" w:hAnsi="Times New Roman" w:eastAsia="黑体" w:cs="Times New Roman"/>
          <w:kern w:val="0"/>
          <w:sz w:val="32"/>
          <w:szCs w:val="32"/>
          <w:highlight w:val="none"/>
        </w:rPr>
      </w:pP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一</w:t>
      </w:r>
      <w:r>
        <w:rPr>
          <w:rFonts w:hint="eastAsia" w:ascii="Times New Roman" w:hAnsi="Times New Roman" w:eastAsia="黑体" w:cs="Times New Roman"/>
          <w:kern w:val="0"/>
          <w:sz w:val="32"/>
          <w:szCs w:val="32"/>
          <w:highlight w:val="none"/>
        </w:rPr>
        <w:t>、投标函及投标函附录</w:t>
      </w: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二</w:t>
      </w:r>
      <w:r>
        <w:rPr>
          <w:rFonts w:hint="eastAsia" w:ascii="Times New Roman" w:hAnsi="Times New Roman" w:eastAsia="黑体" w:cs="Times New Roman"/>
          <w:kern w:val="0"/>
          <w:sz w:val="32"/>
          <w:szCs w:val="32"/>
          <w:highlight w:val="none"/>
        </w:rPr>
        <w:t>、法定代表人身份证明</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二、授权委托书</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三、投标保证金</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四、服务费用清单</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五、资格审查资料</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六、服务方案</w:t>
      </w:r>
    </w:p>
    <w:p>
      <w:pPr>
        <w:wordWrap w:val="0"/>
        <w:rPr>
          <w:rFonts w:hint="eastAsia" w:ascii="Times New Roman" w:hAnsi="Times New Roman" w:eastAsia="黑体" w:cs="Times New Roman"/>
          <w:kern w:val="0"/>
          <w:sz w:val="32"/>
          <w:szCs w:val="32"/>
          <w:highlight w:val="none"/>
          <w:lang w:eastAsia="zh-CN"/>
        </w:rPr>
      </w:pPr>
      <w:r>
        <w:rPr>
          <w:rFonts w:hint="eastAsia" w:ascii="Times New Roman" w:hAnsi="Times New Roman" w:eastAsia="黑体" w:cs="Times New Roman"/>
          <w:kern w:val="0"/>
          <w:sz w:val="32"/>
          <w:szCs w:val="32"/>
          <w:highlight w:val="none"/>
        </w:rPr>
        <w:t>七、其他资料</w:t>
      </w:r>
    </w:p>
    <w:p>
      <w:pPr>
        <w:wordWrap w:val="0"/>
        <w:rPr>
          <w:rFonts w:ascii="Times New Roman" w:hAnsi="Times New Roman" w:eastAsia="黑体" w:cs="Times New Roman"/>
          <w:kern w:val="0"/>
          <w:sz w:val="32"/>
          <w:szCs w:val="32"/>
          <w:highlight w:val="none"/>
        </w:rPr>
      </w:pPr>
    </w:p>
    <w:p>
      <w:pPr>
        <w:wordWrap w:val="0"/>
        <w:rPr>
          <w:rFonts w:ascii="Times New Roman" w:hAnsi="Times New Roman" w:eastAsia="黑体" w:cs="Times New Roman"/>
          <w:kern w:val="0"/>
          <w:sz w:val="32"/>
          <w:szCs w:val="32"/>
          <w:highlight w:val="none"/>
        </w:rPr>
      </w:pPr>
    </w:p>
    <w:p>
      <w:pPr>
        <w:wordWrap w:val="0"/>
        <w:rPr>
          <w:rFonts w:ascii="Times New Roman" w:hAnsi="Times New Roman" w:eastAsia="黑体" w:cs="Times New Roman"/>
          <w:kern w:val="0"/>
          <w:sz w:val="32"/>
          <w:szCs w:val="32"/>
          <w:highlight w:val="none"/>
        </w:rPr>
      </w:pPr>
    </w:p>
    <w:p>
      <w:pPr>
        <w:rPr>
          <w:rFonts w:ascii="宋体" w:hAnsi="宋体" w:eastAsia="宋体" w:cs="宋体"/>
          <w:b/>
          <w:bCs/>
          <w:kern w:val="0"/>
          <w:sz w:val="24"/>
          <w:highlight w:val="none"/>
        </w:rPr>
      </w:pPr>
      <w:r>
        <w:rPr>
          <w:rFonts w:hint="eastAsia" w:ascii="宋体" w:hAnsi="宋体" w:eastAsia="宋体" w:cs="宋体"/>
          <w:b/>
          <w:bCs/>
          <w:kern w:val="0"/>
          <w:sz w:val="24"/>
          <w:highlight w:val="none"/>
        </w:rPr>
        <w:br w:type="page"/>
      </w:r>
    </w:p>
    <w:p>
      <w:pPr>
        <w:pStyle w:val="3"/>
        <w:jc w:val="center"/>
        <w:rPr>
          <w:rFonts w:ascii="Times New Roman" w:hAnsi="Times New Roman"/>
          <w:szCs w:val="21"/>
          <w:highlight w:val="none"/>
          <w:u w:val="single"/>
        </w:rPr>
      </w:pPr>
      <w:bookmarkStart w:id="35" w:name="_Toc492300526"/>
      <w:r>
        <w:rPr>
          <w:rFonts w:ascii="Times New Roman" w:hAnsi="Times New Roman"/>
          <w:highlight w:val="none"/>
        </w:rPr>
        <w:t>一、投标</w:t>
      </w:r>
      <w:bookmarkStart w:id="36" w:name="_Toc352691656"/>
      <w:bookmarkStart w:id="37" w:name="_Toc6931"/>
      <w:bookmarkStart w:id="38" w:name="_Toc369531692"/>
      <w:r>
        <w:rPr>
          <w:rFonts w:ascii="Times New Roman" w:hAnsi="Times New Roman"/>
          <w:highlight w:val="none"/>
        </w:rPr>
        <w:t>函</w:t>
      </w:r>
      <w:bookmarkEnd w:id="35"/>
      <w:bookmarkEnd w:id="36"/>
      <w:bookmarkEnd w:id="37"/>
      <w:bookmarkEnd w:id="38"/>
    </w:p>
    <w:p>
      <w:pPr>
        <w:spacing w:line="440" w:lineRule="exact"/>
        <w:rPr>
          <w:rFonts w:ascii="Times New Roman" w:hAnsi="Times New Roman"/>
          <w:szCs w:val="21"/>
          <w:highlight w:val="none"/>
        </w:rPr>
      </w:pPr>
      <w:r>
        <w:rPr>
          <w:rFonts w:ascii="Times New Roman" w:hAnsi="Times New Roman"/>
          <w:szCs w:val="21"/>
          <w:highlight w:val="none"/>
          <w:u w:val="single"/>
        </w:rPr>
        <w:t xml:space="preserve">                  </w:t>
      </w:r>
      <w:r>
        <w:rPr>
          <w:rFonts w:ascii="Times New Roman" w:hAnsi="Times New Roman"/>
          <w:szCs w:val="21"/>
          <w:highlight w:val="none"/>
        </w:rPr>
        <w:t>（招标人名称）：</w:t>
      </w:r>
    </w:p>
    <w:p>
      <w:pPr>
        <w:spacing w:line="440" w:lineRule="exact"/>
        <w:ind w:firstLine="405"/>
        <w:rPr>
          <w:rFonts w:ascii="Times New Roman" w:hAnsi="Times New Roman"/>
          <w:szCs w:val="21"/>
          <w:highlight w:val="none"/>
        </w:rPr>
      </w:pPr>
      <w:r>
        <w:rPr>
          <w:rFonts w:ascii="Times New Roman" w:hAnsi="Times New Roman"/>
          <w:szCs w:val="21"/>
          <w:highlight w:val="none"/>
        </w:rPr>
        <w:t>1</w:t>
      </w:r>
      <w:r>
        <w:rPr>
          <w:rFonts w:hint="eastAsia" w:ascii="Times New Roman" w:hAnsi="Times New Roman"/>
          <w:szCs w:val="21"/>
          <w:highlight w:val="none"/>
        </w:rPr>
        <w:t xml:space="preserve">. </w:t>
      </w:r>
      <w:r>
        <w:rPr>
          <w:rFonts w:ascii="Times New Roman" w:hAnsi="Times New Roman"/>
          <w:szCs w:val="21"/>
          <w:highlight w:val="none"/>
        </w:rPr>
        <w:t>我方已仔细研究了</w:t>
      </w:r>
      <w:r>
        <w:rPr>
          <w:rFonts w:ascii="Times New Roman" w:hAnsi="Times New Roman"/>
          <w:szCs w:val="21"/>
          <w:highlight w:val="none"/>
          <w:u w:val="single"/>
        </w:rPr>
        <w:t xml:space="preserve">                  </w:t>
      </w:r>
      <w:r>
        <w:rPr>
          <w:rFonts w:ascii="Times New Roman" w:hAnsi="Times New Roman"/>
          <w:color w:val="000000"/>
          <w:szCs w:val="21"/>
          <w:highlight w:val="none"/>
        </w:rPr>
        <w:t>（项目名称）招标项目</w:t>
      </w:r>
      <w:r>
        <w:rPr>
          <w:rFonts w:ascii="Times New Roman" w:hAnsi="Times New Roman"/>
          <w:szCs w:val="21"/>
          <w:highlight w:val="none"/>
        </w:rPr>
        <w:t>招标文件的全部内容，愿意以人民币（大写）</w:t>
      </w:r>
      <w:r>
        <w:rPr>
          <w:rFonts w:ascii="Times New Roman" w:hAnsi="Times New Roman"/>
          <w:szCs w:val="21"/>
          <w:highlight w:val="none"/>
          <w:u w:val="single"/>
        </w:rPr>
        <w:t xml:space="preserve">               </w:t>
      </w:r>
      <w:r>
        <w:rPr>
          <w:rFonts w:ascii="Times New Roman" w:hAnsi="Times New Roman"/>
          <w:szCs w:val="21"/>
          <w:highlight w:val="none"/>
        </w:rPr>
        <w:t>（¥</w:t>
      </w:r>
      <w:r>
        <w:rPr>
          <w:rFonts w:ascii="Times New Roman" w:hAnsi="Times New Roman"/>
          <w:szCs w:val="21"/>
          <w:highlight w:val="none"/>
          <w:u w:val="single"/>
        </w:rPr>
        <w:t xml:space="preserve">               </w:t>
      </w:r>
      <w:r>
        <w:rPr>
          <w:rFonts w:ascii="Times New Roman" w:hAnsi="Times New Roman"/>
          <w:szCs w:val="21"/>
          <w:highlight w:val="none"/>
        </w:rPr>
        <w:t>）的</w:t>
      </w:r>
      <w:r>
        <w:rPr>
          <w:rFonts w:hint="eastAsia" w:ascii="Times New Roman" w:hAnsi="Times New Roman"/>
          <w:szCs w:val="21"/>
          <w:highlight w:val="none"/>
        </w:rPr>
        <w:t>实施开发阶段</w:t>
      </w:r>
      <w:r>
        <w:rPr>
          <w:rFonts w:hint="eastAsia" w:ascii="Times New Roman" w:hAnsi="Times New Roman"/>
          <w:szCs w:val="21"/>
          <w:highlight w:val="none"/>
          <w:lang w:eastAsia="zh-CN"/>
        </w:rPr>
        <w:t>总报价，</w:t>
      </w:r>
      <w:r>
        <w:rPr>
          <w:rFonts w:hint="eastAsia" w:ascii="Times New Roman" w:hAnsi="Times New Roman"/>
          <w:szCs w:val="21"/>
          <w:highlight w:val="none"/>
        </w:rPr>
        <w:t>后期</w:t>
      </w:r>
      <w:r>
        <w:rPr>
          <w:rFonts w:hint="eastAsia" w:ascii="Times New Roman" w:hAnsi="Times New Roman"/>
          <w:szCs w:val="21"/>
          <w:highlight w:val="none"/>
          <w:lang w:eastAsia="zh-CN"/>
        </w:rPr>
        <w:t>年</w:t>
      </w:r>
      <w:r>
        <w:rPr>
          <w:rFonts w:hint="eastAsia" w:ascii="Times New Roman" w:hAnsi="Times New Roman"/>
          <w:szCs w:val="21"/>
          <w:highlight w:val="none"/>
        </w:rPr>
        <w:t>维护</w:t>
      </w:r>
      <w:r>
        <w:rPr>
          <w:rFonts w:hint="eastAsia" w:ascii="Times New Roman" w:hAnsi="Times New Roman"/>
          <w:szCs w:val="21"/>
          <w:highlight w:val="none"/>
          <w:lang w:eastAsia="zh-CN"/>
        </w:rPr>
        <w:t>费为</w:t>
      </w:r>
      <w:r>
        <w:rPr>
          <w:rFonts w:hint="eastAsia" w:ascii="Times New Roman" w:hAnsi="Times New Roman"/>
          <w:szCs w:val="21"/>
          <w:highlight w:val="none"/>
        </w:rPr>
        <w:t>实施开发阶段费用的</w:t>
      </w:r>
      <w:r>
        <w:rPr>
          <w:rFonts w:ascii="Times New Roman" w:hAnsi="Times New Roman" w:eastAsia="黑体"/>
          <w:color w:val="000000"/>
          <w:szCs w:val="21"/>
          <w:highlight w:val="none"/>
          <w:u w:val="single"/>
        </w:rPr>
        <w:t xml:space="preserve">       </w:t>
      </w:r>
      <w:r>
        <w:rPr>
          <w:rFonts w:hint="eastAsia" w:ascii="Times New Roman" w:hAnsi="Times New Roman" w:eastAsia="黑体"/>
          <w:color w:val="000000"/>
          <w:szCs w:val="21"/>
          <w:highlight w:val="none"/>
          <w:u w:val="single"/>
          <w:lang w:val="en-US" w:eastAsia="zh-CN"/>
        </w:rPr>
        <w:t>%</w:t>
      </w:r>
      <w:r>
        <w:rPr>
          <w:rFonts w:hint="eastAsia" w:ascii="Times New Roman" w:hAnsi="Times New Roman"/>
          <w:szCs w:val="21"/>
          <w:highlight w:val="none"/>
          <w:lang w:val="en-US" w:eastAsia="zh-CN"/>
        </w:rPr>
        <w:t>进行投标报价</w:t>
      </w:r>
      <w:r>
        <w:rPr>
          <w:rFonts w:hint="eastAsia" w:ascii="Times New Roman" w:hAnsi="Times New Roman"/>
          <w:szCs w:val="21"/>
          <w:highlight w:val="none"/>
          <w:u w:val="none"/>
          <w:lang w:val="en-US" w:eastAsia="zh-CN"/>
        </w:rPr>
        <w:t xml:space="preserve"> </w:t>
      </w:r>
      <w:r>
        <w:rPr>
          <w:rFonts w:ascii="Times New Roman" w:hAnsi="Times New Roman"/>
          <w:szCs w:val="21"/>
          <w:highlight w:val="none"/>
        </w:rPr>
        <w:t>（其中，增值税税率为</w:t>
      </w:r>
      <w:r>
        <w:rPr>
          <w:rFonts w:ascii="Times New Roman" w:hAnsi="Times New Roman" w:eastAsia="黑体"/>
          <w:color w:val="000000"/>
          <w:szCs w:val="21"/>
          <w:highlight w:val="none"/>
          <w:u w:val="single"/>
        </w:rPr>
        <w:t xml:space="preserve">         </w:t>
      </w:r>
      <w:r>
        <w:rPr>
          <w:rFonts w:ascii="Times New Roman" w:hAnsi="Times New Roman" w:eastAsia="黑体"/>
          <w:color w:val="000000"/>
          <w:szCs w:val="21"/>
          <w:highlight w:val="none"/>
        </w:rPr>
        <w:t>），</w:t>
      </w:r>
      <w:r>
        <w:rPr>
          <w:rFonts w:ascii="Times New Roman" w:hAnsi="Times New Roman"/>
          <w:szCs w:val="21"/>
          <w:highlight w:val="none"/>
        </w:rPr>
        <w:t>服务期限：</w:t>
      </w:r>
      <w:r>
        <w:rPr>
          <w:rFonts w:ascii="Times New Roman" w:hAnsi="Times New Roman"/>
          <w:szCs w:val="21"/>
          <w:highlight w:val="none"/>
          <w:u w:val="single"/>
        </w:rPr>
        <w:t xml:space="preserve">      </w:t>
      </w:r>
      <w:r>
        <w:rPr>
          <w:rFonts w:ascii="Times New Roman" w:hAnsi="Times New Roman"/>
          <w:szCs w:val="21"/>
          <w:highlight w:val="none"/>
        </w:rPr>
        <w:t>，</w:t>
      </w:r>
      <w:r>
        <w:rPr>
          <w:rFonts w:hint="eastAsia" w:ascii="Times New Roman" w:hAnsi="Times New Roman"/>
          <w:szCs w:val="21"/>
          <w:highlight w:val="none"/>
          <w:lang w:eastAsia="zh-CN"/>
        </w:rPr>
        <w:t>免费维护期为</w:t>
      </w:r>
      <w:r>
        <w:rPr>
          <w:rFonts w:ascii="Times New Roman" w:hAnsi="Times New Roman" w:eastAsia="黑体"/>
          <w:color w:val="000000"/>
          <w:szCs w:val="21"/>
          <w:highlight w:val="none"/>
          <w:u w:val="single"/>
        </w:rPr>
        <w:t xml:space="preserve">        </w:t>
      </w:r>
      <w:r>
        <w:rPr>
          <w:rFonts w:hint="eastAsia" w:ascii="Times New Roman" w:hAnsi="Times New Roman" w:eastAsia="黑体"/>
          <w:color w:val="000000"/>
          <w:szCs w:val="21"/>
          <w:highlight w:val="none"/>
          <w:u w:val="none"/>
          <w:lang w:eastAsia="zh-CN"/>
        </w:rPr>
        <w:t>，</w:t>
      </w:r>
      <w:r>
        <w:rPr>
          <w:rFonts w:ascii="Times New Roman" w:hAnsi="Times New Roman"/>
          <w:szCs w:val="21"/>
          <w:highlight w:val="none"/>
        </w:rPr>
        <w:t>按合同约定完成</w:t>
      </w:r>
      <w:r>
        <w:rPr>
          <w:rFonts w:hint="eastAsia" w:ascii="Times New Roman" w:hAnsi="Times New Roman"/>
          <w:szCs w:val="21"/>
          <w:highlight w:val="none"/>
          <w:lang w:eastAsia="zh-CN"/>
        </w:rPr>
        <w:t>系统开发及后期维护</w:t>
      </w:r>
      <w:r>
        <w:rPr>
          <w:rFonts w:ascii="Times New Roman" w:hAnsi="Times New Roman"/>
          <w:szCs w:val="21"/>
          <w:highlight w:val="none"/>
        </w:rPr>
        <w:t>。</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2. 我方的投标文件包括下列内容：</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（1）投标函及投标函附录；</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（2）法定代表人身份证明或授权委托书；</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（3）投标保证金；</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（4）服务费用清单；</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（5）资格审查资料；</w:t>
      </w:r>
    </w:p>
    <w:p>
      <w:pPr>
        <w:spacing w:line="400" w:lineRule="exact"/>
        <w:ind w:firstLine="405"/>
        <w:rPr>
          <w:rFonts w:ascii="Times New Roman" w:hAnsi="Times New Roman"/>
          <w:color w:val="000000"/>
          <w:szCs w:val="21"/>
          <w:highlight w:val="none"/>
        </w:rPr>
      </w:pPr>
      <w:r>
        <w:rPr>
          <w:rFonts w:ascii="Times New Roman" w:hAnsi="Times New Roman"/>
          <w:color w:val="000000"/>
          <w:szCs w:val="21"/>
          <w:highlight w:val="none"/>
        </w:rPr>
        <w:t>……</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投标文件的上述组成部分如存在内容不一致的，以投标函为准。</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3．我方承诺在招标文件规定的投标有效期内不撤销投标文件。</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4．如我方中标，我方承诺：</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（1）在收到中标通知书后，在中标通知书规定的期限内与你方签订合同；</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（2）在签订合同时不向你方提出附加条件；</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（3）按照招标文件要求提交履约保证金；</w:t>
      </w:r>
      <w:bookmarkStart w:id="39" w:name="_Toc369531694"/>
      <w:bookmarkStart w:id="40" w:name="_Toc1187"/>
      <w:bookmarkStart w:id="41" w:name="_Toc352691658"/>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（4）在合</w:t>
      </w:r>
      <w:bookmarkEnd w:id="39"/>
      <w:bookmarkEnd w:id="40"/>
      <w:bookmarkEnd w:id="41"/>
      <w:r>
        <w:rPr>
          <w:rFonts w:ascii="Times New Roman" w:hAnsi="Times New Roman"/>
          <w:szCs w:val="21"/>
          <w:highlight w:val="none"/>
        </w:rPr>
        <w:t>同约定的期限内完成合同规定的全部义务。</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6．</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（其他补充说明）。</w:t>
      </w:r>
    </w:p>
    <w:p>
      <w:pPr>
        <w:spacing w:line="440" w:lineRule="exact"/>
        <w:ind w:firstLine="420" w:firstLineChars="200"/>
        <w:rPr>
          <w:rFonts w:ascii="Times New Roman" w:hAnsi="Times New Roman"/>
          <w:szCs w:val="21"/>
          <w:highlight w:val="none"/>
        </w:rPr>
      </w:pPr>
    </w:p>
    <w:p>
      <w:pPr>
        <w:spacing w:line="440" w:lineRule="exact"/>
        <w:ind w:firstLine="2520" w:firstLineChars="1200"/>
        <w:jc w:val="left"/>
        <w:rPr>
          <w:rFonts w:ascii="Times New Roman" w:hAnsi="Times New Roman"/>
          <w:szCs w:val="21"/>
          <w:highlight w:val="none"/>
        </w:rPr>
      </w:pPr>
      <w:bookmarkStart w:id="42" w:name="_Toc352691659"/>
      <w:bookmarkEnd w:id="42"/>
      <w:bookmarkStart w:id="43" w:name="_Toc369531696"/>
      <w:bookmarkEnd w:id="43"/>
      <w:bookmarkStart w:id="44" w:name="_Toc16568"/>
      <w:bookmarkEnd w:id="44"/>
      <w:bookmarkStart w:id="45" w:name="_Toc352691660"/>
      <w:bookmarkEnd w:id="45"/>
      <w:bookmarkStart w:id="46" w:name="_Toc369531695"/>
      <w:bookmarkEnd w:id="46"/>
      <w:bookmarkStart w:id="47" w:name="_Toc16824"/>
      <w:bookmarkEnd w:id="47"/>
      <w:r>
        <w:rPr>
          <w:rFonts w:ascii="Times New Roman" w:hAnsi="Times New Roman"/>
          <w:szCs w:val="21"/>
          <w:highlight w:val="none"/>
        </w:rPr>
        <w:t>投 标 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（盖单位章）</w:t>
      </w:r>
    </w:p>
    <w:p>
      <w:pPr>
        <w:spacing w:line="440" w:lineRule="exact"/>
        <w:jc w:val="left"/>
        <w:rPr>
          <w:rFonts w:ascii="Times New Roman" w:hAnsi="Times New Roman"/>
          <w:szCs w:val="21"/>
          <w:highlight w:val="none"/>
        </w:rPr>
      </w:pPr>
      <w:r>
        <w:rPr>
          <w:rFonts w:ascii="Times New Roman" w:hAnsi="Times New Roman"/>
          <w:color w:val="000000"/>
          <w:highlight w:val="none"/>
        </w:rPr>
        <w:t xml:space="preserve">                        法定代表人</w:t>
      </w:r>
      <w:r>
        <w:rPr>
          <w:rFonts w:ascii="Times New Roman" w:hAnsi="Times New Roman"/>
          <w:szCs w:val="21"/>
          <w:highlight w:val="none"/>
        </w:rPr>
        <w:t>或其委托代理人：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（签字）</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地    址：</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电    话：</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传    真：</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邮政编码：</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4725" w:firstLineChars="2250"/>
        <w:jc w:val="right"/>
        <w:rPr>
          <w:rFonts w:ascii="Times New Roman" w:hAnsi="Times New Roman" w:eastAsia="黑体"/>
          <w:color w:val="000000"/>
          <w:sz w:val="20"/>
          <w:highlight w:val="none"/>
        </w:rPr>
      </w:pPr>
      <w:r>
        <w:rPr>
          <w:rFonts w:ascii="Times New Roman" w:hAnsi="Times New Roman"/>
          <w:color w:val="000000"/>
          <w:highlight w:val="none"/>
          <w:u w:val="single"/>
        </w:rPr>
        <w:t xml:space="preserve">      </w:t>
      </w:r>
      <w:r>
        <w:rPr>
          <w:rFonts w:ascii="Times New Roman" w:hAnsi="Times New Roman"/>
          <w:szCs w:val="21"/>
          <w:highlight w:val="none"/>
        </w:rPr>
        <w:t>年</w:t>
      </w:r>
      <w:r>
        <w:rPr>
          <w:rFonts w:ascii="Times New Roman" w:hAnsi="Times New Roman"/>
          <w:color w:val="000000"/>
          <w:highlight w:val="none"/>
          <w:u w:val="single"/>
        </w:rPr>
        <w:t xml:space="preserve">      </w:t>
      </w:r>
      <w:r>
        <w:rPr>
          <w:rFonts w:ascii="Times New Roman" w:hAnsi="Times New Roman"/>
          <w:szCs w:val="21"/>
          <w:highlight w:val="none"/>
        </w:rPr>
        <w:t>月</w:t>
      </w:r>
      <w:r>
        <w:rPr>
          <w:rFonts w:ascii="Times New Roman" w:hAnsi="Times New Roman"/>
          <w:color w:val="000000"/>
          <w:highlight w:val="none"/>
          <w:u w:val="single"/>
        </w:rPr>
        <w:t xml:space="preserve">      </w:t>
      </w:r>
      <w:r>
        <w:rPr>
          <w:rFonts w:ascii="Times New Roman" w:hAnsi="Times New Roman"/>
          <w:szCs w:val="21"/>
          <w:highlight w:val="none"/>
        </w:rPr>
        <w:t>日</w:t>
      </w:r>
      <w:bookmarkStart w:id="48" w:name="_Toc144974856"/>
      <w:bookmarkStart w:id="49" w:name="_Toc361508752"/>
      <w:bookmarkStart w:id="50" w:name="_Toc384308375"/>
      <w:bookmarkStart w:id="51" w:name="_Toc352691661"/>
      <w:bookmarkStart w:id="52" w:name="_Toc247514246"/>
      <w:bookmarkStart w:id="53" w:name="_Toc247527827"/>
      <w:bookmarkStart w:id="54" w:name="_Toc152042576"/>
      <w:bookmarkStart w:id="55" w:name="_Toc369531697"/>
      <w:bookmarkStart w:id="56" w:name="_Toc17960"/>
      <w:bookmarkStart w:id="57" w:name="_Toc300835209"/>
      <w:bookmarkStart w:id="58" w:name="_Toc152045787"/>
    </w:p>
    <w:p>
      <w:pPr>
        <w:pStyle w:val="3"/>
        <w:jc w:val="center"/>
        <w:rPr>
          <w:rFonts w:ascii="Times New Roman" w:hAnsi="Times New Roman"/>
          <w:color w:val="000000"/>
          <w:highlight w:val="none"/>
        </w:rPr>
      </w:pPr>
      <w:bookmarkStart w:id="59" w:name="_Toc492300529"/>
      <w:r>
        <w:rPr>
          <w:rFonts w:ascii="Times New Roman" w:hAnsi="Times New Roman"/>
          <w:color w:val="000000"/>
          <w:highlight w:val="none"/>
        </w:rPr>
        <w:t>二</w:t>
      </w:r>
      <w:bookmarkEnd w:id="48"/>
      <w:bookmarkEnd w:id="49"/>
      <w:bookmarkEnd w:id="50"/>
      <w:bookmarkEnd w:id="51"/>
      <w:bookmarkEnd w:id="52"/>
      <w:bookmarkEnd w:id="53"/>
      <w:bookmarkEnd w:id="54"/>
      <w:bookmarkEnd w:id="55"/>
      <w:bookmarkEnd w:id="56"/>
      <w:bookmarkEnd w:id="57"/>
      <w:bookmarkEnd w:id="58"/>
      <w:r>
        <w:rPr>
          <w:rFonts w:ascii="Times New Roman" w:hAnsi="Times New Roman"/>
          <w:color w:val="000000"/>
          <w:highlight w:val="none"/>
        </w:rPr>
        <w:t>、法定代表人身份证明</w:t>
      </w:r>
      <w:bookmarkEnd w:id="59"/>
    </w:p>
    <w:p>
      <w:pPr>
        <w:spacing w:line="440" w:lineRule="exact"/>
        <w:rPr>
          <w:rFonts w:ascii="Times New Roman" w:hAnsi="Times New Roman"/>
          <w:color w:val="000000"/>
          <w:sz w:val="20"/>
          <w:highlight w:val="none"/>
        </w:rPr>
      </w:pP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投标人名称：</w:t>
      </w:r>
      <w:r>
        <w:rPr>
          <w:rFonts w:ascii="Times New Roman" w:hAnsi="Times New Roman"/>
          <w:highlight w:val="none"/>
          <w:u w:val="single"/>
        </w:rPr>
        <w:t xml:space="preserve">                        </w:t>
      </w:r>
    </w:p>
    <w:p>
      <w:pPr>
        <w:spacing w:line="440" w:lineRule="exact"/>
        <w:rPr>
          <w:rFonts w:ascii="Times New Roman" w:hAnsi="Times New Roman"/>
          <w:color w:val="000000"/>
          <w:highlight w:val="none"/>
        </w:rPr>
      </w:pPr>
      <w:r>
        <w:rPr>
          <w:rFonts w:ascii="Times New Roman" w:hAnsi="Times New Roman"/>
          <w:color w:val="000000"/>
          <w:highlight w:val="none"/>
        </w:rPr>
        <w:t>姓名：</w:t>
      </w:r>
      <w:r>
        <w:rPr>
          <w:rFonts w:ascii="Times New Roman" w:hAnsi="Times New Roman"/>
          <w:highlight w:val="none"/>
          <w:u w:val="single"/>
        </w:rPr>
        <w:t xml:space="preserve">                </w:t>
      </w:r>
      <w:r>
        <w:rPr>
          <w:rFonts w:ascii="Times New Roman" w:hAnsi="Times New Roman"/>
          <w:color w:val="000000"/>
          <w:highlight w:val="none"/>
        </w:rPr>
        <w:t>性别：</w:t>
      </w:r>
      <w:bookmarkStart w:id="60" w:name="_Toc369531698"/>
      <w:bookmarkStart w:id="61" w:name="_Toc27897"/>
      <w:bookmarkStart w:id="62" w:name="_Toc352691662"/>
      <w:r>
        <w:rPr>
          <w:rFonts w:ascii="Times New Roman" w:hAnsi="Times New Roman"/>
          <w:highlight w:val="none"/>
          <w:u w:val="single"/>
        </w:rPr>
        <w:t xml:space="preserve">        </w:t>
      </w:r>
      <w:r>
        <w:rPr>
          <w:rFonts w:ascii="Times New Roman" w:hAnsi="Times New Roman"/>
          <w:color w:val="000000"/>
          <w:highlight w:val="none"/>
        </w:rPr>
        <w:t>年</w:t>
      </w:r>
      <w:bookmarkEnd w:id="60"/>
      <w:bookmarkEnd w:id="61"/>
      <w:bookmarkEnd w:id="62"/>
      <w:r>
        <w:rPr>
          <w:rFonts w:ascii="Times New Roman" w:hAnsi="Times New Roman"/>
          <w:color w:val="000000"/>
          <w:highlight w:val="none"/>
        </w:rPr>
        <w:t>龄</w:t>
      </w:r>
      <w:bookmarkStart w:id="63" w:name="_Toc15573"/>
      <w:bookmarkStart w:id="64" w:name="_Toc352691663"/>
      <w:bookmarkStart w:id="65" w:name="_Toc247514248"/>
      <w:bookmarkStart w:id="66" w:name="_Toc152042578"/>
      <w:bookmarkStart w:id="67" w:name="_Toc152045789"/>
      <w:bookmarkStart w:id="68" w:name="_Toc300835211"/>
      <w:bookmarkStart w:id="69" w:name="_Toc369531699"/>
      <w:bookmarkStart w:id="70" w:name="_Toc384308377"/>
      <w:bookmarkStart w:id="71" w:name="_Toc247527829"/>
      <w:bookmarkStart w:id="72" w:name="_Toc361508754"/>
      <w:bookmarkStart w:id="73" w:name="_Toc144974858"/>
      <w:r>
        <w:rPr>
          <w:rFonts w:ascii="Times New Roman" w:hAnsi="Times New Roman"/>
          <w:color w:val="000000"/>
          <w:highlight w:val="none"/>
        </w:rPr>
        <w:t>：</w:t>
      </w:r>
      <w:bookmarkEnd w:id="63"/>
      <w:bookmarkEnd w:id="64"/>
      <w:bookmarkEnd w:id="65"/>
      <w:bookmarkEnd w:id="66"/>
      <w:bookmarkEnd w:id="67"/>
      <w:bookmarkEnd w:id="68"/>
      <w:bookmarkEnd w:id="69"/>
      <w:bookmarkEnd w:id="70"/>
      <w:bookmarkEnd w:id="71"/>
      <w:bookmarkEnd w:id="72"/>
      <w:bookmarkEnd w:id="73"/>
      <w:r>
        <w:rPr>
          <w:rFonts w:ascii="Times New Roman" w:hAnsi="Times New Roman"/>
          <w:highlight w:val="none"/>
          <w:u w:val="single"/>
        </w:rPr>
        <w:t xml:space="preserve">        </w:t>
      </w:r>
      <w:r>
        <w:rPr>
          <w:rFonts w:ascii="Times New Roman" w:hAnsi="Times New Roman"/>
          <w:color w:val="000000"/>
          <w:highlight w:val="none"/>
        </w:rPr>
        <w:t>职务：</w:t>
      </w:r>
      <w:r>
        <w:rPr>
          <w:rFonts w:ascii="Times New Roman" w:hAnsi="Times New Roman"/>
          <w:highlight w:val="none"/>
          <w:u w:val="single"/>
        </w:rPr>
        <w:t xml:space="preserve">        </w:t>
      </w:r>
    </w:p>
    <w:p>
      <w:pPr>
        <w:spacing w:line="440" w:lineRule="exact"/>
        <w:rPr>
          <w:rFonts w:ascii="Times New Roman" w:hAnsi="Times New Roman"/>
          <w:color w:val="000000"/>
          <w:highlight w:val="none"/>
        </w:rPr>
      </w:pPr>
      <w:r>
        <w:rPr>
          <w:rFonts w:ascii="Times New Roman" w:hAnsi="Times New Roman"/>
          <w:color w:val="000000"/>
          <w:highlight w:val="none"/>
        </w:rPr>
        <w:t>系</w:t>
      </w:r>
      <w:r>
        <w:rPr>
          <w:rFonts w:ascii="Times New Roman" w:hAnsi="Times New Roman"/>
          <w:highlight w:val="none"/>
          <w:u w:val="single"/>
        </w:rPr>
        <w:t xml:space="preserve">                        </w:t>
      </w:r>
      <w:r>
        <w:rPr>
          <w:rFonts w:ascii="Times New Roman" w:hAnsi="Times New Roman"/>
          <w:color w:val="000000"/>
          <w:highlight w:val="none"/>
        </w:rPr>
        <w:t>（投标人名称）的法定代表人。</w:t>
      </w:r>
    </w:p>
    <w:p>
      <w:pPr>
        <w:spacing w:line="440" w:lineRule="exact"/>
        <w:ind w:firstLine="420" w:firstLineChars="200"/>
        <w:rPr>
          <w:rFonts w:ascii="Times New Roman" w:hAnsi="Times New Roman"/>
          <w:color w:val="000000"/>
          <w:highlight w:val="none"/>
        </w:rPr>
      </w:pPr>
      <w:r>
        <w:rPr>
          <w:rFonts w:ascii="Times New Roman" w:hAnsi="Times New Roman"/>
          <w:color w:val="000000"/>
          <w:highlight w:val="none"/>
        </w:rPr>
        <w:t>特此证明。</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附：法定代表人身份证复印件。</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注：本身份证明需由投标人加盖单位公章。</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p>
    <w:p>
      <w:pPr>
        <w:spacing w:line="440" w:lineRule="exact"/>
        <w:jc w:val="center"/>
        <w:rPr>
          <w:rFonts w:ascii="Times New Roman" w:hAnsi="Times New Roman"/>
          <w:color w:val="000000"/>
          <w:highlight w:val="none"/>
        </w:rPr>
      </w:pPr>
      <w:r>
        <w:rPr>
          <w:rFonts w:ascii="Times New Roman" w:hAnsi="Times New Roman"/>
          <w:color w:val="000000"/>
          <w:highlight w:val="none"/>
        </w:rPr>
        <w:t xml:space="preserve">                              投标人：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w:t>
      </w:r>
      <w:r>
        <w:rPr>
          <w:rFonts w:hint="eastAsia" w:ascii="Times New Roman" w:hAnsi="Times New Roman"/>
          <w:color w:val="000000"/>
          <w:highlight w:val="none"/>
        </w:rPr>
        <w:t>盖</w:t>
      </w:r>
      <w:r>
        <w:rPr>
          <w:rFonts w:ascii="Times New Roman" w:hAnsi="Times New Roman"/>
          <w:color w:val="000000"/>
          <w:highlight w:val="none"/>
        </w:rPr>
        <w:t>单位</w:t>
      </w:r>
      <w:r>
        <w:rPr>
          <w:rFonts w:hint="eastAsia" w:ascii="Times New Roman" w:hAnsi="Times New Roman"/>
          <w:color w:val="000000"/>
          <w:highlight w:val="none"/>
        </w:rPr>
        <w:t>章</w:t>
      </w:r>
      <w:r>
        <w:rPr>
          <w:rFonts w:ascii="Times New Roman" w:hAnsi="Times New Roman"/>
          <w:color w:val="000000"/>
          <w:highlight w:val="none"/>
        </w:rPr>
        <w:t>）</w:t>
      </w:r>
    </w:p>
    <w:p>
      <w:pPr>
        <w:spacing w:line="440" w:lineRule="exact"/>
        <w:rPr>
          <w:rFonts w:ascii="Times New Roman" w:hAnsi="Times New Roman"/>
          <w:color w:val="000000"/>
          <w:highlight w:val="none"/>
        </w:rPr>
      </w:pPr>
    </w:p>
    <w:p>
      <w:pPr>
        <w:spacing w:line="440" w:lineRule="exact"/>
        <w:ind w:firstLine="4620" w:firstLineChars="2200"/>
        <w:rPr>
          <w:rFonts w:ascii="Times New Roman" w:hAnsi="Times New Roman"/>
          <w:color w:val="000000"/>
          <w:highlight w:val="none"/>
        </w:rPr>
      </w:pPr>
      <w:r>
        <w:rPr>
          <w:rFonts w:ascii="Times New Roman" w:hAnsi="Times New Roman"/>
          <w:highlight w:val="none"/>
          <w:u w:val="single"/>
        </w:rPr>
        <w:t xml:space="preserve">      </w:t>
      </w:r>
      <w:r>
        <w:rPr>
          <w:rFonts w:ascii="Times New Roman" w:hAnsi="Times New Roman"/>
          <w:color w:val="000000"/>
          <w:highlight w:val="none"/>
        </w:rPr>
        <w:t>年</w:t>
      </w:r>
      <w:r>
        <w:rPr>
          <w:rFonts w:ascii="Times New Roman" w:hAnsi="Times New Roman"/>
          <w:highlight w:val="none"/>
          <w:u w:val="single"/>
        </w:rPr>
        <w:t xml:space="preserve">      </w:t>
      </w:r>
      <w:r>
        <w:rPr>
          <w:rFonts w:ascii="Times New Roman" w:hAnsi="Times New Roman"/>
          <w:color w:val="000000"/>
          <w:highlight w:val="none"/>
        </w:rPr>
        <w:t>月</w:t>
      </w:r>
      <w:r>
        <w:rPr>
          <w:rFonts w:ascii="Times New Roman" w:hAnsi="Times New Roman"/>
          <w:highlight w:val="none"/>
          <w:u w:val="single"/>
        </w:rPr>
        <w:t xml:space="preserve">      </w:t>
      </w:r>
      <w:r>
        <w:rPr>
          <w:rFonts w:ascii="Times New Roman" w:hAnsi="Times New Roman"/>
          <w:color w:val="000000"/>
          <w:highlight w:val="none"/>
        </w:rPr>
        <w:t>日</w:t>
      </w:r>
    </w:p>
    <w:p>
      <w:pPr>
        <w:spacing w:line="440" w:lineRule="exact"/>
        <w:rPr>
          <w:rFonts w:ascii="Times New Roman" w:hAnsi="Times New Roman" w:eastAsia="黑体"/>
          <w:color w:val="000000"/>
          <w:sz w:val="20"/>
          <w:highlight w:val="none"/>
        </w:rPr>
      </w:pPr>
    </w:p>
    <w:p>
      <w:pPr>
        <w:spacing w:line="440" w:lineRule="exact"/>
        <w:jc w:val="center"/>
        <w:rPr>
          <w:rFonts w:ascii="Times New Roman" w:hAnsi="Times New Roman" w:eastAsia="黑体"/>
          <w:color w:val="000000"/>
          <w:sz w:val="20"/>
          <w:highlight w:val="none"/>
        </w:rPr>
      </w:pPr>
      <w:r>
        <w:rPr>
          <w:rFonts w:ascii="Times New Roman" w:hAnsi="Times New Roman" w:eastAsia="黑体"/>
          <w:color w:val="000000"/>
          <w:sz w:val="20"/>
          <w:highlight w:val="none"/>
        </w:rPr>
        <w:br w:type="page"/>
      </w:r>
    </w:p>
    <w:p>
      <w:pPr>
        <w:pStyle w:val="3"/>
        <w:jc w:val="center"/>
        <w:rPr>
          <w:rFonts w:ascii="Times New Roman" w:hAnsi="Times New Roman"/>
          <w:color w:val="000000"/>
          <w:highlight w:val="none"/>
        </w:rPr>
      </w:pPr>
      <w:bookmarkStart w:id="74" w:name="_Toc492300530"/>
      <w:r>
        <w:rPr>
          <w:rFonts w:hint="eastAsia" w:ascii="Times New Roman" w:hAnsi="Times New Roman"/>
          <w:highlight w:val="none"/>
        </w:rPr>
        <w:t>二、授权委托</w:t>
      </w:r>
      <w:r>
        <w:rPr>
          <w:rFonts w:hint="eastAsia" w:ascii="Times New Roman" w:hAnsi="Times New Roman"/>
          <w:color w:val="000000"/>
          <w:highlight w:val="none"/>
        </w:rPr>
        <w:t>书</w:t>
      </w:r>
      <w:bookmarkEnd w:id="74"/>
    </w:p>
    <w:p>
      <w:pPr>
        <w:spacing w:line="440" w:lineRule="exact"/>
        <w:rPr>
          <w:rFonts w:ascii="Times New Roman" w:hAnsi="Times New Roman" w:eastAsia="黑体"/>
          <w:color w:val="000000"/>
          <w:highlight w:val="none"/>
        </w:rPr>
      </w:pPr>
    </w:p>
    <w:p>
      <w:pPr>
        <w:topLinePunct/>
        <w:spacing w:line="440" w:lineRule="exact"/>
        <w:ind w:firstLine="420" w:firstLineChars="200"/>
        <w:rPr>
          <w:rFonts w:ascii="Times New Roman" w:hAnsi="Times New Roman"/>
          <w:color w:val="000000"/>
          <w:highlight w:val="none"/>
        </w:rPr>
      </w:pPr>
      <w:r>
        <w:rPr>
          <w:rFonts w:ascii="Times New Roman" w:hAnsi="Times New Roman"/>
          <w:color w:val="000000"/>
          <w:highlight w:val="none"/>
        </w:rPr>
        <w:t>本人</w:t>
      </w:r>
      <w:r>
        <w:rPr>
          <w:rFonts w:ascii="Times New Roman" w:hAnsi="Times New Roman"/>
          <w:highlight w:val="none"/>
          <w:u w:val="single"/>
        </w:rPr>
        <w:t xml:space="preserve">              </w:t>
      </w:r>
      <w:r>
        <w:rPr>
          <w:rFonts w:ascii="Times New Roman" w:hAnsi="Times New Roman"/>
          <w:color w:val="000000"/>
          <w:highlight w:val="none"/>
        </w:rPr>
        <w:t>（姓名）系</w:t>
      </w:r>
      <w:r>
        <w:rPr>
          <w:rFonts w:ascii="Times New Roman" w:hAnsi="Times New Roman"/>
          <w:highlight w:val="none"/>
          <w:u w:val="single"/>
        </w:rPr>
        <w:t xml:space="preserve">                    </w:t>
      </w:r>
      <w:r>
        <w:rPr>
          <w:rFonts w:ascii="Times New Roman" w:hAnsi="Times New Roman"/>
          <w:color w:val="000000"/>
          <w:highlight w:val="none"/>
        </w:rPr>
        <w:t>（投标人名称）的法定代表人，现委托</w:t>
      </w:r>
      <w:r>
        <w:rPr>
          <w:rFonts w:ascii="Times New Roman" w:hAnsi="Times New Roman"/>
          <w:highlight w:val="none"/>
          <w:u w:val="single"/>
        </w:rPr>
        <w:t xml:space="preserve">            </w:t>
      </w:r>
      <w:r>
        <w:rPr>
          <w:rFonts w:ascii="Times New Roman" w:hAnsi="Times New Roman"/>
          <w:color w:val="000000"/>
          <w:highlight w:val="none"/>
        </w:rPr>
        <w:t>（姓名）为我方代理人。代理人根据授权，以我方名义签署、澄清确认、递交、撤回、修改招标项目投标文件、签订合同和处理有关事宜，其法律后果由我方承担。</w:t>
      </w:r>
    </w:p>
    <w:p>
      <w:pPr>
        <w:spacing w:line="440" w:lineRule="exact"/>
        <w:rPr>
          <w:rFonts w:ascii="Times New Roman" w:hAnsi="Times New Roman"/>
          <w:color w:val="000000"/>
          <w:highlight w:val="none"/>
        </w:rPr>
      </w:pPr>
      <w:r>
        <w:rPr>
          <w:rFonts w:ascii="Times New Roman" w:hAnsi="Times New Roman"/>
          <w:color w:val="000000"/>
          <w:highlight w:val="none"/>
        </w:rPr>
        <w:t>委托期限：</w:t>
      </w:r>
      <w:r>
        <w:rPr>
          <w:rFonts w:ascii="Times New Roman" w:hAnsi="Times New Roman"/>
          <w:highlight w:val="none"/>
          <w:u w:val="single"/>
        </w:rPr>
        <w:t xml:space="preserve">                       </w:t>
      </w:r>
      <w:r>
        <w:rPr>
          <w:rFonts w:ascii="Times New Roman" w:hAnsi="Times New Roman"/>
          <w:color w:val="000000"/>
          <w:highlight w:val="none"/>
        </w:rPr>
        <w:t>。</w:t>
      </w:r>
    </w:p>
    <w:p>
      <w:pPr>
        <w:spacing w:line="440" w:lineRule="exact"/>
        <w:ind w:firstLine="420" w:firstLineChars="200"/>
        <w:rPr>
          <w:rFonts w:ascii="Times New Roman" w:hAnsi="Times New Roman"/>
          <w:color w:val="000000"/>
          <w:highlight w:val="none"/>
        </w:rPr>
      </w:pPr>
      <w:r>
        <w:rPr>
          <w:rFonts w:ascii="Times New Roman" w:hAnsi="Times New Roman"/>
          <w:color w:val="000000"/>
          <w:highlight w:val="none"/>
        </w:rPr>
        <w:t>代理人无转委托权。</w:t>
      </w:r>
    </w:p>
    <w:p>
      <w:pPr>
        <w:spacing w:line="440" w:lineRule="exact"/>
        <w:ind w:firstLine="420" w:firstLineChars="200"/>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附：法定代表人身份证复印件及委托代理人身份证复印件</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注：本授权委托书需由投标人加盖单位公章并由其法定代表人和委托代理人签字。</w:t>
      </w:r>
    </w:p>
    <w:p>
      <w:pPr>
        <w:spacing w:line="440" w:lineRule="exact"/>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投  标  人：</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w:t>
      </w:r>
      <w:r>
        <w:rPr>
          <w:rFonts w:hint="eastAsia" w:ascii="Times New Roman" w:hAnsi="Times New Roman"/>
          <w:color w:val="000000"/>
          <w:highlight w:val="none"/>
        </w:rPr>
        <w:t>盖</w:t>
      </w:r>
      <w:r>
        <w:rPr>
          <w:rFonts w:ascii="Times New Roman" w:hAnsi="Times New Roman"/>
          <w:color w:val="000000"/>
          <w:highlight w:val="none"/>
        </w:rPr>
        <w:t>单位</w:t>
      </w:r>
      <w:r>
        <w:rPr>
          <w:rFonts w:hint="eastAsia" w:ascii="Times New Roman" w:hAnsi="Times New Roman"/>
          <w:color w:val="000000"/>
          <w:highlight w:val="none"/>
        </w:rPr>
        <w:t>章</w:t>
      </w:r>
      <w:r>
        <w:rPr>
          <w:rFonts w:ascii="Times New Roman" w:hAnsi="Times New Roman"/>
          <w:color w:val="000000"/>
          <w:highlight w:val="none"/>
        </w:rPr>
        <w:t>）</w:t>
      </w:r>
    </w:p>
    <w:p>
      <w:pPr>
        <w:spacing w:line="440" w:lineRule="exact"/>
        <w:ind w:firstLine="2692" w:firstLineChars="1282"/>
        <w:rPr>
          <w:rFonts w:ascii="Times New Roman" w:hAnsi="Times New Roman"/>
          <w:color w:val="000000"/>
          <w:highlight w:val="none"/>
        </w:rPr>
      </w:pPr>
    </w:p>
    <w:p>
      <w:pPr>
        <w:spacing w:line="440" w:lineRule="exact"/>
        <w:ind w:firstLine="2690" w:firstLineChars="1281"/>
        <w:jc w:val="left"/>
        <w:rPr>
          <w:rFonts w:ascii="Times New Roman" w:hAnsi="Times New Roman"/>
          <w:color w:val="000000"/>
          <w:highlight w:val="none"/>
        </w:rPr>
      </w:pPr>
      <w:r>
        <w:rPr>
          <w:rFonts w:ascii="Times New Roman" w:hAnsi="Times New Roman"/>
          <w:color w:val="000000"/>
          <w:highlight w:val="none"/>
        </w:rPr>
        <w:t>法定代表人：</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（签字</w:t>
      </w:r>
      <w:r>
        <w:rPr>
          <w:rFonts w:hint="eastAsia" w:ascii="Times New Roman" w:hAnsi="Times New Roman"/>
          <w:color w:val="000000"/>
          <w:highlight w:val="none"/>
        </w:rPr>
        <w:t>或签章</w:t>
      </w:r>
      <w:r>
        <w:rPr>
          <w:rFonts w:ascii="Times New Roman" w:hAnsi="Times New Roman"/>
          <w:color w:val="000000"/>
          <w:highlight w:val="none"/>
        </w:rPr>
        <w:t>）</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身份证号码：</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委托代理人：</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（签字）</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身份证号码：</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p>
    <w:p>
      <w:pPr>
        <w:spacing w:line="440" w:lineRule="exact"/>
        <w:ind w:firstLine="4057" w:firstLineChars="1932"/>
        <w:jc w:val="right"/>
        <w:rPr>
          <w:rFonts w:ascii="Times New Roman" w:hAnsi="Times New Roman"/>
          <w:color w:val="000000"/>
          <w:highlight w:val="none"/>
        </w:rPr>
      </w:pPr>
      <w:r>
        <w:rPr>
          <w:rFonts w:ascii="Times New Roman" w:hAnsi="Times New Roman"/>
          <w:color w:val="000000"/>
          <w:highlight w:val="none"/>
          <w:u w:val="single"/>
        </w:rPr>
        <w:t xml:space="preserve">       </w:t>
      </w:r>
      <w:r>
        <w:rPr>
          <w:rFonts w:ascii="Times New Roman" w:hAnsi="Times New Roman"/>
          <w:color w:val="000000"/>
          <w:highlight w:val="none"/>
        </w:rPr>
        <w:t>年</w:t>
      </w:r>
      <w:r>
        <w:rPr>
          <w:rFonts w:ascii="Times New Roman" w:hAnsi="Times New Roman"/>
          <w:color w:val="000000"/>
          <w:highlight w:val="none"/>
          <w:u w:val="single"/>
        </w:rPr>
        <w:t xml:space="preserve">       </w:t>
      </w:r>
      <w:r>
        <w:rPr>
          <w:rFonts w:ascii="Times New Roman" w:hAnsi="Times New Roman"/>
          <w:color w:val="000000"/>
          <w:highlight w:val="none"/>
        </w:rPr>
        <w:t>月</w:t>
      </w:r>
      <w:r>
        <w:rPr>
          <w:rFonts w:ascii="Times New Roman" w:hAnsi="Times New Roman"/>
          <w:color w:val="000000"/>
          <w:highlight w:val="none"/>
          <w:u w:val="single"/>
        </w:rPr>
        <w:t xml:space="preserve">       </w:t>
      </w:r>
      <w:r>
        <w:rPr>
          <w:rFonts w:ascii="Times New Roman" w:hAnsi="Times New Roman"/>
          <w:color w:val="000000"/>
          <w:highlight w:val="none"/>
        </w:rPr>
        <w:t>日</w:t>
      </w:r>
    </w:p>
    <w:p>
      <w:pPr>
        <w:spacing w:line="440" w:lineRule="exact"/>
        <w:ind w:firstLine="4057" w:firstLineChars="1932"/>
        <w:jc w:val="right"/>
        <w:rPr>
          <w:rFonts w:ascii="Times New Roman" w:hAnsi="Times New Roman"/>
          <w:color w:val="000000"/>
          <w:highlight w:val="none"/>
        </w:rPr>
      </w:pPr>
      <w:r>
        <w:rPr>
          <w:rFonts w:ascii="Times New Roman" w:hAnsi="Times New Roman"/>
          <w:color w:val="000000"/>
          <w:highlight w:val="none"/>
        </w:rPr>
        <w:br w:type="page"/>
      </w:r>
    </w:p>
    <w:p>
      <w:pPr>
        <w:pStyle w:val="3"/>
        <w:jc w:val="center"/>
        <w:rPr>
          <w:rFonts w:ascii="Times New Roman" w:hAnsi="Times New Roman"/>
          <w:highlight w:val="none"/>
        </w:rPr>
      </w:pPr>
      <w:bookmarkStart w:id="75" w:name="_Toc492300532"/>
      <w:r>
        <w:rPr>
          <w:rFonts w:hint="eastAsia" w:ascii="Times New Roman" w:hAnsi="Times New Roman"/>
          <w:highlight w:val="none"/>
        </w:rPr>
        <w:t>三、</w:t>
      </w:r>
      <w:bookmarkStart w:id="76" w:name="_Toc152042581"/>
      <w:bookmarkStart w:id="77" w:name="_Toc247527832"/>
      <w:bookmarkStart w:id="78" w:name="_Toc144974861"/>
      <w:bookmarkStart w:id="79" w:name="_Toc352691666"/>
      <w:bookmarkStart w:id="80" w:name="_Toc247514284"/>
      <w:bookmarkStart w:id="81" w:name="_Toc13469"/>
      <w:bookmarkStart w:id="82" w:name="_Toc300835214"/>
      <w:bookmarkStart w:id="83" w:name="_Toc369531702"/>
      <w:bookmarkStart w:id="84" w:name="_Toc361508757"/>
      <w:bookmarkStart w:id="85" w:name="_Toc384308381"/>
      <w:bookmarkStart w:id="86" w:name="_Toc152045792"/>
      <w:r>
        <w:rPr>
          <w:rFonts w:hint="eastAsia" w:ascii="Times New Roman" w:hAnsi="Times New Roman"/>
          <w:highlight w:val="none"/>
        </w:rPr>
        <w:t>投标保证金</w:t>
      </w:r>
      <w:bookmarkEnd w:id="75"/>
    </w:p>
    <w:p>
      <w:pPr>
        <w:wordWrap w:val="0"/>
        <w:snapToGrid w:val="0"/>
        <w:spacing w:line="520" w:lineRule="exact"/>
        <w:ind w:firstLine="460" w:firstLineChars="192"/>
        <w:rPr>
          <w:rFonts w:ascii="Times New Roman" w:hAnsi="Times New Roman" w:cs="Times New Roman"/>
          <w:bCs/>
          <w:color w:val="000000"/>
          <w:kern w:val="0"/>
          <w:sz w:val="24"/>
          <w:highlight w:val="none"/>
        </w:rPr>
      </w:pPr>
      <w:r>
        <w:rPr>
          <w:rFonts w:ascii="Times New Roman" w:hAnsi="Times New Roman" w:cs="Times New Roman"/>
          <w:bCs/>
          <w:color w:val="000000"/>
          <w:kern w:val="0"/>
          <w:sz w:val="24"/>
          <w:highlight w:val="none"/>
        </w:rPr>
        <w:t>1.</w:t>
      </w:r>
      <w:r>
        <w:rPr>
          <w:rFonts w:hint="eastAsia" w:ascii="Times New Roman" w:hAnsi="Times New Roman" w:cs="Times New Roman"/>
          <w:bCs/>
          <w:color w:val="000000"/>
          <w:kern w:val="0"/>
          <w:sz w:val="24"/>
          <w:highlight w:val="none"/>
        </w:rPr>
        <w:t>中国</w:t>
      </w:r>
      <w:r>
        <w:rPr>
          <w:rFonts w:ascii="Times New Roman" w:hAnsi="Times New Roman" w:cs="Times New Roman"/>
          <w:bCs/>
          <w:color w:val="000000"/>
          <w:kern w:val="0"/>
          <w:sz w:val="24"/>
          <w:highlight w:val="none"/>
        </w:rPr>
        <w:t>人民银行核发的《基本存款账户开户许可证》或基本存款账户开户银行出具的《基本存款账户信息》（加盖银行印章</w:t>
      </w:r>
      <w:r>
        <w:rPr>
          <w:rFonts w:hint="eastAsia" w:ascii="Times New Roman" w:hAnsi="Times New Roman" w:cs="Times New Roman"/>
          <w:bCs/>
          <w:color w:val="000000"/>
          <w:kern w:val="0"/>
          <w:sz w:val="24"/>
          <w:highlight w:val="none"/>
        </w:rPr>
        <w:t>或投标人公章</w:t>
      </w:r>
      <w:r>
        <w:rPr>
          <w:rFonts w:ascii="Times New Roman" w:hAnsi="Times New Roman" w:cs="Times New Roman"/>
          <w:bCs/>
          <w:color w:val="000000"/>
          <w:kern w:val="0"/>
          <w:sz w:val="24"/>
          <w:highlight w:val="none"/>
        </w:rPr>
        <w:t>）：</w:t>
      </w: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r>
        <w:rPr>
          <w:rFonts w:ascii="Times New Roman" w:hAnsi="Times New Roman" w:cs="Times New Roman"/>
          <w:bCs/>
          <w:color w:val="000000"/>
          <w:kern w:val="0"/>
          <w:sz w:val="24"/>
          <w:highlight w:val="none"/>
        </w:rPr>
        <w:t>2.保证金转账或电汇凭证：</w:t>
      </w: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spacing w:line="440" w:lineRule="exact"/>
        <w:ind w:firstLine="482" w:firstLineChars="200"/>
        <w:rPr>
          <w:rFonts w:ascii="Times New Roman" w:hAnsi="Times New Roman"/>
          <w:szCs w:val="21"/>
          <w:highlight w:val="none"/>
        </w:rPr>
      </w:pPr>
      <w:r>
        <w:rPr>
          <w:rFonts w:ascii="Times New Roman" w:hAnsi="Times New Roman" w:cs="Times New Roman"/>
          <w:b/>
          <w:color w:val="000000"/>
          <w:kern w:val="0"/>
          <w:sz w:val="24"/>
          <w:highlight w:val="none"/>
        </w:rPr>
        <w:t>备注：</w:t>
      </w:r>
      <w:r>
        <w:rPr>
          <w:rFonts w:ascii="Times New Roman" w:hAnsi="Times New Roman" w:cs="Times New Roman"/>
          <w:color w:val="000000"/>
          <w:kern w:val="0"/>
          <w:sz w:val="24"/>
          <w:highlight w:val="none"/>
        </w:rPr>
        <w:t>缴纳保证金的开户行、账号等信息须与基本存款账户信息一致</w:t>
      </w:r>
    </w:p>
    <w:p>
      <w:pPr>
        <w:spacing w:line="440" w:lineRule="exact"/>
        <w:ind w:firstLine="420" w:firstLineChars="200"/>
        <w:rPr>
          <w:rFonts w:ascii="Times New Roman" w:hAnsi="Times New Roman"/>
          <w:szCs w:val="21"/>
          <w:highlight w:val="none"/>
        </w:rPr>
      </w:pPr>
    </w:p>
    <w:p>
      <w:pPr>
        <w:spacing w:line="440" w:lineRule="exact"/>
        <w:ind w:firstLine="420" w:firstLineChars="200"/>
        <w:rPr>
          <w:rFonts w:ascii="Times New Roman" w:hAnsi="Times New Roman"/>
          <w:szCs w:val="21"/>
          <w:highlight w:val="none"/>
        </w:rPr>
      </w:pPr>
    </w:p>
    <w:bookmarkEnd w:id="76"/>
    <w:bookmarkEnd w:id="77"/>
    <w:bookmarkEnd w:id="78"/>
    <w:bookmarkEnd w:id="79"/>
    <w:bookmarkEnd w:id="80"/>
    <w:bookmarkEnd w:id="81"/>
    <w:bookmarkEnd w:id="82"/>
    <w:bookmarkEnd w:id="83"/>
    <w:bookmarkEnd w:id="84"/>
    <w:bookmarkEnd w:id="85"/>
    <w:bookmarkEnd w:id="86"/>
    <w:p>
      <w:pPr>
        <w:spacing w:line="440" w:lineRule="exact"/>
        <w:ind w:firstLine="2158" w:firstLineChars="1028"/>
        <w:rPr>
          <w:rFonts w:ascii="Times New Roman" w:hAnsi="Times New Roman"/>
          <w:color w:val="000000"/>
          <w:highlight w:val="none"/>
        </w:rPr>
      </w:pPr>
    </w:p>
    <w:p>
      <w:pPr>
        <w:rPr>
          <w:rFonts w:ascii="Times New Roman" w:hAnsi="Times New Roman"/>
          <w:highlight w:val="none"/>
        </w:rPr>
      </w:pPr>
      <w:bookmarkStart w:id="87" w:name="_Toc492300533"/>
      <w:r>
        <w:rPr>
          <w:rFonts w:ascii="Times New Roman" w:hAnsi="Times New Roman"/>
          <w:highlight w:val="none"/>
        </w:rPr>
        <w:br w:type="page"/>
      </w:r>
    </w:p>
    <w:p>
      <w:pPr>
        <w:pStyle w:val="3"/>
        <w:jc w:val="center"/>
        <w:rPr>
          <w:rFonts w:ascii="Times New Roman" w:hAnsi="Times New Roman"/>
          <w:highlight w:val="none"/>
        </w:rPr>
      </w:pPr>
      <w:r>
        <w:rPr>
          <w:rFonts w:hint="eastAsia" w:ascii="Times New Roman" w:hAnsi="Times New Roman"/>
          <w:highlight w:val="none"/>
        </w:rPr>
        <w:t>四</w:t>
      </w:r>
      <w:r>
        <w:rPr>
          <w:rFonts w:ascii="Times New Roman" w:hAnsi="Times New Roman"/>
          <w:highlight w:val="none"/>
        </w:rPr>
        <w:t>、</w:t>
      </w:r>
      <w:r>
        <w:rPr>
          <w:rFonts w:hint="eastAsia" w:ascii="Times New Roman" w:hAnsi="Times New Roman"/>
          <w:highlight w:val="none"/>
        </w:rPr>
        <w:t>服务</w:t>
      </w:r>
      <w:r>
        <w:rPr>
          <w:rFonts w:ascii="Times New Roman" w:hAnsi="Times New Roman"/>
          <w:highlight w:val="none"/>
        </w:rPr>
        <w:t>费用清单</w:t>
      </w:r>
      <w:bookmarkEnd w:id="87"/>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 xml:space="preserve">1. </w:t>
      </w:r>
      <w:r>
        <w:rPr>
          <w:rFonts w:hint="eastAsia" w:ascii="Times New Roman" w:hAnsi="Times New Roman"/>
          <w:szCs w:val="21"/>
          <w:highlight w:val="none"/>
        </w:rPr>
        <w:t>服务</w:t>
      </w:r>
      <w:r>
        <w:rPr>
          <w:rFonts w:ascii="Times New Roman" w:hAnsi="Times New Roman"/>
          <w:szCs w:val="21"/>
          <w:highlight w:val="none"/>
        </w:rPr>
        <w:t>费用清单说明</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 xml:space="preserve">2. </w:t>
      </w:r>
      <w:r>
        <w:rPr>
          <w:rFonts w:hint="eastAsia" w:ascii="Times New Roman" w:hAnsi="Times New Roman"/>
          <w:szCs w:val="21"/>
          <w:highlight w:val="none"/>
        </w:rPr>
        <w:t>服务</w:t>
      </w:r>
      <w:r>
        <w:rPr>
          <w:rFonts w:ascii="Times New Roman" w:hAnsi="Times New Roman"/>
          <w:szCs w:val="21"/>
          <w:highlight w:val="none"/>
        </w:rPr>
        <w:t>费用清单</w:t>
      </w:r>
    </w:p>
    <w:p>
      <w:pPr>
        <w:spacing w:line="440" w:lineRule="exact"/>
        <w:ind w:firstLine="420" w:firstLineChars="200"/>
        <w:jc w:val="right"/>
        <w:rPr>
          <w:rFonts w:ascii="Times New Roman" w:hAnsi="Times New Roman"/>
          <w:szCs w:val="21"/>
          <w:highlight w:val="none"/>
        </w:rPr>
      </w:pPr>
      <w:r>
        <w:rPr>
          <w:rFonts w:ascii="Times New Roman" w:hAnsi="Times New Roman"/>
          <w:szCs w:val="21"/>
          <w:highlight w:val="none"/>
        </w:rPr>
        <w:t>单位：人民币元</w:t>
      </w:r>
    </w:p>
    <w:tbl>
      <w:tblPr>
        <w:tblStyle w:val="14"/>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410"/>
        <w:gridCol w:w="2268"/>
        <w:gridCol w:w="1322"/>
        <w:gridCol w:w="1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817" w:type="dxa"/>
            <w:vAlign w:val="center"/>
          </w:tcPr>
          <w:p>
            <w:pPr>
              <w:widowControl/>
              <w:jc w:val="center"/>
              <w:rPr>
                <w:rFonts w:ascii="Times New Roman" w:hAnsi="Times New Roman"/>
                <w:b/>
                <w:kern w:val="0"/>
                <w:szCs w:val="21"/>
                <w:highlight w:val="none"/>
              </w:rPr>
            </w:pPr>
            <w:bookmarkStart w:id="88" w:name="_Toc361508760"/>
            <w:r>
              <w:rPr>
                <w:rFonts w:ascii="Times New Roman" w:hAnsi="Times New Roman"/>
                <w:b/>
                <w:kern w:val="0"/>
                <w:szCs w:val="21"/>
                <w:highlight w:val="none"/>
              </w:rPr>
              <w:t>序号</w:t>
            </w:r>
          </w:p>
        </w:tc>
        <w:tc>
          <w:tcPr>
            <w:tcW w:w="2410" w:type="dxa"/>
            <w:vAlign w:val="center"/>
          </w:tcPr>
          <w:p>
            <w:pPr>
              <w:widowControl/>
              <w:jc w:val="center"/>
              <w:rPr>
                <w:rFonts w:ascii="Times New Roman" w:hAnsi="Times New Roman"/>
                <w:b/>
                <w:kern w:val="0"/>
                <w:szCs w:val="21"/>
                <w:highlight w:val="none"/>
              </w:rPr>
            </w:pPr>
            <w:r>
              <w:rPr>
                <w:rFonts w:hint="eastAsia" w:ascii="Times New Roman" w:hAnsi="Times New Roman"/>
                <w:b/>
                <w:kern w:val="0"/>
                <w:szCs w:val="21"/>
                <w:highlight w:val="none"/>
              </w:rPr>
              <w:t>服务</w:t>
            </w:r>
            <w:r>
              <w:rPr>
                <w:rFonts w:ascii="Times New Roman" w:hAnsi="Times New Roman"/>
                <w:b/>
                <w:kern w:val="0"/>
                <w:szCs w:val="21"/>
                <w:highlight w:val="none"/>
              </w:rPr>
              <w:t>费用分项名称</w:t>
            </w:r>
          </w:p>
        </w:tc>
        <w:tc>
          <w:tcPr>
            <w:tcW w:w="2268" w:type="dxa"/>
            <w:vAlign w:val="center"/>
          </w:tcPr>
          <w:p>
            <w:pPr>
              <w:widowControl/>
              <w:jc w:val="center"/>
              <w:rPr>
                <w:rFonts w:ascii="Times New Roman" w:hAnsi="Times New Roman"/>
                <w:b/>
                <w:kern w:val="0"/>
                <w:szCs w:val="21"/>
                <w:highlight w:val="none"/>
              </w:rPr>
            </w:pPr>
            <w:r>
              <w:rPr>
                <w:rFonts w:ascii="Times New Roman" w:hAnsi="Times New Roman"/>
                <w:b/>
                <w:kern w:val="0"/>
                <w:szCs w:val="21"/>
                <w:highlight w:val="none"/>
              </w:rPr>
              <w:t>计算依据、过程和公式</w:t>
            </w:r>
          </w:p>
        </w:tc>
        <w:tc>
          <w:tcPr>
            <w:tcW w:w="1322" w:type="dxa"/>
            <w:vAlign w:val="center"/>
          </w:tcPr>
          <w:p>
            <w:pPr>
              <w:widowControl/>
              <w:jc w:val="center"/>
              <w:rPr>
                <w:rFonts w:ascii="Times New Roman" w:hAnsi="Times New Roman"/>
                <w:b/>
                <w:kern w:val="0"/>
                <w:szCs w:val="21"/>
                <w:highlight w:val="none"/>
              </w:rPr>
            </w:pPr>
            <w:r>
              <w:rPr>
                <w:rFonts w:ascii="Times New Roman" w:hAnsi="Times New Roman"/>
                <w:b/>
                <w:kern w:val="0"/>
                <w:szCs w:val="21"/>
                <w:highlight w:val="none"/>
              </w:rPr>
              <w:t>金额（元）</w:t>
            </w:r>
          </w:p>
        </w:tc>
        <w:tc>
          <w:tcPr>
            <w:tcW w:w="1938" w:type="dxa"/>
            <w:vAlign w:val="center"/>
          </w:tcPr>
          <w:p>
            <w:pPr>
              <w:widowControl/>
              <w:jc w:val="center"/>
              <w:rPr>
                <w:rFonts w:ascii="Times New Roman" w:hAnsi="Times New Roman"/>
                <w:b/>
                <w:kern w:val="0"/>
                <w:szCs w:val="21"/>
                <w:highlight w:val="none"/>
              </w:rPr>
            </w:pPr>
            <w:r>
              <w:rPr>
                <w:rFonts w:ascii="Times New Roman" w:hAnsi="Times New Roman"/>
                <w:b/>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line="360" w:lineRule="auto"/>
              <w:jc w:val="center"/>
              <w:rPr>
                <w:rFonts w:ascii="Times New Roman" w:hAnsi="Times New Roman"/>
                <w:highlight w:val="none"/>
              </w:rPr>
            </w:pPr>
            <w:r>
              <w:rPr>
                <w:rFonts w:ascii="Times New Roman" w:hAnsi="Times New Roman"/>
                <w:highlight w:val="none"/>
              </w:rPr>
              <w:t>1</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highlight w:val="none"/>
              </w:rPr>
            </w:pPr>
            <w:r>
              <w:rPr>
                <w:rFonts w:ascii="Times New Roman" w:hAnsi="Times New Roman"/>
                <w:highlight w:val="none"/>
              </w:rPr>
              <w:t>2</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highlight w:val="none"/>
              </w:rPr>
            </w:pPr>
            <w:r>
              <w:rPr>
                <w:rFonts w:ascii="Times New Roman" w:hAnsi="Times New Roman"/>
                <w:highlight w:val="none"/>
              </w:rPr>
              <w:t>3</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highlight w:val="none"/>
              </w:rPr>
            </w:pPr>
            <w:r>
              <w:rPr>
                <w:rFonts w:ascii="Times New Roman" w:hAnsi="Times New Roman"/>
                <w:highlight w:val="none"/>
              </w:rPr>
              <w:t>4</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highlight w:val="none"/>
              </w:rPr>
            </w:pPr>
            <w:r>
              <w:rPr>
                <w:rFonts w:ascii="Times New Roman" w:hAnsi="Times New Roman"/>
                <w:highlight w:val="none"/>
              </w:rPr>
              <w:t>5</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widowControl/>
              <w:jc w:val="center"/>
              <w:rPr>
                <w:rFonts w:ascii="Times New Roman" w:hAnsi="Times New Roman"/>
                <w:kern w:val="0"/>
                <w:szCs w:val="21"/>
                <w:highlight w:val="none"/>
              </w:rPr>
            </w:pPr>
            <w:r>
              <w:rPr>
                <w:rFonts w:ascii="Times New Roman" w:hAnsi="Times New Roman"/>
                <w:kern w:val="0"/>
                <w:szCs w:val="21"/>
                <w:highlight w:val="none"/>
              </w:rPr>
              <w:t>……</w:t>
            </w:r>
          </w:p>
        </w:tc>
        <w:tc>
          <w:tcPr>
            <w:tcW w:w="2410" w:type="dxa"/>
            <w:vAlign w:val="center"/>
          </w:tcPr>
          <w:p>
            <w:pPr>
              <w:widowControl/>
              <w:jc w:val="center"/>
              <w:rPr>
                <w:rFonts w:ascii="Times New Roman" w:hAnsi="Times New Roman"/>
                <w:kern w:val="0"/>
                <w:szCs w:val="21"/>
                <w:highlight w:val="none"/>
              </w:rPr>
            </w:pPr>
            <w:r>
              <w:rPr>
                <w:rFonts w:ascii="Times New Roman" w:hAnsi="Times New Roman"/>
                <w:kern w:val="0"/>
                <w:szCs w:val="21"/>
                <w:highlight w:val="none"/>
              </w:rPr>
              <w:t>……</w:t>
            </w: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5" w:type="dxa"/>
            <w:gridSpan w:val="3"/>
            <w:vAlign w:val="center"/>
          </w:tcPr>
          <w:p>
            <w:pPr>
              <w:widowControl/>
              <w:jc w:val="center"/>
              <w:rPr>
                <w:rFonts w:ascii="Times New Roman" w:hAnsi="Times New Roman"/>
                <w:b/>
                <w:kern w:val="0"/>
                <w:szCs w:val="21"/>
                <w:highlight w:val="none"/>
              </w:rPr>
            </w:pPr>
            <w:r>
              <w:rPr>
                <w:rFonts w:hint="eastAsia" w:ascii="Times New Roman" w:hAnsi="Times New Roman"/>
                <w:b/>
                <w:kern w:val="0"/>
                <w:szCs w:val="21"/>
                <w:highlight w:val="none"/>
              </w:rPr>
              <w:t>合计报价</w:t>
            </w: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bl>
    <w:p>
      <w:pPr>
        <w:widowControl/>
        <w:ind w:right="105"/>
        <w:jc w:val="right"/>
        <w:rPr>
          <w:rFonts w:ascii="Times New Roman" w:hAnsi="Times New Roman"/>
          <w:kern w:val="0"/>
          <w:highlight w:val="none"/>
        </w:rPr>
      </w:pPr>
    </w:p>
    <w:p>
      <w:pPr>
        <w:widowControl/>
        <w:ind w:right="105"/>
        <w:jc w:val="right"/>
        <w:rPr>
          <w:rFonts w:ascii="Times New Roman" w:hAnsi="Times New Roman"/>
          <w:kern w:val="0"/>
          <w:highlight w:val="none"/>
        </w:rPr>
      </w:pPr>
    </w:p>
    <w:p>
      <w:pPr>
        <w:spacing w:line="400" w:lineRule="exact"/>
        <w:ind w:firstLine="420" w:firstLineChars="200"/>
        <w:rPr>
          <w:rFonts w:ascii="Times New Roman" w:hAnsi="Times New Roman"/>
          <w:highlight w:val="none"/>
        </w:rPr>
      </w:pPr>
    </w:p>
    <w:p>
      <w:pPr>
        <w:widowControl/>
        <w:ind w:right="105"/>
        <w:jc w:val="left"/>
        <w:rPr>
          <w:rFonts w:ascii="Times New Roman" w:hAnsi="Times New Roman"/>
          <w:kern w:val="0"/>
          <w:highlight w:val="none"/>
        </w:rPr>
      </w:pPr>
    </w:p>
    <w:p>
      <w:pPr>
        <w:pStyle w:val="3"/>
        <w:spacing w:after="0"/>
        <w:jc w:val="center"/>
        <w:rPr>
          <w:rFonts w:ascii="Times New Roman" w:hAnsi="Times New Roman"/>
          <w:color w:val="000000"/>
          <w:highlight w:val="none"/>
        </w:rPr>
      </w:pPr>
      <w:r>
        <w:rPr>
          <w:rFonts w:ascii="Times New Roman" w:hAnsi="Times New Roman"/>
          <w:color w:val="000000"/>
          <w:highlight w:val="none"/>
        </w:rPr>
        <w:br w:type="page"/>
      </w:r>
      <w:bookmarkStart w:id="89" w:name="_Toc492300534"/>
      <w:r>
        <w:rPr>
          <w:rFonts w:hint="eastAsia" w:ascii="Times New Roman" w:hAnsi="Times New Roman"/>
          <w:color w:val="000000"/>
          <w:highlight w:val="none"/>
        </w:rPr>
        <w:t>五、资格审查资料</w:t>
      </w:r>
      <w:bookmarkEnd w:id="89"/>
    </w:p>
    <w:p>
      <w:pPr>
        <w:pStyle w:val="4"/>
        <w:spacing w:before="20" w:after="0"/>
        <w:ind w:firstLine="137"/>
        <w:rPr>
          <w:rFonts w:ascii="Times New Roman" w:hAnsi="Times New Roman"/>
          <w:color w:val="000000"/>
          <w:highlight w:val="none"/>
        </w:rPr>
      </w:pPr>
      <w:bookmarkStart w:id="90" w:name="_Toc492300535"/>
      <w:r>
        <w:rPr>
          <w:rFonts w:hint="eastAsia" w:ascii="Times New Roman" w:hAnsi="Times New Roman"/>
          <w:color w:val="000000"/>
          <w:highlight w:val="none"/>
        </w:rPr>
        <w:t>（一）基本情况表</w:t>
      </w:r>
      <w:bookmarkEnd w:id="90"/>
    </w:p>
    <w:tbl>
      <w:tblPr>
        <w:tblStyle w:val="14"/>
        <w:tblW w:w="88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投标人名称</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注册地址</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联系人</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w:t>
            </w:r>
            <w:r>
              <w:rPr>
                <w:rFonts w:ascii="Times New Roman" w:hAnsi="Times New Roman"/>
                <w:highlight w:val="none"/>
              </w:rPr>
              <w:t xml:space="preserve"> </w:t>
            </w:r>
            <w:r>
              <w:rPr>
                <w:rFonts w:hint="eastAsia" w:ascii="Times New Roman" w:hAnsi="Times New Roman"/>
                <w:highlight w:val="none"/>
              </w:rPr>
              <w:t>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highlight w:val="none"/>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传</w:t>
            </w:r>
            <w:r>
              <w:rPr>
                <w:rFonts w:ascii="Times New Roman" w:hAnsi="Times New Roman"/>
                <w:highlight w:val="none"/>
              </w:rPr>
              <w:t xml:space="preserve">  </w:t>
            </w:r>
            <w:r>
              <w:rPr>
                <w:rFonts w:hint="eastAsia" w:ascii="Times New Roman" w:hAnsi="Times New Roman"/>
                <w:highlight w:val="none"/>
              </w:rPr>
              <w:t>真</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网</w:t>
            </w:r>
            <w:r>
              <w:rPr>
                <w:rFonts w:ascii="Times New Roman" w:hAnsi="Times New Roman"/>
                <w:highlight w:val="none"/>
              </w:rPr>
              <w:t xml:space="preserve"> </w:t>
            </w:r>
            <w:r>
              <w:rPr>
                <w:rFonts w:hint="eastAsia" w:ascii="Times New Roman" w:hAnsi="Times New Roman"/>
                <w:highlight w:val="none"/>
              </w:rPr>
              <w:t>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企业资质证书</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highlight w:val="none"/>
              </w:rPr>
            </w:pPr>
            <w:r>
              <w:rPr>
                <w:rFonts w:hint="eastAsia" w:ascii="Times New Roman" w:hAnsi="Times New Roman"/>
                <w:highlight w:val="none"/>
              </w:rPr>
              <w:t>类型：</w:t>
            </w:r>
            <w:r>
              <w:rPr>
                <w:rFonts w:ascii="Times New Roman" w:hAnsi="Times New Roman"/>
                <w:highlight w:val="none"/>
              </w:rPr>
              <w:t xml:space="preserve">                    </w:t>
            </w:r>
            <w:r>
              <w:rPr>
                <w:rFonts w:hint="eastAsia" w:ascii="Times New Roman" w:hAnsi="Times New Roman"/>
                <w:highlight w:val="none"/>
              </w:rPr>
              <w:t>等级：</w:t>
            </w:r>
            <w:r>
              <w:rPr>
                <w:rFonts w:ascii="Times New Roman" w:hAnsi="Times New Roman"/>
                <w:highlight w:val="none"/>
              </w:rPr>
              <w:t xml:space="preserve">      </w:t>
            </w:r>
            <w:r>
              <w:rPr>
                <w:rFonts w:hint="eastAsia" w:ascii="Times New Roman" w:hAnsi="Times New Roman"/>
                <w:highlight w:val="none"/>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质量管理体系证书（如有）</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highlight w:val="none"/>
              </w:rPr>
            </w:pPr>
            <w:r>
              <w:rPr>
                <w:rFonts w:hint="eastAsia" w:ascii="Times New Roman" w:hAnsi="Times New Roman"/>
                <w:highlight w:val="none"/>
              </w:rPr>
              <w:t>类型：</w:t>
            </w:r>
            <w:r>
              <w:rPr>
                <w:rFonts w:ascii="Times New Roman" w:hAnsi="Times New Roman"/>
                <w:highlight w:val="none"/>
              </w:rPr>
              <w:t xml:space="preserve">                    </w:t>
            </w:r>
            <w:r>
              <w:rPr>
                <w:rFonts w:hint="eastAsia" w:ascii="Times New Roman" w:hAnsi="Times New Roman"/>
                <w:highlight w:val="none"/>
              </w:rPr>
              <w:t>等级：</w:t>
            </w:r>
            <w:r>
              <w:rPr>
                <w:rFonts w:ascii="Times New Roman" w:hAnsi="Times New Roman"/>
                <w:highlight w:val="none"/>
              </w:rPr>
              <w:t xml:space="preserve">      </w:t>
            </w:r>
            <w:r>
              <w:rPr>
                <w:rFonts w:hint="eastAsia" w:ascii="Times New Roman" w:hAnsi="Times New Roman"/>
                <w:highlight w:val="none"/>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营业执照号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3629"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注册资本</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高级职称人员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成立日期</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中级职称人员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技术人员数量</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szCs w:val="21"/>
                <w:highlight w:val="none"/>
              </w:rPr>
              <w:t>各类注册人员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ind w:firstLine="210" w:firstLineChars="100"/>
              <w:jc w:val="center"/>
              <w:rPr>
                <w:rFonts w:ascii="Times New Roman" w:hAnsi="Times New Roman"/>
                <w:highlight w:val="none"/>
              </w:rPr>
            </w:pPr>
            <w:r>
              <w:rPr>
                <w:rFonts w:hint="eastAsia" w:ascii="Times New Roman" w:hAnsi="Times New Roman"/>
                <w:highlight w:val="none"/>
              </w:rPr>
              <w:t>经营范围</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szCs w:val="21"/>
                <w:highlight w:val="none"/>
              </w:rPr>
              <w:t>投标人关联企业情况（包括但不限于与投标人法定代表人为同一人或者存在控股、管理关系的不同单位）</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备注</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bl>
    <w:p>
      <w:pPr>
        <w:spacing w:line="400" w:lineRule="exact"/>
        <w:rPr>
          <w:rFonts w:ascii="Times New Roman" w:hAnsi="Times New Roman"/>
          <w:color w:val="000000"/>
          <w:highlight w:val="none"/>
        </w:rPr>
      </w:pPr>
      <w:r>
        <w:rPr>
          <w:rFonts w:ascii="Times New Roman" w:hAnsi="Times New Roman"/>
          <w:color w:val="000000"/>
          <w:highlight w:val="none"/>
        </w:rPr>
        <w:t>注：</w:t>
      </w:r>
      <w:r>
        <w:rPr>
          <w:rFonts w:hint="eastAsia" w:ascii="Times New Roman" w:hAnsi="Times New Roman"/>
          <w:color w:val="000000"/>
          <w:highlight w:val="none"/>
        </w:rPr>
        <w:t>“投标人基本情况表”应附投标人</w:t>
      </w:r>
      <w:r>
        <w:rPr>
          <w:rFonts w:hint="eastAsia" w:ascii="Times New Roman" w:hAnsi="Times New Roman"/>
          <w:b/>
          <w:bCs/>
          <w:color w:val="000000"/>
          <w:highlight w:val="none"/>
        </w:rPr>
        <w:t>营业执照、资质证书</w:t>
      </w:r>
      <w:r>
        <w:rPr>
          <w:rFonts w:hint="eastAsia" w:ascii="Times New Roman" w:hAnsi="Times New Roman"/>
          <w:color w:val="000000"/>
          <w:highlight w:val="none"/>
        </w:rPr>
        <w:t>副本等材料的复印件</w:t>
      </w:r>
      <w:r>
        <w:rPr>
          <w:rFonts w:hint="eastAsia" w:ascii="Times New Roman" w:hAnsi="Times New Roman"/>
          <w:color w:val="000000"/>
          <w:highlight w:val="none"/>
          <w:lang w:eastAsia="zh-CN"/>
        </w:rPr>
        <w:t>，加盖投标人公章</w:t>
      </w:r>
      <w:r>
        <w:rPr>
          <w:rFonts w:hint="eastAsia" w:ascii="Times New Roman" w:hAnsi="Times New Roman"/>
          <w:color w:val="000000"/>
          <w:highlight w:val="none"/>
        </w:rPr>
        <w:t>。</w:t>
      </w:r>
    </w:p>
    <w:p>
      <w:pPr>
        <w:spacing w:line="440" w:lineRule="exact"/>
        <w:rPr>
          <w:rFonts w:ascii="Times New Roman" w:hAnsi="Times New Roman"/>
          <w:color w:val="000000"/>
          <w:highlight w:val="none"/>
          <w:u w:val="single"/>
        </w:rPr>
      </w:pPr>
    </w:p>
    <w:p>
      <w:pPr>
        <w:rPr>
          <w:rFonts w:ascii="Times New Roman" w:hAnsi="Times New Roman"/>
          <w:highlight w:val="none"/>
        </w:rPr>
      </w:pPr>
      <w:bookmarkStart w:id="91" w:name="_Toc492300536"/>
      <w:r>
        <w:rPr>
          <w:rFonts w:hint="eastAsia" w:ascii="Times New Roman" w:hAnsi="Times New Roman"/>
          <w:highlight w:val="none"/>
        </w:rPr>
        <w:br w:type="page"/>
      </w:r>
    </w:p>
    <w:p>
      <w:pPr>
        <w:pStyle w:val="4"/>
        <w:ind w:firstLine="137"/>
        <w:rPr>
          <w:rFonts w:ascii="Times New Roman" w:hAnsi="Times New Roman"/>
          <w:highlight w:val="none"/>
        </w:rPr>
      </w:pPr>
      <w:r>
        <w:rPr>
          <w:rFonts w:hint="eastAsia" w:ascii="Times New Roman" w:hAnsi="Times New Roman"/>
          <w:highlight w:val="none"/>
        </w:rPr>
        <w:t>（二）近年财务状况表</w:t>
      </w:r>
      <w:bookmarkEnd w:id="91"/>
    </w:p>
    <w:p>
      <w:pPr>
        <w:topLinePunct/>
        <w:spacing w:line="440" w:lineRule="exact"/>
        <w:ind w:firstLine="420" w:firstLineChars="200"/>
        <w:rPr>
          <w:rFonts w:ascii="Times New Roman" w:hAnsi="Times New Roman"/>
          <w:color w:val="000000"/>
          <w:highlight w:val="none"/>
        </w:rPr>
      </w:pPr>
      <w:r>
        <w:rPr>
          <w:rFonts w:hint="eastAsia" w:ascii="Times New Roman" w:hAnsi="Times New Roman"/>
          <w:color w:val="000000"/>
          <w:highlight w:val="none"/>
        </w:rPr>
        <w:t>“近年财务状况表”应附经会计师事务所或审计机构审计的财务会计报表，包括资产负债表、现金流量表、利润表和财务情况说明书的复印件，具体年份要求见投标人须知前附表。</w:t>
      </w:r>
    </w:p>
    <w:p>
      <w:pPr>
        <w:topLinePunct/>
        <w:spacing w:line="440" w:lineRule="exact"/>
        <w:ind w:firstLine="420" w:firstLineChars="200"/>
        <w:rPr>
          <w:rFonts w:ascii="Times New Roman" w:hAnsi="Times New Roman"/>
          <w:color w:val="000000"/>
          <w:highlight w:val="none"/>
        </w:rPr>
      </w:pPr>
      <w:r>
        <w:rPr>
          <w:rFonts w:hint="eastAsia" w:ascii="Times New Roman" w:hAnsi="Times New Roman"/>
          <w:color w:val="000000"/>
          <w:highlight w:val="none"/>
        </w:rPr>
        <w:t>投标人的成立时间少于投标人须知前附表规定年份的，应提供成立以来的财务状况表。</w:t>
      </w:r>
    </w:p>
    <w:p>
      <w:pPr>
        <w:topLinePunct/>
        <w:spacing w:line="440" w:lineRule="exact"/>
        <w:ind w:firstLine="420" w:firstLineChars="200"/>
        <w:rPr>
          <w:rFonts w:ascii="Times New Roman" w:hAnsi="Times New Roman"/>
          <w:color w:val="000000"/>
          <w:highlight w:val="none"/>
        </w:rPr>
      </w:pPr>
    </w:p>
    <w:p>
      <w:pPr>
        <w:topLinePunct/>
        <w:spacing w:line="440" w:lineRule="exact"/>
        <w:ind w:firstLine="420" w:firstLineChars="200"/>
        <w:rPr>
          <w:rFonts w:ascii="Times New Roman" w:hAnsi="Times New Roman"/>
          <w:sz w:val="20"/>
          <w:highlight w:val="none"/>
        </w:rPr>
      </w:pPr>
      <w:r>
        <w:rPr>
          <w:rFonts w:ascii="Times New Roman" w:hAnsi="Times New Roman"/>
          <w:color w:val="000000"/>
          <w:highlight w:val="none"/>
        </w:rPr>
        <w:br w:type="page"/>
      </w:r>
    </w:p>
    <w:p>
      <w:pPr>
        <w:pStyle w:val="4"/>
        <w:spacing w:line="440" w:lineRule="exact"/>
        <w:ind w:firstLine="137"/>
        <w:rPr>
          <w:rFonts w:ascii="Times New Roman" w:hAnsi="Times New Roman"/>
          <w:color w:val="000000"/>
          <w:highlight w:val="none"/>
        </w:rPr>
      </w:pPr>
      <w:bookmarkStart w:id="92" w:name="_Toc492300537"/>
      <w:r>
        <w:rPr>
          <w:rFonts w:hint="eastAsia" w:ascii="Times New Roman" w:hAnsi="Times New Roman"/>
          <w:color w:val="000000"/>
          <w:highlight w:val="none"/>
        </w:rPr>
        <w:t>（三）近年发生的诉讼及仲裁情况</w:t>
      </w:r>
    </w:p>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“近年发生的诉讼及仲裁情况”应说明投标人败诉的服务合同的相关情况，并附法院或仲裁机构作出的判决、裁决等有关法律文书复印件，具体时间要求见投标人须知前附表。</w:t>
      </w:r>
    </w:p>
    <w:p>
      <w:pPr>
        <w:rPr>
          <w:rFonts w:ascii="Times New Roman" w:hAnsi="Times New Roman"/>
          <w:highlight w:val="none"/>
        </w:rPr>
      </w:pPr>
      <w:r>
        <w:rPr>
          <w:rFonts w:hint="eastAsia" w:ascii="Times New Roman" w:hAnsi="Times New Roman"/>
          <w:highlight w:val="none"/>
        </w:rPr>
        <w:br w:type="page"/>
      </w:r>
    </w:p>
    <w:p>
      <w:pPr>
        <w:pStyle w:val="4"/>
        <w:ind w:firstLine="137"/>
        <w:rPr>
          <w:rFonts w:ascii="Times New Roman" w:hAnsi="Times New Roman"/>
          <w:highlight w:val="none"/>
        </w:rPr>
      </w:pPr>
      <w:r>
        <w:rPr>
          <w:rFonts w:hint="eastAsia" w:ascii="Times New Roman" w:hAnsi="Times New Roman"/>
          <w:highlight w:val="none"/>
        </w:rPr>
        <w:t>（四）近年完成的类似项目情况表</w:t>
      </w:r>
      <w:bookmarkEnd w:id="92"/>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lang w:eastAsia="zh-CN"/>
              </w:rPr>
              <w:t>招标人</w:t>
            </w:r>
            <w:r>
              <w:rPr>
                <w:rFonts w:hint="eastAsia" w:ascii="Times New Roman" w:hAnsi="Times New Roman"/>
                <w:highlight w:val="none"/>
              </w:rPr>
              <w:t>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lang w:eastAsia="zh-CN"/>
              </w:rPr>
              <w:t>招标人</w:t>
            </w:r>
            <w:r>
              <w:rPr>
                <w:rFonts w:hint="eastAsia" w:ascii="Times New Roman" w:hAnsi="Times New Roman"/>
                <w:highlight w:val="none"/>
              </w:rPr>
              <w:t>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lang w:eastAsia="zh-CN"/>
              </w:rPr>
              <w:t>招标人</w:t>
            </w:r>
            <w:r>
              <w:rPr>
                <w:rFonts w:hint="eastAsia" w:ascii="Times New Roman" w:hAnsi="Times New Roman"/>
                <w:highlight w:val="none"/>
              </w:rPr>
              <w:t>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服务内容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bl>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“近年完成的类似项目情况表”应附合同协议书的复印件或扫描件</w:t>
      </w:r>
      <w:r>
        <w:rPr>
          <w:rFonts w:hint="eastAsia" w:ascii="Times New Roman" w:hAnsi="Times New Roman"/>
          <w:color w:val="000000"/>
          <w:highlight w:val="none"/>
          <w:lang w:eastAsia="zh-CN"/>
        </w:rPr>
        <w:t>，并加盖投标人公章</w:t>
      </w:r>
      <w:r>
        <w:rPr>
          <w:rFonts w:hint="eastAsia" w:ascii="Times New Roman" w:hAnsi="Times New Roman"/>
          <w:color w:val="000000"/>
          <w:highlight w:val="none"/>
        </w:rPr>
        <w:t>；具体时间要求见投标人须知前附表，每张表格只填写一个项目，并标明序号。</w:t>
      </w:r>
    </w:p>
    <w:p>
      <w:pPr>
        <w:spacing w:line="440" w:lineRule="exact"/>
        <w:rPr>
          <w:rFonts w:ascii="Times New Roman" w:hAnsi="Times New Roman"/>
          <w:highlight w:val="none"/>
        </w:rPr>
      </w:pPr>
    </w:p>
    <w:p>
      <w:pPr>
        <w:spacing w:line="440" w:lineRule="exact"/>
        <w:rPr>
          <w:rFonts w:ascii="Times New Roman" w:hAnsi="Times New Roman"/>
          <w:highlight w:val="none"/>
        </w:rPr>
      </w:pPr>
    </w:p>
    <w:p>
      <w:pPr>
        <w:topLinePunct/>
        <w:spacing w:line="440" w:lineRule="exact"/>
        <w:rPr>
          <w:rFonts w:ascii="Times New Roman" w:hAnsi="Times New Roman"/>
          <w:highlight w:val="none"/>
        </w:rPr>
      </w:pPr>
      <w:r>
        <w:rPr>
          <w:rFonts w:ascii="Times New Roman" w:hAnsi="Times New Roman"/>
          <w:highlight w:val="none"/>
        </w:rPr>
        <w:br w:type="page"/>
      </w:r>
    </w:p>
    <w:p>
      <w:pPr>
        <w:pStyle w:val="4"/>
        <w:ind w:firstLine="137"/>
        <w:rPr>
          <w:rFonts w:ascii="Times New Roman" w:hAnsi="Times New Roman"/>
          <w:highlight w:val="none"/>
        </w:rPr>
      </w:pPr>
      <w:bookmarkStart w:id="93" w:name="_Toc359594247"/>
      <w:bookmarkStart w:id="94" w:name="_Toc300835226"/>
      <w:bookmarkStart w:id="95" w:name="_Toc152042599"/>
      <w:bookmarkStart w:id="96" w:name="_Toc144974878"/>
      <w:bookmarkStart w:id="97" w:name="_Toc492300538"/>
      <w:bookmarkStart w:id="98" w:name="_Toc247514302"/>
      <w:bookmarkStart w:id="99" w:name="_Toc384308388"/>
      <w:bookmarkStart w:id="100" w:name="_Toc370676438"/>
      <w:bookmarkStart w:id="101" w:name="_Toc152045810"/>
      <w:bookmarkStart w:id="102" w:name="_Toc361508766"/>
      <w:bookmarkStart w:id="103" w:name="_Toc247527850"/>
      <w:bookmarkStart w:id="104" w:name="_Toc144974879"/>
      <w:bookmarkStart w:id="105" w:name="_Toc152042600"/>
      <w:bookmarkStart w:id="106" w:name="_Toc247527851"/>
      <w:bookmarkStart w:id="107" w:name="_Toc152045811"/>
      <w:bookmarkStart w:id="108" w:name="_Toc247514303"/>
      <w:r>
        <w:rPr>
          <w:rFonts w:hint="eastAsia" w:ascii="Times New Roman" w:hAnsi="Times New Roman"/>
          <w:highlight w:val="none"/>
        </w:rPr>
        <w:t>（五）正在履行和新承接的项目情况表</w:t>
      </w:r>
      <w:bookmarkEnd w:id="93"/>
      <w:bookmarkEnd w:id="94"/>
      <w:bookmarkEnd w:id="95"/>
      <w:bookmarkEnd w:id="96"/>
      <w:bookmarkEnd w:id="97"/>
      <w:bookmarkEnd w:id="98"/>
      <w:bookmarkEnd w:id="99"/>
      <w:bookmarkEnd w:id="100"/>
      <w:bookmarkEnd w:id="101"/>
      <w:bookmarkEnd w:id="102"/>
      <w:bookmarkEnd w:id="103"/>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lang w:eastAsia="zh-CN"/>
              </w:rPr>
              <w:t>招标人</w:t>
            </w:r>
            <w:r>
              <w:rPr>
                <w:rFonts w:ascii="Times New Roman" w:hAnsi="Times New Roman"/>
                <w:szCs w:val="21"/>
                <w:highlight w:val="none"/>
              </w:rPr>
              <w:t>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lang w:eastAsia="zh-CN"/>
              </w:rPr>
              <w:t>招标人</w:t>
            </w:r>
            <w:r>
              <w:rPr>
                <w:rFonts w:ascii="Times New Roman" w:hAnsi="Times New Roman"/>
                <w:szCs w:val="21"/>
                <w:highlight w:val="none"/>
              </w:rPr>
              <w:t>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lang w:eastAsia="zh-CN"/>
              </w:rPr>
              <w:t>招标人</w:t>
            </w:r>
            <w:r>
              <w:rPr>
                <w:rFonts w:ascii="Times New Roman" w:hAnsi="Times New Roman"/>
                <w:szCs w:val="21"/>
                <w:highlight w:val="none"/>
              </w:rPr>
              <w:t>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服务</w:t>
            </w:r>
            <w:r>
              <w:rPr>
                <w:rFonts w:ascii="Times New Roman" w:hAnsi="Times New Roman"/>
                <w:szCs w:val="21"/>
                <w:highlight w:val="none"/>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bookmarkEnd w:id="104"/>
      <w:bookmarkEnd w:id="105"/>
      <w:bookmarkEnd w:id="106"/>
      <w:bookmarkEnd w:id="107"/>
      <w:bookmarkEnd w:id="108"/>
    </w:tbl>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“正在履行和新承接的项目情况表”应附中标通知书或合同协议书的复印件或扫描件</w:t>
      </w:r>
      <w:r>
        <w:rPr>
          <w:rFonts w:hint="eastAsia" w:ascii="Times New Roman" w:hAnsi="Times New Roman"/>
          <w:color w:val="000000"/>
          <w:highlight w:val="none"/>
          <w:lang w:eastAsia="zh-CN"/>
        </w:rPr>
        <w:t>，并加盖投标人公章</w:t>
      </w:r>
      <w:r>
        <w:rPr>
          <w:rFonts w:hint="eastAsia" w:ascii="Times New Roman" w:hAnsi="Times New Roman"/>
          <w:color w:val="000000"/>
          <w:highlight w:val="none"/>
        </w:rPr>
        <w:t>。每张表格只填写一个项目，并标明序号。</w:t>
      </w:r>
    </w:p>
    <w:p>
      <w:pPr>
        <w:spacing w:line="440" w:lineRule="exact"/>
        <w:rPr>
          <w:rFonts w:ascii="Times New Roman" w:hAnsi="Times New Roman"/>
          <w:highlight w:val="none"/>
        </w:rPr>
      </w:pPr>
      <w:r>
        <w:rPr>
          <w:rFonts w:ascii="Times New Roman" w:hAnsi="Times New Roman"/>
          <w:highlight w:val="none"/>
        </w:rPr>
        <w:br w:type="page"/>
      </w:r>
    </w:p>
    <w:bookmarkEnd w:id="88"/>
    <w:p>
      <w:pPr>
        <w:pStyle w:val="4"/>
        <w:rPr>
          <w:rFonts w:ascii="Times New Roman" w:hAnsi="Times New Roman"/>
          <w:highlight w:val="none"/>
        </w:rPr>
      </w:pPr>
      <w:bookmarkStart w:id="109" w:name="_Toc482188667"/>
      <w:bookmarkStart w:id="110" w:name="_Toc492300540"/>
      <w:r>
        <w:rPr>
          <w:rFonts w:hint="eastAsia" w:ascii="Times New Roman" w:hAnsi="Times New Roman"/>
          <w:highlight w:val="none"/>
        </w:rPr>
        <w:t>（六）拟委任的主要人员汇总表</w:t>
      </w:r>
      <w:bookmarkEnd w:id="109"/>
      <w:bookmarkEnd w:id="110"/>
    </w:p>
    <w:tbl>
      <w:tblPr>
        <w:tblStyle w:val="14"/>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序号</w:t>
            </w:r>
          </w:p>
        </w:tc>
        <w:tc>
          <w:tcPr>
            <w:tcW w:w="1275"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本项目任职</w:t>
            </w:r>
          </w:p>
        </w:tc>
        <w:tc>
          <w:tcPr>
            <w:tcW w:w="992"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姓名</w:t>
            </w:r>
          </w:p>
        </w:tc>
        <w:tc>
          <w:tcPr>
            <w:tcW w:w="603"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职称</w:t>
            </w:r>
          </w:p>
        </w:tc>
        <w:tc>
          <w:tcPr>
            <w:tcW w:w="488"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专业</w:t>
            </w:r>
          </w:p>
        </w:tc>
        <w:tc>
          <w:tcPr>
            <w:tcW w:w="2714"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执业或职业资格证明</w:t>
            </w:r>
          </w:p>
        </w:tc>
        <w:tc>
          <w:tcPr>
            <w:tcW w:w="1656"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rPr>
                <w:rFonts w:ascii="Times New Roman" w:hAnsi="Times New Roman"/>
                <w:highlight w:val="none"/>
              </w:rPr>
            </w:pPr>
          </w:p>
        </w:tc>
        <w:tc>
          <w:tcPr>
            <w:tcW w:w="1275" w:type="dxa"/>
            <w:vMerge w:val="continue"/>
          </w:tcPr>
          <w:p>
            <w:pPr>
              <w:rPr>
                <w:rFonts w:ascii="Times New Roman" w:hAnsi="Times New Roman"/>
                <w:highlight w:val="none"/>
              </w:rPr>
            </w:pPr>
          </w:p>
        </w:tc>
        <w:tc>
          <w:tcPr>
            <w:tcW w:w="992" w:type="dxa"/>
            <w:vMerge w:val="continue"/>
            <w:vAlign w:val="center"/>
          </w:tcPr>
          <w:p>
            <w:pPr>
              <w:rPr>
                <w:rFonts w:ascii="Times New Roman" w:hAnsi="Times New Roman"/>
                <w:highlight w:val="none"/>
              </w:rPr>
            </w:pPr>
          </w:p>
        </w:tc>
        <w:tc>
          <w:tcPr>
            <w:tcW w:w="603" w:type="dxa"/>
            <w:vMerge w:val="continue"/>
            <w:vAlign w:val="center"/>
          </w:tcPr>
          <w:p>
            <w:pPr>
              <w:rPr>
                <w:rFonts w:ascii="Times New Roman" w:hAnsi="Times New Roman"/>
                <w:highlight w:val="none"/>
              </w:rPr>
            </w:pPr>
          </w:p>
        </w:tc>
        <w:tc>
          <w:tcPr>
            <w:tcW w:w="488" w:type="dxa"/>
            <w:vMerge w:val="continue"/>
            <w:vAlign w:val="center"/>
          </w:tcPr>
          <w:p>
            <w:pPr>
              <w:spacing w:line="440" w:lineRule="exact"/>
              <w:jc w:val="center"/>
              <w:rPr>
                <w:rFonts w:ascii="Times New Roman" w:hAnsi="Times New Roman"/>
                <w:highlight w:val="none"/>
              </w:rPr>
            </w:pPr>
          </w:p>
        </w:tc>
        <w:tc>
          <w:tcPr>
            <w:tcW w:w="1134"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证书名称</w:t>
            </w:r>
          </w:p>
        </w:tc>
        <w:tc>
          <w:tcPr>
            <w:tcW w:w="709"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级别</w:t>
            </w:r>
          </w:p>
        </w:tc>
        <w:tc>
          <w:tcPr>
            <w:tcW w:w="87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证号</w:t>
            </w: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vAlign w:val="center"/>
          </w:tcPr>
          <w:p>
            <w:pPr>
              <w:spacing w:line="440" w:lineRule="exact"/>
              <w:jc w:val="center"/>
              <w:rPr>
                <w:rFonts w:ascii="Times New Roman" w:hAnsi="Times New Roman"/>
                <w:highlight w:val="none"/>
              </w:rPr>
            </w:pPr>
          </w:p>
        </w:tc>
        <w:tc>
          <w:tcPr>
            <w:tcW w:w="603" w:type="dxa"/>
            <w:vAlign w:val="center"/>
          </w:tcPr>
          <w:p>
            <w:pPr>
              <w:spacing w:line="440" w:lineRule="exact"/>
              <w:jc w:val="center"/>
              <w:rPr>
                <w:rFonts w:ascii="Times New Roman" w:hAnsi="Times New Roman"/>
                <w:highlight w:val="none"/>
              </w:rPr>
            </w:pPr>
          </w:p>
        </w:tc>
        <w:tc>
          <w:tcPr>
            <w:tcW w:w="488" w:type="dxa"/>
            <w:vAlign w:val="center"/>
          </w:tcPr>
          <w:p>
            <w:pPr>
              <w:spacing w:line="440" w:lineRule="exact"/>
              <w:jc w:val="center"/>
              <w:rPr>
                <w:rFonts w:ascii="Times New Roman" w:hAnsi="Times New Roman"/>
                <w:highlight w:val="none"/>
              </w:rPr>
            </w:pPr>
          </w:p>
        </w:tc>
        <w:tc>
          <w:tcPr>
            <w:tcW w:w="1134" w:type="dxa"/>
            <w:vAlign w:val="center"/>
          </w:tcPr>
          <w:p>
            <w:pPr>
              <w:spacing w:line="440" w:lineRule="exact"/>
              <w:jc w:val="center"/>
              <w:rPr>
                <w:rFonts w:ascii="Times New Roman" w:hAnsi="Times New Roman"/>
                <w:highlight w:val="none"/>
              </w:rPr>
            </w:pPr>
          </w:p>
        </w:tc>
        <w:tc>
          <w:tcPr>
            <w:tcW w:w="709" w:type="dxa"/>
            <w:vAlign w:val="center"/>
          </w:tcPr>
          <w:p>
            <w:pPr>
              <w:spacing w:line="440" w:lineRule="exact"/>
              <w:jc w:val="center"/>
              <w:rPr>
                <w:rFonts w:ascii="Times New Roman" w:hAnsi="Times New Roman"/>
                <w:highlight w:val="none"/>
              </w:rPr>
            </w:pPr>
          </w:p>
        </w:tc>
        <w:tc>
          <w:tcPr>
            <w:tcW w:w="871" w:type="dxa"/>
            <w:vAlign w:val="center"/>
          </w:tcPr>
          <w:p>
            <w:pPr>
              <w:spacing w:line="440" w:lineRule="exact"/>
              <w:jc w:val="center"/>
              <w:rPr>
                <w:rFonts w:ascii="Times New Roman" w:hAnsi="Times New Roman"/>
                <w:highlight w:val="none"/>
              </w:rPr>
            </w:pP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bl>
    <w:p>
      <w:pPr>
        <w:spacing w:line="440" w:lineRule="exact"/>
        <w:rPr>
          <w:rFonts w:ascii="Times New Roman" w:hAnsi="Times New Roman"/>
          <w:highlight w:val="none"/>
        </w:rPr>
      </w:pPr>
      <w:r>
        <w:rPr>
          <w:rFonts w:hint="eastAsia" w:ascii="Times New Roman" w:hAnsi="Times New Roman"/>
          <w:highlight w:val="none"/>
        </w:rPr>
        <w:t>注：“拟委任的主要人员汇总表”应填报满足招标文件规定的项目负责人和其他主要人员的相关信息。</w:t>
      </w:r>
    </w:p>
    <w:p>
      <w:pPr>
        <w:spacing w:line="440" w:lineRule="exact"/>
        <w:rPr>
          <w:rFonts w:ascii="Times New Roman" w:hAnsi="Times New Roman"/>
          <w:highlight w:val="none"/>
        </w:rPr>
      </w:pPr>
      <w:r>
        <w:rPr>
          <w:rFonts w:ascii="Times New Roman" w:hAnsi="Times New Roman"/>
          <w:highlight w:val="none"/>
        </w:rPr>
        <w:br w:type="page"/>
      </w:r>
      <w:bookmarkStart w:id="111" w:name="_Toc179632825"/>
      <w:bookmarkStart w:id="112" w:name="_Toc144974873"/>
      <w:bookmarkStart w:id="113" w:name="_Toc152045805"/>
      <w:bookmarkStart w:id="114" w:name="_Toc152042594"/>
    </w:p>
    <w:p>
      <w:pPr>
        <w:pStyle w:val="4"/>
        <w:ind w:firstLine="137"/>
        <w:rPr>
          <w:rFonts w:ascii="Times New Roman" w:hAnsi="Times New Roman"/>
          <w:highlight w:val="none"/>
        </w:rPr>
      </w:pPr>
      <w:bookmarkStart w:id="115" w:name="_Toc384308390"/>
      <w:bookmarkStart w:id="116" w:name="_Toc385943079"/>
      <w:bookmarkStart w:id="117" w:name="_Toc300835232"/>
      <w:bookmarkStart w:id="118" w:name="_Toc492300541"/>
      <w:bookmarkStart w:id="119" w:name="_Toc359594249"/>
      <w:bookmarkStart w:id="120" w:name="_Toc391394125"/>
      <w:bookmarkStart w:id="121" w:name="_Toc482188668"/>
      <w:bookmarkStart w:id="122" w:name="_Toc370676440"/>
      <w:r>
        <w:rPr>
          <w:rFonts w:hint="eastAsia" w:ascii="Times New Roman" w:hAnsi="Times New Roman"/>
          <w:highlight w:val="none"/>
        </w:rPr>
        <w:t>（七）主要人员简历表</w:t>
      </w:r>
      <w:bookmarkEnd w:id="111"/>
      <w:bookmarkEnd w:id="112"/>
      <w:bookmarkEnd w:id="113"/>
      <w:bookmarkEnd w:id="114"/>
      <w:bookmarkEnd w:id="115"/>
      <w:bookmarkEnd w:id="116"/>
      <w:bookmarkEnd w:id="117"/>
      <w:bookmarkEnd w:id="118"/>
      <w:bookmarkEnd w:id="119"/>
      <w:bookmarkEnd w:id="120"/>
      <w:bookmarkEnd w:id="121"/>
      <w:bookmarkEnd w:id="122"/>
    </w:p>
    <w:p>
      <w:pPr>
        <w:topLinePunct/>
        <w:spacing w:line="440" w:lineRule="exact"/>
        <w:jc w:val="center"/>
        <w:rPr>
          <w:rFonts w:ascii="Times New Roman" w:hAnsi="Times New Roman"/>
          <w:sz w:val="23"/>
          <w:highlight w:val="none"/>
        </w:rPr>
      </w:pPr>
      <w:r>
        <w:rPr>
          <w:rFonts w:hint="eastAsia" w:ascii="Times New Roman" w:hAnsi="Times New Roman"/>
          <w:highlight w:val="none"/>
        </w:rPr>
        <w:t xml:space="preserve"> </w:t>
      </w:r>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姓</w:t>
            </w:r>
            <w:r>
              <w:rPr>
                <w:rFonts w:ascii="Times New Roman" w:hAnsi="Times New Roman"/>
                <w:highlight w:val="none"/>
              </w:rPr>
              <w:t xml:space="preserve">  </w:t>
            </w:r>
            <w:r>
              <w:rPr>
                <w:rFonts w:hint="eastAsia" w:ascii="Times New Roman" w:hAnsi="Times New Roman"/>
                <w:highlight w:val="none"/>
              </w:rPr>
              <w:t>名</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年龄</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执业资格证书（或上岗证书）名称</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职</w:t>
            </w:r>
            <w:r>
              <w:rPr>
                <w:rFonts w:ascii="Times New Roman" w:hAnsi="Times New Roman"/>
                <w:highlight w:val="none"/>
              </w:rPr>
              <w:t xml:space="preserve">  </w:t>
            </w:r>
            <w:r>
              <w:rPr>
                <w:rFonts w:hint="eastAsia" w:ascii="Times New Roman" w:hAnsi="Times New Roman"/>
                <w:highlight w:val="none"/>
              </w:rPr>
              <w:t>称</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学历</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拟在本项目任职</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工作年限</w:t>
            </w:r>
          </w:p>
        </w:tc>
        <w:tc>
          <w:tcPr>
            <w:tcW w:w="3071" w:type="dxa"/>
            <w:gridSpan w:val="4"/>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从事行业工作年限</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毕业学校</w:t>
            </w:r>
          </w:p>
        </w:tc>
        <w:tc>
          <w:tcPr>
            <w:tcW w:w="7335" w:type="dxa"/>
            <w:gridSpan w:val="8"/>
            <w:vAlign w:val="center"/>
          </w:tcPr>
          <w:p>
            <w:pPr>
              <w:spacing w:before="100" w:beforeAutospacing="1" w:after="100" w:afterAutospacing="1" w:line="440" w:lineRule="exact"/>
              <w:ind w:firstLine="1155" w:firstLineChars="550"/>
              <w:rPr>
                <w:rFonts w:ascii="Times New Roman" w:hAnsi="Times New Roman"/>
                <w:highlight w:val="none"/>
              </w:rPr>
            </w:pPr>
            <w:r>
              <w:rPr>
                <w:rFonts w:hint="eastAsia" w:ascii="Times New Roman" w:hAnsi="Times New Roman"/>
                <w:highlight w:val="none"/>
              </w:rPr>
              <w:t>年毕业于</w:t>
            </w:r>
            <w:r>
              <w:rPr>
                <w:rFonts w:ascii="Times New Roman" w:hAnsi="Times New Roman"/>
                <w:highlight w:val="none"/>
              </w:rPr>
              <w:t xml:space="preserve">            </w:t>
            </w:r>
            <w:r>
              <w:rPr>
                <w:rFonts w:hint="eastAsia" w:ascii="Times New Roman" w:hAnsi="Times New Roman"/>
                <w:highlight w:val="none"/>
              </w:rPr>
              <w:t>学校</w:t>
            </w:r>
            <w:r>
              <w:rPr>
                <w:rFonts w:ascii="Times New Roman" w:hAnsi="Times New Roman"/>
                <w:highlight w:val="none"/>
              </w:rPr>
              <w:t xml:space="preserve">        </w:t>
            </w:r>
            <w:r>
              <w:rPr>
                <w:rFonts w:hint="eastAsia" w:ascii="Times New Roman" w:hAnsi="Times New Roman"/>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440" w:lineRule="exact"/>
              <w:jc w:val="left"/>
              <w:rPr>
                <w:rFonts w:ascii="Times New Roman" w:hAnsi="Times New Roman"/>
                <w:highlight w:val="none"/>
              </w:rPr>
            </w:pPr>
            <w:r>
              <w:rPr>
                <w:rFonts w:hint="eastAsia" w:ascii="Times New Roman" w:hAnsi="Times New Roman"/>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时</w:t>
            </w:r>
            <w:r>
              <w:rPr>
                <w:rFonts w:ascii="Times New Roman" w:hAnsi="Times New Roman"/>
                <w:highlight w:val="none"/>
              </w:rPr>
              <w:t xml:space="preserve">  </w:t>
            </w:r>
            <w:r>
              <w:rPr>
                <w:rFonts w:hint="eastAsia" w:ascii="Times New Roman" w:hAnsi="Times New Roman"/>
                <w:highlight w:val="none"/>
              </w:rPr>
              <w:t>间</w:t>
            </w:r>
          </w:p>
        </w:tc>
        <w:tc>
          <w:tcPr>
            <w:tcW w:w="3420" w:type="dxa"/>
            <w:gridSpan w:val="4"/>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参加过的类似项目</w:t>
            </w:r>
          </w:p>
        </w:tc>
        <w:tc>
          <w:tcPr>
            <w:tcW w:w="126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担任职务</w:t>
            </w:r>
          </w:p>
        </w:tc>
        <w:tc>
          <w:tcPr>
            <w:tcW w:w="2297"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lang w:eastAsia="zh-CN"/>
              </w:rPr>
              <w:t>招标人</w:t>
            </w:r>
            <w:r>
              <w:rPr>
                <w:rFonts w:hint="eastAsia" w:ascii="Times New Roman" w:hAnsi="Times New Roman"/>
                <w:highlight w:val="none"/>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bl>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“主要人员简历表”中项目负责人应附身份证、学历证、职称证、资格证书和社保缴费证明复印件，管理过的项目业绩须业绩合同复印件或业主单位出具的人员业绩证明等有效证明材料</w:t>
      </w:r>
      <w:r>
        <w:rPr>
          <w:rFonts w:hint="eastAsia" w:ascii="Times New Roman" w:hAnsi="Times New Roman"/>
          <w:color w:val="000000"/>
          <w:highlight w:val="none"/>
          <w:lang w:eastAsia="zh-CN"/>
        </w:rPr>
        <w:t>等</w:t>
      </w:r>
      <w:r>
        <w:rPr>
          <w:rFonts w:hint="eastAsia" w:ascii="Times New Roman" w:hAnsi="Times New Roman"/>
          <w:color w:val="000000"/>
          <w:highlight w:val="none"/>
        </w:rPr>
        <w:t>复印件；其他主要人员应附身份证、学历证、职称证、资格证书和社保缴费证明复印件</w:t>
      </w:r>
      <w:r>
        <w:rPr>
          <w:rFonts w:hint="eastAsia" w:ascii="Times New Roman" w:hAnsi="Times New Roman"/>
          <w:color w:val="000000"/>
          <w:highlight w:val="none"/>
          <w:lang w:eastAsia="zh-CN"/>
        </w:rPr>
        <w:t>，所有证明材料要求加盖投标人公章</w:t>
      </w:r>
      <w:r>
        <w:rPr>
          <w:rFonts w:hint="eastAsia" w:ascii="Times New Roman" w:hAnsi="Times New Roman"/>
          <w:color w:val="000000"/>
          <w:highlight w:val="none"/>
        </w:rPr>
        <w:t>。项目业绩时间以合同签订时间为准，业主单位出具的人员业绩证明以载明的服务期起始时间为准</w:t>
      </w:r>
      <w:r>
        <w:rPr>
          <w:rFonts w:hint="eastAsia" w:ascii="Times New Roman" w:hAnsi="Times New Roman"/>
          <w:color w:val="000000"/>
          <w:highlight w:val="none"/>
          <w:lang w:eastAsia="zh-CN"/>
        </w:rPr>
        <w:t>。社保证明要求为</w:t>
      </w:r>
      <w:r>
        <w:rPr>
          <w:rFonts w:hint="eastAsia" w:ascii="Times New Roman" w:hAnsi="Times New Roman"/>
          <w:highlight w:val="none"/>
        </w:rPr>
        <w:t>由本单位为其缴纳的至少连续6个月的社保证明（由当地社保主管部门出具的</w:t>
      </w:r>
      <w:r>
        <w:rPr>
          <w:rFonts w:hint="eastAsia" w:ascii="Times New Roman" w:hAnsi="Times New Roman"/>
          <w:highlight w:val="none"/>
          <w:lang w:eastAsia="zh-CN"/>
        </w:rPr>
        <w:t>2020年1月1日</w:t>
      </w:r>
      <w:r>
        <w:rPr>
          <w:rFonts w:hint="eastAsia" w:ascii="Times New Roman" w:hAnsi="Times New Roman"/>
          <w:highlight w:val="none"/>
        </w:rPr>
        <w:t>以来的有效社保证明）</w:t>
      </w:r>
      <w:r>
        <w:rPr>
          <w:rFonts w:ascii="Times New Roman" w:hAnsi="Times New Roman"/>
          <w:highlight w:val="none"/>
        </w:rPr>
        <w:br w:type="page"/>
      </w:r>
      <w:bookmarkStart w:id="123" w:name="_Toc300835229"/>
      <w:bookmarkStart w:id="124" w:name="_Toc352703741"/>
    </w:p>
    <w:bookmarkEnd w:id="123"/>
    <w:bookmarkEnd w:id="124"/>
    <w:p>
      <w:pPr>
        <w:pStyle w:val="3"/>
        <w:spacing w:after="0"/>
        <w:jc w:val="center"/>
        <w:rPr>
          <w:rFonts w:ascii="Times New Roman" w:hAnsi="Times New Roman"/>
          <w:color w:val="000000"/>
          <w:highlight w:val="none"/>
        </w:rPr>
      </w:pPr>
      <w:bookmarkStart w:id="125" w:name="_Toc492300542"/>
      <w:r>
        <w:rPr>
          <w:rFonts w:hint="eastAsia" w:ascii="Times New Roman" w:hAnsi="Times New Roman"/>
          <w:color w:val="000000"/>
          <w:highlight w:val="none"/>
        </w:rPr>
        <w:t>六</w:t>
      </w:r>
      <w:r>
        <w:rPr>
          <w:rFonts w:ascii="Times New Roman" w:hAnsi="Times New Roman"/>
          <w:color w:val="000000"/>
          <w:highlight w:val="none"/>
        </w:rPr>
        <w:t>、</w:t>
      </w:r>
      <w:r>
        <w:rPr>
          <w:rFonts w:hint="eastAsia" w:ascii="Times New Roman" w:hAnsi="Times New Roman"/>
          <w:color w:val="000000"/>
          <w:highlight w:val="none"/>
        </w:rPr>
        <w:t>服务</w:t>
      </w:r>
      <w:r>
        <w:rPr>
          <w:rFonts w:ascii="Times New Roman" w:hAnsi="Times New Roman"/>
          <w:color w:val="000000"/>
          <w:highlight w:val="none"/>
        </w:rPr>
        <w:t>方案</w:t>
      </w:r>
      <w:bookmarkEnd w:id="125"/>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服务方案应包括（但不限于）下列内容：</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一、项目概况；</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二、工作范围、工作内容；</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三、工作依据、工作目标；</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四、机构设置（框图）、岗位职责；</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五、软件系统技术实现方案；</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六、接口方案（包括历史数据迁移）；</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 xml:space="preserve">七、数据安全解决方案； </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八、项目设计实施方案；</w:t>
      </w:r>
    </w:p>
    <w:p>
      <w:pPr>
        <w:spacing w:line="360" w:lineRule="auto"/>
        <w:ind w:firstLine="474" w:firstLineChars="226"/>
        <w:rPr>
          <w:rFonts w:hint="eastAsia" w:ascii="Times New Roman" w:hAnsi="Times New Roman"/>
          <w:szCs w:val="21"/>
          <w:highlight w:val="none"/>
          <w:lang w:eastAsia="zh-CN"/>
        </w:rPr>
      </w:pPr>
      <w:r>
        <w:rPr>
          <w:rFonts w:hint="eastAsia" w:ascii="Times New Roman" w:hAnsi="Times New Roman"/>
          <w:szCs w:val="21"/>
          <w:highlight w:val="none"/>
        </w:rPr>
        <w:t>九、系统测试方案</w:t>
      </w:r>
      <w:r>
        <w:rPr>
          <w:rFonts w:hint="eastAsia" w:ascii="Times New Roman" w:hAnsi="Times New Roman"/>
          <w:szCs w:val="21"/>
          <w:highlight w:val="none"/>
          <w:lang w:eastAsia="zh-CN"/>
        </w:rPr>
        <w:t>；</w:t>
      </w:r>
    </w:p>
    <w:p>
      <w:pPr>
        <w:spacing w:line="360" w:lineRule="auto"/>
        <w:ind w:firstLine="474" w:firstLineChars="226"/>
        <w:rPr>
          <w:rFonts w:hint="eastAsia" w:ascii="Times New Roman" w:hAnsi="Times New Roman"/>
          <w:szCs w:val="21"/>
          <w:highlight w:val="none"/>
          <w:lang w:eastAsia="zh-CN"/>
        </w:rPr>
      </w:pPr>
      <w:r>
        <w:rPr>
          <w:rFonts w:hint="eastAsia" w:ascii="Times New Roman" w:hAnsi="Times New Roman"/>
          <w:szCs w:val="21"/>
          <w:highlight w:val="none"/>
          <w:lang w:eastAsia="zh-CN"/>
        </w:rPr>
        <w:t>十、项目培训方案；</w:t>
      </w:r>
    </w:p>
    <w:p>
      <w:pPr>
        <w:spacing w:line="360" w:lineRule="auto"/>
        <w:ind w:firstLine="474" w:firstLineChars="226"/>
        <w:rPr>
          <w:rFonts w:hint="eastAsia" w:ascii="Times New Roman" w:hAnsi="Times New Roman"/>
          <w:szCs w:val="21"/>
          <w:highlight w:val="none"/>
          <w:lang w:eastAsia="zh-CN"/>
        </w:rPr>
      </w:pPr>
      <w:r>
        <w:rPr>
          <w:rFonts w:hint="eastAsia" w:ascii="Times New Roman" w:hAnsi="Times New Roman"/>
          <w:szCs w:val="21"/>
          <w:highlight w:val="none"/>
          <w:lang w:eastAsia="zh-CN"/>
        </w:rPr>
        <w:t>十一、售后服务及维护方案</w:t>
      </w:r>
    </w:p>
    <w:p>
      <w:pPr>
        <w:spacing w:line="360" w:lineRule="auto"/>
        <w:ind w:firstLine="474" w:firstLineChars="226"/>
        <w:rPr>
          <w:rFonts w:hint="eastAsia" w:ascii="Times New Roman" w:hAnsi="Times New Roman"/>
          <w:szCs w:val="21"/>
          <w:highlight w:val="none"/>
          <w:lang w:eastAsia="zh-CN"/>
        </w:rPr>
      </w:pPr>
      <w:r>
        <w:rPr>
          <w:rFonts w:hint="eastAsia" w:ascii="Times New Roman" w:hAnsi="Times New Roman"/>
          <w:szCs w:val="21"/>
          <w:highlight w:val="none"/>
          <w:lang w:eastAsia="zh-CN"/>
        </w:rPr>
        <w:t>十二、相关承诺及其他内容</w:t>
      </w:r>
    </w:p>
    <w:p>
      <w:pPr>
        <w:rPr>
          <w:rFonts w:ascii="Times New Roman" w:hAnsi="Times New Roman"/>
          <w:highlight w:val="none"/>
        </w:rPr>
      </w:pPr>
    </w:p>
    <w:p>
      <w:pPr>
        <w:pStyle w:val="3"/>
        <w:spacing w:line="400" w:lineRule="exact"/>
        <w:jc w:val="center"/>
        <w:rPr>
          <w:rFonts w:ascii="Times New Roman" w:hAnsi="Times New Roman"/>
          <w:highlight w:val="none"/>
        </w:rPr>
      </w:pPr>
      <w:r>
        <w:rPr>
          <w:rFonts w:ascii="Times New Roman" w:hAnsi="Times New Roman"/>
          <w:highlight w:val="none"/>
        </w:rPr>
        <w:br w:type="page"/>
      </w:r>
    </w:p>
    <w:p>
      <w:pPr>
        <w:pStyle w:val="3"/>
        <w:spacing w:after="0"/>
        <w:jc w:val="center"/>
        <w:rPr>
          <w:rFonts w:ascii="Times New Roman" w:hAnsi="Times New Roman"/>
          <w:color w:val="000000"/>
          <w:highlight w:val="none"/>
        </w:rPr>
      </w:pPr>
      <w:bookmarkStart w:id="126" w:name="_Toc492300543"/>
      <w:r>
        <w:rPr>
          <w:rFonts w:hint="eastAsia" w:ascii="Times New Roman" w:hAnsi="Times New Roman"/>
          <w:color w:val="000000"/>
          <w:highlight w:val="none"/>
        </w:rPr>
        <w:t>七</w:t>
      </w:r>
      <w:r>
        <w:rPr>
          <w:rFonts w:ascii="Times New Roman" w:hAnsi="Times New Roman"/>
          <w:color w:val="000000"/>
          <w:highlight w:val="none"/>
        </w:rPr>
        <w:t>、其他资料</w:t>
      </w:r>
      <w:bookmarkEnd w:id="126"/>
    </w:p>
    <w:p>
      <w:pPr>
        <w:rPr>
          <w:rFonts w:ascii="Times New Roman" w:hAnsi="Times New Roman"/>
          <w:highlight w:val="none"/>
        </w:rPr>
      </w:pPr>
    </w:p>
    <w:p>
      <w:pPr>
        <w:ind w:firstLine="420" w:firstLineChars="200"/>
        <w:rPr>
          <w:rFonts w:hint="eastAsia" w:ascii="Times New Roman" w:hAnsi="Times New Roman"/>
          <w:highlight w:val="none"/>
        </w:rPr>
      </w:pPr>
      <w:r>
        <w:rPr>
          <w:rFonts w:hint="eastAsia" w:ascii="Times New Roman" w:hAnsi="Times New Roman"/>
          <w:highlight w:val="none"/>
        </w:rPr>
        <w:t>第六章“投标文件格式”未详尽列举，但招标文件要求或有必要提供的资料。</w:t>
      </w: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ind w:firstLine="420" w:firstLineChars="200"/>
        <w:rPr>
          <w:rFonts w:hint="eastAsia" w:ascii="Times New Roman" w:hAnsi="Times New Roman"/>
          <w:highlight w:val="none"/>
        </w:rPr>
      </w:pPr>
    </w:p>
    <w:p>
      <w:pPr>
        <w:rPr>
          <w:rFonts w:hint="eastAsia" w:ascii="Times New Roman" w:hAnsi="Times New Roman"/>
          <w:highlight w:val="none"/>
          <w:lang w:val="en-US" w:eastAsia="zh-CN"/>
        </w:rPr>
      </w:pPr>
      <w:r>
        <w:rPr>
          <w:rFonts w:hint="eastAsia" w:ascii="Times New Roman" w:hAnsi="Times New Roman"/>
          <w:highlight w:val="none"/>
          <w:lang w:eastAsia="zh-CN"/>
        </w:rPr>
        <w:t>附件</w:t>
      </w:r>
      <w:r>
        <w:rPr>
          <w:rFonts w:hint="eastAsia" w:ascii="Times New Roman" w:hAnsi="Times New Roman"/>
          <w:highlight w:val="none"/>
          <w:lang w:val="en-US" w:eastAsia="zh-CN"/>
        </w:rPr>
        <w:t>1</w:t>
      </w:r>
    </w:p>
    <w:p>
      <w:pPr>
        <w:rPr>
          <w:rFonts w:hint="eastAsia" w:ascii="Times New Roman" w:hAnsi="Times New Roman"/>
          <w:highlight w:val="none"/>
          <w:lang w:val="en-US" w:eastAsia="zh-CN"/>
        </w:rPr>
      </w:pPr>
    </w:p>
    <w:p>
      <w:pPr>
        <w:rPr>
          <w:rFonts w:hint="eastAsia" w:ascii="Times New Roman" w:hAnsi="Times New Roman"/>
          <w:highlight w:val="none"/>
          <w:lang w:val="en-US" w:eastAsia="zh-CN"/>
        </w:rPr>
      </w:pPr>
    </w:p>
    <w:p>
      <w:pPr>
        <w:wordWrap w:val="0"/>
        <w:spacing w:line="600" w:lineRule="exact"/>
        <w:jc w:val="center"/>
        <w:rPr>
          <w:rFonts w:asciiTheme="minorEastAsia" w:hAnsiTheme="minorEastAsia" w:cstheme="minorEastAsia"/>
          <w:b/>
          <w:bCs/>
          <w:sz w:val="24"/>
        </w:rPr>
      </w:pPr>
      <w:r>
        <w:rPr>
          <w:rFonts w:hint="eastAsia" w:asciiTheme="minorEastAsia" w:hAnsiTheme="minorEastAsia" w:cstheme="minorEastAsia"/>
          <w:b/>
          <w:bCs/>
          <w:sz w:val="24"/>
        </w:rPr>
        <w:t>投标意向确认书</w:t>
      </w:r>
    </w:p>
    <w:p>
      <w:pPr>
        <w:wordWrap w:val="0"/>
        <w:spacing w:line="600" w:lineRule="exact"/>
        <w:rPr>
          <w:rFonts w:asciiTheme="minorEastAsia" w:hAnsiTheme="minorEastAsia" w:cstheme="minorEastAsia"/>
          <w:szCs w:val="21"/>
          <w:u w:val="single"/>
        </w:rPr>
      </w:pPr>
      <w:r>
        <w:rPr>
          <w:rFonts w:hint="eastAsia" w:asciiTheme="minorEastAsia" w:hAnsiTheme="minorEastAsia" w:cstheme="minorEastAsia"/>
          <w:szCs w:val="21"/>
          <w:u w:val="single"/>
        </w:rPr>
        <w:t>亳州交通投资控股集团有限公司</w:t>
      </w:r>
      <w:r>
        <w:rPr>
          <w:rFonts w:hint="eastAsia" w:asciiTheme="minorEastAsia" w:hAnsiTheme="minorEastAsia" w:cstheme="minorEastAsia"/>
          <w:szCs w:val="21"/>
        </w:rPr>
        <w:t>：</w:t>
      </w:r>
    </w:p>
    <w:p>
      <w:pPr>
        <w:wordWrap w:val="0"/>
        <w:spacing w:line="6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我方已仔细研究了亳州交通投资控股集团有限公司财务共享中心项目招标文件的全部内容，做出如下承诺：</w:t>
      </w:r>
    </w:p>
    <w:p>
      <w:pPr>
        <w:wordWrap w:val="0"/>
        <w:spacing w:line="6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（1）我方完全理解并接受亳州交通投资控股集团有限公司招标文件内容并不在提出异议，并确认参加该项目投标并按照招标文件要求提交投标文件和投标保证金；</w:t>
      </w:r>
    </w:p>
    <w:p>
      <w:pPr>
        <w:wordWrap w:val="0"/>
        <w:spacing w:line="6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（2）我方同意提供按照亳州交通投资控股集团有限公司要求的与其参选有关的一切证书、数据或资料，并且有关资料内容完整、真实和准确，且不存在法律法规规定的禁止投标情形。</w:t>
      </w:r>
    </w:p>
    <w:p>
      <w:pPr>
        <w:wordWrap w:val="0"/>
        <w:spacing w:line="600" w:lineRule="exact"/>
        <w:ind w:firstLine="420" w:firstLineChars="200"/>
        <w:rPr>
          <w:rFonts w:asciiTheme="minorEastAsia" w:hAnsiTheme="minorEastAsia" w:cstheme="minorEastAsia"/>
          <w:szCs w:val="21"/>
        </w:rPr>
      </w:pPr>
    </w:p>
    <w:p>
      <w:pPr>
        <w:wordWrap w:val="0"/>
        <w:spacing w:line="600" w:lineRule="exact"/>
        <w:ind w:firstLine="420" w:firstLineChars="200"/>
        <w:rPr>
          <w:rFonts w:asciiTheme="minorEastAsia" w:hAnsiTheme="minorEastAsia" w:cstheme="minorEastAsia"/>
          <w:szCs w:val="21"/>
          <w:u w:val="single"/>
        </w:rPr>
      </w:pPr>
      <w:r>
        <w:rPr>
          <w:rFonts w:hint="eastAsia" w:asciiTheme="minorEastAsia" w:hAnsiTheme="minorEastAsia" w:cstheme="minorEastAsia"/>
          <w:szCs w:val="21"/>
        </w:rPr>
        <w:t>投 标 人：</w:t>
      </w:r>
      <w:r>
        <w:rPr>
          <w:rFonts w:hint="eastAsia" w:asciiTheme="minorEastAsia" w:hAnsiTheme="minorEastAsia" w:cstheme="minorEastAsia"/>
          <w:szCs w:val="21"/>
          <w:u w:val="single"/>
        </w:rPr>
        <w:t xml:space="preserve">                          （盖单位章）</w:t>
      </w:r>
    </w:p>
    <w:p>
      <w:pPr>
        <w:wordWrap w:val="0"/>
        <w:spacing w:line="600" w:lineRule="exact"/>
        <w:ind w:firstLine="420" w:firstLineChars="200"/>
        <w:rPr>
          <w:rFonts w:asciiTheme="minorEastAsia" w:hAnsiTheme="minorEastAsia" w:cstheme="minorEastAsia"/>
          <w:szCs w:val="21"/>
          <w:u w:val="single"/>
        </w:rPr>
      </w:pPr>
      <w:r>
        <w:rPr>
          <w:rFonts w:hint="eastAsia" w:asciiTheme="minorEastAsia" w:hAnsiTheme="minorEastAsia" w:cstheme="minorEastAsia"/>
          <w:szCs w:val="21"/>
        </w:rPr>
        <w:t>法定代表人或其委托代理人：</w:t>
      </w:r>
      <w:r>
        <w:rPr>
          <w:rFonts w:hint="eastAsia" w:asciiTheme="minorEastAsia" w:hAnsiTheme="minorEastAsia" w:cstheme="minorEastAsia"/>
          <w:szCs w:val="21"/>
          <w:u w:val="single"/>
        </w:rPr>
        <w:t xml:space="preserve">              （签字或签章）</w:t>
      </w:r>
    </w:p>
    <w:p>
      <w:pPr>
        <w:wordWrap w:val="0"/>
        <w:spacing w:line="600" w:lineRule="exact"/>
        <w:ind w:firstLine="420" w:firstLineChars="200"/>
        <w:rPr>
          <w:rFonts w:asciiTheme="minorEastAsia" w:hAnsiTheme="minorEastAsia" w:cstheme="minorEastAsia"/>
          <w:szCs w:val="21"/>
          <w:u w:val="single"/>
        </w:rPr>
      </w:pPr>
      <w:r>
        <w:rPr>
          <w:rFonts w:hint="eastAsia" w:asciiTheme="minorEastAsia" w:hAnsiTheme="minorEastAsia" w:cstheme="minorEastAsia"/>
          <w:szCs w:val="21"/>
        </w:rPr>
        <w:t>地    址：</w:t>
      </w:r>
      <w:r>
        <w:rPr>
          <w:rFonts w:hint="eastAsia" w:asciiTheme="minorEastAsia" w:hAnsiTheme="minorEastAsia" w:cstheme="minorEastAsia"/>
          <w:szCs w:val="21"/>
          <w:u w:val="single"/>
        </w:rPr>
        <w:t xml:space="preserve">                                      </w:t>
      </w:r>
    </w:p>
    <w:p>
      <w:pPr>
        <w:wordWrap w:val="0"/>
        <w:spacing w:line="600" w:lineRule="exact"/>
        <w:ind w:firstLine="420" w:firstLineChars="200"/>
        <w:rPr>
          <w:rFonts w:asciiTheme="minorEastAsia" w:hAnsiTheme="minorEastAsia" w:cstheme="minorEastAsia"/>
          <w:szCs w:val="21"/>
          <w:u w:val="single"/>
        </w:rPr>
      </w:pPr>
      <w:r>
        <w:rPr>
          <w:rFonts w:hint="eastAsia" w:asciiTheme="minorEastAsia" w:hAnsiTheme="minorEastAsia" w:cstheme="minorEastAsia"/>
          <w:szCs w:val="21"/>
        </w:rPr>
        <w:t>电    话：</w:t>
      </w:r>
      <w:r>
        <w:rPr>
          <w:rFonts w:hint="eastAsia" w:asciiTheme="minorEastAsia" w:hAnsiTheme="minorEastAsia" w:cstheme="minorEastAsia"/>
          <w:szCs w:val="21"/>
          <w:u w:val="single"/>
        </w:rPr>
        <w:t xml:space="preserve">                                      </w:t>
      </w:r>
    </w:p>
    <w:p>
      <w:pPr>
        <w:wordWrap w:val="0"/>
        <w:spacing w:line="600" w:lineRule="exact"/>
        <w:ind w:firstLine="420" w:firstLineChars="200"/>
        <w:rPr>
          <w:rFonts w:asciiTheme="minorEastAsia" w:hAnsiTheme="minorEastAsia" w:cstheme="minorEastAsia"/>
          <w:szCs w:val="21"/>
          <w:u w:val="single"/>
        </w:rPr>
      </w:pPr>
      <w:r>
        <w:rPr>
          <w:rFonts w:hint="eastAsia" w:asciiTheme="minorEastAsia" w:hAnsiTheme="minorEastAsia" w:cstheme="minorEastAsia"/>
          <w:szCs w:val="21"/>
        </w:rPr>
        <w:t>传    真：</w:t>
      </w:r>
      <w:r>
        <w:rPr>
          <w:rFonts w:hint="eastAsia" w:asciiTheme="minorEastAsia" w:hAnsiTheme="minorEastAsia" w:cstheme="minorEastAsia"/>
          <w:szCs w:val="21"/>
          <w:u w:val="single"/>
        </w:rPr>
        <w:t xml:space="preserve">                                      </w:t>
      </w:r>
    </w:p>
    <w:p>
      <w:pPr>
        <w:wordWrap w:val="0"/>
        <w:spacing w:line="600" w:lineRule="exact"/>
        <w:ind w:firstLine="420" w:firstLineChars="200"/>
        <w:rPr>
          <w:rFonts w:asciiTheme="minorEastAsia" w:hAnsiTheme="minorEastAsia" w:cstheme="minorEastAsia"/>
          <w:szCs w:val="21"/>
          <w:u w:val="single"/>
        </w:rPr>
      </w:pPr>
      <w:r>
        <w:rPr>
          <w:rFonts w:hint="eastAsia" w:asciiTheme="minorEastAsia" w:hAnsiTheme="minorEastAsia" w:cstheme="minorEastAsia"/>
          <w:szCs w:val="21"/>
        </w:rPr>
        <w:t>邮政编码：</w:t>
      </w:r>
      <w:r>
        <w:rPr>
          <w:rFonts w:hint="eastAsia" w:asciiTheme="minorEastAsia" w:hAnsiTheme="minorEastAsia" w:cstheme="minorEastAsia"/>
          <w:szCs w:val="21"/>
          <w:u w:val="single"/>
        </w:rPr>
        <w:t xml:space="preserve">                                      </w:t>
      </w:r>
    </w:p>
    <w:p>
      <w:pPr>
        <w:wordWrap w:val="0"/>
        <w:spacing w:line="600" w:lineRule="exact"/>
        <w:jc w:val="right"/>
        <w:rPr>
          <w:rFonts w:asciiTheme="minorEastAsia" w:hAnsiTheme="minorEastAsia" w:cstheme="minorEastAsia"/>
          <w:szCs w:val="21"/>
          <w:u w:val="single"/>
        </w:rPr>
      </w:pPr>
    </w:p>
    <w:p>
      <w:pPr>
        <w:wordWrap w:val="0"/>
        <w:spacing w:line="600" w:lineRule="exact"/>
        <w:jc w:val="right"/>
        <w:rPr>
          <w:rFonts w:asciiTheme="minorEastAsia" w:hAnsiTheme="minorEastAsia" w:cstheme="minorEastAsia"/>
          <w:szCs w:val="21"/>
        </w:rPr>
      </w:pP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年</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月</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日</w:t>
      </w:r>
    </w:p>
    <w:p>
      <w:pPr>
        <w:rPr>
          <w:rFonts w:ascii="Times New Roman" w:hAnsi="Times New Roman"/>
          <w:highlight w:val="none"/>
        </w:rPr>
      </w:pPr>
    </w:p>
    <w:p>
      <w:pPr>
        <w:rPr>
          <w:rFonts w:ascii="Times New Roman" w:hAnsi="Times New Roman"/>
          <w:highlight w:val="none"/>
        </w:rPr>
      </w:pPr>
    </w:p>
    <w:p>
      <w:pPr>
        <w:rPr>
          <w:rFonts w:ascii="Times New Roman" w:hAnsi="Times New Roman"/>
          <w:highlight w:val="none"/>
        </w:rPr>
      </w:pPr>
    </w:p>
    <w:p>
      <w:pPr>
        <w:rPr>
          <w:rFonts w:ascii="Times New Roman" w:hAnsi="Times New Roman"/>
          <w:highlight w:val="none"/>
        </w:rPr>
      </w:pPr>
    </w:p>
    <w:p>
      <w:pPr>
        <w:pStyle w:val="3"/>
        <w:spacing w:line="400" w:lineRule="exact"/>
        <w:jc w:val="center"/>
        <w:rPr>
          <w:rFonts w:ascii="Times New Roman" w:hAnsi="Times New Roman"/>
          <w:highlight w:val="none"/>
        </w:rPr>
      </w:pPr>
    </w:p>
    <w:p>
      <w:pPr>
        <w:rPr>
          <w:rFonts w:ascii="宋体" w:hAnsi="宋体" w:eastAsia="宋体" w:cs="宋体"/>
          <w:kern w:val="0"/>
          <w:sz w:val="24"/>
          <w:highlight w:val="none"/>
        </w:rPr>
      </w:pPr>
    </w:p>
    <w:sectPr>
      <w:headerReference r:id="rId4" w:type="default"/>
      <w:footerReference r:id="rId5" w:type="default"/>
      <w:pgSz w:w="11906" w:h="16838"/>
      <w:pgMar w:top="1417" w:right="1417" w:bottom="1417" w:left="1417"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8F1F09"/>
    <w:multiLevelType w:val="singleLevel"/>
    <w:tmpl w:val="718F1F09"/>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3C27"/>
    <w:rsid w:val="002C069E"/>
    <w:rsid w:val="0040224D"/>
    <w:rsid w:val="00733B0B"/>
    <w:rsid w:val="00764376"/>
    <w:rsid w:val="00796B76"/>
    <w:rsid w:val="008B0C89"/>
    <w:rsid w:val="008E78DA"/>
    <w:rsid w:val="00936B7D"/>
    <w:rsid w:val="009550EB"/>
    <w:rsid w:val="00D6247C"/>
    <w:rsid w:val="00E63C27"/>
    <w:rsid w:val="00FA6F7E"/>
    <w:rsid w:val="012C662E"/>
    <w:rsid w:val="01331963"/>
    <w:rsid w:val="0145105E"/>
    <w:rsid w:val="019846E3"/>
    <w:rsid w:val="01CB0CDF"/>
    <w:rsid w:val="01CD2334"/>
    <w:rsid w:val="01E140D3"/>
    <w:rsid w:val="01E744E5"/>
    <w:rsid w:val="021377AB"/>
    <w:rsid w:val="021D348F"/>
    <w:rsid w:val="02327409"/>
    <w:rsid w:val="026E5FAB"/>
    <w:rsid w:val="02983D41"/>
    <w:rsid w:val="02A46690"/>
    <w:rsid w:val="02AC508C"/>
    <w:rsid w:val="02E242A2"/>
    <w:rsid w:val="030A4D65"/>
    <w:rsid w:val="0324584F"/>
    <w:rsid w:val="034C6A36"/>
    <w:rsid w:val="035021B2"/>
    <w:rsid w:val="036E069E"/>
    <w:rsid w:val="03C10800"/>
    <w:rsid w:val="03C96DCC"/>
    <w:rsid w:val="03E156EA"/>
    <w:rsid w:val="03FB5B2D"/>
    <w:rsid w:val="03FB71CD"/>
    <w:rsid w:val="040666CB"/>
    <w:rsid w:val="04082EC8"/>
    <w:rsid w:val="042C575E"/>
    <w:rsid w:val="043062B7"/>
    <w:rsid w:val="04382327"/>
    <w:rsid w:val="043F5557"/>
    <w:rsid w:val="04885B47"/>
    <w:rsid w:val="04A52387"/>
    <w:rsid w:val="04CD15E8"/>
    <w:rsid w:val="04CF4810"/>
    <w:rsid w:val="04EB08D2"/>
    <w:rsid w:val="04EC7DA2"/>
    <w:rsid w:val="0536325C"/>
    <w:rsid w:val="054C4655"/>
    <w:rsid w:val="0572490A"/>
    <w:rsid w:val="05783BE5"/>
    <w:rsid w:val="058253F2"/>
    <w:rsid w:val="05906C58"/>
    <w:rsid w:val="05D9116E"/>
    <w:rsid w:val="061F0438"/>
    <w:rsid w:val="063F4D83"/>
    <w:rsid w:val="06501BB5"/>
    <w:rsid w:val="067C3CB3"/>
    <w:rsid w:val="068C09EB"/>
    <w:rsid w:val="06975584"/>
    <w:rsid w:val="06A848F7"/>
    <w:rsid w:val="06D9502E"/>
    <w:rsid w:val="06EB4F76"/>
    <w:rsid w:val="06ED1728"/>
    <w:rsid w:val="06F569C1"/>
    <w:rsid w:val="06F76B9D"/>
    <w:rsid w:val="06F81D74"/>
    <w:rsid w:val="074267A8"/>
    <w:rsid w:val="074A7C93"/>
    <w:rsid w:val="07666E00"/>
    <w:rsid w:val="07972327"/>
    <w:rsid w:val="07A85930"/>
    <w:rsid w:val="07EE56D8"/>
    <w:rsid w:val="08397FAF"/>
    <w:rsid w:val="08554A0D"/>
    <w:rsid w:val="086D3DA1"/>
    <w:rsid w:val="08774BE1"/>
    <w:rsid w:val="088F5820"/>
    <w:rsid w:val="08932D8F"/>
    <w:rsid w:val="08E51768"/>
    <w:rsid w:val="08EC1249"/>
    <w:rsid w:val="08ED571D"/>
    <w:rsid w:val="0967298A"/>
    <w:rsid w:val="097F30A8"/>
    <w:rsid w:val="09A71C3D"/>
    <w:rsid w:val="09AF2C22"/>
    <w:rsid w:val="09B32D8C"/>
    <w:rsid w:val="09BD647E"/>
    <w:rsid w:val="09C043B8"/>
    <w:rsid w:val="09C37FE6"/>
    <w:rsid w:val="09F35B18"/>
    <w:rsid w:val="09F95A90"/>
    <w:rsid w:val="0A3B332D"/>
    <w:rsid w:val="0A5234C1"/>
    <w:rsid w:val="0A855747"/>
    <w:rsid w:val="0A8B5261"/>
    <w:rsid w:val="0A8E5075"/>
    <w:rsid w:val="0AA913FB"/>
    <w:rsid w:val="0AB930A2"/>
    <w:rsid w:val="0ADD0DF0"/>
    <w:rsid w:val="0AEB40E8"/>
    <w:rsid w:val="0B416906"/>
    <w:rsid w:val="0B494DBB"/>
    <w:rsid w:val="0B5D1C2A"/>
    <w:rsid w:val="0B5E66CB"/>
    <w:rsid w:val="0B7202E7"/>
    <w:rsid w:val="0BB837D0"/>
    <w:rsid w:val="0BCF2D52"/>
    <w:rsid w:val="0C110CA2"/>
    <w:rsid w:val="0C773477"/>
    <w:rsid w:val="0CAA6622"/>
    <w:rsid w:val="0CD71B17"/>
    <w:rsid w:val="0CE1084F"/>
    <w:rsid w:val="0D137A9C"/>
    <w:rsid w:val="0D1B15FF"/>
    <w:rsid w:val="0D2466BD"/>
    <w:rsid w:val="0D331D7B"/>
    <w:rsid w:val="0D37434E"/>
    <w:rsid w:val="0D4B73C6"/>
    <w:rsid w:val="0D744A9C"/>
    <w:rsid w:val="0D7F3B4D"/>
    <w:rsid w:val="0DA277FF"/>
    <w:rsid w:val="0DB8057F"/>
    <w:rsid w:val="0DDB677F"/>
    <w:rsid w:val="0E3867E0"/>
    <w:rsid w:val="0E3C08A3"/>
    <w:rsid w:val="0E472E61"/>
    <w:rsid w:val="0E626142"/>
    <w:rsid w:val="0E6D3EE4"/>
    <w:rsid w:val="0E8168AC"/>
    <w:rsid w:val="0E9601D9"/>
    <w:rsid w:val="0EDF4D5E"/>
    <w:rsid w:val="0EFB661E"/>
    <w:rsid w:val="0F024085"/>
    <w:rsid w:val="0F1438EF"/>
    <w:rsid w:val="0F221F24"/>
    <w:rsid w:val="0F4B0F6A"/>
    <w:rsid w:val="0F5F5CB1"/>
    <w:rsid w:val="0FA819A2"/>
    <w:rsid w:val="0FCA08C0"/>
    <w:rsid w:val="0FCA14B6"/>
    <w:rsid w:val="0FE42DE8"/>
    <w:rsid w:val="101038A7"/>
    <w:rsid w:val="101E2D38"/>
    <w:rsid w:val="1069417C"/>
    <w:rsid w:val="106C1E4B"/>
    <w:rsid w:val="10754912"/>
    <w:rsid w:val="11114551"/>
    <w:rsid w:val="11356135"/>
    <w:rsid w:val="11800917"/>
    <w:rsid w:val="118955AD"/>
    <w:rsid w:val="1197226B"/>
    <w:rsid w:val="11CD444A"/>
    <w:rsid w:val="11FC3F3B"/>
    <w:rsid w:val="123B6B10"/>
    <w:rsid w:val="125A52C4"/>
    <w:rsid w:val="12655D96"/>
    <w:rsid w:val="128E3C38"/>
    <w:rsid w:val="12BF2922"/>
    <w:rsid w:val="12C942C8"/>
    <w:rsid w:val="12DC5F5E"/>
    <w:rsid w:val="12DC7F8C"/>
    <w:rsid w:val="12E82A0B"/>
    <w:rsid w:val="13274F9C"/>
    <w:rsid w:val="132E6DC6"/>
    <w:rsid w:val="13417410"/>
    <w:rsid w:val="134A448A"/>
    <w:rsid w:val="134F7EA7"/>
    <w:rsid w:val="135107A8"/>
    <w:rsid w:val="136066CF"/>
    <w:rsid w:val="13657E31"/>
    <w:rsid w:val="137F3F6F"/>
    <w:rsid w:val="137F7BEC"/>
    <w:rsid w:val="138468CC"/>
    <w:rsid w:val="1387094F"/>
    <w:rsid w:val="13D35238"/>
    <w:rsid w:val="147E2423"/>
    <w:rsid w:val="1487273A"/>
    <w:rsid w:val="148B0444"/>
    <w:rsid w:val="14944440"/>
    <w:rsid w:val="14A059A0"/>
    <w:rsid w:val="14B97B05"/>
    <w:rsid w:val="14CD31B9"/>
    <w:rsid w:val="14E67563"/>
    <w:rsid w:val="14F41A7D"/>
    <w:rsid w:val="15021B62"/>
    <w:rsid w:val="150A21BA"/>
    <w:rsid w:val="1522437E"/>
    <w:rsid w:val="15283931"/>
    <w:rsid w:val="158374C1"/>
    <w:rsid w:val="15A62ECC"/>
    <w:rsid w:val="15C516BD"/>
    <w:rsid w:val="15F44127"/>
    <w:rsid w:val="166266B1"/>
    <w:rsid w:val="168D3C48"/>
    <w:rsid w:val="16D411E7"/>
    <w:rsid w:val="170756D4"/>
    <w:rsid w:val="170F4587"/>
    <w:rsid w:val="176115DC"/>
    <w:rsid w:val="17824660"/>
    <w:rsid w:val="178F2FF8"/>
    <w:rsid w:val="17C41ABF"/>
    <w:rsid w:val="18175D56"/>
    <w:rsid w:val="18276B10"/>
    <w:rsid w:val="189B5F22"/>
    <w:rsid w:val="18A70256"/>
    <w:rsid w:val="18B73074"/>
    <w:rsid w:val="18BF685C"/>
    <w:rsid w:val="18DA76F1"/>
    <w:rsid w:val="18EA5CD5"/>
    <w:rsid w:val="19034C2D"/>
    <w:rsid w:val="1916127C"/>
    <w:rsid w:val="193B5BAF"/>
    <w:rsid w:val="193D465D"/>
    <w:rsid w:val="195C4AAE"/>
    <w:rsid w:val="196C6238"/>
    <w:rsid w:val="197A5B1F"/>
    <w:rsid w:val="198A59D6"/>
    <w:rsid w:val="19A73D74"/>
    <w:rsid w:val="19AA5416"/>
    <w:rsid w:val="19B810F3"/>
    <w:rsid w:val="19D70C6D"/>
    <w:rsid w:val="19E2271F"/>
    <w:rsid w:val="1A075570"/>
    <w:rsid w:val="1A1C623A"/>
    <w:rsid w:val="1A1C768B"/>
    <w:rsid w:val="1A270D5F"/>
    <w:rsid w:val="1A2A56A5"/>
    <w:rsid w:val="1A2C27B8"/>
    <w:rsid w:val="1A4D4CED"/>
    <w:rsid w:val="1A797469"/>
    <w:rsid w:val="1AB466E5"/>
    <w:rsid w:val="1ADB0B95"/>
    <w:rsid w:val="1AF97748"/>
    <w:rsid w:val="1B262D26"/>
    <w:rsid w:val="1B2670F4"/>
    <w:rsid w:val="1B2D1E19"/>
    <w:rsid w:val="1B3A5220"/>
    <w:rsid w:val="1B3B258E"/>
    <w:rsid w:val="1B652C95"/>
    <w:rsid w:val="1B70155F"/>
    <w:rsid w:val="1B723039"/>
    <w:rsid w:val="1B7700FA"/>
    <w:rsid w:val="1B8C1172"/>
    <w:rsid w:val="1B910C38"/>
    <w:rsid w:val="1BB12BB2"/>
    <w:rsid w:val="1BD12722"/>
    <w:rsid w:val="1BFA70F2"/>
    <w:rsid w:val="1C100B6A"/>
    <w:rsid w:val="1C2B6CB4"/>
    <w:rsid w:val="1C5D5F8B"/>
    <w:rsid w:val="1C6E241C"/>
    <w:rsid w:val="1C88579D"/>
    <w:rsid w:val="1CB07DF9"/>
    <w:rsid w:val="1CB27F03"/>
    <w:rsid w:val="1CC3681B"/>
    <w:rsid w:val="1CF251D3"/>
    <w:rsid w:val="1CFC6686"/>
    <w:rsid w:val="1CFF3217"/>
    <w:rsid w:val="1D1D0D81"/>
    <w:rsid w:val="1D5835F0"/>
    <w:rsid w:val="1D75242A"/>
    <w:rsid w:val="1D8108D0"/>
    <w:rsid w:val="1D8C5045"/>
    <w:rsid w:val="1D931CEA"/>
    <w:rsid w:val="1DC177D9"/>
    <w:rsid w:val="1DE05881"/>
    <w:rsid w:val="1E195369"/>
    <w:rsid w:val="1E1A236E"/>
    <w:rsid w:val="1E225BB3"/>
    <w:rsid w:val="1E2A6113"/>
    <w:rsid w:val="1E2D212B"/>
    <w:rsid w:val="1E416163"/>
    <w:rsid w:val="1EA573D8"/>
    <w:rsid w:val="1EB0513B"/>
    <w:rsid w:val="1EB72F76"/>
    <w:rsid w:val="1EC83F50"/>
    <w:rsid w:val="1ED305B4"/>
    <w:rsid w:val="1EE36B2C"/>
    <w:rsid w:val="1F127B09"/>
    <w:rsid w:val="1F36160E"/>
    <w:rsid w:val="1F671677"/>
    <w:rsid w:val="1F722047"/>
    <w:rsid w:val="1F904945"/>
    <w:rsid w:val="1FAA43D1"/>
    <w:rsid w:val="1FAA6A2E"/>
    <w:rsid w:val="1FE570E2"/>
    <w:rsid w:val="1FE7673E"/>
    <w:rsid w:val="201E585F"/>
    <w:rsid w:val="20373DA2"/>
    <w:rsid w:val="2049266D"/>
    <w:rsid w:val="20534B67"/>
    <w:rsid w:val="20557DC5"/>
    <w:rsid w:val="207C33EE"/>
    <w:rsid w:val="209740BF"/>
    <w:rsid w:val="2099242E"/>
    <w:rsid w:val="20B0411F"/>
    <w:rsid w:val="20D658C9"/>
    <w:rsid w:val="20D95B5B"/>
    <w:rsid w:val="20DC2416"/>
    <w:rsid w:val="20DE40B6"/>
    <w:rsid w:val="20F22231"/>
    <w:rsid w:val="21015C26"/>
    <w:rsid w:val="21121083"/>
    <w:rsid w:val="211518DD"/>
    <w:rsid w:val="21222CFA"/>
    <w:rsid w:val="212B2F31"/>
    <w:rsid w:val="212F2875"/>
    <w:rsid w:val="21327DB2"/>
    <w:rsid w:val="213B367E"/>
    <w:rsid w:val="213D7BD8"/>
    <w:rsid w:val="214C4EC5"/>
    <w:rsid w:val="2153567F"/>
    <w:rsid w:val="217422B6"/>
    <w:rsid w:val="21A51802"/>
    <w:rsid w:val="21A61686"/>
    <w:rsid w:val="21C13A32"/>
    <w:rsid w:val="21D56393"/>
    <w:rsid w:val="22133103"/>
    <w:rsid w:val="224D73DD"/>
    <w:rsid w:val="22592601"/>
    <w:rsid w:val="22682273"/>
    <w:rsid w:val="22C8632C"/>
    <w:rsid w:val="231918CF"/>
    <w:rsid w:val="233F5F96"/>
    <w:rsid w:val="235F4D23"/>
    <w:rsid w:val="236D4028"/>
    <w:rsid w:val="23F34DAB"/>
    <w:rsid w:val="241A2F59"/>
    <w:rsid w:val="24226CC5"/>
    <w:rsid w:val="242F0269"/>
    <w:rsid w:val="24312A4A"/>
    <w:rsid w:val="244A5E9A"/>
    <w:rsid w:val="244C4BB8"/>
    <w:rsid w:val="24691193"/>
    <w:rsid w:val="246C3A46"/>
    <w:rsid w:val="251A7612"/>
    <w:rsid w:val="25237A22"/>
    <w:rsid w:val="254042BC"/>
    <w:rsid w:val="25471E6E"/>
    <w:rsid w:val="25481BCE"/>
    <w:rsid w:val="255B696D"/>
    <w:rsid w:val="25814DB7"/>
    <w:rsid w:val="25824959"/>
    <w:rsid w:val="25987A23"/>
    <w:rsid w:val="25C517A2"/>
    <w:rsid w:val="25F5789E"/>
    <w:rsid w:val="25FD6A72"/>
    <w:rsid w:val="2608561B"/>
    <w:rsid w:val="26261861"/>
    <w:rsid w:val="26382AAC"/>
    <w:rsid w:val="26506FAD"/>
    <w:rsid w:val="26656277"/>
    <w:rsid w:val="26663117"/>
    <w:rsid w:val="26807144"/>
    <w:rsid w:val="268A362E"/>
    <w:rsid w:val="269560EE"/>
    <w:rsid w:val="26D16018"/>
    <w:rsid w:val="26DB3228"/>
    <w:rsid w:val="26DF6074"/>
    <w:rsid w:val="26FE679C"/>
    <w:rsid w:val="27301EDB"/>
    <w:rsid w:val="276C029F"/>
    <w:rsid w:val="27982DD4"/>
    <w:rsid w:val="27AE74EC"/>
    <w:rsid w:val="27D32915"/>
    <w:rsid w:val="27DD09CE"/>
    <w:rsid w:val="27EC553C"/>
    <w:rsid w:val="2813394B"/>
    <w:rsid w:val="283610D5"/>
    <w:rsid w:val="285F5293"/>
    <w:rsid w:val="28622D71"/>
    <w:rsid w:val="28676D4A"/>
    <w:rsid w:val="286E69FD"/>
    <w:rsid w:val="28FA546B"/>
    <w:rsid w:val="28FE025E"/>
    <w:rsid w:val="29586D7A"/>
    <w:rsid w:val="296F309D"/>
    <w:rsid w:val="29772B51"/>
    <w:rsid w:val="2984235F"/>
    <w:rsid w:val="29967FD2"/>
    <w:rsid w:val="29C56C3A"/>
    <w:rsid w:val="29D872DD"/>
    <w:rsid w:val="29DC3955"/>
    <w:rsid w:val="29E1380C"/>
    <w:rsid w:val="29E85046"/>
    <w:rsid w:val="29F652CD"/>
    <w:rsid w:val="2A017BFD"/>
    <w:rsid w:val="2A443C9D"/>
    <w:rsid w:val="2A9154D8"/>
    <w:rsid w:val="2AA04C57"/>
    <w:rsid w:val="2AD750C3"/>
    <w:rsid w:val="2AE77D08"/>
    <w:rsid w:val="2B470CEC"/>
    <w:rsid w:val="2B652A8D"/>
    <w:rsid w:val="2BF4029C"/>
    <w:rsid w:val="2C270D43"/>
    <w:rsid w:val="2C6436A6"/>
    <w:rsid w:val="2C7A2A8F"/>
    <w:rsid w:val="2C7E2BF6"/>
    <w:rsid w:val="2C9023A5"/>
    <w:rsid w:val="2C937549"/>
    <w:rsid w:val="2C9D6A04"/>
    <w:rsid w:val="2CA5077A"/>
    <w:rsid w:val="2CB62598"/>
    <w:rsid w:val="2CB8266E"/>
    <w:rsid w:val="2CFE607B"/>
    <w:rsid w:val="2D095409"/>
    <w:rsid w:val="2D124FE3"/>
    <w:rsid w:val="2D39385A"/>
    <w:rsid w:val="2D3A3199"/>
    <w:rsid w:val="2D5470D9"/>
    <w:rsid w:val="2D772574"/>
    <w:rsid w:val="2DCC12FC"/>
    <w:rsid w:val="2E266A7B"/>
    <w:rsid w:val="2E652B8E"/>
    <w:rsid w:val="2E66167A"/>
    <w:rsid w:val="2E6C7EF1"/>
    <w:rsid w:val="2E6F6584"/>
    <w:rsid w:val="2E933BCE"/>
    <w:rsid w:val="2E9C6490"/>
    <w:rsid w:val="2EAA3B87"/>
    <w:rsid w:val="2EAB34EE"/>
    <w:rsid w:val="2EB66E96"/>
    <w:rsid w:val="2EBC23A0"/>
    <w:rsid w:val="2EFA0191"/>
    <w:rsid w:val="2F436846"/>
    <w:rsid w:val="2F4556CE"/>
    <w:rsid w:val="2F754A27"/>
    <w:rsid w:val="2FB16F5F"/>
    <w:rsid w:val="2FFE1C0F"/>
    <w:rsid w:val="305C41A9"/>
    <w:rsid w:val="30675E48"/>
    <w:rsid w:val="307E45C5"/>
    <w:rsid w:val="308E41B5"/>
    <w:rsid w:val="30952C59"/>
    <w:rsid w:val="30DE5EB2"/>
    <w:rsid w:val="30FF4D69"/>
    <w:rsid w:val="3113559B"/>
    <w:rsid w:val="311C6D1F"/>
    <w:rsid w:val="3127420C"/>
    <w:rsid w:val="315523B1"/>
    <w:rsid w:val="316E460D"/>
    <w:rsid w:val="31CD31BF"/>
    <w:rsid w:val="31E10F55"/>
    <w:rsid w:val="31F30B11"/>
    <w:rsid w:val="3219008D"/>
    <w:rsid w:val="32215B79"/>
    <w:rsid w:val="322241F2"/>
    <w:rsid w:val="322D5AFA"/>
    <w:rsid w:val="325B0F93"/>
    <w:rsid w:val="327756C1"/>
    <w:rsid w:val="32974C7A"/>
    <w:rsid w:val="32A0614B"/>
    <w:rsid w:val="32BB4ABE"/>
    <w:rsid w:val="32C8549C"/>
    <w:rsid w:val="32CA16D9"/>
    <w:rsid w:val="32E83928"/>
    <w:rsid w:val="33672310"/>
    <w:rsid w:val="338F53C2"/>
    <w:rsid w:val="33925662"/>
    <w:rsid w:val="339B7AA1"/>
    <w:rsid w:val="33B67B53"/>
    <w:rsid w:val="33B7637D"/>
    <w:rsid w:val="33D4661F"/>
    <w:rsid w:val="33F808BA"/>
    <w:rsid w:val="342A5DF5"/>
    <w:rsid w:val="344851FD"/>
    <w:rsid w:val="34AA020B"/>
    <w:rsid w:val="34BC17DA"/>
    <w:rsid w:val="34F85DA8"/>
    <w:rsid w:val="3509398E"/>
    <w:rsid w:val="3554479E"/>
    <w:rsid w:val="35685668"/>
    <w:rsid w:val="357F00D0"/>
    <w:rsid w:val="35894506"/>
    <w:rsid w:val="35B72988"/>
    <w:rsid w:val="360530D8"/>
    <w:rsid w:val="36162F1C"/>
    <w:rsid w:val="365227BF"/>
    <w:rsid w:val="365F3B92"/>
    <w:rsid w:val="366244D5"/>
    <w:rsid w:val="36A82C1D"/>
    <w:rsid w:val="36B27FC4"/>
    <w:rsid w:val="36C342D9"/>
    <w:rsid w:val="36CA5D7B"/>
    <w:rsid w:val="370F2E93"/>
    <w:rsid w:val="37297BF3"/>
    <w:rsid w:val="374E35E0"/>
    <w:rsid w:val="37560CC6"/>
    <w:rsid w:val="376C6FA1"/>
    <w:rsid w:val="378D0CEB"/>
    <w:rsid w:val="379A026D"/>
    <w:rsid w:val="37A208AC"/>
    <w:rsid w:val="37A2207E"/>
    <w:rsid w:val="37ED6D6E"/>
    <w:rsid w:val="3884063D"/>
    <w:rsid w:val="38AE496C"/>
    <w:rsid w:val="38B54D45"/>
    <w:rsid w:val="38D242CD"/>
    <w:rsid w:val="390213B8"/>
    <w:rsid w:val="3908561E"/>
    <w:rsid w:val="393E0C7A"/>
    <w:rsid w:val="39821F75"/>
    <w:rsid w:val="398C3DB7"/>
    <w:rsid w:val="39F227B1"/>
    <w:rsid w:val="3A292038"/>
    <w:rsid w:val="3A524E6B"/>
    <w:rsid w:val="3A5A7CCF"/>
    <w:rsid w:val="3A762A49"/>
    <w:rsid w:val="3A9D28F5"/>
    <w:rsid w:val="3ACD43C9"/>
    <w:rsid w:val="3B2F69DB"/>
    <w:rsid w:val="3B702135"/>
    <w:rsid w:val="3B71545F"/>
    <w:rsid w:val="3B932344"/>
    <w:rsid w:val="3B9479A7"/>
    <w:rsid w:val="3B9D20F5"/>
    <w:rsid w:val="3BB33F88"/>
    <w:rsid w:val="3BD93153"/>
    <w:rsid w:val="3BDA6996"/>
    <w:rsid w:val="3C0A3047"/>
    <w:rsid w:val="3C266642"/>
    <w:rsid w:val="3C2E50FB"/>
    <w:rsid w:val="3C37637A"/>
    <w:rsid w:val="3C4A12AD"/>
    <w:rsid w:val="3C5125FC"/>
    <w:rsid w:val="3C690ECB"/>
    <w:rsid w:val="3C960BC8"/>
    <w:rsid w:val="3CA509D1"/>
    <w:rsid w:val="3CD303A6"/>
    <w:rsid w:val="3CD93879"/>
    <w:rsid w:val="3CF24534"/>
    <w:rsid w:val="3D2571D3"/>
    <w:rsid w:val="3D7A2818"/>
    <w:rsid w:val="3D8106EA"/>
    <w:rsid w:val="3D834DF8"/>
    <w:rsid w:val="3D8F433C"/>
    <w:rsid w:val="3DA352B1"/>
    <w:rsid w:val="3DC60B7F"/>
    <w:rsid w:val="3DE97AD2"/>
    <w:rsid w:val="3DFF5461"/>
    <w:rsid w:val="3E100FFC"/>
    <w:rsid w:val="3E201534"/>
    <w:rsid w:val="3E595FC6"/>
    <w:rsid w:val="3E651EE9"/>
    <w:rsid w:val="3E946898"/>
    <w:rsid w:val="3E950079"/>
    <w:rsid w:val="3F3C595E"/>
    <w:rsid w:val="3F59346C"/>
    <w:rsid w:val="3F657308"/>
    <w:rsid w:val="3F7856B5"/>
    <w:rsid w:val="3F8003ED"/>
    <w:rsid w:val="3FB718D6"/>
    <w:rsid w:val="3FD0326B"/>
    <w:rsid w:val="3FD34D1A"/>
    <w:rsid w:val="3FFC4A81"/>
    <w:rsid w:val="40031733"/>
    <w:rsid w:val="40076D3D"/>
    <w:rsid w:val="401F65F0"/>
    <w:rsid w:val="404C2292"/>
    <w:rsid w:val="405D572D"/>
    <w:rsid w:val="40620F95"/>
    <w:rsid w:val="408D1EA0"/>
    <w:rsid w:val="409D2A1A"/>
    <w:rsid w:val="40B21FB5"/>
    <w:rsid w:val="40C17F9E"/>
    <w:rsid w:val="40C43B66"/>
    <w:rsid w:val="415978C8"/>
    <w:rsid w:val="415C1B4D"/>
    <w:rsid w:val="417843F2"/>
    <w:rsid w:val="418A1799"/>
    <w:rsid w:val="41A61C3F"/>
    <w:rsid w:val="41B17185"/>
    <w:rsid w:val="41EA256B"/>
    <w:rsid w:val="41ED76F2"/>
    <w:rsid w:val="41F05895"/>
    <w:rsid w:val="4226611D"/>
    <w:rsid w:val="4248208D"/>
    <w:rsid w:val="425402BB"/>
    <w:rsid w:val="42564ADA"/>
    <w:rsid w:val="428F4EFE"/>
    <w:rsid w:val="42AC2F79"/>
    <w:rsid w:val="42D55162"/>
    <w:rsid w:val="42FA6BD0"/>
    <w:rsid w:val="42FB4E01"/>
    <w:rsid w:val="4301585B"/>
    <w:rsid w:val="431B31A4"/>
    <w:rsid w:val="43412297"/>
    <w:rsid w:val="43413ED4"/>
    <w:rsid w:val="43594499"/>
    <w:rsid w:val="43636C3F"/>
    <w:rsid w:val="43701E7D"/>
    <w:rsid w:val="438073DF"/>
    <w:rsid w:val="439D6340"/>
    <w:rsid w:val="43A32EDA"/>
    <w:rsid w:val="43FD7280"/>
    <w:rsid w:val="440E6794"/>
    <w:rsid w:val="441C5686"/>
    <w:rsid w:val="442C59F4"/>
    <w:rsid w:val="44373E57"/>
    <w:rsid w:val="44477A7A"/>
    <w:rsid w:val="44AB34BD"/>
    <w:rsid w:val="44BE5958"/>
    <w:rsid w:val="44DC0CFE"/>
    <w:rsid w:val="44DC4FCA"/>
    <w:rsid w:val="454276A8"/>
    <w:rsid w:val="45465AD9"/>
    <w:rsid w:val="45855151"/>
    <w:rsid w:val="45A31600"/>
    <w:rsid w:val="45EF5694"/>
    <w:rsid w:val="45F32D75"/>
    <w:rsid w:val="45FE4441"/>
    <w:rsid w:val="463A1299"/>
    <w:rsid w:val="463A35BA"/>
    <w:rsid w:val="46440391"/>
    <w:rsid w:val="46A86AC5"/>
    <w:rsid w:val="46AF0ACC"/>
    <w:rsid w:val="46CD2EA3"/>
    <w:rsid w:val="471B210D"/>
    <w:rsid w:val="47330BB1"/>
    <w:rsid w:val="473D751C"/>
    <w:rsid w:val="474340E1"/>
    <w:rsid w:val="4754737E"/>
    <w:rsid w:val="476E5DEA"/>
    <w:rsid w:val="47824911"/>
    <w:rsid w:val="47914A33"/>
    <w:rsid w:val="479B0044"/>
    <w:rsid w:val="479C10BC"/>
    <w:rsid w:val="47A4380D"/>
    <w:rsid w:val="47A6297A"/>
    <w:rsid w:val="47B35BF8"/>
    <w:rsid w:val="47C041C7"/>
    <w:rsid w:val="47CD1E0C"/>
    <w:rsid w:val="48012A31"/>
    <w:rsid w:val="481D4366"/>
    <w:rsid w:val="48224F06"/>
    <w:rsid w:val="485803F1"/>
    <w:rsid w:val="486942C4"/>
    <w:rsid w:val="48944C88"/>
    <w:rsid w:val="48B05292"/>
    <w:rsid w:val="48B971DC"/>
    <w:rsid w:val="48F556EA"/>
    <w:rsid w:val="48FA0664"/>
    <w:rsid w:val="48FF442C"/>
    <w:rsid w:val="49276380"/>
    <w:rsid w:val="494B0B0D"/>
    <w:rsid w:val="495A425A"/>
    <w:rsid w:val="49820EB7"/>
    <w:rsid w:val="499416E9"/>
    <w:rsid w:val="499B7BE5"/>
    <w:rsid w:val="49A049F1"/>
    <w:rsid w:val="49A63EAD"/>
    <w:rsid w:val="49B707DC"/>
    <w:rsid w:val="49FD2EE4"/>
    <w:rsid w:val="4A0B4FDE"/>
    <w:rsid w:val="4A3174A8"/>
    <w:rsid w:val="4A497D35"/>
    <w:rsid w:val="4A8B39B4"/>
    <w:rsid w:val="4A8B4AB2"/>
    <w:rsid w:val="4AD9595B"/>
    <w:rsid w:val="4AE51859"/>
    <w:rsid w:val="4B311212"/>
    <w:rsid w:val="4B4213B4"/>
    <w:rsid w:val="4B43535A"/>
    <w:rsid w:val="4B625BF7"/>
    <w:rsid w:val="4BB54107"/>
    <w:rsid w:val="4BB67EEE"/>
    <w:rsid w:val="4BD53E7D"/>
    <w:rsid w:val="4BDC5109"/>
    <w:rsid w:val="4BE84FA7"/>
    <w:rsid w:val="4BF70C92"/>
    <w:rsid w:val="4BFD0513"/>
    <w:rsid w:val="4BFE3913"/>
    <w:rsid w:val="4C005E77"/>
    <w:rsid w:val="4C2B76C1"/>
    <w:rsid w:val="4C5429A3"/>
    <w:rsid w:val="4C645A11"/>
    <w:rsid w:val="4C87254B"/>
    <w:rsid w:val="4CC74C75"/>
    <w:rsid w:val="4D1C2C8C"/>
    <w:rsid w:val="4D1E77BE"/>
    <w:rsid w:val="4D245FC5"/>
    <w:rsid w:val="4D2B3B2C"/>
    <w:rsid w:val="4D706D60"/>
    <w:rsid w:val="4DA943B0"/>
    <w:rsid w:val="4DBB2356"/>
    <w:rsid w:val="4DD64458"/>
    <w:rsid w:val="4DE4706D"/>
    <w:rsid w:val="4DEE51C1"/>
    <w:rsid w:val="4E125AC9"/>
    <w:rsid w:val="4E135BFA"/>
    <w:rsid w:val="4E355E12"/>
    <w:rsid w:val="4E9B1112"/>
    <w:rsid w:val="4EA06365"/>
    <w:rsid w:val="4ED4046B"/>
    <w:rsid w:val="4EDF4B15"/>
    <w:rsid w:val="4EF43B16"/>
    <w:rsid w:val="4EF62C68"/>
    <w:rsid w:val="4F1C4A3F"/>
    <w:rsid w:val="4F3153D3"/>
    <w:rsid w:val="4F4E6AF9"/>
    <w:rsid w:val="4F5E4E8D"/>
    <w:rsid w:val="4F624F05"/>
    <w:rsid w:val="4F7C7C8F"/>
    <w:rsid w:val="4F804E7C"/>
    <w:rsid w:val="4F852019"/>
    <w:rsid w:val="4F944D8F"/>
    <w:rsid w:val="4FAF47A1"/>
    <w:rsid w:val="4FE75F86"/>
    <w:rsid w:val="4FED0FB9"/>
    <w:rsid w:val="502261F0"/>
    <w:rsid w:val="50802423"/>
    <w:rsid w:val="50A97681"/>
    <w:rsid w:val="50AE3B94"/>
    <w:rsid w:val="50E93575"/>
    <w:rsid w:val="50F04D4E"/>
    <w:rsid w:val="50F57385"/>
    <w:rsid w:val="50F6016F"/>
    <w:rsid w:val="51151213"/>
    <w:rsid w:val="513F5114"/>
    <w:rsid w:val="51416DA1"/>
    <w:rsid w:val="515E6A1B"/>
    <w:rsid w:val="516B705C"/>
    <w:rsid w:val="5177537A"/>
    <w:rsid w:val="51A1217B"/>
    <w:rsid w:val="51BC2004"/>
    <w:rsid w:val="51CB74F6"/>
    <w:rsid w:val="51D13948"/>
    <w:rsid w:val="51D17FFD"/>
    <w:rsid w:val="51EB5979"/>
    <w:rsid w:val="52086B8C"/>
    <w:rsid w:val="521A0101"/>
    <w:rsid w:val="522D1CB6"/>
    <w:rsid w:val="52660A26"/>
    <w:rsid w:val="52717995"/>
    <w:rsid w:val="52990759"/>
    <w:rsid w:val="52B87033"/>
    <w:rsid w:val="531B72EC"/>
    <w:rsid w:val="531E35FC"/>
    <w:rsid w:val="532C2C22"/>
    <w:rsid w:val="533E6E17"/>
    <w:rsid w:val="5343182D"/>
    <w:rsid w:val="536C4A63"/>
    <w:rsid w:val="53993406"/>
    <w:rsid w:val="53A201DA"/>
    <w:rsid w:val="53B22D34"/>
    <w:rsid w:val="53EF2FDD"/>
    <w:rsid w:val="540540F5"/>
    <w:rsid w:val="542913B3"/>
    <w:rsid w:val="543F18BA"/>
    <w:rsid w:val="54587C6A"/>
    <w:rsid w:val="54705A29"/>
    <w:rsid w:val="54883400"/>
    <w:rsid w:val="54DE5D86"/>
    <w:rsid w:val="550922BB"/>
    <w:rsid w:val="550E49C6"/>
    <w:rsid w:val="55A47D96"/>
    <w:rsid w:val="55DA287E"/>
    <w:rsid w:val="56073162"/>
    <w:rsid w:val="561A48C1"/>
    <w:rsid w:val="56325D9E"/>
    <w:rsid w:val="563D619D"/>
    <w:rsid w:val="56537C47"/>
    <w:rsid w:val="56721DD2"/>
    <w:rsid w:val="56A010C0"/>
    <w:rsid w:val="56D10359"/>
    <w:rsid w:val="56D42684"/>
    <w:rsid w:val="56DD2471"/>
    <w:rsid w:val="57210A6D"/>
    <w:rsid w:val="57543081"/>
    <w:rsid w:val="57B5303D"/>
    <w:rsid w:val="57B65A36"/>
    <w:rsid w:val="57C83C57"/>
    <w:rsid w:val="582028C2"/>
    <w:rsid w:val="582908A2"/>
    <w:rsid w:val="583D07DD"/>
    <w:rsid w:val="585F1862"/>
    <w:rsid w:val="58620D26"/>
    <w:rsid w:val="58706FB1"/>
    <w:rsid w:val="58783F85"/>
    <w:rsid w:val="587C5983"/>
    <w:rsid w:val="591C580B"/>
    <w:rsid w:val="5926497A"/>
    <w:rsid w:val="59A11353"/>
    <w:rsid w:val="59C73A62"/>
    <w:rsid w:val="5A0336C4"/>
    <w:rsid w:val="5A391B40"/>
    <w:rsid w:val="5A70211C"/>
    <w:rsid w:val="5AAB2A29"/>
    <w:rsid w:val="5AAC7307"/>
    <w:rsid w:val="5AAD44EE"/>
    <w:rsid w:val="5AD07CB2"/>
    <w:rsid w:val="5AEF1DC1"/>
    <w:rsid w:val="5B4B2EB1"/>
    <w:rsid w:val="5B570332"/>
    <w:rsid w:val="5B5F0395"/>
    <w:rsid w:val="5B6300A3"/>
    <w:rsid w:val="5B6C0ED6"/>
    <w:rsid w:val="5B750097"/>
    <w:rsid w:val="5B790B4E"/>
    <w:rsid w:val="5B7A2400"/>
    <w:rsid w:val="5BB71DB2"/>
    <w:rsid w:val="5BD32897"/>
    <w:rsid w:val="5C061F9E"/>
    <w:rsid w:val="5C295CCC"/>
    <w:rsid w:val="5C66538F"/>
    <w:rsid w:val="5C872DAA"/>
    <w:rsid w:val="5C974816"/>
    <w:rsid w:val="5CA97228"/>
    <w:rsid w:val="5CBA57BD"/>
    <w:rsid w:val="5CEE7B85"/>
    <w:rsid w:val="5CF73D69"/>
    <w:rsid w:val="5D4700C2"/>
    <w:rsid w:val="5D5A1D40"/>
    <w:rsid w:val="5D6C4615"/>
    <w:rsid w:val="5D7C5A81"/>
    <w:rsid w:val="5D8813BF"/>
    <w:rsid w:val="5DD31E8F"/>
    <w:rsid w:val="5DDF2196"/>
    <w:rsid w:val="5DFF05CD"/>
    <w:rsid w:val="5E1672C2"/>
    <w:rsid w:val="5E1B6033"/>
    <w:rsid w:val="5E2612F9"/>
    <w:rsid w:val="5E534129"/>
    <w:rsid w:val="5E6E3C24"/>
    <w:rsid w:val="5E7255BD"/>
    <w:rsid w:val="5EC14E33"/>
    <w:rsid w:val="5EF83794"/>
    <w:rsid w:val="5EFE216C"/>
    <w:rsid w:val="5F3E18BD"/>
    <w:rsid w:val="5F475677"/>
    <w:rsid w:val="5F567498"/>
    <w:rsid w:val="5F6C29EA"/>
    <w:rsid w:val="5F7B3AC3"/>
    <w:rsid w:val="5F812322"/>
    <w:rsid w:val="5F8420E2"/>
    <w:rsid w:val="5F887220"/>
    <w:rsid w:val="5FB81E56"/>
    <w:rsid w:val="5FD85FDC"/>
    <w:rsid w:val="5FEC00EE"/>
    <w:rsid w:val="5FF628E8"/>
    <w:rsid w:val="600951D4"/>
    <w:rsid w:val="601A25EF"/>
    <w:rsid w:val="60250EC1"/>
    <w:rsid w:val="603061FE"/>
    <w:rsid w:val="6044067F"/>
    <w:rsid w:val="60793AF7"/>
    <w:rsid w:val="6099592B"/>
    <w:rsid w:val="60A13AB9"/>
    <w:rsid w:val="60A7744C"/>
    <w:rsid w:val="60CF04AB"/>
    <w:rsid w:val="60DB5486"/>
    <w:rsid w:val="60E82C1A"/>
    <w:rsid w:val="60EC0541"/>
    <w:rsid w:val="60F113D8"/>
    <w:rsid w:val="60F622C4"/>
    <w:rsid w:val="60FD245E"/>
    <w:rsid w:val="61102584"/>
    <w:rsid w:val="61247250"/>
    <w:rsid w:val="61251167"/>
    <w:rsid w:val="61AF6C07"/>
    <w:rsid w:val="61C52DA5"/>
    <w:rsid w:val="61EA093B"/>
    <w:rsid w:val="61FB7AA5"/>
    <w:rsid w:val="62117D72"/>
    <w:rsid w:val="62210A89"/>
    <w:rsid w:val="62285DB7"/>
    <w:rsid w:val="625E00F8"/>
    <w:rsid w:val="62923991"/>
    <w:rsid w:val="62E90396"/>
    <w:rsid w:val="62F26EC0"/>
    <w:rsid w:val="632A3D0D"/>
    <w:rsid w:val="633443AB"/>
    <w:rsid w:val="63561245"/>
    <w:rsid w:val="638857E1"/>
    <w:rsid w:val="63C85688"/>
    <w:rsid w:val="63CD5666"/>
    <w:rsid w:val="63D01EF3"/>
    <w:rsid w:val="63D2038C"/>
    <w:rsid w:val="63F66CE6"/>
    <w:rsid w:val="640E7E19"/>
    <w:rsid w:val="647527CB"/>
    <w:rsid w:val="648A0F84"/>
    <w:rsid w:val="648E4974"/>
    <w:rsid w:val="649E65A7"/>
    <w:rsid w:val="64A45065"/>
    <w:rsid w:val="64B70C4D"/>
    <w:rsid w:val="64D14920"/>
    <w:rsid w:val="64EA382F"/>
    <w:rsid w:val="64ED3306"/>
    <w:rsid w:val="64FF3FF1"/>
    <w:rsid w:val="6511603A"/>
    <w:rsid w:val="65434194"/>
    <w:rsid w:val="654435A3"/>
    <w:rsid w:val="65477730"/>
    <w:rsid w:val="656A4332"/>
    <w:rsid w:val="65733372"/>
    <w:rsid w:val="657845AE"/>
    <w:rsid w:val="65991D3E"/>
    <w:rsid w:val="65B74A52"/>
    <w:rsid w:val="65BD55BD"/>
    <w:rsid w:val="65CA1D49"/>
    <w:rsid w:val="65F93F36"/>
    <w:rsid w:val="6602655A"/>
    <w:rsid w:val="66037BA1"/>
    <w:rsid w:val="660D45C7"/>
    <w:rsid w:val="66280ABB"/>
    <w:rsid w:val="6668032B"/>
    <w:rsid w:val="667C4290"/>
    <w:rsid w:val="66924AA7"/>
    <w:rsid w:val="66A613B8"/>
    <w:rsid w:val="66C95898"/>
    <w:rsid w:val="66F8201A"/>
    <w:rsid w:val="66FE1C5F"/>
    <w:rsid w:val="671C5A04"/>
    <w:rsid w:val="674B06E8"/>
    <w:rsid w:val="676777C3"/>
    <w:rsid w:val="677D4B8A"/>
    <w:rsid w:val="67802ACE"/>
    <w:rsid w:val="67804B33"/>
    <w:rsid w:val="67BC7C72"/>
    <w:rsid w:val="67C40A09"/>
    <w:rsid w:val="67D020A7"/>
    <w:rsid w:val="67E0560E"/>
    <w:rsid w:val="67EF59A2"/>
    <w:rsid w:val="685C5B46"/>
    <w:rsid w:val="688C0656"/>
    <w:rsid w:val="689A4B04"/>
    <w:rsid w:val="68A210BC"/>
    <w:rsid w:val="68AE1735"/>
    <w:rsid w:val="68D60630"/>
    <w:rsid w:val="697E7396"/>
    <w:rsid w:val="69A009FE"/>
    <w:rsid w:val="69A30E32"/>
    <w:rsid w:val="69F66247"/>
    <w:rsid w:val="69F86AAF"/>
    <w:rsid w:val="6A0C4BE7"/>
    <w:rsid w:val="6A1F6154"/>
    <w:rsid w:val="6A2746CC"/>
    <w:rsid w:val="6A5517EC"/>
    <w:rsid w:val="6A694BA1"/>
    <w:rsid w:val="6A7C79EE"/>
    <w:rsid w:val="6ABC3292"/>
    <w:rsid w:val="6AD34458"/>
    <w:rsid w:val="6ADF25FC"/>
    <w:rsid w:val="6B020CD0"/>
    <w:rsid w:val="6B1148AC"/>
    <w:rsid w:val="6B1C1758"/>
    <w:rsid w:val="6B1F6D6A"/>
    <w:rsid w:val="6B4A5562"/>
    <w:rsid w:val="6B565807"/>
    <w:rsid w:val="6B6358D9"/>
    <w:rsid w:val="6B7A369F"/>
    <w:rsid w:val="6BAC2823"/>
    <w:rsid w:val="6BBB0690"/>
    <w:rsid w:val="6BBD5024"/>
    <w:rsid w:val="6BF37DF1"/>
    <w:rsid w:val="6BF75233"/>
    <w:rsid w:val="6C233FFC"/>
    <w:rsid w:val="6C630CE9"/>
    <w:rsid w:val="6CE0793D"/>
    <w:rsid w:val="6CEB593E"/>
    <w:rsid w:val="6CEC0F34"/>
    <w:rsid w:val="6CF73CA4"/>
    <w:rsid w:val="6D005FF7"/>
    <w:rsid w:val="6D05105B"/>
    <w:rsid w:val="6D0D4EC9"/>
    <w:rsid w:val="6D207FCD"/>
    <w:rsid w:val="6D2B5B01"/>
    <w:rsid w:val="6D381497"/>
    <w:rsid w:val="6D6A2DB3"/>
    <w:rsid w:val="6D6A69AA"/>
    <w:rsid w:val="6D79127B"/>
    <w:rsid w:val="6E01482E"/>
    <w:rsid w:val="6E403BCF"/>
    <w:rsid w:val="6E424CF7"/>
    <w:rsid w:val="6E6F5D95"/>
    <w:rsid w:val="6E96703D"/>
    <w:rsid w:val="6E984122"/>
    <w:rsid w:val="6EC4761A"/>
    <w:rsid w:val="6ED26905"/>
    <w:rsid w:val="6EE20566"/>
    <w:rsid w:val="6EF513F6"/>
    <w:rsid w:val="6EF773A4"/>
    <w:rsid w:val="6EF8649B"/>
    <w:rsid w:val="6F1F0771"/>
    <w:rsid w:val="6F2A3731"/>
    <w:rsid w:val="6F3669E2"/>
    <w:rsid w:val="6F38730F"/>
    <w:rsid w:val="6F3A0437"/>
    <w:rsid w:val="6F452492"/>
    <w:rsid w:val="6F4E1ABB"/>
    <w:rsid w:val="6F65489B"/>
    <w:rsid w:val="6F9E4E98"/>
    <w:rsid w:val="6FA72F23"/>
    <w:rsid w:val="6FC169C6"/>
    <w:rsid w:val="700148B1"/>
    <w:rsid w:val="70262445"/>
    <w:rsid w:val="709304FC"/>
    <w:rsid w:val="70BA4068"/>
    <w:rsid w:val="70F36F46"/>
    <w:rsid w:val="710E0D1D"/>
    <w:rsid w:val="71231B23"/>
    <w:rsid w:val="714633CE"/>
    <w:rsid w:val="71655024"/>
    <w:rsid w:val="718621EE"/>
    <w:rsid w:val="71894FD2"/>
    <w:rsid w:val="71A3311F"/>
    <w:rsid w:val="71DA48AF"/>
    <w:rsid w:val="71F026ED"/>
    <w:rsid w:val="72005730"/>
    <w:rsid w:val="721B117A"/>
    <w:rsid w:val="72386C6E"/>
    <w:rsid w:val="723A3057"/>
    <w:rsid w:val="72400885"/>
    <w:rsid w:val="725273EA"/>
    <w:rsid w:val="725B1897"/>
    <w:rsid w:val="72603689"/>
    <w:rsid w:val="726C47BC"/>
    <w:rsid w:val="72CD2240"/>
    <w:rsid w:val="72EC4E12"/>
    <w:rsid w:val="733F7A24"/>
    <w:rsid w:val="735C44F0"/>
    <w:rsid w:val="736A01CD"/>
    <w:rsid w:val="73741988"/>
    <w:rsid w:val="73814929"/>
    <w:rsid w:val="7393399F"/>
    <w:rsid w:val="73984022"/>
    <w:rsid w:val="73D67D9C"/>
    <w:rsid w:val="73E2421D"/>
    <w:rsid w:val="74000D97"/>
    <w:rsid w:val="74017B4B"/>
    <w:rsid w:val="74150C9D"/>
    <w:rsid w:val="746A6AAD"/>
    <w:rsid w:val="747A4FBC"/>
    <w:rsid w:val="74D94903"/>
    <w:rsid w:val="74DC7834"/>
    <w:rsid w:val="74E271F1"/>
    <w:rsid w:val="75073F66"/>
    <w:rsid w:val="7551327B"/>
    <w:rsid w:val="755F782E"/>
    <w:rsid w:val="75A16A9F"/>
    <w:rsid w:val="75E27D49"/>
    <w:rsid w:val="75EB2346"/>
    <w:rsid w:val="761867BE"/>
    <w:rsid w:val="76365AD0"/>
    <w:rsid w:val="764350A1"/>
    <w:rsid w:val="76462BBA"/>
    <w:rsid w:val="765D57EA"/>
    <w:rsid w:val="7688585F"/>
    <w:rsid w:val="76F54CF0"/>
    <w:rsid w:val="76FD5906"/>
    <w:rsid w:val="770B684E"/>
    <w:rsid w:val="771702EE"/>
    <w:rsid w:val="77204CB1"/>
    <w:rsid w:val="77A14CDE"/>
    <w:rsid w:val="77AA2F7D"/>
    <w:rsid w:val="782B4A23"/>
    <w:rsid w:val="78302F8F"/>
    <w:rsid w:val="78510397"/>
    <w:rsid w:val="7874259E"/>
    <w:rsid w:val="78754CBA"/>
    <w:rsid w:val="78814E77"/>
    <w:rsid w:val="78CB3FEB"/>
    <w:rsid w:val="793B5CE2"/>
    <w:rsid w:val="797B3C8A"/>
    <w:rsid w:val="797F45FC"/>
    <w:rsid w:val="79DB75C0"/>
    <w:rsid w:val="79E37881"/>
    <w:rsid w:val="79EA2E0E"/>
    <w:rsid w:val="79ED08FA"/>
    <w:rsid w:val="7A067AFA"/>
    <w:rsid w:val="7A0C585A"/>
    <w:rsid w:val="7A2C7450"/>
    <w:rsid w:val="7A326B5A"/>
    <w:rsid w:val="7A616D0A"/>
    <w:rsid w:val="7A78495E"/>
    <w:rsid w:val="7A7F2C76"/>
    <w:rsid w:val="7A9C2983"/>
    <w:rsid w:val="7AAC462A"/>
    <w:rsid w:val="7AF1177B"/>
    <w:rsid w:val="7AF84FA0"/>
    <w:rsid w:val="7AF909C6"/>
    <w:rsid w:val="7B330A87"/>
    <w:rsid w:val="7B415613"/>
    <w:rsid w:val="7B6F1BD0"/>
    <w:rsid w:val="7B732126"/>
    <w:rsid w:val="7B755C15"/>
    <w:rsid w:val="7B8E1216"/>
    <w:rsid w:val="7B9A1345"/>
    <w:rsid w:val="7BB27AE4"/>
    <w:rsid w:val="7BCA6C86"/>
    <w:rsid w:val="7C044DA1"/>
    <w:rsid w:val="7CA33449"/>
    <w:rsid w:val="7D0A0BA4"/>
    <w:rsid w:val="7D2E15A4"/>
    <w:rsid w:val="7D4253C7"/>
    <w:rsid w:val="7D7B1069"/>
    <w:rsid w:val="7D8E577D"/>
    <w:rsid w:val="7D9A426A"/>
    <w:rsid w:val="7DCB52C5"/>
    <w:rsid w:val="7E0F4D36"/>
    <w:rsid w:val="7E2C100A"/>
    <w:rsid w:val="7E333E03"/>
    <w:rsid w:val="7E391FE6"/>
    <w:rsid w:val="7E450EC4"/>
    <w:rsid w:val="7E7F4C37"/>
    <w:rsid w:val="7E90531E"/>
    <w:rsid w:val="7E916762"/>
    <w:rsid w:val="7EA916FD"/>
    <w:rsid w:val="7EE53C64"/>
    <w:rsid w:val="7F541580"/>
    <w:rsid w:val="7F667225"/>
    <w:rsid w:val="7FAA1C29"/>
    <w:rsid w:val="7FAC4830"/>
    <w:rsid w:val="7FCC55AD"/>
    <w:rsid w:val="7FEC4B3F"/>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w:basedOn w:val="1"/>
    <w:qFormat/>
    <w:uiPriority w:val="0"/>
    <w:pPr>
      <w:spacing w:after="120"/>
    </w:pPr>
  </w:style>
  <w:style w:type="paragraph" w:styleId="7">
    <w:name w:val="Body Text Indent"/>
    <w:basedOn w:val="1"/>
    <w:qFormat/>
    <w:uiPriority w:val="0"/>
    <w:pPr>
      <w:spacing w:after="120"/>
      <w:ind w:left="420" w:leftChars="200"/>
    </w:p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semiHidden/>
    <w:qFormat/>
    <w:uiPriority w:val="0"/>
    <w:pPr>
      <w:spacing w:line="440" w:lineRule="exact"/>
      <w:jc w:val="center"/>
    </w:p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3">
    <w:name w:val="Body Text First Indent"/>
    <w:basedOn w:val="6"/>
    <w:qFormat/>
    <w:uiPriority w:val="0"/>
    <w:pPr>
      <w:ind w:firstLine="420" w:firstLineChars="1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page number"/>
    <w:basedOn w:val="16"/>
    <w:qFormat/>
    <w:uiPriority w:val="0"/>
  </w:style>
  <w:style w:type="paragraph" w:customStyle="1" w:styleId="1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9">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0">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1">
    <w:name w:val="列出段落1"/>
    <w:basedOn w:val="1"/>
    <w:qFormat/>
    <w:uiPriority w:val="34"/>
    <w:pPr>
      <w:ind w:firstLine="420" w:firstLineChars="200"/>
    </w:pPr>
  </w:style>
  <w:style w:type="character" w:customStyle="1" w:styleId="22">
    <w:name w:val="font11"/>
    <w:basedOn w:val="16"/>
    <w:qFormat/>
    <w:uiPriority w:val="0"/>
    <w:rPr>
      <w:rFonts w:ascii="Calibri" w:hAnsi="Calibri" w:cs="Calibri"/>
      <w:color w:val="000000"/>
      <w:sz w:val="21"/>
      <w:szCs w:val="21"/>
      <w:u w:val="none"/>
    </w:rPr>
  </w:style>
  <w:style w:type="character" w:customStyle="1" w:styleId="23">
    <w:name w:val="font21"/>
    <w:basedOn w:val="16"/>
    <w:qFormat/>
    <w:uiPriority w:val="0"/>
    <w:rPr>
      <w:rFonts w:hint="eastAsia" w:ascii="宋体" w:hAnsi="宋体" w:eastAsia="宋体" w:cs="宋体"/>
      <w:color w:val="000000"/>
      <w:sz w:val="21"/>
      <w:szCs w:val="21"/>
      <w:u w:val="none"/>
    </w:rPr>
  </w:style>
  <w:style w:type="character" w:customStyle="1" w:styleId="24">
    <w:name w:val="font01"/>
    <w:basedOn w:val="16"/>
    <w:qFormat/>
    <w:uiPriority w:val="0"/>
    <w:rPr>
      <w:rFonts w:ascii="Calibri" w:hAnsi="Calibri" w:cs="Calibri"/>
      <w:color w:val="000000"/>
      <w:sz w:val="21"/>
      <w:szCs w:val="21"/>
      <w:u w:val="none"/>
    </w:rPr>
  </w:style>
  <w:style w:type="character" w:customStyle="1" w:styleId="25">
    <w:name w:val="font31"/>
    <w:basedOn w:val="16"/>
    <w:qFormat/>
    <w:uiPriority w:val="0"/>
    <w:rPr>
      <w:rFonts w:hint="default" w:ascii="Calibri" w:hAnsi="Calibri" w:cs="Calibri"/>
      <w:color w:val="000000"/>
      <w:sz w:val="21"/>
      <w:szCs w:val="21"/>
      <w:u w:val="none"/>
    </w:rPr>
  </w:style>
  <w:style w:type="paragraph" w:customStyle="1" w:styleId="26">
    <w:name w:val="Default"/>
    <w:qFormat/>
    <w:uiPriority w:val="0"/>
    <w:pPr>
      <w:widowControl w:val="0"/>
      <w:autoSpaceDE w:val="0"/>
      <w:autoSpaceDN w:val="0"/>
      <w:adjustRightInd w:val="0"/>
    </w:pPr>
    <w:rPr>
      <w:rFonts w:ascii="黑体" w:hAnsi="Times New Roman" w:eastAsia="黑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2096</Words>
  <Characters>11952</Characters>
  <Lines>99</Lines>
  <Paragraphs>28</Paragraphs>
  <TotalTime>83</TotalTime>
  <ScaleCrop>false</ScaleCrop>
  <LinksUpToDate>false</LinksUpToDate>
  <CharactersWithSpaces>14020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才凤英</cp:lastModifiedBy>
  <cp:lastPrinted>2020-06-28T02:35:00Z</cp:lastPrinted>
  <dcterms:modified xsi:type="dcterms:W3CDTF">2020-07-17T09:45:34Z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