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highlight w:val="none"/>
        </w:rPr>
      </w:pPr>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亳州港多式联运物流园项目总体规划和控制性详细规划</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招</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r>
        <w:rPr>
          <w:rFonts w:ascii="Times New Roman" w:hAnsi="Times New Roman" w:eastAsia="楷体" w:cs="Times New Roman"/>
          <w:kern w:val="0"/>
          <w:sz w:val="28"/>
          <w:szCs w:val="28"/>
          <w:highlight w:val="none"/>
        </w:rPr>
        <w:t>项目编号：BZJK-20</w:t>
      </w:r>
      <w:r>
        <w:rPr>
          <w:rFonts w:hint="eastAsia" w:ascii="Times New Roman" w:hAnsi="Times New Roman" w:eastAsia="楷体" w:cs="Times New Roman"/>
          <w:kern w:val="0"/>
          <w:sz w:val="28"/>
          <w:szCs w:val="28"/>
          <w:highlight w:val="none"/>
        </w:rPr>
        <w:t>20-014</w:t>
      </w:r>
      <w:r>
        <w:rPr>
          <w:rFonts w:ascii="Times New Roman" w:hAnsi="Times New Roman" w:eastAsia="楷体" w:cs="Times New Roman"/>
          <w:kern w:val="0"/>
          <w:sz w:val="28"/>
          <w:szCs w:val="28"/>
          <w:highlight w:val="none"/>
        </w:rPr>
        <w:t>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t>招标单位：</w:t>
      </w:r>
      <w:r>
        <w:rPr>
          <w:rFonts w:hint="eastAsia" w:ascii="Times New Roman" w:hAnsi="Times New Roman" w:eastAsia="楷体" w:cs="Times New Roman"/>
          <w:kern w:val="0"/>
          <w:sz w:val="32"/>
          <w:szCs w:val="32"/>
          <w:highlight w:val="none"/>
        </w:rPr>
        <w:t>亳州交通投资控股集团有限公司</w:t>
      </w:r>
    </w:p>
    <w:p>
      <w:pPr>
        <w:wordWrap w:val="0"/>
        <w:ind w:left="1260" w:leftChars="6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t>编制日期：二〇</w:t>
      </w:r>
      <w:r>
        <w:rPr>
          <w:rFonts w:hint="eastAsia" w:ascii="Times New Roman" w:hAnsi="Times New Roman" w:eastAsia="楷体" w:cs="Times New Roman"/>
          <w:kern w:val="0"/>
          <w:sz w:val="32"/>
          <w:szCs w:val="32"/>
          <w:highlight w:val="none"/>
        </w:rPr>
        <w:t>二〇年</w:t>
      </w:r>
      <w:r>
        <w:rPr>
          <w:rFonts w:hint="eastAsia" w:ascii="Times New Roman" w:hAnsi="Times New Roman" w:eastAsia="楷体" w:cs="Times New Roman"/>
          <w:kern w:val="0"/>
          <w:sz w:val="32"/>
          <w:szCs w:val="32"/>
          <w:highlight w:val="none"/>
          <w:lang w:eastAsia="zh-CN"/>
        </w:rPr>
        <w:t>六</w:t>
      </w:r>
      <w:r>
        <w:rPr>
          <w:rFonts w:hint="eastAsia" w:ascii="Times New Roman" w:hAnsi="Times New Roman" w:eastAsia="楷体" w:cs="Times New Roman"/>
          <w:kern w:val="0"/>
          <w:sz w:val="32"/>
          <w:szCs w:val="32"/>
          <w:highlight w:val="none"/>
        </w:rPr>
        <w:t>月</w:t>
      </w:r>
    </w:p>
    <w:p>
      <w:pPr>
        <w:wordWrap w:val="0"/>
        <w:ind w:firstLine="1280" w:firstLineChars="4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第一章 招标公告.......................................................................1</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第二章 投标人须知...................................................................</w:t>
      </w:r>
      <w:r>
        <w:rPr>
          <w:rFonts w:hint="eastAsia" w:ascii="Times New Roman" w:hAnsi="Times New Roman" w:eastAsia="黑体" w:cs="Times New Roman"/>
          <w:kern w:val="0"/>
          <w:sz w:val="32"/>
          <w:szCs w:val="32"/>
          <w:highlight w:val="none"/>
        </w:rPr>
        <w:t>4</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第三章 评标办法................................................................</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..10</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第四章 合同条款及格式......................................</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17</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 xml:space="preserve">第五章 </w:t>
      </w:r>
      <w:r>
        <w:rPr>
          <w:rFonts w:hint="eastAsia" w:ascii="Times New Roman" w:hAnsi="Times New Roman" w:eastAsia="黑体" w:cs="Times New Roman"/>
          <w:kern w:val="0"/>
          <w:sz w:val="32"/>
          <w:szCs w:val="32"/>
          <w:highlight w:val="none"/>
        </w:rPr>
        <w:t>发包人要求</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18</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 xml:space="preserve">第六章 </w:t>
      </w:r>
      <w:r>
        <w:rPr>
          <w:rFonts w:hint="eastAsia" w:ascii="Times New Roman" w:hAnsi="Times New Roman" w:eastAsia="黑体" w:cs="Times New Roman"/>
          <w:kern w:val="0"/>
          <w:sz w:val="32"/>
          <w:szCs w:val="32"/>
          <w:highlight w:val="none"/>
        </w:rPr>
        <w:t>投标文件格式</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19</w:t>
      </w:r>
    </w:p>
    <w:p>
      <w:pPr>
        <w:wordWrap w:val="0"/>
        <w:rPr>
          <w:rFonts w:ascii="Times New Roman" w:hAnsi="Times New Roman" w:eastAsia="黑体" w:cs="Times New Roman"/>
          <w:kern w:val="0"/>
          <w:sz w:val="32"/>
          <w:szCs w:val="32"/>
          <w:highlight w:val="none"/>
        </w:rPr>
      </w:pPr>
    </w:p>
    <w:p>
      <w:pPr>
        <w:wordWrap w:val="0"/>
        <w:spacing w:line="400" w:lineRule="exact"/>
        <w:jc w:val="center"/>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520" w:lineRule="exact"/>
        <w:ind w:firstLine="1280" w:firstLineChars="400"/>
        <w:jc w:val="left"/>
        <w:rPr>
          <w:rFonts w:ascii="Times New Roman" w:hAnsi="Times New Roman" w:eastAsia="仿宋_GB2312" w:cs="Times New Roman"/>
          <w:kern w:val="0"/>
          <w:sz w:val="32"/>
          <w:szCs w:val="32"/>
          <w:highlight w:val="none"/>
        </w:rPr>
      </w:pPr>
    </w:p>
    <w:p>
      <w:pPr>
        <w:wordWrap w:val="0"/>
        <w:spacing w:line="520" w:lineRule="exact"/>
        <w:jc w:val="center"/>
        <w:rPr>
          <w:rFonts w:ascii="Times New Roman" w:hAnsi="Times New Roman" w:eastAsia="仿宋_GB2312" w:cs="Times New Roman"/>
          <w:kern w:val="0"/>
          <w:sz w:val="32"/>
          <w:szCs w:val="32"/>
          <w:highlight w:val="none"/>
        </w:rPr>
        <w:sectPr>
          <w:footerReference r:id="rId3" w:type="default"/>
          <w:pgSz w:w="11906" w:h="16838"/>
          <w:pgMar w:top="1440" w:right="1800" w:bottom="1440" w:left="1800" w:header="851" w:footer="992" w:gutter="0"/>
          <w:pgNumType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第一章 招标公告</w:t>
      </w:r>
    </w:p>
    <w:p>
      <w:pPr>
        <w:wordWrap w:val="0"/>
        <w:spacing w:line="480" w:lineRule="exact"/>
        <w:ind w:firstLine="560" w:firstLineChars="200"/>
        <w:rPr>
          <w:rFonts w:ascii="Times New Roman" w:hAnsi="Times New Roman" w:eastAsia="仿宋_GB2312" w:cs="Times New Roman"/>
          <w:sz w:val="28"/>
          <w:szCs w:val="28"/>
          <w:highlight w:val="none"/>
        </w:rPr>
      </w:pPr>
    </w:p>
    <w:p>
      <w:pPr>
        <w:wordWrap w:val="0"/>
        <w:spacing w:line="460" w:lineRule="exact"/>
        <w:jc w:val="center"/>
        <w:rPr>
          <w:rFonts w:ascii="黑体" w:hAnsi="黑体" w:eastAsia="黑体" w:cs="黑体"/>
          <w:sz w:val="28"/>
          <w:szCs w:val="28"/>
          <w:highlight w:val="none"/>
        </w:rPr>
      </w:pPr>
      <w:r>
        <w:rPr>
          <w:rFonts w:hint="eastAsia" w:ascii="Times New Roman" w:hAnsi="Times New Roman" w:eastAsia="黑体" w:cs="Times New Roman"/>
          <w:sz w:val="28"/>
          <w:szCs w:val="28"/>
          <w:highlight w:val="none"/>
          <w:lang w:eastAsia="zh-CN"/>
        </w:rPr>
        <w:t>亳州港多式联运物流园项目总体规划和控制性详细规划</w:t>
      </w:r>
      <w:r>
        <w:rPr>
          <w:rFonts w:ascii="Times New Roman" w:hAnsi="Times New Roman" w:eastAsia="黑体" w:cs="Times New Roman"/>
          <w:sz w:val="28"/>
          <w:szCs w:val="28"/>
          <w:highlight w:val="none"/>
        </w:rPr>
        <w:t>招标公告</w:t>
      </w:r>
    </w:p>
    <w:p>
      <w:pPr>
        <w:wordWrap w:val="0"/>
        <w:spacing w:line="460" w:lineRule="exact"/>
        <w:ind w:firstLine="560" w:firstLineChars="200"/>
        <w:rPr>
          <w:rFonts w:ascii="Times New Roman" w:hAnsi="Times New Roman" w:eastAsia="仿宋_GB2312" w:cs="Times New Roman"/>
          <w:sz w:val="28"/>
          <w:szCs w:val="28"/>
          <w:highlight w:val="none"/>
        </w:rPr>
      </w:pPr>
      <w:bookmarkStart w:id="0" w:name="_Toc247085680"/>
      <w:bookmarkStart w:id="1" w:name="_Toc246996909"/>
      <w:bookmarkStart w:id="2" w:name="_Toc179632536"/>
      <w:bookmarkStart w:id="3" w:name="_Toc152045519"/>
      <w:bookmarkStart w:id="4" w:name="_Toc246996166"/>
      <w:bookmarkStart w:id="5" w:name="_Toc144974487"/>
      <w:bookmarkStart w:id="6" w:name="_Toc152042295"/>
      <w:bookmarkStart w:id="7" w:name="_Toc296602410"/>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黑体" w:hAnsi="黑体" w:eastAsia="黑体" w:cs="黑体"/>
          <w:sz w:val="28"/>
          <w:szCs w:val="28"/>
          <w:highlight w:val="none"/>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highlight w:val="none"/>
        </w:rPr>
        <w:tab/>
      </w:r>
    </w:p>
    <w:p>
      <w:pPr>
        <w:wordWrap w:val="0"/>
        <w:spacing w:line="480" w:lineRule="exact"/>
        <w:ind w:firstLine="560" w:firstLineChars="200"/>
        <w:rPr>
          <w:rFonts w:ascii="Times New Roman" w:hAnsi="Times New Roman" w:eastAsia="仿宋_GB2312" w:cs="Times New Roman"/>
          <w:sz w:val="28"/>
          <w:szCs w:val="28"/>
          <w:highlight w:val="none"/>
        </w:rPr>
      </w:pPr>
      <w:bookmarkStart w:id="8" w:name="_Toc152045520"/>
      <w:bookmarkStart w:id="9" w:name="_Toc179632537"/>
      <w:bookmarkStart w:id="10" w:name="_Toc296602411"/>
      <w:bookmarkStart w:id="11" w:name="_Toc247085681"/>
      <w:bookmarkStart w:id="12" w:name="_Toc246996910"/>
      <w:bookmarkStart w:id="13" w:name="_Toc152042296"/>
      <w:bookmarkStart w:id="14" w:name="_Toc144974488"/>
      <w:bookmarkStart w:id="15" w:name="_Toc246996167"/>
      <w:r>
        <w:rPr>
          <w:rFonts w:hint="eastAsia"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lang w:eastAsia="zh-CN"/>
        </w:rPr>
        <w:t>亳州港多式联运物流园项目总体规划和控制性详细规划</w:t>
      </w:r>
      <w:r>
        <w:rPr>
          <w:rFonts w:hint="eastAsia" w:ascii="Times New Roman" w:hAnsi="Times New Roman" w:eastAsia="仿宋_GB2312" w:cs="Times New Roman"/>
          <w:sz w:val="28"/>
          <w:szCs w:val="28"/>
          <w:highlight w:val="none"/>
        </w:rPr>
        <w:t>，项目编号为</w:t>
      </w:r>
      <w:r>
        <w:rPr>
          <w:rFonts w:hint="eastAsia" w:ascii="Times New Roman" w:hAnsi="Times New Roman" w:eastAsia="仿宋_GB2312" w:cs="Times New Roman"/>
          <w:sz w:val="28"/>
          <w:szCs w:val="28"/>
          <w:highlight w:val="none"/>
          <w:u w:val="single"/>
        </w:rPr>
        <w:t>BZJK-2020-014号</w:t>
      </w:r>
      <w:r>
        <w:rPr>
          <w:rFonts w:hint="eastAsia"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亳州交通投资控股集团有限公司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企业自筹</w:t>
      </w:r>
      <w:r>
        <w:rPr>
          <w:rFonts w:hint="eastAsia" w:ascii="Times New Roman" w:hAnsi="Times New Roman" w:eastAsia="仿宋_GB2312" w:cs="Times New Roman"/>
          <w:sz w:val="28"/>
          <w:szCs w:val="28"/>
          <w:highlight w:val="none"/>
        </w:rPr>
        <w:t>。项目已具备招标条件，现对该项目进行</w:t>
      </w:r>
      <w:r>
        <w:rPr>
          <w:rFonts w:hint="eastAsia" w:ascii="Times New Roman" w:hAnsi="Times New Roman" w:eastAsia="仿宋_GB2312" w:cs="Times New Roman"/>
          <w:sz w:val="28"/>
          <w:szCs w:val="28"/>
          <w:highlight w:val="none"/>
          <w:u w:val="single"/>
        </w:rPr>
        <w:t>自主公开招标</w:t>
      </w:r>
      <w:r>
        <w:rPr>
          <w:rFonts w:hint="eastAsia" w:ascii="Times New Roman" w:hAnsi="Times New Roman" w:eastAsia="仿宋_GB2312" w:cs="Times New Roman"/>
          <w:sz w:val="28"/>
          <w:szCs w:val="28"/>
          <w:highlight w:val="none"/>
        </w:rPr>
        <w:t>。</w:t>
      </w:r>
    </w:p>
    <w:p>
      <w:pPr>
        <w:wordWrap w:val="0"/>
        <w:spacing w:line="480" w:lineRule="exact"/>
        <w:ind w:firstLine="560" w:firstLineChars="200"/>
        <w:rPr>
          <w:rFonts w:ascii="黑体" w:hAnsi="黑体" w:eastAsia="黑体" w:cs="黑体"/>
          <w:sz w:val="28"/>
          <w:szCs w:val="28"/>
          <w:highlight w:val="none"/>
        </w:rPr>
      </w:pPr>
      <w:r>
        <w:rPr>
          <w:rFonts w:ascii="黑体" w:hAnsi="黑体" w:eastAsia="黑体" w:cs="黑体"/>
          <w:sz w:val="28"/>
          <w:szCs w:val="28"/>
          <w:highlight w:val="none"/>
        </w:rPr>
        <w:t>二、项目概况与招标范围</w:t>
      </w:r>
      <w:bookmarkEnd w:id="8"/>
      <w:bookmarkEnd w:id="9"/>
      <w:bookmarkEnd w:id="10"/>
      <w:bookmarkEnd w:id="11"/>
      <w:bookmarkEnd w:id="12"/>
      <w:bookmarkEnd w:id="13"/>
      <w:bookmarkEnd w:id="14"/>
      <w:bookmarkEnd w:id="15"/>
    </w:p>
    <w:p>
      <w:pPr>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（一）项目概况：</w:t>
      </w:r>
      <w:r>
        <w:rPr>
          <w:rFonts w:hint="eastAsia" w:ascii="Times New Roman" w:hAnsi="Times New Roman" w:eastAsia="仿宋_GB2312" w:cs="Times New Roman"/>
          <w:sz w:val="28"/>
          <w:szCs w:val="28"/>
          <w:highlight w:val="none"/>
          <w:lang w:eastAsia="zh-CN"/>
        </w:rPr>
        <w:t>亳州港多式联运物流园</w:t>
      </w:r>
      <w:r>
        <w:rPr>
          <w:rFonts w:hint="eastAsia" w:ascii="Times New Roman" w:hAnsi="Times New Roman" w:eastAsia="仿宋_GB2312" w:cs="Times New Roman"/>
          <w:sz w:val="28"/>
          <w:szCs w:val="28"/>
          <w:highlight w:val="none"/>
        </w:rPr>
        <w:t>拟建于亳州市谯城区大寺镇，以亳州港为依托，紧邻亳州市高新技术产业开发区，拟建设用地面积约2000亩。本项目属于亳州市战略项目，为招标人抢抓“一带一路”建设，加快产业转型升级的重要举措，对亳州本地乃至皖北地区经济发展有着深远影响。项目规划应结合区域经济、社会发展的新形势和要求，围绕打造物流全产业链体系，对标国际先进，结合本地实际，重点对多式联运快速转运、国际国内物流集聚、商贸流通加工产业配套等提出系统解决方案，以高站位勾勒出本项目发展的总体蓝图。</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（二）招标范围：本项目总体规划、控制性详细规划、场地勘察、功能区规划等。具体要求详见第五章发包人要求。</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（三）质量标准：符合国家、地方及行业现行法规、规范合格标准，满足招标人及政府主管部门的有关要求，总体须达到控制性详细规划的深度，通过政府有关部门审批批复。</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（四）服务期限：自合同签订之日起90日历天内提交初步成果文件，经招标人</w:t>
      </w:r>
      <w:r>
        <w:rPr>
          <w:rFonts w:hint="eastAsia" w:ascii="Times New Roman" w:hAnsi="Times New Roman" w:eastAsia="仿宋_GB2312" w:cs="Times New Roman"/>
          <w:sz w:val="28"/>
          <w:szCs w:val="28"/>
          <w:highlight w:val="none"/>
          <w:lang w:eastAsia="zh-CN"/>
        </w:rPr>
        <w:t>初步</w:t>
      </w:r>
      <w:r>
        <w:rPr>
          <w:rFonts w:hint="eastAsia" w:ascii="Times New Roman" w:hAnsi="Times New Roman" w:eastAsia="仿宋_GB2312" w:cs="Times New Roman"/>
          <w:sz w:val="28"/>
          <w:szCs w:val="28"/>
          <w:highlight w:val="none"/>
        </w:rPr>
        <w:t>审核后20日历天内修改完善</w:t>
      </w:r>
      <w:r>
        <w:rPr>
          <w:rFonts w:hint="eastAsia" w:ascii="Times New Roman" w:hAnsi="Times New Roman" w:eastAsia="仿宋_GB2312" w:cs="Times New Roman"/>
          <w:sz w:val="28"/>
          <w:szCs w:val="28"/>
          <w:highlight w:val="none"/>
          <w:lang w:eastAsia="zh-CN"/>
        </w:rPr>
        <w:t>并出具正式成果文件</w:t>
      </w:r>
      <w:r>
        <w:rPr>
          <w:rFonts w:hint="eastAsia" w:ascii="Times New Roman" w:hAnsi="Times New Roman" w:eastAsia="仿宋_GB2312" w:cs="Times New Roman"/>
          <w:sz w:val="28"/>
          <w:szCs w:val="28"/>
          <w:highlight w:val="none"/>
        </w:rPr>
        <w:t>。</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（五）最高投标限价</w:t>
      </w:r>
      <w:r>
        <w:rPr>
          <w:rFonts w:hint="eastAsia" w:ascii="Times New Roman" w:hAnsi="Times New Roman" w:eastAsia="仿宋_GB2312" w:cs="Times New Roman"/>
          <w:sz w:val="28"/>
          <w:szCs w:val="28"/>
          <w:highlight w:val="none"/>
          <w:lang w:eastAsia="zh-CN"/>
        </w:rPr>
        <w:t>（含税）</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b/>
          <w:bCs/>
          <w:sz w:val="28"/>
          <w:szCs w:val="28"/>
          <w:highlight w:val="none"/>
        </w:rPr>
        <w:t>人民币（大写）捌拾万元整，（小写）800000元</w:t>
      </w:r>
      <w:r>
        <w:rPr>
          <w:rFonts w:hint="eastAsia" w:ascii="Times New Roman" w:hAnsi="Times New Roman" w:eastAsia="仿宋_GB2312" w:cs="Times New Roman"/>
          <w:sz w:val="28"/>
          <w:szCs w:val="28"/>
          <w:highlight w:val="none"/>
        </w:rPr>
        <w:t>。投标人按固定总价报价，投标报价超出限价的按无效投标处理；投标报价应包括为完成各阶段工作内容以及后期服务所需的全部费用及税费，其他未尽事宜应统一考虑在报价内。</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三、投标人资格要求</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（一）</w:t>
      </w:r>
      <w:r>
        <w:rPr>
          <w:rFonts w:hint="eastAsia" w:ascii="Times New Roman" w:hAnsi="Times New Roman" w:eastAsia="仿宋_GB2312" w:cs="Times New Roman"/>
          <w:sz w:val="28"/>
          <w:szCs w:val="28"/>
          <w:highlight w:val="none"/>
        </w:rPr>
        <w:t>本次招标要求投标人须具有中华人民共和国住房和城乡建设部颁发的工程设计综合资质甲级或水运行业甲级资质证书，并在人员组成方面具有相应的规划编制能力；</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（二）投标人拟派项目负责人须具有中级及以上工程师技术职称，并担任过港口或港口物流园总体规划（或控制性详细规划，含修编、修订、调整）编制工作的负责人；</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（三）投标人提供2015年1月1日至今企业类似项目业绩至少1个，企业类似项目业绩是指港口或港口物流园总体规划（或控制性详细规划，含修编、修订、调整）编制业绩，业绩以合同签订时间为准</w:t>
      </w:r>
      <w:r>
        <w:rPr>
          <w:rFonts w:hint="eastAsia" w:ascii="Times New Roman" w:hAnsi="Times New Roman" w:eastAsia="仿宋_GB2312" w:cs="Times New Roman"/>
          <w:sz w:val="28"/>
          <w:szCs w:val="28"/>
          <w:highlight w:val="none"/>
          <w:lang w:eastAsia="zh-CN"/>
        </w:rPr>
        <w:t>，加盖投标人公章放入投标文件中</w:t>
      </w:r>
      <w:r>
        <w:rPr>
          <w:rFonts w:hint="eastAsia" w:ascii="Times New Roman" w:hAnsi="Times New Roman" w:eastAsia="仿宋_GB2312" w:cs="Times New Roman"/>
          <w:sz w:val="28"/>
          <w:szCs w:val="28"/>
          <w:highlight w:val="none"/>
        </w:rPr>
        <w:t>；</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（四）本次招标</w:t>
      </w:r>
      <w:r>
        <w:rPr>
          <w:rFonts w:hint="eastAsia" w:ascii="Times New Roman" w:hAnsi="Times New Roman" w:eastAsia="仿宋_GB2312" w:cs="Times New Roman"/>
          <w:sz w:val="28"/>
          <w:szCs w:val="28"/>
          <w:highlight w:val="none"/>
          <w:u w:val="single"/>
        </w:rPr>
        <w:t>不接受</w:t>
      </w:r>
      <w:r>
        <w:rPr>
          <w:rFonts w:hint="eastAsia" w:ascii="Times New Roman" w:hAnsi="Times New Roman" w:eastAsia="仿宋_GB2312" w:cs="Times New Roman"/>
          <w:sz w:val="28"/>
          <w:szCs w:val="28"/>
          <w:highlight w:val="none"/>
        </w:rPr>
        <w:t>联合体投标。</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五</w:t>
      </w:r>
      <w:r>
        <w:rPr>
          <w:rFonts w:hint="eastAsia" w:ascii="Times New Roman" w:hAnsi="Times New Roman" w:eastAsia="仿宋_GB2312" w:cs="Times New Roman"/>
          <w:sz w:val="28"/>
          <w:szCs w:val="28"/>
          <w:highlight w:val="none"/>
        </w:rPr>
        <w:t>）投标人存在以下不良信用记录情形之一的，不得推荐为中标候选人，更不得确定为中标人：</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1.投标人被人民法院列入失信被执行人的；</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2.投标人或其法定代表人或拟派项目负责人被人民检察院列入行贿犯罪档案的；</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3.投标人被工商行政管理部门列入企业经营异常名录的；</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4.投标人被税务部门列入重大税收违法案件当事人名单的；</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5.投标人被人力资源社会保障行政部门列入拖欠农民工工资“黑名单”的。</w:t>
      </w:r>
    </w:p>
    <w:p>
      <w:pPr>
        <w:wordWrap w:val="0"/>
        <w:spacing w:line="480" w:lineRule="exact"/>
        <w:ind w:firstLine="560" w:firstLineChars="200"/>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四、招标文件的获取</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凡有意参加</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者，请于</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文件递交截止时间前到亳州交通投资控股集团有限公司官网</w:t>
      </w:r>
      <w:r>
        <w:rPr>
          <w:rFonts w:hint="eastAsia" w:ascii="Times New Roman" w:hAnsi="Times New Roman" w:eastAsia="仿宋_GB2312" w:cs="Times New Roman"/>
          <w:sz w:val="28"/>
          <w:szCs w:val="28"/>
          <w:highlight w:val="none"/>
        </w:rPr>
        <w:t>信息公开栏</w:t>
      </w:r>
      <w:r>
        <w:rPr>
          <w:rFonts w:ascii="Times New Roman" w:hAnsi="Times New Roman" w:eastAsia="仿宋_GB2312" w:cs="Times New Roman"/>
          <w:sz w:val="28"/>
          <w:szCs w:val="28"/>
          <w:highlight w:val="none"/>
        </w:rPr>
        <w:t>（www.bzjkjt.com/article/index-94.html）自行下载</w:t>
      </w:r>
      <w:r>
        <w:rPr>
          <w:rFonts w:hint="eastAsia" w:ascii="Times New Roman" w:hAnsi="Times New Roman" w:eastAsia="仿宋_GB2312" w:cs="Times New Roman"/>
          <w:sz w:val="28"/>
          <w:szCs w:val="28"/>
          <w:highlight w:val="none"/>
        </w:rPr>
        <w:t>电子</w:t>
      </w:r>
      <w:r>
        <w:rPr>
          <w:rFonts w:ascii="Times New Roman" w:hAnsi="Times New Roman" w:eastAsia="仿宋_GB2312" w:cs="Times New Roman"/>
          <w:sz w:val="28"/>
          <w:szCs w:val="28"/>
          <w:highlight w:val="none"/>
        </w:rPr>
        <w:t>招标文件及</w:t>
      </w:r>
      <w:r>
        <w:rPr>
          <w:rFonts w:hint="eastAsia" w:ascii="Times New Roman" w:hAnsi="Times New Roman" w:eastAsia="仿宋_GB2312" w:cs="Times New Roman"/>
          <w:sz w:val="28"/>
          <w:szCs w:val="28"/>
          <w:highlight w:val="none"/>
        </w:rPr>
        <w:t>其他</w:t>
      </w:r>
      <w:r>
        <w:rPr>
          <w:rFonts w:ascii="Times New Roman" w:hAnsi="Times New Roman" w:eastAsia="仿宋_GB2312" w:cs="Times New Roman"/>
          <w:sz w:val="28"/>
          <w:szCs w:val="28"/>
          <w:highlight w:val="none"/>
        </w:rPr>
        <w:t>附件。</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五、投标文件的递交</w:t>
      </w:r>
    </w:p>
    <w:p>
      <w:pPr>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（一）</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文件递交的截止时间（投标截止时间，下同）为</w:t>
      </w:r>
      <w:r>
        <w:rPr>
          <w:rFonts w:hint="eastAsia" w:ascii="Times New Roman" w:hAnsi="Times New Roman" w:eastAsia="仿宋_GB2312" w:cs="Times New Roman"/>
          <w:b/>
          <w:bCs/>
          <w:sz w:val="28"/>
          <w:szCs w:val="28"/>
          <w:highlight w:val="none"/>
          <w:lang w:eastAsia="zh-CN"/>
        </w:rPr>
        <w:t>2020年7月 7 日9时00分</w:t>
      </w:r>
      <w:r>
        <w:rPr>
          <w:rFonts w:ascii="Times New Roman" w:hAnsi="Times New Roman" w:eastAsia="仿宋_GB2312" w:cs="Times New Roman"/>
          <w:sz w:val="28"/>
          <w:szCs w:val="28"/>
          <w:highlight w:val="none"/>
        </w:rPr>
        <w:t>，地点为亳州交通投资控股集团有限公司</w:t>
      </w:r>
      <w:r>
        <w:rPr>
          <w:rFonts w:hint="eastAsia" w:ascii="Times New Roman" w:hAnsi="Times New Roman" w:eastAsia="仿宋_GB2312" w:cs="Times New Roman"/>
          <w:sz w:val="28"/>
          <w:szCs w:val="28"/>
          <w:highlight w:val="none"/>
        </w:rPr>
        <w:t>8楼</w:t>
      </w:r>
      <w:r>
        <w:rPr>
          <w:rFonts w:ascii="Times New Roman" w:hAnsi="Times New Roman" w:eastAsia="仿宋_GB2312" w:cs="Times New Roman"/>
          <w:sz w:val="28"/>
          <w:szCs w:val="28"/>
          <w:highlight w:val="none"/>
        </w:rPr>
        <w:t>会议室（药都大道与希夷大道交叉口东北角8楼）。</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（二）逾期送达的、未送达指定地点的或者不按照招标文件要求密封的投标文件</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sz w:val="28"/>
          <w:szCs w:val="28"/>
          <w:highlight w:val="none"/>
        </w:rPr>
        <w:t>招标人将予以拒收。</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六、发布公告的媒介</w:t>
      </w:r>
    </w:p>
    <w:p>
      <w:pPr>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本次招标公告同时在亳州交通投资控股集团有限公司官网（www.bzjkjt.com）、安徽省招标投标信息网（www.ahtba.org.cn）上发布。</w:t>
      </w:r>
    </w:p>
    <w:p>
      <w:pPr>
        <w:wordWrap w:val="0"/>
        <w:spacing w:line="48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七、联系方式</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招</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标</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人：</w:t>
      </w:r>
      <w:r>
        <w:rPr>
          <w:rFonts w:hint="eastAsia" w:ascii="Times New Roman" w:hAnsi="Times New Roman" w:eastAsia="仿宋_GB2312" w:cs="Times New Roman"/>
          <w:sz w:val="28"/>
          <w:szCs w:val="28"/>
          <w:highlight w:val="none"/>
        </w:rPr>
        <w:t>亳州交通投资控股集团有限公司</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地</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址：</w:t>
      </w:r>
      <w:r>
        <w:rPr>
          <w:rFonts w:hint="eastAsia" w:ascii="Times New Roman" w:hAnsi="Times New Roman" w:eastAsia="仿宋_GB2312" w:cs="Times New Roman"/>
          <w:sz w:val="28"/>
          <w:szCs w:val="28"/>
          <w:highlight w:val="none"/>
        </w:rPr>
        <w:t>亳州市谯城区药都大道1289号</w:t>
      </w:r>
    </w:p>
    <w:p>
      <w:pPr>
        <w:wordWrap w:val="0"/>
        <w:spacing w:line="48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联</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系</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人：</w:t>
      </w:r>
      <w:r>
        <w:rPr>
          <w:rFonts w:hint="eastAsia" w:ascii="Times New Roman" w:hAnsi="Times New Roman" w:eastAsia="仿宋_GB2312" w:cs="Times New Roman"/>
          <w:sz w:val="28"/>
          <w:szCs w:val="28"/>
          <w:highlight w:val="none"/>
        </w:rPr>
        <w:t>左工</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电    话</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0558-5196296</w:t>
      </w:r>
    </w:p>
    <w:p>
      <w:pPr>
        <w:wordWrap w:val="0"/>
        <w:spacing w:line="480" w:lineRule="exact"/>
        <w:ind w:firstLine="560" w:firstLineChars="200"/>
        <w:rPr>
          <w:rFonts w:ascii="Times New Roman" w:hAnsi="Times New Roman" w:eastAsia="仿宋_GB2312" w:cs="Times New Roman"/>
          <w:sz w:val="28"/>
          <w:szCs w:val="28"/>
          <w:highlight w:val="none"/>
        </w:rPr>
      </w:pP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招标平台：亳州交控集团招投标中心</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地    址：亳州市谯城区药都大道1289号</w:t>
      </w:r>
    </w:p>
    <w:p>
      <w:pPr>
        <w:wordWrap w:val="0"/>
        <w:spacing w:line="480" w:lineRule="exact"/>
        <w:ind w:firstLine="560" w:firstLineChars="200"/>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联 系 人：</w:t>
      </w:r>
      <w:r>
        <w:rPr>
          <w:rFonts w:hint="eastAsia" w:ascii="Times New Roman" w:hAnsi="Times New Roman" w:eastAsia="仿宋_GB2312" w:cs="Times New Roman"/>
          <w:sz w:val="28"/>
          <w:szCs w:val="28"/>
          <w:highlight w:val="none"/>
          <w:lang w:eastAsia="zh-CN"/>
        </w:rPr>
        <w:t>才工</w:t>
      </w:r>
    </w:p>
    <w:p>
      <w:pPr>
        <w:wordWrap w:val="0"/>
        <w:spacing w:line="4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电    话：0558-5196756</w:t>
      </w:r>
    </w:p>
    <w:p>
      <w:pPr>
        <w:wordWrap w:val="0"/>
        <w:spacing w:line="480" w:lineRule="exact"/>
        <w:rPr>
          <w:rFonts w:ascii="Times New Roman" w:hAnsi="Times New Roman" w:eastAsia="仿宋_GB2312" w:cs="Times New Roman"/>
          <w:sz w:val="28"/>
          <w:szCs w:val="28"/>
          <w:highlight w:val="none"/>
        </w:rPr>
      </w:pPr>
    </w:p>
    <w:p>
      <w:pPr>
        <w:wordWrap w:val="0"/>
        <w:spacing w:line="480" w:lineRule="exact"/>
        <w:rPr>
          <w:rFonts w:ascii="Times New Roman" w:hAnsi="Times New Roman" w:eastAsia="仿宋_GB2312" w:cs="Times New Roman"/>
          <w:sz w:val="28"/>
          <w:szCs w:val="28"/>
          <w:highlight w:val="none"/>
        </w:rPr>
      </w:pPr>
    </w:p>
    <w:p>
      <w:pPr>
        <w:wordWrap w:val="0"/>
        <w:spacing w:line="480" w:lineRule="exact"/>
        <w:jc w:val="right"/>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亳州交通投资控股集团有限公司</w:t>
      </w:r>
    </w:p>
    <w:p>
      <w:pPr>
        <w:wordWrap w:val="0"/>
        <w:spacing w:line="480" w:lineRule="exact"/>
        <w:ind w:firstLine="5880" w:firstLineChars="2100"/>
        <w:rPr>
          <w:rFonts w:ascii="Times New Roman" w:hAnsi="Times New Roman" w:eastAsia="仿宋_GB2312" w:cs="Times New Roman"/>
          <w:kern w:val="0"/>
          <w:sz w:val="32"/>
          <w:szCs w:val="32"/>
          <w:highlight w:val="none"/>
        </w:rPr>
      </w:pPr>
      <w:r>
        <w:rPr>
          <w:rFonts w:hint="eastAsia" w:ascii="Times New Roman" w:hAnsi="Times New Roman" w:eastAsia="仿宋_GB2312" w:cs="Times New Roman"/>
          <w:sz w:val="28"/>
          <w:szCs w:val="28"/>
          <w:highlight w:val="none"/>
          <w:lang w:eastAsia="zh-CN"/>
        </w:rPr>
        <w:t>2020年6月2</w:t>
      </w:r>
      <w:r>
        <w:rPr>
          <w:rFonts w:hint="eastAsia" w:ascii="Times New Roman" w:hAnsi="Times New Roman" w:eastAsia="仿宋_GB2312" w:cs="Times New Roman"/>
          <w:sz w:val="28"/>
          <w:szCs w:val="28"/>
          <w:highlight w:val="none"/>
          <w:lang w:val="en-US" w:eastAsia="zh-CN"/>
        </w:rPr>
        <w:t>9</w:t>
      </w:r>
      <w:r>
        <w:rPr>
          <w:rFonts w:hint="eastAsia" w:ascii="Times New Roman" w:hAnsi="Times New Roman" w:eastAsia="仿宋_GB2312" w:cs="Times New Roman"/>
          <w:sz w:val="28"/>
          <w:szCs w:val="28"/>
          <w:highlight w:val="none"/>
          <w:lang w:eastAsia="zh-CN"/>
        </w:rPr>
        <w:t>日</w:t>
      </w:r>
      <w:r>
        <w:rPr>
          <w:rFonts w:ascii="Times New Roman" w:hAnsi="Times New Roman" w:eastAsia="仿宋_GB2312" w:cs="Times New Roman"/>
          <w:kern w:val="0"/>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第二章 投标人须知</w:t>
      </w:r>
    </w:p>
    <w:p>
      <w:pPr>
        <w:spacing w:line="480" w:lineRule="exact"/>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投标人须知前附表</w:t>
      </w:r>
    </w:p>
    <w:p>
      <w:pPr>
        <w:spacing w:line="480" w:lineRule="exact"/>
        <w:rPr>
          <w:rFonts w:asciiTheme="majorEastAsia" w:hAnsiTheme="majorEastAsia" w:eastAsiaTheme="majorEastAsia" w:cstheme="majorEastAsia"/>
          <w:b/>
          <w:bCs/>
          <w:sz w:val="28"/>
          <w:szCs w:val="28"/>
          <w:highlight w:val="none"/>
        </w:rPr>
      </w:pPr>
    </w:p>
    <w:tbl>
      <w:tblPr>
        <w:tblStyle w:val="14"/>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w:t>
            </w:r>
            <w:r>
              <w:rPr>
                <w:rFonts w:hint="eastAsia" w:ascii="Times New Roman" w:hAnsi="Times New Roman" w:cs="Times New Roman"/>
                <w:szCs w:val="21"/>
                <w:highlight w:val="none"/>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招标</w:t>
            </w:r>
            <w:r>
              <w:rPr>
                <w:rFonts w:ascii="Times New Roman" w:hAnsi="Times New Roman" w:cs="Times New Roman"/>
                <w:szCs w:val="21"/>
                <w:highlight w:val="none"/>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服务期限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质量</w:t>
            </w:r>
            <w:r>
              <w:rPr>
                <w:rFonts w:hint="eastAsia" w:ascii="Times New Roman" w:hAnsi="Times New Roman" w:cs="Times New Roman"/>
                <w:szCs w:val="21"/>
                <w:highlight w:val="none"/>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投标人资质条件、能力</w:t>
            </w:r>
            <w:r>
              <w:rPr>
                <w:rFonts w:hint="eastAsia" w:ascii="Times New Roman" w:hAnsi="Times New Roman" w:cs="Times New Roman"/>
                <w:szCs w:val="21"/>
                <w:highlight w:val="none"/>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w:t>
            </w:r>
            <w:r>
              <w:rPr>
                <w:rFonts w:hint="eastAsia" w:ascii="Times New Roman" w:hAnsi="Times New Roman" w:cs="Times New Roman"/>
                <w:sz w:val="21"/>
                <w:szCs w:val="21"/>
                <w:highlight w:val="none"/>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32"/>
                <w:szCs w:val="32"/>
                <w:highlight w:val="none"/>
              </w:rPr>
            </w:pPr>
            <w:r>
              <w:rPr>
                <w:rFonts w:hint="eastAsia" w:ascii="Times New Roman" w:hAnsi="Times New Roman" w:cs="Times New Roman"/>
                <w:sz w:val="21"/>
                <w:szCs w:val="21"/>
                <w:highlight w:val="none"/>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不组织</w:t>
            </w:r>
            <w:r>
              <w:rPr>
                <w:rFonts w:hint="eastAsia" w:ascii="Times New Roman" w:hAnsi="Times New Roman" w:cs="Times New Roman"/>
                <w:sz w:val="21"/>
                <w:szCs w:val="21"/>
                <w:highlight w:val="none"/>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21"/>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hint="eastAsia" w:ascii="Times New Roman" w:hAnsi="Times New Roman" w:cs="Times New Roman"/>
                <w:sz w:val="21"/>
                <w:szCs w:val="21"/>
                <w:highlight w:val="none"/>
              </w:rPr>
              <w:t>详见第一章招标公告、第四章合同条款及格式、第五章发包人要求。</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w:t>
            </w:r>
            <w:r>
              <w:rPr>
                <w:rFonts w:hint="eastAsia" w:ascii="Times New Roman" w:hAnsi="Times New Roman" w:cs="Times New Roman"/>
                <w:szCs w:val="21"/>
                <w:highlight w:val="none"/>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ascii="Times New Roman" w:hAnsi="Times New Roman" w:cs="Times New Roman"/>
                <w:sz w:val="21"/>
                <w:szCs w:val="21"/>
                <w:highlight w:val="none"/>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u w:val="single"/>
              </w:rPr>
            </w:pPr>
            <w:r>
              <w:rPr>
                <w:rFonts w:hint="eastAsia" w:ascii="Times New Roman" w:hAnsi="Times New Roman" w:cs="Times New Roman"/>
                <w:szCs w:val="21"/>
                <w:highlight w:val="none"/>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按固定总价报价。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投标截止之日起</w:t>
            </w:r>
            <w:r>
              <w:rPr>
                <w:rFonts w:ascii="Times New Roman" w:hAnsi="Times New Roman" w:cs="Times New Roman"/>
                <w:szCs w:val="21"/>
                <w:highlight w:val="none"/>
                <w:u w:val="single"/>
              </w:rPr>
              <w:t>90</w:t>
            </w:r>
            <w:r>
              <w:rPr>
                <w:rFonts w:ascii="Times New Roman" w:hAnsi="Times New Roman" w:cs="Times New Roman"/>
                <w:szCs w:val="21"/>
                <w:highlight w:val="none"/>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是否要求投标人递交投标保证金：</w:t>
            </w:r>
          </w:p>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投标保证金的形式：银行汇款或转账</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rPr>
              <w:t>壹万陆仟</w:t>
            </w:r>
            <w:r>
              <w:rPr>
                <w:rFonts w:hint="eastAsia" w:ascii="Times New Roman" w:hAnsi="Times New Roman" w:cs="Times New Roman"/>
                <w:szCs w:val="21"/>
                <w:highlight w:val="none"/>
              </w:rPr>
              <w:t>元</w:t>
            </w:r>
            <w:r>
              <w:rPr>
                <w:rFonts w:ascii="Times New Roman" w:hAnsi="Times New Roman" w:cs="Times New Roman"/>
                <w:szCs w:val="21"/>
                <w:highlight w:val="none"/>
              </w:rPr>
              <w:t>整，（小写）</w:t>
            </w:r>
            <w:r>
              <w:rPr>
                <w:rFonts w:hint="eastAsia" w:ascii="Times New Roman" w:hAnsi="Times New Roman" w:cs="Times New Roman"/>
                <w:b/>
                <w:bCs/>
                <w:szCs w:val="21"/>
                <w:highlight w:val="none"/>
              </w:rPr>
              <w:t>16000</w:t>
            </w:r>
            <w:r>
              <w:rPr>
                <w:rFonts w:ascii="Times New Roman" w:hAnsi="Times New Roman" w:cs="Times New Roman"/>
                <w:szCs w:val="21"/>
                <w:highlight w:val="none"/>
              </w:rPr>
              <w:t>元。</w:t>
            </w:r>
          </w:p>
          <w:p>
            <w:pPr>
              <w:wordWrap w:val="0"/>
              <w:spacing w:line="430" w:lineRule="exact"/>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收取投标保证金的账号信息：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开户名称：亳州交通投资控股集团有限公司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开户银行：中国农业银行亳州分行营业部</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银行账号：12670801040009482</w:t>
            </w:r>
          </w:p>
          <w:p>
            <w:pPr>
              <w:wordWrap w:val="0"/>
              <w:spacing w:line="430" w:lineRule="exact"/>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其他要求：</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rPr>
              <w:t>BZJK-2020-014号保证金</w:t>
            </w:r>
            <w:r>
              <w:rPr>
                <w:rFonts w:hint="eastAsia" w:ascii="Times New Roman" w:hAnsi="Times New Roman" w:cs="Times New Roman"/>
                <w:szCs w:val="21"/>
                <w:highlight w:val="none"/>
              </w:rPr>
              <w:t>”</w:t>
            </w:r>
            <w:r>
              <w:rPr>
                <w:rFonts w:ascii="Times New Roman" w:hAnsi="Times New Roman" w:cs="Times New Roman"/>
                <w:szCs w:val="21"/>
                <w:highlight w:val="none"/>
              </w:rPr>
              <w:t>，否则</w:t>
            </w:r>
            <w:r>
              <w:rPr>
                <w:rFonts w:hint="eastAsia" w:ascii="Times New Roman" w:hAnsi="Times New Roman" w:cs="Times New Roman"/>
                <w:szCs w:val="21"/>
                <w:highlight w:val="none"/>
              </w:rPr>
              <w:t>，</w:t>
            </w:r>
            <w:r>
              <w:rPr>
                <w:rFonts w:ascii="Times New Roman" w:hAnsi="Times New Roman" w:cs="Times New Roman"/>
                <w:szCs w:val="21"/>
                <w:highlight w:val="none"/>
              </w:rPr>
              <w:t>责任自负。</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ind w:firstLine="420" w:firstLineChars="200"/>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投标保证金</w:t>
            </w:r>
            <w:r>
              <w:rPr>
                <w:rFonts w:hint="eastAsia" w:ascii="Times New Roman" w:hAnsi="Times New Roman" w:cs="Times New Roman"/>
                <w:b/>
                <w:bCs/>
                <w:szCs w:val="21"/>
                <w:highlight w:val="none"/>
              </w:rPr>
              <w:t>的</w:t>
            </w:r>
            <w:r>
              <w:rPr>
                <w:rFonts w:ascii="Times New Roman" w:hAnsi="Times New Roman" w:cs="Times New Roman"/>
                <w:b/>
                <w:bCs/>
                <w:szCs w:val="21"/>
                <w:highlight w:val="none"/>
              </w:rPr>
              <w:t>退还（本金无息）：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（1）招标不成功（或开标现场拒收投标文件）的，5日内直接退还至该投标人汇出帐户。</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rPr>
              <w:t>在</w:t>
            </w:r>
            <w:r>
              <w:rPr>
                <w:rFonts w:ascii="Times New Roman" w:hAnsi="Times New Roman" w:cs="Times New Roman"/>
                <w:szCs w:val="21"/>
                <w:highlight w:val="none"/>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2.投标人采用不正当手段（串通投标、弄虚作假、行贿等）骗取中标的；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3.投标人经评标委员会认定为异常低价竞标或不以中标为目的的投标的；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4.投标人在投标有效期内撤回投标文件的；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b/>
                <w:bCs/>
                <w:szCs w:val="21"/>
                <w:highlight w:val="none"/>
                <w:u w:val="none"/>
              </w:rPr>
              <w:t>201</w:t>
            </w:r>
            <w:r>
              <w:rPr>
                <w:rFonts w:hint="eastAsia" w:ascii="Times New Roman" w:hAnsi="Times New Roman" w:cs="Times New Roman"/>
                <w:b/>
                <w:bCs/>
                <w:szCs w:val="21"/>
                <w:highlight w:val="none"/>
                <w:u w:val="none"/>
                <w:lang w:val="en-US" w:eastAsia="zh-CN"/>
              </w:rPr>
              <w:t>8</w:t>
            </w:r>
            <w:r>
              <w:rPr>
                <w:rFonts w:hint="eastAsia" w:ascii="Times New Roman" w:hAnsi="Times New Roman" w:cs="Times New Roman"/>
                <w:b/>
                <w:bCs/>
                <w:szCs w:val="21"/>
                <w:highlight w:val="none"/>
                <w:u w:val="none"/>
              </w:rPr>
              <w:t>年至201</w:t>
            </w:r>
            <w:r>
              <w:rPr>
                <w:rFonts w:hint="eastAsia" w:ascii="Times New Roman" w:hAnsi="Times New Roman" w:cs="Times New Roman"/>
                <w:b/>
                <w:bCs/>
                <w:szCs w:val="21"/>
                <w:highlight w:val="none"/>
                <w:u w:val="none"/>
                <w:lang w:val="en-US" w:eastAsia="zh-CN"/>
              </w:rPr>
              <w:t>9</w:t>
            </w:r>
            <w:r>
              <w:rPr>
                <w:rFonts w:hint="eastAsia" w:ascii="Times New Roman" w:hAnsi="Times New Roman" w:cs="Times New Roman"/>
                <w:b/>
                <w:bCs/>
                <w:szCs w:val="21"/>
                <w:highlight w:val="none"/>
                <w:u w:val="none"/>
              </w:rPr>
              <w:t>年</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b/>
                <w:bCs/>
                <w:szCs w:val="21"/>
                <w:highlight w:val="none"/>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b/>
                <w:bCs/>
                <w:szCs w:val="21"/>
                <w:highlight w:val="none"/>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b/>
                <w:bCs/>
                <w:szCs w:val="21"/>
                <w:highlight w:val="none"/>
              </w:rPr>
            </w:pPr>
            <w:r>
              <w:rPr>
                <w:rFonts w:hint="eastAsia" w:ascii="Times New Roman" w:hAnsi="Times New Roman" w:cs="Times New Roman"/>
                <w:b/>
                <w:bCs/>
                <w:szCs w:val="21"/>
                <w:highlight w:val="none"/>
              </w:rPr>
              <w:t>投标文件份数：正本1份、副本2份</w:t>
            </w:r>
          </w:p>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是否要求提交电子版文件：否</w:t>
            </w:r>
          </w:p>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其他要求：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（1）所有正本与副本封装在一个密封袋中，且在投标文件封面标明“正本”或“副本”的字样；</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（2）投标文件应按要求密封，密封袋封口加盖投标单位印章；</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w:t>
            </w:r>
            <w:r>
              <w:rPr>
                <w:rFonts w:hint="eastAsia" w:ascii="Times New Roman" w:hAnsi="Times New Roman" w:cs="Times New Roman"/>
                <w:szCs w:val="21"/>
                <w:highlight w:val="none"/>
              </w:rPr>
              <w:t>7</w:t>
            </w:r>
            <w:r>
              <w:rPr>
                <w:rFonts w:ascii="Times New Roman" w:hAnsi="Times New Roman" w:cs="Times New Roman"/>
                <w:szCs w:val="21"/>
                <w:highlight w:val="none"/>
              </w:rPr>
              <w:t>.3</w:t>
            </w:r>
            <w:r>
              <w:rPr>
                <w:rFonts w:hint="eastAsia" w:ascii="Times New Roman" w:hAnsi="Times New Roman" w:cs="Times New Roman"/>
                <w:szCs w:val="21"/>
                <w:highlight w:val="none"/>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w:t>
            </w:r>
            <w:r>
              <w:rPr>
                <w:rFonts w:ascii="Times New Roman" w:hAnsi="Times New Roman" w:cs="Times New Roman"/>
                <w:szCs w:val="21"/>
                <w:highlight w:val="none"/>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招标人名称：</w:t>
            </w:r>
            <w:r>
              <w:rPr>
                <w:rFonts w:hint="eastAsia" w:ascii="Times New Roman" w:hAnsi="Times New Roman" w:cs="Times New Roman"/>
                <w:szCs w:val="21"/>
                <w:highlight w:val="none"/>
              </w:rPr>
              <w:t>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开标</w:t>
            </w:r>
            <w:r>
              <w:rPr>
                <w:rFonts w:ascii="Times New Roman" w:hAnsi="Times New Roman" w:cs="Times New Roman"/>
                <w:szCs w:val="21"/>
                <w:highlight w:val="none"/>
              </w:rPr>
              <w:t>地址：</w:t>
            </w:r>
            <w:r>
              <w:rPr>
                <w:rFonts w:hint="eastAsia" w:ascii="Times New Roman" w:hAnsi="Times New Roman" w:cs="Times New Roman"/>
                <w:szCs w:val="21"/>
                <w:highlight w:val="none"/>
              </w:rPr>
              <w:t>亳州市谯城区药都大道1289号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u w:val="single"/>
                <w:lang w:eastAsia="zh-CN"/>
              </w:rPr>
              <w:t>亳州港多式联运物流园项目总体规划和控制性详细规划</w:t>
            </w:r>
            <w:r>
              <w:rPr>
                <w:rFonts w:ascii="Times New Roman" w:hAnsi="Times New Roman" w:cs="Times New Roman"/>
                <w:szCs w:val="21"/>
                <w:highlight w:val="none"/>
              </w:rPr>
              <w:t>投标文件</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招标项目编号：BZJK-2020-014号</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在</w:t>
            </w:r>
            <w:r>
              <w:rPr>
                <w:rFonts w:ascii="Times New Roman" w:hAnsi="Times New Roman" w:cs="Times New Roman"/>
                <w:szCs w:val="21"/>
                <w:highlight w:val="none"/>
                <w:u w:val="none"/>
              </w:rPr>
              <w:t>20</w:t>
            </w:r>
            <w:r>
              <w:rPr>
                <w:rFonts w:hint="eastAsia" w:ascii="Times New Roman" w:hAnsi="Times New Roman" w:cs="Times New Roman"/>
                <w:szCs w:val="21"/>
                <w:highlight w:val="none"/>
                <w:u w:val="none"/>
              </w:rPr>
              <w:t>20</w:t>
            </w:r>
            <w:r>
              <w:rPr>
                <w:rFonts w:ascii="Times New Roman" w:hAnsi="Times New Roman" w:cs="Times New Roman"/>
                <w:szCs w:val="21"/>
                <w:highlight w:val="none"/>
                <w:u w:val="none"/>
              </w:rPr>
              <w:t>年</w:t>
            </w:r>
            <w:r>
              <w:rPr>
                <w:rFonts w:hint="eastAsia" w:ascii="Times New Roman" w:hAnsi="Times New Roman" w:cs="Times New Roman"/>
                <w:szCs w:val="21"/>
                <w:highlight w:val="none"/>
                <w:u w:val="none"/>
                <w:lang w:val="en-US" w:eastAsia="zh-CN"/>
              </w:rPr>
              <w:t xml:space="preserve">7 </w:t>
            </w:r>
            <w:r>
              <w:rPr>
                <w:rFonts w:ascii="Times New Roman" w:hAnsi="Times New Roman" w:cs="Times New Roman"/>
                <w:szCs w:val="21"/>
                <w:highlight w:val="none"/>
                <w:u w:val="none"/>
              </w:rPr>
              <w:t>月</w:t>
            </w:r>
            <w:r>
              <w:rPr>
                <w:rFonts w:hint="eastAsia" w:ascii="Times New Roman" w:hAnsi="Times New Roman" w:cs="Times New Roman"/>
                <w:szCs w:val="21"/>
                <w:highlight w:val="none"/>
                <w:u w:val="none"/>
                <w:lang w:val="en-US" w:eastAsia="zh-CN"/>
              </w:rPr>
              <w:t xml:space="preserve"> 7 </w:t>
            </w:r>
            <w:r>
              <w:rPr>
                <w:rFonts w:ascii="Times New Roman" w:hAnsi="Times New Roman" w:cs="Times New Roman"/>
                <w:szCs w:val="21"/>
                <w:highlight w:val="none"/>
                <w:u w:val="none"/>
              </w:rPr>
              <w:t>日9时00分</w:t>
            </w:r>
            <w:r>
              <w:rPr>
                <w:rFonts w:ascii="Times New Roman" w:hAnsi="Times New Roman" w:cs="Times New Roman"/>
                <w:szCs w:val="21"/>
                <w:highlight w:val="none"/>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u w:val="none"/>
              </w:rPr>
            </w:pPr>
            <w:r>
              <w:rPr>
                <w:rFonts w:ascii="Times New Roman" w:hAnsi="Times New Roman" w:cs="Times New Roman"/>
                <w:szCs w:val="21"/>
                <w:highlight w:val="none"/>
                <w:u w:val="none"/>
              </w:rPr>
              <w:t>20</w:t>
            </w:r>
            <w:r>
              <w:rPr>
                <w:rFonts w:hint="eastAsia" w:ascii="Times New Roman" w:hAnsi="Times New Roman" w:cs="Times New Roman"/>
                <w:szCs w:val="21"/>
                <w:highlight w:val="none"/>
                <w:u w:val="none"/>
              </w:rPr>
              <w:t>20</w:t>
            </w:r>
            <w:r>
              <w:rPr>
                <w:rFonts w:ascii="Times New Roman" w:hAnsi="Times New Roman" w:cs="Times New Roman"/>
                <w:szCs w:val="21"/>
                <w:highlight w:val="none"/>
                <w:u w:val="none"/>
              </w:rPr>
              <w:t>年</w:t>
            </w:r>
            <w:r>
              <w:rPr>
                <w:rFonts w:hint="eastAsia" w:ascii="Times New Roman" w:hAnsi="Times New Roman" w:cs="Times New Roman"/>
                <w:szCs w:val="21"/>
                <w:highlight w:val="none"/>
                <w:u w:val="none"/>
                <w:lang w:val="en-US" w:eastAsia="zh-CN"/>
              </w:rPr>
              <w:t xml:space="preserve"> 7 </w:t>
            </w:r>
            <w:r>
              <w:rPr>
                <w:rFonts w:ascii="Times New Roman" w:hAnsi="Times New Roman" w:cs="Times New Roman"/>
                <w:szCs w:val="21"/>
                <w:highlight w:val="none"/>
                <w:u w:val="none"/>
              </w:rPr>
              <w:t>月</w:t>
            </w:r>
            <w:r>
              <w:rPr>
                <w:rFonts w:hint="eastAsia" w:ascii="Times New Roman" w:hAnsi="Times New Roman" w:cs="Times New Roman"/>
                <w:szCs w:val="21"/>
                <w:highlight w:val="none"/>
                <w:u w:val="none"/>
                <w:lang w:val="en-US" w:eastAsia="zh-CN"/>
              </w:rPr>
              <w:t xml:space="preserve"> 7</w:t>
            </w:r>
            <w:r>
              <w:rPr>
                <w:rFonts w:ascii="Times New Roman" w:hAnsi="Times New Roman" w:cs="Times New Roman"/>
                <w:szCs w:val="21"/>
                <w:highlight w:val="none"/>
                <w:u w:val="none"/>
              </w:rPr>
              <w:t>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4.2.2</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投标文件</w:t>
            </w:r>
            <w:r>
              <w:rPr>
                <w:rFonts w:hint="eastAsia" w:ascii="Times New Roman" w:hAnsi="Times New Roman" w:cs="Times New Roman"/>
                <w:szCs w:val="21"/>
                <w:highlight w:val="none"/>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5.1</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开标时间：同投标截止时间</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开标地点：</w:t>
            </w:r>
            <w:r>
              <w:rPr>
                <w:rFonts w:hint="eastAsia" w:ascii="Times New Roman" w:hAnsi="Times New Roman" w:cs="Times New Roman"/>
                <w:szCs w:val="21"/>
                <w:highlight w:val="none"/>
              </w:rPr>
              <w:t>同递交投标文件地点</w:t>
            </w:r>
          </w:p>
          <w:p>
            <w:pPr>
              <w:wordWrap w:val="0"/>
              <w:spacing w:line="430" w:lineRule="exact"/>
              <w:ind w:firstLine="422" w:firstLineChars="200"/>
              <w:rPr>
                <w:rFonts w:ascii="Times New Roman" w:hAnsi="Times New Roman" w:cs="Times New Roman"/>
                <w:szCs w:val="21"/>
                <w:highlight w:val="none"/>
              </w:rPr>
            </w:pPr>
            <w:r>
              <w:rPr>
                <w:rFonts w:ascii="Times New Roman" w:hAnsi="Times New Roman" w:cs="Times New Roman"/>
                <w:b/>
                <w:bCs/>
                <w:szCs w:val="21"/>
                <w:highlight w:val="none"/>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5.2</w:t>
            </w:r>
            <w:r>
              <w:rPr>
                <w:rFonts w:hint="eastAsia" w:ascii="Times New Roman" w:hAnsi="Times New Roman" w:cs="Times New Roman"/>
                <w:szCs w:val="21"/>
                <w:highlight w:val="none"/>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密封情况检查：</w:t>
            </w:r>
            <w:r>
              <w:rPr>
                <w:rFonts w:hint="eastAsia" w:ascii="Times New Roman" w:hAnsi="Times New Roman" w:cs="Times New Roman"/>
                <w:szCs w:val="21"/>
                <w:highlight w:val="none"/>
              </w:rPr>
              <w:t>由投标人代表、招标平台工作人员、监标人共同检查确认。</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评标委员会构成：</w:t>
            </w:r>
            <w:r>
              <w:rPr>
                <w:rFonts w:hint="eastAsia" w:ascii="Times New Roman" w:hAnsi="Times New Roman" w:cs="Times New Roman"/>
                <w:szCs w:val="21"/>
                <w:highlight w:val="none"/>
                <w:u w:val="single"/>
              </w:rPr>
              <w:t>5</w:t>
            </w:r>
            <w:r>
              <w:rPr>
                <w:rFonts w:ascii="Times New Roman" w:hAnsi="Times New Roman" w:cs="Times New Roman"/>
                <w:szCs w:val="21"/>
                <w:highlight w:val="none"/>
              </w:rPr>
              <w:t>人，其中招标人代表</w:t>
            </w:r>
            <w:r>
              <w:rPr>
                <w:rFonts w:hint="eastAsia" w:ascii="Times New Roman" w:hAnsi="Times New Roman" w:cs="Times New Roman"/>
                <w:szCs w:val="21"/>
                <w:highlight w:val="none"/>
                <w:u w:val="single"/>
              </w:rPr>
              <w:t>1</w:t>
            </w:r>
            <w:r>
              <w:rPr>
                <w:rFonts w:ascii="Times New Roman" w:hAnsi="Times New Roman" w:cs="Times New Roman"/>
                <w:szCs w:val="21"/>
                <w:highlight w:val="none"/>
              </w:rPr>
              <w:t>人，专家</w:t>
            </w:r>
            <w:r>
              <w:rPr>
                <w:rFonts w:hint="eastAsia" w:ascii="Times New Roman" w:hAnsi="Times New Roman" w:cs="Times New Roman"/>
                <w:szCs w:val="21"/>
                <w:highlight w:val="none"/>
                <w:u w:val="single"/>
              </w:rPr>
              <w:t>4</w:t>
            </w:r>
            <w:r>
              <w:rPr>
                <w:rFonts w:ascii="Times New Roman" w:hAnsi="Times New Roman" w:cs="Times New Roman"/>
                <w:szCs w:val="21"/>
                <w:highlight w:val="none"/>
              </w:rPr>
              <w:t>人；</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中标候选人公示媒介</w:t>
            </w:r>
            <w:r>
              <w:rPr>
                <w:rFonts w:hint="eastAsia" w:ascii="Times New Roman" w:hAnsi="Times New Roman" w:cs="Times New Roman"/>
                <w:szCs w:val="21"/>
                <w:highlight w:val="none"/>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公示媒介：亳州交通投资控股集团有限公司官网（www.bzjkjt.com）</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7.</w:t>
            </w:r>
            <w:r>
              <w:rPr>
                <w:rFonts w:hint="eastAsia" w:ascii="Times New Roman" w:hAnsi="Times New Roman" w:cs="Times New Roman"/>
                <w:szCs w:val="21"/>
                <w:highlight w:val="none"/>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是否要求投标人提交履约保证金：</w:t>
            </w:r>
          </w:p>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履约担保的形式：</w:t>
            </w:r>
            <w:r>
              <w:rPr>
                <w:rFonts w:hint="eastAsia" w:ascii="Times New Roman" w:hAnsi="Times New Roman" w:cs="Times New Roman"/>
                <w:szCs w:val="21"/>
                <w:highlight w:val="none"/>
                <w:lang w:eastAsia="zh-CN"/>
              </w:rPr>
              <w:t>现金或银行保函形式。</w:t>
            </w:r>
            <w:r>
              <w:rPr>
                <w:rFonts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rPr>
              <w:t>0</w:t>
            </w:r>
            <w:r>
              <w:rPr>
                <w:rFonts w:ascii="Times New Roman" w:hAnsi="Times New Roman" w:cs="Times New Roman"/>
                <w:szCs w:val="21"/>
                <w:highlight w:val="none"/>
              </w:rPr>
              <w:t>日内从其基本账户开户行银行汇款。</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履约担保的金额：中标价的</w:t>
            </w:r>
            <w:r>
              <w:rPr>
                <w:rFonts w:hint="eastAsia" w:ascii="Times New Roman" w:hAnsi="Times New Roman" w:cs="Times New Roman"/>
                <w:szCs w:val="21"/>
                <w:highlight w:val="none"/>
              </w:rPr>
              <w:t>10</w:t>
            </w:r>
            <w:r>
              <w:rPr>
                <w:rFonts w:ascii="Times New Roman" w:hAnsi="Times New Roman" w:cs="Times New Roman"/>
                <w:szCs w:val="21"/>
                <w:highlight w:val="none"/>
              </w:rPr>
              <w:t>%</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rPr>
              <w:t>出具正式成果文件</w:t>
            </w:r>
            <w:r>
              <w:rPr>
                <w:rFonts w:hint="eastAsia" w:ascii="Times New Roman" w:hAnsi="Times New Roman" w:cs="Times New Roman"/>
                <w:szCs w:val="21"/>
                <w:highlight w:val="none"/>
                <w:lang w:val="en-US" w:eastAsia="zh-CN"/>
              </w:rPr>
              <w:t>10个工作日内</w:t>
            </w:r>
            <w:r>
              <w:rPr>
                <w:rFonts w:hint="eastAsia" w:ascii="Times New Roman" w:hAnsi="Times New Roman" w:cs="Times New Roman"/>
                <w:szCs w:val="21"/>
                <w:highlight w:val="none"/>
              </w:rPr>
              <w:t>退</w:t>
            </w:r>
            <w:r>
              <w:rPr>
                <w:rFonts w:ascii="Times New Roman" w:hAnsi="Times New Roman" w:cs="Times New Roman"/>
                <w:szCs w:val="21"/>
                <w:highlight w:val="none"/>
              </w:rPr>
              <w:t>还</w:t>
            </w:r>
            <w:r>
              <w:rPr>
                <w:rFonts w:hint="eastAsia" w:ascii="Times New Roman" w:hAnsi="Times New Roman" w:cs="Times New Roman"/>
                <w:szCs w:val="21"/>
                <w:highlight w:val="none"/>
              </w:rPr>
              <w:t>全部</w:t>
            </w:r>
            <w:r>
              <w:rPr>
                <w:rFonts w:ascii="Times New Roman" w:hAnsi="Times New Roman" w:cs="Times New Roman"/>
                <w:szCs w:val="21"/>
                <w:highlight w:val="none"/>
              </w:rPr>
              <w:t>履约保证金（无息）。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（1）投标人准备和参加投标活动发生的费用自理；</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（2）所有计量均采用中华人民共和国法定计量单位；</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r>
    </w:tbl>
    <w:p>
      <w:pPr>
        <w:wordWrap w:val="0"/>
        <w:spacing w:line="400" w:lineRule="exact"/>
        <w:ind w:firstLine="420" w:firstLineChars="200"/>
        <w:rPr>
          <w:rFonts w:ascii="Times New Roman" w:hAnsi="Times New Roman" w:cs="Times New Roman"/>
          <w:color w:val="000000"/>
          <w:highlight w:val="none"/>
        </w:rPr>
      </w:pPr>
      <w:r>
        <w:rPr>
          <w:rFonts w:hint="eastAsia" w:ascii="黑体" w:hAnsi="黑体" w:eastAsia="黑体" w:cs="黑体"/>
          <w:color w:val="000000"/>
          <w:highlight w:val="none"/>
        </w:rPr>
        <w:t>说明：</w:t>
      </w:r>
      <w:r>
        <w:rPr>
          <w:rFonts w:ascii="Times New Roman" w:hAnsi="Times New Roman" w:cs="Times New Roman"/>
          <w:color w:val="000000"/>
          <w:highlight w:val="none"/>
        </w:rPr>
        <w:t>投标人须知细则</w:t>
      </w:r>
      <w:r>
        <w:rPr>
          <w:rFonts w:hint="eastAsia" w:ascii="Times New Roman" w:hAnsi="Times New Roman" w:cs="Times New Roman"/>
          <w:color w:val="000000"/>
          <w:highlight w:val="none"/>
        </w:rPr>
        <w:t>参照</w:t>
      </w:r>
      <w:r>
        <w:rPr>
          <w:rFonts w:ascii="Times New Roman" w:hAnsi="Times New Roman" w:cs="Times New Roman"/>
          <w:color w:val="000000"/>
          <w:highlight w:val="none"/>
        </w:rPr>
        <w:t>国家发改委印发的《标准招标文件》执行。招标文件相关内容与投标人须知前附表不一致的，以投标人须知前附表为准。</w:t>
      </w:r>
    </w:p>
    <w:p>
      <w:pP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第三章 评标办法</w:t>
      </w:r>
      <w:r>
        <w:rPr>
          <w:rFonts w:hint="eastAsia" w:asciiTheme="majorEastAsia" w:hAnsiTheme="majorEastAsia" w:eastAsiaTheme="majorEastAsia" w:cstheme="majorEastAsia"/>
          <w:b/>
          <w:bCs/>
          <w:sz w:val="32"/>
          <w:szCs w:val="32"/>
          <w:highlight w:val="none"/>
        </w:rPr>
        <w:t>（综合评估法）</w:t>
      </w:r>
    </w:p>
    <w:p>
      <w:pPr>
        <w:spacing w:line="480" w:lineRule="exact"/>
        <w:jc w:val="center"/>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评标办法前附表</w:t>
      </w:r>
      <w:bookmarkStart w:id="16" w:name="_Toc152042366"/>
      <w:bookmarkStart w:id="17" w:name="_Toc296602477"/>
      <w:bookmarkStart w:id="18" w:name="_Toc179632607"/>
      <w:bookmarkStart w:id="19" w:name="_Toc246996232"/>
      <w:bookmarkStart w:id="20" w:name="_Toc152045589"/>
      <w:bookmarkStart w:id="21" w:name="_Toc246996975"/>
      <w:bookmarkStart w:id="22" w:name="_Toc247085747"/>
      <w:bookmarkStart w:id="23" w:name="_Toc144974556"/>
    </w:p>
    <w:p>
      <w:pPr>
        <w:spacing w:line="480" w:lineRule="exact"/>
        <w:rPr>
          <w:rFonts w:asciiTheme="majorEastAsia" w:hAnsiTheme="majorEastAsia" w:eastAsiaTheme="majorEastAsia" w:cstheme="majorEastAsia"/>
          <w:b/>
          <w:bCs/>
          <w:sz w:val="28"/>
          <w:szCs w:val="28"/>
          <w:highlight w:val="none"/>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1</w:t>
            </w:r>
          </w:p>
        </w:tc>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评标方法</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中标候选人排序方法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投标函</w:t>
            </w:r>
            <w:r>
              <w:rPr>
                <w:rFonts w:ascii="Times New Roman" w:hAnsi="Times New Roman" w:cs="Times New Roman"/>
                <w:kern w:val="0"/>
                <w:sz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w:t>
            </w:r>
            <w:r>
              <w:rPr>
                <w:rFonts w:hint="eastAsia" w:ascii="Times New Roman" w:hAnsi="Times New Roman" w:cs="Times New Roman"/>
                <w:kern w:val="0"/>
                <w:sz w:val="24"/>
                <w:highlight w:val="none"/>
              </w:rPr>
              <w:t>六</w:t>
            </w:r>
            <w:r>
              <w:rPr>
                <w:rFonts w:ascii="Times New Roman" w:hAnsi="Times New Roman" w:cs="Times New Roman"/>
                <w:kern w:val="0"/>
                <w:sz w:val="24"/>
                <w:highlight w:val="none"/>
              </w:rPr>
              <w:t>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投标文件格式</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的</w:t>
            </w:r>
            <w:r>
              <w:rPr>
                <w:rFonts w:hint="eastAsia" w:ascii="Times New Roman" w:hAnsi="Times New Roman" w:cs="Times New Roman"/>
                <w:kern w:val="0"/>
                <w:sz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2.1.2</w:t>
            </w:r>
          </w:p>
        </w:tc>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资质要求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项目负责人</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2.1.3</w:t>
            </w:r>
          </w:p>
        </w:tc>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服务期限</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质量标准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符合第四章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合同条款及格式</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服务方案</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w:t>
            </w:r>
            <w:r>
              <w:rPr>
                <w:rFonts w:hint="eastAsia" w:ascii="Times New Roman" w:hAnsi="Times New Roman" w:cs="Times New Roman"/>
                <w:kern w:val="0"/>
                <w:sz w:val="24"/>
                <w:highlight w:val="none"/>
              </w:rPr>
              <w:t>五</w:t>
            </w:r>
            <w:r>
              <w:rPr>
                <w:rFonts w:ascii="Times New Roman" w:hAnsi="Times New Roman" w:cs="Times New Roman"/>
                <w:kern w:val="0"/>
                <w:sz w:val="24"/>
                <w:highlight w:val="none"/>
              </w:rPr>
              <w:t>章</w:t>
            </w:r>
            <w:r>
              <w:rPr>
                <w:rFonts w:hint="eastAsia" w:ascii="Times New Roman" w:hAnsi="Times New Roman" w:cs="Times New Roman"/>
                <w:kern w:val="0"/>
                <w:sz w:val="24"/>
                <w:highlight w:val="none"/>
              </w:rPr>
              <w:t>“发包人要求”规定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分值构成</w:t>
            </w:r>
          </w:p>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服务方案</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rPr>
              <w:t>20</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人员配置</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rPr>
              <w:t>20</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企业信誉</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rPr>
              <w:t>20</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企业业绩</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rPr>
              <w:t>20</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投标报价：</w:t>
            </w:r>
            <w:r>
              <w:rPr>
                <w:rFonts w:ascii="Times New Roman" w:hAnsi="Times New Roman" w:cs="Times New Roman"/>
                <w:kern w:val="0"/>
                <w:sz w:val="24"/>
                <w:highlight w:val="none"/>
                <w:u w:val="single"/>
              </w:rPr>
              <w:t>20</w:t>
            </w:r>
            <w:r>
              <w:rPr>
                <w:rFonts w:ascii="Times New Roman" w:hAnsi="Times New Roman" w:cs="Times New Roman"/>
                <w:kern w:val="0"/>
                <w:sz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2.2.2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详见评标办法“条款号5投标报价”评分标准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2.2.3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详见评标办法“条款号5投标报价”评分标准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服务方案</w:t>
            </w:r>
          </w:p>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1.基础工作扎实，对项目及背景理解深刻，对政府规划政策与宏观形势了解充分并紧密联系，符合项目总体发展要求。</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本项满分</w:t>
            </w:r>
            <w:r>
              <w:rPr>
                <w:rFonts w:hint="eastAsia" w:ascii="Times New Roman" w:hAnsi="Times New Roman" w:cs="Times New Roman"/>
                <w:kern w:val="0"/>
                <w:sz w:val="24"/>
                <w:highlight w:val="none"/>
              </w:rPr>
              <w:t>5</w:t>
            </w:r>
            <w:r>
              <w:rPr>
                <w:rFonts w:ascii="Times New Roman" w:hAnsi="Times New Roman" w:cs="Times New Roman"/>
                <w:kern w:val="0"/>
                <w:sz w:val="24"/>
                <w:highlight w:val="none"/>
              </w:rPr>
              <w:t>分，评委根据投标文件对比，酌情给分。</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2.工作框架及内容科学合理，规划思路具有前瞻性和可行性，对项目现状分析全面且准确，能有效指导项目规划发展建设。</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本项满分</w:t>
            </w:r>
            <w:r>
              <w:rPr>
                <w:rFonts w:hint="eastAsia" w:ascii="Times New Roman" w:hAnsi="Times New Roman" w:cs="Times New Roman"/>
                <w:kern w:val="0"/>
                <w:sz w:val="24"/>
                <w:highlight w:val="none"/>
              </w:rPr>
              <w:t>10</w:t>
            </w:r>
            <w:r>
              <w:rPr>
                <w:rFonts w:ascii="Times New Roman" w:hAnsi="Times New Roman" w:cs="Times New Roman"/>
                <w:kern w:val="0"/>
                <w:sz w:val="24"/>
                <w:highlight w:val="none"/>
              </w:rPr>
              <w:t>分，评委根据投标文件对比，酌情给分。</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3.项目勘察调研及工作计划安排合理，工作组织程序清晰，每个计划阶段有详细明确的工作目标和重点，且对工作进度完成情况有良好的承诺。</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本项满分</w:t>
            </w:r>
            <w:r>
              <w:rPr>
                <w:rFonts w:hint="eastAsia" w:ascii="Times New Roman" w:hAnsi="Times New Roman" w:cs="Times New Roman"/>
                <w:kern w:val="0"/>
                <w:sz w:val="24"/>
                <w:highlight w:val="none"/>
              </w:rPr>
              <w:t>5</w:t>
            </w:r>
            <w:r>
              <w:rPr>
                <w:rFonts w:ascii="Times New Roman" w:hAnsi="Times New Roman" w:cs="Times New Roman"/>
                <w:kern w:val="0"/>
                <w:sz w:val="24"/>
                <w:highlight w:val="none"/>
              </w:rPr>
              <w:t>分，评委根据投标文件对比，酌情给分。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人员配置</w:t>
            </w:r>
          </w:p>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1.投标人拟派项目负责人具备教授级高级城市规划师（或教授级高级工程师）职称的，得5分；具备高级城市规划师（或高级工程师）职称或注册城市规划师执业资格的，得3分</w:t>
            </w:r>
            <w:r>
              <w:rPr>
                <w:rFonts w:hint="eastAsia" w:ascii="Times New Roman" w:hAnsi="Times New Roman" w:cs="Times New Roman"/>
                <w:kern w:val="0"/>
                <w:sz w:val="24"/>
                <w:highlight w:val="none"/>
                <w:lang w:eastAsia="zh-CN"/>
              </w:rPr>
              <w:t>，其余不给分</w:t>
            </w:r>
            <w:r>
              <w:rPr>
                <w:rFonts w:hint="eastAsia" w:ascii="Times New Roman" w:hAnsi="Times New Roman" w:cs="Times New Roman"/>
                <w:kern w:val="0"/>
                <w:sz w:val="24"/>
                <w:highlight w:val="none"/>
              </w:rPr>
              <w:t>。</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2.投标人拟派技术人员具备教授级高级城市规划师（或教授级高级工程师）职称的，每</w:t>
            </w:r>
            <w:r>
              <w:rPr>
                <w:rFonts w:hint="eastAsia" w:ascii="Times New Roman" w:hAnsi="Times New Roman" w:cs="Times New Roman"/>
                <w:kern w:val="0"/>
                <w:sz w:val="24"/>
                <w:highlight w:val="none"/>
                <w:lang w:eastAsia="zh-CN"/>
              </w:rPr>
              <w:t>提供一人</w:t>
            </w:r>
            <w:r>
              <w:rPr>
                <w:rFonts w:hint="eastAsia" w:ascii="Times New Roman" w:hAnsi="Times New Roman" w:cs="Times New Roman"/>
                <w:kern w:val="0"/>
                <w:sz w:val="24"/>
                <w:highlight w:val="none"/>
              </w:rPr>
              <w:t>得5分；具备高级城市规划师（或高级工程师）职称或注册城市规划师执业资格的，得3分。本项满分15分，多分不计。</w:t>
            </w:r>
          </w:p>
          <w:p>
            <w:pPr>
              <w:wordWrap w:val="0"/>
              <w:spacing w:line="440" w:lineRule="exact"/>
              <w:ind w:firstLine="480" w:firstLineChars="200"/>
              <w:rPr>
                <w:rFonts w:ascii="Times New Roman" w:hAnsi="Times New Roman" w:eastAsia="楷体_GB2312" w:cs="Times New Roman"/>
                <w:kern w:val="0"/>
                <w:sz w:val="24"/>
                <w:highlight w:val="none"/>
              </w:rPr>
            </w:pPr>
            <w:r>
              <w:rPr>
                <w:rFonts w:hint="eastAsia" w:ascii="Times New Roman" w:hAnsi="Times New Roman" w:cs="Times New Roman"/>
                <w:kern w:val="0"/>
                <w:sz w:val="24"/>
                <w:highlight w:val="none"/>
              </w:rPr>
              <w:t>注：上述职称、执业资格均应注册在投标人单位</w:t>
            </w:r>
            <w:r>
              <w:rPr>
                <w:rFonts w:hint="eastAsia" w:ascii="Times New Roman" w:hAnsi="Times New Roman" w:cs="Times New Roman"/>
                <w:kern w:val="0"/>
                <w:sz w:val="24"/>
                <w:highlight w:val="none"/>
                <w:lang w:eastAsia="zh-CN"/>
              </w:rPr>
              <w:t>，且</w:t>
            </w:r>
            <w:r>
              <w:rPr>
                <w:rFonts w:hint="eastAsia" w:ascii="Times New Roman" w:hAnsi="Times New Roman" w:cs="Times New Roman"/>
                <w:kern w:val="0"/>
                <w:sz w:val="24"/>
                <w:highlight w:val="none"/>
              </w:rPr>
              <w:t>提供证书复印件或扫描件加盖公章装订在响应文件中）。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企业信誉</w:t>
            </w:r>
          </w:p>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1.投标人具有有效的环境管理体系认证、质量管理体系认证以及职业健康安全管理体系认证证书的每</w:t>
            </w:r>
            <w:r>
              <w:rPr>
                <w:rFonts w:hint="eastAsia" w:ascii="Times New Roman" w:hAnsi="Times New Roman" w:cs="Times New Roman"/>
                <w:kern w:val="0"/>
                <w:sz w:val="24"/>
                <w:highlight w:val="none"/>
                <w:lang w:eastAsia="zh-CN"/>
              </w:rPr>
              <w:t>提供一</w:t>
            </w:r>
            <w:r>
              <w:rPr>
                <w:rFonts w:hint="eastAsia" w:ascii="Times New Roman" w:hAnsi="Times New Roman" w:cs="Times New Roman"/>
                <w:kern w:val="0"/>
                <w:sz w:val="24"/>
                <w:highlight w:val="none"/>
              </w:rPr>
              <w:t>个得1分，没有不得分，本项满分3分。</w:t>
            </w:r>
            <w:r>
              <w:rPr>
                <w:rFonts w:hint="eastAsia" w:ascii="Times New Roman" w:hAnsi="Times New Roman" w:cs="Times New Roman"/>
                <w:b/>
                <w:bCs/>
                <w:kern w:val="0"/>
                <w:sz w:val="24"/>
                <w:highlight w:val="none"/>
              </w:rPr>
              <w:t>（提供证书复印件或扫描件加盖公章装订在响应文件中）</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2.自2015年1月1日</w:t>
            </w:r>
            <w:r>
              <w:rPr>
                <w:rFonts w:hint="eastAsia" w:ascii="Times New Roman" w:hAnsi="Times New Roman" w:cs="Times New Roman"/>
                <w:b/>
                <w:bCs/>
                <w:kern w:val="0"/>
                <w:sz w:val="24"/>
                <w:highlight w:val="none"/>
              </w:rPr>
              <w:t>（以证书颁发时间为准）</w:t>
            </w:r>
            <w:r>
              <w:rPr>
                <w:rFonts w:hint="eastAsia" w:ascii="Times New Roman" w:hAnsi="Times New Roman" w:cs="Times New Roman"/>
                <w:kern w:val="0"/>
                <w:sz w:val="24"/>
                <w:highlight w:val="none"/>
              </w:rPr>
              <w:t>以来投标人完成的港口规划项目获得过省级及以上工程咨询协会或省级及以上行业协会或省级及以上行业主管部门颁发的优秀工程咨询奖的每</w:t>
            </w:r>
            <w:r>
              <w:rPr>
                <w:rFonts w:hint="eastAsia" w:ascii="Times New Roman" w:hAnsi="Times New Roman" w:cs="Times New Roman"/>
                <w:kern w:val="0"/>
                <w:sz w:val="24"/>
                <w:highlight w:val="none"/>
                <w:lang w:eastAsia="zh-CN"/>
              </w:rPr>
              <w:t>提供</w:t>
            </w:r>
            <w:r>
              <w:rPr>
                <w:rFonts w:hint="eastAsia" w:ascii="Times New Roman" w:hAnsi="Times New Roman" w:cs="Times New Roman"/>
                <w:kern w:val="0"/>
                <w:sz w:val="24"/>
                <w:highlight w:val="none"/>
              </w:rPr>
              <w:t>1项得2分，本项满分4分</w:t>
            </w:r>
            <w:r>
              <w:rPr>
                <w:rFonts w:hint="eastAsia" w:ascii="Times New Roman" w:hAnsi="Times New Roman" w:cs="Times New Roman"/>
                <w:kern w:val="0"/>
                <w:sz w:val="24"/>
                <w:highlight w:val="none"/>
                <w:lang w:eastAsia="zh-CN"/>
              </w:rPr>
              <w:t>，多分不计</w:t>
            </w:r>
            <w:r>
              <w:rPr>
                <w:rFonts w:hint="eastAsia" w:ascii="Times New Roman" w:hAnsi="Times New Roman" w:cs="Times New Roman"/>
                <w:kern w:val="0"/>
                <w:sz w:val="24"/>
                <w:highlight w:val="none"/>
              </w:rPr>
              <w:t>。</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3.投标人属于交通运输部2018年水运工程建设领域守信典型企业的得6分，否则不得分</w:t>
            </w:r>
            <w:r>
              <w:rPr>
                <w:rFonts w:hint="eastAsia" w:ascii="Times New Roman" w:hAnsi="Times New Roman" w:cs="Times New Roman"/>
                <w:b/>
                <w:bCs/>
                <w:kern w:val="0"/>
                <w:sz w:val="24"/>
                <w:highlight w:val="none"/>
              </w:rPr>
              <w:t>（需提供交通运输部官网公示截图和其公示的2018年水运工程建设领域守信典型企业目录截图）</w:t>
            </w:r>
          </w:p>
          <w:p>
            <w:pPr>
              <w:wordWrap w:val="0"/>
              <w:spacing w:line="440" w:lineRule="exact"/>
              <w:ind w:firstLine="480" w:firstLineChars="200"/>
              <w:rPr>
                <w:rFonts w:ascii="Times New Roman" w:hAnsi="Times New Roman" w:eastAsia="楷体_GB2312" w:cs="Times New Roman"/>
                <w:kern w:val="0"/>
                <w:sz w:val="24"/>
                <w:highlight w:val="none"/>
              </w:rPr>
            </w:pPr>
            <w:r>
              <w:rPr>
                <w:rFonts w:hint="eastAsia" w:ascii="Times New Roman" w:hAnsi="Times New Roman" w:cs="Times New Roman"/>
                <w:kern w:val="0"/>
                <w:sz w:val="24"/>
                <w:highlight w:val="none"/>
              </w:rPr>
              <w:t>4.投标人在安徽省交通运输厅2018年、2019年公路水运从业单位水运设计企业信用评价结果中连续2年AA的得7分，只有1年AA的得3分，有A的得1分，其他不得分。</w:t>
            </w:r>
            <w:r>
              <w:rPr>
                <w:rFonts w:hint="eastAsia" w:ascii="Times New Roman" w:hAnsi="Times New Roman" w:cs="Times New Roman"/>
                <w:b/>
                <w:bCs/>
                <w:kern w:val="0"/>
                <w:sz w:val="24"/>
                <w:highlight w:val="none"/>
              </w:rPr>
              <w:t>（需提供安徽省交通运输厅官网公示截图和其公示的企业目录截图）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4</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企业业绩</w:t>
            </w:r>
          </w:p>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1.除招标公告门槛业绩外，投标人每额外提供1项企业类似项目业绩加10分，本项满分20分，多分不计。</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注：（1）企业类似项目业绩是指投标人自2015年1月1日以来，承接的港口或港口物流园总体规划（或控制性详细规划，含修编、修订、调整）编制业绩；（2）</w:t>
            </w:r>
            <w:r>
              <w:rPr>
                <w:rFonts w:hint="eastAsia" w:ascii="Times New Roman" w:hAnsi="Times New Roman" w:cs="Times New Roman"/>
                <w:b/>
                <w:bCs/>
                <w:kern w:val="0"/>
                <w:sz w:val="24"/>
                <w:highlight w:val="none"/>
              </w:rPr>
              <w:t>业绩时间以合同签订时间为准，投标人须提供业绩合同的复印件或扫描件，加盖投标人单位公章并装订入投标文件中。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5</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投标报价</w:t>
            </w:r>
          </w:p>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取所有有效投标人报价的算术平均数下浮N% 作为评标基准价，N的取值范围为1.5、2、2.5、3、3.5，对应抽取序号分别为1、2、3、4、5，假如抽到3，则N的取值为2.5，序号在开标环节由投标人代表抽取。</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在所有有效投标报价中，投标报价与评标基准价相比，投标报价比评标基准价每低于（小于）1%扣</w:t>
            </w:r>
            <w:r>
              <w:rPr>
                <w:rFonts w:hint="eastAsia" w:ascii="Times New Roman" w:hAnsi="Times New Roman" w:cs="Times New Roman"/>
                <w:kern w:val="0"/>
                <w:sz w:val="24"/>
                <w:highlight w:val="none"/>
              </w:rPr>
              <w:t>0.</w:t>
            </w:r>
            <w:r>
              <w:rPr>
                <w:rFonts w:hint="eastAsia" w:ascii="Times New Roman" w:hAnsi="Times New Roman" w:cs="Times New Roman"/>
                <w:kern w:val="0"/>
                <w:sz w:val="24"/>
                <w:highlight w:val="none"/>
                <w:lang w:val="en-US" w:eastAsia="zh-CN"/>
              </w:rPr>
              <w:t>5</w:t>
            </w:r>
            <w:r>
              <w:rPr>
                <w:rFonts w:ascii="Times New Roman" w:hAnsi="Times New Roman" w:cs="Times New Roman"/>
                <w:kern w:val="0"/>
                <w:sz w:val="24"/>
                <w:highlight w:val="none"/>
              </w:rPr>
              <w:t>分，每高于（大于）1%扣</w:t>
            </w:r>
            <w:r>
              <w:rPr>
                <w:rFonts w:hint="eastAsia" w:ascii="Times New Roman" w:hAnsi="Times New Roman" w:cs="Times New Roman"/>
                <w:kern w:val="0"/>
                <w:sz w:val="24"/>
                <w:highlight w:val="none"/>
              </w:rPr>
              <w:t>0.</w:t>
            </w:r>
            <w:r>
              <w:rPr>
                <w:rFonts w:hint="eastAsia" w:ascii="Times New Roman" w:hAnsi="Times New Roman" w:cs="Times New Roman"/>
                <w:kern w:val="0"/>
                <w:sz w:val="24"/>
                <w:highlight w:val="none"/>
                <w:lang w:val="en-US" w:eastAsia="zh-CN"/>
              </w:rPr>
              <w:t>5</w:t>
            </w:r>
            <w:r>
              <w:rPr>
                <w:rFonts w:ascii="Times New Roman" w:hAnsi="Times New Roman" w:cs="Times New Roman"/>
                <w:kern w:val="0"/>
                <w:sz w:val="24"/>
                <w:highlight w:val="none"/>
              </w:rPr>
              <w:t>分，不足1%部分按直线插入法同比率计算得分（四舍五入保留两位小数）。</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若评标委员会认定该投标报价低于成本价的，可以否决其投标。</w:t>
            </w:r>
          </w:p>
        </w:tc>
      </w:tr>
    </w:tbl>
    <w:p>
      <w:pPr>
        <w:rPr>
          <w:rFonts w:ascii="Times New Roman" w:hAnsi="Times New Roman" w:cs="Times New Roman"/>
          <w:b/>
          <w:bCs/>
          <w:kern w:val="0"/>
          <w:sz w:val="28"/>
          <w:szCs w:val="28"/>
          <w:highlight w:val="none"/>
        </w:rPr>
      </w:pPr>
      <w:r>
        <w:rPr>
          <w:rFonts w:ascii="Times New Roman" w:hAnsi="Times New Roman" w:eastAsia="黑体" w:cs="Times New Roman"/>
          <w:szCs w:val="21"/>
          <w:highlight w:val="none"/>
        </w:rPr>
        <w:t>说明</w:t>
      </w:r>
      <w:r>
        <w:rPr>
          <w:rFonts w:ascii="Times New Roman" w:hAnsi="Times New Roman" w:cs="Times New Roman"/>
          <w:szCs w:val="21"/>
          <w:highlight w:val="none"/>
        </w:rPr>
        <w:t>：评分区间一律按左闭右开计算</w:t>
      </w:r>
      <w:r>
        <w:rPr>
          <w:rFonts w:hint="eastAsia" w:ascii="Times New Roman" w:hAnsi="Times New Roman" w:cs="Times New Roman"/>
          <w:szCs w:val="21"/>
          <w:highlight w:val="none"/>
        </w:rPr>
        <w:t>，评分保留</w:t>
      </w:r>
      <w:r>
        <w:rPr>
          <w:rFonts w:hint="eastAsia" w:ascii="Times New Roman" w:hAnsi="Times New Roman" w:cs="Times New Roman"/>
          <w:szCs w:val="21"/>
          <w:highlight w:val="none"/>
          <w:lang w:val="en-US" w:eastAsia="zh-CN"/>
        </w:rPr>
        <w:t>1</w:t>
      </w:r>
      <w:bookmarkStart w:id="116" w:name="_GoBack"/>
      <w:bookmarkEnd w:id="116"/>
      <w:r>
        <w:rPr>
          <w:rFonts w:hint="eastAsia" w:ascii="Times New Roman" w:hAnsi="Times New Roman" w:cs="Times New Roman"/>
          <w:szCs w:val="21"/>
          <w:highlight w:val="none"/>
        </w:rPr>
        <w:t>位小数。</w:t>
      </w:r>
    </w:p>
    <w:p>
      <w:pP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1. 评标方法</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由招标人或者经招标人授权评标委员会自行确定。</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 评审标准</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2.1 初步评审标准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2.1.1 形式评审标准：见评标办法前附表。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2.1.2 资格评审标准：见评标办法前附表。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2.1.3 响应性评审标准：见评标办法前附表。</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2.2 分值构成与评分标准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2.2.1 分值构成</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服务方案</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rPr>
        <w:t>人员配置</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企业荣誉</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（4）企业业绩</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5</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投标报价</w:t>
      </w:r>
      <w:r>
        <w:rPr>
          <w:rFonts w:ascii="Times New Roman" w:hAnsi="Times New Roman" w:cs="Times New Roman"/>
          <w:kern w:val="0"/>
          <w:sz w:val="24"/>
          <w:highlight w:val="none"/>
        </w:rPr>
        <w:t>部分：见评标办法前附表</w:t>
      </w:r>
      <w:r>
        <w:rPr>
          <w:rFonts w:hint="eastAsia"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2.2.2 评标基准价计算</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评标基准价计算方法：见评标办法前附表。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2.2.3 投标报价的偏差率计算</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投标报价的偏差率计算公式：见评标办法前附表。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2.2.4 评分标准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服务方案</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rPr>
        <w:t>人员配置</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企业荣誉</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企业业绩</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5</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投标报价</w:t>
      </w:r>
      <w:r>
        <w:rPr>
          <w:rFonts w:ascii="Times New Roman" w:hAnsi="Times New Roman" w:cs="Times New Roman"/>
          <w:kern w:val="0"/>
          <w:sz w:val="24"/>
          <w:highlight w:val="none"/>
        </w:rPr>
        <w:t>部分：见评标办法前附表</w:t>
      </w:r>
      <w:r>
        <w:rPr>
          <w:rFonts w:hint="eastAsia" w:ascii="Times New Roman" w:hAnsi="Times New Roman" w:cs="Times New Roman"/>
          <w:kern w:val="0"/>
          <w:sz w:val="24"/>
          <w:highlight w:val="none"/>
        </w:rPr>
        <w:t>。</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 评标程序</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3.1 初步评审</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3.1.1评标委员会可以要求投标人提交第二章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规定的有关证明和证件的原件，以便核验。评标委员会依据本章规定的标准对投标文件进行初步评审。有一项不符合评审标准的，评标委员会应当否决其投标。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（1）国家发改委发布的《中华人民共和国标准招标文件》第二章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细则中</w:t>
      </w:r>
      <w:r>
        <w:rPr>
          <w:rFonts w:hint="eastAsia" w:ascii="Times New Roman" w:hAnsi="Times New Roman" w:cs="Times New Roman"/>
          <w:kern w:val="0"/>
          <w:sz w:val="24"/>
          <w:highlight w:val="none"/>
        </w:rPr>
        <w:t>第1.4.3项、第1.4.4项</w:t>
      </w:r>
      <w:r>
        <w:rPr>
          <w:rFonts w:ascii="Times New Roman" w:hAnsi="Times New Roman" w:cs="Times New Roman"/>
          <w:kern w:val="0"/>
          <w:sz w:val="24"/>
          <w:highlight w:val="none"/>
        </w:rPr>
        <w:t>规定的任何一种情形的；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2</w:t>
      </w:r>
      <w:r>
        <w:rPr>
          <w:rFonts w:ascii="Times New Roman" w:hAnsi="Times New Roman" w:cs="Times New Roman"/>
          <w:kern w:val="0"/>
          <w:sz w:val="24"/>
          <w:highlight w:val="none"/>
        </w:rPr>
        <w:t>）串通投标</w:t>
      </w:r>
      <w:r>
        <w:rPr>
          <w:rFonts w:hint="eastAsia" w:ascii="Times New Roman" w:hAnsi="Times New Roman" w:cs="Times New Roman"/>
          <w:kern w:val="0"/>
          <w:sz w:val="24"/>
          <w:highlight w:val="none"/>
        </w:rPr>
        <w:t>或</w:t>
      </w:r>
      <w:r>
        <w:rPr>
          <w:rFonts w:ascii="Times New Roman" w:hAnsi="Times New Roman" w:cs="Times New Roman"/>
          <w:kern w:val="0"/>
          <w:sz w:val="24"/>
          <w:highlight w:val="none"/>
        </w:rPr>
        <w:t>弄虚作假</w:t>
      </w:r>
      <w:r>
        <w:rPr>
          <w:rFonts w:hint="eastAsia" w:ascii="Times New Roman" w:hAnsi="Times New Roman" w:cs="Times New Roman"/>
          <w:kern w:val="0"/>
          <w:sz w:val="24"/>
          <w:highlight w:val="none"/>
        </w:rPr>
        <w:t>或有其他违法行为的；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）不按评标委员会要求澄清、说明或补正的。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3.1.3投标报价有算术错误</w:t>
      </w:r>
      <w:r>
        <w:rPr>
          <w:rFonts w:hint="eastAsia" w:ascii="Times New Roman" w:hAnsi="Times New Roman" w:cs="Times New Roman"/>
          <w:kern w:val="0"/>
          <w:sz w:val="24"/>
          <w:highlight w:val="none"/>
        </w:rPr>
        <w:t>及其他错误</w:t>
      </w:r>
      <w:r>
        <w:rPr>
          <w:rFonts w:ascii="Times New Roman" w:hAnsi="Times New Roman" w:cs="Times New Roman"/>
          <w:kern w:val="0"/>
          <w:sz w:val="24"/>
          <w:highlight w:val="none"/>
        </w:rPr>
        <w:t>的，评标委员会按以下原则</w:t>
      </w:r>
      <w:r>
        <w:rPr>
          <w:rFonts w:hint="eastAsia" w:ascii="Times New Roman" w:hAnsi="Times New Roman" w:cs="Times New Roman"/>
          <w:kern w:val="0"/>
          <w:sz w:val="24"/>
          <w:highlight w:val="none"/>
        </w:rPr>
        <w:t>要求投标人对投标报价进行修正，并要求投标人书面澄清确认。投标人拒不澄清确认的，评标委员会应当否决其投标：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（2）总价金额与</w:t>
      </w:r>
      <w:r>
        <w:rPr>
          <w:rFonts w:hint="eastAsia" w:ascii="Times New Roman" w:hAnsi="Times New Roman" w:cs="Times New Roman"/>
          <w:kern w:val="0"/>
          <w:sz w:val="24"/>
          <w:highlight w:val="none"/>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3.2 详细评审</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3.2.1 评标委员会按本章规定的量化因素和分值进行打分，并计算出综合评估得分。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（1）按本章规定的评审因素和分值对</w:t>
      </w:r>
      <w:r>
        <w:rPr>
          <w:rFonts w:hint="eastAsia" w:ascii="Times New Roman" w:hAnsi="Times New Roman" w:cs="Times New Roman"/>
          <w:kern w:val="0"/>
          <w:sz w:val="24"/>
          <w:highlight w:val="none"/>
        </w:rPr>
        <w:t>服务方案</w:t>
      </w:r>
      <w:r>
        <w:rPr>
          <w:rFonts w:ascii="Times New Roman" w:hAnsi="Times New Roman" w:cs="Times New Roman"/>
          <w:kern w:val="0"/>
          <w:sz w:val="24"/>
          <w:highlight w:val="none"/>
        </w:rPr>
        <w:t>部分计算出得分A；</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（2）按本章规定的评审因素和分值对</w:t>
      </w:r>
      <w:r>
        <w:rPr>
          <w:rFonts w:hint="eastAsia" w:ascii="Times New Roman" w:hAnsi="Times New Roman" w:cs="Times New Roman"/>
          <w:kern w:val="0"/>
          <w:sz w:val="24"/>
          <w:highlight w:val="none"/>
        </w:rPr>
        <w:t>人员配置</w:t>
      </w:r>
      <w:r>
        <w:rPr>
          <w:rFonts w:ascii="Times New Roman" w:hAnsi="Times New Roman" w:cs="Times New Roman"/>
          <w:kern w:val="0"/>
          <w:sz w:val="24"/>
          <w:highlight w:val="none"/>
        </w:rPr>
        <w:t>部分计算出得分B；</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）按本章规定的评审因素和分值对</w:t>
      </w:r>
      <w:r>
        <w:rPr>
          <w:rFonts w:hint="eastAsia" w:ascii="Times New Roman" w:hAnsi="Times New Roman" w:cs="Times New Roman"/>
          <w:kern w:val="0"/>
          <w:sz w:val="24"/>
          <w:highlight w:val="none"/>
        </w:rPr>
        <w:t>企业荣誉</w:t>
      </w:r>
      <w:r>
        <w:rPr>
          <w:rFonts w:ascii="Times New Roman" w:hAnsi="Times New Roman" w:cs="Times New Roman"/>
          <w:kern w:val="0"/>
          <w:sz w:val="24"/>
          <w:highlight w:val="none"/>
        </w:rPr>
        <w:t>部分计算出得分</w:t>
      </w:r>
      <w:r>
        <w:rPr>
          <w:rFonts w:hint="eastAsia" w:ascii="Times New Roman" w:hAnsi="Times New Roman" w:cs="Times New Roman"/>
          <w:kern w:val="0"/>
          <w:sz w:val="24"/>
          <w:highlight w:val="none"/>
        </w:rPr>
        <w:t>C</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4</w:t>
      </w:r>
      <w:r>
        <w:rPr>
          <w:rFonts w:ascii="Times New Roman" w:hAnsi="Times New Roman" w:cs="Times New Roman"/>
          <w:kern w:val="0"/>
          <w:sz w:val="24"/>
          <w:highlight w:val="none"/>
        </w:rPr>
        <w:t>）按本章规定的评审因素和分值对</w:t>
      </w:r>
      <w:r>
        <w:rPr>
          <w:rFonts w:hint="eastAsia" w:ascii="Times New Roman" w:hAnsi="Times New Roman" w:cs="Times New Roman"/>
          <w:kern w:val="0"/>
          <w:sz w:val="24"/>
          <w:highlight w:val="none"/>
        </w:rPr>
        <w:t>企业业绩</w:t>
      </w:r>
      <w:r>
        <w:rPr>
          <w:rFonts w:ascii="Times New Roman" w:hAnsi="Times New Roman" w:cs="Times New Roman"/>
          <w:kern w:val="0"/>
          <w:sz w:val="24"/>
          <w:highlight w:val="none"/>
        </w:rPr>
        <w:t>部分计算出得分</w:t>
      </w:r>
      <w:r>
        <w:rPr>
          <w:rFonts w:hint="eastAsia" w:ascii="Times New Roman" w:hAnsi="Times New Roman" w:cs="Times New Roman"/>
          <w:kern w:val="0"/>
          <w:sz w:val="24"/>
          <w:highlight w:val="none"/>
        </w:rPr>
        <w:t>D</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5</w:t>
      </w:r>
      <w:r>
        <w:rPr>
          <w:rFonts w:ascii="Times New Roman" w:hAnsi="Times New Roman" w:cs="Times New Roman"/>
          <w:kern w:val="0"/>
          <w:sz w:val="24"/>
          <w:highlight w:val="none"/>
        </w:rPr>
        <w:t>）按本章规定的评审因素和分值对</w:t>
      </w:r>
      <w:r>
        <w:rPr>
          <w:rFonts w:hint="eastAsia" w:ascii="Times New Roman" w:hAnsi="Times New Roman" w:cs="Times New Roman"/>
          <w:kern w:val="0"/>
          <w:sz w:val="24"/>
          <w:highlight w:val="none"/>
        </w:rPr>
        <w:t>投标报价</w:t>
      </w:r>
      <w:r>
        <w:rPr>
          <w:rFonts w:ascii="Times New Roman" w:hAnsi="Times New Roman" w:cs="Times New Roman"/>
          <w:kern w:val="0"/>
          <w:sz w:val="24"/>
          <w:highlight w:val="none"/>
        </w:rPr>
        <w:t>部分计算出得分</w:t>
      </w:r>
      <w:r>
        <w:rPr>
          <w:rFonts w:hint="eastAsia" w:ascii="Times New Roman" w:hAnsi="Times New Roman" w:cs="Times New Roman"/>
          <w:kern w:val="0"/>
          <w:sz w:val="24"/>
          <w:highlight w:val="none"/>
        </w:rPr>
        <w:t>E。</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3.2.2 评分分值计算保留小数点后两位，小数点后第三位</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四舍五入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3.2.3 投标人得分=A+B+</w:t>
      </w:r>
      <w:r>
        <w:rPr>
          <w:rFonts w:hint="eastAsia" w:ascii="Times New Roman" w:hAnsi="Times New Roman" w:cs="Times New Roman"/>
          <w:kern w:val="0"/>
          <w:sz w:val="24"/>
          <w:highlight w:val="none"/>
        </w:rPr>
        <w:t>C</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D</w:t>
      </w: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E</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3.3 投标文件的澄清和补正</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3.3.2 澄清、说明或补正不得超出投标文件的范围且不得改变投标文件的实质性内容，并构成投标文件的组成部分。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3.4 评标结果</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3.4.1 除第二章“投标人须知”前附表授权直接确定中标人外，评标委员会按照得分由高到低的顺序推荐中标候选人，并标明排序。</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3.4.2 评标委员会完成评标后，应当向招标人提交书面评标报告和中标候选人名单。</w:t>
      </w:r>
    </w:p>
    <w:p>
      <w:pP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 xml:space="preserve">第四章 </w:t>
      </w:r>
      <w:r>
        <w:rPr>
          <w:rFonts w:asciiTheme="majorEastAsia" w:hAnsiTheme="majorEastAsia" w:eastAsiaTheme="majorEastAsia" w:cstheme="majorEastAsia"/>
          <w:b/>
          <w:bCs/>
          <w:sz w:val="32"/>
          <w:szCs w:val="32"/>
          <w:highlight w:val="none"/>
        </w:rPr>
        <w:t>合同条款及格式</w:t>
      </w:r>
    </w:p>
    <w:p>
      <w:pPr>
        <w:spacing w:line="480" w:lineRule="exact"/>
        <w:jc w:val="center"/>
        <w:rPr>
          <w:rFonts w:asciiTheme="majorEastAsia" w:hAnsiTheme="majorEastAsia" w:eastAsiaTheme="majorEastAsia" w:cstheme="majorEastAsia"/>
          <w:b/>
          <w:bCs/>
          <w:sz w:val="32"/>
          <w:szCs w:val="32"/>
          <w:highlight w:val="none"/>
        </w:rPr>
      </w:pPr>
    </w:p>
    <w:p>
      <w:pPr>
        <w:spacing w:before="156" w:beforeLines="50" w:after="156" w:afterLines="50" w:line="480" w:lineRule="exact"/>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合同条款前附表</w:t>
      </w:r>
    </w:p>
    <w:tbl>
      <w:tblPr>
        <w:tblStyle w:val="15"/>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序号</w:t>
            </w:r>
          </w:p>
        </w:tc>
        <w:tc>
          <w:tcPr>
            <w:tcW w:w="1417"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条款名称</w:t>
            </w:r>
          </w:p>
        </w:tc>
        <w:tc>
          <w:tcPr>
            <w:tcW w:w="6611"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1</w:t>
            </w:r>
          </w:p>
        </w:tc>
        <w:tc>
          <w:tcPr>
            <w:tcW w:w="1417"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付款人</w:t>
            </w:r>
          </w:p>
        </w:tc>
        <w:tc>
          <w:tcPr>
            <w:tcW w:w="6611" w:type="dxa"/>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2</w:t>
            </w:r>
          </w:p>
        </w:tc>
        <w:tc>
          <w:tcPr>
            <w:tcW w:w="1417"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付款方式</w:t>
            </w:r>
          </w:p>
        </w:tc>
        <w:tc>
          <w:tcPr>
            <w:tcW w:w="6611" w:type="dxa"/>
            <w:vAlign w:val="center"/>
          </w:tcPr>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1.合同签订后10</w:t>
            </w:r>
            <w:r>
              <w:rPr>
                <w:rFonts w:hint="eastAsia" w:ascii="Times New Roman" w:hAnsi="Times New Roman" w:cs="Times New Roman"/>
                <w:kern w:val="0"/>
                <w:sz w:val="24"/>
                <w:highlight w:val="none"/>
                <w:lang w:eastAsia="zh-CN"/>
              </w:rPr>
              <w:t>个工作</w:t>
            </w:r>
            <w:r>
              <w:rPr>
                <w:rFonts w:hint="eastAsia" w:ascii="Times New Roman" w:hAnsi="Times New Roman" w:cs="Times New Roman"/>
                <w:kern w:val="0"/>
                <w:sz w:val="24"/>
                <w:highlight w:val="none"/>
              </w:rPr>
              <w:t>日内，支付至合同总价款的</w:t>
            </w:r>
            <w:r>
              <w:rPr>
                <w:rFonts w:hint="eastAsia" w:ascii="Times New Roman" w:hAnsi="Times New Roman" w:cs="Times New Roman"/>
                <w:kern w:val="0"/>
                <w:sz w:val="24"/>
                <w:highlight w:val="none"/>
                <w:lang w:val="en-US" w:eastAsia="zh-CN"/>
              </w:rPr>
              <w:t>2</w:t>
            </w:r>
            <w:r>
              <w:rPr>
                <w:rFonts w:hint="eastAsia" w:ascii="Times New Roman" w:hAnsi="Times New Roman" w:cs="Times New Roman"/>
                <w:kern w:val="0"/>
                <w:sz w:val="24"/>
                <w:highlight w:val="none"/>
              </w:rPr>
              <w:t>0%；</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2.</w:t>
            </w:r>
            <w:r>
              <w:rPr>
                <w:rFonts w:hint="eastAsia" w:ascii="Times New Roman" w:hAnsi="Times New Roman" w:cs="Times New Roman"/>
                <w:kern w:val="0"/>
                <w:sz w:val="24"/>
                <w:highlight w:val="none"/>
                <w:lang w:eastAsia="zh-CN"/>
              </w:rPr>
              <w:t>中标人提交初步成果文件经招标人确认后</w:t>
            </w:r>
            <w:r>
              <w:rPr>
                <w:rFonts w:hint="eastAsia" w:ascii="Times New Roman" w:hAnsi="Times New Roman" w:cs="Times New Roman"/>
                <w:kern w:val="0"/>
                <w:sz w:val="24"/>
                <w:highlight w:val="none"/>
                <w:lang w:val="en-US" w:eastAsia="zh-CN"/>
              </w:rPr>
              <w:t>10个工作日内</w:t>
            </w:r>
            <w:r>
              <w:rPr>
                <w:rFonts w:hint="eastAsia" w:ascii="Times New Roman" w:hAnsi="Times New Roman" w:cs="Times New Roman"/>
                <w:kern w:val="0"/>
                <w:sz w:val="24"/>
                <w:highlight w:val="none"/>
              </w:rPr>
              <w:t>，支付至合同总价款的</w:t>
            </w:r>
            <w:r>
              <w:rPr>
                <w:rFonts w:hint="eastAsia" w:ascii="Times New Roman" w:hAnsi="Times New Roman" w:cs="Times New Roman"/>
                <w:kern w:val="0"/>
                <w:sz w:val="24"/>
                <w:highlight w:val="none"/>
                <w:lang w:val="en-US" w:eastAsia="zh-CN"/>
              </w:rPr>
              <w:t>6</w:t>
            </w:r>
            <w:r>
              <w:rPr>
                <w:rFonts w:hint="eastAsia" w:ascii="Times New Roman" w:hAnsi="Times New Roman" w:cs="Times New Roman"/>
                <w:kern w:val="0"/>
                <w:sz w:val="24"/>
                <w:highlight w:val="none"/>
              </w:rPr>
              <w:t>0%；</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3.</w:t>
            </w:r>
            <w:r>
              <w:rPr>
                <w:rFonts w:hint="eastAsia" w:ascii="Times New Roman" w:hAnsi="Times New Roman" w:cs="Times New Roman"/>
                <w:kern w:val="0"/>
                <w:sz w:val="24"/>
                <w:highlight w:val="none"/>
                <w:lang w:eastAsia="zh-CN"/>
              </w:rPr>
              <w:t>中标人提交最终成果并经招标人最终确认后10个工作日内</w:t>
            </w:r>
            <w:r>
              <w:rPr>
                <w:rFonts w:hint="eastAsia" w:ascii="Times New Roman" w:hAnsi="Times New Roman" w:cs="Times New Roman"/>
                <w:kern w:val="0"/>
                <w:sz w:val="24"/>
                <w:highlight w:val="none"/>
              </w:rPr>
              <w:t>，支付至合同总价款的</w:t>
            </w:r>
            <w:r>
              <w:rPr>
                <w:rFonts w:hint="eastAsia" w:ascii="Times New Roman" w:hAnsi="Times New Roman" w:cs="Times New Roman"/>
                <w:kern w:val="0"/>
                <w:sz w:val="24"/>
                <w:highlight w:val="none"/>
                <w:lang w:val="en-US" w:eastAsia="zh-CN"/>
              </w:rPr>
              <w:t>95</w:t>
            </w:r>
            <w:r>
              <w:rPr>
                <w:rFonts w:hint="eastAsia" w:ascii="Times New Roman" w:hAnsi="Times New Roman" w:cs="Times New Roman"/>
                <w:kern w:val="0"/>
                <w:sz w:val="24"/>
                <w:highlight w:val="none"/>
              </w:rPr>
              <w:t>%；</w:t>
            </w:r>
          </w:p>
          <w:p>
            <w:pPr>
              <w:wordWrap w:val="0"/>
              <w:spacing w:line="440" w:lineRule="exact"/>
              <w:ind w:firstLine="480" w:firstLineChars="200"/>
              <w:rPr>
                <w:rFonts w:hint="default" w:ascii="Times New Roman" w:hAnsi="Times New Roman" w:cs="Times New Roman" w:eastAsiaTheme="minorEastAsia"/>
                <w:kern w:val="0"/>
                <w:sz w:val="24"/>
                <w:highlight w:val="none"/>
                <w:lang w:val="en-US" w:eastAsia="zh-CN"/>
              </w:rPr>
            </w:pPr>
            <w:r>
              <w:rPr>
                <w:rFonts w:hint="eastAsia" w:ascii="Times New Roman" w:hAnsi="Times New Roman" w:cs="Times New Roman"/>
                <w:kern w:val="0"/>
                <w:sz w:val="24"/>
                <w:highlight w:val="none"/>
                <w:lang w:val="en-US" w:eastAsia="zh-CN"/>
              </w:rPr>
              <w:t>4.剩余合同价款的5%提交成果满一年后支付。</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注：</w:t>
            </w:r>
            <w:r>
              <w:rPr>
                <w:rFonts w:hint="eastAsia" w:ascii="Times New Roman" w:hAnsi="Times New Roman" w:cs="Times New Roman"/>
                <w:kern w:val="0"/>
                <w:sz w:val="24"/>
                <w:highlight w:val="none"/>
                <w:lang w:eastAsia="zh-CN"/>
              </w:rPr>
              <w:t>招标人</w:t>
            </w:r>
            <w:r>
              <w:rPr>
                <w:rFonts w:ascii="Times New Roman" w:hAnsi="Times New Roman" w:cs="Times New Roman"/>
                <w:kern w:val="0"/>
                <w:sz w:val="24"/>
                <w:highlight w:val="none"/>
              </w:rPr>
              <w:t>付款前，</w:t>
            </w:r>
            <w:r>
              <w:rPr>
                <w:rFonts w:hint="eastAsia" w:ascii="Times New Roman" w:hAnsi="Times New Roman" w:cs="Times New Roman"/>
                <w:kern w:val="0"/>
                <w:sz w:val="24"/>
                <w:highlight w:val="none"/>
                <w:lang w:eastAsia="zh-CN"/>
              </w:rPr>
              <w:t>中标人</w:t>
            </w:r>
            <w:r>
              <w:rPr>
                <w:rFonts w:ascii="Times New Roman" w:hAnsi="Times New Roman" w:cs="Times New Roman"/>
                <w:kern w:val="0"/>
                <w:sz w:val="24"/>
                <w:highlight w:val="none"/>
              </w:rPr>
              <w:t>应</w:t>
            </w:r>
            <w:r>
              <w:rPr>
                <w:rFonts w:hint="eastAsia" w:ascii="Times New Roman" w:hAnsi="Times New Roman" w:cs="Times New Roman"/>
                <w:kern w:val="0"/>
                <w:sz w:val="24"/>
                <w:highlight w:val="none"/>
              </w:rPr>
              <w:t>按照国家税收有关规定</w:t>
            </w:r>
            <w:r>
              <w:rPr>
                <w:rFonts w:ascii="Times New Roman" w:hAnsi="Times New Roman" w:cs="Times New Roman"/>
                <w:kern w:val="0"/>
                <w:sz w:val="24"/>
                <w:highlight w:val="none"/>
              </w:rPr>
              <w:t>开具等额增值税专用发票</w:t>
            </w:r>
            <w:r>
              <w:rPr>
                <w:rFonts w:hint="eastAsia" w:ascii="Times New Roman" w:hAnsi="Times New Roman" w:cs="Times New Roman"/>
                <w:kern w:val="0"/>
                <w:sz w:val="24"/>
                <w:highlight w:val="none"/>
              </w:rPr>
              <w:t>。</w:t>
            </w:r>
          </w:p>
        </w:tc>
      </w:tr>
    </w:tbl>
    <w:p>
      <w:pPr>
        <w:spacing w:line="480" w:lineRule="exact"/>
        <w:rPr>
          <w:rFonts w:ascii="Times New Roman" w:hAnsi="Times New Roman" w:eastAsia="仿宋_GB2312" w:cs="Times New Roman"/>
          <w:sz w:val="28"/>
          <w:szCs w:val="28"/>
          <w:highlight w:val="none"/>
        </w:rPr>
      </w:pPr>
    </w:p>
    <w:p>
      <w:pPr>
        <w:spacing w:line="480" w:lineRule="exact"/>
        <w:ind w:firstLine="560" w:firstLineChars="200"/>
        <w:rPr>
          <w:rFonts w:hint="eastAsia" w:asciiTheme="minorEastAsia" w:hAnsiTheme="minorEastAsia" w:eastAsiaTheme="minorEastAsia" w:cstheme="minorEastAsia"/>
          <w:b/>
          <w:bCs/>
          <w:sz w:val="28"/>
          <w:szCs w:val="28"/>
          <w:highlight w:val="none"/>
        </w:rPr>
      </w:pPr>
      <w:r>
        <w:rPr>
          <w:rFonts w:hint="eastAsia" w:asciiTheme="minorEastAsia" w:hAnsiTheme="minorEastAsia" w:eastAsiaTheme="minorEastAsia" w:cstheme="minorEastAsia"/>
          <w:sz w:val="28"/>
          <w:szCs w:val="28"/>
          <w:highlight w:val="none"/>
        </w:rPr>
        <w:t>具体合同内容由招标人与中标单位在不违背招标文件内容和投标文件承诺的条件下友好协商签订。</w:t>
      </w:r>
    </w:p>
    <w:p>
      <w:pPr>
        <w:rPr>
          <w:rFonts w:hint="eastAsia" w:asciiTheme="minorEastAsia" w:hAnsiTheme="minorEastAsia" w:eastAsiaTheme="minorEastAsia" w:cstheme="minorEastAsia"/>
          <w:b/>
          <w:bCs/>
          <w:sz w:val="32"/>
          <w:szCs w:val="32"/>
          <w:highlight w:val="none"/>
        </w:rPr>
      </w:pPr>
    </w:p>
    <w:p>
      <w:pP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第五章 发包人要求</w:t>
      </w:r>
    </w:p>
    <w:p>
      <w:pPr>
        <w:spacing w:line="480" w:lineRule="exact"/>
        <w:jc w:val="center"/>
        <w:rPr>
          <w:rFonts w:asciiTheme="majorEastAsia" w:hAnsiTheme="majorEastAsia" w:eastAsiaTheme="majorEastAsia" w:cstheme="majorEastAsia"/>
          <w:b/>
          <w:bCs/>
          <w:sz w:val="32"/>
          <w:szCs w:val="32"/>
          <w:highlight w:val="none"/>
        </w:rPr>
      </w:pPr>
    </w:p>
    <w:p>
      <w:pPr>
        <w:wordWrap w:val="0"/>
        <w:spacing w:line="440" w:lineRule="exact"/>
        <w:ind w:firstLine="560" w:firstLineChars="200"/>
        <w:rPr>
          <w:rFonts w:ascii="黑体" w:hAnsi="黑体" w:eastAsia="黑体" w:cs="黑体"/>
          <w:sz w:val="28"/>
          <w:szCs w:val="28"/>
          <w:highlight w:val="none"/>
        </w:rPr>
      </w:pPr>
      <w:r>
        <w:rPr>
          <w:rFonts w:hint="eastAsia" w:ascii="黑体" w:hAnsi="黑体" w:eastAsia="黑体" w:cs="黑体"/>
          <w:sz w:val="28"/>
          <w:szCs w:val="28"/>
          <w:highlight w:val="none"/>
        </w:rPr>
        <w:t>（一）工作内容应包括但不限于以下内容：</w:t>
      </w:r>
    </w:p>
    <w:p>
      <w:pPr>
        <w:wordWrap w:val="0"/>
        <w:spacing w:line="44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第一部分：项目勘察</w:t>
      </w:r>
    </w:p>
    <w:p>
      <w:pPr>
        <w:wordWrap w:val="0"/>
        <w:spacing w:line="44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第二部分：编制《</w:t>
      </w:r>
      <w:r>
        <w:rPr>
          <w:rFonts w:hint="eastAsia" w:asciiTheme="minorEastAsia" w:hAnsiTheme="minorEastAsia" w:eastAsiaTheme="minorEastAsia" w:cstheme="minorEastAsia"/>
          <w:sz w:val="28"/>
          <w:szCs w:val="28"/>
          <w:highlight w:val="none"/>
          <w:lang w:eastAsia="zh-CN"/>
        </w:rPr>
        <w:t>亳州港多式联运物流园</w:t>
      </w:r>
      <w:r>
        <w:rPr>
          <w:rFonts w:hint="eastAsia" w:asciiTheme="minorEastAsia" w:hAnsiTheme="minorEastAsia" w:eastAsiaTheme="minorEastAsia" w:cstheme="minorEastAsia"/>
          <w:sz w:val="28"/>
          <w:szCs w:val="28"/>
          <w:highlight w:val="none"/>
        </w:rPr>
        <w:t>总体规划》</w:t>
      </w:r>
    </w:p>
    <w:p>
      <w:pPr>
        <w:wordWrap w:val="0"/>
        <w:spacing w:line="44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主要内容目录应包括：概述、物流园发展现状及评价、物流园需求分析及预测、物流园发展定位及目标、物流园功能区布局规划、物流园综合交通规划、环境保护规划、与相关规划关系、保障措施等。</w:t>
      </w:r>
    </w:p>
    <w:p>
      <w:pPr>
        <w:wordWrap w:val="0"/>
        <w:spacing w:line="44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物流园总体规划重点：关注物流需求、园区定位、功能分区、交通规划等内容。</w:t>
      </w:r>
    </w:p>
    <w:p>
      <w:pPr>
        <w:wordWrap w:val="0"/>
        <w:spacing w:line="44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第三部分：编制《</w:t>
      </w:r>
      <w:r>
        <w:rPr>
          <w:rFonts w:hint="eastAsia" w:asciiTheme="minorEastAsia" w:hAnsiTheme="minorEastAsia" w:eastAsiaTheme="minorEastAsia" w:cstheme="minorEastAsia"/>
          <w:sz w:val="28"/>
          <w:szCs w:val="28"/>
          <w:highlight w:val="none"/>
          <w:lang w:eastAsia="zh-CN"/>
        </w:rPr>
        <w:t>亳州港多式联运物流园</w:t>
      </w:r>
      <w:r>
        <w:rPr>
          <w:rFonts w:hint="eastAsia" w:asciiTheme="minorEastAsia" w:hAnsiTheme="minorEastAsia" w:eastAsiaTheme="minorEastAsia" w:cstheme="minorEastAsia"/>
          <w:sz w:val="28"/>
          <w:szCs w:val="28"/>
          <w:highlight w:val="none"/>
        </w:rPr>
        <w:t>控制性详细规划》</w:t>
      </w:r>
    </w:p>
    <w:p>
      <w:pPr>
        <w:wordWrap w:val="0"/>
        <w:spacing w:line="44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主要内容目录应包括：规划总论、现状条件、发展定位及目标、功能分区及布局、地块开发整体性控制、水域建设布置及控制、陆域建设布置及控制、道路交通与竖向控制、配套设施、规划设施等。</w:t>
      </w:r>
    </w:p>
    <w:p>
      <w:pPr>
        <w:wordWrap w:val="0"/>
        <w:spacing w:line="44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物流园区控制性详细规划重点：根据总规的定位和布局，对地块整体控制、水域建设控制、陆域建设控制、道路断面控制及竖向控制、水电布置等配套设施，匡算投资并制定分期建设计划。</w:t>
      </w:r>
    </w:p>
    <w:p>
      <w:pPr>
        <w:wordWrap w:val="0"/>
        <w:spacing w:line="44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（二）技术要求</w:t>
      </w:r>
    </w:p>
    <w:p>
      <w:pPr>
        <w:wordWrap w:val="0"/>
        <w:spacing w:line="44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中标人应按照合同约定和投标文件承诺完成咨询工作，建立完整的编制、校核、审核、会签和审批责任制度，明确各阶段、各专业责任人，按合同规定的内容、时间及份数向发包人交付成果文件，并对委托范围内编制的成果文件完整性、准确性负责。</w:t>
      </w:r>
    </w:p>
    <w:p>
      <w:pPr>
        <w:wordWrap w:val="0"/>
        <w:spacing w:line="44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2.中标人应自行获取编制成果文件所需的现场地形、物流行业、航运、公路、铁路交通、水文、土地规划及地方政府相关政策等基础资料，并对获取资料的真实性、准确性、完整性负责。中标人应负责进行比较的协调、联系和协作，收集和调查获取本项目分析研究所需的各方面资料。</w:t>
      </w:r>
    </w:p>
    <w:bookmarkEnd w:id="16"/>
    <w:bookmarkEnd w:id="17"/>
    <w:bookmarkEnd w:id="18"/>
    <w:bookmarkEnd w:id="19"/>
    <w:bookmarkEnd w:id="20"/>
    <w:bookmarkEnd w:id="21"/>
    <w:bookmarkEnd w:id="22"/>
    <w:bookmarkEnd w:id="23"/>
    <w:p>
      <w:pPr>
        <w:wordWrap w:val="0"/>
        <w:spacing w:line="440" w:lineRule="exact"/>
        <w:ind w:firstLine="643" w:firstLineChars="200"/>
        <w:rPr>
          <w:rFonts w:hint="eastAsia" w:asciiTheme="minorEastAsia" w:hAnsiTheme="minorEastAsia" w:eastAsiaTheme="minorEastAsia" w:cstheme="minorEastAsia"/>
          <w:b/>
          <w:bCs/>
          <w:sz w:val="32"/>
          <w:szCs w:val="32"/>
          <w:highlight w:val="none"/>
        </w:rPr>
      </w:pPr>
      <w:r>
        <w:rPr>
          <w:rFonts w:hint="eastAsia" w:asciiTheme="minorEastAsia" w:hAnsiTheme="minorEastAsia" w:eastAsiaTheme="minorEastAsia" w:cstheme="minorEastAsia"/>
          <w:b/>
          <w:bCs/>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w:t>
      </w:r>
      <w:r>
        <w:rPr>
          <w:rFonts w:hint="eastAsia" w:asciiTheme="majorEastAsia" w:hAnsiTheme="majorEastAsia" w:eastAsiaTheme="majorEastAsia" w:cstheme="majorEastAsia"/>
          <w:b/>
          <w:bCs/>
          <w:sz w:val="32"/>
          <w:szCs w:val="32"/>
          <w:highlight w:val="none"/>
        </w:rPr>
        <w:t>六</w:t>
      </w:r>
      <w:r>
        <w:rPr>
          <w:rFonts w:asciiTheme="majorEastAsia" w:hAnsiTheme="majorEastAsia" w:eastAsiaTheme="majorEastAsia" w:cstheme="majorEastAsia"/>
          <w:b/>
          <w:bCs/>
          <w:sz w:val="32"/>
          <w:szCs w:val="32"/>
          <w:highlight w:val="none"/>
        </w:rPr>
        <w:t>章</w:t>
      </w:r>
      <w:r>
        <w:rPr>
          <w:rFonts w:hint="eastAsia" w:asciiTheme="majorEastAsia" w:hAnsiTheme="majorEastAsia" w:eastAsiaTheme="majorEastAsia" w:cstheme="majorEastAsia"/>
          <w:b/>
          <w:bCs/>
          <w:sz w:val="32"/>
          <w:szCs w:val="32"/>
          <w:highlight w:val="none"/>
        </w:rPr>
        <w:t xml:space="preserve"> </w:t>
      </w:r>
      <w:r>
        <w:rPr>
          <w:rFonts w:asciiTheme="majorEastAsia" w:hAnsiTheme="majorEastAsia" w:eastAsiaTheme="majorEastAsia" w:cstheme="majorEastAsia"/>
          <w:b/>
          <w:bCs/>
          <w:sz w:val="32"/>
          <w:szCs w:val="32"/>
          <w:highlight w:val="none"/>
        </w:rPr>
        <w:t>投标文件格式</w:t>
      </w:r>
    </w:p>
    <w:p>
      <w:pPr>
        <w:wordWrap w:val="0"/>
        <w:spacing w:line="520" w:lineRule="exact"/>
        <w:jc w:val="center"/>
        <w:rPr>
          <w:rFonts w:ascii="Times New Roman" w:hAnsi="Times New Roman" w:eastAsia="黑体" w:cs="Times New Roman"/>
          <w:kern w:val="0"/>
          <w:sz w:val="32"/>
          <w:szCs w:val="32"/>
          <w:highlight w:val="none"/>
        </w:rPr>
      </w:pPr>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hint="eastAsia" w:ascii="Times New Roman" w:hAnsi="Times New Roman" w:eastAsia="黑体" w:cs="Times New Roman"/>
          <w:kern w:val="0"/>
          <w:sz w:val="32"/>
          <w:szCs w:val="32"/>
          <w:highlight w:val="none"/>
          <w:lang w:eastAsia="zh-CN"/>
        </w:rPr>
      </w:pPr>
      <w:r>
        <w:rPr>
          <w:rFonts w:hint="eastAsia" w:ascii="Times New Roman" w:hAnsi="Times New Roman" w:eastAsia="黑体" w:cs="Times New Roman"/>
          <w:kern w:val="0"/>
          <w:sz w:val="32"/>
          <w:szCs w:val="32"/>
          <w:highlight w:val="none"/>
          <w:lang w:eastAsia="zh-CN"/>
        </w:rPr>
        <w:t>亳州港多式联运物流园项目总体规划和控制性详细规划</w:t>
      </w:r>
    </w:p>
    <w:p>
      <w:pPr>
        <w:wordWrap w:val="0"/>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方正小标宋简体" w:cs="Times New Roman"/>
          <w:kern w:val="0"/>
          <w:sz w:val="84"/>
          <w:szCs w:val="84"/>
          <w:highlight w:val="none"/>
        </w:rPr>
      </w:pPr>
      <w:r>
        <w:rPr>
          <w:rFonts w:hint="eastAsia" w:ascii="Times New Roman" w:hAnsi="Times New Roman" w:eastAsia="方正小标宋简体" w:cs="Times New Roman"/>
          <w:kern w:val="0"/>
          <w:sz w:val="84"/>
          <w:szCs w:val="84"/>
          <w:highlight w:val="none"/>
        </w:rPr>
        <w:t>投</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wordWrap w:val="0"/>
        <w:jc w:val="center"/>
        <w:rPr>
          <w:rFonts w:ascii="Times New Roman" w:hAnsi="Times New Roman" w:eastAsia="楷体" w:cs="Times New Roman"/>
          <w:kern w:val="0"/>
          <w:sz w:val="28"/>
          <w:szCs w:val="28"/>
          <w:highlight w:val="none"/>
        </w:rPr>
      </w:pPr>
    </w:p>
    <w:p>
      <w:pPr>
        <w:wordWrap w:val="0"/>
        <w:jc w:val="center"/>
        <w:rPr>
          <w:rFonts w:ascii="Times New Roman" w:hAnsi="Times New Roman" w:eastAsia="楷体" w:cs="Times New Roman"/>
          <w:kern w:val="0"/>
          <w:sz w:val="28"/>
          <w:szCs w:val="28"/>
          <w:highlight w:val="none"/>
        </w:rPr>
      </w:pPr>
      <w:r>
        <w:rPr>
          <w:rFonts w:ascii="Times New Roman" w:hAnsi="Times New Roman" w:eastAsia="楷体" w:cs="Times New Roman"/>
          <w:kern w:val="0"/>
          <w:sz w:val="28"/>
          <w:szCs w:val="28"/>
          <w:highlight w:val="none"/>
        </w:rPr>
        <w:t>项目编号：BZJK-20</w:t>
      </w:r>
      <w:r>
        <w:rPr>
          <w:rFonts w:hint="eastAsia" w:ascii="Times New Roman" w:hAnsi="Times New Roman" w:eastAsia="楷体" w:cs="Times New Roman"/>
          <w:kern w:val="0"/>
          <w:sz w:val="28"/>
          <w:szCs w:val="28"/>
          <w:highlight w:val="none"/>
        </w:rPr>
        <w:t>20</w:t>
      </w:r>
      <w:r>
        <w:rPr>
          <w:rFonts w:ascii="Times New Roman" w:hAnsi="Times New Roman" w:eastAsia="楷体" w:cs="Times New Roman"/>
          <w:kern w:val="0"/>
          <w:sz w:val="28"/>
          <w:szCs w:val="28"/>
          <w:highlight w:val="none"/>
        </w:rPr>
        <w:t>-0</w:t>
      </w:r>
      <w:r>
        <w:rPr>
          <w:rFonts w:hint="eastAsia" w:ascii="Times New Roman" w:hAnsi="Times New Roman" w:eastAsia="楷体" w:cs="Times New Roman"/>
          <w:kern w:val="0"/>
          <w:sz w:val="28"/>
          <w:szCs w:val="28"/>
          <w:highlight w:val="none"/>
        </w:rPr>
        <w:t>14</w:t>
      </w:r>
      <w:r>
        <w:rPr>
          <w:rFonts w:ascii="Times New Roman" w:hAnsi="Times New Roman" w:eastAsia="楷体" w:cs="Times New Roman"/>
          <w:kern w:val="0"/>
          <w:sz w:val="28"/>
          <w:szCs w:val="28"/>
          <w:highlight w:val="none"/>
        </w:rPr>
        <w:t>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投标</w:t>
      </w:r>
      <w:r>
        <w:rPr>
          <w:rFonts w:ascii="Times New Roman" w:hAnsi="Times New Roman" w:eastAsia="楷体" w:cs="Times New Roman"/>
          <w:kern w:val="0"/>
          <w:sz w:val="32"/>
          <w:szCs w:val="32"/>
          <w:highlight w:val="none"/>
        </w:rPr>
        <w:t>单位：</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（盖章）</w:t>
      </w: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法定代表人或其委托代理人：</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（签字）</w:t>
      </w:r>
    </w:p>
    <w:p>
      <w:pPr>
        <w:ind w:firstLine="1920" w:firstLine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年</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月</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日</w:t>
      </w:r>
    </w:p>
    <w:p>
      <w:pPr>
        <w:wordWrap w:val="0"/>
        <w:spacing w:line="520" w:lineRule="exact"/>
        <w:rPr>
          <w:rFonts w:ascii="宋体" w:hAnsi="宋体" w:eastAsia="宋体" w:cs="宋体"/>
          <w:kern w:val="0"/>
          <w:sz w:val="24"/>
          <w:highlight w:val="none"/>
        </w:rPr>
      </w:pPr>
      <w:r>
        <w:rPr>
          <w:rFonts w:hint="eastAsia" w:ascii="宋体" w:hAnsi="宋体" w:eastAsia="宋体" w:cs="宋体"/>
          <w:kern w:val="0"/>
          <w:sz w:val="24"/>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一</w:t>
      </w:r>
      <w:r>
        <w:rPr>
          <w:rFonts w:hint="eastAsia" w:ascii="Times New Roman" w:hAnsi="Times New Roman" w:eastAsia="黑体" w:cs="Times New Roman"/>
          <w:kern w:val="0"/>
          <w:sz w:val="32"/>
          <w:szCs w:val="32"/>
          <w:highlight w:val="none"/>
        </w:rPr>
        <w:t>、投标函及投标函附录</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二</w:t>
      </w:r>
      <w:r>
        <w:rPr>
          <w:rFonts w:hint="eastAsia" w:ascii="Times New Roman" w:hAnsi="Times New Roman" w:eastAsia="黑体" w:cs="Times New Roman"/>
          <w:kern w:val="0"/>
          <w:sz w:val="32"/>
          <w:szCs w:val="32"/>
          <w:highlight w:val="none"/>
        </w:rPr>
        <w:t>、法定代表人身份证明</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二、授权委托书</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三、投标保证金</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四、服务费用清单</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五、资格审查资料</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六、服务方案</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七、其他资料</w:t>
      </w: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rPr>
          <w:rFonts w:ascii="宋体" w:hAnsi="宋体" w:eastAsia="宋体" w:cs="宋体"/>
          <w:b/>
          <w:bCs/>
          <w:kern w:val="0"/>
          <w:sz w:val="24"/>
          <w:highlight w:val="none"/>
        </w:rPr>
      </w:pPr>
      <w:r>
        <w:rPr>
          <w:rFonts w:hint="eastAsia" w:ascii="宋体" w:hAnsi="宋体" w:eastAsia="宋体" w:cs="宋体"/>
          <w:b/>
          <w:bCs/>
          <w:kern w:val="0"/>
          <w:sz w:val="24"/>
          <w:highlight w:val="none"/>
        </w:rPr>
        <w:br w:type="page"/>
      </w:r>
    </w:p>
    <w:p>
      <w:pPr>
        <w:pStyle w:val="3"/>
        <w:jc w:val="center"/>
        <w:rPr>
          <w:rFonts w:ascii="Times New Roman" w:hAnsi="Times New Roman"/>
          <w:szCs w:val="21"/>
          <w:highlight w:val="none"/>
          <w:u w:val="single"/>
        </w:rPr>
      </w:pPr>
      <w:bookmarkStart w:id="24" w:name="_Toc492300526"/>
      <w:r>
        <w:rPr>
          <w:rFonts w:ascii="Times New Roman" w:hAnsi="Times New Roman"/>
          <w:highlight w:val="none"/>
        </w:rPr>
        <w:t>一、投标</w:t>
      </w:r>
      <w:bookmarkStart w:id="25" w:name="_Toc369531692"/>
      <w:bookmarkStart w:id="26" w:name="_Toc6931"/>
      <w:bookmarkStart w:id="27" w:name="_Toc352691656"/>
      <w:r>
        <w:rPr>
          <w:rFonts w:ascii="Times New Roman" w:hAnsi="Times New Roman"/>
          <w:highlight w:val="none"/>
        </w:rPr>
        <w:t>函</w:t>
      </w:r>
      <w:bookmarkEnd w:id="24"/>
      <w:bookmarkEnd w:id="25"/>
      <w:bookmarkEnd w:id="26"/>
      <w:bookmarkEnd w:id="27"/>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招标文件的全部内容，愿意以人民币（大写）</w:t>
      </w:r>
      <w:r>
        <w:rPr>
          <w:rFonts w:ascii="Times New Roman" w:hAnsi="Times New Roman"/>
          <w:szCs w:val="21"/>
          <w:highlight w:val="none"/>
          <w:u w:val="single"/>
        </w:rPr>
        <w:t xml:space="preserve">               </w:t>
      </w:r>
      <w:r>
        <w:rPr>
          <w:rFonts w:ascii="Times New Roman" w:hAnsi="Times New Roman"/>
          <w:szCs w:val="21"/>
          <w:highlight w:val="none"/>
        </w:rPr>
        <w:t>（¥</w:t>
      </w:r>
      <w:r>
        <w:rPr>
          <w:rFonts w:ascii="Times New Roman" w:hAnsi="Times New Roman"/>
          <w:szCs w:val="21"/>
          <w:highlight w:val="none"/>
          <w:u w:val="single"/>
        </w:rPr>
        <w:t xml:space="preserve">               </w:t>
      </w:r>
      <w:r>
        <w:rPr>
          <w:rFonts w:ascii="Times New Roman" w:hAnsi="Times New Roman"/>
          <w:szCs w:val="21"/>
          <w:highlight w:val="none"/>
        </w:rPr>
        <w:t>）的投标总报价（其中，增值税税率为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szCs w:val="21"/>
          <w:highlight w:val="none"/>
        </w:rPr>
        <w:t>），</w:t>
      </w:r>
      <w:r>
        <w:rPr>
          <w:rFonts w:ascii="Times New Roman" w:hAnsi="Times New Roman"/>
          <w:szCs w:val="21"/>
          <w:highlight w:val="none"/>
        </w:rPr>
        <w:t>服务期限：</w:t>
      </w:r>
      <w:r>
        <w:rPr>
          <w:rFonts w:ascii="Times New Roman" w:hAnsi="Times New Roman"/>
          <w:szCs w:val="21"/>
          <w:highlight w:val="none"/>
          <w:u w:val="single"/>
        </w:rPr>
        <w:t xml:space="preserve">      </w:t>
      </w:r>
      <w:r>
        <w:rPr>
          <w:rFonts w:ascii="Times New Roman" w:hAnsi="Times New Roman"/>
          <w:szCs w:val="21"/>
          <w:highlight w:val="none"/>
        </w:rPr>
        <w:t>，按合同约定完成</w:t>
      </w:r>
      <w:r>
        <w:rPr>
          <w:rFonts w:hint="eastAsia" w:ascii="Times New Roman" w:hAnsi="Times New Roman"/>
          <w:szCs w:val="21"/>
          <w:highlight w:val="none"/>
        </w:rPr>
        <w:t>编制工作</w:t>
      </w:r>
      <w:r>
        <w:rPr>
          <w:rFonts w:ascii="Times New Roman" w:hAnsi="Times New Roman"/>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（1）投标函及投标函附录；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（2）法定代表人身份证明或授权委托书；</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（3）投标保证金；</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（4）服务费用清单；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（5）资格审查资料；</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（6）服务方案；</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4．如我方中标，我方承诺：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（1）在收到中标通知书后，在中标通知书规定的期限内与你方签订合同；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28" w:name="_Toc1187"/>
      <w:bookmarkStart w:id="29" w:name="_Toc369531694"/>
      <w:bookmarkStart w:id="30" w:name="_Toc352691658"/>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28"/>
      <w:bookmarkEnd w:id="29"/>
      <w:bookmarkEnd w:id="30"/>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31" w:name="_Toc352691659"/>
      <w:bookmarkEnd w:id="31"/>
      <w:bookmarkStart w:id="32" w:name="_Toc369531696"/>
      <w:bookmarkEnd w:id="32"/>
      <w:bookmarkStart w:id="33" w:name="_Toc16568"/>
      <w:bookmarkEnd w:id="33"/>
      <w:bookmarkStart w:id="34" w:name="_Toc352691660"/>
      <w:bookmarkEnd w:id="34"/>
      <w:bookmarkStart w:id="35" w:name="_Toc369531695"/>
      <w:bookmarkEnd w:id="35"/>
      <w:bookmarkStart w:id="36" w:name="_Toc16824"/>
      <w:bookmarkEnd w:id="36"/>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37" w:name="_Toc369531697"/>
      <w:bookmarkStart w:id="38" w:name="_Toc361508752"/>
      <w:bookmarkStart w:id="39" w:name="_Toc384308375"/>
      <w:bookmarkStart w:id="40" w:name="_Toc144974856"/>
      <w:bookmarkStart w:id="41" w:name="_Toc247527827"/>
      <w:bookmarkStart w:id="42" w:name="_Toc247514246"/>
      <w:bookmarkStart w:id="43" w:name="_Toc352691661"/>
      <w:bookmarkStart w:id="44" w:name="_Toc152042576"/>
      <w:bookmarkStart w:id="45" w:name="_Toc152045787"/>
      <w:bookmarkStart w:id="46" w:name="_Toc300835209"/>
      <w:bookmarkStart w:id="47" w:name="_Toc17960"/>
    </w:p>
    <w:p>
      <w:pPr>
        <w:pStyle w:val="3"/>
        <w:jc w:val="center"/>
        <w:rPr>
          <w:rFonts w:ascii="Times New Roman" w:hAnsi="Times New Roman"/>
          <w:color w:val="000000"/>
          <w:highlight w:val="none"/>
        </w:rPr>
      </w:pPr>
      <w:bookmarkStart w:id="48" w:name="_Toc492300529"/>
      <w:r>
        <w:rPr>
          <w:rFonts w:ascii="Times New Roman" w:hAnsi="Times New Roman"/>
          <w:color w:val="000000"/>
          <w:highlight w:val="none"/>
        </w:rPr>
        <w:t>二</w:t>
      </w:r>
      <w:bookmarkEnd w:id="37"/>
      <w:bookmarkEnd w:id="38"/>
      <w:bookmarkEnd w:id="39"/>
      <w:bookmarkEnd w:id="40"/>
      <w:bookmarkEnd w:id="41"/>
      <w:bookmarkEnd w:id="42"/>
      <w:bookmarkEnd w:id="43"/>
      <w:bookmarkEnd w:id="44"/>
      <w:bookmarkEnd w:id="45"/>
      <w:bookmarkEnd w:id="46"/>
      <w:bookmarkEnd w:id="47"/>
      <w:r>
        <w:rPr>
          <w:rFonts w:ascii="Times New Roman" w:hAnsi="Times New Roman"/>
          <w:color w:val="000000"/>
          <w:highlight w:val="none"/>
        </w:rPr>
        <w:t>、法定代表人身份证明</w:t>
      </w:r>
      <w:bookmarkEnd w:id="48"/>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49" w:name="_Toc352691662"/>
      <w:bookmarkStart w:id="50" w:name="_Toc27897"/>
      <w:bookmarkStart w:id="51" w:name="_Toc369531698"/>
      <w:r>
        <w:rPr>
          <w:rFonts w:ascii="Times New Roman" w:hAnsi="Times New Roman"/>
          <w:highlight w:val="none"/>
          <w:u w:val="single"/>
        </w:rPr>
        <w:t xml:space="preserve">        </w:t>
      </w:r>
      <w:r>
        <w:rPr>
          <w:rFonts w:ascii="Times New Roman" w:hAnsi="Times New Roman"/>
          <w:color w:val="000000"/>
          <w:highlight w:val="none"/>
        </w:rPr>
        <w:t>年</w:t>
      </w:r>
      <w:bookmarkEnd w:id="49"/>
      <w:bookmarkEnd w:id="50"/>
      <w:bookmarkEnd w:id="51"/>
      <w:r>
        <w:rPr>
          <w:rFonts w:ascii="Times New Roman" w:hAnsi="Times New Roman"/>
          <w:color w:val="000000"/>
          <w:highlight w:val="none"/>
        </w:rPr>
        <w:t>龄</w:t>
      </w:r>
      <w:bookmarkStart w:id="52" w:name="_Toc247514248"/>
      <w:bookmarkStart w:id="53" w:name="_Toc352691663"/>
      <w:bookmarkStart w:id="54" w:name="_Toc152042578"/>
      <w:bookmarkStart w:id="55" w:name="_Toc15573"/>
      <w:bookmarkStart w:id="56" w:name="_Toc144974858"/>
      <w:bookmarkStart w:id="57" w:name="_Toc361508754"/>
      <w:bookmarkStart w:id="58" w:name="_Toc247527829"/>
      <w:bookmarkStart w:id="59" w:name="_Toc384308377"/>
      <w:bookmarkStart w:id="60" w:name="_Toc369531699"/>
      <w:bookmarkStart w:id="61" w:name="_Toc300835211"/>
      <w:bookmarkStart w:id="62" w:name="_Toc152045789"/>
      <w:r>
        <w:rPr>
          <w:rFonts w:ascii="Times New Roman" w:hAnsi="Times New Roman"/>
          <w:color w:val="000000"/>
          <w:highlight w:val="none"/>
        </w:rPr>
        <w:t>：</w:t>
      </w:r>
      <w:bookmarkEnd w:id="52"/>
      <w:bookmarkEnd w:id="53"/>
      <w:bookmarkEnd w:id="54"/>
      <w:bookmarkEnd w:id="55"/>
      <w:bookmarkEnd w:id="56"/>
      <w:bookmarkEnd w:id="57"/>
      <w:bookmarkEnd w:id="58"/>
      <w:bookmarkEnd w:id="59"/>
      <w:bookmarkEnd w:id="60"/>
      <w:bookmarkEnd w:id="61"/>
      <w:bookmarkEnd w:id="62"/>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center"/>
        <w:rPr>
          <w:rFonts w:ascii="Times New Roman" w:hAnsi="Times New Roman" w:eastAsia="黑体"/>
          <w:color w:val="000000"/>
          <w:sz w:val="20"/>
          <w:highlight w:val="none"/>
        </w:rPr>
      </w:pPr>
      <w:r>
        <w:rPr>
          <w:rFonts w:ascii="Times New Roman" w:hAnsi="Times New Roman" w:eastAsia="黑体"/>
          <w:color w:val="000000"/>
          <w:sz w:val="20"/>
          <w:highlight w:val="none"/>
        </w:rPr>
        <w:br w:type="page"/>
      </w:r>
    </w:p>
    <w:p>
      <w:pPr>
        <w:pStyle w:val="3"/>
        <w:jc w:val="center"/>
        <w:rPr>
          <w:rFonts w:ascii="Times New Roman" w:hAnsi="Times New Roman"/>
          <w:color w:val="000000"/>
          <w:highlight w:val="none"/>
        </w:rPr>
      </w:pPr>
      <w:bookmarkStart w:id="63" w:name="_Toc492300530"/>
      <w:r>
        <w:rPr>
          <w:rFonts w:hint="eastAsia" w:ascii="Times New Roman" w:hAnsi="Times New Roman"/>
          <w:highlight w:val="none"/>
        </w:rPr>
        <w:t>二、授权委托</w:t>
      </w:r>
      <w:r>
        <w:rPr>
          <w:rFonts w:hint="eastAsia" w:ascii="Times New Roman" w:hAnsi="Times New Roman"/>
          <w:color w:val="000000"/>
          <w:highlight w:val="none"/>
        </w:rPr>
        <w:t>书</w:t>
      </w:r>
      <w:bookmarkEnd w:id="63"/>
    </w:p>
    <w:p>
      <w:pPr>
        <w:spacing w:line="440" w:lineRule="exact"/>
        <w:rPr>
          <w:rFonts w:ascii="Times New Roman" w:hAnsi="Times New Roman" w:eastAsia="黑体"/>
          <w:color w:val="000000"/>
          <w:highlight w:val="none"/>
        </w:rPr>
      </w:pPr>
    </w:p>
    <w:p>
      <w:pPr>
        <w:topLinePunct/>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本人</w:t>
      </w:r>
      <w:r>
        <w:rPr>
          <w:rFonts w:ascii="Times New Roman" w:hAnsi="Times New Roman"/>
          <w:highlight w:val="none"/>
          <w:u w:val="single"/>
        </w:rPr>
        <w:t xml:space="preserve">              </w:t>
      </w:r>
      <w:r>
        <w:rPr>
          <w:rFonts w:ascii="Times New Roman" w:hAnsi="Times New Roman"/>
          <w:color w:val="000000"/>
          <w:highlight w:val="none"/>
        </w:rPr>
        <w:t>（姓名）系</w:t>
      </w:r>
      <w:r>
        <w:rPr>
          <w:rFonts w:ascii="Times New Roman" w:hAnsi="Times New Roman"/>
          <w:highlight w:val="none"/>
          <w:u w:val="single"/>
        </w:rPr>
        <w:t xml:space="preserve">                    </w:t>
      </w:r>
      <w:r>
        <w:rPr>
          <w:rFonts w:ascii="Times New Roman" w:hAnsi="Times New Roman"/>
          <w:color w:val="000000"/>
          <w:highlight w:val="none"/>
        </w:rPr>
        <w:t>（投标人名称）的法定代表人，现委托</w:t>
      </w:r>
      <w:r>
        <w:rPr>
          <w:rFonts w:ascii="Times New Roman" w:hAnsi="Times New Roman"/>
          <w:highlight w:val="none"/>
          <w:u w:val="single"/>
        </w:rPr>
        <w:t xml:space="preserve">            </w:t>
      </w:r>
      <w:r>
        <w:rPr>
          <w:rFonts w:ascii="Times New Roman" w:hAnsi="Times New Roman"/>
          <w:color w:val="000000"/>
          <w:highlight w:val="none"/>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highlight w:val="none"/>
        </w:rPr>
      </w:pPr>
      <w:r>
        <w:rPr>
          <w:rFonts w:ascii="Times New Roman" w:hAnsi="Times New Roman"/>
          <w:color w:val="000000"/>
          <w:highlight w:val="none"/>
        </w:rPr>
        <w:t>委托期限：</w:t>
      </w:r>
      <w:r>
        <w:rPr>
          <w:rFonts w:ascii="Times New Roman" w:hAnsi="Times New Roman"/>
          <w:highlight w:val="none"/>
          <w:u w:val="single"/>
        </w:rPr>
        <w:t xml:space="preserve">                       </w:t>
      </w:r>
      <w:r>
        <w:rPr>
          <w:rFonts w:ascii="Times New Roman" w:hAnsi="Times New Roman"/>
          <w:color w:val="000000"/>
          <w:highlight w:val="none"/>
        </w:rPr>
        <w:t>。</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代理人无转委托权。</w:t>
      </w:r>
    </w:p>
    <w:p>
      <w:pPr>
        <w:spacing w:line="440" w:lineRule="exact"/>
        <w:ind w:firstLine="420" w:firstLineChars="200"/>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附：法定代表人身份证复印件及委托代理人身份证复印件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注：本授权委托书需由投标人加盖单位公章并由其法定代表人和委托代理人签字。</w:t>
      </w:r>
    </w:p>
    <w:p>
      <w:pPr>
        <w:spacing w:line="440" w:lineRule="exact"/>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投  标  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0" w:firstLineChars="1281"/>
        <w:jc w:val="left"/>
        <w:rPr>
          <w:rFonts w:ascii="Times New Roman" w:hAnsi="Times New Roman"/>
          <w:color w:val="000000"/>
          <w:highlight w:val="none"/>
        </w:rPr>
      </w:pPr>
      <w:r>
        <w:rPr>
          <w:rFonts w:ascii="Times New Roman" w:hAnsi="Times New Roman"/>
          <w:color w:val="000000"/>
          <w:highlight w:val="none"/>
        </w:rPr>
        <w:t>法定代表人：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r>
        <w:rPr>
          <w:rFonts w:hint="eastAsia" w:ascii="Times New Roman" w:hAnsi="Times New Roman"/>
          <w:color w:val="000000"/>
          <w:highlight w:val="none"/>
        </w:rPr>
        <w:t>或签章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委托代理人：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年</w:t>
      </w:r>
      <w:r>
        <w:rPr>
          <w:rFonts w:ascii="Times New Roman" w:hAnsi="Times New Roman"/>
          <w:color w:val="000000"/>
          <w:highlight w:val="none"/>
          <w:u w:val="single"/>
        </w:rPr>
        <w:t xml:space="preserve">       </w:t>
      </w:r>
      <w:r>
        <w:rPr>
          <w:rFonts w:ascii="Times New Roman" w:hAnsi="Times New Roman"/>
          <w:color w:val="000000"/>
          <w:highlight w:val="none"/>
        </w:rPr>
        <w:t>月</w:t>
      </w:r>
      <w:r>
        <w:rPr>
          <w:rFonts w:ascii="Times New Roman" w:hAnsi="Times New Roman"/>
          <w:color w:val="000000"/>
          <w:highlight w:val="none"/>
          <w:u w:val="single"/>
        </w:rPr>
        <w:t xml:space="preserve">       </w:t>
      </w:r>
      <w:r>
        <w:rPr>
          <w:rFonts w:ascii="Times New Roman" w:hAnsi="Times New Roman"/>
          <w:color w:val="000000"/>
          <w:highlight w:val="none"/>
        </w:rPr>
        <w:t>日</w:t>
      </w: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rPr>
        <w:br w:type="page"/>
      </w:r>
    </w:p>
    <w:p>
      <w:pPr>
        <w:pStyle w:val="3"/>
        <w:jc w:val="center"/>
        <w:rPr>
          <w:rFonts w:ascii="Times New Roman" w:hAnsi="Times New Roman"/>
          <w:highlight w:val="none"/>
        </w:rPr>
      </w:pPr>
      <w:bookmarkStart w:id="64" w:name="_Toc492300532"/>
      <w:r>
        <w:rPr>
          <w:rFonts w:hint="eastAsia" w:ascii="Times New Roman" w:hAnsi="Times New Roman"/>
          <w:highlight w:val="none"/>
        </w:rPr>
        <w:t>三、</w:t>
      </w:r>
      <w:bookmarkStart w:id="65" w:name="_Toc352691666"/>
      <w:bookmarkStart w:id="66" w:name="_Toc13469"/>
      <w:bookmarkStart w:id="67" w:name="_Toc247514284"/>
      <w:bookmarkStart w:id="68" w:name="_Toc247527832"/>
      <w:bookmarkStart w:id="69" w:name="_Toc144974861"/>
      <w:bookmarkStart w:id="70" w:name="_Toc152042581"/>
      <w:bookmarkStart w:id="71" w:name="_Toc300835214"/>
      <w:bookmarkStart w:id="72" w:name="_Toc369531702"/>
      <w:bookmarkStart w:id="73" w:name="_Toc361508757"/>
      <w:bookmarkStart w:id="74" w:name="_Toc384308381"/>
      <w:bookmarkStart w:id="75" w:name="_Toc152045792"/>
      <w:r>
        <w:rPr>
          <w:rFonts w:hint="eastAsia" w:ascii="Times New Roman" w:hAnsi="Times New Roman"/>
          <w:highlight w:val="none"/>
        </w:rPr>
        <w:t>投标保证金</w:t>
      </w:r>
      <w:bookmarkEnd w:id="64"/>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1.</w:t>
      </w:r>
      <w:r>
        <w:rPr>
          <w:rFonts w:hint="eastAsia" w:ascii="Times New Roman" w:hAnsi="Times New Roman" w:cs="Times New Roman"/>
          <w:bCs/>
          <w:color w:val="000000"/>
          <w:kern w:val="0"/>
          <w:sz w:val="24"/>
          <w:highlight w:val="none"/>
        </w:rPr>
        <w:t>中国</w:t>
      </w:r>
      <w:r>
        <w:rPr>
          <w:rFonts w:ascii="Times New Roman" w:hAnsi="Times New Roman" w:cs="Times New Roman"/>
          <w:bCs/>
          <w:color w:val="000000"/>
          <w:kern w:val="0"/>
          <w:sz w:val="24"/>
          <w:highlight w:val="none"/>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highlight w:val="none"/>
        </w:rPr>
        <w:t>或投标人公章</w:t>
      </w:r>
      <w:r>
        <w:rPr>
          <w:rFonts w:ascii="Times New Roman" w:hAnsi="Times New Roman" w:cs="Times New Roman"/>
          <w:bCs/>
          <w:color w:val="000000"/>
          <w:kern w:val="0"/>
          <w:sz w:val="24"/>
          <w:highlight w:val="none"/>
        </w:rPr>
        <w:t>）：</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spacing w:line="440" w:lineRule="exact"/>
        <w:ind w:firstLine="482" w:firstLineChars="200"/>
        <w:rPr>
          <w:rFonts w:ascii="Times New Roman" w:hAnsi="Times New Roman"/>
          <w:szCs w:val="21"/>
          <w:highlight w:val="none"/>
        </w:rPr>
      </w:pPr>
      <w:r>
        <w:rPr>
          <w:rFonts w:ascii="Times New Roman" w:hAnsi="Times New Roman" w:cs="Times New Roman"/>
          <w:b/>
          <w:color w:val="000000"/>
          <w:kern w:val="0"/>
          <w:sz w:val="24"/>
          <w:highlight w:val="none"/>
        </w:rPr>
        <w:t>备注：</w:t>
      </w:r>
      <w:r>
        <w:rPr>
          <w:rFonts w:ascii="Times New Roman" w:hAnsi="Times New Roman" w:cs="Times New Roman"/>
          <w:color w:val="000000"/>
          <w:kern w:val="0"/>
          <w:sz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65"/>
    <w:bookmarkEnd w:id="66"/>
    <w:bookmarkEnd w:id="67"/>
    <w:bookmarkEnd w:id="68"/>
    <w:bookmarkEnd w:id="69"/>
    <w:bookmarkEnd w:id="70"/>
    <w:bookmarkEnd w:id="71"/>
    <w:bookmarkEnd w:id="72"/>
    <w:bookmarkEnd w:id="73"/>
    <w:bookmarkEnd w:id="74"/>
    <w:bookmarkEnd w:id="75"/>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76" w:name="_Toc492300533"/>
      <w:r>
        <w:rPr>
          <w:rFonts w:ascii="Times New Roman" w:hAnsi="Times New Roman"/>
          <w:highlight w:val="none"/>
        </w:rPr>
        <w:br w:type="page"/>
      </w:r>
    </w:p>
    <w:p>
      <w:pPr>
        <w:pStyle w:val="3"/>
        <w:jc w:val="center"/>
        <w:rPr>
          <w:rFonts w:ascii="Times New Roman" w:hAnsi="Times New Roman"/>
          <w:highlight w:val="none"/>
        </w:rPr>
      </w:pPr>
      <w:r>
        <w:rPr>
          <w:rFonts w:hint="eastAsia" w:ascii="Times New Roman" w:hAnsi="Times New Roman"/>
          <w:highlight w:val="none"/>
        </w:rPr>
        <w:t>四</w:t>
      </w:r>
      <w:r>
        <w:rPr>
          <w:rFonts w:ascii="Times New Roman" w:hAnsi="Times New Roman"/>
          <w:highlight w:val="none"/>
        </w:rPr>
        <w:t>、</w:t>
      </w:r>
      <w:r>
        <w:rPr>
          <w:rFonts w:hint="eastAsia" w:ascii="Times New Roman" w:hAnsi="Times New Roman"/>
          <w:highlight w:val="none"/>
        </w:rPr>
        <w:t>服务</w:t>
      </w:r>
      <w:r>
        <w:rPr>
          <w:rFonts w:ascii="Times New Roman" w:hAnsi="Times New Roman"/>
          <w:highlight w:val="none"/>
        </w:rPr>
        <w:t>费用清单</w:t>
      </w:r>
      <w:bookmarkEnd w:id="76"/>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1. </w:t>
      </w:r>
      <w:r>
        <w:rPr>
          <w:rFonts w:hint="eastAsia" w:ascii="Times New Roman" w:hAnsi="Times New Roman"/>
          <w:szCs w:val="21"/>
          <w:highlight w:val="none"/>
        </w:rPr>
        <w:t>服务</w:t>
      </w:r>
      <w:r>
        <w:rPr>
          <w:rFonts w:ascii="Times New Roman" w:hAnsi="Times New Roman"/>
          <w:szCs w:val="21"/>
          <w:highlight w:val="none"/>
        </w:rPr>
        <w:t>费用清单说明</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2. </w:t>
      </w:r>
      <w:r>
        <w:rPr>
          <w:rFonts w:hint="eastAsia" w:ascii="Times New Roman" w:hAnsi="Times New Roman"/>
          <w:szCs w:val="21"/>
          <w:highlight w:val="none"/>
        </w:rPr>
        <w:t>服务</w:t>
      </w:r>
      <w:r>
        <w:rPr>
          <w:rFonts w:ascii="Times New Roman" w:hAnsi="Times New Roman"/>
          <w:szCs w:val="21"/>
          <w:highlight w:val="none"/>
        </w:rPr>
        <w:t>费用清单</w:t>
      </w:r>
    </w:p>
    <w:p>
      <w:pPr>
        <w:spacing w:line="440" w:lineRule="exact"/>
        <w:ind w:firstLine="420" w:firstLineChars="200"/>
        <w:jc w:val="right"/>
        <w:rPr>
          <w:rFonts w:ascii="Times New Roman" w:hAnsi="Times New Roman"/>
          <w:szCs w:val="21"/>
          <w:highlight w:val="none"/>
        </w:rPr>
      </w:pPr>
      <w:r>
        <w:rPr>
          <w:rFonts w:ascii="Times New Roman" w:hAnsi="Times New Roman"/>
          <w:szCs w:val="21"/>
          <w:highlight w:val="none"/>
        </w:rPr>
        <w:t>单位：人民币元</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highlight w:val="none"/>
              </w:rPr>
            </w:pPr>
            <w:bookmarkStart w:id="77" w:name="_Toc361508760"/>
            <w:r>
              <w:rPr>
                <w:rFonts w:ascii="Times New Roman" w:hAnsi="Times New Roman"/>
                <w:b/>
                <w:kern w:val="0"/>
                <w:szCs w:val="21"/>
                <w:highlight w:val="none"/>
              </w:rPr>
              <w:t>序号</w:t>
            </w:r>
          </w:p>
        </w:tc>
        <w:tc>
          <w:tcPr>
            <w:tcW w:w="2410" w:type="dxa"/>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服务</w:t>
            </w:r>
            <w:r>
              <w:rPr>
                <w:rFonts w:ascii="Times New Roman" w:hAnsi="Times New Roman"/>
                <w:b/>
                <w:kern w:val="0"/>
                <w:szCs w:val="21"/>
                <w:highlight w:val="none"/>
              </w:rPr>
              <w:t>费用分项名称</w:t>
            </w:r>
          </w:p>
        </w:tc>
        <w:tc>
          <w:tcPr>
            <w:tcW w:w="226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计算依据、过程和公式</w:t>
            </w:r>
          </w:p>
        </w:tc>
        <w:tc>
          <w:tcPr>
            <w:tcW w:w="1322"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金额（元）</w:t>
            </w:r>
          </w:p>
        </w:tc>
        <w:tc>
          <w:tcPr>
            <w:tcW w:w="193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highlight w:val="none"/>
              </w:rPr>
            </w:pPr>
            <w:r>
              <w:rPr>
                <w:rFonts w:ascii="Times New Roman" w:hAnsi="Times New Roman"/>
                <w:highlight w:val="none"/>
              </w:rPr>
              <w:t>1</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2</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3</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4</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5</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410"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合计报价</w:t>
            </w: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bl>
    <w:p>
      <w:pPr>
        <w:widowControl/>
        <w:ind w:right="105"/>
        <w:jc w:val="right"/>
        <w:rPr>
          <w:rFonts w:ascii="Times New Roman" w:hAnsi="Times New Roman"/>
          <w:kern w:val="0"/>
          <w:highlight w:val="none"/>
        </w:rPr>
      </w:pPr>
    </w:p>
    <w:p>
      <w:pPr>
        <w:widowControl/>
        <w:ind w:right="105"/>
        <w:jc w:val="right"/>
        <w:rPr>
          <w:rFonts w:ascii="Times New Roman" w:hAnsi="Times New Roman"/>
          <w:kern w:val="0"/>
          <w:highlight w:val="none"/>
        </w:rPr>
      </w:pPr>
    </w:p>
    <w:p>
      <w:pPr>
        <w:spacing w:line="400" w:lineRule="exact"/>
        <w:ind w:firstLine="420" w:firstLineChars="200"/>
        <w:rPr>
          <w:rFonts w:ascii="Times New Roman" w:hAnsi="Times New Roman"/>
          <w:highlight w:val="none"/>
        </w:rPr>
      </w:pPr>
    </w:p>
    <w:p>
      <w:pPr>
        <w:widowControl/>
        <w:ind w:right="105"/>
        <w:jc w:val="left"/>
        <w:rPr>
          <w:rFonts w:ascii="Times New Roman" w:hAnsi="Times New Roman"/>
          <w:kern w:val="0"/>
          <w:highlight w:val="none"/>
        </w:rPr>
      </w:pPr>
    </w:p>
    <w:p>
      <w:pPr>
        <w:pStyle w:val="3"/>
        <w:spacing w:after="0"/>
        <w:jc w:val="center"/>
        <w:rPr>
          <w:rFonts w:ascii="Times New Roman" w:hAnsi="Times New Roman"/>
          <w:color w:val="000000"/>
          <w:highlight w:val="none"/>
        </w:rPr>
      </w:pPr>
      <w:r>
        <w:rPr>
          <w:rFonts w:ascii="Times New Roman" w:hAnsi="Times New Roman"/>
          <w:color w:val="000000"/>
          <w:highlight w:val="none"/>
        </w:rPr>
        <w:br w:type="page"/>
      </w:r>
      <w:bookmarkStart w:id="78" w:name="_Toc492300534"/>
      <w:r>
        <w:rPr>
          <w:rFonts w:hint="eastAsia" w:ascii="Times New Roman" w:hAnsi="Times New Roman"/>
          <w:color w:val="000000"/>
          <w:highlight w:val="none"/>
        </w:rPr>
        <w:t>五、资格审查资料</w:t>
      </w:r>
      <w:bookmarkEnd w:id="78"/>
    </w:p>
    <w:p>
      <w:pPr>
        <w:pStyle w:val="4"/>
        <w:spacing w:before="20" w:after="0"/>
        <w:ind w:firstLine="137"/>
        <w:rPr>
          <w:rFonts w:ascii="Times New Roman" w:hAnsi="Times New Roman"/>
          <w:color w:val="000000"/>
          <w:highlight w:val="none"/>
        </w:rPr>
      </w:pPr>
      <w:bookmarkStart w:id="79" w:name="_Toc492300535"/>
      <w:r>
        <w:rPr>
          <w:rFonts w:hint="eastAsia" w:ascii="Times New Roman" w:hAnsi="Times New Roman"/>
          <w:color w:val="000000"/>
          <w:highlight w:val="none"/>
        </w:rPr>
        <w:t>（一）基本情况表</w:t>
      </w:r>
      <w:bookmarkEnd w:id="79"/>
    </w:p>
    <w:tbl>
      <w:tblPr>
        <w:tblStyle w:val="14"/>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传</w:t>
            </w:r>
            <w:r>
              <w:rPr>
                <w:rFonts w:ascii="Times New Roman" w:hAnsi="Times New Roman"/>
                <w:highlight w:val="none"/>
              </w:rPr>
              <w:t xml:space="preserve">  </w:t>
            </w:r>
            <w:r>
              <w:rPr>
                <w:rFonts w:hint="eastAsia" w:ascii="Times New Roman" w:hAnsi="Times New Roman"/>
                <w:highlight w:val="none"/>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网</w:t>
            </w:r>
            <w:r>
              <w:rPr>
                <w:rFonts w:ascii="Times New Roman" w:hAnsi="Times New Roman"/>
                <w:highlight w:val="none"/>
              </w:rPr>
              <w:t xml:space="preserve"> </w:t>
            </w:r>
            <w:r>
              <w:rPr>
                <w:rFonts w:hint="eastAsia" w:ascii="Times New Roman" w:hAnsi="Times New Roman"/>
                <w:highlight w:val="none"/>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“投标人基本情况表”应附投标人营业执照、资质证书副本等材料的复印件</w:t>
      </w:r>
      <w:r>
        <w:rPr>
          <w:rFonts w:hint="eastAsia" w:ascii="Times New Roman" w:hAnsi="Times New Roman"/>
          <w:color w:val="000000"/>
          <w:highlight w:val="none"/>
          <w:lang w:eastAsia="zh-CN"/>
        </w:rPr>
        <w:t>，加盖投标人公章</w:t>
      </w:r>
      <w:r>
        <w:rPr>
          <w:rFonts w:hint="eastAsia" w:ascii="Times New Roman" w:hAnsi="Times New Roman"/>
          <w:color w:val="000000"/>
          <w:highlight w:val="none"/>
        </w:rPr>
        <w:t>。</w:t>
      </w:r>
    </w:p>
    <w:p>
      <w:pPr>
        <w:spacing w:line="440" w:lineRule="exact"/>
        <w:rPr>
          <w:rFonts w:ascii="Times New Roman" w:hAnsi="Times New Roman"/>
          <w:color w:val="000000"/>
          <w:highlight w:val="none"/>
          <w:u w:val="single"/>
        </w:rPr>
      </w:pPr>
    </w:p>
    <w:p>
      <w:pPr>
        <w:rPr>
          <w:rFonts w:ascii="Times New Roman" w:hAnsi="Times New Roman"/>
          <w:highlight w:val="none"/>
        </w:rPr>
      </w:pPr>
      <w:bookmarkStart w:id="80" w:name="_Toc492300536"/>
      <w:r>
        <w:rPr>
          <w:rFonts w:hint="eastAsia" w:ascii="Times New Roman" w:hAnsi="Times New Roman"/>
          <w:highlight w:val="none"/>
        </w:rPr>
        <w:br w:type="page"/>
      </w:r>
    </w:p>
    <w:p>
      <w:pPr>
        <w:pStyle w:val="4"/>
        <w:ind w:firstLine="137"/>
        <w:rPr>
          <w:rFonts w:ascii="Times New Roman" w:hAnsi="Times New Roman"/>
          <w:highlight w:val="none"/>
        </w:rPr>
      </w:pPr>
      <w:r>
        <w:rPr>
          <w:rFonts w:hint="eastAsia" w:ascii="Times New Roman" w:hAnsi="Times New Roman"/>
          <w:highlight w:val="none"/>
        </w:rPr>
        <w:t>（二）近年财务状况表</w:t>
      </w:r>
      <w:bookmarkEnd w:id="80"/>
    </w:p>
    <w:p>
      <w:pPr>
        <w:topLinePunct/>
        <w:spacing w:line="440" w:lineRule="exact"/>
        <w:ind w:firstLine="420" w:firstLineChars="200"/>
        <w:rPr>
          <w:rFonts w:ascii="Times New Roman" w:hAnsi="Times New Roman"/>
          <w:color w:val="000000"/>
          <w:highlight w:val="none"/>
        </w:rPr>
      </w:pPr>
      <w:r>
        <w:rPr>
          <w:rFonts w:hint="eastAsia" w:ascii="Times New Roman" w:hAnsi="Times New Roman"/>
          <w:color w:val="000000"/>
          <w:highlight w:val="none"/>
        </w:rPr>
        <w:t>“近年财务状况表”应附经会计师事务所或审计机构审计的财务会计报表，包括资产负债表、现金流量表、利润表和财务情况说明书的复印件，具体年份要求见投标人须知前附表。</w:t>
      </w:r>
    </w:p>
    <w:p>
      <w:pPr>
        <w:topLinePunct/>
        <w:spacing w:line="440" w:lineRule="exact"/>
        <w:ind w:firstLine="420" w:firstLineChars="200"/>
        <w:rPr>
          <w:rFonts w:ascii="Times New Roman" w:hAnsi="Times New Roman"/>
          <w:color w:val="000000"/>
          <w:highlight w:val="none"/>
        </w:rPr>
      </w:pPr>
      <w:r>
        <w:rPr>
          <w:rFonts w:hint="eastAsia" w:ascii="Times New Roman" w:hAnsi="Times New Roman"/>
          <w:color w:val="000000"/>
          <w:highlight w:val="none"/>
        </w:rPr>
        <w:t>投标人的成立时间少于投标人须知前附表规定年份的，应提供成立以来的财务状况表。</w:t>
      </w:r>
    </w:p>
    <w:p>
      <w:pPr>
        <w:topLinePunct/>
        <w:spacing w:line="440" w:lineRule="exact"/>
        <w:ind w:firstLine="420" w:firstLineChars="200"/>
        <w:rPr>
          <w:rFonts w:ascii="Times New Roman" w:hAnsi="Times New Roman"/>
          <w:color w:val="000000"/>
          <w:highlight w:val="none"/>
        </w:rPr>
      </w:pPr>
    </w:p>
    <w:p>
      <w:pPr>
        <w:topLinePunct/>
        <w:spacing w:line="440" w:lineRule="exact"/>
        <w:ind w:firstLine="420" w:firstLineChars="200"/>
        <w:rPr>
          <w:rFonts w:ascii="Times New Roman" w:hAnsi="Times New Roman"/>
          <w:sz w:val="20"/>
          <w:highlight w:val="none"/>
        </w:rPr>
      </w:pPr>
      <w:r>
        <w:rPr>
          <w:rFonts w:ascii="Times New Roman" w:hAnsi="Times New Roman"/>
          <w:color w:val="000000"/>
          <w:highlight w:val="none"/>
        </w:rPr>
        <w:br w:type="page"/>
      </w:r>
    </w:p>
    <w:p>
      <w:pPr>
        <w:pStyle w:val="4"/>
        <w:spacing w:line="440" w:lineRule="exact"/>
        <w:ind w:firstLine="137"/>
        <w:rPr>
          <w:rFonts w:ascii="Times New Roman" w:hAnsi="Times New Roman"/>
          <w:color w:val="000000"/>
          <w:highlight w:val="none"/>
        </w:rPr>
      </w:pPr>
      <w:bookmarkStart w:id="81" w:name="_Toc492300537"/>
      <w:r>
        <w:rPr>
          <w:rFonts w:hint="eastAsia" w:ascii="Times New Roman" w:hAnsi="Times New Roman"/>
          <w:color w:val="000000"/>
          <w:highlight w:val="none"/>
        </w:rPr>
        <w:t>（三）近年发生的诉讼及仲裁情况</w:t>
      </w:r>
    </w:p>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“近年发生的诉讼及仲裁情况”应说明投标人败诉的服务合同的相关情况，并附法院或仲裁机构作出的判决、裁决等有关法律文书复印件，具体时间要求见投标人须知前附表。</w:t>
      </w:r>
    </w:p>
    <w:p>
      <w:pPr>
        <w:rPr>
          <w:rFonts w:ascii="Times New Roman" w:hAnsi="Times New Roman"/>
          <w:highlight w:val="none"/>
        </w:rPr>
      </w:pPr>
      <w:r>
        <w:rPr>
          <w:rFonts w:hint="eastAsia" w:ascii="Times New Roman" w:hAnsi="Times New Roman"/>
          <w:highlight w:val="none"/>
        </w:rPr>
        <w:br w:type="page"/>
      </w:r>
    </w:p>
    <w:p>
      <w:pPr>
        <w:pStyle w:val="4"/>
        <w:ind w:firstLine="137"/>
        <w:rPr>
          <w:rFonts w:ascii="Times New Roman" w:hAnsi="Times New Roman"/>
          <w:highlight w:val="none"/>
        </w:rPr>
      </w:pPr>
      <w:r>
        <w:rPr>
          <w:rFonts w:hint="eastAsia" w:ascii="Times New Roman" w:hAnsi="Times New Roman"/>
          <w:highlight w:val="none"/>
        </w:rPr>
        <w:t>（四）近年完成的类似项目情况表</w:t>
      </w:r>
      <w:bookmarkEnd w:id="81"/>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；具体时间要求见投标人须知前附表，每张表格只填写一个项目，并标明序号。</w:t>
      </w:r>
    </w:p>
    <w:p>
      <w:pPr>
        <w:spacing w:line="440" w:lineRule="exact"/>
        <w:rPr>
          <w:rFonts w:ascii="Times New Roman" w:hAnsi="Times New Roman"/>
          <w:highlight w:val="none"/>
        </w:rPr>
      </w:pPr>
    </w:p>
    <w:p>
      <w:pPr>
        <w:spacing w:line="440" w:lineRule="exact"/>
        <w:rPr>
          <w:rFonts w:ascii="Times New Roman" w:hAnsi="Times New Roman"/>
          <w:highlight w:val="none"/>
        </w:rPr>
      </w:pPr>
    </w:p>
    <w:p>
      <w:pPr>
        <w:topLinePunct/>
        <w:spacing w:line="440" w:lineRule="exact"/>
        <w:rPr>
          <w:rFonts w:ascii="Times New Roman" w:hAnsi="Times New Roman"/>
          <w:highlight w:val="none"/>
        </w:rPr>
      </w:pPr>
      <w:r>
        <w:rPr>
          <w:rFonts w:ascii="Times New Roman" w:hAnsi="Times New Roman"/>
          <w:highlight w:val="none"/>
        </w:rPr>
        <w:br w:type="page"/>
      </w:r>
    </w:p>
    <w:p>
      <w:pPr>
        <w:pStyle w:val="4"/>
        <w:ind w:firstLine="137"/>
        <w:rPr>
          <w:rFonts w:ascii="Times New Roman" w:hAnsi="Times New Roman"/>
          <w:highlight w:val="none"/>
        </w:rPr>
      </w:pPr>
      <w:bookmarkStart w:id="82" w:name="_Toc359594247"/>
      <w:bookmarkStart w:id="83" w:name="_Toc300835226"/>
      <w:bookmarkStart w:id="84" w:name="_Toc152042599"/>
      <w:bookmarkStart w:id="85" w:name="_Toc144974878"/>
      <w:bookmarkStart w:id="86" w:name="_Toc492300538"/>
      <w:bookmarkStart w:id="87" w:name="_Toc247514302"/>
      <w:bookmarkStart w:id="88" w:name="_Toc384308388"/>
      <w:bookmarkStart w:id="89" w:name="_Toc370676438"/>
      <w:bookmarkStart w:id="90" w:name="_Toc152045810"/>
      <w:bookmarkStart w:id="91" w:name="_Toc361508766"/>
      <w:bookmarkStart w:id="92" w:name="_Toc247527850"/>
      <w:bookmarkStart w:id="93" w:name="_Toc144974879"/>
      <w:bookmarkStart w:id="94" w:name="_Toc152042600"/>
      <w:bookmarkStart w:id="95" w:name="_Toc247527851"/>
      <w:bookmarkStart w:id="96" w:name="_Toc152045811"/>
      <w:bookmarkStart w:id="97" w:name="_Toc247514303"/>
      <w:r>
        <w:rPr>
          <w:rFonts w:hint="eastAsia" w:ascii="Times New Roman" w:hAnsi="Times New Roman"/>
          <w:highlight w:val="none"/>
        </w:rPr>
        <w:t>（五）正在履行和新承接的项目情况表</w:t>
      </w:r>
      <w:bookmarkEnd w:id="82"/>
      <w:bookmarkEnd w:id="83"/>
      <w:bookmarkEnd w:id="84"/>
      <w:bookmarkEnd w:id="85"/>
      <w:bookmarkEnd w:id="86"/>
      <w:bookmarkEnd w:id="87"/>
      <w:bookmarkEnd w:id="88"/>
      <w:bookmarkEnd w:id="89"/>
      <w:bookmarkEnd w:id="90"/>
      <w:bookmarkEnd w:id="91"/>
      <w:bookmarkEnd w:id="92"/>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93"/>
      <w:bookmarkEnd w:id="94"/>
      <w:bookmarkEnd w:id="95"/>
      <w:bookmarkEnd w:id="96"/>
      <w:bookmarkEnd w:id="97"/>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“正在履行和新承接的项目情况表”应附中标通知书或合同协议书的复印件或扫描件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。每张表格只填写一个项目，并标明序号。</w:t>
      </w:r>
    </w:p>
    <w:p>
      <w:pPr>
        <w:spacing w:line="440" w:lineRule="exact"/>
        <w:rPr>
          <w:rFonts w:ascii="Times New Roman" w:hAnsi="Times New Roman"/>
          <w:highlight w:val="none"/>
        </w:rPr>
      </w:pPr>
      <w:r>
        <w:rPr>
          <w:rFonts w:ascii="Times New Roman" w:hAnsi="Times New Roman"/>
          <w:highlight w:val="none"/>
        </w:rPr>
        <w:br w:type="page"/>
      </w:r>
    </w:p>
    <w:bookmarkEnd w:id="77"/>
    <w:p>
      <w:pPr>
        <w:pStyle w:val="4"/>
        <w:rPr>
          <w:rFonts w:ascii="Times New Roman" w:hAnsi="Times New Roman"/>
          <w:highlight w:val="none"/>
        </w:rPr>
      </w:pPr>
      <w:bookmarkStart w:id="98" w:name="_Toc492300540"/>
      <w:bookmarkStart w:id="99" w:name="_Toc482188667"/>
      <w:r>
        <w:rPr>
          <w:rFonts w:hint="eastAsia" w:ascii="Times New Roman" w:hAnsi="Times New Roman"/>
          <w:highlight w:val="none"/>
        </w:rPr>
        <w:t>（六）拟委任的主要人员汇总表</w:t>
      </w:r>
      <w:bookmarkEnd w:id="98"/>
      <w:bookmarkEnd w:id="99"/>
    </w:p>
    <w:tbl>
      <w:tblPr>
        <w:tblStyle w:val="14"/>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ascii="Times New Roman" w:hAnsi="Times New Roman"/>
          <w:highlight w:val="none"/>
        </w:rPr>
      </w:pPr>
      <w:r>
        <w:rPr>
          <w:rFonts w:hint="eastAsia" w:ascii="Times New Roman" w:hAnsi="Times New Roman"/>
          <w:highlight w:val="none"/>
        </w:rPr>
        <w:t>注：“拟委任的主要人员汇总表”应填报满足招标文件规定的项目负责人和其他主要人员的相关信息。</w:t>
      </w:r>
    </w:p>
    <w:p>
      <w:pPr>
        <w:spacing w:line="440" w:lineRule="exact"/>
        <w:rPr>
          <w:rFonts w:ascii="Times New Roman" w:hAnsi="Times New Roman"/>
          <w:highlight w:val="none"/>
        </w:rPr>
      </w:pPr>
      <w:r>
        <w:rPr>
          <w:rFonts w:ascii="Times New Roman" w:hAnsi="Times New Roman"/>
          <w:highlight w:val="none"/>
        </w:rPr>
        <w:br w:type="page"/>
      </w:r>
      <w:bookmarkStart w:id="100" w:name="_Toc179632825"/>
      <w:bookmarkStart w:id="101" w:name="_Toc144974873"/>
      <w:bookmarkStart w:id="102" w:name="_Toc152045805"/>
      <w:bookmarkStart w:id="103" w:name="_Toc152042594"/>
    </w:p>
    <w:p>
      <w:pPr>
        <w:pStyle w:val="4"/>
        <w:ind w:firstLine="137"/>
        <w:rPr>
          <w:rFonts w:ascii="Times New Roman" w:hAnsi="Times New Roman"/>
          <w:highlight w:val="none"/>
        </w:rPr>
      </w:pPr>
      <w:bookmarkStart w:id="104" w:name="_Toc384308390"/>
      <w:bookmarkStart w:id="105" w:name="_Toc385943079"/>
      <w:bookmarkStart w:id="106" w:name="_Toc300835232"/>
      <w:bookmarkStart w:id="107" w:name="_Toc492300541"/>
      <w:bookmarkStart w:id="108" w:name="_Toc359594249"/>
      <w:bookmarkStart w:id="109" w:name="_Toc391394125"/>
      <w:bookmarkStart w:id="110" w:name="_Toc482188668"/>
      <w:bookmarkStart w:id="111" w:name="_Toc370676440"/>
      <w:r>
        <w:rPr>
          <w:rFonts w:hint="eastAsia" w:ascii="Times New Roman" w:hAnsi="Times New Roman"/>
          <w:highlight w:val="none"/>
        </w:rPr>
        <w:t>（七）主要人员简历表</w:t>
      </w:r>
      <w:bookmarkEnd w:id="100"/>
      <w:bookmarkEnd w:id="101"/>
      <w:bookmarkEnd w:id="102"/>
      <w:bookmarkEnd w:id="103"/>
      <w:bookmarkEnd w:id="104"/>
      <w:bookmarkEnd w:id="105"/>
      <w:bookmarkEnd w:id="106"/>
      <w:bookmarkEnd w:id="107"/>
      <w:bookmarkEnd w:id="108"/>
      <w:bookmarkEnd w:id="109"/>
      <w:bookmarkEnd w:id="110"/>
      <w:bookmarkEnd w:id="111"/>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主要人员简历表”中项目负责人应附身份证、学历证、职称证、执业资格证书和社保缴费证明复印件，管理过的项目业绩须附合同协议书复印件；其他主要人员应附身份证、学历证、职称证、有关资格证书和社保缴费证明复印件</w:t>
      </w:r>
      <w:r>
        <w:rPr>
          <w:rFonts w:hint="eastAsia" w:ascii="Times New Roman" w:hAnsi="Times New Roman"/>
          <w:color w:val="000000"/>
          <w:highlight w:val="none"/>
          <w:lang w:eastAsia="zh-CN"/>
        </w:rPr>
        <w:t>，所有证明材料要求加盖投标人公章</w:t>
      </w:r>
      <w:r>
        <w:rPr>
          <w:rFonts w:hint="eastAsia" w:ascii="Times New Roman" w:hAnsi="Times New Roman"/>
          <w:color w:val="000000"/>
          <w:highlight w:val="none"/>
        </w:rPr>
        <w:t>。</w:t>
      </w:r>
      <w:r>
        <w:rPr>
          <w:rFonts w:hint="eastAsia" w:ascii="Times New Roman" w:hAnsi="Times New Roman"/>
          <w:color w:val="000000"/>
          <w:highlight w:val="none"/>
          <w:lang w:eastAsia="zh-CN"/>
        </w:rPr>
        <w:t>社保证明要求为</w:t>
      </w:r>
      <w:r>
        <w:rPr>
          <w:rFonts w:hint="eastAsia" w:ascii="Times New Roman" w:hAnsi="Times New Roman"/>
          <w:highlight w:val="none"/>
        </w:rPr>
        <w:t>由本单位为其缴纳的至少连续6个月的社保证明（由当地社保主管部门出具的20</w:t>
      </w:r>
      <w:r>
        <w:rPr>
          <w:rFonts w:hint="eastAsia" w:ascii="Times New Roman" w:hAnsi="Times New Roman"/>
          <w:highlight w:val="none"/>
          <w:lang w:val="en-US" w:eastAsia="zh-CN"/>
        </w:rPr>
        <w:t>20</w:t>
      </w:r>
      <w:r>
        <w:rPr>
          <w:rFonts w:hint="eastAsia" w:ascii="Times New Roman" w:hAnsi="Times New Roman"/>
          <w:highlight w:val="none"/>
        </w:rPr>
        <w:t>年</w:t>
      </w:r>
      <w:r>
        <w:rPr>
          <w:rFonts w:hint="eastAsia" w:ascii="Times New Roman" w:hAnsi="Times New Roman"/>
          <w:highlight w:val="none"/>
          <w:lang w:val="en-US" w:eastAsia="zh-CN"/>
        </w:rPr>
        <w:t>12</w:t>
      </w:r>
      <w:r>
        <w:rPr>
          <w:rFonts w:hint="eastAsia" w:ascii="Times New Roman" w:hAnsi="Times New Roman"/>
          <w:highlight w:val="none"/>
        </w:rPr>
        <w:t>月1日以来的有效社保证明）</w:t>
      </w:r>
      <w:r>
        <w:rPr>
          <w:rFonts w:ascii="Times New Roman" w:hAnsi="Times New Roman"/>
          <w:highlight w:val="none"/>
        </w:rPr>
        <w:br w:type="page"/>
      </w:r>
      <w:bookmarkStart w:id="112" w:name="_Toc352703741"/>
      <w:bookmarkStart w:id="113" w:name="_Toc300835229"/>
    </w:p>
    <w:bookmarkEnd w:id="112"/>
    <w:bookmarkEnd w:id="113"/>
    <w:p>
      <w:pPr>
        <w:pStyle w:val="3"/>
        <w:spacing w:after="0"/>
        <w:jc w:val="center"/>
        <w:rPr>
          <w:rFonts w:ascii="Times New Roman" w:hAnsi="Times New Roman"/>
          <w:color w:val="000000"/>
          <w:highlight w:val="none"/>
        </w:rPr>
      </w:pPr>
      <w:bookmarkStart w:id="114" w:name="_Toc492300542"/>
      <w:r>
        <w:rPr>
          <w:rFonts w:hint="eastAsia" w:ascii="Times New Roman" w:hAnsi="Times New Roman"/>
          <w:color w:val="000000"/>
          <w:highlight w:val="none"/>
        </w:rPr>
        <w:t>六</w:t>
      </w:r>
      <w:r>
        <w:rPr>
          <w:rFonts w:ascii="Times New Roman" w:hAnsi="Times New Roman"/>
          <w:color w:val="000000"/>
          <w:highlight w:val="none"/>
        </w:rPr>
        <w:t>、</w:t>
      </w:r>
      <w:r>
        <w:rPr>
          <w:rFonts w:hint="eastAsia" w:ascii="Times New Roman" w:hAnsi="Times New Roman"/>
          <w:color w:val="000000"/>
          <w:highlight w:val="none"/>
        </w:rPr>
        <w:t>服务</w:t>
      </w:r>
      <w:r>
        <w:rPr>
          <w:rFonts w:ascii="Times New Roman" w:hAnsi="Times New Roman"/>
          <w:color w:val="000000"/>
          <w:highlight w:val="none"/>
        </w:rPr>
        <w:t>方案</w:t>
      </w:r>
      <w:bookmarkEnd w:id="114"/>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服务方案应包括（但不限于）下列内容：</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一、项目概况；</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二、工作范围、工作内容；</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三、工作依据、工作目标；</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四、机构设置（框图）、岗位职责；</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五、说明和方案；</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六、拟投入的人员；</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 xml:space="preserve">七、工作质量、进度、保密等保证措施； </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八、工作重点、难点分析；</w:t>
      </w:r>
    </w:p>
    <w:p>
      <w:pPr>
        <w:spacing w:line="360" w:lineRule="auto"/>
        <w:ind w:firstLine="474" w:firstLineChars="226"/>
        <w:rPr>
          <w:rFonts w:ascii="Times New Roman" w:hAnsi="Times New Roman"/>
          <w:szCs w:val="21"/>
          <w:highlight w:val="none"/>
        </w:rPr>
      </w:pPr>
      <w:r>
        <w:rPr>
          <w:rFonts w:hint="eastAsia" w:ascii="Times New Roman" w:hAnsi="Times New Roman"/>
          <w:szCs w:val="21"/>
          <w:highlight w:val="none"/>
        </w:rPr>
        <w:t>九、对本项目的合理化建议。</w:t>
      </w:r>
    </w:p>
    <w:p>
      <w:pPr>
        <w:rPr>
          <w:rFonts w:ascii="Times New Roman" w:hAnsi="Times New Roman"/>
          <w:highlight w:val="none"/>
        </w:rPr>
      </w:pPr>
    </w:p>
    <w:p>
      <w:pPr>
        <w:pStyle w:val="3"/>
        <w:spacing w:line="400" w:lineRule="exact"/>
        <w:jc w:val="center"/>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115" w:name="_Toc492300543"/>
      <w:r>
        <w:rPr>
          <w:rFonts w:hint="eastAsia" w:ascii="Times New Roman" w:hAnsi="Times New Roman"/>
          <w:color w:val="000000"/>
          <w:highlight w:val="none"/>
        </w:rPr>
        <w:t>七</w:t>
      </w:r>
      <w:r>
        <w:rPr>
          <w:rFonts w:ascii="Times New Roman" w:hAnsi="Times New Roman"/>
          <w:color w:val="000000"/>
          <w:highlight w:val="none"/>
        </w:rPr>
        <w:t>、其他资料</w:t>
      </w:r>
      <w:bookmarkEnd w:id="115"/>
    </w:p>
    <w:p>
      <w:pPr>
        <w:rPr>
          <w:rFonts w:ascii="Times New Roman" w:hAnsi="Times New Roman"/>
          <w:highlight w:val="none"/>
        </w:rPr>
      </w:pPr>
    </w:p>
    <w:p>
      <w:pPr>
        <w:ind w:firstLine="420" w:firstLineChars="200"/>
        <w:rPr>
          <w:rFonts w:ascii="Times New Roman" w:hAnsi="Times New Roman"/>
          <w:highlight w:val="none"/>
        </w:rPr>
      </w:pPr>
      <w:r>
        <w:rPr>
          <w:rFonts w:hint="eastAsia" w:ascii="Times New Roman" w:hAnsi="Times New Roman"/>
          <w:highlight w:val="none"/>
        </w:rPr>
        <w:t>第六章“投标文件格式”未详尽列举，但招标文件要求或有必要提供的资料。</w:t>
      </w: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9"/>
        <w:rPr>
          <w:rFonts w:ascii="Times New Roman" w:hAnsi="Times New Roman"/>
          <w:highlight w:val="none"/>
        </w:rPr>
      </w:pPr>
    </w:p>
    <w:p>
      <w:pPr>
        <w:rPr>
          <w:rFonts w:ascii="Times New Roman" w:hAnsi="Times New Roman"/>
          <w:highlight w:val="none"/>
        </w:rPr>
      </w:pPr>
    </w:p>
    <w:p>
      <w:pPr>
        <w:pStyle w:val="9"/>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3"/>
        <w:spacing w:line="400" w:lineRule="exact"/>
        <w:jc w:val="center"/>
        <w:rPr>
          <w:rFonts w:ascii="Times New Roman" w:hAnsi="Times New Roman"/>
          <w:highlight w:val="none"/>
        </w:rPr>
      </w:pPr>
    </w:p>
    <w:p>
      <w:pPr>
        <w:rPr>
          <w:rFonts w:ascii="宋体" w:hAnsi="宋体" w:eastAsia="宋体" w:cs="宋体"/>
          <w:kern w:val="0"/>
          <w:sz w:val="24"/>
          <w:highlight w:val="none"/>
        </w:rPr>
      </w:pPr>
    </w:p>
    <w:sectPr>
      <w:headerReference r:id="rId4" w:type="default"/>
      <w:footerReference r:id="rId5" w:type="default"/>
      <w:pgSz w:w="11906" w:h="16838"/>
      <w:pgMar w:top="1417" w:right="1417" w:bottom="1417" w:left="141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19</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19</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C27"/>
    <w:rsid w:val="002C069E"/>
    <w:rsid w:val="0040224D"/>
    <w:rsid w:val="00733B0B"/>
    <w:rsid w:val="00764376"/>
    <w:rsid w:val="00796B76"/>
    <w:rsid w:val="008B0C89"/>
    <w:rsid w:val="008E78DA"/>
    <w:rsid w:val="00936B7D"/>
    <w:rsid w:val="00D6247C"/>
    <w:rsid w:val="00E63C27"/>
    <w:rsid w:val="00FA6F7E"/>
    <w:rsid w:val="012C662E"/>
    <w:rsid w:val="01331963"/>
    <w:rsid w:val="0145105E"/>
    <w:rsid w:val="019846E3"/>
    <w:rsid w:val="01CB0CDF"/>
    <w:rsid w:val="01CD2334"/>
    <w:rsid w:val="01E140D3"/>
    <w:rsid w:val="01E744E5"/>
    <w:rsid w:val="021D348F"/>
    <w:rsid w:val="02327409"/>
    <w:rsid w:val="026E5FAB"/>
    <w:rsid w:val="02983D41"/>
    <w:rsid w:val="02A46690"/>
    <w:rsid w:val="02AC508C"/>
    <w:rsid w:val="02E242A2"/>
    <w:rsid w:val="030A4D65"/>
    <w:rsid w:val="0324584F"/>
    <w:rsid w:val="035021B2"/>
    <w:rsid w:val="036E069E"/>
    <w:rsid w:val="03C10800"/>
    <w:rsid w:val="03C96DCC"/>
    <w:rsid w:val="03E156EA"/>
    <w:rsid w:val="03FB5B2D"/>
    <w:rsid w:val="03FB71CD"/>
    <w:rsid w:val="040666CB"/>
    <w:rsid w:val="04082EC8"/>
    <w:rsid w:val="042C575E"/>
    <w:rsid w:val="043062B7"/>
    <w:rsid w:val="04382327"/>
    <w:rsid w:val="043F5557"/>
    <w:rsid w:val="04885B47"/>
    <w:rsid w:val="04A52387"/>
    <w:rsid w:val="04CD15E8"/>
    <w:rsid w:val="04CF4810"/>
    <w:rsid w:val="04EB08D2"/>
    <w:rsid w:val="04EC7DA2"/>
    <w:rsid w:val="0536325C"/>
    <w:rsid w:val="0572490A"/>
    <w:rsid w:val="05783BE5"/>
    <w:rsid w:val="058253F2"/>
    <w:rsid w:val="05906C58"/>
    <w:rsid w:val="05D9116E"/>
    <w:rsid w:val="061F0438"/>
    <w:rsid w:val="063F4D83"/>
    <w:rsid w:val="06501BB5"/>
    <w:rsid w:val="067C3CB3"/>
    <w:rsid w:val="068C09EB"/>
    <w:rsid w:val="06A848F7"/>
    <w:rsid w:val="06D9502E"/>
    <w:rsid w:val="06EB4F76"/>
    <w:rsid w:val="06ED1728"/>
    <w:rsid w:val="06F569C1"/>
    <w:rsid w:val="06F76B9D"/>
    <w:rsid w:val="06F81D74"/>
    <w:rsid w:val="074267A8"/>
    <w:rsid w:val="074A7C93"/>
    <w:rsid w:val="07666E00"/>
    <w:rsid w:val="07972327"/>
    <w:rsid w:val="07A85930"/>
    <w:rsid w:val="07EE56D8"/>
    <w:rsid w:val="08397FAF"/>
    <w:rsid w:val="08554A0D"/>
    <w:rsid w:val="086D3DA1"/>
    <w:rsid w:val="08774BE1"/>
    <w:rsid w:val="088F5820"/>
    <w:rsid w:val="08932D8F"/>
    <w:rsid w:val="08E51768"/>
    <w:rsid w:val="08EC1249"/>
    <w:rsid w:val="08ED571D"/>
    <w:rsid w:val="0967298A"/>
    <w:rsid w:val="09A71C3D"/>
    <w:rsid w:val="09AF2C22"/>
    <w:rsid w:val="09B32D8C"/>
    <w:rsid w:val="09BD647E"/>
    <w:rsid w:val="09C043B8"/>
    <w:rsid w:val="09C37FE6"/>
    <w:rsid w:val="09F35B18"/>
    <w:rsid w:val="0A3B332D"/>
    <w:rsid w:val="0A5234C1"/>
    <w:rsid w:val="0A855747"/>
    <w:rsid w:val="0A8B5261"/>
    <w:rsid w:val="0A8E5075"/>
    <w:rsid w:val="0AA913FB"/>
    <w:rsid w:val="0AB930A2"/>
    <w:rsid w:val="0ADD0DF0"/>
    <w:rsid w:val="0AEB40E8"/>
    <w:rsid w:val="0B416906"/>
    <w:rsid w:val="0B494DBB"/>
    <w:rsid w:val="0B5D1C2A"/>
    <w:rsid w:val="0B5E66CB"/>
    <w:rsid w:val="0B7202E7"/>
    <w:rsid w:val="0BB837D0"/>
    <w:rsid w:val="0BCF2D52"/>
    <w:rsid w:val="0C110CA2"/>
    <w:rsid w:val="0C773477"/>
    <w:rsid w:val="0CAA6622"/>
    <w:rsid w:val="0CE1084F"/>
    <w:rsid w:val="0D1B15FF"/>
    <w:rsid w:val="0D2466BD"/>
    <w:rsid w:val="0D331D7B"/>
    <w:rsid w:val="0D37434E"/>
    <w:rsid w:val="0D4B73C6"/>
    <w:rsid w:val="0D744A9C"/>
    <w:rsid w:val="0D7F3B4D"/>
    <w:rsid w:val="0DA277FF"/>
    <w:rsid w:val="0DB8057F"/>
    <w:rsid w:val="0DDB677F"/>
    <w:rsid w:val="0E3867E0"/>
    <w:rsid w:val="0E3C08A3"/>
    <w:rsid w:val="0E472E61"/>
    <w:rsid w:val="0E626142"/>
    <w:rsid w:val="0E6D3EE4"/>
    <w:rsid w:val="0E8168AC"/>
    <w:rsid w:val="0E9601D9"/>
    <w:rsid w:val="0EDF4D5E"/>
    <w:rsid w:val="0F024085"/>
    <w:rsid w:val="0F1438EF"/>
    <w:rsid w:val="0F221F24"/>
    <w:rsid w:val="0F4B0F6A"/>
    <w:rsid w:val="0F5F5CB1"/>
    <w:rsid w:val="0FA819A2"/>
    <w:rsid w:val="0FCA08C0"/>
    <w:rsid w:val="0FCA14B6"/>
    <w:rsid w:val="0FE42DE8"/>
    <w:rsid w:val="101038A7"/>
    <w:rsid w:val="101E2D38"/>
    <w:rsid w:val="1069417C"/>
    <w:rsid w:val="106C1E4B"/>
    <w:rsid w:val="10754912"/>
    <w:rsid w:val="11114551"/>
    <w:rsid w:val="11356135"/>
    <w:rsid w:val="11800917"/>
    <w:rsid w:val="118955AD"/>
    <w:rsid w:val="1197226B"/>
    <w:rsid w:val="11CD444A"/>
    <w:rsid w:val="11FC3F3B"/>
    <w:rsid w:val="123B6B10"/>
    <w:rsid w:val="125A52C4"/>
    <w:rsid w:val="12655D96"/>
    <w:rsid w:val="128E3C38"/>
    <w:rsid w:val="12BF2922"/>
    <w:rsid w:val="12C942C8"/>
    <w:rsid w:val="12DC5F5E"/>
    <w:rsid w:val="12DC7F8C"/>
    <w:rsid w:val="12E82A0B"/>
    <w:rsid w:val="13274F9C"/>
    <w:rsid w:val="132E6DC6"/>
    <w:rsid w:val="13417410"/>
    <w:rsid w:val="134A448A"/>
    <w:rsid w:val="134F7EA7"/>
    <w:rsid w:val="135107A8"/>
    <w:rsid w:val="136066CF"/>
    <w:rsid w:val="13657E31"/>
    <w:rsid w:val="137F3F6F"/>
    <w:rsid w:val="137F7BEC"/>
    <w:rsid w:val="138468CC"/>
    <w:rsid w:val="1387094F"/>
    <w:rsid w:val="13D35238"/>
    <w:rsid w:val="147E2423"/>
    <w:rsid w:val="1487273A"/>
    <w:rsid w:val="148B0444"/>
    <w:rsid w:val="14944440"/>
    <w:rsid w:val="14A059A0"/>
    <w:rsid w:val="14B97B05"/>
    <w:rsid w:val="14CD31B9"/>
    <w:rsid w:val="14E67563"/>
    <w:rsid w:val="15021B62"/>
    <w:rsid w:val="150A21BA"/>
    <w:rsid w:val="1522437E"/>
    <w:rsid w:val="15283931"/>
    <w:rsid w:val="158374C1"/>
    <w:rsid w:val="15A62ECC"/>
    <w:rsid w:val="15C516BD"/>
    <w:rsid w:val="15F44127"/>
    <w:rsid w:val="166266B1"/>
    <w:rsid w:val="168D3C48"/>
    <w:rsid w:val="16D411E7"/>
    <w:rsid w:val="170756D4"/>
    <w:rsid w:val="170F4587"/>
    <w:rsid w:val="176115DC"/>
    <w:rsid w:val="17824660"/>
    <w:rsid w:val="178F2FF8"/>
    <w:rsid w:val="17C41ABF"/>
    <w:rsid w:val="18175D56"/>
    <w:rsid w:val="18276B10"/>
    <w:rsid w:val="189B5F22"/>
    <w:rsid w:val="18A70256"/>
    <w:rsid w:val="18B73074"/>
    <w:rsid w:val="18BF685C"/>
    <w:rsid w:val="18DA76F1"/>
    <w:rsid w:val="18EA5CD5"/>
    <w:rsid w:val="19034C2D"/>
    <w:rsid w:val="1916127C"/>
    <w:rsid w:val="193B5BAF"/>
    <w:rsid w:val="193D465D"/>
    <w:rsid w:val="195C4AAE"/>
    <w:rsid w:val="196C6238"/>
    <w:rsid w:val="197A5B1F"/>
    <w:rsid w:val="198A59D6"/>
    <w:rsid w:val="19A73D74"/>
    <w:rsid w:val="19AA5416"/>
    <w:rsid w:val="19B810F3"/>
    <w:rsid w:val="19D70C6D"/>
    <w:rsid w:val="19E2271F"/>
    <w:rsid w:val="1A075570"/>
    <w:rsid w:val="1A1C623A"/>
    <w:rsid w:val="1A1C768B"/>
    <w:rsid w:val="1A270D5F"/>
    <w:rsid w:val="1A2A56A5"/>
    <w:rsid w:val="1A2C27B8"/>
    <w:rsid w:val="1A4D4CED"/>
    <w:rsid w:val="1A797469"/>
    <w:rsid w:val="1AB466E5"/>
    <w:rsid w:val="1ADB0B95"/>
    <w:rsid w:val="1AF97748"/>
    <w:rsid w:val="1B262D26"/>
    <w:rsid w:val="1B2670F4"/>
    <w:rsid w:val="1B2D1E19"/>
    <w:rsid w:val="1B3A5220"/>
    <w:rsid w:val="1B3B258E"/>
    <w:rsid w:val="1B652C95"/>
    <w:rsid w:val="1B70155F"/>
    <w:rsid w:val="1B723039"/>
    <w:rsid w:val="1B7700FA"/>
    <w:rsid w:val="1B8C1172"/>
    <w:rsid w:val="1B910C38"/>
    <w:rsid w:val="1BB12BB2"/>
    <w:rsid w:val="1BD12722"/>
    <w:rsid w:val="1BFA70F2"/>
    <w:rsid w:val="1C100B6A"/>
    <w:rsid w:val="1C2B6CB4"/>
    <w:rsid w:val="1C5D5F8B"/>
    <w:rsid w:val="1C6E241C"/>
    <w:rsid w:val="1C88579D"/>
    <w:rsid w:val="1CB07DF9"/>
    <w:rsid w:val="1CB27F03"/>
    <w:rsid w:val="1CC3681B"/>
    <w:rsid w:val="1CF251D3"/>
    <w:rsid w:val="1CFC6686"/>
    <w:rsid w:val="1CFF3217"/>
    <w:rsid w:val="1D1D0D81"/>
    <w:rsid w:val="1D5835F0"/>
    <w:rsid w:val="1D8C5045"/>
    <w:rsid w:val="1D931CEA"/>
    <w:rsid w:val="1DC177D9"/>
    <w:rsid w:val="1DE05881"/>
    <w:rsid w:val="1E195369"/>
    <w:rsid w:val="1E1A236E"/>
    <w:rsid w:val="1E225BB3"/>
    <w:rsid w:val="1E2A6113"/>
    <w:rsid w:val="1E2D212B"/>
    <w:rsid w:val="1E416163"/>
    <w:rsid w:val="1EA573D8"/>
    <w:rsid w:val="1EB0513B"/>
    <w:rsid w:val="1EB72F76"/>
    <w:rsid w:val="1EC83F50"/>
    <w:rsid w:val="1EE36B2C"/>
    <w:rsid w:val="1F127B09"/>
    <w:rsid w:val="1F36160E"/>
    <w:rsid w:val="1F671677"/>
    <w:rsid w:val="1F722047"/>
    <w:rsid w:val="1F904945"/>
    <w:rsid w:val="1FAA6A2E"/>
    <w:rsid w:val="1FE570E2"/>
    <w:rsid w:val="1FE7673E"/>
    <w:rsid w:val="201E585F"/>
    <w:rsid w:val="20373DA2"/>
    <w:rsid w:val="2049266D"/>
    <w:rsid w:val="20534B67"/>
    <w:rsid w:val="20557DC5"/>
    <w:rsid w:val="207C33EE"/>
    <w:rsid w:val="209740BF"/>
    <w:rsid w:val="2099242E"/>
    <w:rsid w:val="20B0411F"/>
    <w:rsid w:val="20D658C9"/>
    <w:rsid w:val="20D95B5B"/>
    <w:rsid w:val="20DC2416"/>
    <w:rsid w:val="20DE40B6"/>
    <w:rsid w:val="20F22231"/>
    <w:rsid w:val="21015C26"/>
    <w:rsid w:val="21121083"/>
    <w:rsid w:val="211518DD"/>
    <w:rsid w:val="21222CFA"/>
    <w:rsid w:val="212B2F31"/>
    <w:rsid w:val="212F2875"/>
    <w:rsid w:val="21327DB2"/>
    <w:rsid w:val="213B367E"/>
    <w:rsid w:val="213D7BD8"/>
    <w:rsid w:val="214C4EC5"/>
    <w:rsid w:val="2153567F"/>
    <w:rsid w:val="217422B6"/>
    <w:rsid w:val="21A51802"/>
    <w:rsid w:val="21A61686"/>
    <w:rsid w:val="21C13A32"/>
    <w:rsid w:val="21D56393"/>
    <w:rsid w:val="22133103"/>
    <w:rsid w:val="224D73DD"/>
    <w:rsid w:val="22592601"/>
    <w:rsid w:val="22682273"/>
    <w:rsid w:val="22C8632C"/>
    <w:rsid w:val="231918CF"/>
    <w:rsid w:val="233F5F96"/>
    <w:rsid w:val="235F4D23"/>
    <w:rsid w:val="236D4028"/>
    <w:rsid w:val="23F34DAB"/>
    <w:rsid w:val="241A2F59"/>
    <w:rsid w:val="24226CC5"/>
    <w:rsid w:val="242F0269"/>
    <w:rsid w:val="24312A4A"/>
    <w:rsid w:val="244A5E9A"/>
    <w:rsid w:val="244C4BB8"/>
    <w:rsid w:val="24691193"/>
    <w:rsid w:val="246C3A46"/>
    <w:rsid w:val="251A7612"/>
    <w:rsid w:val="25237A22"/>
    <w:rsid w:val="254042BC"/>
    <w:rsid w:val="25471E6E"/>
    <w:rsid w:val="25481BCE"/>
    <w:rsid w:val="25814DB7"/>
    <w:rsid w:val="25824959"/>
    <w:rsid w:val="25987A23"/>
    <w:rsid w:val="25C517A2"/>
    <w:rsid w:val="25F5789E"/>
    <w:rsid w:val="25FD6A72"/>
    <w:rsid w:val="2608561B"/>
    <w:rsid w:val="26261861"/>
    <w:rsid w:val="26382AAC"/>
    <w:rsid w:val="26506FAD"/>
    <w:rsid w:val="26656277"/>
    <w:rsid w:val="26663117"/>
    <w:rsid w:val="26807144"/>
    <w:rsid w:val="268A362E"/>
    <w:rsid w:val="269560EE"/>
    <w:rsid w:val="26D16018"/>
    <w:rsid w:val="26DB3228"/>
    <w:rsid w:val="26DF6074"/>
    <w:rsid w:val="26FE679C"/>
    <w:rsid w:val="27301EDB"/>
    <w:rsid w:val="276C029F"/>
    <w:rsid w:val="27982DD4"/>
    <w:rsid w:val="27AE74EC"/>
    <w:rsid w:val="27D32915"/>
    <w:rsid w:val="27DD09CE"/>
    <w:rsid w:val="27EC553C"/>
    <w:rsid w:val="2813394B"/>
    <w:rsid w:val="283610D5"/>
    <w:rsid w:val="285F5293"/>
    <w:rsid w:val="28622D71"/>
    <w:rsid w:val="28676D4A"/>
    <w:rsid w:val="286E69FD"/>
    <w:rsid w:val="28FA546B"/>
    <w:rsid w:val="28FE025E"/>
    <w:rsid w:val="29586D7A"/>
    <w:rsid w:val="296F309D"/>
    <w:rsid w:val="29772B51"/>
    <w:rsid w:val="2984235F"/>
    <w:rsid w:val="29967FD2"/>
    <w:rsid w:val="29C56C3A"/>
    <w:rsid w:val="29D872DD"/>
    <w:rsid w:val="29DC3955"/>
    <w:rsid w:val="29E1380C"/>
    <w:rsid w:val="29E85046"/>
    <w:rsid w:val="29F652CD"/>
    <w:rsid w:val="2A017BFD"/>
    <w:rsid w:val="2A9154D8"/>
    <w:rsid w:val="2AA04C57"/>
    <w:rsid w:val="2AD750C3"/>
    <w:rsid w:val="2AE77D08"/>
    <w:rsid w:val="2B470CEC"/>
    <w:rsid w:val="2B652A8D"/>
    <w:rsid w:val="2BF4029C"/>
    <w:rsid w:val="2C270D43"/>
    <w:rsid w:val="2C6436A6"/>
    <w:rsid w:val="2C7A2A8F"/>
    <w:rsid w:val="2C7E2BF6"/>
    <w:rsid w:val="2C9023A5"/>
    <w:rsid w:val="2C937549"/>
    <w:rsid w:val="2C9D6A04"/>
    <w:rsid w:val="2CB62598"/>
    <w:rsid w:val="2CB8266E"/>
    <w:rsid w:val="2CFE607B"/>
    <w:rsid w:val="2D095409"/>
    <w:rsid w:val="2D39385A"/>
    <w:rsid w:val="2D3A3199"/>
    <w:rsid w:val="2D5470D9"/>
    <w:rsid w:val="2D772574"/>
    <w:rsid w:val="2DCC12FC"/>
    <w:rsid w:val="2E266A7B"/>
    <w:rsid w:val="2E652B8E"/>
    <w:rsid w:val="2E66167A"/>
    <w:rsid w:val="2E6C7EF1"/>
    <w:rsid w:val="2E6F6584"/>
    <w:rsid w:val="2E933BCE"/>
    <w:rsid w:val="2E9C6490"/>
    <w:rsid w:val="2EAA3B87"/>
    <w:rsid w:val="2EAB34EE"/>
    <w:rsid w:val="2EB66E96"/>
    <w:rsid w:val="2EBC23A0"/>
    <w:rsid w:val="2EFA0191"/>
    <w:rsid w:val="2F436846"/>
    <w:rsid w:val="2F4556CE"/>
    <w:rsid w:val="2F754A27"/>
    <w:rsid w:val="2FB16F5F"/>
    <w:rsid w:val="2FFE1C0F"/>
    <w:rsid w:val="305C41A9"/>
    <w:rsid w:val="30675E48"/>
    <w:rsid w:val="307E45C5"/>
    <w:rsid w:val="308E41B5"/>
    <w:rsid w:val="30952C59"/>
    <w:rsid w:val="30DE5EB2"/>
    <w:rsid w:val="30FF4D69"/>
    <w:rsid w:val="3113559B"/>
    <w:rsid w:val="311C6D1F"/>
    <w:rsid w:val="3127420C"/>
    <w:rsid w:val="315523B1"/>
    <w:rsid w:val="316E460D"/>
    <w:rsid w:val="31CD31BF"/>
    <w:rsid w:val="31E10F55"/>
    <w:rsid w:val="31F30B11"/>
    <w:rsid w:val="3219008D"/>
    <w:rsid w:val="32215B79"/>
    <w:rsid w:val="322241F2"/>
    <w:rsid w:val="322D5AFA"/>
    <w:rsid w:val="327756C1"/>
    <w:rsid w:val="32974C7A"/>
    <w:rsid w:val="32A0614B"/>
    <w:rsid w:val="32BB4ABE"/>
    <w:rsid w:val="32C8549C"/>
    <w:rsid w:val="32CA16D9"/>
    <w:rsid w:val="32E83928"/>
    <w:rsid w:val="33672310"/>
    <w:rsid w:val="338F53C2"/>
    <w:rsid w:val="33925662"/>
    <w:rsid w:val="339B7AA1"/>
    <w:rsid w:val="33B67B53"/>
    <w:rsid w:val="33B7637D"/>
    <w:rsid w:val="33D4661F"/>
    <w:rsid w:val="33F808BA"/>
    <w:rsid w:val="342A5DF5"/>
    <w:rsid w:val="344851FD"/>
    <w:rsid w:val="34AA020B"/>
    <w:rsid w:val="34BC17DA"/>
    <w:rsid w:val="34F85DA8"/>
    <w:rsid w:val="3509398E"/>
    <w:rsid w:val="3554479E"/>
    <w:rsid w:val="357F00D0"/>
    <w:rsid w:val="35894506"/>
    <w:rsid w:val="35B72988"/>
    <w:rsid w:val="360530D8"/>
    <w:rsid w:val="36162F1C"/>
    <w:rsid w:val="365227BF"/>
    <w:rsid w:val="365F3B92"/>
    <w:rsid w:val="366244D5"/>
    <w:rsid w:val="36A82C1D"/>
    <w:rsid w:val="36B27FC4"/>
    <w:rsid w:val="36C342D9"/>
    <w:rsid w:val="370F2E93"/>
    <w:rsid w:val="374E35E0"/>
    <w:rsid w:val="37560CC6"/>
    <w:rsid w:val="376C6FA1"/>
    <w:rsid w:val="378D0CEB"/>
    <w:rsid w:val="379A026D"/>
    <w:rsid w:val="37A2207E"/>
    <w:rsid w:val="37ED6D6E"/>
    <w:rsid w:val="3884063D"/>
    <w:rsid w:val="38AE496C"/>
    <w:rsid w:val="38B54D45"/>
    <w:rsid w:val="38D242CD"/>
    <w:rsid w:val="390213B8"/>
    <w:rsid w:val="3908561E"/>
    <w:rsid w:val="393E0C7A"/>
    <w:rsid w:val="39821F75"/>
    <w:rsid w:val="398C3DB7"/>
    <w:rsid w:val="39F227B1"/>
    <w:rsid w:val="3A292038"/>
    <w:rsid w:val="3A524E6B"/>
    <w:rsid w:val="3A762A49"/>
    <w:rsid w:val="3A9D28F5"/>
    <w:rsid w:val="3ACD43C9"/>
    <w:rsid w:val="3B2F69DB"/>
    <w:rsid w:val="3B702135"/>
    <w:rsid w:val="3B71545F"/>
    <w:rsid w:val="3B932344"/>
    <w:rsid w:val="3B9479A7"/>
    <w:rsid w:val="3B9D20F5"/>
    <w:rsid w:val="3BB33F88"/>
    <w:rsid w:val="3BD93153"/>
    <w:rsid w:val="3BDA6996"/>
    <w:rsid w:val="3C0A3047"/>
    <w:rsid w:val="3C266642"/>
    <w:rsid w:val="3C2E50FB"/>
    <w:rsid w:val="3C37637A"/>
    <w:rsid w:val="3C4A12AD"/>
    <w:rsid w:val="3C5125FC"/>
    <w:rsid w:val="3C690ECB"/>
    <w:rsid w:val="3C960BC8"/>
    <w:rsid w:val="3CA509D1"/>
    <w:rsid w:val="3CD303A6"/>
    <w:rsid w:val="3CD93879"/>
    <w:rsid w:val="3D2571D3"/>
    <w:rsid w:val="3D7A2818"/>
    <w:rsid w:val="3D8106EA"/>
    <w:rsid w:val="3D834DF8"/>
    <w:rsid w:val="3D8F433C"/>
    <w:rsid w:val="3DA352B1"/>
    <w:rsid w:val="3DC60B7F"/>
    <w:rsid w:val="3DE97AD2"/>
    <w:rsid w:val="3E100FFC"/>
    <w:rsid w:val="3E201534"/>
    <w:rsid w:val="3E595FC6"/>
    <w:rsid w:val="3E651EE9"/>
    <w:rsid w:val="3E946898"/>
    <w:rsid w:val="3E950079"/>
    <w:rsid w:val="3F3C595E"/>
    <w:rsid w:val="3F59346C"/>
    <w:rsid w:val="3F657308"/>
    <w:rsid w:val="3F7856B5"/>
    <w:rsid w:val="3F8003ED"/>
    <w:rsid w:val="3FB718D6"/>
    <w:rsid w:val="3FD0326B"/>
    <w:rsid w:val="3FD34D1A"/>
    <w:rsid w:val="3FFC4A81"/>
    <w:rsid w:val="40031733"/>
    <w:rsid w:val="40076D3D"/>
    <w:rsid w:val="401F65F0"/>
    <w:rsid w:val="404C2292"/>
    <w:rsid w:val="405D572D"/>
    <w:rsid w:val="40620F95"/>
    <w:rsid w:val="408D1EA0"/>
    <w:rsid w:val="409D2A1A"/>
    <w:rsid w:val="40B21FB5"/>
    <w:rsid w:val="40C17F9E"/>
    <w:rsid w:val="40C43B66"/>
    <w:rsid w:val="415978C8"/>
    <w:rsid w:val="415C1B4D"/>
    <w:rsid w:val="417843F2"/>
    <w:rsid w:val="418A1799"/>
    <w:rsid w:val="41A61C3F"/>
    <w:rsid w:val="41B17185"/>
    <w:rsid w:val="41F05895"/>
    <w:rsid w:val="4226611D"/>
    <w:rsid w:val="4248208D"/>
    <w:rsid w:val="425402BB"/>
    <w:rsid w:val="42564ADA"/>
    <w:rsid w:val="428F4EFE"/>
    <w:rsid w:val="42AC2F79"/>
    <w:rsid w:val="42D55162"/>
    <w:rsid w:val="42FA6BD0"/>
    <w:rsid w:val="42FB4E01"/>
    <w:rsid w:val="4301585B"/>
    <w:rsid w:val="431B31A4"/>
    <w:rsid w:val="43412297"/>
    <w:rsid w:val="43413ED4"/>
    <w:rsid w:val="43594499"/>
    <w:rsid w:val="43636C3F"/>
    <w:rsid w:val="43701E7D"/>
    <w:rsid w:val="438073DF"/>
    <w:rsid w:val="439D6340"/>
    <w:rsid w:val="43A32EDA"/>
    <w:rsid w:val="43FD7280"/>
    <w:rsid w:val="441C5686"/>
    <w:rsid w:val="442C59F4"/>
    <w:rsid w:val="44477A7A"/>
    <w:rsid w:val="44AB34BD"/>
    <w:rsid w:val="44DC0CFE"/>
    <w:rsid w:val="44DC4FCA"/>
    <w:rsid w:val="454276A8"/>
    <w:rsid w:val="45465AD9"/>
    <w:rsid w:val="45A31600"/>
    <w:rsid w:val="45EF5694"/>
    <w:rsid w:val="45F32D75"/>
    <w:rsid w:val="45FE4441"/>
    <w:rsid w:val="463A1299"/>
    <w:rsid w:val="463A35BA"/>
    <w:rsid w:val="46440391"/>
    <w:rsid w:val="46A86AC5"/>
    <w:rsid w:val="46AF0ACC"/>
    <w:rsid w:val="46CD2EA3"/>
    <w:rsid w:val="471B210D"/>
    <w:rsid w:val="47330BB1"/>
    <w:rsid w:val="474340E1"/>
    <w:rsid w:val="4754737E"/>
    <w:rsid w:val="476E5DEA"/>
    <w:rsid w:val="47914A33"/>
    <w:rsid w:val="479B0044"/>
    <w:rsid w:val="479C10BC"/>
    <w:rsid w:val="47A4380D"/>
    <w:rsid w:val="47A6297A"/>
    <w:rsid w:val="47B35BF8"/>
    <w:rsid w:val="47C041C7"/>
    <w:rsid w:val="47CD1E0C"/>
    <w:rsid w:val="48012A31"/>
    <w:rsid w:val="481D4366"/>
    <w:rsid w:val="48224F06"/>
    <w:rsid w:val="485803F1"/>
    <w:rsid w:val="486942C4"/>
    <w:rsid w:val="48944C88"/>
    <w:rsid w:val="48B05292"/>
    <w:rsid w:val="48B971DC"/>
    <w:rsid w:val="48F556EA"/>
    <w:rsid w:val="48FA0664"/>
    <w:rsid w:val="48FF442C"/>
    <w:rsid w:val="49276380"/>
    <w:rsid w:val="494B0B0D"/>
    <w:rsid w:val="495A425A"/>
    <w:rsid w:val="49820EB7"/>
    <w:rsid w:val="499416E9"/>
    <w:rsid w:val="499B7BE5"/>
    <w:rsid w:val="49A049F1"/>
    <w:rsid w:val="49A63EAD"/>
    <w:rsid w:val="49B707DC"/>
    <w:rsid w:val="49FD2EE4"/>
    <w:rsid w:val="4A0B4FDE"/>
    <w:rsid w:val="4A3174A8"/>
    <w:rsid w:val="4A497D35"/>
    <w:rsid w:val="4A8B39B4"/>
    <w:rsid w:val="4A8B4AB2"/>
    <w:rsid w:val="4AD9595B"/>
    <w:rsid w:val="4AE51859"/>
    <w:rsid w:val="4B311212"/>
    <w:rsid w:val="4B4213B4"/>
    <w:rsid w:val="4B43535A"/>
    <w:rsid w:val="4B625BF7"/>
    <w:rsid w:val="4BB54107"/>
    <w:rsid w:val="4BB67EEE"/>
    <w:rsid w:val="4BD53E7D"/>
    <w:rsid w:val="4BDC5109"/>
    <w:rsid w:val="4BE84FA7"/>
    <w:rsid w:val="4BF70C92"/>
    <w:rsid w:val="4BFD0513"/>
    <w:rsid w:val="4BFE3913"/>
    <w:rsid w:val="4C005E77"/>
    <w:rsid w:val="4C2B76C1"/>
    <w:rsid w:val="4C5429A3"/>
    <w:rsid w:val="4C645A11"/>
    <w:rsid w:val="4C87254B"/>
    <w:rsid w:val="4CC74C75"/>
    <w:rsid w:val="4D1C2C8C"/>
    <w:rsid w:val="4D1E77BE"/>
    <w:rsid w:val="4D245FC5"/>
    <w:rsid w:val="4D2B3B2C"/>
    <w:rsid w:val="4D706D60"/>
    <w:rsid w:val="4DA943B0"/>
    <w:rsid w:val="4DBB2356"/>
    <w:rsid w:val="4DD64458"/>
    <w:rsid w:val="4DE4706D"/>
    <w:rsid w:val="4DEE51C1"/>
    <w:rsid w:val="4E125AC9"/>
    <w:rsid w:val="4E135BFA"/>
    <w:rsid w:val="4E355E12"/>
    <w:rsid w:val="4E9B1112"/>
    <w:rsid w:val="4EA06365"/>
    <w:rsid w:val="4ED4046B"/>
    <w:rsid w:val="4EDF4B15"/>
    <w:rsid w:val="4EF43B16"/>
    <w:rsid w:val="4F3153D3"/>
    <w:rsid w:val="4F4E6AF9"/>
    <w:rsid w:val="4F624F05"/>
    <w:rsid w:val="4F7C7C8F"/>
    <w:rsid w:val="4F804E7C"/>
    <w:rsid w:val="4F944D8F"/>
    <w:rsid w:val="4FAF47A1"/>
    <w:rsid w:val="4FE75F86"/>
    <w:rsid w:val="4FED0FB9"/>
    <w:rsid w:val="502261F0"/>
    <w:rsid w:val="50802423"/>
    <w:rsid w:val="50A97681"/>
    <w:rsid w:val="50AE3B94"/>
    <w:rsid w:val="50E93575"/>
    <w:rsid w:val="50F04D4E"/>
    <w:rsid w:val="50F57385"/>
    <w:rsid w:val="50F6016F"/>
    <w:rsid w:val="51151213"/>
    <w:rsid w:val="513F5114"/>
    <w:rsid w:val="51416DA1"/>
    <w:rsid w:val="515E6A1B"/>
    <w:rsid w:val="516B705C"/>
    <w:rsid w:val="5177537A"/>
    <w:rsid w:val="51A1217B"/>
    <w:rsid w:val="51BC2004"/>
    <w:rsid w:val="51CB74F6"/>
    <w:rsid w:val="51D13948"/>
    <w:rsid w:val="51D17FFD"/>
    <w:rsid w:val="51EB5979"/>
    <w:rsid w:val="52086B8C"/>
    <w:rsid w:val="521A0101"/>
    <w:rsid w:val="522D1CB6"/>
    <w:rsid w:val="52660A26"/>
    <w:rsid w:val="52717995"/>
    <w:rsid w:val="52990759"/>
    <w:rsid w:val="52B87033"/>
    <w:rsid w:val="531B72EC"/>
    <w:rsid w:val="531E35FC"/>
    <w:rsid w:val="532C2C22"/>
    <w:rsid w:val="533E6E17"/>
    <w:rsid w:val="5343182D"/>
    <w:rsid w:val="536C4A63"/>
    <w:rsid w:val="53993406"/>
    <w:rsid w:val="53A201DA"/>
    <w:rsid w:val="53B22D34"/>
    <w:rsid w:val="53EF2FDD"/>
    <w:rsid w:val="540540F5"/>
    <w:rsid w:val="542913B3"/>
    <w:rsid w:val="543F18BA"/>
    <w:rsid w:val="54705A29"/>
    <w:rsid w:val="54883400"/>
    <w:rsid w:val="54DE5D86"/>
    <w:rsid w:val="550922BB"/>
    <w:rsid w:val="550E49C6"/>
    <w:rsid w:val="55A47D96"/>
    <w:rsid w:val="55DA287E"/>
    <w:rsid w:val="56073162"/>
    <w:rsid w:val="561A48C1"/>
    <w:rsid w:val="563D619D"/>
    <w:rsid w:val="56537C47"/>
    <w:rsid w:val="56A010C0"/>
    <w:rsid w:val="56D10359"/>
    <w:rsid w:val="56D42684"/>
    <w:rsid w:val="56DD2471"/>
    <w:rsid w:val="57210A6D"/>
    <w:rsid w:val="57543081"/>
    <w:rsid w:val="57B5303D"/>
    <w:rsid w:val="57B65A36"/>
    <w:rsid w:val="57C83C57"/>
    <w:rsid w:val="582028C2"/>
    <w:rsid w:val="582908A2"/>
    <w:rsid w:val="583D07DD"/>
    <w:rsid w:val="585F1862"/>
    <w:rsid w:val="58620D26"/>
    <w:rsid w:val="58706FB1"/>
    <w:rsid w:val="58783F85"/>
    <w:rsid w:val="587C5983"/>
    <w:rsid w:val="591C580B"/>
    <w:rsid w:val="5926497A"/>
    <w:rsid w:val="59A11353"/>
    <w:rsid w:val="59C73A62"/>
    <w:rsid w:val="5A0336C4"/>
    <w:rsid w:val="5A391B40"/>
    <w:rsid w:val="5A70211C"/>
    <w:rsid w:val="5AAB2A29"/>
    <w:rsid w:val="5AAC7307"/>
    <w:rsid w:val="5AAD44EE"/>
    <w:rsid w:val="5AD07CB2"/>
    <w:rsid w:val="5AEF1DC1"/>
    <w:rsid w:val="5B4B2EB1"/>
    <w:rsid w:val="5B570332"/>
    <w:rsid w:val="5B5F0395"/>
    <w:rsid w:val="5B6300A3"/>
    <w:rsid w:val="5B6C0ED6"/>
    <w:rsid w:val="5B750097"/>
    <w:rsid w:val="5B790B4E"/>
    <w:rsid w:val="5B7A2400"/>
    <w:rsid w:val="5BB71DB2"/>
    <w:rsid w:val="5BD32897"/>
    <w:rsid w:val="5C061F9E"/>
    <w:rsid w:val="5C295CCC"/>
    <w:rsid w:val="5C66538F"/>
    <w:rsid w:val="5C872DAA"/>
    <w:rsid w:val="5C974816"/>
    <w:rsid w:val="5CA97228"/>
    <w:rsid w:val="5CBA57BD"/>
    <w:rsid w:val="5CEE7B85"/>
    <w:rsid w:val="5CF73D69"/>
    <w:rsid w:val="5D4700C2"/>
    <w:rsid w:val="5D5A1D40"/>
    <w:rsid w:val="5D6C4615"/>
    <w:rsid w:val="5D7C5A81"/>
    <w:rsid w:val="5D8813BF"/>
    <w:rsid w:val="5DD31E8F"/>
    <w:rsid w:val="5DDF2196"/>
    <w:rsid w:val="5DFF05CD"/>
    <w:rsid w:val="5E1672C2"/>
    <w:rsid w:val="5E1B6033"/>
    <w:rsid w:val="5E2612F9"/>
    <w:rsid w:val="5E534129"/>
    <w:rsid w:val="5E6E3C24"/>
    <w:rsid w:val="5E7255BD"/>
    <w:rsid w:val="5EC14E33"/>
    <w:rsid w:val="5EF83794"/>
    <w:rsid w:val="5EFE216C"/>
    <w:rsid w:val="5F3E18BD"/>
    <w:rsid w:val="5F475677"/>
    <w:rsid w:val="5F567498"/>
    <w:rsid w:val="5F6C29EA"/>
    <w:rsid w:val="5F7B3AC3"/>
    <w:rsid w:val="5F8420E2"/>
    <w:rsid w:val="5F887220"/>
    <w:rsid w:val="5FB81E56"/>
    <w:rsid w:val="5FD85FDC"/>
    <w:rsid w:val="5FEC00EE"/>
    <w:rsid w:val="5FF628E8"/>
    <w:rsid w:val="600951D4"/>
    <w:rsid w:val="601A25EF"/>
    <w:rsid w:val="60250EC1"/>
    <w:rsid w:val="6044067F"/>
    <w:rsid w:val="60793AF7"/>
    <w:rsid w:val="6099592B"/>
    <w:rsid w:val="60A13AB9"/>
    <w:rsid w:val="60A7744C"/>
    <w:rsid w:val="60CF04AB"/>
    <w:rsid w:val="60DB5486"/>
    <w:rsid w:val="60E82C1A"/>
    <w:rsid w:val="60EC0541"/>
    <w:rsid w:val="60FD245E"/>
    <w:rsid w:val="61102584"/>
    <w:rsid w:val="61247250"/>
    <w:rsid w:val="61251167"/>
    <w:rsid w:val="61AF6C07"/>
    <w:rsid w:val="61C52DA5"/>
    <w:rsid w:val="61EA093B"/>
    <w:rsid w:val="61FB7AA5"/>
    <w:rsid w:val="62117D72"/>
    <w:rsid w:val="62210A89"/>
    <w:rsid w:val="62285DB7"/>
    <w:rsid w:val="625E00F8"/>
    <w:rsid w:val="62923991"/>
    <w:rsid w:val="62E90396"/>
    <w:rsid w:val="62F26EC0"/>
    <w:rsid w:val="632A3D0D"/>
    <w:rsid w:val="633443AB"/>
    <w:rsid w:val="63561245"/>
    <w:rsid w:val="638857E1"/>
    <w:rsid w:val="63C85688"/>
    <w:rsid w:val="63CD5666"/>
    <w:rsid w:val="63D01EF3"/>
    <w:rsid w:val="63D2038C"/>
    <w:rsid w:val="63F66CE6"/>
    <w:rsid w:val="640E7E19"/>
    <w:rsid w:val="647527CB"/>
    <w:rsid w:val="648A0F84"/>
    <w:rsid w:val="648E4974"/>
    <w:rsid w:val="649E65A7"/>
    <w:rsid w:val="64A45065"/>
    <w:rsid w:val="64B70C4D"/>
    <w:rsid w:val="64D14920"/>
    <w:rsid w:val="64EA382F"/>
    <w:rsid w:val="64ED3306"/>
    <w:rsid w:val="64FF3FF1"/>
    <w:rsid w:val="6511603A"/>
    <w:rsid w:val="65434194"/>
    <w:rsid w:val="65477730"/>
    <w:rsid w:val="656A4332"/>
    <w:rsid w:val="65733372"/>
    <w:rsid w:val="657845AE"/>
    <w:rsid w:val="65991D3E"/>
    <w:rsid w:val="65B74A52"/>
    <w:rsid w:val="65BD55BD"/>
    <w:rsid w:val="65CA1D49"/>
    <w:rsid w:val="65F93F36"/>
    <w:rsid w:val="6602655A"/>
    <w:rsid w:val="66037BA1"/>
    <w:rsid w:val="660D45C7"/>
    <w:rsid w:val="66280ABB"/>
    <w:rsid w:val="6668032B"/>
    <w:rsid w:val="667C4290"/>
    <w:rsid w:val="66924AA7"/>
    <w:rsid w:val="66A613B8"/>
    <w:rsid w:val="66C95898"/>
    <w:rsid w:val="66F8201A"/>
    <w:rsid w:val="671C5A04"/>
    <w:rsid w:val="674B06E8"/>
    <w:rsid w:val="676777C3"/>
    <w:rsid w:val="677D4B8A"/>
    <w:rsid w:val="67802ACE"/>
    <w:rsid w:val="67804B33"/>
    <w:rsid w:val="67BC7C72"/>
    <w:rsid w:val="67C40A09"/>
    <w:rsid w:val="67D020A7"/>
    <w:rsid w:val="67E0560E"/>
    <w:rsid w:val="67EF59A2"/>
    <w:rsid w:val="685C5B46"/>
    <w:rsid w:val="688C0656"/>
    <w:rsid w:val="689A4B04"/>
    <w:rsid w:val="68AE1735"/>
    <w:rsid w:val="68D60630"/>
    <w:rsid w:val="697E7396"/>
    <w:rsid w:val="69A009FE"/>
    <w:rsid w:val="69A30E32"/>
    <w:rsid w:val="69F66247"/>
    <w:rsid w:val="69F86AAF"/>
    <w:rsid w:val="6A1F6154"/>
    <w:rsid w:val="6A2746CC"/>
    <w:rsid w:val="6A5517EC"/>
    <w:rsid w:val="6A694BA1"/>
    <w:rsid w:val="6A7C79EE"/>
    <w:rsid w:val="6ABC3292"/>
    <w:rsid w:val="6AD34458"/>
    <w:rsid w:val="6ADF25FC"/>
    <w:rsid w:val="6B020CD0"/>
    <w:rsid w:val="6B1148AC"/>
    <w:rsid w:val="6B1C1758"/>
    <w:rsid w:val="6B1F6D6A"/>
    <w:rsid w:val="6B4A5562"/>
    <w:rsid w:val="6B565807"/>
    <w:rsid w:val="6B6358D9"/>
    <w:rsid w:val="6B7A369F"/>
    <w:rsid w:val="6BAC2823"/>
    <w:rsid w:val="6BBB0690"/>
    <w:rsid w:val="6BBD5024"/>
    <w:rsid w:val="6BF37DF1"/>
    <w:rsid w:val="6BF75233"/>
    <w:rsid w:val="6C233FFC"/>
    <w:rsid w:val="6C630CE9"/>
    <w:rsid w:val="6CE0793D"/>
    <w:rsid w:val="6CEC0F34"/>
    <w:rsid w:val="6CF73CA4"/>
    <w:rsid w:val="6D005FF7"/>
    <w:rsid w:val="6D05105B"/>
    <w:rsid w:val="6D0D4EC9"/>
    <w:rsid w:val="6D207FCD"/>
    <w:rsid w:val="6D2B5B01"/>
    <w:rsid w:val="6D381497"/>
    <w:rsid w:val="6D6A2DB3"/>
    <w:rsid w:val="6D6A69AA"/>
    <w:rsid w:val="6D79127B"/>
    <w:rsid w:val="6E01482E"/>
    <w:rsid w:val="6E403BCF"/>
    <w:rsid w:val="6E424CF7"/>
    <w:rsid w:val="6E96703D"/>
    <w:rsid w:val="6E984122"/>
    <w:rsid w:val="6EC4761A"/>
    <w:rsid w:val="6ED26905"/>
    <w:rsid w:val="6EE20566"/>
    <w:rsid w:val="6EF513F6"/>
    <w:rsid w:val="6EF773A4"/>
    <w:rsid w:val="6EF8649B"/>
    <w:rsid w:val="6F1F0771"/>
    <w:rsid w:val="6F2A3731"/>
    <w:rsid w:val="6F3669E2"/>
    <w:rsid w:val="6F3A0437"/>
    <w:rsid w:val="6F452492"/>
    <w:rsid w:val="6F4E1ABB"/>
    <w:rsid w:val="6F65489B"/>
    <w:rsid w:val="6F9E4E98"/>
    <w:rsid w:val="6FA72F23"/>
    <w:rsid w:val="6FC169C6"/>
    <w:rsid w:val="700148B1"/>
    <w:rsid w:val="70262445"/>
    <w:rsid w:val="709304FC"/>
    <w:rsid w:val="70BA4068"/>
    <w:rsid w:val="70F36F46"/>
    <w:rsid w:val="71231B23"/>
    <w:rsid w:val="714633CE"/>
    <w:rsid w:val="718621EE"/>
    <w:rsid w:val="71894FD2"/>
    <w:rsid w:val="71A3311F"/>
    <w:rsid w:val="71DA48AF"/>
    <w:rsid w:val="72005730"/>
    <w:rsid w:val="72386C6E"/>
    <w:rsid w:val="723A3057"/>
    <w:rsid w:val="72400885"/>
    <w:rsid w:val="725273EA"/>
    <w:rsid w:val="725B1897"/>
    <w:rsid w:val="72603689"/>
    <w:rsid w:val="726C47BC"/>
    <w:rsid w:val="72CD2240"/>
    <w:rsid w:val="72EC4E12"/>
    <w:rsid w:val="733F7A24"/>
    <w:rsid w:val="735C44F0"/>
    <w:rsid w:val="736A01CD"/>
    <w:rsid w:val="73741988"/>
    <w:rsid w:val="73814929"/>
    <w:rsid w:val="7393399F"/>
    <w:rsid w:val="73984022"/>
    <w:rsid w:val="73D67D9C"/>
    <w:rsid w:val="73E2421D"/>
    <w:rsid w:val="74000D97"/>
    <w:rsid w:val="74017B4B"/>
    <w:rsid w:val="74150C9D"/>
    <w:rsid w:val="746A6AAD"/>
    <w:rsid w:val="747A4FBC"/>
    <w:rsid w:val="74D94903"/>
    <w:rsid w:val="74DC7834"/>
    <w:rsid w:val="74E271F1"/>
    <w:rsid w:val="7551327B"/>
    <w:rsid w:val="755F782E"/>
    <w:rsid w:val="75A16A9F"/>
    <w:rsid w:val="75E27D49"/>
    <w:rsid w:val="75EB2346"/>
    <w:rsid w:val="761867BE"/>
    <w:rsid w:val="76365AD0"/>
    <w:rsid w:val="764350A1"/>
    <w:rsid w:val="76462BBA"/>
    <w:rsid w:val="765D57EA"/>
    <w:rsid w:val="7688585F"/>
    <w:rsid w:val="76F54CF0"/>
    <w:rsid w:val="76FD5906"/>
    <w:rsid w:val="770B684E"/>
    <w:rsid w:val="771702EE"/>
    <w:rsid w:val="77204CB1"/>
    <w:rsid w:val="77A14CDE"/>
    <w:rsid w:val="77AA2F7D"/>
    <w:rsid w:val="782B4A23"/>
    <w:rsid w:val="78302F8F"/>
    <w:rsid w:val="78510397"/>
    <w:rsid w:val="7874259E"/>
    <w:rsid w:val="78754CBA"/>
    <w:rsid w:val="78814E77"/>
    <w:rsid w:val="78CB3FEB"/>
    <w:rsid w:val="793B5CE2"/>
    <w:rsid w:val="797B3C8A"/>
    <w:rsid w:val="797F45FC"/>
    <w:rsid w:val="79DB75C0"/>
    <w:rsid w:val="79E37881"/>
    <w:rsid w:val="79EA2E0E"/>
    <w:rsid w:val="79ED08FA"/>
    <w:rsid w:val="7A067AFA"/>
    <w:rsid w:val="7A0C585A"/>
    <w:rsid w:val="7A2C7450"/>
    <w:rsid w:val="7A326B5A"/>
    <w:rsid w:val="7A616D0A"/>
    <w:rsid w:val="7A78495E"/>
    <w:rsid w:val="7A7F2C76"/>
    <w:rsid w:val="7A9C2983"/>
    <w:rsid w:val="7AAC462A"/>
    <w:rsid w:val="7AF84FA0"/>
    <w:rsid w:val="7AF909C6"/>
    <w:rsid w:val="7B330A87"/>
    <w:rsid w:val="7B415613"/>
    <w:rsid w:val="7B6F1BD0"/>
    <w:rsid w:val="7B732126"/>
    <w:rsid w:val="7B755C15"/>
    <w:rsid w:val="7B8E1216"/>
    <w:rsid w:val="7B9A1345"/>
    <w:rsid w:val="7BB27AE4"/>
    <w:rsid w:val="7BCA6C86"/>
    <w:rsid w:val="7C044DA1"/>
    <w:rsid w:val="7CA33449"/>
    <w:rsid w:val="7D0A0BA4"/>
    <w:rsid w:val="7D4253C7"/>
    <w:rsid w:val="7D8E577D"/>
    <w:rsid w:val="7D9A426A"/>
    <w:rsid w:val="7DCB52C5"/>
    <w:rsid w:val="7E2C100A"/>
    <w:rsid w:val="7E333E03"/>
    <w:rsid w:val="7E391FE6"/>
    <w:rsid w:val="7E450EC4"/>
    <w:rsid w:val="7E7F4C37"/>
    <w:rsid w:val="7E90531E"/>
    <w:rsid w:val="7E916762"/>
    <w:rsid w:val="7EA916FD"/>
    <w:rsid w:val="7EE53C64"/>
    <w:rsid w:val="7F541580"/>
    <w:rsid w:val="7F667225"/>
    <w:rsid w:val="7FAA1C29"/>
    <w:rsid w:val="7FAC4830"/>
    <w:rsid w:val="7FCC55AD"/>
    <w:rsid w:val="7FEC4B3F"/>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2096</Words>
  <Characters>11952</Characters>
  <Lines>99</Lines>
  <Paragraphs>28</Paragraphs>
  <TotalTime>117</TotalTime>
  <ScaleCrop>false</ScaleCrop>
  <LinksUpToDate>false</LinksUpToDate>
  <CharactersWithSpaces>14020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2020-06-28T02:35:00Z</cp:lastPrinted>
  <dcterms:modified xsi:type="dcterms:W3CDTF">2020-06-29T00:19:05Z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