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129" w:name="_GoBack"/>
      <w:bookmarkEnd w:id="129"/>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亳州交通投资控股集团有限公司非标专项债发行咨询评估服务项目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BZJK-2019-067号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二〇一九年十月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w:t>
      </w:r>
      <w:r>
        <w:rPr>
          <w:rFonts w:hint="eastAsia"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第五章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17" w:right="1531" w:bottom="1417" w:left="1531"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亳州交通投资控股集团有限公司非标专项债发行咨询评估服务项目</w:t>
      </w:r>
      <w:r>
        <w:rPr>
          <w:rFonts w:hint="default"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246996166"/>
      <w:bookmarkStart w:id="2" w:name="_Toc179632536"/>
      <w:bookmarkStart w:id="3" w:name="_Toc152042295"/>
      <w:bookmarkStart w:id="4" w:name="_Toc247085680"/>
      <w:bookmarkStart w:id="5" w:name="_Toc152045519"/>
      <w:bookmarkStart w:id="6" w:name="_Toc144974487"/>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52045520"/>
      <w:bookmarkStart w:id="10" w:name="_Toc144974488"/>
      <w:bookmarkStart w:id="11" w:name="_Toc246996910"/>
      <w:bookmarkStart w:id="12" w:name="_Toc179632537"/>
      <w:bookmarkStart w:id="13" w:name="_Toc296602411"/>
      <w:bookmarkStart w:id="14" w:name="_Toc246996167"/>
      <w:bookmarkStart w:id="15" w:name="_Toc152042296"/>
      <w:r>
        <w:rPr>
          <w:rFonts w:hint="eastAsia" w:ascii="Times New Roman" w:hAnsi="Times New Roman" w:eastAsia="仿宋_GB2312" w:cs="Times New Roman"/>
          <w:sz w:val="28"/>
          <w:szCs w:val="28"/>
          <w:highlight w:val="none"/>
          <w:lang w:val="en-US" w:eastAsia="zh-CN"/>
        </w:rPr>
        <w:t>本招标项目为亳州交通投资控股集团有限公司非标专项债发行咨询评估服务项目（项目编号：BZJK-2019-067号），招标人为亳州交通投资控股集团有限公司，项目资金来自企业自筹。项目已具备招标条件，现对该项目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（一）项目概况：停车场项目总投资约5.5亿元，占地约150亩，建筑面积共计约17万平方米。本项目计划新建停车位13160个，其中停车场共计21座，提供停车位7160个，城市道路停车泊位6000个。</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提供符合安徽省财政厅要求的项目实施方案，含项目资金平衡方案。实施方案主要内容包括但不限于项目基本情况、经济社会效益分析、项目投资估算及资金筹措、项目预期收益、成本及融资平衡情况、项目融资计划、潜在影响项目收益和融资平衡结果的各种风险评估、信息披露计划等，同时须提供会计师事务所出具的项目财务评估报告和律师事务所出具的项目法律意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（三）质量标准：符合招标人提出的服务要求，本次招标的非标专项债项目被纳入安徽省财政厅非标专项债项目库。</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（四）服务期限：自合同签订之日起至本次招标的非标专项债项目被纳入安徽省财政厅非标专项债项目库为止。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（五）最高投标限价（含税）：人民币（大写）贰拾万元整，（小写）200000元</w:t>
      </w:r>
      <w:r>
        <w:rPr>
          <w:rFonts w:hint="eastAsia" w:ascii="Times New Roman" w:hAnsi="Times New Roman" w:eastAsia="仿宋_GB2312" w:cs="Times New Roman"/>
          <w:sz w:val="28"/>
          <w:szCs w:val="28"/>
          <w:highlight w:val="none"/>
          <w:vertAlign w:val="baseline"/>
          <w:lang w:val="en-US" w:eastAsia="zh-CN"/>
        </w:rPr>
        <w:t>。投标报价超出限价的按无效投标处理；投标报价应包括为完成各阶段工作内容以及后期服务所需的全部费用及税费，其他未尽事宜应统一考虑在投标报价内。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三、投标人资质条件、能力、信誉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本次招标要求投标人须具有相应的债券发行咨询资质，具有良好的商业信誉和健全的财务会计制度，依法缴纳税收和社会保障资金的良好记录；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企业类似项目业绩，企业类似项目业绩是指投标人自2016年1月1日至今承接的单项合同金额不低于20万元的非标专项债发行咨询评估服务项目业绩，业绩合同以合同签订时间为准。投标人须提供业绩合同或其他有效证明材料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（三）本次招标不接收联合体投标；投标单位以总公司身份中标的，不得以分公司身份签订合同；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2019年10月23日9时00分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：0558-5196779</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招标平台：亳州交通投资控股集团有限公司招投标中心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人：才工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2019年10月15日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90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亳州交通投资控股集团有限公司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亳州交通投资控股集团有限公司招投标中心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亳州交通投资控股集团有限公司非标专项债</w:t>
            </w:r>
            <w:r>
              <w:rPr>
                <w:rFonts w:hint="eastAsia" w:ascii="Times New Roman" w:hAnsi="Times New Roman" w:cs="Times New Roman"/>
                <w:szCs w:val="21"/>
                <w:highlight w:val="none"/>
                <w:lang w:eastAsia="zh-CN"/>
              </w:rPr>
              <w:t>发行咨询评估服务项目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提供符合安徽省财政厅要求的项目实施方案，含项目资金平衡方案。实施方案主要内容包括但不限于项目基本情况、经济社会效益分析、项目投资估算及资金筹措、项目预期收益、成本及融资平衡情况、项目融资计划、潜在影响项目收益和融资平衡结果的各种风险评估、信息披露计划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同时</w:t>
            </w:r>
            <w:r>
              <w:rPr>
                <w:rFonts w:hint="eastAsia" w:ascii="Times New Roman" w:hAnsi="Times New Roman" w:cs="Times New Roman"/>
                <w:szCs w:val="21"/>
                <w:highlight w:val="none"/>
                <w:lang w:eastAsia="zh-CN"/>
              </w:rPr>
              <w:t>须提供会计师事务所出具的项目财务评估报告和律师事务所出具的项目法律意见书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自合同签订之日起至本次招标的非标专项债项目被纳入安徽省财政厅非标专项债项目库为止。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符合招标人提出的服务要求，本次招标的非标专项债项目被纳入安徽省财政厅非标专项债项目库。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（一）本次招标要求投标人须具有相应的债券发行咨询资质，具有良好的商业信誉和健全的财务会计制度，依法缴纳税收和社会保障资金的良好记录；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投标人须提供至少1个企业类似项目业绩，企业类似项目业绩是指投标人自2016年1月1日至今承接的地方单项合同金额不低于20万元的非标专项债发行咨询评估服务项目业绩，业绩合同以合同签订时间为准。投标人须提供业绩合同或其他有效证明材料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（三）本次招标不接收联合体投标；投标单位以总公司身份中标的，不得以分公司身份签订合同；</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参照国家发改委2017年9月4日印发的《中华人民共和国标准设计招标文件》第二章“投标人须知”第1.4.3款规定执行。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详见第一章招标公告和第五章发包人要求。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报价方式</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总价报价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最高投标限价：人民币（大写）贰拾万元整，（小写）200000元。投标报价超出限价的按无效投标处理；投标报价应包括为完成各阶段工作内容以及后期服务所需的全部费用及税费，其他未尽事宜应统一考虑在投标报价内。</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报价应包括为完成各阶段工作内容以及后期服务所需的全部费用及税费。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lang w:eastAsia="zh-CN"/>
              </w:rPr>
              <w:t>）</w:t>
            </w:r>
            <w:r>
              <w:rPr>
                <w:rFonts w:hint="eastAsia" w:ascii="Times New Roman" w:hAnsi="Times New Roman" w:cs="Times New Roman"/>
                <w:b/>
                <w:bCs/>
                <w:szCs w:val="21"/>
                <w:highlight w:val="none"/>
                <w:lang w:eastAsia="zh-CN"/>
              </w:rPr>
              <w:t>肆仟</w:t>
            </w:r>
            <w:r>
              <w:rPr>
                <w:rFonts w:hint="eastAsia" w:ascii="Times New Roman" w:hAnsi="Times New Roman" w:cs="Times New Roman"/>
                <w:b w:val="0"/>
                <w:bCs w:val="0"/>
                <w:szCs w:val="21"/>
                <w:highlight w:val="none"/>
                <w:lang w:val="en-US" w:eastAsia="zh-CN"/>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4000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BZJK-2019-067号保证金”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2017年至2019年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2016年1月1日至今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2016年1月1日至今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投标文件份数：一正四副</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证书的复印件或扫描件，加盖投标人单位公章，装订入投标文件中。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eastAsia="zh-CN"/>
              </w:rPr>
              <w:t>亳州交通投资控股集团有限公司非标专项债发行咨询评估服务项目</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2019年10月23日9时00分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u w:val="single"/>
                <w:lang w:eastAsia="zh-CN"/>
              </w:rPr>
              <w:t>2019年10月23日9时00分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是否要求投标人提交履约保证金：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服务期满后</w:t>
            </w:r>
            <w:r>
              <w:rPr>
                <w:rFonts w:hint="eastAsia" w:ascii="Times New Roman" w:hAnsi="Times New Roman" w:cs="Times New Roman"/>
                <w:szCs w:val="21"/>
                <w:highlight w:val="none"/>
                <w:lang w:val="en-US" w:eastAsia="zh-CN"/>
              </w:rPr>
              <w:t>10个工作日内退还全部</w:t>
            </w:r>
            <w:r>
              <w:rPr>
                <w:rFonts w:hint="default" w:ascii="Times New Roman" w:hAnsi="Times New Roman" w:cs="Times New Roman"/>
                <w:szCs w:val="21"/>
                <w:highlight w:val="none"/>
              </w:rPr>
              <w:t>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43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80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920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5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w:t>
            </w:r>
            <w:r>
              <w:rPr>
                <w:rFonts w:hint="eastAsia" w:ascii="Times New Roman" w:hAnsi="Times New Roman" w:cs="Times New Roman"/>
                <w:kern w:val="0"/>
                <w:sz w:val="24"/>
                <w:szCs w:val="24"/>
                <w:highlight w:val="none"/>
                <w:lang w:val="en-US" w:eastAsia="zh-CN"/>
              </w:rPr>
              <w:t>及投标函附录</w:t>
            </w:r>
            <w:r>
              <w:rPr>
                <w:rFonts w:hint="default" w:ascii="Times New Roman" w:hAnsi="Times New Roman" w:cs="Times New Roman" w:eastAsiaTheme="minorEastAsia"/>
                <w:kern w:val="0"/>
                <w:sz w:val="24"/>
                <w:szCs w:val="24"/>
                <w:highlight w:val="none"/>
              </w:rPr>
              <w:t>签字盖章</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投标人资质条件、能力、信誉要求</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（一）本次招标要求投标人须具有相应的债券发行咨询资质，具有良好的商业信誉和健全的财务会计制度，依法缴纳税收和社会保障资金的良好记录；</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二）投标人须提供至少1个企业类似项目业绩，企业类似项目业绩是指投标人自2016年1月1日至今承接的单项合同金额不低于20万元的非标专项债发行咨询评估服务项目业绩，业绩合同以合同签订时间为准。投标人须提供业绩合同或其他有效证明材料复印件，加盖单位公章并装订入投标文件中；</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（三）本次招标不接收联合体投标；投标单位以总公司身份中标的，不得以分公司身份签订合同；</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（四）投标人存在以下不良信用记录情形之一的，不得推荐为中标候选人，更不得确定为中标人：</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1.投标人被人民法院列入失信被执行人的；</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2.投标人或其法定代表人或拟派项目负责人被人民检察院列入行贿犯罪档案的；</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3.投标人被工商行政管理部门列入企业经营异常名录的；</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4.投标人被税务部门列入重大税收违法案件当事人名单的；</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5.投标人被人力资源社会保障行政部门列入拖欠农民工工资“黑名单”的。</w:t>
            </w:r>
          </w:p>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55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 w:val="28"/>
          <w:szCs w:val="28"/>
          <w:highlight w:val="none"/>
          <w:lang w:val="en-US" w:eastAsia="zh-CN"/>
        </w:rPr>
      </w:pPr>
      <w:bookmarkStart w:id="16" w:name="_Toc152042366"/>
      <w:bookmarkStart w:id="17" w:name="_Toc246996232"/>
      <w:bookmarkStart w:id="18" w:name="_Toc144974556"/>
      <w:bookmarkStart w:id="19" w:name="_Toc179632607"/>
      <w:bookmarkStart w:id="20" w:name="_Toc296602477"/>
      <w:bookmarkStart w:id="21" w:name="_Toc152045589"/>
      <w:bookmarkStart w:id="22" w:name="_Toc247085747"/>
      <w:bookmarkStart w:id="23" w:name="_Toc246996975"/>
      <w:r>
        <w:rPr>
          <w:rFonts w:hint="eastAsia" w:ascii="Times New Roman" w:hAnsi="Times New Roman" w:cs="Times New Roman" w:eastAsiaTheme="minorEastAsia"/>
          <w:b/>
          <w:bCs/>
          <w:sz w:val="28"/>
          <w:szCs w:val="28"/>
          <w:highlight w:val="none"/>
          <w:lang w:val="en-US" w:eastAsia="zh-CN"/>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2.1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3. 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宋体" w:hAnsi="宋体" w:eastAsia="宋体" w:cs="宋体"/>
          <w:b w:val="0"/>
          <w:bCs w:val="0"/>
          <w:sz w:val="24"/>
          <w:szCs w:val="24"/>
          <w:highlight w:val="none"/>
        </w:rPr>
        <w:t>3.1.1评标委员会可以要求投标人提交第二章“投标人须知”规定的有关证明和证件</w:t>
      </w:r>
      <w:r>
        <w:rPr>
          <w:rFonts w:hint="eastAsia" w:ascii="Times New Roman" w:hAnsi="Times New Roman" w:cs="Times New Roman" w:eastAsiaTheme="minorEastAsia"/>
          <w:sz w:val="24"/>
          <w:szCs w:val="24"/>
          <w:highlight w:val="none"/>
          <w:lang w:val="en-US" w:eastAsia="zh-CN"/>
        </w:rPr>
        <w:t>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（1）《中华人民共和国标准设备采购招标文件》第二章“投标人须知”第1.4.2项、第1.4.3项规定的任何一种情形的；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3.2.1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eastAsiaTheme="minorEastAsia"/>
          <w:sz w:val="24"/>
          <w:szCs w:val="24"/>
          <w:highlight w:val="none"/>
          <w:lang w:val="en-US" w:eastAsia="zh-CN"/>
        </w:rPr>
        <w:t>3.4.2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88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275"/>
        <w:gridCol w:w="6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0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序号</w:t>
            </w:r>
          </w:p>
        </w:tc>
        <w:tc>
          <w:tcPr>
            <w:tcW w:w="127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条款名称</w:t>
            </w:r>
          </w:p>
        </w:tc>
        <w:tc>
          <w:tcPr>
            <w:tcW w:w="691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0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w:t>
            </w:r>
          </w:p>
        </w:tc>
        <w:tc>
          <w:tcPr>
            <w:tcW w:w="127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付款方式</w:t>
            </w:r>
          </w:p>
        </w:tc>
        <w:tc>
          <w:tcPr>
            <w:tcW w:w="691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正式申报财政厅后30个工作日内付至中标价的80%，余款在省财政厅审批通过后15个工作日内一次性无息付清。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每次付款前，承包人应向发包人提供等额增值税专用发票。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0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2</w:t>
            </w:r>
          </w:p>
        </w:tc>
        <w:tc>
          <w:tcPr>
            <w:tcW w:w="127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付款人</w:t>
            </w:r>
          </w:p>
        </w:tc>
        <w:tc>
          <w:tcPr>
            <w:tcW w:w="691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亳州交通投资控股集团有限公司</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具体合同内容由采购人与中标人在不违背谈判文件要求、谈判过程中投标人承诺以及响应文件承诺的条件下友好协商签订。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1.项目概况：停车场项目总投资约55000万元，占地约150亩，建筑面积共计约17万平方米。计划新建停车位13160个，其中停车场共计21座，提供停车位7160个，城市道路停车泊位6000个。</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服务范围：提供符合安徽省财政厅要求的项目实施方案，含项目资金平衡方案。实施方案主要内容包括但不限于项目基本情况、经济社会效益分析、项目投资估算及资金筹措、项目预期收益、成本及融资平衡情况、项目融资计划、潜在影响项目收益和融资平衡结果的各种风险评估、信息披露计划，同时须提供会计师事务所出具的项目财务评估报告和律师事务所出具的项目法律意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3.非标专项债发行申报材料编制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按照省财政厅的要求协助政府方完成债券发行申报材料的编制及申报工作。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亳州交通投资控股集团有限公司非标专项债发行咨询评估服务项目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BZJK-2019-067号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四、服务费用清单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六、项目咨询服务方案</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highlight w:val="none"/>
        </w:rPr>
      </w:pPr>
      <w:bookmarkStart w:id="24" w:name="_Toc492300526"/>
      <w:r>
        <w:rPr>
          <w:rFonts w:ascii="Times New Roman" w:hAnsi="Times New Roman"/>
          <w:highlight w:val="none"/>
        </w:rPr>
        <w:t>一、投标</w:t>
      </w:r>
      <w:bookmarkStart w:id="25" w:name="_Toc352691656"/>
      <w:bookmarkStart w:id="26" w:name="_Toc369531692"/>
      <w:bookmarkStart w:id="27" w:name="_Toc6931"/>
      <w:r>
        <w:rPr>
          <w:rFonts w:ascii="Times New Roman" w:hAnsi="Times New Roman"/>
          <w:highlight w:val="none"/>
        </w:rPr>
        <w:t>函及投标函附录</w:t>
      </w:r>
      <w:bookmarkEnd w:id="24"/>
    </w:p>
    <w:bookmarkEnd w:id="25"/>
    <w:bookmarkEnd w:id="26"/>
    <w:bookmarkEnd w:id="27"/>
    <w:p>
      <w:pPr>
        <w:pStyle w:val="4"/>
        <w:ind w:firstLine="137"/>
        <w:rPr>
          <w:rFonts w:ascii="Times New Roman" w:hAnsi="Times New Roman"/>
          <w:highlight w:val="none"/>
        </w:rPr>
      </w:pPr>
      <w:bookmarkStart w:id="28" w:name="_Toc492300527"/>
      <w:bookmarkStart w:id="29" w:name="_Toc370676426"/>
      <w:bookmarkStart w:id="30" w:name="_Toc359594235"/>
      <w:bookmarkStart w:id="31" w:name="_Toc385943065"/>
      <w:bookmarkStart w:id="32" w:name="_Toc482188651"/>
      <w:bookmarkStart w:id="33" w:name="_Toc391394111"/>
      <w:r>
        <w:rPr>
          <w:rFonts w:hint="eastAsia" w:ascii="Times New Roman" w:hAnsi="Times New Roman"/>
          <w:highlight w:val="none"/>
        </w:rPr>
        <w:t>（一）投标函</w:t>
      </w:r>
      <w:bookmarkEnd w:id="28"/>
      <w:bookmarkEnd w:id="29"/>
      <w:bookmarkEnd w:id="30"/>
      <w:bookmarkEnd w:id="31"/>
      <w:bookmarkEnd w:id="32"/>
      <w:bookmarkEnd w:id="33"/>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lang w:val="en-US" w:eastAsia="zh-CN"/>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）的投标总报价（其中，增值税税率为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ascii="Times New Roman" w:hAnsi="Times New Roman"/>
          <w:szCs w:val="21"/>
          <w:highlight w:val="none"/>
        </w:rPr>
        <w:t>，按合同约定完成</w:t>
      </w:r>
      <w:r>
        <w:rPr>
          <w:rFonts w:hint="eastAsia" w:ascii="Times New Roman" w:hAnsi="Times New Roman"/>
          <w:szCs w:val="21"/>
          <w:highlight w:val="none"/>
          <w:lang w:val="en-US" w:eastAsia="zh-CN"/>
        </w:rPr>
        <w:t>服务</w:t>
      </w:r>
      <w:r>
        <w:rPr>
          <w:rFonts w:ascii="Times New Roman" w:hAnsi="Times New Roman"/>
          <w:szCs w:val="21"/>
          <w:highlight w:val="none"/>
        </w:rPr>
        <w:t>工作。</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（1）投标函</w:t>
      </w:r>
      <w:r>
        <w:rPr>
          <w:rFonts w:ascii="Times New Roman" w:hAnsi="Times New Roman"/>
          <w:highlight w:val="none"/>
        </w:rPr>
        <w:t>及投标函附录</w:t>
      </w:r>
      <w:r>
        <w:rPr>
          <w:rFonts w:ascii="Times New Roman" w:hAnsi="Times New Roman"/>
          <w:color w:val="000000"/>
          <w:szCs w:val="21"/>
          <w:highlight w:val="none"/>
        </w:rPr>
        <w:t>；</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3</w:t>
      </w:r>
      <w:r>
        <w:rPr>
          <w:rFonts w:ascii="Times New Roman" w:hAnsi="Times New Roman"/>
          <w:color w:val="000000"/>
          <w:szCs w:val="21"/>
          <w:highlight w:val="none"/>
        </w:rPr>
        <w:t>）投标保证金（如有）；</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4</w:t>
      </w: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服务</w:t>
      </w:r>
      <w:r>
        <w:rPr>
          <w:rFonts w:ascii="Times New Roman" w:hAnsi="Times New Roman"/>
          <w:color w:val="000000"/>
          <w:szCs w:val="21"/>
          <w:highlight w:val="none"/>
        </w:rPr>
        <w:t>费用清单；</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5</w:t>
      </w:r>
      <w:r>
        <w:rPr>
          <w:rFonts w:ascii="Times New Roman" w:hAnsi="Times New Roman"/>
          <w:color w:val="000000"/>
          <w:szCs w:val="21"/>
          <w:highlight w:val="none"/>
        </w:rPr>
        <w:t>）资格审查资料；</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6</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项目咨询服务</w:t>
      </w:r>
      <w:r>
        <w:rPr>
          <w:rFonts w:hint="eastAsia" w:ascii="Times New Roman" w:hAnsi="Times New Roman"/>
          <w:color w:val="000000"/>
          <w:szCs w:val="21"/>
          <w:highlight w:val="none"/>
        </w:rPr>
        <w:t>方案；</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34" w:name="_Toc1187"/>
      <w:bookmarkStart w:id="35" w:name="_Toc369531694"/>
      <w:bookmarkStart w:id="36" w:name="_Toc352691658"/>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34"/>
      <w:bookmarkEnd w:id="35"/>
      <w:bookmarkEnd w:id="36"/>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2520" w:firstLineChars="1200"/>
        <w:jc w:val="left"/>
        <w:rPr>
          <w:rFonts w:ascii="Times New Roman" w:hAnsi="Times New Roman"/>
          <w:szCs w:val="21"/>
          <w:highlight w:val="none"/>
        </w:rPr>
      </w:pPr>
      <w:bookmarkStart w:id="37" w:name="_Toc352691659"/>
      <w:bookmarkEnd w:id="37"/>
      <w:bookmarkStart w:id="38" w:name="_Toc352691660"/>
      <w:bookmarkEnd w:id="38"/>
      <w:bookmarkStart w:id="39" w:name="_Toc369531696"/>
      <w:bookmarkEnd w:id="39"/>
      <w:bookmarkStart w:id="40" w:name="_Toc16568"/>
      <w:bookmarkEnd w:id="40"/>
      <w:bookmarkStart w:id="41" w:name="_Toc369531695"/>
      <w:bookmarkEnd w:id="41"/>
      <w:bookmarkStart w:id="42" w:name="_Toc16824"/>
      <w:bookmarkEnd w:id="42"/>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43" w:name="_Toc352691661"/>
      <w:bookmarkStart w:id="44" w:name="_Toc247514246"/>
      <w:bookmarkStart w:id="45" w:name="_Toc17960"/>
      <w:bookmarkStart w:id="46" w:name="_Toc144974856"/>
      <w:bookmarkStart w:id="47" w:name="_Toc152042576"/>
      <w:bookmarkStart w:id="48" w:name="_Toc384308375"/>
      <w:bookmarkStart w:id="49" w:name="_Toc361508752"/>
      <w:bookmarkStart w:id="50" w:name="_Toc369531697"/>
      <w:bookmarkStart w:id="51" w:name="_Toc300835209"/>
      <w:bookmarkStart w:id="52" w:name="_Toc152045787"/>
      <w:bookmarkStart w:id="53" w:name="_Toc247527827"/>
    </w:p>
    <w:p>
      <w:pPr>
        <w:numPr>
          <w:ilvl w:val="0"/>
          <w:numId w:val="1"/>
        </w:numPr>
        <w:spacing w:line="440" w:lineRule="exact"/>
        <w:rPr>
          <w:rFonts w:hint="eastAsia" w:ascii="Times New Roman" w:hAnsi="Times New Roman" w:eastAsiaTheme="minorEastAsia" w:cstheme="minorBidi"/>
          <w:b/>
          <w:bCs/>
          <w:kern w:val="2"/>
          <w:sz w:val="32"/>
          <w:szCs w:val="32"/>
          <w:highlight w:val="none"/>
          <w:lang w:val="en-US" w:eastAsia="zh-CN" w:bidi="ar-SA"/>
        </w:rPr>
      </w:pPr>
      <w:bookmarkStart w:id="54" w:name="_Toc370676427"/>
      <w:bookmarkStart w:id="55" w:name="_Toc359594236"/>
      <w:bookmarkStart w:id="56" w:name="_Toc391394112"/>
      <w:bookmarkStart w:id="57" w:name="_Toc482188652"/>
      <w:bookmarkStart w:id="58" w:name="_Toc492300528"/>
      <w:bookmarkStart w:id="59" w:name="_Toc385943066"/>
      <w:r>
        <w:rPr>
          <w:rFonts w:hint="eastAsia" w:ascii="Times New Roman" w:hAnsi="Times New Roman" w:eastAsiaTheme="minorEastAsia" w:cstheme="minorBidi"/>
          <w:b/>
          <w:bCs/>
          <w:kern w:val="2"/>
          <w:sz w:val="32"/>
          <w:szCs w:val="32"/>
          <w:highlight w:val="none"/>
          <w:lang w:val="en-US" w:eastAsia="zh-CN" w:bidi="ar-SA"/>
        </w:rPr>
        <w:t>投标函附录</w:t>
      </w:r>
      <w:bookmarkEnd w:id="54"/>
      <w:bookmarkEnd w:id="55"/>
      <w:bookmarkEnd w:id="56"/>
      <w:bookmarkEnd w:id="57"/>
      <w:bookmarkEnd w:id="58"/>
      <w:bookmarkEnd w:id="59"/>
    </w:p>
    <w:p>
      <w:pPr>
        <w:numPr>
          <w:ilvl w:val="0"/>
          <w:numId w:val="0"/>
        </w:numPr>
        <w:spacing w:line="440" w:lineRule="exact"/>
        <w:rPr>
          <w:rFonts w:hint="eastAsia" w:ascii="Times New Roman" w:hAnsi="Times New Roman" w:eastAsiaTheme="minorEastAsia" w:cstheme="minorBidi"/>
          <w:b/>
          <w:bCs/>
          <w:kern w:val="2"/>
          <w:sz w:val="32"/>
          <w:szCs w:val="32"/>
          <w:highlight w:val="none"/>
          <w:lang w:val="en-US" w:eastAsia="zh-CN" w:bidi="ar-SA"/>
        </w:rPr>
      </w:pPr>
    </w:p>
    <w:tbl>
      <w:tblPr>
        <w:tblStyle w:val="14"/>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3781"/>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highlight w:val="none"/>
              </w:rPr>
            </w:pPr>
            <w:r>
              <w:rPr>
                <w:rFonts w:hint="eastAsia" w:ascii="Times New Roman" w:hAnsi="Times New Roman"/>
                <w:b/>
                <w:highlight w:val="none"/>
              </w:rPr>
              <w:t>序号</w:t>
            </w:r>
          </w:p>
        </w:tc>
        <w:tc>
          <w:tcPr>
            <w:tcW w:w="2161" w:type="dxa"/>
            <w:vAlign w:val="center"/>
          </w:tcPr>
          <w:p>
            <w:pPr>
              <w:jc w:val="center"/>
              <w:rPr>
                <w:rFonts w:ascii="Times New Roman" w:hAnsi="Times New Roman"/>
                <w:b/>
                <w:highlight w:val="none"/>
              </w:rPr>
            </w:pPr>
            <w:r>
              <w:rPr>
                <w:rFonts w:hint="eastAsia" w:ascii="Times New Roman" w:hAnsi="Times New Roman"/>
                <w:b/>
                <w:highlight w:val="none"/>
              </w:rPr>
              <w:t>条款名称</w:t>
            </w:r>
          </w:p>
        </w:tc>
        <w:tc>
          <w:tcPr>
            <w:tcW w:w="3781" w:type="dxa"/>
            <w:vAlign w:val="center"/>
          </w:tcPr>
          <w:p>
            <w:pPr>
              <w:jc w:val="center"/>
              <w:rPr>
                <w:rFonts w:ascii="Times New Roman" w:hAnsi="Times New Roman"/>
                <w:b/>
                <w:highlight w:val="none"/>
              </w:rPr>
            </w:pPr>
            <w:r>
              <w:rPr>
                <w:rFonts w:hint="eastAsia" w:ascii="Times New Roman" w:hAnsi="Times New Roman"/>
                <w:b/>
                <w:highlight w:val="none"/>
              </w:rPr>
              <w:t>约定内容</w:t>
            </w:r>
          </w:p>
        </w:tc>
        <w:tc>
          <w:tcPr>
            <w:tcW w:w="1475" w:type="dxa"/>
            <w:vAlign w:val="center"/>
          </w:tcPr>
          <w:p>
            <w:pPr>
              <w:jc w:val="center"/>
              <w:rPr>
                <w:rFonts w:ascii="Times New Roman" w:hAnsi="Times New Roman"/>
                <w:b/>
                <w:highlight w:val="none"/>
              </w:rPr>
            </w:pPr>
            <w:r>
              <w:rPr>
                <w:rFonts w:hint="eastAsia" w:ascii="Times New Roman" w:hAnsi="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highlight w:val="none"/>
              </w:rPr>
            </w:pPr>
            <w:r>
              <w:rPr>
                <w:rFonts w:hint="eastAsia" w:ascii="Times New Roman" w:hAnsi="Times New Roman"/>
                <w:highlight w:val="none"/>
              </w:rPr>
              <w:t>1</w:t>
            </w:r>
          </w:p>
        </w:tc>
        <w:tc>
          <w:tcPr>
            <w:tcW w:w="2161" w:type="dxa"/>
            <w:vAlign w:val="center"/>
          </w:tcPr>
          <w:p>
            <w:pPr>
              <w:spacing w:before="100" w:beforeAutospacing="1" w:after="100" w:afterAutospacing="1" w:line="440" w:lineRule="exact"/>
              <w:jc w:val="center"/>
              <w:rPr>
                <w:rFonts w:ascii="Times New Roman" w:hAnsi="Times New Roman"/>
                <w:szCs w:val="21"/>
                <w:highlight w:val="none"/>
              </w:rPr>
            </w:pPr>
            <w:r>
              <w:rPr>
                <w:rFonts w:hint="eastAsia" w:ascii="Times New Roman" w:hAnsi="Times New Roman"/>
                <w:szCs w:val="21"/>
                <w:highlight w:val="none"/>
              </w:rPr>
              <w:t>项目负责人</w:t>
            </w:r>
          </w:p>
        </w:tc>
        <w:tc>
          <w:tcPr>
            <w:tcW w:w="3781" w:type="dxa"/>
            <w:vAlign w:val="center"/>
          </w:tcPr>
          <w:p>
            <w:pPr>
              <w:pStyle w:val="5"/>
              <w:topLinePunct/>
              <w:spacing w:line="400" w:lineRule="exact"/>
              <w:rPr>
                <w:rFonts w:ascii="Times New Roman" w:hAnsi="Times New Roman"/>
                <w:sz w:val="21"/>
                <w:szCs w:val="21"/>
                <w:highlight w:val="none"/>
              </w:rPr>
            </w:pPr>
            <w:r>
              <w:rPr>
                <w:rFonts w:hint="eastAsia" w:ascii="Times New Roman" w:hAnsi="Times New Roman"/>
                <w:sz w:val="21"/>
                <w:szCs w:val="21"/>
                <w:highlight w:val="none"/>
              </w:rPr>
              <w:t>姓名：</w:t>
            </w:r>
            <w:r>
              <w:rPr>
                <w:rFonts w:ascii="Times New Roman" w:hAnsi="Times New Roman"/>
                <w:sz w:val="21"/>
                <w:szCs w:val="21"/>
                <w:highlight w:val="none"/>
              </w:rPr>
              <w:t xml:space="preserve"> </w:t>
            </w:r>
          </w:p>
        </w:tc>
        <w:tc>
          <w:tcPr>
            <w:tcW w:w="1475" w:type="dxa"/>
            <w:vAlign w:val="center"/>
          </w:tcPr>
          <w:p>
            <w:pPr>
              <w:spacing w:line="440" w:lineRule="exact"/>
              <w:ind w:firstLine="718" w:firstLineChars="342"/>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highlight w:val="none"/>
              </w:rPr>
            </w:pPr>
            <w:r>
              <w:rPr>
                <w:rFonts w:hint="eastAsia" w:ascii="Times New Roman" w:hAnsi="Times New Roman"/>
                <w:highlight w:val="none"/>
              </w:rPr>
              <w:t>2</w:t>
            </w:r>
          </w:p>
        </w:tc>
        <w:tc>
          <w:tcPr>
            <w:tcW w:w="2161" w:type="dxa"/>
            <w:vAlign w:val="center"/>
          </w:tcPr>
          <w:p>
            <w:pPr>
              <w:spacing w:before="100" w:beforeAutospacing="1" w:after="100" w:afterAutospacing="1" w:line="440" w:lineRule="exact"/>
              <w:jc w:val="center"/>
              <w:rPr>
                <w:rFonts w:ascii="Times New Roman" w:hAnsi="Times New Roman"/>
                <w:szCs w:val="21"/>
                <w:highlight w:val="none"/>
              </w:rPr>
            </w:pPr>
            <w:r>
              <w:rPr>
                <w:rFonts w:hint="eastAsia" w:ascii="Times New Roman" w:hAnsi="Times New Roman"/>
                <w:szCs w:val="21"/>
                <w:highlight w:val="none"/>
              </w:rPr>
              <w:t>服务期限</w:t>
            </w:r>
          </w:p>
        </w:tc>
        <w:tc>
          <w:tcPr>
            <w:tcW w:w="3781" w:type="dxa"/>
            <w:vAlign w:val="center"/>
          </w:tcPr>
          <w:p>
            <w:pPr>
              <w:pStyle w:val="5"/>
              <w:topLinePunct/>
              <w:spacing w:line="400" w:lineRule="exact"/>
              <w:rPr>
                <w:rFonts w:ascii="Times New Roman" w:hAnsi="Times New Roman"/>
                <w:sz w:val="21"/>
                <w:szCs w:val="21"/>
                <w:highlight w:val="none"/>
              </w:rPr>
            </w:pPr>
            <w:r>
              <w:rPr>
                <w:rFonts w:ascii="Times New Roman" w:hAnsi="Times New Roman"/>
                <w:sz w:val="21"/>
                <w:szCs w:val="21"/>
                <w:highlight w:val="none"/>
                <w:u w:val="single"/>
              </w:rPr>
              <w:t xml:space="preserve">    </w:t>
            </w:r>
            <w:r>
              <w:rPr>
                <w:rFonts w:hint="eastAsia" w:ascii="Times New Roman" w:hAnsi="Times New Roman"/>
                <w:sz w:val="21"/>
                <w:szCs w:val="21"/>
                <w:highlight w:val="none"/>
                <w:u w:val="single"/>
                <w:lang w:val="en-US" w:eastAsia="zh-CN"/>
              </w:rPr>
              <w:t xml:space="preserve">              </w:t>
            </w:r>
            <w:r>
              <w:rPr>
                <w:rFonts w:ascii="Times New Roman" w:hAnsi="Times New Roman"/>
                <w:sz w:val="21"/>
                <w:szCs w:val="21"/>
                <w:highlight w:val="none"/>
                <w:u w:val="single"/>
              </w:rPr>
              <w:t xml:space="preserve">  </w:t>
            </w:r>
          </w:p>
        </w:tc>
        <w:tc>
          <w:tcPr>
            <w:tcW w:w="1475" w:type="dxa"/>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highlight w:val="none"/>
              </w:rPr>
            </w:pPr>
            <w:r>
              <w:rPr>
                <w:rFonts w:ascii="Times New Roman" w:hAnsi="Times New Roman"/>
                <w:color w:val="000000"/>
                <w:highlight w:val="none"/>
              </w:rPr>
              <w:t>3</w:t>
            </w:r>
          </w:p>
        </w:tc>
        <w:tc>
          <w:tcPr>
            <w:tcW w:w="2161" w:type="dxa"/>
            <w:vAlign w:val="center"/>
          </w:tcPr>
          <w:p>
            <w:pPr>
              <w:spacing w:before="100" w:beforeAutospacing="1" w:after="100" w:afterAutospacing="1" w:line="440" w:lineRule="exact"/>
              <w:jc w:val="center"/>
              <w:rPr>
                <w:rFonts w:hint="eastAsia" w:ascii="Times New Roman" w:hAnsi="Times New Roman" w:eastAsiaTheme="minorEastAsia"/>
                <w:szCs w:val="21"/>
                <w:highlight w:val="none"/>
                <w:lang w:eastAsia="zh-CN"/>
              </w:rPr>
            </w:pPr>
            <w:r>
              <w:rPr>
                <w:rFonts w:hint="eastAsia" w:ascii="Times New Roman" w:hAnsi="Times New Roman"/>
                <w:szCs w:val="21"/>
                <w:highlight w:val="none"/>
                <w:lang w:eastAsia="zh-CN"/>
              </w:rPr>
              <w:t>投标有效期</w:t>
            </w:r>
          </w:p>
        </w:tc>
        <w:tc>
          <w:tcPr>
            <w:tcW w:w="3781" w:type="dxa"/>
            <w:vAlign w:val="center"/>
          </w:tcPr>
          <w:p>
            <w:pPr>
              <w:pStyle w:val="5"/>
              <w:topLinePunct/>
              <w:spacing w:line="400" w:lineRule="exact"/>
              <w:rPr>
                <w:rFonts w:ascii="Times New Roman" w:hAnsi="Times New Roman"/>
                <w:color w:val="000000"/>
                <w:sz w:val="21"/>
                <w:szCs w:val="21"/>
                <w:highlight w:val="none"/>
              </w:rPr>
            </w:pPr>
            <w:r>
              <w:rPr>
                <w:rFonts w:ascii="Times New Roman" w:hAnsi="Times New Roman"/>
                <w:sz w:val="21"/>
                <w:szCs w:val="21"/>
                <w:highlight w:val="none"/>
                <w:u w:val="single"/>
              </w:rPr>
              <w:t xml:space="preserve">    </w:t>
            </w:r>
            <w:r>
              <w:rPr>
                <w:rFonts w:hint="eastAsia" w:ascii="Times New Roman" w:hAnsi="Times New Roman"/>
                <w:sz w:val="21"/>
                <w:szCs w:val="21"/>
                <w:highlight w:val="none"/>
                <w:u w:val="single"/>
                <w:lang w:val="en-US" w:eastAsia="zh-CN"/>
              </w:rPr>
              <w:t xml:space="preserve">              </w:t>
            </w:r>
            <w:r>
              <w:rPr>
                <w:rFonts w:ascii="Times New Roman" w:hAnsi="Times New Roman"/>
                <w:sz w:val="21"/>
                <w:szCs w:val="21"/>
                <w:highlight w:val="none"/>
                <w:u w:val="single"/>
              </w:rPr>
              <w:t xml:space="preserve">  </w:t>
            </w:r>
          </w:p>
        </w:tc>
        <w:tc>
          <w:tcPr>
            <w:tcW w:w="1475" w:type="dxa"/>
            <w:vAlign w:val="center"/>
          </w:tcPr>
          <w:p>
            <w:pPr>
              <w:tabs>
                <w:tab w:val="left" w:pos="360"/>
              </w:tabs>
              <w:jc w:val="center"/>
              <w:rPr>
                <w:rFonts w:ascii="Times New Roman" w:hAnsi="Times New Roman"/>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highlight w:val="none"/>
              </w:rPr>
            </w:pPr>
            <w:r>
              <w:rPr>
                <w:rFonts w:ascii="Times New Roman" w:hAnsi="Times New Roman"/>
                <w:highlight w:val="none"/>
              </w:rPr>
              <w:t>……</w:t>
            </w:r>
          </w:p>
        </w:tc>
        <w:tc>
          <w:tcPr>
            <w:tcW w:w="2161" w:type="dxa"/>
          </w:tcPr>
          <w:p>
            <w:pPr>
              <w:jc w:val="center"/>
              <w:rPr>
                <w:rFonts w:ascii="Times New Roman" w:hAnsi="Times New Roman"/>
                <w:highlight w:val="none"/>
              </w:rPr>
            </w:pPr>
            <w:r>
              <w:rPr>
                <w:rFonts w:ascii="Times New Roman" w:hAnsi="Times New Roman"/>
                <w:highlight w:val="none"/>
              </w:rPr>
              <w:t>……</w:t>
            </w:r>
          </w:p>
        </w:tc>
        <w:tc>
          <w:tcPr>
            <w:tcW w:w="3781" w:type="dxa"/>
          </w:tcPr>
          <w:p>
            <w:pPr>
              <w:jc w:val="center"/>
              <w:rPr>
                <w:rFonts w:ascii="Times New Roman" w:hAnsi="Times New Roman"/>
                <w:highlight w:val="none"/>
              </w:rPr>
            </w:pPr>
            <w:r>
              <w:rPr>
                <w:rFonts w:ascii="Times New Roman" w:hAnsi="Times New Roman"/>
                <w:highlight w:val="none"/>
              </w:rPr>
              <w:t>……</w:t>
            </w:r>
          </w:p>
        </w:tc>
        <w:tc>
          <w:tcPr>
            <w:tcW w:w="1475" w:type="dxa"/>
            <w:vAlign w:val="center"/>
          </w:tcPr>
          <w:p>
            <w:pPr>
              <w:spacing w:line="440" w:lineRule="exact"/>
              <w:ind w:firstLine="718" w:firstLineChars="342"/>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highlight w:val="none"/>
              </w:rPr>
            </w:pPr>
            <w:r>
              <w:rPr>
                <w:rFonts w:ascii="Times New Roman" w:hAnsi="Times New Roman"/>
                <w:highlight w:val="none"/>
              </w:rPr>
              <w:t>……</w:t>
            </w:r>
          </w:p>
        </w:tc>
        <w:tc>
          <w:tcPr>
            <w:tcW w:w="2161" w:type="dxa"/>
          </w:tcPr>
          <w:p>
            <w:pPr>
              <w:spacing w:before="100" w:beforeAutospacing="1" w:after="100" w:afterAutospacing="1"/>
              <w:jc w:val="center"/>
              <w:rPr>
                <w:rFonts w:ascii="Times New Roman" w:hAnsi="Times New Roman"/>
                <w:highlight w:val="none"/>
              </w:rPr>
            </w:pPr>
            <w:r>
              <w:rPr>
                <w:rFonts w:ascii="Times New Roman" w:hAnsi="Times New Roman"/>
                <w:highlight w:val="none"/>
              </w:rPr>
              <w:t>……</w:t>
            </w:r>
          </w:p>
        </w:tc>
        <w:tc>
          <w:tcPr>
            <w:tcW w:w="3781" w:type="dxa"/>
          </w:tcPr>
          <w:p>
            <w:pPr>
              <w:spacing w:before="100" w:beforeAutospacing="1" w:after="100" w:afterAutospacing="1"/>
              <w:jc w:val="center"/>
              <w:rPr>
                <w:rFonts w:ascii="Times New Roman" w:hAnsi="Times New Roman"/>
                <w:highlight w:val="none"/>
              </w:rPr>
            </w:pPr>
            <w:r>
              <w:rPr>
                <w:rFonts w:ascii="Times New Roman" w:hAnsi="Times New Roman"/>
                <w:highlight w:val="none"/>
              </w:rPr>
              <w:t>……</w:t>
            </w:r>
          </w:p>
        </w:tc>
        <w:tc>
          <w:tcPr>
            <w:tcW w:w="1475" w:type="dxa"/>
            <w:vAlign w:val="center"/>
          </w:tcPr>
          <w:p>
            <w:pPr>
              <w:spacing w:line="440" w:lineRule="exact"/>
              <w:rPr>
                <w:rFonts w:ascii="Times New Roman" w:hAnsi="Times New Roman"/>
                <w:highlight w:val="none"/>
              </w:rPr>
            </w:pPr>
          </w:p>
        </w:tc>
      </w:tr>
    </w:tbl>
    <w:p>
      <w:pPr>
        <w:spacing w:line="440" w:lineRule="exact"/>
        <w:ind w:firstLine="2520" w:firstLineChars="1200"/>
        <w:jc w:val="left"/>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4725" w:firstLineChars="2250"/>
        <w:jc w:val="right"/>
        <w:rPr>
          <w:rFonts w:ascii="Times New Roman" w:hAnsi="Times New Roman"/>
          <w:szCs w:val="21"/>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p>
    <w:p>
      <w:pPr>
        <w:spacing w:line="440" w:lineRule="exact"/>
        <w:rPr>
          <w:rFonts w:ascii="Times New Roman" w:hAnsi="Times New Roman"/>
          <w:szCs w:val="21"/>
          <w:highlight w:val="none"/>
        </w:rPr>
      </w:pPr>
    </w:p>
    <w:p>
      <w:pPr>
        <w:spacing w:line="440" w:lineRule="exact"/>
        <w:rPr>
          <w:rFonts w:ascii="Times New Roman" w:hAnsi="Times New Roman"/>
          <w:szCs w:val="21"/>
          <w:highlight w:val="none"/>
        </w:rPr>
      </w:pPr>
    </w:p>
    <w:p>
      <w:pPr>
        <w:spacing w:line="440" w:lineRule="exact"/>
        <w:rPr>
          <w:rFonts w:ascii="Times New Roman" w:hAnsi="Times New Roman" w:eastAsia="黑体"/>
          <w:color w:val="000000"/>
          <w:sz w:val="20"/>
          <w:highlight w:val="none"/>
        </w:rPr>
      </w:pPr>
    </w:p>
    <w:p>
      <w:pPr>
        <w:spacing w:line="440" w:lineRule="exact"/>
        <w:rPr>
          <w:rFonts w:ascii="Times New Roman" w:hAnsi="Times New Roman"/>
          <w:sz w:val="20"/>
          <w:highlight w:val="none"/>
        </w:rPr>
      </w:pP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br w:type="page"/>
      </w:r>
    </w:p>
    <w:p>
      <w:pPr>
        <w:pStyle w:val="3"/>
        <w:jc w:val="center"/>
        <w:rPr>
          <w:rFonts w:ascii="Times New Roman" w:hAnsi="Times New Roman"/>
          <w:color w:val="000000"/>
          <w:highlight w:val="none"/>
        </w:rPr>
      </w:pPr>
      <w:bookmarkStart w:id="60" w:name="_Toc492300529"/>
      <w:r>
        <w:rPr>
          <w:rFonts w:ascii="Times New Roman" w:hAnsi="Times New Roman"/>
          <w:color w:val="000000"/>
          <w:highlight w:val="none"/>
        </w:rPr>
        <w:t>二</w:t>
      </w:r>
      <w:bookmarkEnd w:id="43"/>
      <w:bookmarkEnd w:id="44"/>
      <w:bookmarkEnd w:id="45"/>
      <w:bookmarkEnd w:id="46"/>
      <w:bookmarkEnd w:id="47"/>
      <w:bookmarkEnd w:id="48"/>
      <w:bookmarkEnd w:id="49"/>
      <w:bookmarkEnd w:id="50"/>
      <w:bookmarkEnd w:id="51"/>
      <w:bookmarkEnd w:id="52"/>
      <w:bookmarkEnd w:id="53"/>
      <w:r>
        <w:rPr>
          <w:rFonts w:ascii="Times New Roman" w:hAnsi="Times New Roman"/>
          <w:color w:val="000000"/>
          <w:highlight w:val="none"/>
        </w:rPr>
        <w:t>、法定代表人身份证明</w:t>
      </w:r>
      <w:bookmarkEnd w:id="60"/>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61" w:name="_Toc352691662"/>
      <w:bookmarkStart w:id="62" w:name="_Toc369531698"/>
      <w:bookmarkStart w:id="63" w:name="_Toc27897"/>
      <w:r>
        <w:rPr>
          <w:rFonts w:ascii="Times New Roman" w:hAnsi="Times New Roman"/>
          <w:highlight w:val="none"/>
          <w:u w:val="single"/>
        </w:rPr>
        <w:t xml:space="preserve">        </w:t>
      </w:r>
      <w:r>
        <w:rPr>
          <w:rFonts w:ascii="Times New Roman" w:hAnsi="Times New Roman"/>
          <w:color w:val="000000"/>
          <w:highlight w:val="none"/>
        </w:rPr>
        <w:t>年</w:t>
      </w:r>
      <w:bookmarkEnd w:id="61"/>
      <w:bookmarkEnd w:id="62"/>
      <w:bookmarkEnd w:id="63"/>
      <w:r>
        <w:rPr>
          <w:rFonts w:ascii="Times New Roman" w:hAnsi="Times New Roman"/>
          <w:color w:val="000000"/>
          <w:highlight w:val="none"/>
        </w:rPr>
        <w:t>龄</w:t>
      </w:r>
      <w:bookmarkStart w:id="64" w:name="_Toc144974858"/>
      <w:bookmarkStart w:id="65" w:name="_Toc247514248"/>
      <w:bookmarkStart w:id="66" w:name="_Toc152042578"/>
      <w:bookmarkStart w:id="67" w:name="_Toc300835211"/>
      <w:bookmarkStart w:id="68" w:name="_Toc152045789"/>
      <w:bookmarkStart w:id="69" w:name="_Toc369531699"/>
      <w:bookmarkStart w:id="70" w:name="_Toc352691663"/>
      <w:bookmarkStart w:id="71" w:name="_Toc247527829"/>
      <w:bookmarkStart w:id="72" w:name="_Toc15573"/>
      <w:bookmarkStart w:id="73" w:name="_Toc384308377"/>
      <w:bookmarkStart w:id="74" w:name="_Toc361508754"/>
      <w:r>
        <w:rPr>
          <w:rFonts w:ascii="Times New Roman" w:hAnsi="Times New Roman"/>
          <w:color w:val="000000"/>
          <w:highlight w:val="none"/>
        </w:rPr>
        <w:t>：</w:t>
      </w:r>
      <w:bookmarkEnd w:id="64"/>
      <w:bookmarkEnd w:id="65"/>
      <w:bookmarkEnd w:id="66"/>
      <w:bookmarkEnd w:id="67"/>
      <w:bookmarkEnd w:id="68"/>
      <w:bookmarkEnd w:id="69"/>
      <w:bookmarkEnd w:id="70"/>
      <w:bookmarkEnd w:id="71"/>
      <w:bookmarkEnd w:id="72"/>
      <w:bookmarkEnd w:id="73"/>
      <w:bookmarkEnd w:id="74"/>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75"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75"/>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76" w:name="_Toc492300532"/>
      <w:r>
        <w:rPr>
          <w:rFonts w:hint="eastAsia" w:ascii="Times New Roman" w:hAnsi="Times New Roman"/>
          <w:highlight w:val="none"/>
          <w:lang w:val="en-US" w:eastAsia="zh-CN"/>
        </w:rPr>
        <w:t>三</w:t>
      </w:r>
      <w:r>
        <w:rPr>
          <w:rFonts w:hint="eastAsia" w:ascii="Times New Roman" w:hAnsi="Times New Roman"/>
          <w:highlight w:val="none"/>
        </w:rPr>
        <w:t>、</w:t>
      </w:r>
      <w:bookmarkStart w:id="77" w:name="_Toc361508757"/>
      <w:bookmarkStart w:id="78" w:name="_Toc300835214"/>
      <w:bookmarkStart w:id="79" w:name="_Toc152045792"/>
      <w:bookmarkStart w:id="80" w:name="_Toc152042581"/>
      <w:bookmarkStart w:id="81" w:name="_Toc144974861"/>
      <w:bookmarkStart w:id="82" w:name="_Toc247527832"/>
      <w:bookmarkStart w:id="83" w:name="_Toc13469"/>
      <w:bookmarkStart w:id="84" w:name="_Toc247514284"/>
      <w:bookmarkStart w:id="85" w:name="_Toc352691666"/>
      <w:bookmarkStart w:id="86" w:name="_Toc384308381"/>
      <w:bookmarkStart w:id="87" w:name="_Toc369531702"/>
      <w:r>
        <w:rPr>
          <w:rFonts w:hint="eastAsia" w:ascii="Times New Roman" w:hAnsi="Times New Roman"/>
          <w:highlight w:val="none"/>
        </w:rPr>
        <w:t>投标保证金</w:t>
      </w:r>
      <w:bookmarkEnd w:id="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77"/>
    <w:bookmarkEnd w:id="78"/>
    <w:bookmarkEnd w:id="79"/>
    <w:bookmarkEnd w:id="80"/>
    <w:bookmarkEnd w:id="81"/>
    <w:bookmarkEnd w:id="82"/>
    <w:bookmarkEnd w:id="83"/>
    <w:bookmarkEnd w:id="84"/>
    <w:bookmarkEnd w:id="85"/>
    <w:bookmarkEnd w:id="86"/>
    <w:bookmarkEnd w:id="87"/>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88" w:name="_Toc492300533"/>
      <w:r>
        <w:rPr>
          <w:rFonts w:ascii="Times New Roman" w:hAnsi="Times New Roman"/>
          <w:highlight w:val="none"/>
        </w:rPr>
        <w:br w:type="page"/>
      </w:r>
    </w:p>
    <w:p>
      <w:pPr>
        <w:pStyle w:val="3"/>
        <w:jc w:val="center"/>
        <w:rPr>
          <w:rFonts w:hint="eastAsia" w:ascii="Times New Roman" w:hAnsi="Times New Roman"/>
          <w:highlight w:val="none"/>
          <w:lang w:val="en-US" w:eastAsia="zh-CN"/>
        </w:rPr>
      </w:pPr>
      <w:r>
        <w:rPr>
          <w:rFonts w:hint="eastAsia" w:ascii="Times New Roman" w:hAnsi="Times New Roman"/>
          <w:highlight w:val="none"/>
          <w:lang w:val="en-US" w:eastAsia="zh-CN"/>
        </w:rPr>
        <w:t>四</w:t>
      </w:r>
      <w:r>
        <w:rPr>
          <w:rFonts w:ascii="Times New Roman" w:hAnsi="Times New Roman"/>
          <w:highlight w:val="none"/>
        </w:rPr>
        <w:t>、</w:t>
      </w:r>
      <w:bookmarkEnd w:id="88"/>
      <w:r>
        <w:rPr>
          <w:rFonts w:hint="eastAsia" w:ascii="Times New Roman" w:hAnsi="Times New Roman"/>
          <w:highlight w:val="none"/>
          <w:lang w:val="en-US" w:eastAsia="zh-CN"/>
        </w:rPr>
        <w:t>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u w:val="single"/>
          <w:lang w:val="en-US" w:eastAsia="zh-CN"/>
        </w:rPr>
      </w:pPr>
      <w:r>
        <w:rPr>
          <w:rFonts w:hint="default" w:ascii="Times New Roman" w:hAnsi="Times New Roman" w:cs="Times New Roman"/>
          <w:b/>
          <w:bCs/>
          <w:sz w:val="24"/>
          <w:szCs w:val="24"/>
          <w:highlight w:val="none"/>
          <w:lang w:val="en-US" w:eastAsia="zh-CN"/>
        </w:rPr>
        <w:t>投标人名称：</w:t>
      </w:r>
      <w:r>
        <w:rPr>
          <w:rFonts w:hint="default" w:ascii="Times New Roman" w:hAnsi="Times New Roman" w:cs="Times New Roman"/>
          <w:b/>
          <w:bCs/>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u w:val="single"/>
          <w:lang w:val="en-US" w:eastAsia="zh-CN"/>
        </w:rPr>
      </w:pPr>
    </w:p>
    <w:tbl>
      <w:tblPr>
        <w:tblStyle w:val="15"/>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项目名称</w:t>
            </w:r>
          </w:p>
        </w:tc>
        <w:tc>
          <w:tcPr>
            <w:tcW w:w="653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投标报价</w:t>
            </w:r>
            <w:r>
              <w:rPr>
                <w:rFonts w:hint="eastAsia" w:ascii="Times New Roman" w:hAnsi="Times New Roman" w:cs="Times New Roman"/>
                <w:b/>
                <w:bCs/>
                <w:sz w:val="24"/>
                <w:szCs w:val="24"/>
                <w:highlight w:val="none"/>
                <w:u w:val="none"/>
                <w:vertAlign w:val="baseline"/>
                <w:lang w:val="en-US" w:eastAsia="zh-CN"/>
              </w:rPr>
              <w:t>（含税）</w:t>
            </w:r>
          </w:p>
        </w:tc>
        <w:tc>
          <w:tcPr>
            <w:tcW w:w="653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trPr>
        <w:tc>
          <w:tcPr>
            <w:tcW w:w="198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备注</w:t>
            </w:r>
          </w:p>
        </w:tc>
        <w:tc>
          <w:tcPr>
            <w:tcW w:w="653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bl>
    <w:p>
      <w:pPr>
        <w:spacing w:line="440" w:lineRule="exact"/>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89" w:name="_Toc361508760"/>
    </w:p>
    <w:p>
      <w:pPr>
        <w:spacing w:line="440" w:lineRule="exact"/>
        <w:ind w:firstLine="3570" w:firstLineChars="1700"/>
        <w:jc w:val="left"/>
        <w:rPr>
          <w:rFonts w:ascii="Times New Roman" w:hAnsi="Times New Roman"/>
          <w:szCs w:val="21"/>
          <w:highlight w:val="none"/>
        </w:rPr>
      </w:pPr>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rPr>
        <w:t>（盖单位章）</w:t>
      </w:r>
    </w:p>
    <w:p>
      <w:pPr>
        <w:spacing w:line="440" w:lineRule="exact"/>
        <w:jc w:val="left"/>
        <w:rPr>
          <w:rFonts w:ascii="Times New Roman" w:hAnsi="Times New Roman"/>
          <w:color w:val="000000"/>
          <w:highlight w:val="none"/>
        </w:rPr>
      </w:pPr>
      <w:r>
        <w:rPr>
          <w:rFonts w:ascii="Times New Roman" w:hAnsi="Times New Roman"/>
          <w:color w:val="000000"/>
          <w:highlight w:val="none"/>
        </w:rPr>
        <w:t xml:space="preserve">                        </w:t>
      </w:r>
    </w:p>
    <w:p>
      <w:pPr>
        <w:spacing w:line="440" w:lineRule="exact"/>
        <w:ind w:firstLine="3570" w:firstLineChars="1700"/>
        <w:jc w:val="left"/>
        <w:rPr>
          <w:rFonts w:ascii="Times New Roman" w:hAnsi="Times New Roman"/>
          <w:szCs w:val="21"/>
          <w:highlight w:val="none"/>
        </w:rPr>
      </w:pPr>
      <w:r>
        <w:rPr>
          <w:rFonts w:ascii="Times New Roman" w:hAnsi="Times New Roman"/>
          <w:color w:val="000000"/>
          <w:highlight w:val="none"/>
        </w:rPr>
        <w:t>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3570" w:firstLineChars="1700"/>
        <w:jc w:val="both"/>
        <w:rPr>
          <w:rFonts w:ascii="Times New Roman" w:hAnsi="Times New Roman"/>
          <w:color w:val="000000"/>
          <w:highlight w:val="none"/>
          <w:u w:val="single"/>
        </w:rPr>
      </w:pPr>
    </w:p>
    <w:p>
      <w:pPr>
        <w:spacing w:line="440" w:lineRule="exact"/>
        <w:ind w:firstLine="3780" w:firstLineChars="1800"/>
        <w:jc w:val="both"/>
        <w:rPr>
          <w:rFonts w:ascii="Times New Roman" w:hAnsi="Times New Roman"/>
          <w:szCs w:val="21"/>
          <w:highlight w:val="none"/>
        </w:rPr>
      </w:pPr>
      <w:r>
        <w:rPr>
          <w:rFonts w:ascii="Times New Roman" w:hAnsi="Times New Roman"/>
          <w:color w:val="000000"/>
          <w:highlight w:val="none"/>
          <w:u w:val="single"/>
        </w:rPr>
        <w:t xml:space="preserve">  </w:t>
      </w:r>
      <w:r>
        <w:rPr>
          <w:rFonts w:hint="eastAsia" w:ascii="Times New Roman" w:hAnsi="Times New Roman"/>
          <w:color w:val="000000"/>
          <w:highlight w:val="none"/>
          <w:u w:val="single"/>
          <w:lang w:val="en-US" w:eastAsia="zh-CN"/>
        </w:rPr>
        <w:t xml:space="preserve">       </w:t>
      </w: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hint="eastAsia" w:ascii="Times New Roman" w:hAnsi="Times New Roman"/>
          <w:color w:val="000000"/>
          <w:highlight w:val="none"/>
          <w:u w:val="single"/>
          <w:lang w:val="en-US" w:eastAsia="zh-CN"/>
        </w:rPr>
        <w:t xml:space="preserve">       </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hint="eastAsia" w:ascii="Times New Roman" w:hAnsi="Times New Roman"/>
          <w:color w:val="000000"/>
          <w:highlight w:val="none"/>
          <w:u w:val="single"/>
          <w:lang w:val="en-US" w:eastAsia="zh-CN"/>
        </w:rPr>
        <w:t xml:space="preserve">      </w:t>
      </w:r>
      <w:r>
        <w:rPr>
          <w:rFonts w:ascii="Times New Roman" w:hAnsi="Times New Roman"/>
          <w:color w:val="000000"/>
          <w:highlight w:val="none"/>
          <w:u w:val="single"/>
        </w:rPr>
        <w:t xml:space="preserve">   </w:t>
      </w:r>
      <w:r>
        <w:rPr>
          <w:rFonts w:ascii="Times New Roman" w:hAnsi="Times New Roman"/>
          <w:szCs w:val="21"/>
          <w:highlight w:val="none"/>
        </w:rPr>
        <w:t>日</w:t>
      </w:r>
    </w:p>
    <w:p>
      <w:pPr>
        <w:spacing w:line="440" w:lineRule="exact"/>
        <w:rPr>
          <w:rFonts w:ascii="Times New Roman" w:hAnsi="Times New Roman"/>
          <w:szCs w:val="21"/>
          <w:highlight w:val="none"/>
        </w:rPr>
      </w:pPr>
    </w:p>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90" w:name="_Toc492300534"/>
      <w:r>
        <w:rPr>
          <w:rFonts w:hint="eastAsia" w:ascii="Times New Roman" w:hAnsi="Times New Roman"/>
          <w:color w:val="000000"/>
          <w:highlight w:val="none"/>
          <w:lang w:val="en-US" w:eastAsia="zh-CN"/>
        </w:rPr>
        <w:t>五</w:t>
      </w:r>
      <w:r>
        <w:rPr>
          <w:rFonts w:hint="eastAsia" w:ascii="Times New Roman" w:hAnsi="Times New Roman"/>
          <w:color w:val="000000"/>
          <w:highlight w:val="none"/>
        </w:rPr>
        <w:t>、资格审查资料</w:t>
      </w:r>
      <w:bookmarkEnd w:id="90"/>
    </w:p>
    <w:p>
      <w:pPr>
        <w:pStyle w:val="4"/>
        <w:spacing w:before="20" w:after="0"/>
        <w:ind w:firstLine="137"/>
        <w:rPr>
          <w:rFonts w:ascii="Times New Roman" w:hAnsi="Times New Roman"/>
          <w:color w:val="000000"/>
          <w:highlight w:val="none"/>
        </w:rPr>
      </w:pPr>
      <w:bookmarkStart w:id="91" w:name="_Toc492300535"/>
      <w:r>
        <w:rPr>
          <w:rFonts w:hint="eastAsia" w:ascii="Times New Roman" w:hAnsi="Times New Roman"/>
          <w:color w:val="000000"/>
          <w:highlight w:val="none"/>
        </w:rPr>
        <w:t>（一）基本情况表</w:t>
      </w:r>
      <w:bookmarkEnd w:id="91"/>
    </w:p>
    <w:tbl>
      <w:tblPr>
        <w:tblStyle w:val="14"/>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“投标人基本情况表”应附投标人营业执照、投标人资质证书副本等材料的复印件。</w:t>
      </w:r>
    </w:p>
    <w:p>
      <w:pPr>
        <w:spacing w:line="440" w:lineRule="exact"/>
        <w:rPr>
          <w:rFonts w:ascii="Times New Roman" w:hAnsi="Times New Roman"/>
          <w:color w:val="000000"/>
          <w:highlight w:val="none"/>
          <w:u w:val="single"/>
        </w:rPr>
      </w:pPr>
    </w:p>
    <w:p>
      <w:pPr>
        <w:rPr>
          <w:rFonts w:hint="eastAsia" w:ascii="Times New Roman" w:hAnsi="Times New Roman"/>
          <w:highlight w:val="none"/>
        </w:rPr>
      </w:pPr>
      <w:bookmarkStart w:id="92" w:name="_Toc492300536"/>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（二）近年财务状况表</w:t>
      </w:r>
      <w:bookmarkEnd w:id="92"/>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债表、现金流量表、利润表和财务情况说明书的复印件，依法缴纳税收和社会保障资金的良好记录</w:t>
      </w:r>
      <w:r>
        <w:rPr>
          <w:rFonts w:hint="eastAsia" w:ascii="Times New Roman" w:hAnsi="Times New Roman"/>
          <w:color w:val="000000"/>
          <w:highlight w:val="none"/>
          <w:lang w:eastAsia="zh-CN"/>
        </w:rPr>
        <w:t>，</w:t>
      </w:r>
      <w:r>
        <w:rPr>
          <w:rFonts w:hint="eastAsia" w:ascii="Times New Roman" w:hAnsi="Times New Roman"/>
          <w:color w:val="000000"/>
          <w:highlight w:val="none"/>
        </w:rPr>
        <w:t>具体年份要求见投标人须知前附表。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rPr>
        <w:t>投标人的成立时间少于投标人须知前附表规定年份的，应提供成立以来的财务状况表。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rPr>
        <w:t>；</w:t>
      </w:r>
    </w:p>
    <w:p>
      <w:pPr>
        <w:topLinePunct/>
        <w:spacing w:line="440" w:lineRule="exact"/>
        <w:ind w:firstLine="420" w:firstLineChars="200"/>
        <w:rPr>
          <w:rFonts w:ascii="Times New Roman" w:hAnsi="Times New Roman"/>
          <w:sz w:val="20"/>
          <w:highlight w:val="none"/>
        </w:rPr>
      </w:pPr>
      <w:r>
        <w:rPr>
          <w:rFonts w:ascii="Times New Roman" w:hAnsi="Times New Roman"/>
          <w:color w:val="000000"/>
          <w:highlight w:val="none"/>
        </w:rPr>
        <w:br w:type="page"/>
      </w:r>
    </w:p>
    <w:p>
      <w:pPr>
        <w:pStyle w:val="4"/>
        <w:ind w:firstLine="137"/>
        <w:rPr>
          <w:rFonts w:ascii="Times New Roman" w:hAnsi="Times New Roman"/>
          <w:highlight w:val="none"/>
        </w:rPr>
      </w:pPr>
      <w:bookmarkStart w:id="93" w:name="_Toc492300537"/>
      <w:r>
        <w:rPr>
          <w:rFonts w:hint="eastAsia" w:ascii="Times New Roman" w:hAnsi="Times New Roman"/>
          <w:highlight w:val="none"/>
        </w:rPr>
        <w:t>（三）近年完成的类似项目情况表</w:t>
      </w:r>
      <w:bookmarkEnd w:id="93"/>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服务</w:t>
            </w:r>
            <w:r>
              <w:rPr>
                <w:rFonts w:hint="eastAsia" w:ascii="Times New Roman" w:hAnsi="Times New Roman"/>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w:t>
      </w:r>
      <w:r>
        <w:rPr>
          <w:rFonts w:hint="eastAsia" w:ascii="Times New Roman" w:hAnsi="Times New Roman"/>
          <w:color w:val="000000"/>
          <w:highlight w:val="none"/>
          <w:lang w:eastAsia="zh-CN"/>
        </w:rPr>
        <w:t>业绩</w:t>
      </w:r>
      <w:r>
        <w:rPr>
          <w:rFonts w:hint="eastAsia" w:ascii="Times New Roman" w:hAnsi="Times New Roman"/>
          <w:color w:val="000000"/>
          <w:highlight w:val="none"/>
        </w:rPr>
        <w:t>合同</w:t>
      </w:r>
      <w:r>
        <w:rPr>
          <w:rFonts w:hint="eastAsia" w:ascii="Times New Roman" w:hAnsi="Times New Roman"/>
          <w:color w:val="000000"/>
          <w:highlight w:val="none"/>
          <w:lang w:eastAsia="zh-CN"/>
        </w:rPr>
        <w:t>等</w:t>
      </w:r>
      <w:r>
        <w:rPr>
          <w:rFonts w:hint="eastAsia" w:ascii="Times New Roman" w:hAnsi="Times New Roman"/>
          <w:color w:val="000000"/>
          <w:highlight w:val="none"/>
        </w:rPr>
        <w:t>证明文件；具体时间要求见投标人须知前附表，每张表格只填写一个项目，并标明序号。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94" w:name="_Toc361508766"/>
      <w:bookmarkStart w:id="95" w:name="_Toc152042599"/>
      <w:bookmarkStart w:id="96" w:name="_Toc247527850"/>
      <w:bookmarkStart w:id="97" w:name="_Toc247514302"/>
      <w:bookmarkStart w:id="98" w:name="_Toc300835226"/>
      <w:bookmarkStart w:id="99" w:name="_Toc370676438"/>
      <w:bookmarkStart w:id="100" w:name="_Toc492300538"/>
      <w:bookmarkStart w:id="101" w:name="_Toc152045810"/>
      <w:bookmarkStart w:id="102" w:name="_Toc384308388"/>
      <w:bookmarkStart w:id="103" w:name="_Toc144974878"/>
      <w:bookmarkStart w:id="104" w:name="_Toc359594247"/>
      <w:bookmarkStart w:id="105" w:name="_Toc144974879"/>
      <w:bookmarkStart w:id="106" w:name="_Toc247527851"/>
      <w:bookmarkStart w:id="107" w:name="_Toc247514303"/>
      <w:bookmarkStart w:id="108" w:name="_Toc152045811"/>
      <w:bookmarkStart w:id="109" w:name="_Toc152042600"/>
      <w:r>
        <w:rPr>
          <w:rFonts w:hint="eastAsia" w:ascii="Times New Roman" w:hAnsi="Times New Roman"/>
          <w:highlight w:val="none"/>
        </w:rPr>
        <w:t>（四）正在</w:t>
      </w:r>
      <w:r>
        <w:rPr>
          <w:rFonts w:hint="eastAsia" w:ascii="Times New Roman" w:hAnsi="Times New Roman"/>
          <w:highlight w:val="none"/>
          <w:lang w:val="en-US" w:eastAsia="zh-CN"/>
        </w:rPr>
        <w:t>履行</w:t>
      </w:r>
      <w:r>
        <w:rPr>
          <w:rFonts w:hint="eastAsia" w:ascii="Times New Roman" w:hAnsi="Times New Roman"/>
          <w:highlight w:val="none"/>
        </w:rPr>
        <w:t>和新承接的项目情况表</w:t>
      </w:r>
      <w:bookmarkEnd w:id="94"/>
      <w:bookmarkEnd w:id="95"/>
      <w:bookmarkEnd w:id="96"/>
      <w:bookmarkEnd w:id="97"/>
      <w:bookmarkEnd w:id="98"/>
      <w:bookmarkEnd w:id="99"/>
      <w:bookmarkEnd w:id="100"/>
      <w:bookmarkEnd w:id="101"/>
      <w:bookmarkEnd w:id="102"/>
      <w:bookmarkEnd w:id="103"/>
      <w:bookmarkEnd w:id="104"/>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lang w:val="en-US" w:eastAsia="zh-CN"/>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05"/>
      <w:bookmarkEnd w:id="106"/>
      <w:bookmarkEnd w:id="107"/>
      <w:bookmarkEnd w:id="108"/>
      <w:bookmarkEnd w:id="109"/>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w:t>
      </w:r>
      <w:r>
        <w:rPr>
          <w:rFonts w:hint="eastAsia" w:ascii="Times New Roman" w:hAnsi="Times New Roman"/>
          <w:color w:val="000000"/>
          <w:highlight w:val="none"/>
          <w:lang w:val="en-US" w:eastAsia="zh-CN"/>
        </w:rPr>
        <w:t>履行</w:t>
      </w:r>
      <w:r>
        <w:rPr>
          <w:rFonts w:hint="eastAsia" w:ascii="Times New Roman" w:hAnsi="Times New Roman"/>
          <w:color w:val="000000"/>
          <w:highlight w:val="none"/>
        </w:rPr>
        <w:t>和新承接的项目情况表”应附</w:t>
      </w:r>
      <w:r>
        <w:rPr>
          <w:rFonts w:hint="eastAsia" w:ascii="Times New Roman" w:hAnsi="Times New Roman"/>
          <w:color w:val="000000"/>
          <w:highlight w:val="none"/>
          <w:lang w:eastAsia="zh-CN"/>
        </w:rPr>
        <w:t>业绩合同等有效证明文件，</w:t>
      </w:r>
      <w:r>
        <w:rPr>
          <w:rFonts w:hint="eastAsia" w:ascii="Times New Roman" w:hAnsi="Times New Roman"/>
          <w:color w:val="000000"/>
          <w:highlight w:val="none"/>
        </w:rPr>
        <w:t>每</w:t>
      </w:r>
      <w:r>
        <w:rPr>
          <w:rFonts w:hint="eastAsia" w:ascii="Times New Roman" w:hAnsi="Times New Roman"/>
          <w:color w:val="000000"/>
          <w:highlight w:val="none"/>
          <w:lang w:val="en-US" w:eastAsia="zh-CN"/>
        </w:rPr>
        <w:t>张</w:t>
      </w:r>
      <w:r>
        <w:rPr>
          <w:rFonts w:hint="eastAsia" w:ascii="Times New Roman" w:hAnsi="Times New Roman"/>
          <w:color w:val="000000"/>
          <w:highlight w:val="none"/>
        </w:rPr>
        <w:t>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89"/>
    <w:p>
      <w:pPr>
        <w:pStyle w:val="4"/>
        <w:spacing w:line="440" w:lineRule="exact"/>
        <w:ind w:firstLine="137"/>
        <w:rPr>
          <w:rFonts w:ascii="Times New Roman" w:hAnsi="Times New Roman"/>
          <w:color w:val="000000"/>
          <w:highlight w:val="none"/>
        </w:rPr>
      </w:pPr>
      <w:bookmarkStart w:id="110" w:name="_Toc492300539"/>
      <w:r>
        <w:rPr>
          <w:rFonts w:hint="eastAsia" w:ascii="Times New Roman" w:hAnsi="Times New Roman"/>
          <w:color w:val="000000"/>
          <w:highlight w:val="none"/>
        </w:rPr>
        <w:t>（五）近年发生的诉讼及仲裁情况</w:t>
      </w:r>
      <w:bookmarkEnd w:id="110"/>
    </w:p>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“近年发生的诉讼及仲裁情况”应说明投标人败诉的</w:t>
      </w:r>
      <w:r>
        <w:rPr>
          <w:rFonts w:hint="eastAsia" w:ascii="Times New Roman" w:hAnsi="Times New Roman"/>
          <w:color w:val="000000"/>
          <w:highlight w:val="none"/>
          <w:lang w:val="en-US" w:eastAsia="zh-CN"/>
        </w:rPr>
        <w:t>服务</w:t>
      </w:r>
      <w:r>
        <w:rPr>
          <w:rFonts w:hint="eastAsia" w:ascii="Times New Roman" w:hAnsi="Times New Roman"/>
          <w:color w:val="000000"/>
          <w:highlight w:val="none"/>
        </w:rPr>
        <w:t>合同的相关情况，并附法院</w:t>
      </w:r>
      <w:r>
        <w:rPr>
          <w:rFonts w:hint="eastAsia" w:ascii="Times New Roman" w:hAnsi="Times New Roman"/>
          <w:color w:val="000000"/>
          <w:highlight w:val="none"/>
          <w:lang w:val="en-US" w:eastAsia="zh-CN"/>
        </w:rPr>
        <w:t>或</w:t>
      </w:r>
      <w:r>
        <w:rPr>
          <w:rFonts w:hint="eastAsia" w:ascii="Times New Roman" w:hAnsi="Times New Roman"/>
          <w:color w:val="000000"/>
          <w:highlight w:val="none"/>
        </w:rPr>
        <w:t>仲裁机构作出的判决、裁决等有关法律文书复印件，具体时间要求见投标人须知前附表。</w:t>
      </w:r>
    </w:p>
    <w:p>
      <w:pPr>
        <w:pStyle w:val="4"/>
        <w:spacing w:line="440" w:lineRule="exact"/>
        <w:ind w:firstLine="137"/>
        <w:rPr>
          <w:rFonts w:ascii="Times New Roman" w:hAnsi="Times New Roman"/>
          <w:color w:val="000000"/>
          <w:highlight w:val="none"/>
        </w:rPr>
      </w:pPr>
      <w:r>
        <w:rPr>
          <w:rFonts w:ascii="Times New Roman" w:hAnsi="Times New Roman"/>
          <w:highlight w:val="none"/>
        </w:rPr>
        <w:br w:type="page"/>
      </w:r>
    </w:p>
    <w:p>
      <w:pPr>
        <w:pStyle w:val="4"/>
        <w:ind w:firstLine="0" w:firstLineChars="0"/>
        <w:rPr>
          <w:rFonts w:ascii="Times New Roman" w:hAnsi="Times New Roman"/>
          <w:highlight w:val="none"/>
        </w:rPr>
      </w:pPr>
      <w:bookmarkStart w:id="111" w:name="_Toc482188667"/>
      <w:bookmarkStart w:id="112" w:name="_Toc492300540"/>
      <w:r>
        <w:rPr>
          <w:rFonts w:hint="eastAsia" w:ascii="Times New Roman" w:hAnsi="Times New Roman"/>
          <w:highlight w:val="none"/>
        </w:rPr>
        <w:t>（六）拟委任的主要人员汇总表</w:t>
      </w:r>
      <w:bookmarkEnd w:id="111"/>
      <w:bookmarkEnd w:id="112"/>
    </w:p>
    <w:tbl>
      <w:tblPr>
        <w:tblStyle w:val="14"/>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134"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134"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w:t>
      </w:r>
      <w:r>
        <w:rPr>
          <w:rFonts w:hint="eastAsia" w:ascii="Times New Roman" w:hAnsi="Times New Roman"/>
          <w:highlight w:val="none"/>
          <w:lang w:val="en-US" w:eastAsia="zh-CN"/>
        </w:rPr>
        <w:t>第一章招标公告</w:t>
      </w:r>
      <w:r>
        <w:rPr>
          <w:rFonts w:hint="eastAsia" w:ascii="Times New Roman" w:hAnsi="Times New Roman"/>
          <w:highlight w:val="none"/>
        </w:rPr>
        <w:t>规定的项目负责人和其他主要人员的相关信息。</w:t>
      </w:r>
      <w:r>
        <w:rPr>
          <w:rFonts w:ascii="Times New Roman" w:hAnsi="Times New Roman"/>
          <w:highlight w:val="none"/>
        </w:rPr>
        <w:br w:type="page"/>
      </w:r>
      <w:bookmarkStart w:id="113" w:name="_Toc152045805"/>
      <w:bookmarkStart w:id="114" w:name="_Toc144974873"/>
      <w:bookmarkStart w:id="115" w:name="_Toc152042594"/>
      <w:bookmarkStart w:id="116" w:name="_Toc179632825"/>
    </w:p>
    <w:p>
      <w:pPr>
        <w:pStyle w:val="4"/>
        <w:ind w:firstLine="137"/>
        <w:rPr>
          <w:rFonts w:ascii="Times New Roman" w:hAnsi="Times New Roman"/>
          <w:highlight w:val="none"/>
        </w:rPr>
      </w:pPr>
      <w:bookmarkStart w:id="117" w:name="_Toc370676440"/>
      <w:bookmarkStart w:id="118" w:name="_Toc391394125"/>
      <w:bookmarkStart w:id="119" w:name="_Toc482188668"/>
      <w:bookmarkStart w:id="120" w:name="_Toc359594249"/>
      <w:bookmarkStart w:id="121" w:name="_Toc492300541"/>
      <w:bookmarkStart w:id="122" w:name="_Toc300835232"/>
      <w:bookmarkStart w:id="123" w:name="_Toc385943079"/>
      <w:bookmarkStart w:id="124" w:name="_Toc384308390"/>
      <w:r>
        <w:rPr>
          <w:rFonts w:hint="eastAsia" w:ascii="Times New Roman" w:hAnsi="Times New Roman"/>
          <w:highlight w:val="none"/>
        </w:rPr>
        <w:t>（七）主要人员简历表</w:t>
      </w:r>
      <w:bookmarkEnd w:id="113"/>
      <w:bookmarkEnd w:id="114"/>
      <w:bookmarkEnd w:id="115"/>
      <w:bookmarkEnd w:id="116"/>
      <w:bookmarkEnd w:id="117"/>
      <w:bookmarkEnd w:id="118"/>
      <w:bookmarkEnd w:id="119"/>
      <w:bookmarkEnd w:id="120"/>
      <w:bookmarkEnd w:id="121"/>
      <w:bookmarkEnd w:id="122"/>
      <w:bookmarkEnd w:id="123"/>
      <w:bookmarkEnd w:id="124"/>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w:t>
            </w:r>
            <w:r>
              <w:rPr>
                <w:rFonts w:hint="eastAsia" w:ascii="Times New Roman" w:hAnsi="Times New Roman"/>
                <w:highlight w:val="none"/>
                <w:lang w:val="en-US" w:eastAsia="zh-CN"/>
              </w:rPr>
              <w:t>BIM行业</w:t>
            </w:r>
            <w:r>
              <w:rPr>
                <w:rFonts w:hint="eastAsia" w:ascii="Times New Roman" w:hAnsi="Times New Roman"/>
                <w:highlight w:val="none"/>
              </w:rPr>
              <w:t>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项目负责人应附身份证、学历证、职称证、执业资格证书和社保缴费证明复印件，管理过的项目业绩须附合同协议书复印件；其他主要人员应附身份证、学历证、职称证、有关证书和社保缴费证明复印件。</w:t>
      </w:r>
    </w:p>
    <w:p>
      <w:pPr>
        <w:spacing w:line="440" w:lineRule="exact"/>
        <w:rPr>
          <w:rFonts w:ascii="Times New Roman" w:hAnsi="Times New Roman"/>
          <w:highlight w:val="none"/>
        </w:rPr>
      </w:pPr>
      <w:r>
        <w:rPr>
          <w:rFonts w:ascii="Times New Roman" w:hAnsi="Times New Roman"/>
          <w:highlight w:val="none"/>
        </w:rPr>
        <w:br w:type="page"/>
      </w:r>
      <w:bookmarkStart w:id="125" w:name="_Toc352703741"/>
      <w:bookmarkStart w:id="126" w:name="_Toc300835229"/>
    </w:p>
    <w:bookmarkEnd w:id="125"/>
    <w:bookmarkEnd w:id="126"/>
    <w:p>
      <w:pPr>
        <w:pStyle w:val="3"/>
        <w:spacing w:after="0"/>
        <w:jc w:val="center"/>
        <w:rPr>
          <w:rFonts w:ascii="Times New Roman" w:hAnsi="Times New Roman"/>
          <w:color w:val="000000"/>
          <w:highlight w:val="none"/>
        </w:rPr>
      </w:pPr>
      <w:bookmarkStart w:id="127" w:name="_Toc492300542"/>
      <w:r>
        <w:rPr>
          <w:rFonts w:hint="eastAsia" w:ascii="Times New Roman" w:hAnsi="Times New Roman"/>
          <w:color w:val="000000"/>
          <w:highlight w:val="none"/>
          <w:lang w:val="en-US" w:eastAsia="zh-CN"/>
        </w:rPr>
        <w:t>六</w:t>
      </w:r>
      <w:r>
        <w:rPr>
          <w:rFonts w:ascii="Times New Roman" w:hAnsi="Times New Roman"/>
          <w:color w:val="000000"/>
          <w:highlight w:val="none"/>
        </w:rPr>
        <w:t>、</w:t>
      </w:r>
      <w:r>
        <w:rPr>
          <w:rFonts w:hint="eastAsia" w:ascii="Times New Roman" w:hAnsi="Times New Roman"/>
          <w:color w:val="000000"/>
          <w:highlight w:val="none"/>
          <w:lang w:val="en-US" w:eastAsia="zh-CN"/>
        </w:rPr>
        <w:t>项目咨询服务</w:t>
      </w:r>
      <w:r>
        <w:rPr>
          <w:rFonts w:ascii="Times New Roman" w:hAnsi="Times New Roman"/>
          <w:color w:val="000000"/>
          <w:highlight w:val="none"/>
        </w:rPr>
        <w:t>方案</w:t>
      </w:r>
      <w:bookmarkEnd w:id="127"/>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lang w:val="en-US" w:eastAsia="zh-CN"/>
        </w:rPr>
        <w:t>项目咨询服务</w:t>
      </w:r>
      <w:r>
        <w:rPr>
          <w:rFonts w:hint="eastAsia" w:ascii="Times New Roman" w:hAnsi="Times New Roman"/>
          <w:szCs w:val="21"/>
          <w:highlight w:val="none"/>
        </w:rPr>
        <w:t>方案应包括（但不限于）下列内容：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一、</w:t>
      </w:r>
      <w:r>
        <w:rPr>
          <w:rFonts w:hint="eastAsia" w:ascii="Times New Roman" w:hAnsi="Times New Roman"/>
          <w:szCs w:val="21"/>
          <w:highlight w:val="none"/>
          <w:lang w:val="en-US" w:eastAsia="zh-CN"/>
        </w:rPr>
        <w:t>咨询服务</w:t>
      </w:r>
      <w:r>
        <w:rPr>
          <w:rFonts w:hint="eastAsia" w:ascii="Times New Roman" w:hAnsi="Times New Roman"/>
          <w:szCs w:val="21"/>
          <w:highlight w:val="none"/>
        </w:rPr>
        <w:t>范围、</w:t>
      </w:r>
      <w:r>
        <w:rPr>
          <w:rFonts w:hint="eastAsia" w:ascii="Times New Roman" w:hAnsi="Times New Roman"/>
          <w:szCs w:val="21"/>
          <w:highlight w:val="none"/>
          <w:lang w:val="en-US" w:eastAsia="zh-CN"/>
        </w:rPr>
        <w:t>服务</w:t>
      </w:r>
      <w:r>
        <w:rPr>
          <w:rFonts w:hint="eastAsia" w:ascii="Times New Roman" w:hAnsi="Times New Roman"/>
          <w:szCs w:val="21"/>
          <w:highlight w:val="none"/>
        </w:rPr>
        <w:t>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三、</w:t>
      </w:r>
      <w:r>
        <w:rPr>
          <w:rFonts w:hint="eastAsia" w:ascii="Times New Roman" w:hAnsi="Times New Roman"/>
          <w:szCs w:val="21"/>
          <w:highlight w:val="none"/>
          <w:lang w:val="en-US" w:eastAsia="zh-CN"/>
        </w:rPr>
        <w:t>咨询服务</w:t>
      </w:r>
      <w:r>
        <w:rPr>
          <w:rFonts w:hint="eastAsia" w:ascii="Times New Roman" w:hAnsi="Times New Roman"/>
          <w:szCs w:val="21"/>
          <w:highlight w:val="none"/>
        </w:rPr>
        <w:t>依据、</w:t>
      </w:r>
      <w:r>
        <w:rPr>
          <w:rFonts w:hint="eastAsia" w:ascii="Times New Roman" w:hAnsi="Times New Roman"/>
          <w:highlight w:val="none"/>
        </w:rPr>
        <w:t>工作目标</w:t>
      </w:r>
      <w:r>
        <w:rPr>
          <w:rFonts w:hint="eastAsia" w:ascii="Times New Roman" w:hAnsi="Times New Roman"/>
          <w:szCs w:val="21"/>
          <w:highlight w:val="none"/>
        </w:rPr>
        <w:t>；</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四、</w:t>
      </w:r>
      <w:r>
        <w:rPr>
          <w:rFonts w:hint="eastAsia" w:ascii="Times New Roman" w:hAnsi="Times New Roman"/>
          <w:szCs w:val="21"/>
          <w:highlight w:val="none"/>
          <w:lang w:val="en-US" w:eastAsia="zh-CN"/>
        </w:rPr>
        <w:t>项目</w:t>
      </w:r>
      <w:r>
        <w:rPr>
          <w:rFonts w:hint="eastAsia" w:ascii="Times New Roman" w:hAnsi="Times New Roman"/>
          <w:szCs w:val="21"/>
          <w:highlight w:val="none"/>
        </w:rPr>
        <w:t>机构设置（框图）、岗位职责；</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五、</w:t>
      </w:r>
      <w:r>
        <w:rPr>
          <w:rFonts w:hint="eastAsia" w:ascii="Times New Roman" w:hAnsi="Times New Roman"/>
          <w:szCs w:val="21"/>
          <w:highlight w:val="none"/>
          <w:lang w:val="en-US" w:eastAsia="zh-CN"/>
        </w:rPr>
        <w:t>咨询服务</w:t>
      </w:r>
      <w:r>
        <w:rPr>
          <w:rFonts w:hint="eastAsia" w:ascii="Times New Roman" w:hAnsi="Times New Roman"/>
          <w:szCs w:val="21"/>
          <w:highlight w:val="none"/>
        </w:rPr>
        <w:t>说明和方案；</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六、拟投入的</w:t>
      </w:r>
      <w:r>
        <w:rPr>
          <w:rFonts w:hint="eastAsia" w:ascii="Times New Roman" w:hAnsi="Times New Roman"/>
          <w:szCs w:val="21"/>
          <w:highlight w:val="none"/>
          <w:lang w:val="en-US" w:eastAsia="zh-CN"/>
        </w:rPr>
        <w:t>项目</w:t>
      </w:r>
      <w:r>
        <w:rPr>
          <w:rFonts w:hint="eastAsia" w:ascii="Times New Roman" w:hAnsi="Times New Roman"/>
          <w:szCs w:val="21"/>
          <w:highlight w:val="none"/>
        </w:rPr>
        <w:t>人员；</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七、</w:t>
      </w:r>
      <w:r>
        <w:rPr>
          <w:rFonts w:hint="eastAsia" w:ascii="Times New Roman" w:hAnsi="Times New Roman"/>
          <w:szCs w:val="21"/>
          <w:highlight w:val="none"/>
          <w:lang w:val="en-US" w:eastAsia="zh-CN"/>
        </w:rPr>
        <w:t>咨询服务</w:t>
      </w:r>
      <w:r>
        <w:rPr>
          <w:rFonts w:hint="eastAsia" w:ascii="Times New Roman" w:hAnsi="Times New Roman"/>
          <w:szCs w:val="21"/>
          <w:highlight w:val="none"/>
        </w:rPr>
        <w:t>质量、进度等保证措施；</w:t>
      </w:r>
      <w:r>
        <w:rPr>
          <w:rFonts w:ascii="Times New Roman" w:hAnsi="Times New Roman"/>
          <w:szCs w:val="21"/>
          <w:highlight w:val="none"/>
        </w:rPr>
        <w:t xml:space="preserve"> </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八、</w:t>
      </w:r>
      <w:r>
        <w:rPr>
          <w:rFonts w:hint="eastAsia" w:ascii="Times New Roman" w:hAnsi="Times New Roman"/>
          <w:szCs w:val="21"/>
          <w:highlight w:val="none"/>
          <w:lang w:val="en-US" w:eastAsia="zh-CN"/>
        </w:rPr>
        <w:t>咨询服务</w:t>
      </w:r>
      <w:r>
        <w:rPr>
          <w:rFonts w:hint="eastAsia" w:ascii="Times New Roman" w:hAnsi="Times New Roman"/>
          <w:szCs w:val="21"/>
          <w:highlight w:val="none"/>
        </w:rPr>
        <w:t>工作重点、难点分析；</w:t>
      </w:r>
    </w:p>
    <w:p>
      <w:pPr>
        <w:spacing w:line="360" w:lineRule="auto"/>
        <w:ind w:firstLine="474" w:firstLineChars="226"/>
        <w:rPr>
          <w:rFonts w:ascii="Times New Roman" w:hAnsi="Times New Roman"/>
          <w:highlight w:val="none"/>
        </w:rPr>
      </w:pPr>
      <w:r>
        <w:rPr>
          <w:rFonts w:hint="eastAsia" w:ascii="Times New Roman" w:hAnsi="Times New Roman"/>
          <w:szCs w:val="21"/>
          <w:highlight w:val="none"/>
          <w:lang w:eastAsia="zh-CN"/>
        </w:rPr>
        <w:t>九</w:t>
      </w:r>
      <w:r>
        <w:rPr>
          <w:rFonts w:hint="eastAsia" w:ascii="Times New Roman" w:hAnsi="Times New Roman"/>
          <w:szCs w:val="21"/>
          <w:highlight w:val="none"/>
        </w:rPr>
        <w:t>、对本</w:t>
      </w:r>
      <w:r>
        <w:rPr>
          <w:rFonts w:hint="eastAsia" w:ascii="Times New Roman" w:hAnsi="Times New Roman"/>
          <w:szCs w:val="21"/>
          <w:highlight w:val="none"/>
          <w:lang w:val="en-US" w:eastAsia="zh-CN"/>
        </w:rPr>
        <w:t>项目咨询服务</w:t>
      </w:r>
      <w:r>
        <w:rPr>
          <w:rFonts w:hint="eastAsia" w:ascii="Times New Roman" w:hAnsi="Times New Roman"/>
          <w:szCs w:val="21"/>
          <w:highlight w:val="none"/>
        </w:rPr>
        <w:t>的合理化建议。</w:t>
      </w:r>
    </w:p>
    <w:p>
      <w:pPr>
        <w:rPr>
          <w:rFonts w:ascii="Times New Roman" w:hAnsi="Times New Roman"/>
          <w:highlight w:val="none"/>
        </w:rPr>
      </w:pP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28" w:name="_Toc492300543"/>
      <w:r>
        <w:rPr>
          <w:rFonts w:hint="eastAsia" w:ascii="Times New Roman" w:hAnsi="Times New Roman"/>
          <w:color w:val="000000"/>
          <w:highlight w:val="none"/>
          <w:lang w:val="en-US" w:eastAsia="zh-CN"/>
        </w:rPr>
        <w:t>七</w:t>
      </w:r>
      <w:r>
        <w:rPr>
          <w:rFonts w:ascii="Times New Roman" w:hAnsi="Times New Roman"/>
          <w:color w:val="000000"/>
          <w:highlight w:val="none"/>
        </w:rPr>
        <w:t>、其他资料</w:t>
      </w:r>
      <w:bookmarkEnd w:id="128"/>
    </w:p>
    <w:p>
      <w:pPr>
        <w:rPr>
          <w:rFonts w:ascii="Times New Roman" w:hAnsi="Times New Roman"/>
          <w:highlight w:val="none"/>
        </w:rPr>
      </w:pPr>
    </w:p>
    <w:p>
      <w:pPr>
        <w:ind w:firstLine="420" w:firstLineChars="200"/>
        <w:rPr>
          <w:rFonts w:hint="eastAsia" w:ascii="Times New Roman" w:hAnsi="Times New Roman" w:eastAsiaTheme="minorEastAsia"/>
          <w:highlight w:val="none"/>
          <w:lang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章“投标文件格式”未详尽列举，但招标文件要求或有必要提供的资料</w:t>
      </w:r>
      <w:r>
        <w:rPr>
          <w:rFonts w:hint="eastAsia" w:ascii="Times New Roman" w:hAnsi="Times New Roman"/>
          <w:highlight w:val="none"/>
          <w:lang w:eastAsia="zh-CN"/>
        </w:rPr>
        <w:t>。</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- 3 -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- 3 -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8AB4AE"/>
    <w:multiLevelType w:val="singleLevel"/>
    <w:tmpl w:val="CF8AB4A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40224D"/>
    <w:rsid w:val="00733B0B"/>
    <w:rsid w:val="00764376"/>
    <w:rsid w:val="00796B76"/>
    <w:rsid w:val="0145105E"/>
    <w:rsid w:val="017F235A"/>
    <w:rsid w:val="019846E3"/>
    <w:rsid w:val="01CB0CDF"/>
    <w:rsid w:val="01CC77F2"/>
    <w:rsid w:val="01CD2334"/>
    <w:rsid w:val="01E140D3"/>
    <w:rsid w:val="0204183F"/>
    <w:rsid w:val="021D348F"/>
    <w:rsid w:val="026B16E2"/>
    <w:rsid w:val="026D2C7E"/>
    <w:rsid w:val="026E5FAB"/>
    <w:rsid w:val="02983D41"/>
    <w:rsid w:val="02A46690"/>
    <w:rsid w:val="02AC508C"/>
    <w:rsid w:val="031B0358"/>
    <w:rsid w:val="0324584F"/>
    <w:rsid w:val="035021B2"/>
    <w:rsid w:val="03C10800"/>
    <w:rsid w:val="03C96DCC"/>
    <w:rsid w:val="03FB71CD"/>
    <w:rsid w:val="042C575E"/>
    <w:rsid w:val="04382327"/>
    <w:rsid w:val="043F5557"/>
    <w:rsid w:val="048451A0"/>
    <w:rsid w:val="04885B47"/>
    <w:rsid w:val="04A52387"/>
    <w:rsid w:val="04CD15E8"/>
    <w:rsid w:val="04CF4810"/>
    <w:rsid w:val="04D151E8"/>
    <w:rsid w:val="04EC7DA2"/>
    <w:rsid w:val="056B673A"/>
    <w:rsid w:val="0572490A"/>
    <w:rsid w:val="058253F2"/>
    <w:rsid w:val="05BE789C"/>
    <w:rsid w:val="05D9116E"/>
    <w:rsid w:val="061F0438"/>
    <w:rsid w:val="063F4D83"/>
    <w:rsid w:val="06501BB5"/>
    <w:rsid w:val="06A848F7"/>
    <w:rsid w:val="06CC14B8"/>
    <w:rsid w:val="06D9502E"/>
    <w:rsid w:val="06EB4F76"/>
    <w:rsid w:val="06ED1728"/>
    <w:rsid w:val="06F81D74"/>
    <w:rsid w:val="0731691A"/>
    <w:rsid w:val="074267A8"/>
    <w:rsid w:val="074A7C93"/>
    <w:rsid w:val="07666E00"/>
    <w:rsid w:val="07972327"/>
    <w:rsid w:val="079927A0"/>
    <w:rsid w:val="07A85930"/>
    <w:rsid w:val="07EE56D8"/>
    <w:rsid w:val="08116DE6"/>
    <w:rsid w:val="08554A0D"/>
    <w:rsid w:val="086D3DA1"/>
    <w:rsid w:val="08774BE1"/>
    <w:rsid w:val="088F5820"/>
    <w:rsid w:val="08932D8F"/>
    <w:rsid w:val="08C071D3"/>
    <w:rsid w:val="08ED571D"/>
    <w:rsid w:val="09207C17"/>
    <w:rsid w:val="0967298A"/>
    <w:rsid w:val="098A77D7"/>
    <w:rsid w:val="09A71C3D"/>
    <w:rsid w:val="09AF2C22"/>
    <w:rsid w:val="09B32D8C"/>
    <w:rsid w:val="09C37FE6"/>
    <w:rsid w:val="0A3B332D"/>
    <w:rsid w:val="0A5234C1"/>
    <w:rsid w:val="0A7160C3"/>
    <w:rsid w:val="0A83444B"/>
    <w:rsid w:val="0A8B5261"/>
    <w:rsid w:val="0A8E5075"/>
    <w:rsid w:val="0AA913FB"/>
    <w:rsid w:val="0AB930A2"/>
    <w:rsid w:val="0ADD0DF0"/>
    <w:rsid w:val="0AEB40E8"/>
    <w:rsid w:val="0B0B2454"/>
    <w:rsid w:val="0B416906"/>
    <w:rsid w:val="0B5D1C2A"/>
    <w:rsid w:val="0B7202E7"/>
    <w:rsid w:val="0BD22E58"/>
    <w:rsid w:val="0C110CA2"/>
    <w:rsid w:val="0C321A8B"/>
    <w:rsid w:val="0C45696B"/>
    <w:rsid w:val="0C773477"/>
    <w:rsid w:val="0C954807"/>
    <w:rsid w:val="0D2466BD"/>
    <w:rsid w:val="0D2F3972"/>
    <w:rsid w:val="0D3D343A"/>
    <w:rsid w:val="0D696E06"/>
    <w:rsid w:val="0D7F3B4D"/>
    <w:rsid w:val="0D840F42"/>
    <w:rsid w:val="0DA277FF"/>
    <w:rsid w:val="0DB8057F"/>
    <w:rsid w:val="0DDB677F"/>
    <w:rsid w:val="0E3C08A3"/>
    <w:rsid w:val="0E626142"/>
    <w:rsid w:val="0E6D3EE4"/>
    <w:rsid w:val="0E8168AC"/>
    <w:rsid w:val="0E9601D9"/>
    <w:rsid w:val="0EDF4D5E"/>
    <w:rsid w:val="0F024085"/>
    <w:rsid w:val="0F1438EF"/>
    <w:rsid w:val="0F4B0F6A"/>
    <w:rsid w:val="0F4F74DD"/>
    <w:rsid w:val="0F5F5CB1"/>
    <w:rsid w:val="0FA819A2"/>
    <w:rsid w:val="0FCA08C0"/>
    <w:rsid w:val="0FCA14B6"/>
    <w:rsid w:val="0FDD396C"/>
    <w:rsid w:val="0FE42DE8"/>
    <w:rsid w:val="101038A7"/>
    <w:rsid w:val="101E2D38"/>
    <w:rsid w:val="1069417C"/>
    <w:rsid w:val="106C1E4B"/>
    <w:rsid w:val="11114551"/>
    <w:rsid w:val="11356135"/>
    <w:rsid w:val="11800917"/>
    <w:rsid w:val="118955AD"/>
    <w:rsid w:val="1197226B"/>
    <w:rsid w:val="11CD444A"/>
    <w:rsid w:val="11FC3F3B"/>
    <w:rsid w:val="123262D1"/>
    <w:rsid w:val="125A52C4"/>
    <w:rsid w:val="12655D96"/>
    <w:rsid w:val="127C6343"/>
    <w:rsid w:val="128E3C38"/>
    <w:rsid w:val="129108E3"/>
    <w:rsid w:val="12BF2922"/>
    <w:rsid w:val="12C942C8"/>
    <w:rsid w:val="12DC5F5E"/>
    <w:rsid w:val="12DC7F8C"/>
    <w:rsid w:val="12E82A0B"/>
    <w:rsid w:val="13274F9C"/>
    <w:rsid w:val="13417410"/>
    <w:rsid w:val="134A448A"/>
    <w:rsid w:val="134F7EA7"/>
    <w:rsid w:val="135107A8"/>
    <w:rsid w:val="136066CF"/>
    <w:rsid w:val="13657E31"/>
    <w:rsid w:val="1387094F"/>
    <w:rsid w:val="13D35238"/>
    <w:rsid w:val="13E77E59"/>
    <w:rsid w:val="13ED5BE4"/>
    <w:rsid w:val="145D0C02"/>
    <w:rsid w:val="147E2423"/>
    <w:rsid w:val="1487273A"/>
    <w:rsid w:val="14944440"/>
    <w:rsid w:val="14A059A0"/>
    <w:rsid w:val="14B97B05"/>
    <w:rsid w:val="14CD31B9"/>
    <w:rsid w:val="14E67563"/>
    <w:rsid w:val="15021B62"/>
    <w:rsid w:val="150A21BA"/>
    <w:rsid w:val="1522437E"/>
    <w:rsid w:val="15283931"/>
    <w:rsid w:val="158374C1"/>
    <w:rsid w:val="15A62ECC"/>
    <w:rsid w:val="15B6613B"/>
    <w:rsid w:val="15C516BD"/>
    <w:rsid w:val="166266B1"/>
    <w:rsid w:val="16D411E7"/>
    <w:rsid w:val="170756D4"/>
    <w:rsid w:val="170F4587"/>
    <w:rsid w:val="172D7672"/>
    <w:rsid w:val="176115DC"/>
    <w:rsid w:val="17824660"/>
    <w:rsid w:val="178F2FF8"/>
    <w:rsid w:val="17C41ABF"/>
    <w:rsid w:val="18175D56"/>
    <w:rsid w:val="18276B10"/>
    <w:rsid w:val="189676EF"/>
    <w:rsid w:val="189B5F22"/>
    <w:rsid w:val="18A70256"/>
    <w:rsid w:val="18B73074"/>
    <w:rsid w:val="18DA76F1"/>
    <w:rsid w:val="19034C2D"/>
    <w:rsid w:val="1916127C"/>
    <w:rsid w:val="193D465D"/>
    <w:rsid w:val="196C6238"/>
    <w:rsid w:val="198A59D6"/>
    <w:rsid w:val="19A73D74"/>
    <w:rsid w:val="19AA5416"/>
    <w:rsid w:val="19D70C6D"/>
    <w:rsid w:val="19E2271F"/>
    <w:rsid w:val="1A075570"/>
    <w:rsid w:val="1A1C623A"/>
    <w:rsid w:val="1A270D5F"/>
    <w:rsid w:val="1A4A1839"/>
    <w:rsid w:val="1A4D4CED"/>
    <w:rsid w:val="1A797469"/>
    <w:rsid w:val="1ADB0B95"/>
    <w:rsid w:val="1B262D26"/>
    <w:rsid w:val="1B2670F4"/>
    <w:rsid w:val="1B2D1E19"/>
    <w:rsid w:val="1B2E3791"/>
    <w:rsid w:val="1B3A5220"/>
    <w:rsid w:val="1B3B258E"/>
    <w:rsid w:val="1B652C95"/>
    <w:rsid w:val="1B70155F"/>
    <w:rsid w:val="1B723039"/>
    <w:rsid w:val="1B7700FA"/>
    <w:rsid w:val="1B8C1172"/>
    <w:rsid w:val="1B964D8C"/>
    <w:rsid w:val="1BB12BB2"/>
    <w:rsid w:val="1BD12722"/>
    <w:rsid w:val="1C100B6A"/>
    <w:rsid w:val="1C2B6CB4"/>
    <w:rsid w:val="1C5D5F8B"/>
    <w:rsid w:val="1C6E241C"/>
    <w:rsid w:val="1CB07DF9"/>
    <w:rsid w:val="1CC3681B"/>
    <w:rsid w:val="1CF251D3"/>
    <w:rsid w:val="1CFF3217"/>
    <w:rsid w:val="1D1D0D81"/>
    <w:rsid w:val="1D220CF2"/>
    <w:rsid w:val="1D5835F0"/>
    <w:rsid w:val="1D8C5045"/>
    <w:rsid w:val="1D931CEA"/>
    <w:rsid w:val="1DC177D9"/>
    <w:rsid w:val="1E1A236E"/>
    <w:rsid w:val="1E225BB3"/>
    <w:rsid w:val="1E2A0B76"/>
    <w:rsid w:val="1E2A6113"/>
    <w:rsid w:val="1E2D212B"/>
    <w:rsid w:val="1E500E08"/>
    <w:rsid w:val="1E856BE9"/>
    <w:rsid w:val="1EA573D8"/>
    <w:rsid w:val="1EB0513B"/>
    <w:rsid w:val="1EB72F76"/>
    <w:rsid w:val="1F127B09"/>
    <w:rsid w:val="1F36160E"/>
    <w:rsid w:val="1F4105C0"/>
    <w:rsid w:val="1F670701"/>
    <w:rsid w:val="1F671677"/>
    <w:rsid w:val="1F722047"/>
    <w:rsid w:val="1F904945"/>
    <w:rsid w:val="1FAA6A2E"/>
    <w:rsid w:val="1FE570E2"/>
    <w:rsid w:val="1FE7673E"/>
    <w:rsid w:val="201E585F"/>
    <w:rsid w:val="2049266D"/>
    <w:rsid w:val="204F3AF2"/>
    <w:rsid w:val="20534B67"/>
    <w:rsid w:val="20557DC5"/>
    <w:rsid w:val="206F6FE9"/>
    <w:rsid w:val="207C33EE"/>
    <w:rsid w:val="209740BF"/>
    <w:rsid w:val="2099242E"/>
    <w:rsid w:val="20B0411F"/>
    <w:rsid w:val="20D658C9"/>
    <w:rsid w:val="20D95B5B"/>
    <w:rsid w:val="20DC2416"/>
    <w:rsid w:val="20F22231"/>
    <w:rsid w:val="21015C26"/>
    <w:rsid w:val="21121083"/>
    <w:rsid w:val="211518DD"/>
    <w:rsid w:val="212B2F31"/>
    <w:rsid w:val="21327DB2"/>
    <w:rsid w:val="213D7BD8"/>
    <w:rsid w:val="214C4EC5"/>
    <w:rsid w:val="2153567F"/>
    <w:rsid w:val="21560504"/>
    <w:rsid w:val="217422B6"/>
    <w:rsid w:val="21A61686"/>
    <w:rsid w:val="21BF4549"/>
    <w:rsid w:val="21C13A32"/>
    <w:rsid w:val="224D73DD"/>
    <w:rsid w:val="22592601"/>
    <w:rsid w:val="233F5F96"/>
    <w:rsid w:val="234E79B5"/>
    <w:rsid w:val="235F4D23"/>
    <w:rsid w:val="23617806"/>
    <w:rsid w:val="236D4028"/>
    <w:rsid w:val="23991DFA"/>
    <w:rsid w:val="23A33781"/>
    <w:rsid w:val="24226CC5"/>
    <w:rsid w:val="24312A4A"/>
    <w:rsid w:val="244A5E9A"/>
    <w:rsid w:val="244C4BB8"/>
    <w:rsid w:val="245E2654"/>
    <w:rsid w:val="24691193"/>
    <w:rsid w:val="246C3A46"/>
    <w:rsid w:val="251A7612"/>
    <w:rsid w:val="25237A22"/>
    <w:rsid w:val="25243CD7"/>
    <w:rsid w:val="25481BCE"/>
    <w:rsid w:val="25814DB7"/>
    <w:rsid w:val="25824959"/>
    <w:rsid w:val="25987A23"/>
    <w:rsid w:val="25B73F76"/>
    <w:rsid w:val="25C517A2"/>
    <w:rsid w:val="25EF2534"/>
    <w:rsid w:val="25F5789E"/>
    <w:rsid w:val="25FD6A72"/>
    <w:rsid w:val="2608561B"/>
    <w:rsid w:val="26261861"/>
    <w:rsid w:val="26382AAC"/>
    <w:rsid w:val="26506FAD"/>
    <w:rsid w:val="26656277"/>
    <w:rsid w:val="26663117"/>
    <w:rsid w:val="268A362E"/>
    <w:rsid w:val="268F5DAA"/>
    <w:rsid w:val="269560EE"/>
    <w:rsid w:val="26D16018"/>
    <w:rsid w:val="26DB3228"/>
    <w:rsid w:val="26DF6074"/>
    <w:rsid w:val="26FE679C"/>
    <w:rsid w:val="27301EDB"/>
    <w:rsid w:val="27555F17"/>
    <w:rsid w:val="276C029F"/>
    <w:rsid w:val="27982DD4"/>
    <w:rsid w:val="27DD09CE"/>
    <w:rsid w:val="27EC553C"/>
    <w:rsid w:val="27F6081D"/>
    <w:rsid w:val="2813394B"/>
    <w:rsid w:val="283610D5"/>
    <w:rsid w:val="285C4997"/>
    <w:rsid w:val="285F5293"/>
    <w:rsid w:val="28622D71"/>
    <w:rsid w:val="286E69FD"/>
    <w:rsid w:val="2882180E"/>
    <w:rsid w:val="28FA546B"/>
    <w:rsid w:val="28FE025E"/>
    <w:rsid w:val="29586D7A"/>
    <w:rsid w:val="2984235F"/>
    <w:rsid w:val="298F36FB"/>
    <w:rsid w:val="29967FD2"/>
    <w:rsid w:val="29C56C3A"/>
    <w:rsid w:val="29E1380C"/>
    <w:rsid w:val="29E85046"/>
    <w:rsid w:val="2A017BFD"/>
    <w:rsid w:val="2A9154D8"/>
    <w:rsid w:val="2AA04C57"/>
    <w:rsid w:val="2AD750C3"/>
    <w:rsid w:val="2AE77D08"/>
    <w:rsid w:val="2B652A8D"/>
    <w:rsid w:val="2BF15324"/>
    <w:rsid w:val="2BF4029C"/>
    <w:rsid w:val="2C270D43"/>
    <w:rsid w:val="2C6436A6"/>
    <w:rsid w:val="2C7A2A8F"/>
    <w:rsid w:val="2C9023A5"/>
    <w:rsid w:val="2C937549"/>
    <w:rsid w:val="2C9D6A04"/>
    <w:rsid w:val="2CB62598"/>
    <w:rsid w:val="2CED3D7C"/>
    <w:rsid w:val="2CFE607B"/>
    <w:rsid w:val="2D095409"/>
    <w:rsid w:val="2D3A3199"/>
    <w:rsid w:val="2D5470D9"/>
    <w:rsid w:val="2D772574"/>
    <w:rsid w:val="2DB40A2B"/>
    <w:rsid w:val="2DCC12FC"/>
    <w:rsid w:val="2E652B8E"/>
    <w:rsid w:val="2E66167A"/>
    <w:rsid w:val="2E6C7EF1"/>
    <w:rsid w:val="2E6F6584"/>
    <w:rsid w:val="2E933BCE"/>
    <w:rsid w:val="2E9C6490"/>
    <w:rsid w:val="2EAA3B87"/>
    <w:rsid w:val="2EB66E96"/>
    <w:rsid w:val="2EBC23A0"/>
    <w:rsid w:val="2EFA0191"/>
    <w:rsid w:val="2F436846"/>
    <w:rsid w:val="2F4556CE"/>
    <w:rsid w:val="2F754A27"/>
    <w:rsid w:val="30215D52"/>
    <w:rsid w:val="305C41A9"/>
    <w:rsid w:val="308E41B5"/>
    <w:rsid w:val="30952C59"/>
    <w:rsid w:val="30B723F5"/>
    <w:rsid w:val="30FF4D69"/>
    <w:rsid w:val="3113559B"/>
    <w:rsid w:val="3127420C"/>
    <w:rsid w:val="315523B1"/>
    <w:rsid w:val="31CD31BF"/>
    <w:rsid w:val="31E10F55"/>
    <w:rsid w:val="3219008D"/>
    <w:rsid w:val="32215B79"/>
    <w:rsid w:val="322241F2"/>
    <w:rsid w:val="322D5AFA"/>
    <w:rsid w:val="32974C7A"/>
    <w:rsid w:val="32BB4ABE"/>
    <w:rsid w:val="32C8549C"/>
    <w:rsid w:val="32CA16D9"/>
    <w:rsid w:val="32E83928"/>
    <w:rsid w:val="32F05824"/>
    <w:rsid w:val="338F53C2"/>
    <w:rsid w:val="33925662"/>
    <w:rsid w:val="339B7AA1"/>
    <w:rsid w:val="33B7637D"/>
    <w:rsid w:val="33D4661F"/>
    <w:rsid w:val="342A5DF5"/>
    <w:rsid w:val="34446F6C"/>
    <w:rsid w:val="344851FD"/>
    <w:rsid w:val="3485220E"/>
    <w:rsid w:val="34AA020B"/>
    <w:rsid w:val="34BC17DA"/>
    <w:rsid w:val="34F85DA8"/>
    <w:rsid w:val="3509398E"/>
    <w:rsid w:val="3554479E"/>
    <w:rsid w:val="35706727"/>
    <w:rsid w:val="35730D7F"/>
    <w:rsid w:val="357F00D0"/>
    <w:rsid w:val="35894506"/>
    <w:rsid w:val="35CD4274"/>
    <w:rsid w:val="360530D8"/>
    <w:rsid w:val="36162F1C"/>
    <w:rsid w:val="366244D5"/>
    <w:rsid w:val="36A8183D"/>
    <w:rsid w:val="36AE389B"/>
    <w:rsid w:val="36C342D9"/>
    <w:rsid w:val="370F2E93"/>
    <w:rsid w:val="371D54F2"/>
    <w:rsid w:val="374E35E0"/>
    <w:rsid w:val="37560CC6"/>
    <w:rsid w:val="378D0CEB"/>
    <w:rsid w:val="379A026D"/>
    <w:rsid w:val="37A2207E"/>
    <w:rsid w:val="37ED6D6E"/>
    <w:rsid w:val="388B6DA9"/>
    <w:rsid w:val="38AE496C"/>
    <w:rsid w:val="38B54D45"/>
    <w:rsid w:val="38BB2654"/>
    <w:rsid w:val="38D242CD"/>
    <w:rsid w:val="393E0C7A"/>
    <w:rsid w:val="39821F75"/>
    <w:rsid w:val="398C3DB7"/>
    <w:rsid w:val="39D37D97"/>
    <w:rsid w:val="39F227B1"/>
    <w:rsid w:val="3A292038"/>
    <w:rsid w:val="3A524E6B"/>
    <w:rsid w:val="3A762A49"/>
    <w:rsid w:val="3A9D28F5"/>
    <w:rsid w:val="3AAD3BC0"/>
    <w:rsid w:val="3ACD43C9"/>
    <w:rsid w:val="3AE14BB4"/>
    <w:rsid w:val="3B2F69DB"/>
    <w:rsid w:val="3B2F76F5"/>
    <w:rsid w:val="3B932344"/>
    <w:rsid w:val="3B9D20F5"/>
    <w:rsid w:val="3BB33F88"/>
    <w:rsid w:val="3BD93153"/>
    <w:rsid w:val="3BDA6996"/>
    <w:rsid w:val="3C0A3047"/>
    <w:rsid w:val="3C2E50FB"/>
    <w:rsid w:val="3C37637A"/>
    <w:rsid w:val="3C4A12AD"/>
    <w:rsid w:val="3C5125FC"/>
    <w:rsid w:val="3C690ECB"/>
    <w:rsid w:val="3C7602B2"/>
    <w:rsid w:val="3C960BC8"/>
    <w:rsid w:val="3CA509D1"/>
    <w:rsid w:val="3CD93879"/>
    <w:rsid w:val="3D2571D3"/>
    <w:rsid w:val="3D7A2818"/>
    <w:rsid w:val="3D8106EA"/>
    <w:rsid w:val="3D834DF8"/>
    <w:rsid w:val="3DA352B1"/>
    <w:rsid w:val="3DC379DF"/>
    <w:rsid w:val="3E100FFC"/>
    <w:rsid w:val="3E201534"/>
    <w:rsid w:val="3E651EE9"/>
    <w:rsid w:val="3E6A5300"/>
    <w:rsid w:val="3E80077E"/>
    <w:rsid w:val="3F3C595E"/>
    <w:rsid w:val="3F59346C"/>
    <w:rsid w:val="3F657308"/>
    <w:rsid w:val="3F7856B5"/>
    <w:rsid w:val="3F8003ED"/>
    <w:rsid w:val="3FD0326B"/>
    <w:rsid w:val="3FD34D1A"/>
    <w:rsid w:val="40031733"/>
    <w:rsid w:val="40076D3D"/>
    <w:rsid w:val="401F65F0"/>
    <w:rsid w:val="404C2292"/>
    <w:rsid w:val="405D572D"/>
    <w:rsid w:val="405D77A8"/>
    <w:rsid w:val="408D1EA0"/>
    <w:rsid w:val="409D2A1A"/>
    <w:rsid w:val="40B21FB5"/>
    <w:rsid w:val="40C17F9E"/>
    <w:rsid w:val="411D1840"/>
    <w:rsid w:val="415978C8"/>
    <w:rsid w:val="415C1B4D"/>
    <w:rsid w:val="417843F2"/>
    <w:rsid w:val="418A1799"/>
    <w:rsid w:val="41A36519"/>
    <w:rsid w:val="41A61C3F"/>
    <w:rsid w:val="41B17185"/>
    <w:rsid w:val="41F05895"/>
    <w:rsid w:val="4226611D"/>
    <w:rsid w:val="425402BB"/>
    <w:rsid w:val="42564ADA"/>
    <w:rsid w:val="4282183D"/>
    <w:rsid w:val="42E13569"/>
    <w:rsid w:val="42FA6BD0"/>
    <w:rsid w:val="42FB4E01"/>
    <w:rsid w:val="4301585B"/>
    <w:rsid w:val="430F4855"/>
    <w:rsid w:val="431B31A4"/>
    <w:rsid w:val="4332563B"/>
    <w:rsid w:val="43412297"/>
    <w:rsid w:val="43413ED4"/>
    <w:rsid w:val="43594499"/>
    <w:rsid w:val="43636C3F"/>
    <w:rsid w:val="438073DF"/>
    <w:rsid w:val="439D6340"/>
    <w:rsid w:val="43FD7280"/>
    <w:rsid w:val="441C5686"/>
    <w:rsid w:val="442C59F4"/>
    <w:rsid w:val="443F432A"/>
    <w:rsid w:val="44477A7A"/>
    <w:rsid w:val="44CE1271"/>
    <w:rsid w:val="44DC0CFE"/>
    <w:rsid w:val="44DC4FCA"/>
    <w:rsid w:val="454276A8"/>
    <w:rsid w:val="45465AD9"/>
    <w:rsid w:val="45A31600"/>
    <w:rsid w:val="45EF5694"/>
    <w:rsid w:val="45F32D75"/>
    <w:rsid w:val="45FE4441"/>
    <w:rsid w:val="463A35BA"/>
    <w:rsid w:val="46A86AC5"/>
    <w:rsid w:val="46AF0ACC"/>
    <w:rsid w:val="46CD2EA3"/>
    <w:rsid w:val="46E128B0"/>
    <w:rsid w:val="46E77401"/>
    <w:rsid w:val="470054AE"/>
    <w:rsid w:val="471B210D"/>
    <w:rsid w:val="47330BB1"/>
    <w:rsid w:val="474340E1"/>
    <w:rsid w:val="4754737E"/>
    <w:rsid w:val="47550B15"/>
    <w:rsid w:val="476E5DEA"/>
    <w:rsid w:val="47803598"/>
    <w:rsid w:val="47914A33"/>
    <w:rsid w:val="479B0044"/>
    <w:rsid w:val="479C10BC"/>
    <w:rsid w:val="47A1790E"/>
    <w:rsid w:val="47A4380D"/>
    <w:rsid w:val="47A6297A"/>
    <w:rsid w:val="47B35BF8"/>
    <w:rsid w:val="47C041C7"/>
    <w:rsid w:val="47CD1E0C"/>
    <w:rsid w:val="48012A31"/>
    <w:rsid w:val="481D4366"/>
    <w:rsid w:val="485803F1"/>
    <w:rsid w:val="486942C4"/>
    <w:rsid w:val="48B05292"/>
    <w:rsid w:val="48B971DC"/>
    <w:rsid w:val="48F556EA"/>
    <w:rsid w:val="49276380"/>
    <w:rsid w:val="494B0B0D"/>
    <w:rsid w:val="49820EB7"/>
    <w:rsid w:val="499416E9"/>
    <w:rsid w:val="49A63EAD"/>
    <w:rsid w:val="49FD2EE4"/>
    <w:rsid w:val="4A0B4FDE"/>
    <w:rsid w:val="4A497D35"/>
    <w:rsid w:val="4A8B4AB2"/>
    <w:rsid w:val="4AD9595B"/>
    <w:rsid w:val="4B311212"/>
    <w:rsid w:val="4B625BF7"/>
    <w:rsid w:val="4B627B2C"/>
    <w:rsid w:val="4BB54107"/>
    <w:rsid w:val="4BB67EEE"/>
    <w:rsid w:val="4BDC5109"/>
    <w:rsid w:val="4BE66F2B"/>
    <w:rsid w:val="4BE84FA7"/>
    <w:rsid w:val="4BF70C92"/>
    <w:rsid w:val="4BFD0513"/>
    <w:rsid w:val="4C005E77"/>
    <w:rsid w:val="4C2B76C1"/>
    <w:rsid w:val="4C5429A3"/>
    <w:rsid w:val="4C645A11"/>
    <w:rsid w:val="4C87254B"/>
    <w:rsid w:val="4D1C2C8C"/>
    <w:rsid w:val="4D1E77BE"/>
    <w:rsid w:val="4D245FC5"/>
    <w:rsid w:val="4D2B3B2C"/>
    <w:rsid w:val="4DA943B0"/>
    <w:rsid w:val="4DD64458"/>
    <w:rsid w:val="4E135BFA"/>
    <w:rsid w:val="4E355E12"/>
    <w:rsid w:val="4E9B1112"/>
    <w:rsid w:val="4EA06365"/>
    <w:rsid w:val="4EA543C1"/>
    <w:rsid w:val="4EB9346B"/>
    <w:rsid w:val="4ED4046B"/>
    <w:rsid w:val="4EDF4B15"/>
    <w:rsid w:val="4EF43B16"/>
    <w:rsid w:val="4F056254"/>
    <w:rsid w:val="4F3153D3"/>
    <w:rsid w:val="4F5D6E41"/>
    <w:rsid w:val="4F804E7C"/>
    <w:rsid w:val="4F944D8F"/>
    <w:rsid w:val="4FED0FB9"/>
    <w:rsid w:val="5062349D"/>
    <w:rsid w:val="508C165C"/>
    <w:rsid w:val="509442FA"/>
    <w:rsid w:val="50A97681"/>
    <w:rsid w:val="50AE3B94"/>
    <w:rsid w:val="50E93575"/>
    <w:rsid w:val="50F04D4E"/>
    <w:rsid w:val="50F57385"/>
    <w:rsid w:val="50F6016F"/>
    <w:rsid w:val="51151213"/>
    <w:rsid w:val="513F5114"/>
    <w:rsid w:val="515E6A1B"/>
    <w:rsid w:val="516B705C"/>
    <w:rsid w:val="5177537A"/>
    <w:rsid w:val="51A1217B"/>
    <w:rsid w:val="51A21F7C"/>
    <w:rsid w:val="51BC2004"/>
    <w:rsid w:val="51CB74F6"/>
    <w:rsid w:val="51D13948"/>
    <w:rsid w:val="51EB5979"/>
    <w:rsid w:val="520A6021"/>
    <w:rsid w:val="521A0101"/>
    <w:rsid w:val="522A4027"/>
    <w:rsid w:val="522D1CB6"/>
    <w:rsid w:val="52660A26"/>
    <w:rsid w:val="52717995"/>
    <w:rsid w:val="527D7BA3"/>
    <w:rsid w:val="52990759"/>
    <w:rsid w:val="52B87033"/>
    <w:rsid w:val="531B72EC"/>
    <w:rsid w:val="531E35FC"/>
    <w:rsid w:val="532C2C22"/>
    <w:rsid w:val="533E6E17"/>
    <w:rsid w:val="5343182D"/>
    <w:rsid w:val="536C4A63"/>
    <w:rsid w:val="53A201DA"/>
    <w:rsid w:val="53AA0626"/>
    <w:rsid w:val="53B22D34"/>
    <w:rsid w:val="53B473EB"/>
    <w:rsid w:val="540540F5"/>
    <w:rsid w:val="542913B3"/>
    <w:rsid w:val="543F18BA"/>
    <w:rsid w:val="54784F72"/>
    <w:rsid w:val="54883400"/>
    <w:rsid w:val="548A2773"/>
    <w:rsid w:val="550E49C6"/>
    <w:rsid w:val="55305789"/>
    <w:rsid w:val="55A47D96"/>
    <w:rsid w:val="55DA287E"/>
    <w:rsid w:val="56073162"/>
    <w:rsid w:val="563D619D"/>
    <w:rsid w:val="56537C47"/>
    <w:rsid w:val="56736230"/>
    <w:rsid w:val="56A010C0"/>
    <w:rsid w:val="56DD2471"/>
    <w:rsid w:val="57210A6D"/>
    <w:rsid w:val="57543081"/>
    <w:rsid w:val="578457FD"/>
    <w:rsid w:val="57C83C57"/>
    <w:rsid w:val="58197377"/>
    <w:rsid w:val="582028C2"/>
    <w:rsid w:val="582908A2"/>
    <w:rsid w:val="583D07DD"/>
    <w:rsid w:val="585F1862"/>
    <w:rsid w:val="58620D26"/>
    <w:rsid w:val="58706FB1"/>
    <w:rsid w:val="58734972"/>
    <w:rsid w:val="587C5983"/>
    <w:rsid w:val="591C580B"/>
    <w:rsid w:val="5926497A"/>
    <w:rsid w:val="59A11353"/>
    <w:rsid w:val="5A0336C4"/>
    <w:rsid w:val="5A0C3C6C"/>
    <w:rsid w:val="5A70211C"/>
    <w:rsid w:val="5AAB2A29"/>
    <w:rsid w:val="5AAC7307"/>
    <w:rsid w:val="5ABF4DAD"/>
    <w:rsid w:val="5AD07CB2"/>
    <w:rsid w:val="5AEF1DC1"/>
    <w:rsid w:val="5B4B2EB1"/>
    <w:rsid w:val="5B570332"/>
    <w:rsid w:val="5B5F0395"/>
    <w:rsid w:val="5B6300A3"/>
    <w:rsid w:val="5B6C0ED6"/>
    <w:rsid w:val="5B790B4E"/>
    <w:rsid w:val="5B7A2400"/>
    <w:rsid w:val="5BD32897"/>
    <w:rsid w:val="5BE63491"/>
    <w:rsid w:val="5C295CCC"/>
    <w:rsid w:val="5C872DAA"/>
    <w:rsid w:val="5C974816"/>
    <w:rsid w:val="5CA2016F"/>
    <w:rsid w:val="5CA97228"/>
    <w:rsid w:val="5CBA57BD"/>
    <w:rsid w:val="5CEE7B85"/>
    <w:rsid w:val="5CF73D69"/>
    <w:rsid w:val="5D4700C2"/>
    <w:rsid w:val="5D6C4615"/>
    <w:rsid w:val="5D7C5A81"/>
    <w:rsid w:val="5DB41249"/>
    <w:rsid w:val="5DD31E8F"/>
    <w:rsid w:val="5DDF2196"/>
    <w:rsid w:val="5E0302EC"/>
    <w:rsid w:val="5E1672C2"/>
    <w:rsid w:val="5E1B6033"/>
    <w:rsid w:val="5E2612F9"/>
    <w:rsid w:val="5E534129"/>
    <w:rsid w:val="5E6E3C24"/>
    <w:rsid w:val="5E7255BD"/>
    <w:rsid w:val="5E8F4BEE"/>
    <w:rsid w:val="5EBF2E6D"/>
    <w:rsid w:val="5EEC1AA3"/>
    <w:rsid w:val="5EF83794"/>
    <w:rsid w:val="5F475677"/>
    <w:rsid w:val="5F567498"/>
    <w:rsid w:val="5F8420E2"/>
    <w:rsid w:val="5F887220"/>
    <w:rsid w:val="5FB81E56"/>
    <w:rsid w:val="5FD85FDC"/>
    <w:rsid w:val="5FEC00EE"/>
    <w:rsid w:val="600951D4"/>
    <w:rsid w:val="601A25EF"/>
    <w:rsid w:val="60250EC1"/>
    <w:rsid w:val="6044067F"/>
    <w:rsid w:val="604D6924"/>
    <w:rsid w:val="60793AF7"/>
    <w:rsid w:val="6099592B"/>
    <w:rsid w:val="60A13AB9"/>
    <w:rsid w:val="60A7744C"/>
    <w:rsid w:val="60CF04AB"/>
    <w:rsid w:val="60DB5486"/>
    <w:rsid w:val="60E82C1A"/>
    <w:rsid w:val="60EC0541"/>
    <w:rsid w:val="60FD245E"/>
    <w:rsid w:val="61251167"/>
    <w:rsid w:val="617E33D9"/>
    <w:rsid w:val="61CC512E"/>
    <w:rsid w:val="61D07F3C"/>
    <w:rsid w:val="61EA093B"/>
    <w:rsid w:val="6202214B"/>
    <w:rsid w:val="62117D72"/>
    <w:rsid w:val="62210A89"/>
    <w:rsid w:val="62213EF3"/>
    <w:rsid w:val="62285DB7"/>
    <w:rsid w:val="625B40B3"/>
    <w:rsid w:val="62923991"/>
    <w:rsid w:val="62F26EC0"/>
    <w:rsid w:val="630C195A"/>
    <w:rsid w:val="632A3D0D"/>
    <w:rsid w:val="633443AB"/>
    <w:rsid w:val="636948B1"/>
    <w:rsid w:val="638857E1"/>
    <w:rsid w:val="63C85688"/>
    <w:rsid w:val="63CD5666"/>
    <w:rsid w:val="63D01EF3"/>
    <w:rsid w:val="63D2038C"/>
    <w:rsid w:val="63F66CE6"/>
    <w:rsid w:val="640E7E19"/>
    <w:rsid w:val="646F2BEC"/>
    <w:rsid w:val="647527CB"/>
    <w:rsid w:val="648A0F84"/>
    <w:rsid w:val="648E4974"/>
    <w:rsid w:val="649E65A7"/>
    <w:rsid w:val="64A67C4F"/>
    <w:rsid w:val="64B70C4D"/>
    <w:rsid w:val="64D14920"/>
    <w:rsid w:val="64EA382F"/>
    <w:rsid w:val="64ED3306"/>
    <w:rsid w:val="650923F2"/>
    <w:rsid w:val="6511603A"/>
    <w:rsid w:val="65434194"/>
    <w:rsid w:val="65477730"/>
    <w:rsid w:val="655B190C"/>
    <w:rsid w:val="656A4332"/>
    <w:rsid w:val="65733372"/>
    <w:rsid w:val="657845AE"/>
    <w:rsid w:val="65991D3E"/>
    <w:rsid w:val="65B74A52"/>
    <w:rsid w:val="65BD55BD"/>
    <w:rsid w:val="6602655A"/>
    <w:rsid w:val="66037BA1"/>
    <w:rsid w:val="66043467"/>
    <w:rsid w:val="660D45C7"/>
    <w:rsid w:val="66132B07"/>
    <w:rsid w:val="66280ABB"/>
    <w:rsid w:val="6668032B"/>
    <w:rsid w:val="667C4290"/>
    <w:rsid w:val="66A726A9"/>
    <w:rsid w:val="66C141A2"/>
    <w:rsid w:val="66C95898"/>
    <w:rsid w:val="66F8201A"/>
    <w:rsid w:val="671C5A04"/>
    <w:rsid w:val="67543A5A"/>
    <w:rsid w:val="676777C3"/>
    <w:rsid w:val="677D4B8A"/>
    <w:rsid w:val="67802ACE"/>
    <w:rsid w:val="67804B33"/>
    <w:rsid w:val="67C40A09"/>
    <w:rsid w:val="67D020A7"/>
    <w:rsid w:val="68086694"/>
    <w:rsid w:val="685C5B46"/>
    <w:rsid w:val="688C0656"/>
    <w:rsid w:val="68AE1735"/>
    <w:rsid w:val="68D60630"/>
    <w:rsid w:val="68EB1A6E"/>
    <w:rsid w:val="697E7396"/>
    <w:rsid w:val="69A009FE"/>
    <w:rsid w:val="69F66247"/>
    <w:rsid w:val="69F86AAF"/>
    <w:rsid w:val="6A015CCA"/>
    <w:rsid w:val="6A1F6154"/>
    <w:rsid w:val="6A2746CC"/>
    <w:rsid w:val="6A5517EC"/>
    <w:rsid w:val="6A694BA1"/>
    <w:rsid w:val="6ABC3292"/>
    <w:rsid w:val="6AD34458"/>
    <w:rsid w:val="6ADF25FC"/>
    <w:rsid w:val="6B020CD0"/>
    <w:rsid w:val="6B1148AC"/>
    <w:rsid w:val="6B4A5562"/>
    <w:rsid w:val="6B565807"/>
    <w:rsid w:val="6B7A369F"/>
    <w:rsid w:val="6B8B58D8"/>
    <w:rsid w:val="6BAC2823"/>
    <w:rsid w:val="6BBD5024"/>
    <w:rsid w:val="6BE4060A"/>
    <w:rsid w:val="6BF37DF1"/>
    <w:rsid w:val="6C630CE9"/>
    <w:rsid w:val="6CB415DC"/>
    <w:rsid w:val="6CEC0F34"/>
    <w:rsid w:val="6CF73CA4"/>
    <w:rsid w:val="6D005FF7"/>
    <w:rsid w:val="6D05105B"/>
    <w:rsid w:val="6D207FCD"/>
    <w:rsid w:val="6D2B5B01"/>
    <w:rsid w:val="6D381497"/>
    <w:rsid w:val="6D6A2DB3"/>
    <w:rsid w:val="6D6A69AA"/>
    <w:rsid w:val="6D79127B"/>
    <w:rsid w:val="6D9667FC"/>
    <w:rsid w:val="6DD119E4"/>
    <w:rsid w:val="6E01482E"/>
    <w:rsid w:val="6E403BCF"/>
    <w:rsid w:val="6E424CF7"/>
    <w:rsid w:val="6E7D3E3B"/>
    <w:rsid w:val="6E825C43"/>
    <w:rsid w:val="6E96703D"/>
    <w:rsid w:val="6E984122"/>
    <w:rsid w:val="6EC4761A"/>
    <w:rsid w:val="6ED26905"/>
    <w:rsid w:val="6EE20566"/>
    <w:rsid w:val="6EF513F6"/>
    <w:rsid w:val="6EFA4AD0"/>
    <w:rsid w:val="6EFD67BB"/>
    <w:rsid w:val="6F1F0771"/>
    <w:rsid w:val="6F3669E2"/>
    <w:rsid w:val="6F3A0437"/>
    <w:rsid w:val="6F452492"/>
    <w:rsid w:val="6F4E1ABB"/>
    <w:rsid w:val="6F65489B"/>
    <w:rsid w:val="6F9E4E98"/>
    <w:rsid w:val="6FC169C6"/>
    <w:rsid w:val="700148B1"/>
    <w:rsid w:val="70262445"/>
    <w:rsid w:val="704D5532"/>
    <w:rsid w:val="709304FC"/>
    <w:rsid w:val="70BA4068"/>
    <w:rsid w:val="70F36F46"/>
    <w:rsid w:val="71231B23"/>
    <w:rsid w:val="718621EE"/>
    <w:rsid w:val="71894FD2"/>
    <w:rsid w:val="71A3311F"/>
    <w:rsid w:val="71DC5D88"/>
    <w:rsid w:val="72005730"/>
    <w:rsid w:val="72386C6E"/>
    <w:rsid w:val="723A3057"/>
    <w:rsid w:val="72400885"/>
    <w:rsid w:val="725273EA"/>
    <w:rsid w:val="725B1897"/>
    <w:rsid w:val="72603689"/>
    <w:rsid w:val="726C47BC"/>
    <w:rsid w:val="72AC13BE"/>
    <w:rsid w:val="72CD2240"/>
    <w:rsid w:val="72DD1695"/>
    <w:rsid w:val="72E77D17"/>
    <w:rsid w:val="72EC4E12"/>
    <w:rsid w:val="72FB146F"/>
    <w:rsid w:val="733F7A24"/>
    <w:rsid w:val="735C44F0"/>
    <w:rsid w:val="736A01CD"/>
    <w:rsid w:val="73741988"/>
    <w:rsid w:val="73814929"/>
    <w:rsid w:val="7393399F"/>
    <w:rsid w:val="73984022"/>
    <w:rsid w:val="73E2421D"/>
    <w:rsid w:val="74000D97"/>
    <w:rsid w:val="746A6AAD"/>
    <w:rsid w:val="747A4FBC"/>
    <w:rsid w:val="74A86047"/>
    <w:rsid w:val="74D94903"/>
    <w:rsid w:val="74DC7834"/>
    <w:rsid w:val="74E271F1"/>
    <w:rsid w:val="7551327B"/>
    <w:rsid w:val="755F782E"/>
    <w:rsid w:val="75A16A9F"/>
    <w:rsid w:val="75C15A63"/>
    <w:rsid w:val="75E27D49"/>
    <w:rsid w:val="761867BE"/>
    <w:rsid w:val="76365AD0"/>
    <w:rsid w:val="765D57EA"/>
    <w:rsid w:val="7688585F"/>
    <w:rsid w:val="76F54CF0"/>
    <w:rsid w:val="76FD5906"/>
    <w:rsid w:val="770B684E"/>
    <w:rsid w:val="77204CB1"/>
    <w:rsid w:val="77386F8F"/>
    <w:rsid w:val="77A14CDE"/>
    <w:rsid w:val="77AA2F7D"/>
    <w:rsid w:val="77B455FF"/>
    <w:rsid w:val="782B4A23"/>
    <w:rsid w:val="78302F8F"/>
    <w:rsid w:val="78510397"/>
    <w:rsid w:val="78754CBA"/>
    <w:rsid w:val="788B7EFC"/>
    <w:rsid w:val="78CB3FEB"/>
    <w:rsid w:val="78E14C99"/>
    <w:rsid w:val="793917C4"/>
    <w:rsid w:val="793B5CE2"/>
    <w:rsid w:val="797B3C8A"/>
    <w:rsid w:val="797F45FC"/>
    <w:rsid w:val="79DB75C0"/>
    <w:rsid w:val="79E37881"/>
    <w:rsid w:val="79EA2E0E"/>
    <w:rsid w:val="79ED08FA"/>
    <w:rsid w:val="7A067AFA"/>
    <w:rsid w:val="7A0C585A"/>
    <w:rsid w:val="7A2C7450"/>
    <w:rsid w:val="7A326B5A"/>
    <w:rsid w:val="7A616D0A"/>
    <w:rsid w:val="7A754101"/>
    <w:rsid w:val="7A7F2C76"/>
    <w:rsid w:val="7AAC462A"/>
    <w:rsid w:val="7AF84FA0"/>
    <w:rsid w:val="7AF909C6"/>
    <w:rsid w:val="7B732126"/>
    <w:rsid w:val="7B755C15"/>
    <w:rsid w:val="7B8E1216"/>
    <w:rsid w:val="7B9A1345"/>
    <w:rsid w:val="7BCA6C86"/>
    <w:rsid w:val="7C044DA1"/>
    <w:rsid w:val="7C12052C"/>
    <w:rsid w:val="7C5F2E1A"/>
    <w:rsid w:val="7CA33449"/>
    <w:rsid w:val="7CEC614F"/>
    <w:rsid w:val="7D0A0BA4"/>
    <w:rsid w:val="7D4253C7"/>
    <w:rsid w:val="7D8E577D"/>
    <w:rsid w:val="7D9A426A"/>
    <w:rsid w:val="7DAA4B7F"/>
    <w:rsid w:val="7E1533B3"/>
    <w:rsid w:val="7E333E03"/>
    <w:rsid w:val="7E391FE6"/>
    <w:rsid w:val="7E916762"/>
    <w:rsid w:val="7EA916FD"/>
    <w:rsid w:val="7EB7132F"/>
    <w:rsid w:val="7EE53C64"/>
    <w:rsid w:val="7F0A6C8D"/>
    <w:rsid w:val="7F541580"/>
    <w:rsid w:val="7F667225"/>
    <w:rsid w:val="7FAA1C29"/>
    <w:rsid w:val="7FAC4830"/>
    <w:rsid w:val="7FD40C26"/>
    <w:rsid w:val="7FEF65CD"/>
    <w:rsid w:val="7FF337B8"/>
    <w:rsid w:val="7FF61AD5"/>
    <w:rsid w:val="7FFC1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23843</Words>
  <Characters>25993</Characters>
  <Lines>0</Lines>
  <Paragraphs>0</Paragraphs>
  <TotalTime>57</TotalTime>
  <ScaleCrop>false</ScaleCrop>
  <LinksUpToDate>false</LinksUpToDate>
  <CharactersWithSpaces>27551</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陶宇</cp:lastModifiedBy>
  <cp:lastPrinted>2019-07-31T03:15:00Z</cp:lastPrinted>
  <dcterms:modified xsi:type="dcterms:W3CDTF">2019-10-15T09:43:33Z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