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wordWrap w:val="0"/>
        <w:spacing w:afterLines="150" w:line="560" w:lineRule="exact"/>
        <w:jc w:val="center"/>
        <w:outlineLvl w:val="0"/>
        <w:rPr>
          <w:rFonts w:ascii="方正小标宋简体" w:hAnsi="黑体" w:eastAsia="方正小标宋简体"/>
          <w:kern w:val="0"/>
          <w:sz w:val="44"/>
          <w:szCs w:val="44"/>
        </w:rPr>
      </w:pPr>
      <w:r>
        <w:rPr>
          <w:rFonts w:ascii="方正小标宋简体" w:hAnsi="黑体" w:eastAsia="方正小标宋简体"/>
          <w:kern w:val="0"/>
          <w:sz w:val="44"/>
          <w:szCs w:val="44"/>
        </w:rPr>
        <w:t xml:space="preserve"> </w:t>
      </w:r>
      <w:r>
        <w:rPr>
          <w:rFonts w:hint="eastAsia" w:ascii="方正小标宋简体" w:hAnsi="黑体" w:eastAsia="方正小标宋简体"/>
          <w:kern w:val="0"/>
          <w:sz w:val="44"/>
          <w:szCs w:val="44"/>
        </w:rPr>
        <w:t>亳州公路客运高铁枢纽站弱电智能化</w:t>
      </w:r>
    </w:p>
    <w:p>
      <w:pPr>
        <w:widowControl/>
        <w:shd w:val="clear" w:color="auto" w:fill="FFFFFF"/>
        <w:wordWrap w:val="0"/>
        <w:spacing w:afterLines="150" w:line="560" w:lineRule="exact"/>
        <w:jc w:val="center"/>
        <w:outlineLvl w:val="0"/>
        <w:rPr>
          <w:rFonts w:ascii="方正小标宋简体" w:hAnsi="黑体" w:eastAsia="方正小标宋简体"/>
          <w:kern w:val="0"/>
          <w:sz w:val="44"/>
          <w:szCs w:val="44"/>
        </w:rPr>
      </w:pPr>
      <w:r>
        <w:rPr>
          <w:rFonts w:hint="eastAsia" w:ascii="方正小标宋简体" w:hAnsi="黑体" w:eastAsia="方正小标宋简体"/>
          <w:kern w:val="0"/>
          <w:sz w:val="44"/>
          <w:szCs w:val="44"/>
        </w:rPr>
        <w:t>采购项目</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w:t>
      </w:r>
      <w:r>
        <w:rPr>
          <w:rFonts w:ascii="方正小标宋简体" w:hAnsi="方正小标宋简体" w:eastAsia="方正小标宋简体" w:cs="方正小标宋简体"/>
          <w:sz w:val="32"/>
          <w:szCs w:val="32"/>
        </w:rPr>
        <w:t>BZJK-2019-054</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招标人：亳州交通投资控股集团有限公司</w:t>
      </w:r>
      <w:r>
        <w:rPr>
          <w:rFonts w:ascii="方正小标宋简体" w:hAnsi="方正小标宋简体" w:eastAsia="方正小标宋简体" w:cs="方正小标宋简体"/>
          <w:sz w:val="32"/>
          <w:szCs w:val="32"/>
        </w:rPr>
        <w:t xml:space="preserve">                    </w:t>
      </w:r>
    </w:p>
    <w:p>
      <w:pPr>
        <w:jc w:val="center"/>
        <w:rPr>
          <w:rFonts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t>2019</w:t>
      </w:r>
      <w:r>
        <w:rPr>
          <w:rFonts w:hint="eastAsia" w:ascii="方正小标宋简体" w:hAnsi="方正小标宋简体" w:eastAsia="方正小标宋简体" w:cs="方正小标宋简体"/>
          <w:sz w:val="32"/>
          <w:szCs w:val="32"/>
        </w:rPr>
        <w:t>年</w:t>
      </w:r>
      <w:r>
        <w:rPr>
          <w:rFonts w:ascii="方正小标宋简体" w:hAnsi="方正小标宋简体" w:eastAsia="方正小标宋简体" w:cs="方正小标宋简体"/>
          <w:sz w:val="32"/>
          <w:szCs w:val="32"/>
        </w:rPr>
        <w:t>8</w:t>
      </w:r>
      <w:r>
        <w:rPr>
          <w:rFonts w:hint="eastAsia" w:ascii="方正小标宋简体" w:hAnsi="方正小标宋简体" w:eastAsia="方正小标宋简体" w:cs="方正小标宋简体"/>
          <w:sz w:val="32"/>
          <w:szCs w:val="32"/>
        </w:rPr>
        <w:t>月</w:t>
      </w:r>
      <w:r>
        <w:rPr>
          <w:rFonts w:ascii="方正小标宋简体" w:hAnsi="方正小标宋简体" w:eastAsia="方正小标宋简体" w:cs="方正小标宋简体"/>
          <w:sz w:val="32"/>
          <w:szCs w:val="32"/>
        </w:rPr>
        <w:t>2</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spacing w:line="560" w:lineRule="exact"/>
      </w:pPr>
    </w:p>
    <w:p>
      <w:pPr>
        <w:pStyle w:val="3"/>
        <w:spacing w:line="560" w:lineRule="exact"/>
        <w:jc w:val="center"/>
      </w:pPr>
      <w:r>
        <w:rPr>
          <w:rFonts w:hint="eastAsia"/>
        </w:rPr>
        <w:t>目</w:t>
      </w:r>
      <w:r>
        <w:t xml:space="preserve">   </w:t>
      </w:r>
      <w:r>
        <w:rPr>
          <w:rFonts w:hint="eastAsia"/>
        </w:rPr>
        <w:t>录</w:t>
      </w:r>
    </w:p>
    <w:p>
      <w:pPr>
        <w:spacing w:line="560" w:lineRule="exact"/>
        <w:ind w:firstLine="560" w:firstLineChars="200"/>
        <w:rPr>
          <w:rFonts w:ascii="黑体" w:hAnsi="黑体" w:eastAsia="黑体" w:cs="黑体"/>
          <w:sz w:val="28"/>
          <w:szCs w:val="28"/>
        </w:rPr>
      </w:pPr>
      <w:r>
        <w:rPr>
          <w:rFonts w:hint="eastAsia" w:ascii="黑体" w:hAnsi="黑体" w:eastAsia="黑体" w:cs="黑体"/>
          <w:sz w:val="28"/>
          <w:szCs w:val="28"/>
        </w:rPr>
        <w:t>第一章</w:t>
      </w:r>
      <w:r>
        <w:rPr>
          <w:rFonts w:ascii="黑体" w:hAnsi="黑体" w:eastAsia="黑体" w:cs="黑体"/>
          <w:sz w:val="28"/>
          <w:szCs w:val="28"/>
        </w:rPr>
        <w:tab/>
      </w:r>
      <w:r>
        <w:rPr>
          <w:rFonts w:hint="eastAsia" w:ascii="黑体" w:hAnsi="黑体" w:eastAsia="黑体" w:cs="黑体"/>
          <w:sz w:val="28"/>
          <w:szCs w:val="28"/>
        </w:rPr>
        <w:t>招标公告</w:t>
      </w:r>
    </w:p>
    <w:p>
      <w:pPr>
        <w:spacing w:line="560" w:lineRule="exact"/>
        <w:ind w:firstLine="565" w:firstLineChars="202"/>
        <w:rPr>
          <w:rFonts w:ascii="黑体" w:hAnsi="黑体" w:eastAsia="黑体" w:cs="黑体"/>
          <w:sz w:val="28"/>
          <w:szCs w:val="28"/>
        </w:rPr>
      </w:pPr>
      <w:r>
        <w:rPr>
          <w:rFonts w:hint="eastAsia" w:ascii="黑体" w:hAnsi="黑体" w:eastAsia="黑体" w:cs="黑体"/>
          <w:sz w:val="28"/>
          <w:szCs w:val="28"/>
        </w:rPr>
        <w:t>第二章</w:t>
      </w:r>
      <w:r>
        <w:rPr>
          <w:rFonts w:ascii="黑体" w:hAnsi="黑体" w:eastAsia="黑体" w:cs="黑体"/>
          <w:sz w:val="28"/>
          <w:szCs w:val="28"/>
        </w:rPr>
        <w:tab/>
      </w:r>
      <w:r>
        <w:rPr>
          <w:rFonts w:hint="eastAsia" w:ascii="黑体" w:hAnsi="黑体" w:eastAsia="黑体" w:cs="黑体"/>
          <w:sz w:val="28"/>
          <w:szCs w:val="28"/>
        </w:rPr>
        <w:t>投标人须知</w:t>
      </w:r>
    </w:p>
    <w:p>
      <w:pPr>
        <w:spacing w:line="560" w:lineRule="exact"/>
        <w:ind w:firstLine="565" w:firstLineChars="202"/>
        <w:rPr>
          <w:rFonts w:ascii="黑体" w:hAnsi="黑体" w:eastAsia="黑体" w:cs="黑体"/>
          <w:sz w:val="28"/>
          <w:szCs w:val="28"/>
        </w:rPr>
      </w:pPr>
      <w:r>
        <w:rPr>
          <w:rFonts w:hint="eastAsia" w:ascii="黑体" w:hAnsi="黑体" w:eastAsia="黑体" w:cs="黑体"/>
          <w:sz w:val="28"/>
          <w:szCs w:val="28"/>
        </w:rPr>
        <w:t>第三章</w:t>
      </w:r>
      <w:r>
        <w:rPr>
          <w:rFonts w:ascii="黑体" w:hAnsi="黑体" w:eastAsia="黑体" w:cs="黑体"/>
          <w:sz w:val="28"/>
          <w:szCs w:val="28"/>
        </w:rPr>
        <w:tab/>
      </w:r>
      <w:r>
        <w:rPr>
          <w:rFonts w:hint="eastAsia" w:ascii="黑体" w:hAnsi="黑体" w:eastAsia="黑体" w:cs="黑体"/>
          <w:sz w:val="28"/>
          <w:szCs w:val="28"/>
        </w:rPr>
        <w:t>评标办法</w:t>
      </w:r>
    </w:p>
    <w:p>
      <w:pPr>
        <w:spacing w:line="560" w:lineRule="exact"/>
        <w:ind w:firstLine="565" w:firstLineChars="202"/>
        <w:rPr>
          <w:rFonts w:ascii="黑体" w:hAnsi="黑体" w:eastAsia="黑体" w:cs="黑体"/>
          <w:sz w:val="28"/>
          <w:szCs w:val="28"/>
        </w:rPr>
      </w:pPr>
      <w:r>
        <w:rPr>
          <w:rFonts w:hint="eastAsia" w:ascii="黑体" w:hAnsi="黑体" w:eastAsia="黑体" w:cs="黑体"/>
          <w:sz w:val="28"/>
          <w:szCs w:val="28"/>
        </w:rPr>
        <w:t>第四章</w:t>
      </w:r>
      <w:r>
        <w:rPr>
          <w:rFonts w:ascii="黑体" w:hAnsi="黑体" w:eastAsia="黑体" w:cs="黑体"/>
          <w:sz w:val="28"/>
          <w:szCs w:val="28"/>
        </w:rPr>
        <w:tab/>
      </w:r>
      <w:r>
        <w:rPr>
          <w:rFonts w:hint="eastAsia" w:ascii="黑体" w:hAnsi="黑体" w:eastAsia="黑体" w:cs="黑体"/>
          <w:sz w:val="28"/>
          <w:szCs w:val="28"/>
        </w:rPr>
        <w:t>合同条款及格式</w:t>
      </w:r>
    </w:p>
    <w:p>
      <w:pPr>
        <w:spacing w:line="560" w:lineRule="exact"/>
        <w:ind w:firstLine="565" w:firstLineChars="202"/>
        <w:rPr>
          <w:rFonts w:ascii="黑体" w:hAnsi="黑体" w:eastAsia="黑体" w:cs="黑体"/>
          <w:sz w:val="28"/>
          <w:szCs w:val="28"/>
        </w:rPr>
      </w:pPr>
      <w:r>
        <w:rPr>
          <w:rFonts w:hint="eastAsia" w:ascii="黑体" w:hAnsi="黑体" w:eastAsia="黑体" w:cs="黑体"/>
          <w:sz w:val="28"/>
          <w:szCs w:val="28"/>
        </w:rPr>
        <w:t>第五章</w:t>
      </w:r>
      <w:r>
        <w:rPr>
          <w:rFonts w:ascii="黑体" w:hAnsi="黑体" w:eastAsia="黑体" w:cs="黑体"/>
          <w:sz w:val="28"/>
          <w:szCs w:val="28"/>
        </w:rPr>
        <w:t xml:space="preserve">  </w:t>
      </w:r>
      <w:r>
        <w:rPr>
          <w:rFonts w:hint="eastAsia" w:ascii="黑体" w:hAnsi="黑体" w:eastAsia="黑体" w:cs="黑体"/>
          <w:sz w:val="28"/>
          <w:szCs w:val="28"/>
        </w:rPr>
        <w:t>技术标准和要求</w:t>
      </w:r>
    </w:p>
    <w:p>
      <w:pPr>
        <w:spacing w:line="560" w:lineRule="exact"/>
        <w:ind w:firstLine="565" w:firstLineChars="202"/>
        <w:rPr>
          <w:rFonts w:ascii="黑体" w:hAnsi="黑体" w:eastAsia="黑体" w:cs="黑体"/>
          <w:sz w:val="28"/>
          <w:szCs w:val="28"/>
        </w:rPr>
      </w:pPr>
      <w:r>
        <w:rPr>
          <w:rFonts w:hint="eastAsia" w:ascii="黑体" w:hAnsi="黑体" w:eastAsia="黑体" w:cs="黑体"/>
          <w:sz w:val="28"/>
          <w:szCs w:val="28"/>
        </w:rPr>
        <w:t>第六章</w:t>
      </w:r>
      <w:r>
        <w:rPr>
          <w:rFonts w:ascii="黑体" w:hAnsi="黑体" w:eastAsia="黑体" w:cs="黑体"/>
          <w:sz w:val="28"/>
          <w:szCs w:val="28"/>
        </w:rPr>
        <w:t xml:space="preserve">  </w:t>
      </w:r>
      <w:r>
        <w:rPr>
          <w:rFonts w:hint="eastAsia" w:ascii="黑体" w:hAnsi="黑体" w:eastAsia="黑体" w:cs="黑体"/>
          <w:sz w:val="28"/>
          <w:szCs w:val="28"/>
        </w:rPr>
        <w:t>采购清单与图纸</w:t>
      </w:r>
    </w:p>
    <w:p>
      <w:pPr>
        <w:spacing w:line="560" w:lineRule="exact"/>
        <w:ind w:firstLine="565" w:firstLineChars="202"/>
        <w:rPr>
          <w:rFonts w:ascii="黑体" w:hAnsi="黑体" w:eastAsia="黑体" w:cs="黑体"/>
          <w:sz w:val="28"/>
          <w:szCs w:val="28"/>
        </w:rPr>
      </w:pPr>
      <w:r>
        <w:rPr>
          <w:rFonts w:hint="eastAsia" w:ascii="黑体" w:hAnsi="黑体" w:eastAsia="黑体" w:cs="黑体"/>
          <w:sz w:val="28"/>
          <w:szCs w:val="28"/>
        </w:rPr>
        <w:t>第七章</w:t>
      </w:r>
      <w:r>
        <w:rPr>
          <w:rFonts w:ascii="黑体" w:hAnsi="黑体" w:eastAsia="黑体" w:cs="黑体"/>
          <w:sz w:val="28"/>
          <w:szCs w:val="28"/>
        </w:rPr>
        <w:t xml:space="preserve">  </w:t>
      </w:r>
      <w:r>
        <w:rPr>
          <w:rFonts w:hint="eastAsia" w:ascii="黑体" w:hAnsi="黑体" w:eastAsia="黑体" w:cs="黑体"/>
          <w:sz w:val="28"/>
          <w:szCs w:val="28"/>
        </w:rPr>
        <w:t>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spacing w:line="540" w:lineRule="exact"/>
        <w:jc w:val="center"/>
        <w:rPr>
          <w:rFonts w:ascii="黑体" w:hAnsi="黑体" w:eastAsia="黑体" w:cs="黑体"/>
          <w:sz w:val="32"/>
          <w:szCs w:val="32"/>
        </w:rPr>
      </w:pPr>
      <w:r>
        <w:rPr>
          <w:rFonts w:hint="eastAsia" w:ascii="黑体" w:hAnsi="黑体" w:eastAsia="黑体" w:cs="黑体"/>
          <w:sz w:val="32"/>
          <w:szCs w:val="32"/>
        </w:rPr>
        <w:t>第一章</w:t>
      </w:r>
      <w:r>
        <w:rPr>
          <w:rFonts w:ascii="黑体" w:hAnsi="黑体" w:eastAsia="黑体" w:cs="黑体"/>
          <w:sz w:val="32"/>
          <w:szCs w:val="32"/>
        </w:rPr>
        <w:t xml:space="preserve">  </w:t>
      </w:r>
      <w:r>
        <w:rPr>
          <w:rFonts w:hint="eastAsia" w:ascii="黑体" w:hAnsi="黑体" w:eastAsia="黑体" w:cs="黑体"/>
          <w:sz w:val="32"/>
          <w:szCs w:val="32"/>
        </w:rPr>
        <w:t>亳州公路客运高铁枢纽站弱电智能化采购项目</w:t>
      </w:r>
      <w:r>
        <w:rPr>
          <w:rFonts w:ascii="黑体" w:hAnsi="黑体" w:eastAsia="黑体" w:cs="黑体"/>
          <w:sz w:val="32"/>
          <w:szCs w:val="32"/>
        </w:rPr>
        <w:t xml:space="preserve"> </w:t>
      </w:r>
    </w:p>
    <w:p>
      <w:pPr>
        <w:spacing w:line="540" w:lineRule="exact"/>
        <w:jc w:val="center"/>
        <w:rPr>
          <w:rFonts w:ascii="黑体" w:hAnsi="黑体" w:eastAsia="黑体" w:cs="黑体"/>
          <w:sz w:val="32"/>
          <w:szCs w:val="32"/>
        </w:rPr>
      </w:pPr>
      <w:r>
        <w:rPr>
          <w:rFonts w:hint="eastAsia" w:ascii="黑体" w:hAnsi="黑体" w:eastAsia="黑体" w:cs="黑体"/>
          <w:sz w:val="32"/>
          <w:szCs w:val="32"/>
        </w:rPr>
        <w:t>招标公告</w:t>
      </w: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ascii="仿宋_GB2312" w:hAnsi="仿宋_GB2312" w:eastAsia="仿宋_GB2312" w:cs="仿宋_GB2312"/>
          <w:sz w:val="32"/>
          <w:szCs w:val="32"/>
          <w:u w:val="single"/>
        </w:rPr>
        <w:t>BZJK-2019-054</w:t>
      </w:r>
      <w:r>
        <w:rPr>
          <w:rFonts w:hint="eastAsia" w:ascii="仿宋_GB2312" w:hAnsi="仿宋_GB2312" w:eastAsia="仿宋_GB2312" w:cs="仿宋_GB2312"/>
          <w:sz w:val="32"/>
          <w:szCs w:val="32"/>
          <w:u w:val="single"/>
        </w:rPr>
        <w:t>号</w:t>
      </w:r>
      <w:r>
        <w:rPr>
          <w:rFonts w:ascii="仿宋_GB2312" w:hAnsi="仿宋_GB2312" w:eastAsia="仿宋_GB2312" w:cs="仿宋_GB2312"/>
          <w:sz w:val="32"/>
          <w:szCs w:val="32"/>
        </w:rPr>
        <w:t xml:space="preserve">                              </w:t>
      </w:r>
    </w:p>
    <w:p>
      <w:pPr>
        <w:spacing w:line="540" w:lineRule="exact"/>
        <w:rPr>
          <w:rFonts w:ascii="黑体" w:hAnsi="黑体" w:eastAsia="黑体" w:cs="黑体"/>
          <w:sz w:val="32"/>
          <w:szCs w:val="32"/>
        </w:rPr>
      </w:pPr>
      <w:r>
        <w:rPr>
          <w:rFonts w:hint="eastAsia" w:ascii="黑体" w:hAnsi="黑体" w:eastAsia="黑体" w:cs="黑体"/>
          <w:sz w:val="32"/>
          <w:szCs w:val="32"/>
        </w:rPr>
        <w:t>一、招标条件</w:t>
      </w:r>
    </w:p>
    <w:p>
      <w:pPr>
        <w:spacing w:line="5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、项目名称</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亳州公路客运高铁枢纽站弱电智能化采购项目；</w:t>
      </w:r>
    </w:p>
    <w:p>
      <w:pPr>
        <w:spacing w:line="5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、招标人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亳州交通投资控股集团有限公司；</w:t>
      </w:r>
      <w:r>
        <w:rPr>
          <w:rFonts w:ascii="仿宋_GB2312" w:hAnsi="仿宋_GB2312" w:eastAsia="仿宋_GB2312" w:cs="仿宋_GB2312"/>
          <w:sz w:val="32"/>
          <w:szCs w:val="32"/>
        </w:rPr>
        <w:t xml:space="preserve">                     </w:t>
      </w:r>
    </w:p>
    <w:p>
      <w:pPr>
        <w:spacing w:line="5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、资金来源</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自筹；</w:t>
      </w:r>
      <w:r>
        <w:rPr>
          <w:rFonts w:ascii="仿宋_GB2312" w:hAnsi="仿宋_GB2312" w:eastAsia="仿宋_GB2312" w:cs="仿宋_GB2312"/>
          <w:sz w:val="32"/>
          <w:szCs w:val="32"/>
        </w:rPr>
        <w:t xml:space="preserve">                     </w:t>
      </w:r>
    </w:p>
    <w:p>
      <w:pPr>
        <w:spacing w:line="5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、招标方式：自主公开招标。</w:t>
      </w:r>
      <w:r>
        <w:rPr>
          <w:rFonts w:ascii="仿宋_GB2312" w:hAnsi="仿宋_GB2312" w:eastAsia="仿宋_GB2312" w:cs="仿宋_GB2312"/>
          <w:sz w:val="32"/>
          <w:szCs w:val="32"/>
        </w:rPr>
        <w:t xml:space="preserve">                     </w:t>
      </w:r>
    </w:p>
    <w:p>
      <w:pPr>
        <w:spacing w:line="540" w:lineRule="exact"/>
        <w:rPr>
          <w:rFonts w:ascii="黑体" w:hAnsi="黑体" w:eastAsia="黑体" w:cs="黑体"/>
          <w:sz w:val="32"/>
          <w:szCs w:val="32"/>
        </w:rPr>
      </w:pPr>
      <w:r>
        <w:rPr>
          <w:rFonts w:hint="eastAsia" w:ascii="黑体" w:hAnsi="黑体" w:eastAsia="黑体" w:cs="黑体"/>
          <w:sz w:val="32"/>
          <w:szCs w:val="32"/>
        </w:rPr>
        <w:t>二、项目概况及招标范围</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、工程实施地点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亳州市高新区，神农大道以西，银杏路以南，酒城大道以北。</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、项目概况：亳州公路客运高铁枢纽站项目占地</w:t>
      </w:r>
      <w:r>
        <w:rPr>
          <w:rFonts w:ascii="仿宋_GB2312" w:hAnsi="仿宋_GB2312" w:eastAsia="仿宋_GB2312" w:cs="仿宋_GB2312"/>
          <w:sz w:val="32"/>
          <w:szCs w:val="32"/>
        </w:rPr>
        <w:t>13.16</w:t>
      </w:r>
      <w:r>
        <w:rPr>
          <w:rFonts w:hint="eastAsia" w:ascii="仿宋_GB2312" w:hAnsi="仿宋_GB2312" w:eastAsia="仿宋_GB2312" w:cs="仿宋_GB2312"/>
          <w:sz w:val="32"/>
          <w:szCs w:val="32"/>
        </w:rPr>
        <w:t>万</w:t>
      </w:r>
      <w:r>
        <w:rPr>
          <w:rFonts w:ascii="仿宋_GB2312" w:hAnsi="仿宋_GB2312" w:eastAsia="仿宋_GB2312" w:cs="仿宋_GB2312"/>
          <w:sz w:val="32"/>
          <w:szCs w:val="32"/>
        </w:rPr>
        <w:t>m</w:t>
      </w:r>
      <w:r>
        <w:rPr>
          <w:rFonts w:hint="eastAsia" w:ascii="仿宋_GB2312" w:hAnsi="仿宋_GB2312" w:eastAsia="仿宋_GB2312" w:cs="仿宋_GB2312"/>
          <w:sz w:val="32"/>
          <w:szCs w:val="32"/>
        </w:rPr>
        <w:t>²，总建筑面积</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万</w:t>
      </w:r>
      <w:r>
        <w:rPr>
          <w:rFonts w:ascii="仿宋_GB2312" w:hAnsi="仿宋_GB2312" w:eastAsia="仿宋_GB2312" w:cs="仿宋_GB2312"/>
          <w:sz w:val="32"/>
          <w:szCs w:val="32"/>
        </w:rPr>
        <w:t>m</w:t>
      </w:r>
      <w:r>
        <w:rPr>
          <w:rFonts w:hint="eastAsia" w:ascii="仿宋_GB2312" w:hAnsi="仿宋_GB2312" w:eastAsia="仿宋_GB2312" w:cs="仿宋_GB2312"/>
          <w:sz w:val="32"/>
          <w:szCs w:val="32"/>
        </w:rPr>
        <w:t>²，设计内容包括长途客运站、公交站场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本次智能化不包括公交管理区域</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、地面地下停车场、高架落客平台、站前景观广场等，总投资</w:t>
      </w:r>
      <w:r>
        <w:rPr>
          <w:rFonts w:ascii="仿宋_GB2312" w:hAnsi="仿宋_GB2312" w:eastAsia="仿宋_GB2312" w:cs="仿宋_GB2312"/>
          <w:sz w:val="32"/>
          <w:szCs w:val="32"/>
        </w:rPr>
        <w:t>6.14</w:t>
      </w:r>
      <w:r>
        <w:rPr>
          <w:rFonts w:hint="eastAsia" w:ascii="仿宋_GB2312" w:hAnsi="仿宋_GB2312" w:eastAsia="仿宋_GB2312" w:cs="仿宋_GB2312"/>
          <w:sz w:val="32"/>
          <w:szCs w:val="32"/>
        </w:rPr>
        <w:t>亿元。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汽车南站站房建筑面积为</w:t>
      </w:r>
      <w:r>
        <w:rPr>
          <w:rFonts w:ascii="仿宋_GB2312" w:hAnsi="仿宋_GB2312" w:eastAsia="仿宋_GB2312" w:cs="仿宋_GB2312"/>
          <w:sz w:val="32"/>
          <w:szCs w:val="32"/>
        </w:rPr>
        <w:t>9410</w:t>
      </w:r>
      <w:r>
        <w:rPr>
          <w:rFonts w:hint="eastAsia" w:ascii="仿宋_GB2312" w:hAnsi="仿宋_GB2312" w:eastAsia="仿宋_GB2312" w:cs="仿宋_GB2312"/>
          <w:sz w:val="32"/>
          <w:szCs w:val="32"/>
        </w:rPr>
        <w:t>平方米，汽车南站配套用房</w:t>
      </w:r>
      <w:r>
        <w:rPr>
          <w:rFonts w:ascii="仿宋_GB2312" w:hAnsi="仿宋_GB2312" w:eastAsia="仿宋_GB2312" w:cs="仿宋_GB2312"/>
          <w:sz w:val="32"/>
          <w:szCs w:val="32"/>
        </w:rPr>
        <w:t>5179</w:t>
      </w:r>
      <w:r>
        <w:rPr>
          <w:rFonts w:hint="eastAsia" w:ascii="仿宋_GB2312" w:hAnsi="仿宋_GB2312" w:eastAsia="仿宋_GB2312" w:cs="仿宋_GB2312"/>
          <w:sz w:val="32"/>
          <w:szCs w:val="32"/>
        </w:rPr>
        <w:t>平方米，汽车南站地下车库</w:t>
      </w:r>
      <w:r>
        <w:rPr>
          <w:rFonts w:ascii="仿宋_GB2312" w:hAnsi="仿宋_GB2312" w:eastAsia="仿宋_GB2312" w:cs="仿宋_GB2312"/>
          <w:sz w:val="32"/>
          <w:szCs w:val="32"/>
        </w:rPr>
        <w:t>3526.28</w:t>
      </w:r>
      <w:r>
        <w:rPr>
          <w:rFonts w:hint="eastAsia" w:ascii="仿宋_GB2312" w:hAnsi="仿宋_GB2312" w:eastAsia="仿宋_GB2312" w:cs="仿宋_GB2312"/>
          <w:sz w:val="32"/>
          <w:szCs w:val="32"/>
        </w:rPr>
        <w:t>平方米，站前广场地下停车库</w:t>
      </w:r>
      <w:r>
        <w:rPr>
          <w:rFonts w:ascii="仿宋_GB2312" w:hAnsi="仿宋_GB2312" w:eastAsia="仿宋_GB2312" w:cs="仿宋_GB2312"/>
          <w:sz w:val="32"/>
          <w:szCs w:val="32"/>
        </w:rPr>
        <w:t>32418</w:t>
      </w:r>
      <w:r>
        <w:rPr>
          <w:rFonts w:hint="eastAsia" w:ascii="仿宋_GB2312" w:hAnsi="仿宋_GB2312" w:eastAsia="仿宋_GB2312" w:cs="仿宋_GB2312"/>
          <w:sz w:val="32"/>
          <w:szCs w:val="32"/>
        </w:rPr>
        <w:t>平方米，汽车南站站房各层具体功能布局划分如下：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层：托运库房、调度室、商店、生活水泵房、医疗救护室、办公室、变电所、强电间、弱电间、财务室、售票办公、票据室、售票室、售票大厅、旅客服务、候车大厅、贵宾室、消防控制室、站房公安值班、出站检票补票间、自动售票管理办公、湿报警阀间、自助购票厅、出站通道；</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二层：办公室、商业、强电间、弱电间、弱电机房；</w:t>
      </w:r>
    </w:p>
    <w:p>
      <w:pPr>
        <w:spacing w:line="560" w:lineRule="exact"/>
        <w:ind w:firstLine="640" w:firstLineChars="200"/>
        <w:rPr>
          <w:rFonts w:ascii="仿宋_GB2312" w:hAnsi="宋体" w:eastAsia="仿宋_GB2312"/>
          <w:sz w:val="32"/>
          <w:szCs w:val="32"/>
        </w:rPr>
      </w:pPr>
      <w:r>
        <w:rPr>
          <w:rFonts w:hint="eastAsia" w:ascii="仿宋_GB2312" w:hAnsi="仿宋_GB2312" w:eastAsia="仿宋_GB2312" w:cs="仿宋_GB2312"/>
          <w:sz w:val="32"/>
          <w:szCs w:val="32"/>
        </w:rPr>
        <w:t>三层：办公室、空调机房、广播室、智能化系统机房、强电间、弱电间、库房、电梯机房、会议室、司乘活动室、司乘休息室。</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w:t>
      </w:r>
      <w:r>
        <w:rPr>
          <w:rFonts w:hint="eastAsia" w:ascii="仿宋" w:hAnsi="仿宋" w:eastAsia="仿宋" w:cs="仿宋"/>
          <w:sz w:val="32"/>
          <w:szCs w:val="32"/>
        </w:rPr>
        <w:t>建设规模</w:t>
      </w:r>
      <w:r>
        <w:rPr>
          <w:rFonts w:hint="eastAsia" w:ascii="仿宋_GB2312" w:hAnsi="仿宋" w:eastAsia="仿宋_GB2312"/>
          <w:sz w:val="32"/>
          <w:szCs w:val="32"/>
        </w:rPr>
        <w:t>：亳州公路客运高铁枢纽站项目弱电智能化建设本着“以旅客为中心，以客运为基础、以使用为目的、以服务为宗旨”的原则，力求通过先进的网络通讯、多媒体应用、无线互联网、自动化控制等技术，将该站打造成“绿色、智慧”汽车客运站。系统整体规划建设为三大类，共计约</w:t>
      </w:r>
      <w:r>
        <w:rPr>
          <w:rFonts w:ascii="仿宋_GB2312" w:hAnsi="仿宋" w:eastAsia="仿宋_GB2312"/>
          <w:sz w:val="32"/>
          <w:szCs w:val="32"/>
        </w:rPr>
        <w:t>11</w:t>
      </w:r>
      <w:r>
        <w:rPr>
          <w:rFonts w:hint="eastAsia" w:ascii="仿宋_GB2312" w:hAnsi="仿宋" w:eastAsia="仿宋_GB2312"/>
          <w:sz w:val="32"/>
          <w:szCs w:val="32"/>
        </w:rPr>
        <w:t>个子系统（</w:t>
      </w:r>
      <w:r>
        <w:rPr>
          <w:rFonts w:hint="eastAsia" w:ascii="仿宋_GB2312" w:hAnsi="仿宋" w:eastAsia="仿宋_GB2312"/>
          <w:color w:val="FF0000"/>
          <w:sz w:val="32"/>
          <w:szCs w:val="32"/>
        </w:rPr>
        <w:t>技术规范书</w:t>
      </w:r>
      <w:r>
        <w:rPr>
          <w:rFonts w:ascii="仿宋_GB2312" w:hAnsi="仿宋" w:eastAsia="仿宋_GB2312"/>
          <w:color w:val="FF0000"/>
          <w:sz w:val="32"/>
          <w:szCs w:val="32"/>
        </w:rPr>
        <w:t>10</w:t>
      </w:r>
      <w:r>
        <w:rPr>
          <w:rFonts w:hint="eastAsia" w:ascii="仿宋_GB2312" w:hAnsi="仿宋" w:eastAsia="仿宋_GB2312"/>
          <w:color w:val="FF0000"/>
          <w:sz w:val="32"/>
          <w:szCs w:val="32"/>
        </w:rPr>
        <w:t>个子系统，无线对讲与电子巡更合为</w:t>
      </w:r>
      <w:r>
        <w:rPr>
          <w:rFonts w:ascii="仿宋_GB2312" w:hAnsi="仿宋" w:eastAsia="仿宋_GB2312"/>
          <w:color w:val="FF0000"/>
          <w:sz w:val="32"/>
          <w:szCs w:val="32"/>
        </w:rPr>
        <w:t>1</w:t>
      </w:r>
      <w:r>
        <w:rPr>
          <w:rFonts w:hint="eastAsia" w:ascii="仿宋_GB2312" w:hAnsi="仿宋" w:eastAsia="仿宋_GB2312"/>
          <w:color w:val="FF0000"/>
          <w:sz w:val="32"/>
          <w:szCs w:val="32"/>
        </w:rPr>
        <w:t>项子系统</w:t>
      </w:r>
      <w:r>
        <w:rPr>
          <w:rFonts w:hint="eastAsia" w:ascii="仿宋_GB2312" w:hAnsi="仿宋" w:eastAsia="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、招标范围（详见附件采购清单）：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）通讯网络系统：计算机网络系统【〈生产业务网、办公网</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互联网</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、智能化信息网〉】、无线对讲系统。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）旅客信息系统：站务信息发布系统、站务广播系统、售检票系统。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）运营管理系统：综合安防系统（视频监控、紧急报警、电子巡更），一卡通管理系统（门禁、梯控、考勤）、停车管理系统、机房工程。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highlight w:val="yellow"/>
          <w:u w:val="single"/>
        </w:rPr>
        <w:t>备注：</w:t>
      </w:r>
      <w:r>
        <w:rPr>
          <w:rFonts w:hint="eastAsia" w:ascii="仿宋_GB2312" w:hAnsi="仿宋_GB2312" w:eastAsia="仿宋_GB2312" w:cs="仿宋_GB2312"/>
          <w:sz w:val="32"/>
          <w:szCs w:val="32"/>
        </w:rPr>
        <w:t>综合布线系统以及综合管网系统不在本次招标范围内，在本项目设备材料进场前，综合布线系统以及综合管网系统的承包商预先做好管路的预埋及线路的敷设工作。</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5</w:t>
      </w:r>
      <w:r>
        <w:rPr>
          <w:rFonts w:hint="eastAsia" w:ascii="仿宋_GB2312" w:hAnsi="仿宋" w:eastAsia="仿宋_GB2312"/>
          <w:sz w:val="32"/>
          <w:szCs w:val="32"/>
        </w:rPr>
        <w:t>、招标控制价人民币</w:t>
      </w:r>
      <w:r>
        <w:rPr>
          <w:rFonts w:ascii="仿宋" w:hAnsi="仿宋" w:eastAsia="仿宋" w:cs="仿宋"/>
          <w:color w:val="000000"/>
          <w:sz w:val="32"/>
          <w:szCs w:val="32"/>
          <w:highlight w:val="yellow"/>
          <w:u w:val="single"/>
        </w:rPr>
        <w:t>565.319798</w:t>
      </w:r>
      <w:r>
        <w:rPr>
          <w:rFonts w:hint="eastAsia" w:ascii="仿宋_GB2312" w:hAnsi="仿宋" w:eastAsia="仿宋_GB2312"/>
          <w:sz w:val="32"/>
          <w:szCs w:val="32"/>
          <w:u w:val="single"/>
        </w:rPr>
        <w:t>万元（含税）</w:t>
      </w:r>
      <w:r>
        <w:rPr>
          <w:rFonts w:hint="eastAsia" w:ascii="仿宋_GB2312" w:hAnsi="仿宋" w:eastAsia="仿宋_GB2312"/>
          <w:sz w:val="32"/>
          <w:szCs w:val="32"/>
        </w:rPr>
        <w:t>。投标人的投标报价包含招标清单控制价的编制费用，编制费用由中标人承担。</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6</w:t>
      </w:r>
      <w:r>
        <w:rPr>
          <w:rFonts w:hint="eastAsia" w:ascii="仿宋_GB2312" w:hAnsi="仿宋" w:eastAsia="仿宋_GB2312"/>
          <w:sz w:val="32"/>
          <w:szCs w:val="32"/>
        </w:rPr>
        <w:t>、供货周期：自签订合同之日起</w:t>
      </w:r>
      <w:r>
        <w:rPr>
          <w:rFonts w:ascii="仿宋_GB2312" w:hAnsi="仿宋" w:eastAsia="仿宋_GB2312"/>
          <w:sz w:val="32"/>
          <w:szCs w:val="32"/>
          <w:u w:val="single"/>
        </w:rPr>
        <w:t xml:space="preserve"> </w:t>
      </w:r>
      <w:r>
        <w:rPr>
          <w:rFonts w:eastAsia="仿宋_GB2312"/>
          <w:sz w:val="32"/>
          <w:szCs w:val="32"/>
          <w:u w:val="single"/>
        </w:rPr>
        <w:t>40</w:t>
      </w:r>
      <w:r>
        <w:rPr>
          <w:rFonts w:ascii="仿宋_GB2312" w:hAnsi="仿宋" w:eastAsia="仿宋_GB2312"/>
          <w:sz w:val="32"/>
          <w:szCs w:val="32"/>
          <w:u w:val="single"/>
        </w:rPr>
        <w:t xml:space="preserve"> </w:t>
      </w:r>
      <w:r>
        <w:rPr>
          <w:rFonts w:hint="eastAsia" w:ascii="仿宋_GB2312" w:hAnsi="仿宋" w:eastAsia="仿宋_GB2312"/>
          <w:sz w:val="32"/>
          <w:szCs w:val="32"/>
        </w:rPr>
        <w:t>日历天</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7</w:t>
      </w:r>
      <w:r>
        <w:rPr>
          <w:rFonts w:hint="eastAsia" w:ascii="仿宋_GB2312" w:hAnsi="仿宋" w:eastAsia="仿宋_GB2312"/>
          <w:sz w:val="32"/>
          <w:szCs w:val="32"/>
        </w:rPr>
        <w:t>、标段划分：一个标段</w:t>
      </w:r>
      <w:r>
        <w:rPr>
          <w:rFonts w:ascii="仿宋_GB2312" w:hAnsi="仿宋" w:eastAsia="仿宋_GB2312"/>
          <w:sz w:val="32"/>
          <w:szCs w:val="32"/>
        </w:rPr>
        <w:t xml:space="preserve">  </w:t>
      </w:r>
    </w:p>
    <w:p>
      <w:pPr>
        <w:spacing w:line="500" w:lineRule="exact"/>
        <w:ind w:firstLine="640" w:firstLineChars="200"/>
        <w:rPr>
          <w:rFonts w:ascii="仿宋_GB2312" w:hAnsi="仿宋" w:eastAsia="仿宋_GB2312"/>
          <w:sz w:val="32"/>
          <w:szCs w:val="32"/>
        </w:rPr>
      </w:pPr>
      <w:r>
        <w:rPr>
          <w:rFonts w:ascii="仿宋_GB2312" w:hAnsi="仿宋" w:eastAsia="仿宋_GB2312"/>
          <w:sz w:val="32"/>
          <w:szCs w:val="32"/>
        </w:rPr>
        <w:t>8</w:t>
      </w:r>
      <w:r>
        <w:rPr>
          <w:rFonts w:hint="eastAsia" w:ascii="仿宋_GB2312" w:hAnsi="仿宋" w:eastAsia="仿宋_GB2312"/>
          <w:sz w:val="32"/>
          <w:szCs w:val="32"/>
        </w:rPr>
        <w:t>、质量要求：一次性通过相关部门的验收并取得验收合格证，符合技术要求。</w:t>
      </w:r>
    </w:p>
    <w:p>
      <w:pPr>
        <w:spacing w:line="540" w:lineRule="exact"/>
        <w:jc w:val="left"/>
        <w:rPr>
          <w:rFonts w:ascii="仿宋_GB2312" w:hAnsi="仿宋_GB2312" w:eastAsia="仿宋_GB2312" w:cs="仿宋_GB2312"/>
          <w:sz w:val="32"/>
          <w:szCs w:val="32"/>
        </w:rPr>
      </w:pPr>
      <w:r>
        <w:rPr>
          <w:rFonts w:hint="eastAsia" w:ascii="黑体" w:hAnsi="黑体" w:eastAsia="黑体" w:cs="黑体"/>
          <w:sz w:val="32"/>
          <w:szCs w:val="32"/>
        </w:rPr>
        <w:t>三、投标人须知</w:t>
      </w:r>
      <w:r>
        <w:rPr>
          <w:rFonts w:ascii="仿宋_GB2312" w:hAnsi="仿宋_GB2312" w:eastAsia="仿宋_GB2312" w:cs="仿宋_GB2312"/>
          <w:sz w:val="32"/>
          <w:szCs w:val="32"/>
        </w:rPr>
        <w:tab/>
      </w:r>
      <w:r>
        <w:rPr>
          <w:rFonts w:ascii="仿宋_GB2312" w:hAnsi="仿宋_GB2312" w:eastAsia="仿宋_GB2312" w:cs="仿宋_GB2312"/>
          <w:sz w:val="32"/>
          <w:szCs w:val="32"/>
        </w:rPr>
        <w:t xml:space="preserve"> </w:t>
      </w:r>
    </w:p>
    <w:p>
      <w:pPr>
        <w:spacing w:line="540" w:lineRule="exact"/>
        <w:jc w:val="left"/>
        <w:rPr>
          <w:rFonts w:ascii="仿宋_GB2312" w:hAnsi="仿宋_GB2312" w:eastAsia="仿宋_GB2312" w:cs="仿宋_GB2312"/>
          <w:sz w:val="32"/>
          <w:szCs w:val="32"/>
        </w:rPr>
      </w:pPr>
      <w:r>
        <w:rPr>
          <w:rFonts w:ascii="仿宋_GB2312" w:hAnsi="仿宋_GB2312" w:eastAsia="仿宋_GB2312" w:cs="仿宋_GB2312"/>
          <w:sz w:val="32"/>
          <w:szCs w:val="32"/>
        </w:rPr>
        <w:tab/>
      </w: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、本次招标要求投标人须具有独立承担民事责任的能力和有效的安全生产许可证，具备建设行政主管部门核发电子与智能化工程专业承包二级及以上资质；</w:t>
      </w:r>
    </w:p>
    <w:p>
      <w:pPr>
        <w:spacing w:line="54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、拟派项目经理具有机电工程专业一级注册建造师资格，具有有效安全生产考核合格证（</w:t>
      </w:r>
      <w:r>
        <w:rPr>
          <w:rFonts w:ascii="仿宋_GB2312" w:hAnsi="仿宋_GB2312" w:eastAsia="仿宋_GB2312" w:cs="仿宋_GB2312"/>
          <w:sz w:val="32"/>
          <w:szCs w:val="32"/>
        </w:rPr>
        <w:t>B</w:t>
      </w:r>
      <w:r>
        <w:rPr>
          <w:rFonts w:hint="eastAsia" w:ascii="仿宋_GB2312" w:hAnsi="仿宋_GB2312" w:eastAsia="仿宋_GB2312" w:cs="仿宋_GB2312"/>
          <w:sz w:val="32"/>
          <w:szCs w:val="32"/>
        </w:rPr>
        <w:t>类证），无在建工程；提供连续</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个月的社会保险证明（指社保管理单位出具的证明，加盖社保管理单位的公章或电子章；如提供复印件或扫描件，加盖投标单位公章）；</w:t>
      </w:r>
    </w:p>
    <w:p>
      <w:pPr>
        <w:spacing w:line="54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、企业业绩要求：投标人近三年内</w:t>
      </w:r>
      <w:r>
        <w:rPr>
          <w:rFonts w:ascii="仿宋_GB2312" w:hAnsi="仿宋_GB2312" w:eastAsia="仿宋_GB2312" w:cs="仿宋_GB2312"/>
          <w:sz w:val="32"/>
          <w:szCs w:val="32"/>
        </w:rPr>
        <w:t>(2016</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日至投标截止日）具有至少一项单项合同金额在</w:t>
      </w:r>
      <w:r>
        <w:rPr>
          <w:rFonts w:ascii="仿宋_GB2312" w:hAnsi="仿宋_GB2312" w:eastAsia="仿宋_GB2312" w:cs="仿宋_GB2312"/>
          <w:sz w:val="32"/>
          <w:szCs w:val="32"/>
        </w:rPr>
        <w:t>600</w:t>
      </w:r>
      <w:r>
        <w:rPr>
          <w:rFonts w:hint="eastAsia" w:ascii="仿宋_GB2312" w:hAnsi="仿宋_GB2312" w:eastAsia="仿宋_GB2312" w:cs="仿宋_GB2312"/>
          <w:sz w:val="32"/>
          <w:szCs w:val="32"/>
        </w:rPr>
        <w:t>万元及以上的公共建筑智能化建设业绩（业绩提供能证明该业绩规模的合同复印件加盖公章、相应的竣工验收报告或竣工验收报告备案表或完工证明复印件加盖公章，业绩时间以竣工验收报告或竣工验收报告备案表或完工证时间为准，业绩金额以合同中列明的金额为准）。</w:t>
      </w:r>
      <w:r>
        <w:rPr>
          <w:rFonts w:ascii="仿宋_GB2312" w:hAnsi="仿宋_GB2312" w:eastAsia="仿宋_GB2312" w:cs="仿宋_GB2312"/>
          <w:sz w:val="32"/>
          <w:szCs w:val="32"/>
        </w:rPr>
        <w:t xml:space="preserve"> </w:t>
      </w:r>
      <w:r>
        <w:rPr>
          <w:rFonts w:ascii="仿宋_GB2312" w:hAnsi="仿宋_GB2312" w:eastAsia="仿宋_GB2312" w:cs="仿宋_GB2312"/>
          <w:sz w:val="32"/>
          <w:szCs w:val="32"/>
        </w:rPr>
        <w:tab/>
      </w:r>
    </w:p>
    <w:p>
      <w:pPr>
        <w:spacing w:line="54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 xml:space="preserve"> 4</w:t>
      </w:r>
      <w:r>
        <w:rPr>
          <w:rFonts w:hint="eastAsia" w:ascii="仿宋_GB2312" w:hAnsi="仿宋_GB2312" w:eastAsia="仿宋_GB2312" w:cs="仿宋_GB2312"/>
          <w:sz w:val="32"/>
          <w:szCs w:val="32"/>
        </w:rPr>
        <w:t>、本次招标</w:t>
      </w:r>
      <w:r>
        <w:rPr>
          <w:rFonts w:hint="eastAsia" w:ascii="仿宋_GB2312" w:hAnsi="仿宋_GB2312" w:eastAsia="仿宋_GB2312" w:cs="仿宋_GB2312"/>
          <w:sz w:val="32"/>
          <w:szCs w:val="32"/>
          <w:highlight w:val="yellow"/>
          <w:u w:val="single"/>
        </w:rPr>
        <w:t>不接受</w:t>
      </w:r>
      <w:r>
        <w:rPr>
          <w:rFonts w:hint="eastAsia" w:ascii="仿宋_GB2312" w:hAnsi="仿宋_GB2312" w:eastAsia="仿宋_GB2312" w:cs="仿宋_GB2312"/>
          <w:sz w:val="32"/>
          <w:szCs w:val="32"/>
        </w:rPr>
        <w:t>联合体投标。投标单位以总公司身份中标的，不得以分公司身份签订合同；供电、银行、电信、保险等特殊行业单位，可在其营业执照经营范围授权内，由省（市）分公司进行投标；</w:t>
      </w:r>
    </w:p>
    <w:p>
      <w:pPr>
        <w:spacing w:line="5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、投标人存在以下不良信用记录情形之一的，不得推荐为中标候选人，更不得确定为中标人：（</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）投标人被人民法院列入失信被执行人的；（</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）投标人或其法定代表人或拟派项目负责人被人民检察院列入行贿犯罪档案的；（</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）投标人被工商行政管理部门列入企业经营异常名录的；（</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）投标人被税务部门列入重大税收违法案件当事人名单的；（</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）投标人被人力资源社会保障行政部门列入拖欠农民工工资“黑名单”的。</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以上情形以“信用中国”（</w:t>
      </w:r>
      <w:r>
        <w:rPr>
          <w:rFonts w:ascii="仿宋_GB2312" w:hAnsi="仿宋_GB2312" w:eastAsia="仿宋_GB2312" w:cs="仿宋_GB2312"/>
          <w:sz w:val="32"/>
          <w:szCs w:val="32"/>
        </w:rPr>
        <w:t>www.creditchina.gov.cn</w:t>
      </w:r>
      <w:r>
        <w:rPr>
          <w:rFonts w:hint="eastAsia" w:ascii="仿宋_GB2312" w:hAnsi="仿宋_GB2312" w:eastAsia="仿宋_GB2312" w:cs="仿宋_GB2312"/>
          <w:sz w:val="32"/>
          <w:szCs w:val="32"/>
        </w:rPr>
        <w:t>）或其它指定媒介发布的为准，其它指定媒介有国家税务总局网站（</w:t>
      </w:r>
      <w:r>
        <w:rPr>
          <w:rFonts w:ascii="仿宋_GB2312" w:hAnsi="仿宋_GB2312" w:eastAsia="仿宋_GB2312" w:cs="仿宋_GB2312"/>
          <w:sz w:val="32"/>
          <w:szCs w:val="32"/>
        </w:rPr>
        <w:t>www.chinatax.gov.cn</w:t>
      </w:r>
      <w:r>
        <w:rPr>
          <w:rFonts w:hint="eastAsia" w:ascii="仿宋_GB2312" w:hAnsi="仿宋_GB2312" w:eastAsia="仿宋_GB2312" w:cs="仿宋_GB2312"/>
          <w:sz w:val="32"/>
          <w:szCs w:val="32"/>
        </w:rPr>
        <w:t>）、中国政府采购网（</w:t>
      </w:r>
      <w:r>
        <w:rPr>
          <w:rFonts w:ascii="仿宋_GB2312" w:hAnsi="仿宋_GB2312" w:eastAsia="仿宋_GB2312" w:cs="仿宋_GB2312"/>
          <w:sz w:val="32"/>
          <w:szCs w:val="32"/>
        </w:rPr>
        <w:t>www.ccgp.gov.cn</w:t>
      </w:r>
      <w:r>
        <w:rPr>
          <w:rFonts w:hint="eastAsia" w:ascii="仿宋_GB2312" w:hAnsi="仿宋_GB2312" w:eastAsia="仿宋_GB2312" w:cs="仿宋_GB2312"/>
          <w:sz w:val="32"/>
          <w:szCs w:val="32"/>
        </w:rPr>
        <w:t>）、最高人民法院网站（</w:t>
      </w:r>
      <w:r>
        <w:rPr>
          <w:rFonts w:ascii="仿宋_GB2312" w:hAnsi="仿宋_GB2312" w:eastAsia="仿宋_GB2312" w:cs="仿宋_GB2312"/>
          <w:sz w:val="32"/>
          <w:szCs w:val="32"/>
        </w:rPr>
        <w:t>www.court.gov.cn</w:t>
      </w:r>
      <w:r>
        <w:rPr>
          <w:rFonts w:hint="eastAsia" w:ascii="仿宋_GB2312" w:hAnsi="仿宋_GB2312" w:eastAsia="仿宋_GB2312" w:cs="仿宋_GB2312"/>
          <w:sz w:val="32"/>
          <w:szCs w:val="32"/>
        </w:rPr>
        <w:t>）、国家企业信用信息公示系统网站（</w:t>
      </w:r>
      <w:r>
        <w:rPr>
          <w:rFonts w:ascii="仿宋_GB2312" w:hAnsi="仿宋_GB2312" w:eastAsia="仿宋_GB2312" w:cs="仿宋_GB2312"/>
          <w:sz w:val="32"/>
          <w:szCs w:val="32"/>
        </w:rPr>
        <w:t>www.gsxt.gov.cn</w:t>
      </w:r>
      <w:r>
        <w:rPr>
          <w:rFonts w:hint="eastAsia" w:ascii="仿宋_GB2312" w:hAnsi="仿宋_GB2312" w:eastAsia="仿宋_GB2312" w:cs="仿宋_GB2312"/>
          <w:sz w:val="32"/>
          <w:szCs w:val="32"/>
        </w:rPr>
        <w:t>），有限制期限的按规定期限执行，无限制期限的按投标截止时间前</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个月计算。</w:t>
      </w:r>
    </w:p>
    <w:p>
      <w:pPr>
        <w:spacing w:line="540" w:lineRule="exact"/>
        <w:rPr>
          <w:rFonts w:ascii="黑体" w:hAnsi="黑体" w:eastAsia="黑体" w:cs="黑体"/>
          <w:sz w:val="32"/>
          <w:szCs w:val="32"/>
        </w:rPr>
      </w:pPr>
      <w:r>
        <w:rPr>
          <w:rFonts w:hint="eastAsia" w:ascii="黑体" w:hAnsi="黑体" w:eastAsia="黑体" w:cs="黑体"/>
          <w:sz w:val="32"/>
          <w:szCs w:val="32"/>
        </w:rPr>
        <w:t>四、招标文件的获取</w:t>
      </w:r>
    </w:p>
    <w:p>
      <w:pPr>
        <w:spacing w:line="54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请潜在供应商</w:t>
      </w:r>
      <w:r>
        <w:rPr>
          <w:rFonts w:hint="eastAsia" w:ascii="仿宋_GB2312" w:hAnsi="仿宋_GB2312" w:eastAsia="仿宋_GB2312" w:cs="仿宋_GB2312"/>
          <w:color w:val="FF0000"/>
          <w:sz w:val="32"/>
          <w:szCs w:val="32"/>
        </w:rPr>
        <w:t>自招标公告发布之日起</w:t>
      </w:r>
      <w:r>
        <w:rPr>
          <w:rFonts w:hint="eastAsia" w:ascii="仿宋_GB2312" w:hAnsi="仿宋_GB2312" w:eastAsia="仿宋_GB2312" w:cs="仿宋_GB2312"/>
          <w:sz w:val="32"/>
          <w:szCs w:val="32"/>
        </w:rPr>
        <w:t>至</w:t>
      </w:r>
      <w:r>
        <w:rPr>
          <w:rFonts w:ascii="仿宋_GB2312" w:hAnsi="仿宋_GB2312" w:eastAsia="仿宋_GB2312" w:cs="仿宋_GB2312"/>
          <w:sz w:val="32"/>
          <w:szCs w:val="32"/>
        </w:rPr>
        <w:t xml:space="preserve"> 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日</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时</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分止（北京时间）登录</w:t>
      </w:r>
      <w:r>
        <w:rPr>
          <w:rFonts w:hint="eastAsia" w:ascii="仿宋_GB2312" w:hAnsi="仿宋_GB2312" w:eastAsia="仿宋_GB2312" w:cs="仿宋_GB2312"/>
          <w:sz w:val="32"/>
          <w:szCs w:val="32"/>
          <w:highlight w:val="green"/>
        </w:rPr>
        <w:t>亳州交通投资控股集团有限公司官网（</w:t>
      </w:r>
      <w:r>
        <w:rPr>
          <w:rFonts w:ascii="仿宋_GB2312" w:hAnsi="仿宋_GB2312" w:eastAsia="仿宋_GB2312" w:cs="仿宋_GB2312"/>
          <w:sz w:val="32"/>
          <w:szCs w:val="32"/>
          <w:highlight w:val="green"/>
        </w:rPr>
        <w:t>http://www.bzjkjt.com/</w:t>
      </w:r>
      <w:r>
        <w:rPr>
          <w:rFonts w:hint="eastAsia" w:ascii="仿宋_GB2312" w:hAnsi="仿宋_GB2312" w:eastAsia="仿宋_GB2312" w:cs="仿宋_GB2312"/>
          <w:sz w:val="32"/>
          <w:szCs w:val="32"/>
          <w:highlight w:val="green"/>
        </w:rPr>
        <w:t>）自行下载招标文件。</w:t>
      </w:r>
    </w:p>
    <w:p>
      <w:pPr>
        <w:spacing w:line="540" w:lineRule="exact"/>
        <w:rPr>
          <w:rFonts w:ascii="黑体" w:hAnsi="黑体" w:eastAsia="黑体" w:cs="黑体"/>
          <w:b/>
          <w:bCs/>
          <w:color w:val="FF0000"/>
          <w:sz w:val="32"/>
          <w:szCs w:val="32"/>
        </w:rPr>
      </w:pPr>
      <w:r>
        <w:rPr>
          <w:rFonts w:hint="eastAsia" w:ascii="黑体" w:hAnsi="黑体" w:eastAsia="黑体" w:cs="黑体"/>
          <w:b/>
          <w:bCs/>
          <w:color w:val="FF0000"/>
          <w:sz w:val="32"/>
          <w:szCs w:val="32"/>
          <w:lang w:val="en-US" w:eastAsia="zh-CN"/>
        </w:rPr>
        <w:t>五</w:t>
      </w:r>
      <w:r>
        <w:rPr>
          <w:rFonts w:hint="eastAsia" w:ascii="黑体" w:hAnsi="黑体" w:eastAsia="黑体" w:cs="黑体"/>
          <w:b/>
          <w:bCs/>
          <w:color w:val="FF0000"/>
          <w:sz w:val="32"/>
          <w:szCs w:val="32"/>
        </w:rPr>
        <w:t>、投标文件的递交及开标</w:t>
      </w:r>
    </w:p>
    <w:p>
      <w:pPr>
        <w:spacing w:line="54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、投标文件递交的截止时间（投标截止时间，下同）：</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日</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时</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分，投标人应在投标截止时间前把投标文件递交到指定地点。</w:t>
      </w:r>
    </w:p>
    <w:p>
      <w:pPr>
        <w:spacing w:line="540" w:lineRule="exact"/>
        <w:ind w:firstLine="640" w:firstLineChars="200"/>
        <w:rPr>
          <w:rFonts w:ascii="仿宋_GB2312" w:hAnsi="仿宋_GB2312" w:eastAsia="仿宋_GB2312" w:cs="仿宋_GB2312"/>
          <w:sz w:val="32"/>
          <w:szCs w:val="32"/>
          <w:highlight w:val="green"/>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w:t>
      </w:r>
      <w:r>
        <w:rPr>
          <w:rFonts w:ascii="仿宋_GB2312" w:hAnsi="仿宋_GB2312" w:eastAsia="仿宋_GB2312" w:cs="仿宋_GB2312"/>
          <w:sz w:val="32"/>
          <w:szCs w:val="32"/>
          <w:highlight w:val="green"/>
        </w:rPr>
        <w:t>1289</w:t>
      </w:r>
      <w:r>
        <w:rPr>
          <w:rFonts w:hint="eastAsia" w:ascii="仿宋_GB2312" w:hAnsi="仿宋_GB2312" w:eastAsia="仿宋_GB2312" w:cs="仿宋_GB2312"/>
          <w:sz w:val="32"/>
          <w:szCs w:val="32"/>
          <w:highlight w:val="green"/>
        </w:rPr>
        <w:t>号（药都大道与希夷大道交叉口东北角</w:t>
      </w:r>
      <w:r>
        <w:rPr>
          <w:rFonts w:ascii="仿宋_GB2312" w:hAnsi="仿宋_GB2312" w:eastAsia="仿宋_GB2312" w:cs="仿宋_GB2312"/>
          <w:sz w:val="32"/>
          <w:szCs w:val="32"/>
          <w:highlight w:val="green"/>
        </w:rPr>
        <w:t>9</w:t>
      </w:r>
      <w:r>
        <w:rPr>
          <w:rFonts w:hint="eastAsia" w:ascii="仿宋_GB2312" w:hAnsi="仿宋_GB2312" w:eastAsia="仿宋_GB2312" w:cs="仿宋_GB2312"/>
          <w:sz w:val="32"/>
          <w:szCs w:val="32"/>
          <w:highlight w:val="green"/>
        </w:rPr>
        <w:t>楼）</w:t>
      </w:r>
    </w:p>
    <w:p>
      <w:pPr>
        <w:spacing w:line="5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spacing w:line="540" w:lineRule="exact"/>
        <w:ind w:firstLine="640" w:firstLineChars="200"/>
        <w:rPr>
          <w:rFonts w:ascii="仿宋_GB2312" w:hAnsi="仿宋_GB2312" w:eastAsia="仿宋_GB2312" w:cs="仿宋_GB2312"/>
          <w:color w:val="FF0000"/>
          <w:sz w:val="32"/>
          <w:szCs w:val="32"/>
        </w:rPr>
      </w:pPr>
      <w:r>
        <w:rPr>
          <w:rFonts w:ascii="仿宋_GB2312" w:hAnsi="仿宋_GB2312" w:eastAsia="仿宋_GB2312" w:cs="仿宋_GB2312"/>
          <w:color w:val="FF0000"/>
          <w:sz w:val="32"/>
          <w:szCs w:val="32"/>
        </w:rPr>
        <w:t>4</w:t>
      </w:r>
      <w:r>
        <w:rPr>
          <w:rFonts w:hint="eastAsia" w:ascii="仿宋_GB2312" w:hAnsi="仿宋_GB2312" w:eastAsia="仿宋_GB2312" w:cs="仿宋_GB2312"/>
          <w:color w:val="FF0000"/>
          <w:sz w:val="32"/>
          <w:szCs w:val="32"/>
        </w:rPr>
        <w:t>、开标时间及地点同投标文件截止时间及投标文件递交地点。</w:t>
      </w:r>
    </w:p>
    <w:p>
      <w:pPr>
        <w:spacing w:line="540" w:lineRule="exact"/>
        <w:rPr>
          <w:rFonts w:ascii="黑体" w:hAnsi="黑体" w:eastAsia="黑体" w:cs="黑体"/>
          <w:color w:val="FF0000"/>
          <w:sz w:val="32"/>
          <w:szCs w:val="32"/>
        </w:rPr>
      </w:pPr>
      <w:r>
        <w:rPr>
          <w:rFonts w:hint="eastAsia" w:ascii="黑体" w:hAnsi="黑体" w:eastAsia="黑体" w:cs="黑体"/>
          <w:color w:val="FF0000"/>
          <w:sz w:val="32"/>
          <w:szCs w:val="32"/>
          <w:lang w:val="en-US" w:eastAsia="zh-CN"/>
        </w:rPr>
        <w:t>六</w:t>
      </w:r>
      <w:r>
        <w:rPr>
          <w:rFonts w:hint="eastAsia" w:ascii="黑体" w:hAnsi="黑体" w:eastAsia="黑体" w:cs="黑体"/>
          <w:color w:val="FF0000"/>
          <w:sz w:val="32"/>
          <w:szCs w:val="32"/>
        </w:rPr>
        <w:t>、投标担保</w:t>
      </w:r>
    </w:p>
    <w:p>
      <w:pPr>
        <w:spacing w:line="540" w:lineRule="exact"/>
        <w:rPr>
          <w:rFonts w:ascii="仿宋_GB2312" w:hAnsi="仿宋_GB2312" w:eastAsia="仿宋_GB2312" w:cs="仿宋_GB2312"/>
          <w:color w:val="FF0000"/>
          <w:sz w:val="32"/>
          <w:szCs w:val="32"/>
        </w:rPr>
      </w:pPr>
      <w:r>
        <w:rPr>
          <w:rFonts w:ascii="仿宋_GB2312" w:hAnsi="仿宋_GB2312" w:eastAsia="仿宋_GB2312" w:cs="仿宋_GB2312"/>
          <w:color w:val="FF0000"/>
          <w:sz w:val="32"/>
          <w:szCs w:val="32"/>
        </w:rPr>
        <w:t xml:space="preserve">    </w:t>
      </w:r>
      <w:r>
        <w:rPr>
          <w:rFonts w:hint="eastAsia" w:ascii="仿宋_GB2312" w:hAnsi="仿宋_GB2312" w:eastAsia="仿宋_GB2312" w:cs="仿宋_GB2312"/>
          <w:color w:val="FF0000"/>
          <w:sz w:val="32"/>
          <w:szCs w:val="32"/>
        </w:rPr>
        <w:t>本项目投标保证金：</w:t>
      </w:r>
      <w:r>
        <w:rPr>
          <w:rFonts w:ascii="仿宋_GB2312" w:hAnsi="仿宋_GB2312" w:eastAsia="仿宋_GB2312" w:cs="仿宋_GB2312"/>
          <w:snapToGrid w:val="0"/>
          <w:color w:val="FF0000"/>
          <w:spacing w:val="-4"/>
          <w:kern w:val="0"/>
          <w:sz w:val="32"/>
          <w:szCs w:val="32"/>
          <w:u w:val="single"/>
        </w:rPr>
        <w:t xml:space="preserve"> 11.3</w:t>
      </w:r>
      <w:r>
        <w:rPr>
          <w:rFonts w:hint="eastAsia" w:ascii="仿宋_GB2312" w:hAnsi="仿宋_GB2312" w:eastAsia="仿宋_GB2312" w:cs="仿宋_GB2312"/>
          <w:snapToGrid w:val="0"/>
          <w:color w:val="FF0000"/>
          <w:spacing w:val="-4"/>
          <w:kern w:val="0"/>
          <w:sz w:val="32"/>
          <w:szCs w:val="32"/>
          <w:u w:val="single"/>
        </w:rPr>
        <w:t>万元</w:t>
      </w:r>
      <w:r>
        <w:rPr>
          <w:rFonts w:ascii="仿宋_GB2312" w:hAnsi="仿宋_GB2312" w:eastAsia="仿宋_GB2312" w:cs="仿宋_GB2312"/>
          <w:snapToGrid w:val="0"/>
          <w:color w:val="FF0000"/>
          <w:spacing w:val="-4"/>
          <w:kern w:val="0"/>
          <w:sz w:val="32"/>
          <w:szCs w:val="32"/>
          <w:u w:val="single"/>
        </w:rPr>
        <w:t xml:space="preserve">  </w:t>
      </w:r>
      <w:r>
        <w:rPr>
          <w:rFonts w:hint="eastAsia" w:ascii="仿宋_GB2312" w:hAnsi="仿宋_GB2312" w:eastAsia="仿宋_GB2312" w:cs="仿宋_GB2312"/>
          <w:color w:val="FF0000"/>
          <w:sz w:val="32"/>
          <w:szCs w:val="32"/>
        </w:rPr>
        <w:t>（人民币），缴纳方式详见招标文件。</w:t>
      </w:r>
    </w:p>
    <w:p>
      <w:pPr>
        <w:adjustRightInd w:val="0"/>
        <w:snapToGrid w:val="0"/>
        <w:spacing w:line="540" w:lineRule="exact"/>
        <w:rPr>
          <w:rFonts w:ascii="黑体" w:hAnsi="黑体" w:eastAsia="黑体" w:cs="黑体"/>
          <w:color w:val="FF0000"/>
          <w:sz w:val="32"/>
          <w:szCs w:val="32"/>
        </w:rPr>
      </w:pPr>
      <w:r>
        <w:rPr>
          <w:rFonts w:hint="eastAsia" w:ascii="黑体" w:hAnsi="黑体" w:eastAsia="黑体" w:cs="黑体"/>
          <w:color w:val="FF0000"/>
          <w:sz w:val="32"/>
          <w:szCs w:val="32"/>
          <w:lang w:val="en-US" w:eastAsia="zh-CN"/>
        </w:rPr>
        <w:t>七</w:t>
      </w:r>
      <w:r>
        <w:rPr>
          <w:rFonts w:hint="eastAsia" w:ascii="黑体" w:hAnsi="黑体" w:eastAsia="黑体" w:cs="黑体"/>
          <w:color w:val="FF0000"/>
          <w:sz w:val="32"/>
          <w:szCs w:val="32"/>
        </w:rPr>
        <w:t>、招标公告发布媒介</w:t>
      </w:r>
    </w:p>
    <w:p>
      <w:pPr>
        <w:adjustRightInd w:val="0"/>
        <w:snapToGrid w:val="0"/>
        <w:spacing w:line="54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rPr>
        <w:t>安徽省招标投标信息网（</w:t>
      </w:r>
      <w:r>
        <w:fldChar w:fldCharType="begin"/>
      </w:r>
      <w:r>
        <w:instrText xml:space="preserve"> HYPERLINK "http://www.ahtba.org.cn" </w:instrText>
      </w:r>
      <w:r>
        <w:fldChar w:fldCharType="separate"/>
      </w:r>
      <w:r>
        <w:rPr>
          <w:rFonts w:ascii="仿宋_GB2312" w:hAnsi="仿宋_GB2312" w:eastAsia="仿宋_GB2312" w:cs="仿宋_GB2312"/>
          <w:sz w:val="32"/>
          <w:szCs w:val="32"/>
          <w:highlight w:val="green"/>
        </w:rPr>
        <w:t>www.ahtba.org.cn</w:t>
      </w:r>
      <w:r>
        <w:rPr>
          <w:rFonts w:ascii="仿宋_GB2312" w:hAnsi="仿宋_GB2312" w:eastAsia="仿宋_GB2312" w:cs="仿宋_GB2312"/>
          <w:sz w:val="32"/>
          <w:szCs w:val="32"/>
          <w:highlight w:val="green"/>
        </w:rPr>
        <w:fldChar w:fldCharType="end"/>
      </w:r>
      <w:r>
        <w:rPr>
          <w:rFonts w:hint="eastAsia" w:ascii="仿宋_GB2312" w:hAnsi="仿宋_GB2312" w:eastAsia="仿宋_GB2312" w:cs="仿宋_GB2312"/>
          <w:sz w:val="32"/>
          <w:szCs w:val="32"/>
          <w:highlight w:val="green"/>
        </w:rPr>
        <w:t>）、亳州交通投资控股集团有限公司官网（</w:t>
      </w:r>
      <w:r>
        <w:rPr>
          <w:rFonts w:ascii="仿宋_GB2312" w:hAnsi="仿宋_GB2312" w:eastAsia="仿宋_GB2312" w:cs="仿宋_GB2312"/>
          <w:sz w:val="32"/>
          <w:szCs w:val="32"/>
          <w:highlight w:val="green"/>
        </w:rPr>
        <w:t>http://www.bzjkjt.com/</w:t>
      </w:r>
      <w:r>
        <w:rPr>
          <w:rFonts w:hint="eastAsia" w:ascii="仿宋_GB2312" w:hAnsi="仿宋_GB2312" w:eastAsia="仿宋_GB2312" w:cs="仿宋_GB2312"/>
          <w:sz w:val="32"/>
          <w:szCs w:val="32"/>
          <w:highlight w:val="green"/>
        </w:rPr>
        <w:t>）</w:t>
      </w:r>
      <w:r>
        <w:rPr>
          <w:rFonts w:hint="eastAsia" w:ascii="仿宋_GB2312" w:hAnsi="仿宋_GB2312" w:eastAsia="仿宋_GB2312" w:cs="仿宋_GB2312"/>
          <w:color w:val="FF0000"/>
          <w:sz w:val="32"/>
          <w:szCs w:val="32"/>
        </w:rPr>
        <w:t>上发布。</w:t>
      </w:r>
    </w:p>
    <w:p>
      <w:pPr>
        <w:spacing w:line="540" w:lineRule="exact"/>
        <w:rPr>
          <w:rFonts w:ascii="黑体" w:hAnsi="黑体" w:eastAsia="黑体" w:cs="黑体"/>
          <w:color w:val="FF0000"/>
          <w:sz w:val="32"/>
          <w:szCs w:val="32"/>
        </w:rPr>
      </w:pPr>
      <w:r>
        <w:rPr>
          <w:rFonts w:hint="eastAsia" w:ascii="黑体" w:hAnsi="黑体" w:eastAsia="黑体" w:cs="黑体"/>
          <w:color w:val="FF0000"/>
          <w:sz w:val="32"/>
          <w:szCs w:val="32"/>
          <w:lang w:val="en-US" w:eastAsia="zh-CN"/>
        </w:rPr>
        <w:t>八</w:t>
      </w:r>
      <w:bookmarkStart w:id="71" w:name="_GoBack"/>
      <w:bookmarkEnd w:id="71"/>
      <w:r>
        <w:rPr>
          <w:rFonts w:hint="eastAsia" w:ascii="黑体" w:hAnsi="黑体" w:eastAsia="黑体" w:cs="黑体"/>
          <w:color w:val="FF0000"/>
          <w:sz w:val="32"/>
          <w:szCs w:val="32"/>
        </w:rPr>
        <w:t>、联系方式</w:t>
      </w:r>
    </w:p>
    <w:p>
      <w:pPr>
        <w:spacing w:line="54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招</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标</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人：亳州交通投资控股集团有限公司；</w:t>
      </w:r>
    </w:p>
    <w:p>
      <w:pPr>
        <w:spacing w:line="54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地</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址：亳州市谯城区药都大道</w:t>
      </w:r>
      <w:r>
        <w:rPr>
          <w:rFonts w:ascii="仿宋_GB2312" w:hAnsi="仿宋_GB2312" w:eastAsia="仿宋_GB2312" w:cs="仿宋_GB2312"/>
          <w:sz w:val="32"/>
          <w:szCs w:val="32"/>
        </w:rPr>
        <w:t>1289</w:t>
      </w:r>
      <w:r>
        <w:rPr>
          <w:rFonts w:hint="eastAsia" w:ascii="仿宋_GB2312" w:hAnsi="仿宋_GB2312" w:eastAsia="仿宋_GB2312" w:cs="仿宋_GB2312"/>
          <w:sz w:val="32"/>
          <w:szCs w:val="32"/>
        </w:rPr>
        <w:t>号（药都大道与希夷大道交叉口东北角</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楼）</w:t>
      </w:r>
    </w:p>
    <w:p>
      <w:pPr>
        <w:spacing w:line="54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邮</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编：</w:t>
      </w:r>
      <w:r>
        <w:rPr>
          <w:rFonts w:ascii="仿宋_GB2312" w:hAnsi="仿宋_GB2312" w:eastAsia="仿宋_GB2312" w:cs="仿宋_GB2312"/>
          <w:sz w:val="32"/>
          <w:szCs w:val="32"/>
        </w:rPr>
        <w:t>236800</w:t>
      </w:r>
    </w:p>
    <w:p>
      <w:pPr>
        <w:spacing w:line="54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联</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系</w:t>
      </w:r>
      <w:r>
        <w:rPr>
          <w:rFonts w:ascii="仿宋_GB2312" w:hAnsi="仿宋_GB2312" w:eastAsia="仿宋_GB2312" w:cs="仿宋_GB2312"/>
          <w:sz w:val="32"/>
          <w:szCs w:val="32"/>
        </w:rPr>
        <w:t> </w:t>
      </w:r>
      <w:r>
        <w:rPr>
          <w:rFonts w:hint="eastAsia" w:ascii="仿宋_GB2312" w:hAnsi="仿宋_GB2312" w:eastAsia="仿宋_GB2312" w:cs="仿宋_GB2312"/>
          <w:sz w:val="32"/>
          <w:szCs w:val="32"/>
        </w:rPr>
        <w:t>人：邓工、田工</w:t>
      </w:r>
      <w:r>
        <w:rPr>
          <w:rFonts w:ascii="仿宋_GB2312" w:hAnsi="仿宋_GB2312" w:eastAsia="仿宋_GB2312" w:cs="仿宋_GB2312"/>
          <w:sz w:val="32"/>
          <w:szCs w:val="32"/>
        </w:rPr>
        <w:t>;</w:t>
      </w:r>
    </w:p>
    <w:p>
      <w:pPr>
        <w:spacing w:line="54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ascii="仿宋_GB2312" w:hAnsi="仿宋_GB2312" w:eastAsia="仿宋_GB2312" w:cs="仿宋_GB2312"/>
          <w:sz w:val="32"/>
          <w:szCs w:val="32"/>
        </w:rPr>
        <w:t>18156793829</w:t>
      </w:r>
      <w:r>
        <w:rPr>
          <w:rFonts w:hint="eastAsia" w:ascii="仿宋_GB2312" w:hAnsi="仿宋_GB2312" w:eastAsia="仿宋_GB2312" w:cs="仿宋_GB2312"/>
          <w:sz w:val="32"/>
          <w:szCs w:val="32"/>
        </w:rPr>
        <w:t>（手机）、</w:t>
      </w:r>
      <w:r>
        <w:rPr>
          <w:rFonts w:ascii="仿宋_GB2312" w:hAnsi="仿宋_GB2312" w:eastAsia="仿宋_GB2312" w:cs="仿宋_GB2312"/>
          <w:sz w:val="32"/>
          <w:szCs w:val="32"/>
        </w:rPr>
        <w:t>0558-5196756</w:t>
      </w:r>
      <w:r>
        <w:rPr>
          <w:rFonts w:hint="eastAsia" w:ascii="仿宋_GB2312" w:hAnsi="仿宋_GB2312" w:eastAsia="仿宋_GB2312" w:cs="仿宋_GB2312"/>
          <w:sz w:val="32"/>
          <w:szCs w:val="32"/>
        </w:rPr>
        <w:t>（座机）；</w:t>
      </w:r>
    </w:p>
    <w:p>
      <w:pPr>
        <w:spacing w:line="54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bzjkjtjjsj@126.com</w:t>
      </w:r>
    </w:p>
    <w:p>
      <w:pPr>
        <w:spacing w:line="54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p>
    <w:p>
      <w:pPr>
        <w:spacing w:line="540" w:lineRule="exact"/>
        <w:ind w:firstLine="640" w:firstLineChars="200"/>
        <w:rPr>
          <w:rFonts w:ascii="仿宋_GB2312" w:hAnsi="仿宋_GB2312" w:eastAsia="仿宋_GB2312" w:cs="仿宋_GB2312"/>
          <w:sz w:val="32"/>
          <w:szCs w:val="32"/>
        </w:rPr>
      </w:pPr>
    </w:p>
    <w:p>
      <w:pPr>
        <w:spacing w:line="540" w:lineRule="exact"/>
        <w:ind w:firstLine="640" w:firstLineChars="200"/>
        <w:rPr>
          <w:rFonts w:ascii="仿宋_GB2312" w:hAnsi="仿宋_GB2312" w:eastAsia="仿宋_GB2312" w:cs="仿宋_GB2312"/>
          <w:sz w:val="32"/>
          <w:szCs w:val="32"/>
        </w:rPr>
      </w:pPr>
    </w:p>
    <w:p>
      <w:pPr>
        <w:spacing w:line="54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亳州交通投资控股集团有限公司</w:t>
      </w:r>
      <w:r>
        <w:rPr>
          <w:rFonts w:ascii="仿宋_GB2312" w:hAnsi="仿宋_GB2312" w:eastAsia="仿宋_GB2312" w:cs="仿宋_GB2312"/>
          <w:sz w:val="32"/>
          <w:szCs w:val="32"/>
        </w:rPr>
        <w:t xml:space="preserve">                              </w:t>
      </w:r>
    </w:p>
    <w:p>
      <w:pPr>
        <w:spacing w:line="540" w:lineRule="exact"/>
        <w:ind w:firstLine="6080" w:firstLineChars="1900"/>
        <w:rPr>
          <w:rFonts w:ascii="仿宋_GB2312" w:hAnsi="仿宋_GB2312" w:eastAsia="仿宋_GB2312" w:cs="仿宋_GB2312"/>
          <w:sz w:val="32"/>
          <w:szCs w:val="32"/>
        </w:rPr>
      </w:pP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8</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w:t>
      </w:r>
      <w:bookmarkStart w:id="0" w:name="Sheet1"/>
      <w:bookmarkEnd w:id="0"/>
    </w:p>
    <w:p>
      <w:pPr>
        <w:spacing w:line="560" w:lineRule="exact"/>
        <w:ind w:left="31680" w:hanging="7228" w:hangingChars="2250"/>
        <w:jc w:val="center"/>
        <w:rPr>
          <w:rFonts w:ascii="Arial" w:hAnsi="Arial" w:eastAsia="黑体"/>
          <w:b/>
          <w:sz w:val="32"/>
          <w:szCs w:val="20"/>
        </w:rPr>
      </w:pPr>
    </w:p>
    <w:p>
      <w:pPr>
        <w:pStyle w:val="2"/>
        <w:keepNext w:val="0"/>
        <w:keepLines w:val="0"/>
        <w:tabs>
          <w:tab w:val="left" w:pos="2778"/>
          <w:tab w:val="center" w:pos="4824"/>
        </w:tabs>
        <w:spacing w:before="0" w:after="0" w:line="560" w:lineRule="exact"/>
      </w:pPr>
      <w:bookmarkStart w:id="1" w:name="_Toc247085687"/>
      <w:bookmarkStart w:id="2" w:name="_Toc296602418"/>
      <w:bookmarkStart w:id="3" w:name="_Toc246996916"/>
      <w:bookmarkStart w:id="4" w:name="_Toc152042303"/>
      <w:bookmarkStart w:id="5" w:name="_Toc246996173"/>
      <w:bookmarkStart w:id="6" w:name="_Toc144974495"/>
      <w:bookmarkStart w:id="7" w:name="_Toc152045527"/>
      <w:bookmarkStart w:id="8" w:name="_Toc179632544"/>
    </w:p>
    <w:p>
      <w:pPr>
        <w:pStyle w:val="2"/>
        <w:keepNext w:val="0"/>
        <w:keepLines w:val="0"/>
        <w:tabs>
          <w:tab w:val="left" w:pos="2778"/>
          <w:tab w:val="center" w:pos="4824"/>
        </w:tabs>
        <w:spacing w:before="0" w:after="0" w:line="560" w:lineRule="exact"/>
      </w:pPr>
    </w:p>
    <w:p>
      <w:pPr>
        <w:pStyle w:val="2"/>
        <w:keepNext w:val="0"/>
        <w:keepLines w:val="0"/>
        <w:tabs>
          <w:tab w:val="left" w:pos="2778"/>
          <w:tab w:val="center" w:pos="4824"/>
        </w:tabs>
        <w:spacing w:before="0" w:after="0" w:line="560" w:lineRule="exact"/>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p>
    <w:p>
      <w:pPr>
        <w:pStyle w:val="2"/>
        <w:keepNext w:val="0"/>
        <w:keepLines w:val="0"/>
        <w:tabs>
          <w:tab w:val="left" w:pos="2778"/>
          <w:tab w:val="center" w:pos="4824"/>
        </w:tabs>
        <w:spacing w:before="0" w:after="0" w:line="560" w:lineRule="exact"/>
        <w:jc w:val="center"/>
      </w:pPr>
      <w:r>
        <w:rPr>
          <w:rFonts w:hint="eastAsia"/>
        </w:rPr>
        <w:t>第二章</w:t>
      </w:r>
      <w:r>
        <w:t xml:space="preserve"> </w:t>
      </w:r>
      <w:r>
        <w:rPr>
          <w:rFonts w:hint="eastAsia"/>
        </w:rPr>
        <w:t>投标人须知</w:t>
      </w:r>
      <w:bookmarkEnd w:id="1"/>
      <w:bookmarkEnd w:id="2"/>
      <w:bookmarkEnd w:id="3"/>
      <w:bookmarkEnd w:id="4"/>
      <w:bookmarkEnd w:id="5"/>
      <w:bookmarkEnd w:id="6"/>
      <w:bookmarkEnd w:id="7"/>
      <w:bookmarkEnd w:id="8"/>
      <w:bookmarkStart w:id="9" w:name="_Toc179632545"/>
      <w:bookmarkStart w:id="10" w:name="_Toc296602419"/>
      <w:bookmarkStart w:id="11" w:name="_Toc152045528"/>
      <w:bookmarkStart w:id="12" w:name="_Toc152042304"/>
      <w:bookmarkStart w:id="13" w:name="_Toc246996917"/>
      <w:bookmarkStart w:id="14" w:name="_Toc144974496"/>
      <w:bookmarkStart w:id="15" w:name="_Toc247085688"/>
      <w:bookmarkStart w:id="16" w:name="_Toc246996174"/>
    </w:p>
    <w:p>
      <w:pPr>
        <w:pStyle w:val="2"/>
        <w:tabs>
          <w:tab w:val="left" w:pos="2778"/>
          <w:tab w:val="center" w:pos="4824"/>
        </w:tabs>
        <w:spacing w:line="560" w:lineRule="exact"/>
      </w:pPr>
      <w:r>
        <w:rPr>
          <w:rFonts w:hint="eastAsia"/>
        </w:rPr>
        <w:t>投标人须知前附表</w:t>
      </w:r>
      <w:bookmarkEnd w:id="9"/>
      <w:bookmarkEnd w:id="10"/>
      <w:bookmarkEnd w:id="11"/>
      <w:bookmarkEnd w:id="12"/>
      <w:bookmarkEnd w:id="13"/>
      <w:bookmarkEnd w:id="14"/>
      <w:bookmarkEnd w:id="15"/>
      <w:bookmarkEnd w:id="16"/>
    </w:p>
    <w:p/>
    <w:tbl>
      <w:tblPr>
        <w:tblStyle w:val="24"/>
        <w:tblW w:w="9310" w:type="dxa"/>
        <w:tblInd w:w="196" w:type="dxa"/>
        <w:tblLayout w:type="fixed"/>
        <w:tblCellMar>
          <w:top w:w="0" w:type="dxa"/>
          <w:left w:w="108" w:type="dxa"/>
          <w:bottom w:w="0" w:type="dxa"/>
          <w:right w:w="108" w:type="dxa"/>
        </w:tblCellMar>
      </w:tblPr>
      <w:tblGrid>
        <w:gridCol w:w="930"/>
        <w:gridCol w:w="2071"/>
        <w:gridCol w:w="6309"/>
      </w:tblGrid>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条款号</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w:t>
            </w:r>
            <w:r>
              <w:rPr>
                <w:b/>
                <w:szCs w:val="21"/>
              </w:rPr>
              <w:t xml:space="preserve">  </w:t>
            </w:r>
            <w:r>
              <w:rPr>
                <w:rFonts w:hint="eastAsia"/>
                <w:b/>
                <w:szCs w:val="21"/>
              </w:rPr>
              <w:t>款</w:t>
            </w:r>
            <w:r>
              <w:rPr>
                <w:b/>
                <w:szCs w:val="21"/>
              </w:rPr>
              <w:t xml:space="preserve">  </w:t>
            </w:r>
            <w:r>
              <w:rPr>
                <w:rFonts w:hint="eastAsia"/>
                <w:b/>
                <w:szCs w:val="21"/>
              </w:rPr>
              <w:t>名</w:t>
            </w:r>
            <w:r>
              <w:rPr>
                <w:b/>
                <w:szCs w:val="21"/>
              </w:rPr>
              <w:t xml:space="preserve">  </w:t>
            </w:r>
            <w:r>
              <w:rPr>
                <w:rFonts w:hint="eastAsia"/>
                <w:b/>
                <w:szCs w:val="21"/>
              </w:rPr>
              <w:t>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编</w:t>
            </w:r>
            <w:r>
              <w:rPr>
                <w:b/>
                <w:szCs w:val="21"/>
              </w:rPr>
              <w:t xml:space="preserve">  </w:t>
            </w:r>
            <w:r>
              <w:rPr>
                <w:rFonts w:hint="eastAsia"/>
                <w:b/>
                <w:szCs w:val="21"/>
              </w:rPr>
              <w:t>列</w:t>
            </w:r>
            <w:r>
              <w:rPr>
                <w:b/>
                <w:szCs w:val="21"/>
              </w:rPr>
              <w:t xml:space="preserve">  </w:t>
            </w:r>
            <w:r>
              <w:rPr>
                <w:rFonts w:hint="eastAsia"/>
                <w:b/>
                <w:szCs w:val="21"/>
              </w:rPr>
              <w:t>内</w:t>
            </w:r>
            <w:r>
              <w:rPr>
                <w:b/>
                <w:szCs w:val="21"/>
              </w:rPr>
              <w:t xml:space="preserve">  </w:t>
            </w:r>
            <w:r>
              <w:rPr>
                <w:rFonts w:hint="eastAsia"/>
                <w:b/>
                <w:szCs w:val="21"/>
              </w:rPr>
              <w:t>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w:t>
            </w:r>
          </w:p>
        </w:tc>
        <w:tc>
          <w:tcPr>
            <w:tcW w:w="6309" w:type="dxa"/>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人：亳州交通投资控股集团有限公司</w:t>
            </w:r>
          </w:p>
          <w:p>
            <w:pPr>
              <w:topLinePunct/>
              <w:spacing w:line="400" w:lineRule="exact"/>
              <w:rPr>
                <w:rFonts w:ascii="仿宋_GB2312" w:hAnsi="宋体" w:eastAsia="仿宋_GB2312"/>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亳州市谯城区药都大道</w:t>
            </w:r>
            <w:r>
              <w:rPr>
                <w:szCs w:val="21"/>
                <w:u w:val="single"/>
              </w:rPr>
              <w:t>1289</w:t>
            </w:r>
            <w:r>
              <w:rPr>
                <w:rFonts w:hint="eastAsia"/>
                <w:szCs w:val="21"/>
                <w:u w:val="single"/>
              </w:rPr>
              <w:t>号（药都大道与希夷大道交叉口东北角</w:t>
            </w:r>
            <w:r>
              <w:rPr>
                <w:szCs w:val="21"/>
                <w:u w:val="single"/>
              </w:rPr>
              <w:t>9</w:t>
            </w:r>
            <w:r>
              <w:rPr>
                <w:rFonts w:hint="eastAsia"/>
                <w:szCs w:val="21"/>
                <w:u w:val="single"/>
              </w:rPr>
              <w:t>楼）</w:t>
            </w:r>
            <w:r>
              <w:rPr>
                <w:szCs w:val="21"/>
              </w:rPr>
              <w:t xml:space="preserve">         </w:t>
            </w:r>
          </w:p>
          <w:p>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人：邓工、</w:t>
            </w:r>
            <w:r>
              <w:rPr>
                <w:rFonts w:hint="eastAsia"/>
                <w:szCs w:val="21"/>
                <w:u w:val="single"/>
              </w:rPr>
              <w:t>田工</w:t>
            </w:r>
            <w:r>
              <w:rPr>
                <w:szCs w:val="21"/>
              </w:rPr>
              <w:t xml:space="preserve">         </w:t>
            </w:r>
          </w:p>
          <w:p>
            <w:pPr>
              <w:topLinePunct/>
              <w:spacing w:line="400" w:lineRule="exact"/>
              <w:rPr>
                <w:szCs w:val="21"/>
              </w:rPr>
            </w:pPr>
            <w:r>
              <w:rPr>
                <w:rFonts w:hint="eastAsia"/>
                <w:szCs w:val="21"/>
              </w:rPr>
              <w:t>电</w:t>
            </w:r>
            <w:r>
              <w:rPr>
                <w:szCs w:val="21"/>
              </w:rPr>
              <w:t xml:space="preserve">    </w:t>
            </w:r>
            <w:r>
              <w:rPr>
                <w:rFonts w:hint="eastAsia"/>
                <w:szCs w:val="21"/>
              </w:rPr>
              <w:t>话：</w:t>
            </w:r>
            <w:r>
              <w:rPr>
                <w:szCs w:val="21"/>
              </w:rPr>
              <w:t>18156793829</w:t>
            </w:r>
            <w:r>
              <w:rPr>
                <w:rFonts w:hint="eastAsia"/>
                <w:szCs w:val="21"/>
              </w:rPr>
              <w:t>（手机）；</w:t>
            </w:r>
            <w:r>
              <w:rPr>
                <w:szCs w:val="21"/>
                <w:u w:val="single"/>
              </w:rPr>
              <w:t>0558-5196756</w:t>
            </w:r>
            <w:r>
              <w:rPr>
                <w:rFonts w:hint="eastAsia"/>
                <w:szCs w:val="21"/>
                <w:u w:val="single"/>
              </w:rPr>
              <w:t>（座机）</w:t>
            </w:r>
            <w:r>
              <w:rPr>
                <w:szCs w:val="21"/>
              </w:rPr>
              <w:t xml:space="preserve">                  </w:t>
            </w:r>
          </w:p>
          <w:p>
            <w:pPr>
              <w:spacing w:line="400" w:lineRule="exact"/>
              <w:rPr>
                <w:szCs w:val="21"/>
              </w:rPr>
            </w:pPr>
            <w:r>
              <w:rPr>
                <w:rFonts w:hint="eastAsia"/>
                <w:szCs w:val="21"/>
              </w:rPr>
              <w:t>电子邮件：</w:t>
            </w:r>
            <w:r>
              <w:rPr>
                <w:szCs w:val="21"/>
                <w:u w:val="single"/>
              </w:rPr>
              <w:t>bzjkjtjjsj@126.com</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项目名称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亳州公路客运高铁枢纽站弱电智能化采购项目</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建设地点</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详见招标公告</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资金来源及比例</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rPr>
              <w:t>企业自筹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资金落实情况</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shd w:val="clear" w:color="auto" w:fill="D9D9D9"/>
              </w:rPr>
              <w:t>已落实</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招标范围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详见招标公告</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供货周期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u w:val="single"/>
              </w:rPr>
              <w:t>自合同签订之日起</w:t>
            </w:r>
            <w:r>
              <w:rPr>
                <w:szCs w:val="21"/>
                <w:u w:val="single"/>
              </w:rPr>
              <w:t xml:space="preserve"> 40 </w:t>
            </w:r>
            <w:r>
              <w:rPr>
                <w:rFonts w:hint="eastAsia"/>
                <w:szCs w:val="21"/>
              </w:rPr>
              <w:t>日历天</w:t>
            </w:r>
          </w:p>
        </w:tc>
      </w:tr>
      <w:tr>
        <w:tblPrEx>
          <w:tblLayout w:type="fixed"/>
          <w:tblCellMar>
            <w:top w:w="0" w:type="dxa"/>
            <w:left w:w="108" w:type="dxa"/>
            <w:bottom w:w="0" w:type="dxa"/>
            <w:right w:w="108" w:type="dxa"/>
          </w:tblCellMar>
        </w:tblPrEx>
        <w:trPr>
          <w:trHeight w:val="90"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一次性通过相关部门的验收并取得验收合格证，符合技术要求。</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投标人资质条件、能力</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szCs w:val="21"/>
              </w:rPr>
            </w:pPr>
            <w:r>
              <w:rPr>
                <w:szCs w:val="21"/>
              </w:rPr>
              <w:t>1</w:t>
            </w:r>
            <w:r>
              <w:rPr>
                <w:rFonts w:hint="eastAsia"/>
                <w:szCs w:val="21"/>
              </w:rPr>
              <w:t>、本次招标要求投标人须具有独立承担民事责任的能力和有效的安全生产许可证，具备建设行政主管部门核发电子与智能化工程专业承包二级及以上资质；</w:t>
            </w:r>
          </w:p>
          <w:p>
            <w:pPr>
              <w:tabs>
                <w:tab w:val="left" w:pos="720"/>
              </w:tabs>
              <w:spacing w:line="360" w:lineRule="auto"/>
              <w:rPr>
                <w:szCs w:val="21"/>
              </w:rPr>
            </w:pPr>
            <w:r>
              <w:rPr>
                <w:szCs w:val="21"/>
              </w:rPr>
              <w:t>2</w:t>
            </w:r>
            <w:r>
              <w:rPr>
                <w:rFonts w:hint="eastAsia"/>
                <w:szCs w:val="21"/>
              </w:rPr>
              <w:t>、拟派项目经理具有机电工程专业一级注册建造师资格，具有有效安全生产考核合格证（</w:t>
            </w:r>
            <w:r>
              <w:rPr>
                <w:szCs w:val="21"/>
              </w:rPr>
              <w:t>B</w:t>
            </w:r>
            <w:r>
              <w:rPr>
                <w:rFonts w:hint="eastAsia"/>
                <w:szCs w:val="21"/>
              </w:rPr>
              <w:t>类证），无在建工程；提供连续</w:t>
            </w:r>
            <w:r>
              <w:rPr>
                <w:szCs w:val="21"/>
              </w:rPr>
              <w:t>6</w:t>
            </w:r>
            <w:r>
              <w:rPr>
                <w:rFonts w:hint="eastAsia"/>
                <w:szCs w:val="21"/>
              </w:rPr>
              <w:t>个月的社会保险证明（指社保管理单位出具的证明，加盖社保管理单位的公章或电子章；如提供复印件或扫描件，加盖投标单位公章）。</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1.5.1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质量保证及售后服务</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szCs w:val="21"/>
              </w:rPr>
            </w:pPr>
            <w:r>
              <w:rPr>
                <w:szCs w:val="21"/>
              </w:rPr>
              <w:t>1.</w:t>
            </w:r>
            <w:r>
              <w:rPr>
                <w:rFonts w:hint="eastAsia"/>
                <w:szCs w:val="21"/>
              </w:rPr>
              <w:t>报价人应提供原装、全新的、符合国家及用户提出的有关质量标准的设备。</w:t>
            </w:r>
          </w:p>
          <w:p>
            <w:pPr>
              <w:tabs>
                <w:tab w:val="left" w:pos="720"/>
              </w:tabs>
              <w:spacing w:line="360" w:lineRule="auto"/>
              <w:rPr>
                <w:szCs w:val="21"/>
              </w:rPr>
            </w:pPr>
            <w:r>
              <w:rPr>
                <w:szCs w:val="21"/>
              </w:rPr>
              <w:t>2.</w:t>
            </w:r>
            <w:r>
              <w:rPr>
                <w:rFonts w:hint="eastAsia"/>
                <w:szCs w:val="21"/>
              </w:rPr>
              <w:t>中标人必须保证所提供的设备和合同规定的质量、规格和性能相一致，并确保其完整。</w:t>
            </w:r>
          </w:p>
          <w:p>
            <w:pPr>
              <w:tabs>
                <w:tab w:val="left" w:pos="720"/>
              </w:tabs>
              <w:spacing w:line="360" w:lineRule="auto"/>
              <w:rPr>
                <w:szCs w:val="21"/>
              </w:rPr>
            </w:pPr>
            <w:r>
              <w:rPr>
                <w:szCs w:val="21"/>
              </w:rPr>
              <w:t>3.</w:t>
            </w:r>
            <w:r>
              <w:rPr>
                <w:rFonts w:hint="eastAsia"/>
                <w:szCs w:val="21"/>
              </w:rPr>
              <w:t>对于没有列出而对设备的正常运行和维护必不可少的部件、配件等，中选人必须给予补充，补充费用由中标人承担。</w:t>
            </w:r>
          </w:p>
          <w:p>
            <w:pPr>
              <w:tabs>
                <w:tab w:val="left" w:pos="720"/>
              </w:tabs>
              <w:spacing w:line="360" w:lineRule="auto"/>
              <w:rPr>
                <w:szCs w:val="21"/>
              </w:rPr>
            </w:pPr>
            <w:r>
              <w:rPr>
                <w:szCs w:val="21"/>
              </w:rPr>
              <w:t>4.</w:t>
            </w:r>
            <w:r>
              <w:rPr>
                <w:rFonts w:hint="eastAsia"/>
                <w:szCs w:val="21"/>
              </w:rPr>
              <w:t>中标人必须给予质保期服务承诺书规定的质量保证期，此质保期从调试合格后</w:t>
            </w:r>
            <w:r>
              <w:rPr>
                <w:szCs w:val="21"/>
              </w:rPr>
              <w:t>24</w:t>
            </w:r>
            <w:r>
              <w:rPr>
                <w:rFonts w:hint="eastAsia"/>
                <w:szCs w:val="21"/>
              </w:rPr>
              <w:t>个月（</w:t>
            </w:r>
            <w:r>
              <w:rPr>
                <w:szCs w:val="21"/>
              </w:rPr>
              <w:t>2</w:t>
            </w:r>
            <w:r>
              <w:rPr>
                <w:rFonts w:hint="eastAsia"/>
                <w:szCs w:val="21"/>
              </w:rPr>
              <w:t>年）的免费质量保修期（包括零配件）。</w:t>
            </w:r>
          </w:p>
          <w:p>
            <w:pPr>
              <w:tabs>
                <w:tab w:val="left" w:pos="720"/>
              </w:tabs>
              <w:spacing w:line="360" w:lineRule="auto"/>
              <w:rPr>
                <w:szCs w:val="21"/>
              </w:rPr>
            </w:pPr>
            <w:r>
              <w:rPr>
                <w:szCs w:val="21"/>
              </w:rPr>
              <w:t>5.</w:t>
            </w:r>
            <w:r>
              <w:rPr>
                <w:rFonts w:hint="eastAsia"/>
                <w:szCs w:val="21"/>
              </w:rPr>
              <w:t>乙方须具备专门的售后服务机构，且在得到甲方通知的</w:t>
            </w:r>
            <w:r>
              <w:rPr>
                <w:szCs w:val="21"/>
              </w:rPr>
              <w:t>24</w:t>
            </w:r>
            <w:r>
              <w:rPr>
                <w:rFonts w:hint="eastAsia"/>
                <w:szCs w:val="21"/>
              </w:rPr>
              <w:t>小时内做出及时响应。</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踏勘现场</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不组织</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投标预备会</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不召开</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投标人提出问题的截止时间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w:t>
            </w:r>
            <w:r>
              <w:rPr>
                <w:rFonts w:hint="eastAsia"/>
                <w:szCs w:val="21"/>
              </w:rPr>
              <w:t>。</w:t>
            </w:r>
          </w:p>
          <w:p>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或招标代理机构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招标人书面澄清的时间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招标文件的澄清、修改等将在投标截止时间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日内</w:t>
            </w:r>
            <w:r>
              <w:rPr>
                <w:rFonts w:hint="eastAsia"/>
                <w:szCs w:val="21"/>
              </w:rPr>
              <w:t>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构成招标文件的其他材料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招标人发出的澄清、答疑及补充文件等。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投标人要求澄清招标文件的截止时间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投标人认为招标文件有关内容损害了自身权益，对招标文件有异议的，应当在投标截止时间</w:t>
            </w:r>
            <w:r>
              <w:rPr>
                <w:szCs w:val="21"/>
              </w:rPr>
              <w:t>3</w:t>
            </w:r>
            <w:r>
              <w:rPr>
                <w:rFonts w:hint="eastAsia"/>
                <w:szCs w:val="21"/>
              </w:rPr>
              <w:t>日前以书面形式提出。否则，投标人无权再进行投诉。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szCs w:val="21"/>
                <w:u w:val="single"/>
              </w:rPr>
              <w:t xml:space="preserve"> 2019</w:t>
            </w:r>
            <w:r>
              <w:rPr>
                <w:rFonts w:hint="eastAsia"/>
                <w:szCs w:val="21"/>
              </w:rPr>
              <w:t>年</w:t>
            </w:r>
            <w:r>
              <w:rPr>
                <w:szCs w:val="21"/>
                <w:u w:val="single"/>
              </w:rPr>
              <w:t>8</w:t>
            </w:r>
            <w:r>
              <w:rPr>
                <w:rFonts w:hint="eastAsia"/>
                <w:szCs w:val="21"/>
              </w:rPr>
              <w:t>月</w:t>
            </w:r>
            <w:r>
              <w:rPr>
                <w:szCs w:val="21"/>
                <w:u w:val="single"/>
              </w:rPr>
              <w:t xml:space="preserve"> 9 </w:t>
            </w:r>
            <w:r>
              <w:rPr>
                <w:rFonts w:hint="eastAsia"/>
                <w:szCs w:val="21"/>
              </w:rPr>
              <w:t>日</w:t>
            </w:r>
            <w:r>
              <w:rPr>
                <w:szCs w:val="21"/>
                <w:u w:val="single"/>
              </w:rPr>
              <w:t xml:space="preserve"> 9 </w:t>
            </w:r>
            <w:r>
              <w:rPr>
                <w:rFonts w:hint="eastAsia"/>
                <w:szCs w:val="21"/>
              </w:rPr>
              <w:t>时</w:t>
            </w:r>
            <w:r>
              <w:rPr>
                <w:szCs w:val="21"/>
                <w:u w:val="single"/>
              </w:rPr>
              <w:t>00</w:t>
            </w:r>
            <w:r>
              <w:rPr>
                <w:rFonts w:hint="eastAsia"/>
                <w:szCs w:val="21"/>
              </w:rPr>
              <w:t>分</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投标人确认收到招标文件修改的时间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3.1.1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构成投标文件的其他材料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投标人的书面澄清、说明和补正（但不得改变投标文件的实质性内容）。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最高投标限价</w:t>
            </w:r>
          </w:p>
          <w:p>
            <w:pPr>
              <w:spacing w:line="440" w:lineRule="exact"/>
              <w:jc w:val="center"/>
              <w:rPr>
                <w:szCs w:val="21"/>
              </w:rPr>
            </w:pPr>
            <w:r>
              <w:rPr>
                <w:rFonts w:hint="eastAsia"/>
                <w:szCs w:val="21"/>
              </w:rPr>
              <w:t>（招标控制价，下同）</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highlight w:val="yellow"/>
                <w:shd w:val="clear" w:color="auto" w:fill="D9D9D9"/>
              </w:rPr>
              <w:t>详见招标公告。</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投标有效期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投标截止之日起</w:t>
            </w:r>
            <w:r>
              <w:rPr>
                <w:szCs w:val="21"/>
                <w:highlight w:val="yellow"/>
                <w:shd w:val="clear" w:color="auto" w:fill="D9D9D9"/>
              </w:rPr>
              <w:t>60</w:t>
            </w:r>
            <w:r>
              <w:rPr>
                <w:rFonts w:hint="eastAsia"/>
                <w:szCs w:val="21"/>
              </w:rPr>
              <w:t>天。</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投标保证金</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投标保证金的形式：银行汇款或转账</w:t>
            </w:r>
          </w:p>
          <w:p>
            <w:pPr>
              <w:spacing w:line="400" w:lineRule="exact"/>
              <w:rPr>
                <w:szCs w:val="21"/>
              </w:rPr>
            </w:pPr>
            <w:r>
              <w:rPr>
                <w:rFonts w:hint="eastAsia"/>
                <w:szCs w:val="21"/>
              </w:rPr>
              <w:t>投标保证金的金额：人民币（大写）：</w:t>
            </w:r>
            <w:r>
              <w:rPr>
                <w:rFonts w:hint="eastAsia"/>
                <w:b/>
                <w:bCs/>
                <w:szCs w:val="21"/>
                <w:highlight w:val="yellow"/>
                <w:u w:val="single"/>
                <w:shd w:val="clear" w:color="auto" w:fill="D9D9D9"/>
              </w:rPr>
              <w:t>壹拾壹万叁仟元</w:t>
            </w:r>
            <w:r>
              <w:rPr>
                <w:rFonts w:hint="eastAsia"/>
                <w:szCs w:val="21"/>
              </w:rPr>
              <w:t>整，（小写）：</w:t>
            </w:r>
            <w:r>
              <w:rPr>
                <w:szCs w:val="21"/>
              </w:rPr>
              <w:t>¥</w:t>
            </w:r>
            <w:r>
              <w:rPr>
                <w:b/>
                <w:bCs/>
                <w:szCs w:val="21"/>
                <w:highlight w:val="yellow"/>
                <w:u w:val="single"/>
                <w:shd w:val="clear" w:color="auto" w:fill="D9D9D9"/>
              </w:rPr>
              <w:t>113000</w:t>
            </w:r>
            <w:r>
              <w:rPr>
                <w:rFonts w:hint="eastAsia"/>
                <w:szCs w:val="21"/>
              </w:rPr>
              <w:t>元。</w:t>
            </w:r>
          </w:p>
          <w:p>
            <w:pPr>
              <w:wordWrap w:val="0"/>
              <w:spacing w:line="400" w:lineRule="exact"/>
              <w:ind w:firstLine="420" w:firstLineChars="200"/>
              <w:rPr>
                <w:szCs w:val="21"/>
              </w:rPr>
            </w:pPr>
            <w:r>
              <w:rPr>
                <w:rFonts w:hint="eastAsia"/>
                <w:szCs w:val="21"/>
              </w:rPr>
              <w:t>收取保证金账号信息：</w:t>
            </w:r>
          </w:p>
          <w:p>
            <w:pPr>
              <w:widowControl/>
              <w:shd w:val="clear" w:color="auto" w:fill="FFFFFF"/>
              <w:spacing w:line="500" w:lineRule="exact"/>
              <w:ind w:firstLine="420" w:firstLineChars="200"/>
              <w:rPr>
                <w:szCs w:val="21"/>
              </w:rPr>
            </w:pPr>
            <w:r>
              <w:rPr>
                <w:rFonts w:hint="eastAsia"/>
                <w:szCs w:val="21"/>
              </w:rPr>
              <w:t>开户名称：亳州交通投资控股集团有限公司</w:t>
            </w:r>
          </w:p>
          <w:p>
            <w:pPr>
              <w:widowControl/>
              <w:shd w:val="clear" w:color="auto" w:fill="FFFFFF"/>
              <w:spacing w:line="500" w:lineRule="exact"/>
              <w:ind w:firstLine="420" w:firstLineChars="200"/>
              <w:rPr>
                <w:szCs w:val="21"/>
              </w:rPr>
            </w:pPr>
            <w:r>
              <w:rPr>
                <w:rFonts w:hint="eastAsia"/>
                <w:szCs w:val="21"/>
              </w:rPr>
              <w:t>户银行：中国农业银行亳州分行营业部</w:t>
            </w:r>
          </w:p>
          <w:p>
            <w:pPr>
              <w:widowControl/>
              <w:shd w:val="clear" w:color="auto" w:fill="FFFFFF"/>
              <w:spacing w:line="500" w:lineRule="exact"/>
              <w:ind w:firstLine="420" w:firstLineChars="200"/>
              <w:rPr>
                <w:szCs w:val="21"/>
              </w:rPr>
            </w:pPr>
            <w:r>
              <w:rPr>
                <w:rFonts w:hint="eastAsia"/>
                <w:szCs w:val="21"/>
              </w:rPr>
              <w:t>账</w:t>
            </w:r>
            <w:r>
              <w:rPr>
                <w:szCs w:val="21"/>
              </w:rPr>
              <w:t xml:space="preserve"> </w:t>
            </w:r>
            <w:r>
              <w:rPr>
                <w:rFonts w:hint="eastAsia"/>
                <w:szCs w:val="21"/>
              </w:rPr>
              <w:t>户</w:t>
            </w:r>
            <w:r>
              <w:rPr>
                <w:szCs w:val="21"/>
              </w:rPr>
              <w:t> </w:t>
            </w:r>
            <w:r>
              <w:rPr>
                <w:rFonts w:hint="eastAsia"/>
                <w:szCs w:val="21"/>
              </w:rPr>
              <w:t>号：</w:t>
            </w:r>
            <w:r>
              <w:rPr>
                <w:szCs w:val="21"/>
              </w:rPr>
              <w:t>1267 0801 0400 09482</w:t>
            </w:r>
          </w:p>
          <w:p>
            <w:pPr>
              <w:spacing w:line="400" w:lineRule="exact"/>
              <w:rPr>
                <w:szCs w:val="21"/>
              </w:rPr>
            </w:pPr>
            <w:r>
              <w:rPr>
                <w:rFonts w:hint="eastAsia"/>
                <w:szCs w:val="21"/>
              </w:rPr>
              <w:t>其他要求：</w:t>
            </w:r>
          </w:p>
          <w:p>
            <w:pPr>
              <w:wordWrap w:val="0"/>
              <w:spacing w:line="400" w:lineRule="exact"/>
              <w:ind w:firstLine="420" w:firstLineChars="20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w:t>
            </w:r>
            <w:r>
              <w:rPr>
                <w:szCs w:val="21"/>
                <w:highlight w:val="yellow"/>
                <w:shd w:val="clear" w:color="auto" w:fill="D9D9D9"/>
              </w:rPr>
              <w:t>BZJK-2019-054</w:t>
            </w:r>
            <w:r>
              <w:rPr>
                <w:rFonts w:hint="eastAsia"/>
                <w:szCs w:val="21"/>
                <w:highlight w:val="yellow"/>
                <w:shd w:val="clear" w:color="auto" w:fill="D9D9D9"/>
              </w:rPr>
              <w:t>号保证金</w:t>
            </w:r>
            <w:r>
              <w:rPr>
                <w:rFonts w:hint="eastAsia"/>
                <w:szCs w:val="21"/>
              </w:rPr>
              <w:t>”，否则，责任自负。</w:t>
            </w:r>
          </w:p>
          <w:p>
            <w:pPr>
              <w:spacing w:line="400" w:lineRule="exact"/>
              <w:ind w:firstLine="420" w:firstLineChars="200"/>
              <w:rPr>
                <w:szCs w:val="21"/>
              </w:rPr>
            </w:pPr>
            <w:r>
              <w:rPr>
                <w:rFonts w:hint="eastAsia"/>
                <w:szCs w:val="21"/>
              </w:rPr>
              <w:t>未按时汇入或非投标人基本账户汇出或收款银行账号错误无法判定保证金对应关系的，保证金无效。</w:t>
            </w:r>
          </w:p>
          <w:p>
            <w:pPr>
              <w:wordWrap w:val="0"/>
              <w:spacing w:line="440" w:lineRule="exact"/>
              <w:rPr>
                <w:rFonts w:ascii="Times New Roman" w:hAnsi="Times New Roman"/>
                <w:b/>
                <w:bCs/>
                <w:szCs w:val="21"/>
              </w:rPr>
            </w:pPr>
            <w:r>
              <w:rPr>
                <w:rFonts w:hint="eastAsia" w:ascii="Times New Roman" w:hAnsi="Times New Roman"/>
                <w:b/>
                <w:bCs/>
                <w:szCs w:val="21"/>
              </w:rPr>
              <w:t>投标保证金退还（本金无息）：</w:t>
            </w:r>
          </w:p>
          <w:p>
            <w:pPr>
              <w:wordWrap w:val="0"/>
              <w:spacing w:line="440" w:lineRule="exact"/>
              <w:ind w:firstLine="420" w:firstLineChars="200"/>
              <w:rPr>
                <w:rFonts w:ascii="Times New Roman" w:hAnsi="Times New Roman"/>
                <w:szCs w:val="21"/>
              </w:rPr>
            </w:pPr>
            <w:r>
              <w:rPr>
                <w:rFonts w:hint="eastAsia" w:ascii="Times New Roman" w:hAnsi="Times New Roman"/>
                <w:szCs w:val="21"/>
              </w:rPr>
              <w:t>（</w:t>
            </w:r>
            <w:r>
              <w:rPr>
                <w:rFonts w:ascii="Times New Roman" w:hAnsi="Times New Roman"/>
                <w:szCs w:val="21"/>
              </w:rPr>
              <w:t>1</w:t>
            </w:r>
            <w:r>
              <w:rPr>
                <w:rFonts w:hint="eastAsia" w:ascii="Times New Roman" w:hAnsi="Times New Roman"/>
                <w:szCs w:val="21"/>
              </w:rPr>
              <w:t>）招标不成功（或开标现场拒收投标文件）的，</w:t>
            </w:r>
            <w:r>
              <w:rPr>
                <w:rFonts w:ascii="Times New Roman" w:hAnsi="Times New Roman"/>
                <w:szCs w:val="21"/>
              </w:rPr>
              <w:t>5</w:t>
            </w:r>
            <w:r>
              <w:rPr>
                <w:rFonts w:hint="eastAsia" w:ascii="Times New Roman" w:hAnsi="Times New Roman"/>
                <w:szCs w:val="21"/>
              </w:rPr>
              <w:t>日内直接退还至该投标人汇出帐户。</w:t>
            </w:r>
          </w:p>
          <w:p>
            <w:pPr>
              <w:spacing w:line="400" w:lineRule="exact"/>
              <w:ind w:firstLine="420" w:firstLineChars="200"/>
              <w:rPr>
                <w:szCs w:val="21"/>
              </w:rPr>
            </w:pPr>
            <w:r>
              <w:rPr>
                <w:rFonts w:hint="eastAsia" w:ascii="Times New Roman" w:hAnsi="Times New Roman"/>
                <w:szCs w:val="21"/>
              </w:rPr>
              <w:t>（</w:t>
            </w:r>
            <w:r>
              <w:rPr>
                <w:rFonts w:ascii="Times New Roman" w:hAnsi="Times New Roman"/>
                <w:szCs w:val="21"/>
              </w:rPr>
              <w:t>2</w:t>
            </w:r>
            <w:r>
              <w:rPr>
                <w:rFonts w:hint="eastAsia" w:ascii="Times New Roman" w:hAnsi="Times New Roman"/>
                <w:szCs w:val="21"/>
              </w:rPr>
              <w:t>）中标侯选人公示期满且确定中标人后，未中标人的投标保证金在</w:t>
            </w:r>
            <w:r>
              <w:rPr>
                <w:rFonts w:ascii="Times New Roman" w:hAnsi="Times New Roman"/>
                <w:szCs w:val="21"/>
              </w:rPr>
              <w:t>5</w:t>
            </w:r>
            <w:r>
              <w:rPr>
                <w:rFonts w:hint="eastAsia" w:ascii="Times New Roman" w:hAnsi="Times New Roman"/>
                <w:szCs w:val="21"/>
              </w:rPr>
              <w:t>日内直接退还至该投标人汇出帐户。</w:t>
            </w:r>
          </w:p>
        </w:tc>
      </w:tr>
      <w:tr>
        <w:tblPrEx>
          <w:tblLayout w:type="fixed"/>
          <w:tblCellMar>
            <w:top w:w="0" w:type="dxa"/>
            <w:left w:w="108" w:type="dxa"/>
            <w:bottom w:w="0" w:type="dxa"/>
            <w:right w:w="108" w:type="dxa"/>
          </w:tblCellMar>
        </w:tblPrEx>
        <w:trPr>
          <w:trHeight w:val="1518"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3.5.1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付款方式</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ind w:firstLine="420" w:firstLineChars="200"/>
              <w:rPr>
                <w:szCs w:val="21"/>
              </w:rPr>
            </w:pPr>
            <w:r>
              <w:rPr>
                <w:rFonts w:hint="eastAsia"/>
                <w:szCs w:val="21"/>
              </w:rPr>
              <w:t>工程完成</w:t>
            </w:r>
            <w:r>
              <w:rPr>
                <w:szCs w:val="21"/>
              </w:rPr>
              <w:t>50%</w:t>
            </w:r>
            <w:r>
              <w:rPr>
                <w:rFonts w:hint="eastAsia"/>
                <w:szCs w:val="21"/>
              </w:rPr>
              <w:t>后付至工程合同价款的</w:t>
            </w:r>
            <w:r>
              <w:rPr>
                <w:szCs w:val="21"/>
              </w:rPr>
              <w:t>40%</w:t>
            </w:r>
            <w:r>
              <w:rPr>
                <w:rFonts w:hint="eastAsia"/>
                <w:szCs w:val="21"/>
              </w:rPr>
              <w:t>，工程完成</w:t>
            </w:r>
            <w:r>
              <w:rPr>
                <w:szCs w:val="21"/>
              </w:rPr>
              <w:t>80%</w:t>
            </w:r>
            <w:r>
              <w:rPr>
                <w:rFonts w:hint="eastAsia"/>
                <w:szCs w:val="21"/>
              </w:rPr>
              <w:t>后付至工程合同价款的</w:t>
            </w:r>
            <w:r>
              <w:rPr>
                <w:szCs w:val="21"/>
              </w:rPr>
              <w:t>60%</w:t>
            </w:r>
            <w:r>
              <w:rPr>
                <w:rFonts w:hint="eastAsia"/>
                <w:szCs w:val="21"/>
              </w:rPr>
              <w:t>，工程竣工验收合格后付至已完成工程合同价款的</w:t>
            </w:r>
            <w:r>
              <w:rPr>
                <w:szCs w:val="21"/>
              </w:rPr>
              <w:t>80%</w:t>
            </w:r>
            <w:r>
              <w:rPr>
                <w:rFonts w:hint="eastAsia"/>
                <w:szCs w:val="21"/>
              </w:rPr>
              <w:t>，余款作为待结价款和质保金，工程结算经审计部门审核后，付至审定价款的</w:t>
            </w:r>
            <w:r>
              <w:rPr>
                <w:szCs w:val="21"/>
              </w:rPr>
              <w:t>97%</w:t>
            </w:r>
            <w:r>
              <w:rPr>
                <w:rFonts w:hint="eastAsia"/>
                <w:szCs w:val="21"/>
              </w:rPr>
              <w:t>；自竣工验收合格之日起满两年无质量问题，余款一次性付清（无息）。</w:t>
            </w:r>
          </w:p>
          <w:p>
            <w:pPr>
              <w:spacing w:line="400" w:lineRule="exact"/>
              <w:ind w:firstLine="420" w:firstLineChars="200"/>
              <w:rPr>
                <w:szCs w:val="21"/>
              </w:rPr>
            </w:pPr>
            <w:r>
              <w:rPr>
                <w:rFonts w:hint="eastAsia"/>
                <w:szCs w:val="21"/>
              </w:rPr>
              <w:t>采购人每次付款前，中标人需提供增值税专用发票，否则采购人有权拒绝付款。</w:t>
            </w:r>
          </w:p>
        </w:tc>
      </w:tr>
      <w:tr>
        <w:tblPrEx>
          <w:tblLayout w:type="fixed"/>
          <w:tblCellMar>
            <w:top w:w="0" w:type="dxa"/>
            <w:left w:w="108" w:type="dxa"/>
            <w:bottom w:w="0" w:type="dxa"/>
            <w:right w:w="108" w:type="dxa"/>
          </w:tblCellMar>
        </w:tblPrEx>
        <w:trPr>
          <w:trHeight w:val="1906"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签字或盖章要求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盖章：除另有规定外，投标文件封面、封套封口处及文件中规定盖章处均须加盖投标人公章（鲜章），不得使用其它如带有“专用章”、“合同章”、“财务章”、“业务章”、下属单位或分支机构印章代替，否则其投标无效；</w:t>
            </w:r>
          </w:p>
          <w:p>
            <w:pPr>
              <w:spacing w:line="400" w:lineRule="exact"/>
              <w:rPr>
                <w:szCs w:val="21"/>
              </w:rPr>
            </w:pPr>
            <w:r>
              <w:rPr>
                <w:rFonts w:hint="eastAsia"/>
                <w:szCs w:val="21"/>
              </w:rPr>
              <w:t>（</w:t>
            </w:r>
            <w:r>
              <w:rPr>
                <w:szCs w:val="21"/>
              </w:rPr>
              <w:t>2</w:t>
            </w:r>
            <w:r>
              <w:rPr>
                <w:rFonts w:hint="eastAsia"/>
                <w:szCs w:val="21"/>
              </w:rPr>
              <w:t>）签字：除文件另有规定外，均应为手写签字，否则其投标无效。</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投标文件份数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b/>
                <w:bCs/>
                <w:szCs w:val="21"/>
                <w:highlight w:val="yellow"/>
                <w:u w:val="single"/>
                <w:shd w:val="clear" w:color="auto" w:fill="D9D9D9"/>
              </w:rPr>
              <w:t>一正三副</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装订要求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w:t>
            </w:r>
            <w:r>
              <w:rPr>
                <w:rFonts w:hint="eastAsia"/>
                <w:szCs w:val="21"/>
                <w:highlight w:val="yellow"/>
                <w:shd w:val="clear" w:color="auto" w:fill="D9D9D9"/>
              </w:rPr>
              <w:t>所有正本与副本封装在一个密封袋中</w:t>
            </w:r>
            <w:r>
              <w:rPr>
                <w:rFonts w:hint="eastAsia"/>
                <w:szCs w:val="21"/>
              </w:rPr>
              <w:t>，且在投标文件封面标明“正本”或“副本”的字样；</w:t>
            </w:r>
          </w:p>
          <w:p>
            <w:pPr>
              <w:spacing w:line="400" w:lineRule="exact"/>
              <w:rPr>
                <w:szCs w:val="21"/>
              </w:rPr>
            </w:pPr>
            <w:r>
              <w:rPr>
                <w:rFonts w:hint="eastAsia"/>
                <w:szCs w:val="21"/>
              </w:rPr>
              <w:t>（</w:t>
            </w:r>
            <w:r>
              <w:rPr>
                <w:szCs w:val="21"/>
              </w:rPr>
              <w:t>2</w:t>
            </w:r>
            <w:r>
              <w:rPr>
                <w:rFonts w:hint="eastAsia"/>
                <w:szCs w:val="21"/>
              </w:rPr>
              <w:t>）投标文件应按要求密封，密封袋封口加盖投标单位印章；</w:t>
            </w:r>
          </w:p>
          <w:p>
            <w:pPr>
              <w:spacing w:line="400" w:lineRule="exact"/>
              <w:rPr>
                <w:szCs w:val="21"/>
              </w:rPr>
            </w:pPr>
            <w:r>
              <w:rPr>
                <w:rFonts w:hint="eastAsia"/>
                <w:szCs w:val="21"/>
              </w:rPr>
              <w:t>（</w:t>
            </w:r>
            <w:r>
              <w:rPr>
                <w:szCs w:val="21"/>
              </w:rPr>
              <w:t>3</w:t>
            </w:r>
            <w:r>
              <w:rPr>
                <w:rFonts w:hint="eastAsia"/>
                <w:szCs w:val="21"/>
              </w:rPr>
              <w:t>）投标文件须采用胶粘方式装订，装订应牢固、不易拆散和换页，不得采用活页装订。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是否退还投标文件</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否</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5.1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开标时间和地点</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开标时间：同投标截止时间</w:t>
            </w:r>
          </w:p>
          <w:p>
            <w:pPr>
              <w:spacing w:line="400" w:lineRule="exact"/>
              <w:rPr>
                <w:szCs w:val="21"/>
              </w:rPr>
            </w:pPr>
            <w:r>
              <w:rPr>
                <w:rFonts w:hint="eastAsia"/>
                <w:szCs w:val="21"/>
              </w:rPr>
              <w:t>开标地点：</w:t>
            </w:r>
            <w:r>
              <w:rPr>
                <w:rFonts w:hint="eastAsia"/>
                <w:szCs w:val="21"/>
                <w:highlight w:val="yellow"/>
                <w:shd w:val="clear" w:color="auto" w:fill="D9D9D9"/>
              </w:rPr>
              <w:t>亳州交通投资控股集团有限公司八楼会议室（药都大道与希夷大道交叉口东北角</w:t>
            </w:r>
            <w:r>
              <w:rPr>
                <w:szCs w:val="21"/>
                <w:highlight w:val="yellow"/>
                <w:shd w:val="clear" w:color="auto" w:fill="D9D9D9"/>
              </w:rPr>
              <w:t>8</w:t>
            </w:r>
            <w:r>
              <w:rPr>
                <w:rFonts w:hint="eastAsia"/>
                <w:szCs w:val="21"/>
                <w:highlight w:val="yellow"/>
                <w:shd w:val="clear" w:color="auto" w:fill="D9D9D9"/>
              </w:rPr>
              <w:t>楼）</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6.1.1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评标委员会的组建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评标委员会构成：</w:t>
            </w:r>
            <w:r>
              <w:rPr>
                <w:szCs w:val="21"/>
                <w:highlight w:val="yellow"/>
                <w:u w:val="single"/>
                <w:shd w:val="clear" w:color="auto" w:fill="D9D9D9"/>
              </w:rPr>
              <w:t>5</w:t>
            </w:r>
            <w:r>
              <w:rPr>
                <w:rFonts w:hint="eastAsia"/>
                <w:szCs w:val="21"/>
                <w:highlight w:val="yellow"/>
                <w:shd w:val="clear" w:color="auto" w:fill="D9D9D9"/>
              </w:rPr>
              <w:t>人，其中招标人代表</w:t>
            </w:r>
            <w:r>
              <w:rPr>
                <w:szCs w:val="21"/>
                <w:highlight w:val="yellow"/>
                <w:u w:val="single"/>
                <w:shd w:val="clear" w:color="auto" w:fill="D9D9D9"/>
              </w:rPr>
              <w:t>1</w:t>
            </w:r>
            <w:r>
              <w:rPr>
                <w:rFonts w:hint="eastAsia"/>
                <w:szCs w:val="21"/>
                <w:highlight w:val="yellow"/>
                <w:shd w:val="clear" w:color="auto" w:fill="D9D9D9"/>
              </w:rPr>
              <w:t>人，专家</w:t>
            </w:r>
            <w:r>
              <w:rPr>
                <w:szCs w:val="21"/>
                <w:highlight w:val="yellow"/>
                <w:u w:val="single"/>
                <w:shd w:val="clear" w:color="auto" w:fill="D9D9D9"/>
              </w:rPr>
              <w:t>4</w:t>
            </w:r>
            <w:r>
              <w:rPr>
                <w:rFonts w:hint="eastAsia"/>
                <w:szCs w:val="21"/>
                <w:highlight w:val="yellow"/>
                <w:shd w:val="clear" w:color="auto" w:fill="D9D9D9"/>
              </w:rPr>
              <w:t>人</w:t>
            </w:r>
            <w:r>
              <w:rPr>
                <w:rFonts w:hint="eastAsia"/>
                <w:szCs w:val="21"/>
              </w:rPr>
              <w:t>；</w:t>
            </w:r>
          </w:p>
          <w:p>
            <w:pPr>
              <w:spacing w:line="400" w:lineRule="exact"/>
              <w:rPr>
                <w:szCs w:val="21"/>
              </w:rPr>
            </w:pPr>
            <w:r>
              <w:rPr>
                <w:rFonts w:hint="eastAsia"/>
                <w:szCs w:val="21"/>
              </w:rPr>
              <w:t>评标专家确定方式：按有关规定组建。</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是否授权评标委员会确定中标人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否，推荐的中标候选人数：</w:t>
            </w:r>
            <w:r>
              <w:rPr>
                <w:szCs w:val="21"/>
              </w:rPr>
              <w:t>3</w:t>
            </w:r>
            <w:r>
              <w:rPr>
                <w:rFonts w:hint="eastAsia"/>
                <w:szCs w:val="21"/>
              </w:rPr>
              <w:t>人</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7.2</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中标候选人公示媒介</w:t>
            </w:r>
          </w:p>
        </w:tc>
        <w:tc>
          <w:tcPr>
            <w:tcW w:w="6309" w:type="dxa"/>
            <w:tcBorders>
              <w:top w:val="single" w:color="auto" w:sz="4" w:space="0"/>
              <w:left w:val="single" w:color="auto" w:sz="4" w:space="0"/>
              <w:bottom w:val="nil"/>
              <w:right w:val="single" w:color="auto" w:sz="4" w:space="0"/>
            </w:tcBorders>
            <w:vAlign w:val="center"/>
          </w:tcPr>
          <w:p>
            <w:pPr>
              <w:wordWrap w:val="0"/>
              <w:spacing w:line="400" w:lineRule="exact"/>
              <w:rPr>
                <w:sz w:val="32"/>
                <w:szCs w:val="32"/>
              </w:rPr>
            </w:pPr>
            <w:r>
              <w:rPr>
                <w:rFonts w:hint="eastAsia"/>
                <w:szCs w:val="21"/>
              </w:rPr>
              <w:t>亳州交通投资控股集团有限公司官网（</w:t>
            </w:r>
            <w:r>
              <w:rPr>
                <w:szCs w:val="21"/>
              </w:rPr>
              <w:t>www.bzjkjt.com</w:t>
            </w:r>
            <w:r>
              <w:rPr>
                <w:rFonts w:hint="eastAsia"/>
                <w:szCs w:val="21"/>
              </w:rPr>
              <w:t>）</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7.4.1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履约担保</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履约担保的形式：</w:t>
            </w:r>
          </w:p>
          <w:p>
            <w:pPr>
              <w:spacing w:line="400" w:lineRule="exact"/>
              <w:ind w:firstLine="420" w:firstLineChars="200"/>
              <w:rPr>
                <w:szCs w:val="21"/>
              </w:rPr>
            </w:pPr>
            <w:r>
              <w:rPr>
                <w:rFonts w:hint="eastAsia"/>
                <w:szCs w:val="21"/>
              </w:rPr>
              <w:t>中标后，投标保证金自动转为履约保证金，履约保证金不足部分由中标人在收到中标通知书</w:t>
            </w:r>
            <w:r>
              <w:rPr>
                <w:szCs w:val="21"/>
              </w:rPr>
              <w:t>15</w:t>
            </w:r>
            <w:r>
              <w:rPr>
                <w:rFonts w:hint="eastAsia"/>
                <w:szCs w:val="21"/>
              </w:rPr>
              <w:t>日内从其基本账户开户行银行汇款。收取履约保证金账号同投标保证金账户。</w:t>
            </w:r>
          </w:p>
          <w:p>
            <w:pPr>
              <w:spacing w:line="400" w:lineRule="exact"/>
              <w:ind w:firstLine="420" w:firstLineChars="200"/>
              <w:rPr>
                <w:szCs w:val="21"/>
              </w:rPr>
            </w:pPr>
            <w:r>
              <w:rPr>
                <w:rFonts w:hint="eastAsia"/>
                <w:szCs w:val="21"/>
              </w:rPr>
              <w:t>无违约行为发生或违约行为已处理的情况下，全部设备经验收合格并运行成功后返还全部履约保证金（本金无息）。</w:t>
            </w:r>
          </w:p>
          <w:p>
            <w:pPr>
              <w:spacing w:line="400" w:lineRule="exact"/>
              <w:rPr>
                <w:szCs w:val="21"/>
              </w:rPr>
            </w:pPr>
            <w:r>
              <w:rPr>
                <w:rFonts w:hint="eastAsia"/>
                <w:szCs w:val="21"/>
              </w:rPr>
              <w:t>履约保证金的金额：</w:t>
            </w:r>
            <w:r>
              <w:rPr>
                <w:rFonts w:hint="eastAsia"/>
                <w:b/>
                <w:bCs/>
                <w:szCs w:val="21"/>
                <w:highlight w:val="yellow"/>
                <w:shd w:val="clear" w:color="auto" w:fill="D9D9D9"/>
              </w:rPr>
              <w:t>中标价的</w:t>
            </w:r>
            <w:r>
              <w:rPr>
                <w:b/>
                <w:bCs/>
                <w:szCs w:val="21"/>
                <w:highlight w:val="yellow"/>
                <w:shd w:val="clear" w:color="auto" w:fill="D9D9D9"/>
              </w:rPr>
              <w:t>10%</w:t>
            </w:r>
            <w:r>
              <w:rPr>
                <w:szCs w:val="21"/>
              </w:rPr>
              <w:t>(</w:t>
            </w:r>
            <w:r>
              <w:rPr>
                <w:rFonts w:hint="eastAsia"/>
                <w:szCs w:val="21"/>
              </w:rPr>
              <w:t>全部设备经验收合格并运行成功后无息退还</w:t>
            </w:r>
            <w:r>
              <w:rPr>
                <w:szCs w:val="21"/>
              </w:rPr>
              <w:t>)</w:t>
            </w:r>
          </w:p>
        </w:tc>
      </w:tr>
      <w:tr>
        <w:tblPrEx>
          <w:tblLayout w:type="fixed"/>
          <w:tblCellMar>
            <w:top w:w="0" w:type="dxa"/>
            <w:left w:w="108" w:type="dxa"/>
            <w:bottom w:w="0" w:type="dxa"/>
            <w:right w:w="108" w:type="dxa"/>
          </w:tblCellMar>
        </w:tblPrEx>
        <w:tc>
          <w:tcPr>
            <w:tcW w:w="9310"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9</w:t>
            </w:r>
          </w:p>
        </w:tc>
        <w:tc>
          <w:tcPr>
            <w:tcW w:w="838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需要补充的其他内容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highlight w:val="yellow"/>
                <w:shd w:val="clear" w:color="auto" w:fill="D9D9D9"/>
              </w:rPr>
            </w:pPr>
            <w:r>
              <w:rPr>
                <w:rFonts w:hint="eastAsia"/>
                <w:szCs w:val="21"/>
                <w:highlight w:val="yellow"/>
                <w:shd w:val="clear" w:color="auto" w:fill="D9D9D9"/>
              </w:rPr>
              <w:t>其他要求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shd w:val="clear" w:color="auto" w:fill="D9D9D9"/>
              </w:rPr>
            </w:pPr>
            <w:r>
              <w:rPr>
                <w:rFonts w:hint="eastAsia"/>
                <w:szCs w:val="21"/>
                <w:highlight w:val="yellow"/>
                <w:shd w:val="clear" w:color="auto" w:fill="D9D9D9"/>
              </w:rPr>
              <w:t>否</w:t>
            </w:r>
          </w:p>
        </w:tc>
      </w:tr>
      <w:tr>
        <w:tblPrEx>
          <w:tblLayout w:type="fixed"/>
          <w:tblCellMar>
            <w:top w:w="0" w:type="dxa"/>
            <w:left w:w="108" w:type="dxa"/>
            <w:bottom w:w="0" w:type="dxa"/>
            <w:right w:w="108" w:type="dxa"/>
          </w:tblCellMar>
        </w:tblPrEx>
        <w:trPr>
          <w:trHeight w:val="680"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shd w:val="clear" w:color="auto" w:fill="D9D9D9"/>
              </w:rPr>
            </w:pPr>
            <w:r>
              <w:rPr>
                <w:rFonts w:hint="eastAsia"/>
                <w:szCs w:val="21"/>
              </w:rPr>
              <w:t>解释权</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 w:val="32"/>
                <w:szCs w:val="32"/>
                <w:shd w:val="clear" w:color="auto" w:fill="D9D9D9"/>
              </w:rPr>
            </w:pPr>
            <w:r>
              <w:rPr>
                <w:rFonts w:hint="eastAsia"/>
                <w:szCs w:val="21"/>
              </w:rPr>
              <w:t>构成本招标文件的各个组成文件应互为解释，互为说明。如有不明确或不一致的，由招标人负责解释。</w:t>
            </w:r>
          </w:p>
        </w:tc>
      </w:tr>
    </w:tbl>
    <w:p>
      <w:pPr>
        <w:wordWrap w:val="0"/>
        <w:spacing w:line="400" w:lineRule="exact"/>
        <w:ind w:firstLine="420" w:firstLineChars="200"/>
        <w:rPr>
          <w:rFonts w:ascii="Times New Roman" w:hAnsi="Times New Roman"/>
          <w:color w:val="000000"/>
          <w:kern w:val="0"/>
        </w:rPr>
      </w:pPr>
      <w:r>
        <w:rPr>
          <w:rFonts w:hint="eastAsia" w:ascii="Times New Roman" w:hAnsi="Times New Roman" w:eastAsia="黑体"/>
          <w:color w:val="000000"/>
          <w:kern w:val="0"/>
        </w:rPr>
        <w:t>说明：</w:t>
      </w:r>
      <w:r>
        <w:rPr>
          <w:rFonts w:hint="eastAsia" w:ascii="Times New Roman" w:hAnsi="Times New Roman"/>
          <w:color w:val="000000"/>
          <w:kern w:val="0"/>
        </w:rPr>
        <w:t>投标人须知细则参照国家发改委</w:t>
      </w:r>
      <w:r>
        <w:rPr>
          <w:rFonts w:ascii="Times New Roman" w:hAnsi="Times New Roman"/>
          <w:color w:val="000000"/>
          <w:kern w:val="0"/>
        </w:rPr>
        <w:t>2017</w:t>
      </w:r>
      <w:r>
        <w:rPr>
          <w:rFonts w:hint="eastAsia" w:ascii="Times New Roman" w:hAnsi="Times New Roman"/>
          <w:color w:val="000000"/>
          <w:kern w:val="0"/>
        </w:rPr>
        <w:t>年</w:t>
      </w:r>
      <w:r>
        <w:rPr>
          <w:rFonts w:ascii="Times New Roman" w:hAnsi="Times New Roman"/>
          <w:color w:val="000000"/>
          <w:kern w:val="0"/>
        </w:rPr>
        <w:t>9</w:t>
      </w:r>
      <w:r>
        <w:rPr>
          <w:rFonts w:hint="eastAsia" w:ascii="Times New Roman" w:hAnsi="Times New Roman"/>
          <w:color w:val="000000"/>
          <w:kern w:val="0"/>
        </w:rPr>
        <w:t>月</w:t>
      </w:r>
      <w:r>
        <w:rPr>
          <w:rFonts w:ascii="Times New Roman" w:hAnsi="Times New Roman"/>
          <w:color w:val="000000"/>
          <w:kern w:val="0"/>
        </w:rPr>
        <w:t>4</w:t>
      </w:r>
      <w:r>
        <w:rPr>
          <w:rFonts w:hint="eastAsia" w:ascii="Times New Roman" w:hAnsi="Times New Roman"/>
          <w:color w:val="000000"/>
          <w:kern w:val="0"/>
        </w:rPr>
        <w:t>日印发的《中华人民共和国标准设备采购招标文件》执行。招标文件相关内容与投标人须知前附表不一致的，以投标人须知前附表为准。</w:t>
      </w:r>
    </w:p>
    <w:p>
      <w:pPr>
        <w:wordWrap w:val="0"/>
        <w:spacing w:line="400" w:lineRule="exact"/>
        <w:rPr>
          <w:rFonts w:ascii="Times New Roman" w:hAnsi="Times New Roman" w:eastAsia="黑体"/>
          <w:kern w:val="0"/>
          <w:sz w:val="32"/>
          <w:szCs w:val="32"/>
        </w:rPr>
      </w:pPr>
      <w:r>
        <w:rPr>
          <w:rFonts w:ascii="Times New Roman" w:hAnsi="Times New Roman" w:eastAsia="黑体"/>
          <w:kern w:val="0"/>
          <w:sz w:val="32"/>
          <w:szCs w:val="32"/>
        </w:rPr>
        <w:br w:type="page"/>
      </w:r>
    </w:p>
    <w:p>
      <w:pPr>
        <w:pStyle w:val="3"/>
        <w:keepNext w:val="0"/>
        <w:keepLines w:val="0"/>
        <w:spacing w:line="413" w:lineRule="auto"/>
        <w:jc w:val="center"/>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4"/>
        <w:tblW w:w="9856" w:type="dxa"/>
        <w:jc w:val="center"/>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73" w:type="dxa"/>
            <w:gridSpan w:val="2"/>
          </w:tcPr>
          <w:p>
            <w:pPr>
              <w:spacing w:line="360" w:lineRule="exact"/>
              <w:ind w:firstLine="200"/>
              <w:jc w:val="center"/>
              <w:rPr>
                <w:rFonts w:ascii="宋体"/>
                <w:sz w:val="24"/>
                <w:szCs w:val="24"/>
              </w:rPr>
            </w:pPr>
            <w:r>
              <w:rPr>
                <w:rFonts w:hint="eastAsia" w:ascii="宋体" w:hAnsi="宋体"/>
                <w:sz w:val="24"/>
                <w:szCs w:val="24"/>
              </w:rPr>
              <w:t>评审内容</w:t>
            </w:r>
          </w:p>
        </w:tc>
        <w:tc>
          <w:tcPr>
            <w:tcW w:w="6383" w:type="dxa"/>
          </w:tcPr>
          <w:p>
            <w:pPr>
              <w:spacing w:line="360" w:lineRule="exact"/>
              <w:ind w:firstLine="200"/>
              <w:jc w:val="center"/>
              <w:rPr>
                <w:rFonts w:asci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vAlign w:val="center"/>
          </w:tcPr>
          <w:p>
            <w:pPr>
              <w:spacing w:line="360" w:lineRule="exact"/>
              <w:ind w:firstLine="200"/>
              <w:jc w:val="center"/>
              <w:rPr>
                <w:rFonts w:ascii="宋体"/>
                <w:sz w:val="24"/>
                <w:szCs w:val="24"/>
              </w:rPr>
            </w:pPr>
            <w:r>
              <w:rPr>
                <w:rFonts w:hint="eastAsia" w:ascii="宋体" w:hAnsi="宋体"/>
                <w:sz w:val="24"/>
                <w:szCs w:val="24"/>
              </w:rPr>
              <w:t>资格性检查</w:t>
            </w:r>
          </w:p>
        </w:tc>
        <w:tc>
          <w:tcPr>
            <w:tcW w:w="2268" w:type="dxa"/>
            <w:vAlign w:val="center"/>
          </w:tcPr>
          <w:p>
            <w:pPr>
              <w:spacing w:line="360" w:lineRule="exact"/>
              <w:ind w:firstLine="200"/>
              <w:jc w:val="center"/>
              <w:rPr>
                <w:rFonts w:ascii="宋体"/>
                <w:sz w:val="24"/>
                <w:szCs w:val="24"/>
              </w:rPr>
            </w:pPr>
            <w:r>
              <w:rPr>
                <w:rFonts w:hint="eastAsia" w:ascii="宋体" w:hAnsi="宋体"/>
                <w:sz w:val="24"/>
                <w:szCs w:val="24"/>
              </w:rPr>
              <w:t>营业执照</w:t>
            </w:r>
          </w:p>
        </w:tc>
        <w:tc>
          <w:tcPr>
            <w:tcW w:w="6383" w:type="dxa"/>
            <w:vAlign w:val="center"/>
          </w:tcPr>
          <w:p>
            <w:pPr>
              <w:spacing w:line="360" w:lineRule="exact"/>
              <w:rPr>
                <w:rFonts w:ascii="宋体"/>
                <w:color w:val="FF0000"/>
                <w:sz w:val="24"/>
                <w:szCs w:val="24"/>
                <w:highlight w:val="yellow"/>
              </w:rPr>
            </w:pPr>
            <w:r>
              <w:rPr>
                <w:rFonts w:hint="eastAsia" w:ascii="宋体" w:hAnsi="宋体"/>
                <w:color w:val="FF0000"/>
                <w:sz w:val="24"/>
                <w:szCs w:val="24"/>
                <w:highlight w:val="yellow"/>
              </w:rPr>
              <w:t>提供合法有效的营业执照证件复印件（加盖公章）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vAlign w:val="center"/>
          </w:tcPr>
          <w:p>
            <w:pPr>
              <w:spacing w:line="360" w:lineRule="exact"/>
              <w:ind w:firstLine="200"/>
              <w:jc w:val="center"/>
              <w:rPr>
                <w:rFonts w:ascii="宋体"/>
                <w:sz w:val="24"/>
                <w:szCs w:val="24"/>
              </w:rPr>
            </w:pPr>
          </w:p>
        </w:tc>
        <w:tc>
          <w:tcPr>
            <w:tcW w:w="2268" w:type="dxa"/>
            <w:vAlign w:val="center"/>
          </w:tcPr>
          <w:p>
            <w:pPr>
              <w:spacing w:line="360" w:lineRule="exact"/>
              <w:ind w:firstLine="200"/>
              <w:jc w:val="center"/>
              <w:rPr>
                <w:rFonts w:ascii="宋体"/>
                <w:color w:val="FF0000"/>
                <w:sz w:val="24"/>
                <w:szCs w:val="24"/>
              </w:rPr>
            </w:pPr>
            <w:r>
              <w:rPr>
                <w:rFonts w:hint="eastAsia" w:ascii="宋体" w:hAnsi="宋体"/>
                <w:color w:val="FF0000"/>
                <w:sz w:val="24"/>
                <w:szCs w:val="24"/>
              </w:rPr>
              <w:t>依法缴纳税收证明材料</w:t>
            </w:r>
          </w:p>
        </w:tc>
        <w:tc>
          <w:tcPr>
            <w:tcW w:w="6383" w:type="dxa"/>
            <w:vAlign w:val="center"/>
          </w:tcPr>
          <w:p>
            <w:pPr>
              <w:spacing w:line="360" w:lineRule="exact"/>
              <w:rPr>
                <w:rFonts w:ascii="宋体"/>
                <w:color w:val="FF0000"/>
                <w:sz w:val="24"/>
                <w:szCs w:val="24"/>
                <w:highlight w:val="yellow"/>
              </w:rPr>
            </w:pPr>
            <w:r>
              <w:rPr>
                <w:rFonts w:hint="eastAsia" w:ascii="宋体" w:hAnsi="宋体"/>
                <w:color w:val="FF0000"/>
                <w:sz w:val="24"/>
                <w:szCs w:val="24"/>
                <w:highlight w:val="yellow"/>
              </w:rPr>
              <w:t>提供近一年来（开标之日起上推一年）至少</w:t>
            </w:r>
            <w:r>
              <w:rPr>
                <w:rFonts w:ascii="宋体" w:hAnsi="宋体"/>
                <w:color w:val="FF0000"/>
                <w:sz w:val="24"/>
                <w:szCs w:val="24"/>
                <w:highlight w:val="yellow"/>
              </w:rPr>
              <w:t>3</w:t>
            </w:r>
            <w:r>
              <w:rPr>
                <w:rFonts w:hint="eastAsia" w:ascii="宋体" w:hAnsi="宋体"/>
                <w:color w:val="FF0000"/>
                <w:sz w:val="24"/>
                <w:szCs w:val="24"/>
                <w:highlight w:val="yellow"/>
              </w:rPr>
              <w:t>个月的缴纳税收的凭据或税务机关开具的缴纳税收的证明材料（依法免税的供应商应提供相应证明文件）加盖公章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vAlign w:val="center"/>
          </w:tcPr>
          <w:p>
            <w:pPr>
              <w:spacing w:line="360" w:lineRule="exact"/>
              <w:ind w:firstLine="200"/>
              <w:jc w:val="center"/>
              <w:rPr>
                <w:rFonts w:ascii="宋体"/>
                <w:sz w:val="24"/>
                <w:szCs w:val="24"/>
              </w:rPr>
            </w:pPr>
          </w:p>
        </w:tc>
        <w:tc>
          <w:tcPr>
            <w:tcW w:w="2268" w:type="dxa"/>
            <w:vAlign w:val="center"/>
          </w:tcPr>
          <w:p>
            <w:pPr>
              <w:spacing w:line="360" w:lineRule="exact"/>
              <w:ind w:firstLine="200"/>
              <w:jc w:val="center"/>
              <w:rPr>
                <w:rFonts w:ascii="宋体"/>
                <w:color w:val="FF0000"/>
                <w:sz w:val="24"/>
                <w:szCs w:val="24"/>
              </w:rPr>
            </w:pPr>
            <w:r>
              <w:rPr>
                <w:rFonts w:hint="eastAsia" w:ascii="宋体" w:hAnsi="宋体"/>
                <w:color w:val="FF0000"/>
                <w:sz w:val="24"/>
                <w:szCs w:val="24"/>
              </w:rPr>
              <w:t>社会保障资金证明材料</w:t>
            </w:r>
          </w:p>
        </w:tc>
        <w:tc>
          <w:tcPr>
            <w:tcW w:w="6383" w:type="dxa"/>
            <w:vAlign w:val="center"/>
          </w:tcPr>
          <w:p>
            <w:pPr>
              <w:spacing w:line="360" w:lineRule="exact"/>
              <w:rPr>
                <w:rFonts w:ascii="宋体"/>
                <w:color w:val="FF0000"/>
                <w:sz w:val="24"/>
                <w:szCs w:val="24"/>
                <w:highlight w:val="yellow"/>
              </w:rPr>
            </w:pPr>
            <w:r>
              <w:rPr>
                <w:rFonts w:hint="eastAsia" w:ascii="宋体" w:hAnsi="宋体"/>
                <w:color w:val="FF0000"/>
                <w:sz w:val="24"/>
                <w:szCs w:val="24"/>
                <w:highlight w:val="yellow"/>
              </w:rPr>
              <w:t>缴纳社会保险的凭据（加盖公章）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vAlign w:val="center"/>
          </w:tcPr>
          <w:p>
            <w:pPr>
              <w:spacing w:line="360" w:lineRule="exact"/>
              <w:ind w:firstLine="200"/>
              <w:jc w:val="center"/>
              <w:rPr>
                <w:rFonts w:ascii="宋体"/>
                <w:sz w:val="24"/>
                <w:szCs w:val="24"/>
              </w:rPr>
            </w:pPr>
          </w:p>
        </w:tc>
        <w:tc>
          <w:tcPr>
            <w:tcW w:w="2268" w:type="dxa"/>
            <w:vAlign w:val="center"/>
          </w:tcPr>
          <w:p>
            <w:pPr>
              <w:spacing w:line="360" w:lineRule="exact"/>
              <w:ind w:firstLine="200"/>
              <w:jc w:val="center"/>
              <w:rPr>
                <w:rFonts w:ascii="宋体"/>
                <w:color w:val="FF0000"/>
                <w:sz w:val="24"/>
                <w:szCs w:val="24"/>
              </w:rPr>
            </w:pPr>
            <w:r>
              <w:rPr>
                <w:rFonts w:hint="eastAsia" w:ascii="宋体" w:hAnsi="宋体"/>
                <w:color w:val="FF0000"/>
                <w:sz w:val="24"/>
                <w:szCs w:val="24"/>
              </w:rPr>
              <w:t>无重大违法记录声明函</w:t>
            </w:r>
          </w:p>
        </w:tc>
        <w:tc>
          <w:tcPr>
            <w:tcW w:w="6383" w:type="dxa"/>
            <w:vAlign w:val="center"/>
          </w:tcPr>
          <w:p>
            <w:pPr>
              <w:spacing w:line="360" w:lineRule="exact"/>
              <w:rPr>
                <w:rFonts w:ascii="宋体"/>
                <w:i/>
                <w:color w:val="FF0000"/>
                <w:sz w:val="24"/>
                <w:szCs w:val="24"/>
                <w:highlight w:val="yellow"/>
              </w:rPr>
            </w:pPr>
            <w:r>
              <w:rPr>
                <w:rFonts w:hint="eastAsia" w:ascii="宋体" w:hAnsi="宋体"/>
                <w:sz w:val="24"/>
                <w:szCs w:val="24"/>
                <w:highlight w:val="yellow"/>
              </w:rPr>
              <w:t>符合招标文件要求（格式附后，加盖公章）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vAlign w:val="center"/>
          </w:tcPr>
          <w:p>
            <w:pPr>
              <w:spacing w:line="360" w:lineRule="exact"/>
              <w:ind w:firstLine="200"/>
              <w:jc w:val="center"/>
              <w:rPr>
                <w:rFonts w:ascii="宋体"/>
                <w:sz w:val="24"/>
                <w:szCs w:val="24"/>
              </w:rPr>
            </w:pPr>
          </w:p>
        </w:tc>
        <w:tc>
          <w:tcPr>
            <w:tcW w:w="2268" w:type="dxa"/>
            <w:vAlign w:val="center"/>
          </w:tcPr>
          <w:p>
            <w:pPr>
              <w:spacing w:line="360" w:lineRule="exact"/>
              <w:ind w:firstLine="200"/>
              <w:jc w:val="center"/>
              <w:rPr>
                <w:rFonts w:ascii="宋体"/>
                <w:sz w:val="24"/>
                <w:szCs w:val="24"/>
              </w:rPr>
            </w:pPr>
            <w:r>
              <w:rPr>
                <w:rFonts w:hint="eastAsia" w:ascii="宋体" w:hAnsi="宋体"/>
                <w:sz w:val="24"/>
                <w:szCs w:val="24"/>
              </w:rPr>
              <w:t>法定代表人或授权代表资格</w:t>
            </w:r>
          </w:p>
        </w:tc>
        <w:tc>
          <w:tcPr>
            <w:tcW w:w="6383" w:type="dxa"/>
            <w:vAlign w:val="center"/>
          </w:tcPr>
          <w:p>
            <w:pPr>
              <w:spacing w:line="360" w:lineRule="exact"/>
              <w:rPr>
                <w:rFonts w:ascii="宋体"/>
                <w:sz w:val="24"/>
                <w:szCs w:val="24"/>
                <w:highlight w:val="yellow"/>
              </w:rPr>
            </w:pPr>
            <w:r>
              <w:rPr>
                <w:rFonts w:hint="eastAsia" w:ascii="宋体" w:hAnsi="宋体"/>
                <w:sz w:val="24"/>
                <w:szCs w:val="24"/>
                <w:highlight w:val="yellow"/>
              </w:rPr>
              <w:t>符合招标文件要求（格式附后，加盖公章）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vAlign w:val="center"/>
          </w:tcPr>
          <w:p>
            <w:pPr>
              <w:spacing w:line="360" w:lineRule="exact"/>
              <w:ind w:firstLine="200"/>
              <w:jc w:val="center"/>
              <w:rPr>
                <w:rFonts w:ascii="宋体"/>
                <w:sz w:val="24"/>
                <w:szCs w:val="24"/>
              </w:rPr>
            </w:pPr>
          </w:p>
        </w:tc>
        <w:tc>
          <w:tcPr>
            <w:tcW w:w="2268" w:type="dxa"/>
            <w:vAlign w:val="center"/>
          </w:tcPr>
          <w:p>
            <w:pPr>
              <w:widowControl/>
              <w:spacing w:line="360" w:lineRule="exact"/>
              <w:ind w:firstLine="120" w:firstLineChars="50"/>
              <w:jc w:val="center"/>
              <w:rPr>
                <w:rFonts w:ascii="宋体"/>
                <w:sz w:val="24"/>
                <w:szCs w:val="24"/>
              </w:rPr>
            </w:pPr>
            <w:r>
              <w:rPr>
                <w:rFonts w:hint="eastAsia" w:ascii="宋体" w:hAnsi="宋体"/>
                <w:sz w:val="24"/>
                <w:szCs w:val="24"/>
              </w:rPr>
              <w:t>投标保证金有关证明材料</w:t>
            </w:r>
          </w:p>
        </w:tc>
        <w:tc>
          <w:tcPr>
            <w:tcW w:w="6383" w:type="dxa"/>
            <w:vAlign w:val="center"/>
          </w:tcPr>
          <w:p>
            <w:pPr>
              <w:widowControl/>
              <w:spacing w:line="360" w:lineRule="exact"/>
              <w:rPr>
                <w:rFonts w:asci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1205" w:type="dxa"/>
            <w:vMerge w:val="continue"/>
            <w:vAlign w:val="center"/>
          </w:tcPr>
          <w:p>
            <w:pPr>
              <w:spacing w:line="360" w:lineRule="exact"/>
              <w:ind w:firstLine="200"/>
              <w:jc w:val="center"/>
              <w:rPr>
                <w:rFonts w:ascii="宋体"/>
                <w:sz w:val="24"/>
                <w:szCs w:val="24"/>
              </w:rPr>
            </w:pPr>
          </w:p>
        </w:tc>
        <w:tc>
          <w:tcPr>
            <w:tcW w:w="2268" w:type="dxa"/>
            <w:vAlign w:val="center"/>
          </w:tcPr>
          <w:p>
            <w:pPr>
              <w:widowControl/>
              <w:spacing w:line="360" w:lineRule="exact"/>
              <w:ind w:firstLine="120" w:firstLineChars="50"/>
              <w:jc w:val="center"/>
              <w:rPr>
                <w:rFonts w:ascii="宋体"/>
                <w:sz w:val="24"/>
                <w:szCs w:val="24"/>
              </w:rPr>
            </w:pPr>
            <w:r>
              <w:rPr>
                <w:rFonts w:hint="eastAsia" w:ascii="宋体" w:hAnsi="宋体"/>
                <w:sz w:val="24"/>
                <w:szCs w:val="24"/>
              </w:rPr>
              <w:t>投标人资质</w:t>
            </w:r>
          </w:p>
        </w:tc>
        <w:tc>
          <w:tcPr>
            <w:tcW w:w="6383" w:type="dxa"/>
            <w:vAlign w:val="center"/>
          </w:tcPr>
          <w:p>
            <w:pPr>
              <w:tabs>
                <w:tab w:val="left" w:pos="720"/>
              </w:tabs>
              <w:spacing w:line="360" w:lineRule="auto"/>
              <w:rPr>
                <w:rFonts w:ascii="宋体"/>
                <w:sz w:val="24"/>
                <w:szCs w:val="24"/>
                <w:highlight w:val="yellow"/>
              </w:rPr>
            </w:pPr>
            <w:r>
              <w:rPr>
                <w:rFonts w:ascii="宋体" w:hAnsi="宋体"/>
                <w:sz w:val="24"/>
                <w:szCs w:val="24"/>
                <w:highlight w:val="yellow"/>
              </w:rPr>
              <w:t xml:space="preserve">  1</w:t>
            </w:r>
            <w:r>
              <w:rPr>
                <w:rFonts w:hint="eastAsia" w:ascii="宋体" w:hAnsi="宋体"/>
                <w:sz w:val="24"/>
                <w:szCs w:val="24"/>
                <w:highlight w:val="yellow"/>
              </w:rPr>
              <w:t>、本次招标要求投标人须具有独立承担民事责任的能力和有效的安全生产许可证，具备建设行政主管部门核发电子与智能化工程专业承包二级及以上资质；</w:t>
            </w:r>
          </w:p>
          <w:p>
            <w:pPr>
              <w:tabs>
                <w:tab w:val="left" w:pos="720"/>
              </w:tabs>
              <w:spacing w:line="360" w:lineRule="auto"/>
              <w:rPr>
                <w:rFonts w:ascii="宋体"/>
                <w:sz w:val="24"/>
                <w:szCs w:val="24"/>
                <w:highlight w:val="yellow"/>
              </w:rPr>
            </w:pPr>
            <w:r>
              <w:rPr>
                <w:rFonts w:ascii="宋体" w:hAnsi="宋体"/>
                <w:sz w:val="24"/>
                <w:szCs w:val="24"/>
                <w:highlight w:val="yellow"/>
              </w:rPr>
              <w:t>2</w:t>
            </w:r>
            <w:r>
              <w:rPr>
                <w:rFonts w:hint="eastAsia" w:ascii="宋体" w:hAnsi="宋体"/>
                <w:sz w:val="24"/>
                <w:szCs w:val="24"/>
                <w:highlight w:val="yellow"/>
              </w:rPr>
              <w:t>、拟派项目经理具有机电工程专业一级注册建造师资格，具有有效安全生产考核合格证（</w:t>
            </w:r>
            <w:r>
              <w:rPr>
                <w:rFonts w:ascii="宋体" w:hAnsi="宋体"/>
                <w:sz w:val="24"/>
                <w:szCs w:val="24"/>
                <w:highlight w:val="yellow"/>
              </w:rPr>
              <w:t>B</w:t>
            </w:r>
            <w:r>
              <w:rPr>
                <w:rFonts w:hint="eastAsia" w:ascii="宋体" w:hAnsi="宋体"/>
                <w:sz w:val="24"/>
                <w:szCs w:val="24"/>
                <w:highlight w:val="yellow"/>
              </w:rPr>
              <w:t>类证），无在建工程；提供连续</w:t>
            </w:r>
            <w:r>
              <w:rPr>
                <w:rFonts w:ascii="宋体" w:hAnsi="宋体"/>
                <w:sz w:val="24"/>
                <w:szCs w:val="24"/>
                <w:highlight w:val="yellow"/>
              </w:rPr>
              <w:t>6</w:t>
            </w:r>
            <w:r>
              <w:rPr>
                <w:rFonts w:hint="eastAsia" w:ascii="宋体" w:hAnsi="宋体"/>
                <w:sz w:val="24"/>
                <w:szCs w:val="24"/>
                <w:highlight w:val="yellow"/>
              </w:rPr>
              <w:t>个月的社会保险证明（指社保管理单位出具的证明，加盖社保管理单位的公章或电子章；如提供复印件或扫描件，加盖投标单位公章）。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vAlign w:val="center"/>
          </w:tcPr>
          <w:p>
            <w:pPr>
              <w:spacing w:line="360" w:lineRule="exact"/>
              <w:ind w:firstLine="200"/>
              <w:jc w:val="center"/>
              <w:rPr>
                <w:rFonts w:ascii="宋体"/>
                <w:sz w:val="24"/>
                <w:szCs w:val="24"/>
              </w:rPr>
            </w:pPr>
            <w:r>
              <w:rPr>
                <w:rFonts w:hint="eastAsia"/>
                <w:sz w:val="24"/>
                <w:szCs w:val="24"/>
              </w:rPr>
              <w:t>符合性检查</w:t>
            </w:r>
          </w:p>
        </w:tc>
        <w:tc>
          <w:tcPr>
            <w:tcW w:w="2268" w:type="dxa"/>
            <w:vAlign w:val="center"/>
          </w:tcPr>
          <w:p>
            <w:pPr>
              <w:spacing w:line="360" w:lineRule="exact"/>
              <w:ind w:firstLine="200"/>
              <w:jc w:val="center"/>
              <w:rPr>
                <w:rFonts w:ascii="宋体"/>
                <w:sz w:val="24"/>
                <w:szCs w:val="24"/>
              </w:rPr>
            </w:pPr>
            <w:r>
              <w:rPr>
                <w:rFonts w:hint="eastAsia" w:ascii="宋体" w:hAnsi="宋体"/>
                <w:sz w:val="24"/>
                <w:szCs w:val="24"/>
              </w:rPr>
              <w:t>投标人名称</w:t>
            </w:r>
          </w:p>
        </w:tc>
        <w:tc>
          <w:tcPr>
            <w:tcW w:w="6383" w:type="dxa"/>
            <w:vAlign w:val="center"/>
          </w:tcPr>
          <w:p>
            <w:pPr>
              <w:spacing w:line="360" w:lineRule="exact"/>
              <w:rPr>
                <w:rFonts w:asci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205" w:type="dxa"/>
            <w:vMerge w:val="continue"/>
            <w:vAlign w:val="center"/>
          </w:tcPr>
          <w:p>
            <w:pPr>
              <w:widowControl/>
              <w:jc w:val="left"/>
              <w:rPr>
                <w:rFonts w:ascii="宋体"/>
                <w:sz w:val="24"/>
                <w:szCs w:val="24"/>
              </w:rPr>
            </w:pPr>
          </w:p>
        </w:tc>
        <w:tc>
          <w:tcPr>
            <w:tcW w:w="2268" w:type="dxa"/>
            <w:vAlign w:val="center"/>
          </w:tcPr>
          <w:p>
            <w:pPr>
              <w:spacing w:line="360" w:lineRule="exact"/>
              <w:ind w:firstLine="200"/>
              <w:jc w:val="center"/>
              <w:rPr>
                <w:rFonts w:ascii="宋体"/>
                <w:sz w:val="24"/>
                <w:szCs w:val="24"/>
              </w:rPr>
            </w:pPr>
            <w:r>
              <w:rPr>
                <w:rFonts w:hint="eastAsia" w:ascii="宋体" w:hAnsi="宋体"/>
                <w:sz w:val="24"/>
                <w:szCs w:val="24"/>
              </w:rPr>
              <w:t>投标文件签署</w:t>
            </w:r>
          </w:p>
        </w:tc>
        <w:tc>
          <w:tcPr>
            <w:tcW w:w="6383" w:type="dxa"/>
            <w:vAlign w:val="center"/>
          </w:tcPr>
          <w:p>
            <w:pPr>
              <w:spacing w:line="360" w:lineRule="exact"/>
              <w:rPr>
                <w:rFonts w:asci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vAlign w:val="center"/>
          </w:tcPr>
          <w:p>
            <w:pPr>
              <w:widowControl/>
              <w:jc w:val="left"/>
              <w:rPr>
                <w:rFonts w:ascii="宋体"/>
                <w:sz w:val="24"/>
                <w:szCs w:val="24"/>
              </w:rPr>
            </w:pPr>
          </w:p>
        </w:tc>
        <w:tc>
          <w:tcPr>
            <w:tcW w:w="2268" w:type="dxa"/>
            <w:vAlign w:val="center"/>
          </w:tcPr>
          <w:p>
            <w:pPr>
              <w:spacing w:line="360" w:lineRule="exact"/>
              <w:ind w:firstLine="200"/>
              <w:jc w:val="center"/>
              <w:rPr>
                <w:rFonts w:ascii="宋体"/>
                <w:sz w:val="24"/>
                <w:szCs w:val="24"/>
              </w:rPr>
            </w:pPr>
            <w:r>
              <w:rPr>
                <w:rFonts w:hint="eastAsia" w:ascii="宋体" w:hAnsi="宋体"/>
                <w:sz w:val="24"/>
                <w:szCs w:val="24"/>
              </w:rPr>
              <w:t>投标文件格式</w:t>
            </w:r>
          </w:p>
        </w:tc>
        <w:tc>
          <w:tcPr>
            <w:tcW w:w="6383" w:type="dxa"/>
            <w:vAlign w:val="center"/>
          </w:tcPr>
          <w:p>
            <w:pPr>
              <w:spacing w:line="360" w:lineRule="exact"/>
              <w:rPr>
                <w:rFonts w:asci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vAlign w:val="center"/>
          </w:tcPr>
          <w:p>
            <w:pPr>
              <w:widowControl/>
              <w:jc w:val="left"/>
              <w:rPr>
                <w:rFonts w:ascii="宋体"/>
                <w:sz w:val="24"/>
                <w:szCs w:val="24"/>
              </w:rPr>
            </w:pPr>
          </w:p>
        </w:tc>
        <w:tc>
          <w:tcPr>
            <w:tcW w:w="2268" w:type="dxa"/>
            <w:vAlign w:val="center"/>
          </w:tcPr>
          <w:p>
            <w:pPr>
              <w:spacing w:line="360" w:lineRule="exact"/>
              <w:ind w:firstLine="200"/>
              <w:jc w:val="center"/>
              <w:rPr>
                <w:rFonts w:ascii="宋体"/>
                <w:sz w:val="24"/>
                <w:szCs w:val="24"/>
              </w:rPr>
            </w:pPr>
            <w:r>
              <w:rPr>
                <w:rFonts w:hint="eastAsia" w:ascii="宋体" w:hAnsi="宋体"/>
                <w:sz w:val="24"/>
                <w:szCs w:val="24"/>
              </w:rPr>
              <w:t>投标报价</w:t>
            </w:r>
          </w:p>
        </w:tc>
        <w:tc>
          <w:tcPr>
            <w:tcW w:w="6383" w:type="dxa"/>
            <w:vAlign w:val="center"/>
          </w:tcPr>
          <w:p>
            <w:pPr>
              <w:spacing w:line="360" w:lineRule="exact"/>
              <w:rPr>
                <w:rFonts w:asci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vAlign w:val="center"/>
          </w:tcPr>
          <w:p>
            <w:pPr>
              <w:widowControl/>
              <w:jc w:val="left"/>
              <w:rPr>
                <w:rFonts w:ascii="宋体"/>
                <w:sz w:val="24"/>
                <w:szCs w:val="24"/>
              </w:rPr>
            </w:pPr>
          </w:p>
        </w:tc>
        <w:tc>
          <w:tcPr>
            <w:tcW w:w="2268" w:type="dxa"/>
            <w:vAlign w:val="center"/>
          </w:tcPr>
          <w:p>
            <w:pPr>
              <w:spacing w:line="360" w:lineRule="exact"/>
              <w:ind w:firstLine="200"/>
              <w:jc w:val="center"/>
              <w:rPr>
                <w:rFonts w:ascii="宋体"/>
                <w:sz w:val="24"/>
                <w:szCs w:val="24"/>
              </w:rPr>
            </w:pPr>
            <w:r>
              <w:rPr>
                <w:rFonts w:hint="eastAsia" w:ascii="宋体" w:hAnsi="宋体"/>
                <w:sz w:val="24"/>
                <w:szCs w:val="24"/>
              </w:rPr>
              <w:t>系统功能</w:t>
            </w:r>
          </w:p>
        </w:tc>
        <w:tc>
          <w:tcPr>
            <w:tcW w:w="6383" w:type="dxa"/>
            <w:vAlign w:val="center"/>
          </w:tcPr>
          <w:p>
            <w:pPr>
              <w:spacing w:line="360" w:lineRule="exact"/>
              <w:rPr>
                <w:rFonts w:ascii="宋体"/>
                <w:sz w:val="24"/>
                <w:szCs w:val="24"/>
              </w:rPr>
            </w:pPr>
            <w:r>
              <w:rPr>
                <w:rFonts w:hint="eastAsia" w:ascii="宋体" w:hAnsi="宋体"/>
                <w:sz w:val="24"/>
                <w:szCs w:val="24"/>
              </w:rPr>
              <w:t>系统功能必须满足招标需求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205" w:type="dxa"/>
            <w:vMerge w:val="continue"/>
            <w:vAlign w:val="center"/>
          </w:tcPr>
          <w:p>
            <w:pPr>
              <w:widowControl/>
              <w:jc w:val="left"/>
              <w:rPr>
                <w:rFonts w:ascii="宋体"/>
                <w:sz w:val="24"/>
                <w:szCs w:val="24"/>
              </w:rPr>
            </w:pPr>
          </w:p>
        </w:tc>
        <w:tc>
          <w:tcPr>
            <w:tcW w:w="2268" w:type="dxa"/>
            <w:vAlign w:val="center"/>
          </w:tcPr>
          <w:p>
            <w:pPr>
              <w:spacing w:line="360" w:lineRule="exact"/>
              <w:ind w:firstLine="240" w:firstLineChars="100"/>
              <w:jc w:val="center"/>
              <w:rPr>
                <w:rFonts w:ascii="宋体"/>
                <w:sz w:val="24"/>
                <w:szCs w:val="24"/>
              </w:rPr>
            </w:pPr>
            <w:r>
              <w:rPr>
                <w:rFonts w:hint="eastAsia" w:ascii="宋体" w:hAnsi="宋体"/>
                <w:sz w:val="24"/>
                <w:szCs w:val="24"/>
              </w:rPr>
              <w:t>服务方案</w:t>
            </w:r>
          </w:p>
        </w:tc>
        <w:tc>
          <w:tcPr>
            <w:tcW w:w="6383" w:type="dxa"/>
            <w:vAlign w:val="center"/>
          </w:tcPr>
          <w:p>
            <w:pPr>
              <w:spacing w:line="360" w:lineRule="exact"/>
              <w:rPr>
                <w:rFonts w:asci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205" w:type="dxa"/>
            <w:vMerge w:val="continue"/>
            <w:vAlign w:val="center"/>
          </w:tcPr>
          <w:p>
            <w:pPr>
              <w:widowControl/>
              <w:jc w:val="left"/>
              <w:rPr>
                <w:rFonts w:ascii="宋体"/>
                <w:sz w:val="24"/>
                <w:szCs w:val="24"/>
              </w:rPr>
            </w:pPr>
          </w:p>
        </w:tc>
        <w:tc>
          <w:tcPr>
            <w:tcW w:w="2268" w:type="dxa"/>
            <w:vAlign w:val="center"/>
          </w:tcPr>
          <w:p>
            <w:pPr>
              <w:spacing w:line="360" w:lineRule="exact"/>
              <w:ind w:firstLine="240" w:firstLineChars="100"/>
              <w:jc w:val="center"/>
              <w:rPr>
                <w:rFonts w:ascii="宋体"/>
                <w:sz w:val="24"/>
                <w:szCs w:val="24"/>
              </w:rPr>
            </w:pPr>
            <w:r>
              <w:rPr>
                <w:rFonts w:hint="eastAsia" w:ascii="宋体" w:hAnsi="宋体"/>
                <w:sz w:val="24"/>
                <w:szCs w:val="24"/>
              </w:rPr>
              <w:t>承诺书</w:t>
            </w:r>
          </w:p>
        </w:tc>
        <w:tc>
          <w:tcPr>
            <w:tcW w:w="6383" w:type="dxa"/>
            <w:vAlign w:val="center"/>
          </w:tcPr>
          <w:p>
            <w:pPr>
              <w:spacing w:line="360" w:lineRule="exact"/>
              <w:rPr>
                <w:rFonts w:asci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205" w:type="dxa"/>
            <w:vMerge w:val="continue"/>
            <w:vAlign w:val="center"/>
          </w:tcPr>
          <w:p>
            <w:pPr>
              <w:widowControl/>
              <w:jc w:val="left"/>
              <w:rPr>
                <w:rFonts w:ascii="宋体"/>
                <w:sz w:val="24"/>
                <w:szCs w:val="24"/>
              </w:rPr>
            </w:pPr>
          </w:p>
        </w:tc>
        <w:tc>
          <w:tcPr>
            <w:tcW w:w="2268" w:type="dxa"/>
            <w:vAlign w:val="center"/>
          </w:tcPr>
          <w:p>
            <w:pPr>
              <w:spacing w:line="360" w:lineRule="exact"/>
              <w:ind w:firstLine="240" w:firstLineChars="100"/>
              <w:jc w:val="center"/>
              <w:rPr>
                <w:rFonts w:ascii="宋体"/>
                <w:color w:val="FF0000"/>
                <w:sz w:val="24"/>
                <w:szCs w:val="24"/>
              </w:rPr>
            </w:pPr>
            <w:r>
              <w:rPr>
                <w:rFonts w:hint="eastAsia" w:ascii="宋体" w:hAnsi="宋体"/>
                <w:color w:val="FF0000"/>
                <w:sz w:val="24"/>
                <w:szCs w:val="24"/>
              </w:rPr>
              <w:t>投标文件其他内容</w:t>
            </w:r>
          </w:p>
        </w:tc>
        <w:tc>
          <w:tcPr>
            <w:tcW w:w="6383" w:type="dxa"/>
            <w:vAlign w:val="center"/>
          </w:tcPr>
          <w:p>
            <w:pPr>
              <w:spacing w:line="360" w:lineRule="exact"/>
              <w:rPr>
                <w:rFonts w:asci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ascii="Times New Roman" w:hAnsi="宋体"/>
          <w:sz w:val="24"/>
          <w:szCs w:val="24"/>
          <w:highlight w:val="yellow"/>
        </w:rPr>
      </w:pPr>
      <w:r>
        <w:rPr>
          <w:rFonts w:hint="eastAsia" w:ascii="Times New Roman" w:hAnsi="宋体"/>
          <w:sz w:val="24"/>
          <w:szCs w:val="24"/>
          <w:highlight w:val="yellow"/>
        </w:rPr>
        <w:t>注：初审内容若有任何一项不满足，将不能进入报价评审。</w:t>
      </w:r>
    </w:p>
    <w:p>
      <w:pPr>
        <w:ind w:firstLine="480" w:firstLineChars="200"/>
        <w:rPr>
          <w:rFonts w:ascii="Times New Roman" w:hAnsi="宋体"/>
          <w:sz w:val="24"/>
          <w:szCs w:val="24"/>
          <w:highlight w:val="yellow"/>
        </w:rPr>
      </w:pPr>
      <w:r>
        <w:rPr>
          <w:rFonts w:ascii="Times New Roman" w:hAnsi="宋体"/>
          <w:sz w:val="24"/>
          <w:szCs w:val="24"/>
          <w:highlight w:val="yellow"/>
        </w:rPr>
        <w:t>1</w:t>
      </w:r>
      <w:r>
        <w:rPr>
          <w:rFonts w:hint="eastAsia" w:ascii="Times New Roman" w:hAnsi="宋体"/>
          <w:sz w:val="24"/>
          <w:szCs w:val="24"/>
          <w:highlight w:val="yellow"/>
        </w:rPr>
        <w:t>、技术标评审涉及的有关资格证明材料、文件、奖项证书及业绩证明文件按招标文件要求装订在投标文件技术标文件中，材料均为扫描件或复印件须加盖单位公章。</w:t>
      </w:r>
    </w:p>
    <w:p>
      <w:pPr>
        <w:ind w:firstLine="480" w:firstLineChars="200"/>
        <w:rPr>
          <w:rFonts w:ascii="Times New Roman" w:hAnsi="宋体"/>
          <w:sz w:val="24"/>
          <w:szCs w:val="24"/>
          <w:highlight w:val="yellow"/>
        </w:rPr>
      </w:pPr>
      <w:r>
        <w:rPr>
          <w:rFonts w:ascii="Times New Roman" w:hAnsi="宋体"/>
          <w:sz w:val="24"/>
          <w:szCs w:val="24"/>
          <w:highlight w:val="yellow"/>
        </w:rPr>
        <w:t>2</w:t>
      </w:r>
      <w:r>
        <w:rPr>
          <w:rFonts w:hint="eastAsia" w:ascii="Times New Roman" w:hAnsi="宋体"/>
          <w:sz w:val="24"/>
          <w:szCs w:val="24"/>
          <w:highlight w:val="yellow"/>
        </w:rPr>
        <w:t>、中标单位需保证所提供加分业绩证明材料真实有效，对于提供虚假材料的，由原评标委员会半数以上投票否决的，招标人有权取消其中标人资格。</w:t>
      </w:r>
    </w:p>
    <w:p>
      <w:pPr>
        <w:jc w:val="center"/>
        <w:rPr>
          <w:b/>
          <w:sz w:val="30"/>
          <w:szCs w:val="30"/>
        </w:rPr>
      </w:pPr>
    </w:p>
    <w:p>
      <w:pPr>
        <w:spacing w:line="560" w:lineRule="exact"/>
        <w:jc w:val="center"/>
        <w:rPr>
          <w:b/>
          <w:sz w:val="30"/>
          <w:szCs w:val="30"/>
        </w:rPr>
      </w:pPr>
      <w:r>
        <w:rPr>
          <w:rFonts w:hint="eastAsia"/>
          <w:b/>
          <w:sz w:val="30"/>
          <w:szCs w:val="30"/>
        </w:rPr>
        <w:t>投标文件技术和商务评审表</w:t>
      </w:r>
    </w:p>
    <w:tbl>
      <w:tblPr>
        <w:tblStyle w:val="24"/>
        <w:tblpPr w:leftFromText="180" w:rightFromText="180" w:vertAnchor="text" w:horzAnchor="page" w:tblpX="1193" w:tblpY="359"/>
        <w:tblOverlap w:val="never"/>
        <w:tblW w:w="9547"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756"/>
        <w:gridCol w:w="900"/>
        <w:gridCol w:w="689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评分项目</w:t>
            </w:r>
          </w:p>
        </w:tc>
        <w:tc>
          <w:tcPr>
            <w:tcW w:w="900"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分值</w:t>
            </w:r>
          </w:p>
        </w:tc>
        <w:tc>
          <w:tcPr>
            <w:tcW w:w="6891"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评分内容及标准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价格</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36</w:t>
            </w:r>
            <w:r>
              <w:rPr>
                <w:rFonts w:hint="eastAsia" w:ascii="Times New Roman" w:hAnsi="Times New Roman" w:eastAsia="仿宋_GB2312"/>
                <w:sz w:val="28"/>
                <w:szCs w:val="28"/>
              </w:rPr>
              <w:t>分</w:t>
            </w:r>
          </w:p>
        </w:tc>
        <w:tc>
          <w:tcPr>
            <w:tcW w:w="6891" w:type="dxa"/>
          </w:tcPr>
          <w:p>
            <w:pPr>
              <w:rPr>
                <w:rFonts w:ascii="Times New Roman" w:hAnsi="Times New Roman" w:eastAsia="仿宋_GB2312"/>
                <w:sz w:val="28"/>
                <w:szCs w:val="28"/>
              </w:rPr>
            </w:pPr>
            <w:r>
              <w:rPr>
                <w:rFonts w:ascii="Times New Roman" w:hAnsi="Times New Roman" w:eastAsia="仿宋_GB2312"/>
                <w:sz w:val="28"/>
                <w:szCs w:val="28"/>
              </w:rPr>
              <w:t xml:space="preserve">    </w:t>
            </w:r>
            <w:r>
              <w:rPr>
                <w:rFonts w:hint="eastAsia" w:ascii="Times New Roman" w:hAnsi="Times New Roman" w:eastAsia="仿宋_GB2312"/>
                <w:sz w:val="28"/>
                <w:szCs w:val="28"/>
              </w:rPr>
              <w:t>取所有投标人报价的算术平均数（报价算术平均数为所有有效投标报价的平均值）下浮</w:t>
            </w:r>
            <w:r>
              <w:rPr>
                <w:rFonts w:ascii="Times New Roman" w:hAnsi="Times New Roman" w:eastAsia="仿宋_GB2312"/>
                <w:sz w:val="28"/>
                <w:szCs w:val="28"/>
              </w:rPr>
              <w:t xml:space="preserve">N% </w:t>
            </w:r>
            <w:r>
              <w:rPr>
                <w:rFonts w:hint="eastAsia" w:ascii="Times New Roman" w:hAnsi="Times New Roman" w:eastAsia="仿宋_GB2312"/>
                <w:sz w:val="28"/>
                <w:szCs w:val="28"/>
              </w:rPr>
              <w:t>作为评标基准价。</w:t>
            </w:r>
            <w:r>
              <w:rPr>
                <w:rFonts w:ascii="Times New Roman" w:hAnsi="Times New Roman" w:eastAsia="仿宋_GB2312"/>
                <w:sz w:val="28"/>
                <w:szCs w:val="28"/>
              </w:rPr>
              <w:t>N</w:t>
            </w:r>
            <w:r>
              <w:rPr>
                <w:rFonts w:hint="eastAsia" w:ascii="Times New Roman" w:hAnsi="Times New Roman" w:eastAsia="仿宋_GB2312"/>
                <w:sz w:val="28"/>
                <w:szCs w:val="28"/>
              </w:rPr>
              <w:t>的取值范围为：</w:t>
            </w:r>
            <w:r>
              <w:rPr>
                <w:rFonts w:ascii="Times New Roman" w:hAnsi="Times New Roman" w:eastAsia="仿宋_GB2312"/>
                <w:sz w:val="28"/>
                <w:szCs w:val="28"/>
              </w:rPr>
              <w:t>2.5</w:t>
            </w:r>
            <w:r>
              <w:rPr>
                <w:rFonts w:hint="eastAsia" w:ascii="Times New Roman" w:hAnsi="Times New Roman" w:eastAsia="仿宋_GB2312"/>
                <w:sz w:val="28"/>
                <w:szCs w:val="28"/>
              </w:rPr>
              <w:t>、</w:t>
            </w:r>
            <w:r>
              <w:rPr>
                <w:rFonts w:ascii="Times New Roman" w:hAnsi="Times New Roman" w:eastAsia="仿宋_GB2312"/>
                <w:sz w:val="28"/>
                <w:szCs w:val="28"/>
              </w:rPr>
              <w:t>3</w:t>
            </w:r>
            <w:r>
              <w:rPr>
                <w:rFonts w:hint="eastAsia" w:ascii="Times New Roman" w:hAnsi="Times New Roman" w:eastAsia="仿宋_GB2312"/>
                <w:sz w:val="28"/>
                <w:szCs w:val="28"/>
              </w:rPr>
              <w:t>、</w:t>
            </w:r>
            <w:r>
              <w:rPr>
                <w:rFonts w:ascii="Times New Roman" w:hAnsi="Times New Roman" w:eastAsia="仿宋_GB2312"/>
                <w:sz w:val="28"/>
                <w:szCs w:val="28"/>
              </w:rPr>
              <w:t>3.5</w:t>
            </w:r>
            <w:r>
              <w:rPr>
                <w:rFonts w:hint="eastAsia" w:ascii="Times New Roman" w:hAnsi="Times New Roman" w:eastAsia="仿宋_GB2312"/>
                <w:sz w:val="28"/>
                <w:szCs w:val="28"/>
              </w:rPr>
              <w:t>、</w:t>
            </w:r>
            <w:r>
              <w:rPr>
                <w:rFonts w:ascii="Times New Roman" w:hAnsi="Times New Roman" w:eastAsia="仿宋_GB2312"/>
                <w:sz w:val="28"/>
                <w:szCs w:val="28"/>
              </w:rPr>
              <w:t>4</w:t>
            </w:r>
            <w:r>
              <w:rPr>
                <w:rFonts w:hint="eastAsia" w:ascii="Times New Roman" w:hAnsi="Times New Roman" w:eastAsia="仿宋_GB2312"/>
                <w:sz w:val="28"/>
                <w:szCs w:val="28"/>
              </w:rPr>
              <w:t>、</w:t>
            </w:r>
            <w:r>
              <w:rPr>
                <w:rFonts w:ascii="Times New Roman" w:hAnsi="Times New Roman" w:eastAsia="仿宋_GB2312"/>
                <w:sz w:val="28"/>
                <w:szCs w:val="28"/>
              </w:rPr>
              <w:t>4.5</w:t>
            </w:r>
            <w:r>
              <w:rPr>
                <w:rFonts w:hint="eastAsia" w:ascii="Times New Roman" w:hAnsi="Times New Roman" w:eastAsia="仿宋_GB2312"/>
                <w:sz w:val="28"/>
                <w:szCs w:val="28"/>
              </w:rPr>
              <w:t>（对应抽取序号分别为</w:t>
            </w:r>
            <w:r>
              <w:rPr>
                <w:rFonts w:ascii="Times New Roman" w:hAnsi="Times New Roman" w:eastAsia="仿宋_GB2312"/>
                <w:sz w:val="28"/>
                <w:szCs w:val="28"/>
              </w:rPr>
              <w:t>1</w:t>
            </w:r>
            <w:r>
              <w:rPr>
                <w:rFonts w:hint="eastAsia" w:ascii="Times New Roman" w:hAnsi="Times New Roman" w:eastAsia="仿宋_GB2312"/>
                <w:sz w:val="28"/>
                <w:szCs w:val="28"/>
              </w:rPr>
              <w:t>、</w:t>
            </w:r>
            <w:r>
              <w:rPr>
                <w:rFonts w:ascii="Times New Roman" w:hAnsi="Times New Roman" w:eastAsia="仿宋_GB2312"/>
                <w:sz w:val="28"/>
                <w:szCs w:val="28"/>
              </w:rPr>
              <w:t>2</w:t>
            </w:r>
            <w:r>
              <w:rPr>
                <w:rFonts w:hint="eastAsia" w:ascii="Times New Roman" w:hAnsi="Times New Roman" w:eastAsia="仿宋_GB2312"/>
                <w:sz w:val="28"/>
                <w:szCs w:val="28"/>
              </w:rPr>
              <w:t>、</w:t>
            </w:r>
            <w:r>
              <w:rPr>
                <w:rFonts w:ascii="Times New Roman" w:hAnsi="Times New Roman" w:eastAsia="仿宋_GB2312"/>
                <w:sz w:val="28"/>
                <w:szCs w:val="28"/>
              </w:rPr>
              <w:t>3</w:t>
            </w:r>
            <w:r>
              <w:rPr>
                <w:rFonts w:hint="eastAsia" w:ascii="Times New Roman" w:hAnsi="Times New Roman" w:eastAsia="仿宋_GB2312"/>
                <w:sz w:val="28"/>
                <w:szCs w:val="28"/>
              </w:rPr>
              <w:t>、</w:t>
            </w:r>
            <w:r>
              <w:rPr>
                <w:rFonts w:ascii="Times New Roman" w:hAnsi="Times New Roman" w:eastAsia="仿宋_GB2312"/>
                <w:sz w:val="28"/>
                <w:szCs w:val="28"/>
              </w:rPr>
              <w:t>4</w:t>
            </w:r>
            <w:r>
              <w:rPr>
                <w:rFonts w:hint="eastAsia" w:ascii="Times New Roman" w:hAnsi="Times New Roman" w:eastAsia="仿宋_GB2312"/>
                <w:sz w:val="28"/>
                <w:szCs w:val="28"/>
              </w:rPr>
              <w:t>、</w:t>
            </w:r>
            <w:r>
              <w:rPr>
                <w:rFonts w:ascii="Times New Roman" w:hAnsi="Times New Roman" w:eastAsia="仿宋_GB2312"/>
                <w:sz w:val="28"/>
                <w:szCs w:val="28"/>
              </w:rPr>
              <w:t>5</w:t>
            </w:r>
            <w:r>
              <w:rPr>
                <w:rFonts w:hint="eastAsia" w:ascii="Times New Roman" w:hAnsi="Times New Roman" w:eastAsia="仿宋_GB2312"/>
                <w:sz w:val="28"/>
                <w:szCs w:val="28"/>
              </w:rPr>
              <w:t>，假如抽到</w:t>
            </w:r>
            <w:r>
              <w:rPr>
                <w:rFonts w:ascii="Times New Roman" w:hAnsi="Times New Roman" w:eastAsia="仿宋_GB2312"/>
                <w:sz w:val="28"/>
                <w:szCs w:val="28"/>
              </w:rPr>
              <w:t>3</w:t>
            </w:r>
            <w:r>
              <w:rPr>
                <w:rFonts w:hint="eastAsia" w:ascii="Times New Roman" w:hAnsi="Times New Roman" w:eastAsia="仿宋_GB2312"/>
                <w:sz w:val="28"/>
                <w:szCs w:val="28"/>
              </w:rPr>
              <w:t>，则</w:t>
            </w:r>
            <w:r>
              <w:rPr>
                <w:rFonts w:ascii="Times New Roman" w:hAnsi="Times New Roman" w:eastAsia="仿宋_GB2312"/>
                <w:sz w:val="28"/>
                <w:szCs w:val="28"/>
              </w:rPr>
              <w:t>N</w:t>
            </w:r>
            <w:r>
              <w:rPr>
                <w:rFonts w:hint="eastAsia" w:ascii="Times New Roman" w:hAnsi="Times New Roman" w:eastAsia="仿宋_GB2312"/>
                <w:sz w:val="28"/>
                <w:szCs w:val="28"/>
              </w:rPr>
              <w:t>的取值为</w:t>
            </w:r>
            <w:r>
              <w:rPr>
                <w:rFonts w:ascii="Times New Roman" w:hAnsi="Times New Roman" w:eastAsia="仿宋_GB2312"/>
                <w:sz w:val="28"/>
                <w:szCs w:val="28"/>
              </w:rPr>
              <w:t>3.5</w:t>
            </w:r>
            <w:r>
              <w:rPr>
                <w:rFonts w:hint="eastAsia" w:ascii="Times New Roman" w:hAnsi="Times New Roman" w:eastAsia="仿宋_GB2312"/>
                <w:sz w:val="28"/>
                <w:szCs w:val="28"/>
              </w:rPr>
              <w:t>，序号在开标环节由投标人代表抽取）。</w:t>
            </w:r>
          </w:p>
          <w:p>
            <w:pPr>
              <w:rPr>
                <w:rFonts w:ascii="Times New Roman" w:hAnsi="Times New Roman" w:eastAsia="仿宋_GB2312"/>
                <w:sz w:val="28"/>
                <w:szCs w:val="28"/>
              </w:rPr>
            </w:pPr>
            <w:r>
              <w:rPr>
                <w:rFonts w:hint="eastAsia" w:ascii="Times New Roman" w:hAnsi="Times New Roman" w:eastAsia="仿宋_GB2312"/>
                <w:sz w:val="28"/>
                <w:szCs w:val="28"/>
              </w:rPr>
              <w:t>在所有有效投标报价中，投标报价与评标基准价相比，采用内插法，投标报价比评标基准价每低于（小于）</w:t>
            </w:r>
            <w:r>
              <w:rPr>
                <w:rFonts w:ascii="Times New Roman" w:hAnsi="Times New Roman" w:eastAsia="仿宋_GB2312"/>
                <w:sz w:val="28"/>
                <w:szCs w:val="28"/>
              </w:rPr>
              <w:t>1%</w:t>
            </w:r>
            <w:r>
              <w:rPr>
                <w:rFonts w:hint="eastAsia" w:ascii="Times New Roman" w:hAnsi="Times New Roman" w:eastAsia="仿宋_GB2312"/>
                <w:sz w:val="28"/>
                <w:szCs w:val="28"/>
              </w:rPr>
              <w:t>扣</w:t>
            </w:r>
            <w:r>
              <w:rPr>
                <w:rFonts w:ascii="Times New Roman" w:hAnsi="Times New Roman" w:eastAsia="仿宋_GB2312"/>
                <w:sz w:val="28"/>
                <w:szCs w:val="28"/>
              </w:rPr>
              <w:t>1</w:t>
            </w:r>
            <w:r>
              <w:rPr>
                <w:rFonts w:hint="eastAsia" w:ascii="Times New Roman" w:hAnsi="Times New Roman" w:eastAsia="仿宋_GB2312"/>
                <w:sz w:val="28"/>
                <w:szCs w:val="28"/>
              </w:rPr>
              <w:t>分，每高于（大于）</w:t>
            </w:r>
            <w:r>
              <w:rPr>
                <w:rFonts w:ascii="Times New Roman" w:hAnsi="Times New Roman" w:eastAsia="仿宋_GB2312"/>
                <w:sz w:val="28"/>
                <w:szCs w:val="28"/>
              </w:rPr>
              <w:t>1%</w:t>
            </w:r>
            <w:r>
              <w:rPr>
                <w:rFonts w:hint="eastAsia" w:ascii="Times New Roman" w:hAnsi="Times New Roman" w:eastAsia="仿宋_GB2312"/>
                <w:sz w:val="28"/>
                <w:szCs w:val="28"/>
              </w:rPr>
              <w:t>扣</w:t>
            </w:r>
            <w:r>
              <w:rPr>
                <w:rFonts w:ascii="Times New Roman" w:hAnsi="Times New Roman" w:eastAsia="仿宋_GB2312"/>
                <w:sz w:val="28"/>
                <w:szCs w:val="28"/>
              </w:rPr>
              <w:t>2</w:t>
            </w:r>
            <w:r>
              <w:rPr>
                <w:rFonts w:hint="eastAsia" w:ascii="Times New Roman" w:hAnsi="Times New Roman" w:eastAsia="仿宋_GB2312"/>
                <w:sz w:val="28"/>
                <w:szCs w:val="28"/>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企业资质实力</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8</w:t>
            </w:r>
            <w:r>
              <w:rPr>
                <w:rFonts w:hint="eastAsia" w:ascii="Times New Roman" w:hAnsi="Times New Roman" w:eastAsia="仿宋_GB2312"/>
                <w:sz w:val="28"/>
                <w:szCs w:val="28"/>
              </w:rPr>
              <w:t>分</w:t>
            </w:r>
          </w:p>
        </w:tc>
        <w:tc>
          <w:tcPr>
            <w:tcW w:w="6891" w:type="dxa"/>
          </w:tcPr>
          <w:p>
            <w:pPr>
              <w:rPr>
                <w:rFonts w:ascii="Times New Roman" w:hAnsi="Times New Roman" w:eastAsia="仿宋_GB2312"/>
                <w:sz w:val="28"/>
                <w:szCs w:val="28"/>
              </w:rPr>
            </w:pPr>
            <w:r>
              <w:rPr>
                <w:rFonts w:ascii="Times New Roman" w:hAnsi="Times New Roman" w:eastAsia="仿宋_GB2312"/>
                <w:sz w:val="28"/>
                <w:szCs w:val="28"/>
              </w:rPr>
              <w:t>1</w:t>
            </w:r>
            <w:r>
              <w:rPr>
                <w:rFonts w:hint="eastAsia" w:ascii="Times New Roman" w:hAnsi="Times New Roman" w:eastAsia="仿宋_GB2312"/>
                <w:sz w:val="28"/>
                <w:szCs w:val="28"/>
              </w:rPr>
              <w:t>、投标人具备通信信息网络系统集成资质等级甲级的得</w:t>
            </w:r>
            <w:r>
              <w:rPr>
                <w:rFonts w:ascii="Times New Roman" w:hAnsi="Times New Roman" w:eastAsia="仿宋_GB2312"/>
                <w:sz w:val="28"/>
                <w:szCs w:val="28"/>
              </w:rPr>
              <w:t>3</w:t>
            </w:r>
            <w:r>
              <w:rPr>
                <w:rFonts w:hint="eastAsia" w:ascii="Times New Roman" w:hAnsi="Times New Roman" w:eastAsia="仿宋_GB2312"/>
                <w:sz w:val="28"/>
                <w:szCs w:val="28"/>
              </w:rPr>
              <w:t>分，乙级的得</w:t>
            </w:r>
            <w:r>
              <w:rPr>
                <w:rFonts w:ascii="Times New Roman" w:hAnsi="Times New Roman" w:eastAsia="仿宋_GB2312"/>
                <w:sz w:val="28"/>
                <w:szCs w:val="28"/>
              </w:rPr>
              <w:t>1</w:t>
            </w:r>
            <w:r>
              <w:rPr>
                <w:rFonts w:hint="eastAsia" w:ascii="Times New Roman" w:hAnsi="Times New Roman" w:eastAsia="仿宋_GB2312"/>
                <w:sz w:val="28"/>
                <w:szCs w:val="28"/>
              </w:rPr>
              <w:t>分；总分</w:t>
            </w:r>
            <w:r>
              <w:rPr>
                <w:rFonts w:ascii="Times New Roman" w:hAnsi="Times New Roman" w:eastAsia="仿宋_GB2312"/>
                <w:sz w:val="28"/>
                <w:szCs w:val="28"/>
              </w:rPr>
              <w:t>3</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2</w:t>
            </w:r>
            <w:r>
              <w:rPr>
                <w:rFonts w:hint="eastAsia" w:ascii="Times New Roman" w:hAnsi="Times New Roman" w:eastAsia="仿宋_GB2312"/>
                <w:sz w:val="28"/>
                <w:szCs w:val="28"/>
              </w:rPr>
              <w:t>、投标人具有有效期内</w:t>
            </w:r>
            <w:r>
              <w:rPr>
                <w:rFonts w:ascii="Times New Roman" w:hAnsi="Times New Roman" w:eastAsia="仿宋_GB2312"/>
                <w:sz w:val="28"/>
                <w:szCs w:val="28"/>
              </w:rPr>
              <w:t xml:space="preserve"> ISO9001 </w:t>
            </w:r>
            <w:r>
              <w:rPr>
                <w:rFonts w:hint="eastAsia" w:ascii="Times New Roman" w:hAnsi="Times New Roman" w:eastAsia="仿宋_GB2312"/>
                <w:sz w:val="28"/>
                <w:szCs w:val="28"/>
              </w:rPr>
              <w:t>质量管理体系、</w:t>
            </w:r>
            <w:r>
              <w:rPr>
                <w:rFonts w:ascii="Times New Roman" w:hAnsi="Times New Roman" w:eastAsia="仿宋_GB2312"/>
                <w:sz w:val="28"/>
                <w:szCs w:val="28"/>
              </w:rPr>
              <w:t>ISO14001</w:t>
            </w:r>
            <w:r>
              <w:rPr>
                <w:rFonts w:hint="eastAsia" w:ascii="Times New Roman" w:hAnsi="Times New Roman" w:eastAsia="仿宋_GB2312"/>
                <w:sz w:val="28"/>
                <w:szCs w:val="28"/>
              </w:rPr>
              <w:t>环境管理体系、</w:t>
            </w:r>
            <w:r>
              <w:rPr>
                <w:rFonts w:ascii="Times New Roman" w:hAnsi="Times New Roman" w:eastAsia="仿宋_GB2312"/>
                <w:sz w:val="28"/>
                <w:szCs w:val="28"/>
              </w:rPr>
              <w:t>OSHSA18001</w:t>
            </w:r>
            <w:r>
              <w:rPr>
                <w:rFonts w:hint="eastAsia" w:ascii="Times New Roman" w:hAnsi="Times New Roman" w:eastAsia="仿宋_GB2312"/>
                <w:sz w:val="28"/>
                <w:szCs w:val="28"/>
              </w:rPr>
              <w:t>职业健康安全管理体系认证、</w:t>
            </w:r>
            <w:r>
              <w:rPr>
                <w:rFonts w:ascii="Times New Roman" w:hAnsi="Times New Roman" w:eastAsia="仿宋_GB2312"/>
                <w:sz w:val="28"/>
                <w:szCs w:val="28"/>
              </w:rPr>
              <w:t>ISO/IEC27001</w:t>
            </w:r>
            <w:r>
              <w:rPr>
                <w:rFonts w:hint="eastAsia" w:ascii="Times New Roman" w:hAnsi="Times New Roman" w:eastAsia="仿宋_GB2312"/>
                <w:sz w:val="28"/>
                <w:szCs w:val="28"/>
              </w:rPr>
              <w:t>信息安全管理体系认证和</w:t>
            </w:r>
            <w:r>
              <w:rPr>
                <w:rFonts w:ascii="Times New Roman" w:hAnsi="Times New Roman" w:eastAsia="仿宋_GB2312"/>
                <w:sz w:val="28"/>
                <w:szCs w:val="28"/>
              </w:rPr>
              <w:t>ISO/IEC20000</w:t>
            </w:r>
            <w:r>
              <w:rPr>
                <w:rFonts w:hint="eastAsia" w:ascii="Times New Roman" w:hAnsi="Times New Roman" w:eastAsia="仿宋_GB2312"/>
                <w:sz w:val="28"/>
                <w:szCs w:val="28"/>
              </w:rPr>
              <w:t>信息技术服务管理体系认证证书的，每个得</w:t>
            </w:r>
            <w:r>
              <w:rPr>
                <w:rFonts w:ascii="Times New Roman" w:hAnsi="Times New Roman" w:eastAsia="仿宋_GB2312"/>
                <w:sz w:val="28"/>
                <w:szCs w:val="28"/>
              </w:rPr>
              <w:t>1</w:t>
            </w:r>
            <w:r>
              <w:rPr>
                <w:rFonts w:hint="eastAsia" w:ascii="Times New Roman" w:hAnsi="Times New Roman" w:eastAsia="仿宋_GB2312"/>
                <w:sz w:val="28"/>
                <w:szCs w:val="28"/>
              </w:rPr>
              <w:t>分。共</w:t>
            </w:r>
            <w:r>
              <w:rPr>
                <w:rFonts w:ascii="Times New Roman" w:hAnsi="Times New Roman" w:eastAsia="仿宋_GB2312"/>
                <w:sz w:val="28"/>
                <w:szCs w:val="28"/>
              </w:rPr>
              <w:t>5</w:t>
            </w:r>
            <w:r>
              <w:rPr>
                <w:rFonts w:hint="eastAsia" w:ascii="Times New Roman" w:hAnsi="Times New Roman" w:eastAsia="仿宋_GB2312"/>
                <w:sz w:val="28"/>
                <w:szCs w:val="28"/>
              </w:rPr>
              <w:t>分。</w:t>
            </w:r>
            <w:r>
              <w:rPr>
                <w:rFonts w:ascii="Times New Roman" w:hAnsi="Times New Roman" w:eastAsia="仿宋_GB2312"/>
                <w:sz w:val="28"/>
                <w:szCs w:val="28"/>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企业荣誉</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7</w:t>
            </w:r>
            <w:r>
              <w:rPr>
                <w:rFonts w:hint="eastAsia" w:ascii="Times New Roman" w:hAnsi="Times New Roman" w:eastAsia="仿宋_GB2312"/>
                <w:sz w:val="28"/>
                <w:szCs w:val="28"/>
              </w:rPr>
              <w:t>分</w:t>
            </w:r>
          </w:p>
        </w:tc>
        <w:tc>
          <w:tcPr>
            <w:tcW w:w="6891" w:type="dxa"/>
          </w:tcPr>
          <w:p>
            <w:pPr>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自</w:t>
            </w:r>
            <w:r>
              <w:rPr>
                <w:rFonts w:ascii="Times New Roman" w:hAnsi="Times New Roman" w:eastAsia="仿宋_GB2312"/>
                <w:sz w:val="28"/>
                <w:szCs w:val="28"/>
              </w:rPr>
              <w:t>2016</w:t>
            </w:r>
            <w:r>
              <w:rPr>
                <w:rFonts w:hint="eastAsia" w:ascii="Times New Roman" w:hAnsi="Times New Roman" w:eastAsia="仿宋_GB2312"/>
                <w:sz w:val="28"/>
                <w:szCs w:val="28"/>
              </w:rPr>
              <w:t>年</w:t>
            </w:r>
            <w:r>
              <w:rPr>
                <w:rFonts w:ascii="Times New Roman" w:hAnsi="Times New Roman" w:eastAsia="仿宋_GB2312"/>
                <w:sz w:val="28"/>
                <w:szCs w:val="28"/>
              </w:rPr>
              <w:t>5</w:t>
            </w:r>
            <w:r>
              <w:rPr>
                <w:rFonts w:hint="eastAsia" w:ascii="Times New Roman" w:hAnsi="Times New Roman" w:eastAsia="仿宋_GB2312"/>
                <w:sz w:val="28"/>
                <w:szCs w:val="28"/>
              </w:rPr>
              <w:t>月</w:t>
            </w:r>
            <w:r>
              <w:rPr>
                <w:rFonts w:ascii="Times New Roman" w:hAnsi="Times New Roman" w:eastAsia="仿宋_GB2312"/>
                <w:sz w:val="28"/>
                <w:szCs w:val="28"/>
              </w:rPr>
              <w:t>1</w:t>
            </w:r>
            <w:r>
              <w:rPr>
                <w:rFonts w:hint="eastAsia" w:ascii="Times New Roman" w:hAnsi="Times New Roman" w:eastAsia="仿宋_GB2312"/>
                <w:sz w:val="28"/>
                <w:szCs w:val="28"/>
              </w:rPr>
              <w:t>日以来（以获奖时间为准）投标人或者投标人所承建的弱电智能化工程，获得市级及以上行政主管部门颁布的奖项的，每提供一个省级及以上的奖项得</w:t>
            </w:r>
            <w:r>
              <w:rPr>
                <w:rFonts w:ascii="Times New Roman" w:hAnsi="Times New Roman" w:eastAsia="仿宋_GB2312"/>
                <w:sz w:val="28"/>
                <w:szCs w:val="28"/>
              </w:rPr>
              <w:t>3</w:t>
            </w:r>
            <w:r>
              <w:rPr>
                <w:rFonts w:hint="eastAsia" w:ascii="Times New Roman" w:hAnsi="Times New Roman" w:eastAsia="仿宋_GB2312"/>
                <w:sz w:val="28"/>
                <w:szCs w:val="28"/>
              </w:rPr>
              <w:t>分，市级的奖项得</w:t>
            </w:r>
            <w:r>
              <w:rPr>
                <w:rFonts w:ascii="Times New Roman" w:hAnsi="Times New Roman" w:eastAsia="仿宋_GB2312"/>
                <w:sz w:val="28"/>
                <w:szCs w:val="28"/>
              </w:rPr>
              <w:t>1</w:t>
            </w:r>
            <w:r>
              <w:rPr>
                <w:rFonts w:hint="eastAsia" w:ascii="Times New Roman" w:hAnsi="Times New Roman" w:eastAsia="仿宋_GB2312"/>
                <w:sz w:val="28"/>
                <w:szCs w:val="28"/>
              </w:rPr>
              <w:t>分，本项满分</w:t>
            </w:r>
            <w:r>
              <w:rPr>
                <w:rFonts w:ascii="Times New Roman" w:hAnsi="Times New Roman" w:eastAsia="仿宋_GB2312"/>
                <w:sz w:val="28"/>
                <w:szCs w:val="28"/>
              </w:rPr>
              <w:t>7</w:t>
            </w:r>
            <w:r>
              <w:rPr>
                <w:rFonts w:hint="eastAsia" w:ascii="Times New Roman" w:hAnsi="Times New Roman" w:eastAsia="仿宋_GB2312"/>
                <w:sz w:val="28"/>
                <w:szCs w:val="28"/>
              </w:rPr>
              <w:t>分，多分不计。</w:t>
            </w:r>
          </w:p>
          <w:p>
            <w:pPr>
              <w:rPr>
                <w:rFonts w:ascii="Times New Roman" w:hAnsi="Times New Roman" w:eastAsia="仿宋_GB2312"/>
                <w:sz w:val="28"/>
                <w:szCs w:val="28"/>
              </w:rPr>
            </w:pPr>
            <w:r>
              <w:rPr>
                <w:rFonts w:hint="eastAsia" w:ascii="Times New Roman" w:hAnsi="Times New Roman" w:eastAsia="仿宋_GB2312"/>
                <w:sz w:val="28"/>
                <w:szCs w:val="28"/>
              </w:rPr>
              <w:t>注：（</w:t>
            </w:r>
            <w:r>
              <w:rPr>
                <w:rFonts w:ascii="Times New Roman" w:hAnsi="Times New Roman" w:eastAsia="仿宋_GB2312"/>
                <w:sz w:val="28"/>
                <w:szCs w:val="28"/>
              </w:rPr>
              <w:t>1</w:t>
            </w:r>
            <w:r>
              <w:rPr>
                <w:rFonts w:hint="eastAsia" w:ascii="Times New Roman" w:hAnsi="Times New Roman" w:eastAsia="仿宋_GB2312"/>
                <w:sz w:val="28"/>
                <w:szCs w:val="28"/>
              </w:rPr>
              <w:t>）同一个项目获得多个奖项的不累加得分，以其获得的最高奖项对应的最高分值计。（</w:t>
            </w:r>
            <w:r>
              <w:rPr>
                <w:rFonts w:ascii="Times New Roman" w:hAnsi="Times New Roman" w:eastAsia="仿宋_GB2312"/>
                <w:sz w:val="28"/>
                <w:szCs w:val="28"/>
              </w:rPr>
              <w:t>2</w:t>
            </w:r>
            <w:r>
              <w:rPr>
                <w:rFonts w:hint="eastAsia" w:ascii="Times New Roman" w:hAnsi="Times New Roman" w:eastAsia="仿宋_GB2312"/>
                <w:sz w:val="28"/>
                <w:szCs w:val="28"/>
              </w:rPr>
              <w:t>）投标文件中须提供获奖文件的扫描件或颁奖单位官网的颁奖公告或颁奖文件的截图作为评审依据；以上证明材料，须能体现投标人名称，如无法体现，须另附颁奖单位或获奖项目业主单位出具的证明材料，或承建获奖项目的业绩合同予以证明，并经评审委员会认可，否则不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投标技术参数响应情况</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18</w:t>
            </w:r>
            <w:r>
              <w:rPr>
                <w:rFonts w:hint="eastAsia" w:ascii="Times New Roman" w:hAnsi="Times New Roman" w:eastAsia="仿宋_GB2312"/>
                <w:sz w:val="28"/>
                <w:szCs w:val="28"/>
              </w:rPr>
              <w:t>分</w:t>
            </w:r>
          </w:p>
        </w:tc>
        <w:tc>
          <w:tcPr>
            <w:tcW w:w="6891" w:type="dxa"/>
          </w:tcPr>
          <w:p>
            <w:pPr>
              <w:rPr>
                <w:rFonts w:ascii="Times New Roman" w:hAnsi="Times New Roman" w:eastAsia="仿宋_GB2312"/>
                <w:sz w:val="28"/>
                <w:szCs w:val="28"/>
                <w:lang w:val="zh-TW"/>
              </w:rPr>
            </w:pPr>
            <w:r>
              <w:rPr>
                <w:rFonts w:hint="eastAsia" w:ascii="Times New Roman" w:hAnsi="Times New Roman" w:eastAsia="仿宋_GB2312"/>
                <w:sz w:val="28"/>
                <w:szCs w:val="28"/>
                <w:lang w:val="zh-TW"/>
              </w:rPr>
              <w:t>对第五章技术标准和要求表格</w:t>
            </w:r>
            <w:r>
              <w:rPr>
                <w:rFonts w:ascii="Times New Roman" w:hAnsi="Times New Roman" w:eastAsia="仿宋_GB2312"/>
                <w:sz w:val="28"/>
                <w:szCs w:val="28"/>
                <w:lang w:val="zh-TW"/>
              </w:rPr>
              <w:t>1</w:t>
            </w:r>
            <w:r>
              <w:rPr>
                <w:rFonts w:hint="eastAsia" w:ascii="Times New Roman" w:hAnsi="Times New Roman" w:eastAsia="仿宋_GB2312"/>
                <w:sz w:val="28"/>
                <w:szCs w:val="28"/>
                <w:lang w:val="zh-TW"/>
              </w:rPr>
              <w:t>各系统产品要求提供的证明材料进行评审，每缺少一项扣</w:t>
            </w:r>
            <w:r>
              <w:rPr>
                <w:rFonts w:ascii="Times New Roman" w:hAnsi="Times New Roman" w:eastAsia="仿宋_GB2312"/>
                <w:sz w:val="28"/>
                <w:szCs w:val="28"/>
                <w:lang w:val="zh-TW"/>
              </w:rPr>
              <w:t>1</w:t>
            </w:r>
            <w:r>
              <w:rPr>
                <w:rFonts w:hint="eastAsia" w:ascii="Times New Roman" w:hAnsi="Times New Roman" w:eastAsia="仿宋_GB2312"/>
                <w:sz w:val="28"/>
                <w:szCs w:val="28"/>
                <w:lang w:val="zh-TW"/>
              </w:rPr>
              <w:t>分，扣完为止，本项满分</w:t>
            </w:r>
            <w:r>
              <w:rPr>
                <w:rFonts w:ascii="Times New Roman" w:hAnsi="Times New Roman" w:eastAsia="仿宋_GB2312"/>
                <w:sz w:val="28"/>
                <w:szCs w:val="28"/>
              </w:rPr>
              <w:t>18</w:t>
            </w:r>
            <w:r>
              <w:rPr>
                <w:rFonts w:hint="eastAsia" w:ascii="Times New Roman" w:hAnsi="Times New Roman" w:eastAsia="仿宋_GB2312"/>
                <w:sz w:val="28"/>
                <w:szCs w:val="28"/>
                <w:lang w:val="zh-TW"/>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技术负责人</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1</w:t>
            </w:r>
            <w:r>
              <w:rPr>
                <w:rFonts w:hint="eastAsia" w:ascii="Times New Roman" w:hAnsi="Times New Roman" w:eastAsia="仿宋_GB2312"/>
                <w:sz w:val="28"/>
                <w:szCs w:val="28"/>
              </w:rPr>
              <w:t>分</w:t>
            </w:r>
          </w:p>
        </w:tc>
        <w:tc>
          <w:tcPr>
            <w:tcW w:w="6891" w:type="dxa"/>
          </w:tcPr>
          <w:p>
            <w:pPr>
              <w:rPr>
                <w:rFonts w:ascii="Times New Roman" w:hAnsi="Times New Roman" w:eastAsia="仿宋_GB2312"/>
                <w:sz w:val="28"/>
                <w:szCs w:val="28"/>
              </w:rPr>
            </w:pPr>
            <w:r>
              <w:rPr>
                <w:rFonts w:hint="eastAsia" w:ascii="Times New Roman" w:hAnsi="Times New Roman" w:eastAsia="仿宋_GB2312"/>
                <w:sz w:val="28"/>
                <w:szCs w:val="28"/>
              </w:rPr>
              <w:t>技术负责人具有高级网络规划设计师资格证书的得</w:t>
            </w:r>
            <w:r>
              <w:rPr>
                <w:rFonts w:ascii="Times New Roman" w:hAnsi="Times New Roman" w:eastAsia="仿宋_GB2312"/>
                <w:sz w:val="28"/>
                <w:szCs w:val="28"/>
              </w:rPr>
              <w:t>1</w:t>
            </w:r>
            <w:r>
              <w:rPr>
                <w:rFonts w:hint="eastAsia" w:ascii="Times New Roman" w:hAnsi="Times New Roman" w:eastAsia="仿宋_GB2312"/>
                <w:sz w:val="28"/>
                <w:szCs w:val="28"/>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企业业绩</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6</w:t>
            </w:r>
            <w:r>
              <w:rPr>
                <w:rFonts w:hint="eastAsia" w:ascii="Times New Roman" w:hAnsi="Times New Roman" w:eastAsia="仿宋_GB2312"/>
                <w:sz w:val="28"/>
                <w:szCs w:val="28"/>
              </w:rPr>
              <w:t>分</w:t>
            </w:r>
          </w:p>
        </w:tc>
        <w:tc>
          <w:tcPr>
            <w:tcW w:w="6891" w:type="dxa"/>
          </w:tcPr>
          <w:p>
            <w:pPr>
              <w:rPr>
                <w:rFonts w:ascii="Times New Roman" w:hAnsi="Times New Roman" w:eastAsia="仿宋_GB2312"/>
                <w:sz w:val="28"/>
                <w:szCs w:val="28"/>
              </w:rPr>
            </w:pPr>
            <w:r>
              <w:rPr>
                <w:rFonts w:hint="eastAsia" w:ascii="Times New Roman" w:hAnsi="Times New Roman" w:eastAsia="仿宋_GB2312"/>
                <w:sz w:val="28"/>
                <w:szCs w:val="28"/>
              </w:rPr>
              <w:t>投标人自</w:t>
            </w:r>
            <w:r>
              <w:rPr>
                <w:rFonts w:ascii="Times New Roman" w:hAnsi="Times New Roman" w:eastAsia="仿宋_GB2312"/>
                <w:sz w:val="28"/>
                <w:szCs w:val="28"/>
              </w:rPr>
              <w:t>2016</w:t>
            </w:r>
            <w:r>
              <w:rPr>
                <w:rFonts w:hint="eastAsia" w:ascii="Times New Roman" w:hAnsi="Times New Roman" w:eastAsia="仿宋_GB2312"/>
                <w:sz w:val="28"/>
                <w:szCs w:val="28"/>
              </w:rPr>
              <w:t>年</w:t>
            </w:r>
            <w:r>
              <w:rPr>
                <w:rFonts w:ascii="Times New Roman" w:hAnsi="Times New Roman" w:eastAsia="仿宋_GB2312"/>
                <w:sz w:val="28"/>
                <w:szCs w:val="28"/>
              </w:rPr>
              <w:t>5</w:t>
            </w:r>
            <w:r>
              <w:rPr>
                <w:rFonts w:hint="eastAsia" w:ascii="Times New Roman" w:hAnsi="Times New Roman" w:eastAsia="仿宋_GB2312"/>
                <w:sz w:val="28"/>
                <w:szCs w:val="28"/>
              </w:rPr>
              <w:t>月</w:t>
            </w:r>
            <w:r>
              <w:rPr>
                <w:rFonts w:ascii="Times New Roman" w:hAnsi="Times New Roman" w:eastAsia="仿宋_GB2312"/>
                <w:sz w:val="28"/>
                <w:szCs w:val="28"/>
              </w:rPr>
              <w:t>1</w:t>
            </w:r>
            <w:r>
              <w:rPr>
                <w:rFonts w:hint="eastAsia" w:ascii="Times New Roman" w:hAnsi="Times New Roman" w:eastAsia="仿宋_GB2312"/>
                <w:sz w:val="28"/>
                <w:szCs w:val="28"/>
              </w:rPr>
              <w:t>日起至投标截止之日止，每承担过一个单项合同额</w:t>
            </w:r>
            <w:r>
              <w:rPr>
                <w:rFonts w:ascii="Times New Roman" w:hAnsi="Times New Roman" w:eastAsia="仿宋_GB2312"/>
                <w:sz w:val="28"/>
                <w:szCs w:val="28"/>
              </w:rPr>
              <w:t>600</w:t>
            </w:r>
            <w:r>
              <w:rPr>
                <w:rFonts w:hint="eastAsia" w:ascii="Times New Roman" w:hAnsi="Times New Roman" w:eastAsia="仿宋_GB2312"/>
                <w:sz w:val="28"/>
                <w:szCs w:val="28"/>
              </w:rPr>
              <w:t>万元及以上的公共建筑类弱电智能化已竣工项目的得</w:t>
            </w:r>
            <w:r>
              <w:rPr>
                <w:rFonts w:ascii="Times New Roman" w:hAnsi="Times New Roman" w:eastAsia="仿宋_GB2312"/>
                <w:sz w:val="28"/>
                <w:szCs w:val="28"/>
              </w:rPr>
              <w:t>3</w:t>
            </w:r>
            <w:r>
              <w:rPr>
                <w:rFonts w:hint="eastAsia" w:ascii="Times New Roman" w:hAnsi="Times New Roman" w:eastAsia="仿宋_GB2312"/>
                <w:sz w:val="28"/>
                <w:szCs w:val="28"/>
              </w:rPr>
              <w:t>分；满分</w:t>
            </w:r>
            <w:r>
              <w:rPr>
                <w:rFonts w:ascii="Times New Roman" w:hAnsi="Times New Roman" w:eastAsia="仿宋_GB2312"/>
                <w:sz w:val="28"/>
                <w:szCs w:val="28"/>
              </w:rPr>
              <w:t>6</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hint="eastAsia" w:ascii="Times New Roman" w:hAnsi="Times New Roman" w:eastAsia="仿宋_GB2312"/>
                <w:sz w:val="28"/>
                <w:szCs w:val="28"/>
              </w:rPr>
              <w:t>注：业绩证明须提供以下材料：①中标通知书、②施工合同、③竣工验收报告（竣工验收材料上必须有建设单位、施工单位、监理单位三方盖章）；业绩时间以合同签订时间为准。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售后服务保障</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6</w:t>
            </w:r>
            <w:r>
              <w:rPr>
                <w:rFonts w:hint="eastAsia" w:ascii="Times New Roman" w:hAnsi="Times New Roman" w:eastAsia="仿宋_GB2312"/>
                <w:sz w:val="28"/>
                <w:szCs w:val="28"/>
              </w:rPr>
              <w:t>分</w:t>
            </w:r>
          </w:p>
        </w:tc>
        <w:tc>
          <w:tcPr>
            <w:tcW w:w="6891" w:type="dxa"/>
          </w:tcPr>
          <w:p>
            <w:pPr>
              <w:rPr>
                <w:rFonts w:ascii="Times New Roman" w:hAnsi="Times New Roman" w:eastAsia="仿宋_GB2312"/>
                <w:sz w:val="28"/>
                <w:szCs w:val="28"/>
              </w:rPr>
            </w:pPr>
            <w:r>
              <w:rPr>
                <w:rFonts w:ascii="Times New Roman" w:hAnsi="Times New Roman" w:eastAsia="仿宋_GB2312"/>
                <w:sz w:val="28"/>
                <w:szCs w:val="28"/>
              </w:rPr>
              <w:t>1</w:t>
            </w:r>
            <w:r>
              <w:rPr>
                <w:rFonts w:hint="eastAsia" w:ascii="Times New Roman" w:hAnsi="Times New Roman" w:eastAsia="仿宋_GB2312"/>
                <w:sz w:val="28"/>
                <w:szCs w:val="28"/>
              </w:rPr>
              <w:t>、售后服务本地化</w:t>
            </w:r>
            <w:r>
              <w:rPr>
                <w:rFonts w:ascii="Times New Roman" w:hAnsi="Times New Roman" w:eastAsia="仿宋_GB2312"/>
                <w:sz w:val="28"/>
                <w:szCs w:val="28"/>
              </w:rPr>
              <w:t>2</w:t>
            </w:r>
            <w:r>
              <w:rPr>
                <w:rFonts w:hint="eastAsia" w:ascii="Times New Roman" w:hAnsi="Times New Roman" w:eastAsia="仿宋_GB2312"/>
                <w:sz w:val="28"/>
                <w:szCs w:val="28"/>
              </w:rPr>
              <w:t>分。投标人或以投标人名称设立的售后服务站点，承诺售后服务响应到达项目现场的时间少于</w:t>
            </w:r>
            <w:r>
              <w:rPr>
                <w:rFonts w:ascii="Times New Roman" w:hAnsi="Times New Roman" w:eastAsia="仿宋_GB2312"/>
                <w:sz w:val="28"/>
                <w:szCs w:val="28"/>
              </w:rPr>
              <w:t>2</w:t>
            </w:r>
            <w:r>
              <w:rPr>
                <w:rFonts w:hint="eastAsia" w:ascii="Times New Roman" w:hAnsi="Times New Roman" w:eastAsia="仿宋_GB2312"/>
                <w:sz w:val="28"/>
                <w:szCs w:val="28"/>
              </w:rPr>
              <w:t>小时（含</w:t>
            </w:r>
            <w:r>
              <w:rPr>
                <w:rFonts w:ascii="Times New Roman" w:hAnsi="Times New Roman" w:eastAsia="仿宋_GB2312"/>
                <w:sz w:val="28"/>
                <w:szCs w:val="28"/>
              </w:rPr>
              <w:t>2</w:t>
            </w:r>
            <w:r>
              <w:rPr>
                <w:rFonts w:hint="eastAsia" w:ascii="Times New Roman" w:hAnsi="Times New Roman" w:eastAsia="仿宋_GB2312"/>
                <w:sz w:val="28"/>
                <w:szCs w:val="28"/>
              </w:rPr>
              <w:t>小时）的得</w:t>
            </w:r>
            <w:r>
              <w:rPr>
                <w:rFonts w:ascii="Times New Roman" w:hAnsi="Times New Roman" w:eastAsia="仿宋_GB2312"/>
                <w:sz w:val="28"/>
                <w:szCs w:val="28"/>
              </w:rPr>
              <w:t>2</w:t>
            </w:r>
            <w:r>
              <w:rPr>
                <w:rFonts w:hint="eastAsia" w:ascii="Times New Roman" w:hAnsi="Times New Roman" w:eastAsia="仿宋_GB2312"/>
                <w:sz w:val="28"/>
                <w:szCs w:val="28"/>
              </w:rPr>
              <w:t>分，少于</w:t>
            </w:r>
            <w:r>
              <w:rPr>
                <w:rFonts w:ascii="Times New Roman" w:hAnsi="Times New Roman" w:eastAsia="仿宋_GB2312"/>
                <w:sz w:val="28"/>
                <w:szCs w:val="28"/>
              </w:rPr>
              <w:t>4</w:t>
            </w:r>
            <w:r>
              <w:rPr>
                <w:rFonts w:hint="eastAsia" w:ascii="Times New Roman" w:hAnsi="Times New Roman" w:eastAsia="仿宋_GB2312"/>
                <w:sz w:val="28"/>
                <w:szCs w:val="28"/>
              </w:rPr>
              <w:t>小时（含</w:t>
            </w:r>
            <w:r>
              <w:rPr>
                <w:rFonts w:ascii="Times New Roman" w:hAnsi="Times New Roman" w:eastAsia="仿宋_GB2312"/>
                <w:sz w:val="28"/>
                <w:szCs w:val="28"/>
              </w:rPr>
              <w:t>4</w:t>
            </w:r>
            <w:r>
              <w:rPr>
                <w:rFonts w:hint="eastAsia" w:ascii="Times New Roman" w:hAnsi="Times New Roman" w:eastAsia="仿宋_GB2312"/>
                <w:sz w:val="28"/>
                <w:szCs w:val="28"/>
              </w:rPr>
              <w:t>小时）的得</w:t>
            </w:r>
            <w:r>
              <w:rPr>
                <w:rFonts w:ascii="Times New Roman" w:hAnsi="Times New Roman" w:eastAsia="仿宋_GB2312"/>
                <w:sz w:val="28"/>
                <w:szCs w:val="28"/>
              </w:rPr>
              <w:t>1</w:t>
            </w:r>
            <w:r>
              <w:rPr>
                <w:rFonts w:hint="eastAsia" w:ascii="Times New Roman" w:hAnsi="Times New Roman" w:eastAsia="仿宋_GB2312"/>
                <w:sz w:val="28"/>
                <w:szCs w:val="28"/>
              </w:rPr>
              <w:t>分，其他不得分；（需提供相关证明材料）；满分</w:t>
            </w:r>
            <w:r>
              <w:rPr>
                <w:rFonts w:ascii="Times New Roman" w:hAnsi="Times New Roman" w:eastAsia="仿宋_GB2312"/>
                <w:sz w:val="28"/>
                <w:szCs w:val="28"/>
              </w:rPr>
              <w:t>2</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2</w:t>
            </w:r>
            <w:r>
              <w:rPr>
                <w:rFonts w:hint="eastAsia" w:ascii="Times New Roman" w:hAnsi="Times New Roman" w:eastAsia="仿宋_GB2312"/>
                <w:sz w:val="28"/>
                <w:szCs w:val="28"/>
              </w:rPr>
              <w:t>、本项目免费质保期至少</w:t>
            </w:r>
            <w:r>
              <w:rPr>
                <w:rFonts w:ascii="Times New Roman" w:hAnsi="Times New Roman" w:eastAsia="仿宋_GB2312"/>
                <w:sz w:val="28"/>
                <w:szCs w:val="28"/>
              </w:rPr>
              <w:t>2</w:t>
            </w:r>
            <w:r>
              <w:rPr>
                <w:rFonts w:hint="eastAsia" w:ascii="Times New Roman" w:hAnsi="Times New Roman" w:eastAsia="仿宋_GB2312"/>
                <w:sz w:val="28"/>
                <w:szCs w:val="28"/>
              </w:rPr>
              <w:t>年，承诺在</w:t>
            </w:r>
            <w:r>
              <w:rPr>
                <w:rFonts w:ascii="Times New Roman" w:hAnsi="Times New Roman" w:eastAsia="仿宋_GB2312"/>
                <w:sz w:val="28"/>
                <w:szCs w:val="28"/>
              </w:rPr>
              <w:t>2</w:t>
            </w:r>
            <w:r>
              <w:rPr>
                <w:rFonts w:hint="eastAsia" w:ascii="Times New Roman" w:hAnsi="Times New Roman" w:eastAsia="仿宋_GB2312"/>
                <w:sz w:val="28"/>
                <w:szCs w:val="28"/>
              </w:rPr>
              <w:t>年免费质保期基础上每增加</w:t>
            </w:r>
            <w:r>
              <w:rPr>
                <w:rFonts w:ascii="Times New Roman" w:hAnsi="Times New Roman" w:eastAsia="仿宋_GB2312"/>
                <w:sz w:val="28"/>
                <w:szCs w:val="28"/>
              </w:rPr>
              <w:t>1</w:t>
            </w:r>
            <w:r>
              <w:rPr>
                <w:rFonts w:hint="eastAsia" w:ascii="Times New Roman" w:hAnsi="Times New Roman" w:eastAsia="仿宋_GB2312"/>
                <w:sz w:val="28"/>
                <w:szCs w:val="28"/>
              </w:rPr>
              <w:t>年免费质保得</w:t>
            </w:r>
            <w:r>
              <w:rPr>
                <w:rFonts w:ascii="Times New Roman" w:hAnsi="Times New Roman" w:eastAsia="仿宋_GB2312"/>
                <w:sz w:val="28"/>
                <w:szCs w:val="28"/>
              </w:rPr>
              <w:t>2</w:t>
            </w:r>
            <w:r>
              <w:rPr>
                <w:rFonts w:hint="eastAsia" w:ascii="Times New Roman" w:hAnsi="Times New Roman" w:eastAsia="仿宋_GB2312"/>
                <w:sz w:val="28"/>
                <w:szCs w:val="28"/>
              </w:rPr>
              <w:t>分，以此类推，本项满分</w:t>
            </w:r>
            <w:r>
              <w:rPr>
                <w:rFonts w:ascii="Times New Roman" w:hAnsi="Times New Roman" w:eastAsia="仿宋_GB2312"/>
                <w:sz w:val="28"/>
                <w:szCs w:val="28"/>
              </w:rPr>
              <w:t>4</w:t>
            </w:r>
            <w:r>
              <w:rPr>
                <w:rFonts w:hint="eastAsia" w:ascii="Times New Roman" w:hAnsi="Times New Roman" w:eastAsia="仿宋_GB2312"/>
                <w:sz w:val="28"/>
                <w:szCs w:val="28"/>
              </w:rPr>
              <w:t>分，多分不计。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175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施工组织设计评审标准</w:t>
            </w:r>
          </w:p>
        </w:tc>
        <w:tc>
          <w:tcPr>
            <w:tcW w:w="900" w:type="dxa"/>
            <w:vAlign w:val="center"/>
          </w:tcPr>
          <w:p>
            <w:pPr>
              <w:rPr>
                <w:rFonts w:ascii="Times New Roman" w:hAnsi="Times New Roman" w:eastAsia="仿宋_GB2312"/>
                <w:sz w:val="28"/>
                <w:szCs w:val="28"/>
              </w:rPr>
            </w:pPr>
            <w:r>
              <w:rPr>
                <w:rFonts w:ascii="Times New Roman" w:hAnsi="Times New Roman" w:eastAsia="仿宋_GB2312"/>
                <w:sz w:val="28"/>
                <w:szCs w:val="28"/>
              </w:rPr>
              <w:t>18</w:t>
            </w:r>
            <w:r>
              <w:rPr>
                <w:rFonts w:hint="eastAsia" w:ascii="Times New Roman" w:hAnsi="Times New Roman" w:eastAsia="仿宋_GB2312"/>
                <w:sz w:val="28"/>
                <w:szCs w:val="28"/>
              </w:rPr>
              <w:t>分</w:t>
            </w:r>
          </w:p>
        </w:tc>
        <w:tc>
          <w:tcPr>
            <w:tcW w:w="6891" w:type="dxa"/>
          </w:tcPr>
          <w:p>
            <w:pPr>
              <w:rPr>
                <w:rFonts w:ascii="Times New Roman" w:hAnsi="Times New Roman" w:eastAsia="仿宋_GB2312"/>
                <w:sz w:val="28"/>
                <w:szCs w:val="28"/>
              </w:rPr>
            </w:pPr>
            <w:r>
              <w:rPr>
                <w:rFonts w:ascii="Times New Roman" w:hAnsi="Times New Roman" w:eastAsia="仿宋_GB2312"/>
                <w:sz w:val="28"/>
                <w:szCs w:val="28"/>
              </w:rPr>
              <w:t>1</w:t>
            </w:r>
            <w:r>
              <w:rPr>
                <w:rFonts w:hint="eastAsia" w:ascii="Times New Roman" w:hAnsi="Times New Roman" w:eastAsia="仿宋_GB2312"/>
                <w:sz w:val="28"/>
                <w:szCs w:val="28"/>
              </w:rPr>
              <w:t>、施工方案与技术措施（满分</w:t>
            </w:r>
            <w:r>
              <w:rPr>
                <w:rFonts w:ascii="Times New Roman" w:hAnsi="Times New Roman" w:eastAsia="仿宋_GB2312"/>
                <w:sz w:val="28"/>
                <w:szCs w:val="28"/>
              </w:rPr>
              <w:t>4</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hint="eastAsia" w:ascii="Times New Roman" w:hAnsi="Times New Roman" w:eastAsia="仿宋_GB2312"/>
                <w:sz w:val="28"/>
                <w:szCs w:val="28"/>
              </w:rPr>
              <w:t>各主要分部施工方法符合项目实际，有详尽的、切实可行的施工技术方案，工艺先进、方法科学合理、可行，能指导具体施工并确保安全。</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hint="eastAsia" w:ascii="Times New Roman" w:hAnsi="Times New Roman" w:eastAsia="仿宋_GB2312"/>
                <w:sz w:val="28"/>
                <w:szCs w:val="28"/>
              </w:rPr>
              <w:t>对项目关键技术、工艺有深入的表述，对重点、难点有先进、合理的建议，解决方案完整、经济、安全、切实可行，措施得力。</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2</w:t>
            </w:r>
            <w:r>
              <w:rPr>
                <w:rFonts w:hint="eastAsia" w:ascii="Times New Roman" w:hAnsi="Times New Roman" w:eastAsia="仿宋_GB2312"/>
                <w:sz w:val="28"/>
                <w:szCs w:val="28"/>
              </w:rPr>
              <w:t>、质量管理体系与措施（满分</w:t>
            </w:r>
            <w:r>
              <w:rPr>
                <w:rFonts w:ascii="Times New Roman" w:hAnsi="Times New Roman" w:eastAsia="仿宋_GB2312"/>
                <w:sz w:val="28"/>
                <w:szCs w:val="28"/>
              </w:rPr>
              <w:t>2</w:t>
            </w:r>
            <w:r>
              <w:rPr>
                <w:rFonts w:hint="eastAsia" w:ascii="Times New Roman" w:hAnsi="Times New Roman" w:eastAsia="仿宋_GB2312"/>
                <w:sz w:val="28"/>
                <w:szCs w:val="28"/>
              </w:rPr>
              <w:t>分）：施工项目质量技术管理制度健全，主要工序有质量技术保证措施和手段，自控体系完整，能有效保证技术质量，达到承诺的质量标准。</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3</w:t>
            </w:r>
            <w:r>
              <w:rPr>
                <w:rFonts w:hint="eastAsia" w:ascii="Times New Roman" w:hAnsi="Times New Roman" w:eastAsia="仿宋_GB2312"/>
                <w:sz w:val="28"/>
                <w:szCs w:val="28"/>
              </w:rPr>
              <w:t>、安全管理体系与措施（满分</w:t>
            </w:r>
            <w:r>
              <w:rPr>
                <w:rFonts w:ascii="Times New Roman" w:hAnsi="Times New Roman" w:eastAsia="仿宋_GB2312"/>
                <w:sz w:val="28"/>
                <w:szCs w:val="28"/>
              </w:rPr>
              <w:t>2</w:t>
            </w:r>
            <w:r>
              <w:rPr>
                <w:rFonts w:hint="eastAsia" w:ascii="Times New Roman" w:hAnsi="Times New Roman" w:eastAsia="仿宋_GB2312"/>
                <w:sz w:val="28"/>
                <w:szCs w:val="28"/>
              </w:rPr>
              <w:t>分）：施工项目应有专门的安全管理人员和制度，且人员配备合理，制度健全，各道工序安全技术措施符合要求，有安全保证承诺。现场防火、社会治安安全措施得力、有基本的安全管理体系与措施。</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4</w:t>
            </w:r>
            <w:r>
              <w:rPr>
                <w:rFonts w:hint="eastAsia" w:ascii="Times New Roman" w:hAnsi="Times New Roman" w:eastAsia="仿宋_GB2312"/>
                <w:sz w:val="28"/>
                <w:szCs w:val="28"/>
              </w:rPr>
              <w:t>、环境保护管理体系与措施（满分</w:t>
            </w:r>
            <w:r>
              <w:rPr>
                <w:rFonts w:ascii="Times New Roman" w:hAnsi="Times New Roman" w:eastAsia="仿宋_GB2312"/>
                <w:sz w:val="28"/>
                <w:szCs w:val="28"/>
              </w:rPr>
              <w:t>2</w:t>
            </w:r>
            <w:r>
              <w:rPr>
                <w:rFonts w:hint="eastAsia" w:ascii="Times New Roman" w:hAnsi="Times New Roman" w:eastAsia="仿宋_GB2312"/>
                <w:sz w:val="28"/>
                <w:szCs w:val="28"/>
              </w:rPr>
              <w:t>分）：针对本工程项目特点，有具体的环境保护措施，各项措施周全、具体、有效。</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5</w:t>
            </w:r>
            <w:r>
              <w:rPr>
                <w:rFonts w:hint="eastAsia" w:ascii="Times New Roman" w:hAnsi="Times New Roman" w:eastAsia="仿宋_GB2312"/>
                <w:sz w:val="28"/>
                <w:szCs w:val="28"/>
              </w:rPr>
              <w:t>、工程进度计划与措施（满分</w:t>
            </w:r>
            <w:r>
              <w:rPr>
                <w:rFonts w:ascii="Times New Roman" w:hAnsi="Times New Roman" w:eastAsia="仿宋_GB2312"/>
                <w:sz w:val="28"/>
                <w:szCs w:val="28"/>
              </w:rPr>
              <w:t>2</w:t>
            </w:r>
            <w:r>
              <w:rPr>
                <w:rFonts w:hint="eastAsia" w:ascii="Times New Roman" w:hAnsi="Times New Roman" w:eastAsia="仿宋_GB2312"/>
                <w:sz w:val="28"/>
                <w:szCs w:val="28"/>
              </w:rPr>
              <w:t>分）：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6</w:t>
            </w:r>
            <w:r>
              <w:rPr>
                <w:rFonts w:hint="eastAsia" w:ascii="Times New Roman" w:hAnsi="Times New Roman" w:eastAsia="仿宋_GB2312"/>
                <w:sz w:val="28"/>
                <w:szCs w:val="28"/>
              </w:rPr>
              <w:t>、文明施工措施（满分</w:t>
            </w:r>
            <w:r>
              <w:rPr>
                <w:rFonts w:ascii="Times New Roman" w:hAnsi="Times New Roman" w:eastAsia="仿宋_GB2312"/>
                <w:sz w:val="28"/>
                <w:szCs w:val="28"/>
              </w:rPr>
              <w:t>2</w:t>
            </w:r>
            <w:r>
              <w:rPr>
                <w:rFonts w:hint="eastAsia" w:ascii="Times New Roman" w:hAnsi="Times New Roman" w:eastAsia="仿宋_GB2312"/>
                <w:sz w:val="28"/>
                <w:szCs w:val="28"/>
              </w:rPr>
              <w:t>分）：针对项目实际情况，有具体、完整、可行、科学的文明施工计划和实施措施。</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7</w:t>
            </w:r>
            <w:r>
              <w:rPr>
                <w:rFonts w:hint="eastAsia" w:ascii="Times New Roman" w:hAnsi="Times New Roman" w:eastAsia="仿宋_GB2312"/>
                <w:sz w:val="28"/>
                <w:szCs w:val="28"/>
              </w:rPr>
              <w:t>、资源配备计划（满分</w:t>
            </w:r>
            <w:r>
              <w:rPr>
                <w:rFonts w:ascii="Times New Roman" w:hAnsi="Times New Roman" w:eastAsia="仿宋_GB2312"/>
                <w:sz w:val="28"/>
                <w:szCs w:val="28"/>
              </w:rPr>
              <w:t>2</w:t>
            </w:r>
            <w:r>
              <w:rPr>
                <w:rFonts w:hint="eastAsia" w:ascii="Times New Roman" w:hAnsi="Times New Roman" w:eastAsia="仿宋_GB2312"/>
                <w:sz w:val="28"/>
                <w:szCs w:val="28"/>
              </w:rPr>
              <w:t>分）：劳动力、材料投入计划及其保证措施，满足施工需要，调配投入计划合理、准确。机械设备投入计划及检测设备，满足施工需要。</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p>
            <w:pPr>
              <w:rPr>
                <w:rFonts w:ascii="Times New Roman" w:hAnsi="Times New Roman" w:eastAsia="仿宋_GB2312"/>
                <w:sz w:val="28"/>
                <w:szCs w:val="28"/>
              </w:rPr>
            </w:pPr>
            <w:r>
              <w:rPr>
                <w:rFonts w:ascii="Times New Roman" w:hAnsi="Times New Roman" w:eastAsia="仿宋_GB2312"/>
                <w:sz w:val="28"/>
                <w:szCs w:val="28"/>
              </w:rPr>
              <w:t>8</w:t>
            </w:r>
            <w:r>
              <w:rPr>
                <w:rFonts w:hint="eastAsia" w:ascii="Times New Roman" w:hAnsi="Times New Roman" w:eastAsia="仿宋_GB2312"/>
                <w:sz w:val="28"/>
                <w:szCs w:val="28"/>
              </w:rPr>
              <w:t>、与其他承包人的衔接、配合措施（满分</w:t>
            </w:r>
            <w:r>
              <w:rPr>
                <w:rFonts w:ascii="Times New Roman" w:hAnsi="Times New Roman" w:eastAsia="仿宋_GB2312"/>
                <w:sz w:val="28"/>
                <w:szCs w:val="28"/>
              </w:rPr>
              <w:t>2</w:t>
            </w:r>
            <w:r>
              <w:rPr>
                <w:rFonts w:hint="eastAsia" w:ascii="Times New Roman" w:hAnsi="Times New Roman" w:eastAsia="仿宋_GB2312"/>
                <w:sz w:val="28"/>
                <w:szCs w:val="28"/>
              </w:rPr>
              <w:t>分）：针对项目实际情况，有完成、科学的与其他承包人衔接、配合措施。</w:t>
            </w:r>
          </w:p>
          <w:p>
            <w:pPr>
              <w:rPr>
                <w:rFonts w:ascii="Times New Roman" w:hAnsi="Times New Roman" w:eastAsia="仿宋_GB2312"/>
                <w:sz w:val="28"/>
                <w:szCs w:val="28"/>
              </w:rPr>
            </w:pPr>
            <w:r>
              <w:rPr>
                <w:rFonts w:hint="eastAsia" w:ascii="Times New Roman" w:hAnsi="Times New Roman" w:eastAsia="仿宋_GB2312"/>
                <w:sz w:val="28"/>
                <w:szCs w:val="28"/>
              </w:rPr>
              <w:t>优：</w:t>
            </w:r>
            <w:r>
              <w:rPr>
                <w:rFonts w:ascii="Times New Roman" w:hAnsi="Times New Roman" w:eastAsia="仿宋_GB2312"/>
                <w:sz w:val="28"/>
                <w:szCs w:val="28"/>
              </w:rPr>
              <w:t>2</w:t>
            </w:r>
            <w:r>
              <w:rPr>
                <w:rFonts w:hint="eastAsia" w:ascii="Times New Roman" w:hAnsi="Times New Roman" w:eastAsia="仿宋_GB2312"/>
                <w:sz w:val="28"/>
                <w:szCs w:val="28"/>
              </w:rPr>
              <w:t>分，良：</w:t>
            </w:r>
            <w:r>
              <w:rPr>
                <w:rFonts w:ascii="Times New Roman" w:hAnsi="Times New Roman" w:eastAsia="仿宋_GB2312"/>
                <w:sz w:val="28"/>
                <w:szCs w:val="28"/>
              </w:rPr>
              <w:t>1.5</w:t>
            </w:r>
            <w:r>
              <w:rPr>
                <w:rFonts w:hint="eastAsia" w:ascii="Times New Roman" w:hAnsi="Times New Roman" w:eastAsia="仿宋_GB2312"/>
                <w:sz w:val="28"/>
                <w:szCs w:val="28"/>
              </w:rPr>
              <w:t>分，一般：</w:t>
            </w:r>
            <w:r>
              <w:rPr>
                <w:rFonts w:ascii="Times New Roman" w:hAnsi="Times New Roman" w:eastAsia="仿宋_GB2312"/>
                <w:sz w:val="28"/>
                <w:szCs w:val="28"/>
              </w:rPr>
              <w:t>1</w:t>
            </w:r>
            <w:r>
              <w:rPr>
                <w:rFonts w:hint="eastAsia" w:ascii="Times New Roman" w:hAnsi="Times New Roman" w:eastAsia="仿宋_GB2312"/>
                <w:sz w:val="28"/>
                <w:szCs w:val="28"/>
              </w:rPr>
              <w:t>分，差：</w:t>
            </w:r>
            <w:r>
              <w:rPr>
                <w:rFonts w:ascii="Times New Roman" w:hAnsi="Times New Roman" w:eastAsia="仿宋_GB2312"/>
                <w:sz w:val="28"/>
                <w:szCs w:val="28"/>
              </w:rPr>
              <w:t>0</w:t>
            </w:r>
            <w:r>
              <w:rPr>
                <w:rFonts w:hint="eastAsia" w:ascii="Times New Roman" w:hAnsi="Times New Roman" w:eastAsia="仿宋_GB2312"/>
                <w:sz w:val="28"/>
                <w:szCs w:val="28"/>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3" w:hRule="atLeast"/>
        </w:trPr>
        <w:tc>
          <w:tcPr>
            <w:tcW w:w="9547" w:type="dxa"/>
            <w:gridSpan w:val="3"/>
            <w:vAlign w:val="center"/>
          </w:tcPr>
          <w:p>
            <w:pPr>
              <w:rPr>
                <w:rFonts w:ascii="Times New Roman" w:hAnsi="Times New Roman" w:eastAsia="仿宋_GB2312"/>
                <w:sz w:val="28"/>
                <w:szCs w:val="28"/>
              </w:rPr>
            </w:pPr>
            <w:r>
              <w:rPr>
                <w:rFonts w:hint="eastAsia" w:ascii="Times New Roman" w:hAnsi="Times New Roman" w:eastAsia="仿宋_GB2312"/>
                <w:sz w:val="28"/>
                <w:szCs w:val="28"/>
              </w:rPr>
              <w:t>注：</w:t>
            </w:r>
            <w:r>
              <w:rPr>
                <w:rFonts w:ascii="Times New Roman" w:hAnsi="Times New Roman" w:eastAsia="仿宋_GB2312"/>
                <w:sz w:val="28"/>
                <w:szCs w:val="28"/>
              </w:rPr>
              <w:t xml:space="preserve"> </w:t>
            </w:r>
            <w:r>
              <w:rPr>
                <w:rFonts w:hint="eastAsia" w:ascii="Times New Roman" w:hAnsi="Times New Roman" w:eastAsia="仿宋_GB2312"/>
                <w:sz w:val="28"/>
                <w:szCs w:val="28"/>
              </w:rPr>
              <w:t>技术和商务评审涉及的的相关证照、证明、证书、证件、合同等（非投标单位自身单独出具），原件的扫描件装入投标文件。原件中标后由采购人核验，如发现弄虚作假的，取消其中标资格，并按有关规定进行处理。材料均为扫描件或复印件须加盖单位公章。</w:t>
            </w:r>
          </w:p>
        </w:tc>
      </w:tr>
    </w:tbl>
    <w:p>
      <w:pPr>
        <w:spacing w:line="360" w:lineRule="exact"/>
        <w:ind w:firstLine="482" w:firstLineChars="200"/>
        <w:rPr>
          <w:rFonts w:ascii="仿宋_GB2312" w:hAnsi="仿宋_GB2312" w:eastAsia="仿宋_GB2312" w:cs="仿宋_GB2312"/>
          <w:sz w:val="32"/>
          <w:szCs w:val="32"/>
        </w:rPr>
      </w:pPr>
      <w:r>
        <w:rPr>
          <w:rFonts w:ascii="宋体" w:hAnsi="宋体"/>
          <w:b/>
          <w:sz w:val="24"/>
          <w:szCs w:val="24"/>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评标总得分</w:t>
      </w:r>
      <w:r>
        <w:rPr>
          <w:rFonts w:ascii="仿宋_GB2312" w:hAnsi="仿宋_GB2312" w:eastAsia="仿宋_GB2312" w:cs="仿宋_GB2312"/>
          <w:sz w:val="32"/>
          <w:szCs w:val="32"/>
        </w:rPr>
        <w:t>=F1+F2+F3+F4+F5+F6+F7+F8+F9+F10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F4</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F5</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F9</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F10</w:t>
      </w:r>
      <w:r>
        <w:rPr>
          <w:rFonts w:hint="eastAsia" w:ascii="仿宋_GB2312" w:hAnsi="仿宋_GB2312" w:eastAsia="仿宋_GB2312" w:cs="仿宋_GB2312"/>
          <w:sz w:val="32"/>
          <w:szCs w:val="32"/>
        </w:rPr>
        <w:t>分别为各项评分因素的汇总得分）。</w:t>
      </w:r>
    </w:p>
    <w:p>
      <w:pPr>
        <w:spacing w:line="560" w:lineRule="exact"/>
        <w:ind w:firstLine="640" w:firstLineChars="200"/>
        <w:rPr>
          <w:rFonts w:ascii="宋体"/>
          <w:sz w:val="24"/>
          <w:szCs w:val="24"/>
        </w:rPr>
      </w:pPr>
      <w:r>
        <w:rPr>
          <w:rFonts w:hint="eastAsia" w:ascii="仿宋_GB2312" w:hAnsi="仿宋_GB2312" w:eastAsia="仿宋_GB2312" w:cs="仿宋_GB2312"/>
          <w:sz w:val="32"/>
          <w:szCs w:val="32"/>
        </w:rPr>
        <w:t>评标时，评标委员会各成员应当独立对每个有效投标人的标书进行评价、打分，然后汇总每个投标人每项评分因素的得分，按评审后得分由高到低顺序排列（</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p>
    <w:p>
      <w:pPr>
        <w:pStyle w:val="4"/>
        <w:keepNext w:val="0"/>
        <w:keepLines w:val="0"/>
        <w:spacing w:line="560" w:lineRule="exact"/>
        <w:rPr>
          <w:rFonts w:ascii="仿宋_GB2312" w:hAnsi="仿宋_GB2312" w:eastAsia="仿宋_GB2312" w:cs="仿宋_GB2312"/>
          <w:bCs/>
          <w:szCs w:val="32"/>
        </w:rPr>
      </w:pPr>
      <w:r>
        <w:rPr>
          <w:rFonts w:ascii="仿宋_GB2312" w:hAnsi="仿宋_GB2312" w:eastAsia="仿宋_GB2312" w:cs="仿宋_GB2312"/>
          <w:szCs w:val="32"/>
        </w:rPr>
        <w:t xml:space="preserve">1. </w:t>
      </w:r>
      <w:r>
        <w:rPr>
          <w:rFonts w:hint="eastAsia" w:ascii="仿宋_GB2312" w:hAnsi="仿宋_GB2312" w:eastAsia="仿宋_GB2312" w:cs="仿宋_GB2312"/>
          <w:szCs w:val="32"/>
        </w:rPr>
        <w:t>评标办法：</w:t>
      </w:r>
      <w:r>
        <w:rPr>
          <w:rFonts w:hint="eastAsia" w:ascii="仿宋_GB2312" w:hAnsi="仿宋_GB2312" w:eastAsia="仿宋_GB2312" w:cs="仿宋_GB2312"/>
          <w:bCs/>
          <w:szCs w:val="32"/>
        </w:rPr>
        <w:t>综合评分法（</w:t>
      </w:r>
      <w:r>
        <w:rPr>
          <w:rFonts w:ascii="仿宋_GB2312" w:hAnsi="仿宋_GB2312" w:eastAsia="仿宋_GB2312" w:cs="仿宋_GB2312"/>
          <w:bCs/>
          <w:szCs w:val="32"/>
        </w:rPr>
        <w:t>100</w:t>
      </w:r>
      <w:r>
        <w:rPr>
          <w:rFonts w:hint="eastAsia" w:ascii="仿宋_GB2312" w:hAnsi="仿宋_GB2312" w:eastAsia="仿宋_GB2312" w:cs="仿宋_GB2312"/>
          <w:bCs/>
          <w:szCs w:val="32"/>
        </w:rPr>
        <w:t>分制）</w:t>
      </w:r>
      <w:bookmarkStart w:id="17" w:name="_Toc247085748"/>
      <w:bookmarkStart w:id="18" w:name="_Toc246996976"/>
      <w:bookmarkStart w:id="19" w:name="_Toc246996233"/>
      <w:bookmarkStart w:id="20" w:name="_Toc179632608"/>
      <w:bookmarkStart w:id="21" w:name="_Toc296602478"/>
      <w:bookmarkStart w:id="22" w:name="_Toc152042367"/>
      <w:bookmarkStart w:id="23" w:name="_Toc152045590"/>
      <w:bookmarkStart w:id="24" w:name="_Toc144974557"/>
    </w:p>
    <w:p>
      <w:pPr>
        <w:pStyle w:val="4"/>
        <w:keepNext w:val="0"/>
        <w:keepLines w:val="0"/>
        <w:spacing w:line="560" w:lineRule="exact"/>
        <w:rPr>
          <w:rFonts w:ascii="仿宋_GB2312" w:hAnsi="仿宋_GB2312" w:eastAsia="仿宋_GB2312" w:cs="仿宋_GB2312"/>
          <w:szCs w:val="32"/>
        </w:rPr>
      </w:pPr>
      <w:r>
        <w:rPr>
          <w:rFonts w:ascii="仿宋_GB2312" w:hAnsi="仿宋_GB2312" w:eastAsia="仿宋_GB2312" w:cs="仿宋_GB2312"/>
          <w:szCs w:val="32"/>
        </w:rPr>
        <w:t xml:space="preserve">2. </w:t>
      </w:r>
      <w:r>
        <w:rPr>
          <w:rFonts w:hint="eastAsia" w:ascii="仿宋_GB2312" w:hAnsi="仿宋_GB2312" w:eastAsia="仿宋_GB2312" w:cs="仿宋_GB2312"/>
          <w:szCs w:val="32"/>
        </w:rPr>
        <w:t>评审标准</w:t>
      </w:r>
      <w:bookmarkEnd w:id="17"/>
      <w:bookmarkEnd w:id="18"/>
      <w:bookmarkEnd w:id="19"/>
      <w:bookmarkEnd w:id="20"/>
      <w:bookmarkEnd w:id="21"/>
      <w:bookmarkEnd w:id="22"/>
      <w:bookmarkEnd w:id="23"/>
      <w:bookmarkEnd w:id="24"/>
    </w:p>
    <w:p>
      <w:pPr>
        <w:spacing w:line="560" w:lineRule="exact"/>
        <w:ind w:firstLine="643" w:firstLineChars="200"/>
        <w:rPr>
          <w:rFonts w:ascii="仿宋_GB2312" w:hAnsi="仿宋_GB2312" w:eastAsia="仿宋_GB2312" w:cs="仿宋_GB2312"/>
          <w:b/>
          <w:sz w:val="32"/>
          <w:szCs w:val="32"/>
        </w:rPr>
      </w:pPr>
      <w:bookmarkStart w:id="25" w:name="_Toc246996977"/>
      <w:bookmarkStart w:id="26" w:name="_Toc246996234"/>
      <w:bookmarkStart w:id="27" w:name="_Toc152042368"/>
      <w:bookmarkStart w:id="28" w:name="_Toc296602479"/>
      <w:bookmarkStart w:id="29" w:name="_Toc152045591"/>
      <w:bookmarkStart w:id="30" w:name="_Toc144974558"/>
      <w:bookmarkStart w:id="31" w:name="_Toc247085749"/>
      <w:bookmarkStart w:id="32" w:name="_Toc179632609"/>
      <w:r>
        <w:rPr>
          <w:rFonts w:hint="eastAsia" w:ascii="仿宋_GB2312" w:hAnsi="仿宋_GB2312" w:eastAsia="仿宋_GB2312" w:cs="仿宋_GB2312"/>
          <w:b/>
          <w:sz w:val="32"/>
          <w:szCs w:val="32"/>
        </w:rPr>
        <w:t>评审标准</w:t>
      </w:r>
      <w:bookmarkEnd w:id="25"/>
      <w:bookmarkEnd w:id="26"/>
      <w:bookmarkEnd w:id="27"/>
      <w:bookmarkEnd w:id="28"/>
      <w:bookmarkEnd w:id="29"/>
      <w:bookmarkEnd w:id="30"/>
      <w:bookmarkEnd w:id="31"/>
      <w:bookmarkEnd w:id="32"/>
      <w:r>
        <w:rPr>
          <w:rFonts w:hint="eastAsia" w:ascii="仿宋_GB2312" w:hAnsi="仿宋_GB2312" w:eastAsia="仿宋_GB2312" w:cs="仿宋_GB2312"/>
          <w:b/>
          <w:sz w:val="32"/>
          <w:szCs w:val="32"/>
        </w:rPr>
        <w:t>见评标办法前附表。</w:t>
      </w:r>
      <w:bookmarkStart w:id="33" w:name="_Toc179632611"/>
      <w:bookmarkStart w:id="34" w:name="_Toc246996236"/>
      <w:bookmarkStart w:id="35" w:name="_Toc144974560"/>
      <w:bookmarkStart w:id="36" w:name="_Toc247085751"/>
      <w:bookmarkStart w:id="37" w:name="_Toc152042370"/>
      <w:bookmarkStart w:id="38" w:name="_Toc152045593"/>
      <w:bookmarkStart w:id="39" w:name="_Toc246996979"/>
      <w:bookmarkStart w:id="40" w:name="_Toc296602481"/>
    </w:p>
    <w:p>
      <w:pPr>
        <w:pStyle w:val="4"/>
        <w:keepNext w:val="0"/>
        <w:keepLines w:val="0"/>
        <w:spacing w:line="560" w:lineRule="exact"/>
        <w:rPr>
          <w:rFonts w:ascii="仿宋_GB2312" w:hAnsi="仿宋_GB2312" w:eastAsia="仿宋_GB2312" w:cs="仿宋_GB2312"/>
          <w:szCs w:val="32"/>
        </w:rPr>
      </w:pPr>
      <w:r>
        <w:rPr>
          <w:rFonts w:ascii="仿宋_GB2312" w:hAnsi="仿宋_GB2312" w:eastAsia="仿宋_GB2312" w:cs="仿宋_GB2312"/>
          <w:szCs w:val="32"/>
        </w:rPr>
        <w:t xml:space="preserve">3. </w:t>
      </w:r>
      <w:r>
        <w:rPr>
          <w:rFonts w:hint="eastAsia" w:ascii="仿宋_GB2312" w:hAnsi="仿宋_GB2312" w:eastAsia="仿宋_GB2312" w:cs="仿宋_GB2312"/>
          <w:szCs w:val="32"/>
        </w:rPr>
        <w:t>评标</w:t>
      </w:r>
      <w:bookmarkEnd w:id="33"/>
      <w:bookmarkEnd w:id="34"/>
      <w:bookmarkEnd w:id="35"/>
      <w:bookmarkEnd w:id="36"/>
      <w:bookmarkEnd w:id="37"/>
      <w:bookmarkEnd w:id="38"/>
      <w:bookmarkEnd w:id="39"/>
      <w:bookmarkEnd w:id="40"/>
    </w:p>
    <w:p>
      <w:pPr>
        <w:spacing w:line="560" w:lineRule="exact"/>
        <w:ind w:firstLine="643" w:firstLineChars="200"/>
        <w:rPr>
          <w:rFonts w:ascii="仿宋_GB2312" w:hAnsi="仿宋_GB2312" w:eastAsia="仿宋_GB2312" w:cs="仿宋_GB2312"/>
          <w:b/>
          <w:sz w:val="32"/>
          <w:szCs w:val="32"/>
        </w:rPr>
      </w:pPr>
      <w:bookmarkStart w:id="41" w:name="_Toc296602482"/>
      <w:bookmarkStart w:id="42" w:name="_Toc246996237"/>
      <w:bookmarkStart w:id="43" w:name="_Toc179632612"/>
      <w:bookmarkStart w:id="44" w:name="_Toc247085752"/>
      <w:bookmarkStart w:id="45" w:name="_Toc152045594"/>
      <w:bookmarkStart w:id="46" w:name="_Toc246996980"/>
      <w:bookmarkStart w:id="47" w:name="_Toc152042371"/>
      <w:bookmarkStart w:id="48" w:name="_Toc144974561"/>
      <w:r>
        <w:rPr>
          <w:rFonts w:ascii="仿宋_GB2312" w:hAnsi="仿宋_GB2312" w:eastAsia="仿宋_GB2312" w:cs="仿宋_GB2312"/>
          <w:b/>
          <w:sz w:val="32"/>
          <w:szCs w:val="32"/>
        </w:rPr>
        <w:t>3.1</w:t>
      </w:r>
      <w:r>
        <w:rPr>
          <w:rFonts w:hint="eastAsia" w:ascii="仿宋_GB2312" w:hAnsi="仿宋_GB2312" w:eastAsia="仿宋_GB2312" w:cs="仿宋_GB2312"/>
          <w:b/>
          <w:sz w:val="32"/>
          <w:szCs w:val="32"/>
        </w:rPr>
        <w:t>评标应当遵循下列工作程序</w:t>
      </w:r>
      <w:r>
        <w:rPr>
          <w:rFonts w:ascii="仿宋_GB2312" w:hAnsi="仿宋_GB2312" w:eastAsia="仿宋_GB2312" w:cs="仿宋_GB2312"/>
          <w:b/>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资格性检查。依据法律法规和招标文件的规定，对投标文件中的资格证明、投标保证金等进行审查，以确定投标供应商是否具备投标资格。</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符合性检查。依据招标文件的规定，从投标文件的有效性、完整性和对招标文件的响应程度进行审查，以确定是否对招标文件的实质性要求作出响应。</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中标候人数量应当根据采购需要确定，推荐</w:t>
      </w:r>
      <w:r>
        <w:rPr>
          <w:rFonts w:ascii="仿宋_GB2312" w:hAnsi="仿宋_GB2312" w:eastAsia="仿宋_GB2312" w:cs="仿宋_GB2312"/>
          <w:sz w:val="32"/>
          <w:szCs w:val="32"/>
        </w:rPr>
        <w:t>1-3</w:t>
      </w:r>
      <w:r>
        <w:rPr>
          <w:rFonts w:hint="eastAsia" w:ascii="仿宋_GB2312" w:hAnsi="仿宋_GB2312" w:eastAsia="仿宋_GB2312" w:cs="仿宋_GB2312"/>
          <w:sz w:val="32"/>
          <w:szCs w:val="32"/>
        </w:rPr>
        <w:t>名中标候选供应商，必须按顺序排列中标候选供应商。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采用综合评分法的，按评审后得分由高到低顺序排列。得分相同的，按投标报价由低到高顺序排列。得分且投标报价相同的，按</w:t>
      </w:r>
      <w:r>
        <w:rPr>
          <w:rFonts w:hint="eastAsia" w:ascii="仿宋_GB2312" w:hAnsi="仿宋_GB2312" w:eastAsia="仿宋_GB2312" w:cs="仿宋_GB2312"/>
          <w:color w:val="FF0000"/>
          <w:sz w:val="32"/>
          <w:szCs w:val="32"/>
        </w:rPr>
        <w:t>企业资质实力</w:t>
      </w:r>
      <w:r>
        <w:rPr>
          <w:rFonts w:hint="eastAsia" w:ascii="仿宋_GB2312" w:hAnsi="仿宋_GB2312" w:eastAsia="仿宋_GB2312" w:cs="仿宋_GB2312"/>
          <w:sz w:val="32"/>
          <w:szCs w:val="32"/>
        </w:rPr>
        <w:t>优劣顺序排列，以此类推。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r>
        <w:rPr>
          <w:rFonts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开标日期和地点；</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投标人名单和评标委员会成员名单；</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评标方法和标准；</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开标记录和评标情况及说明，包括投标无效投标人名单及原因；</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评标结果和中标候选供应商排序表；</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评标委员会的授标建议。</w:t>
      </w:r>
    </w:p>
    <w:p>
      <w:pPr>
        <w:spacing w:line="560" w:lineRule="exact"/>
        <w:ind w:firstLine="643" w:firstLineChars="200"/>
        <w:rPr>
          <w:rFonts w:ascii="仿宋_GB2312" w:hAnsi="仿宋_GB2312" w:eastAsia="仿宋_GB2312" w:cs="仿宋_GB2312"/>
          <w:b/>
          <w:bCs/>
          <w:sz w:val="32"/>
          <w:szCs w:val="32"/>
        </w:rPr>
      </w:pPr>
      <w:r>
        <w:rPr>
          <w:rFonts w:ascii="仿宋_GB2312" w:hAnsi="仿宋_GB2312" w:eastAsia="仿宋_GB2312" w:cs="仿宋_GB2312"/>
          <w:b/>
          <w:bCs/>
          <w:sz w:val="32"/>
          <w:szCs w:val="32"/>
        </w:rPr>
        <w:t>3.2</w:t>
      </w:r>
      <w:r>
        <w:rPr>
          <w:rFonts w:hint="eastAsia" w:ascii="仿宋_GB2312" w:hAnsi="仿宋_GB2312" w:eastAsia="仿宋_GB2312" w:cs="仿宋_GB2312"/>
          <w:b/>
          <w:bCs/>
          <w:sz w:val="32"/>
          <w:szCs w:val="32"/>
        </w:rPr>
        <w:t>保密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招标采购单位应当采取必要措施，保证评标在严格保密的情况下进行。</w:t>
      </w:r>
    </w:p>
    <w:p>
      <w:pPr>
        <w:spacing w:line="560" w:lineRule="exact"/>
        <w:ind w:firstLine="640" w:firstLineChars="200"/>
        <w:rPr>
          <w:rFonts w:ascii="仿宋_GB2312" w:hAnsi="仿宋_GB2312" w:eastAsia="仿宋_GB2312" w:cs="仿宋_GB2312"/>
          <w:b/>
          <w:sz w:val="32"/>
          <w:szCs w:val="32"/>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rPr>
        <w:t>任何单位和个人不得非法干预、影响评标办法的确定，以及评标过程和结果</w:t>
      </w:r>
      <w:bookmarkEnd w:id="41"/>
      <w:bookmarkEnd w:id="42"/>
      <w:bookmarkEnd w:id="43"/>
      <w:bookmarkEnd w:id="44"/>
      <w:bookmarkEnd w:id="45"/>
      <w:bookmarkEnd w:id="46"/>
      <w:bookmarkEnd w:id="47"/>
      <w:bookmarkEnd w:id="48"/>
      <w:r>
        <w:rPr>
          <w:rFonts w:hint="eastAsia" w:ascii="仿宋_GB2312" w:hAnsi="仿宋_GB2312" w:eastAsia="仿宋_GB2312" w:cs="仿宋_GB2312"/>
          <w:sz w:val="32"/>
          <w:szCs w:val="32"/>
        </w:rPr>
        <w:t>。</w:t>
      </w:r>
    </w:p>
    <w:p>
      <w:pPr>
        <w:spacing w:line="560" w:lineRule="exact"/>
        <w:jc w:val="center"/>
        <w:rPr>
          <w:rFonts w:ascii="黑体" w:hAnsi="黑体" w:eastAsia="黑体" w:cs="黑体"/>
          <w:sz w:val="32"/>
          <w:szCs w:val="32"/>
        </w:rPr>
      </w:pPr>
      <w:bookmarkStart w:id="49" w:name="_Toc246996995"/>
      <w:bookmarkStart w:id="50" w:name="_Toc144974577"/>
      <w:bookmarkStart w:id="51" w:name="_Toc296602497"/>
      <w:bookmarkStart w:id="52" w:name="_Toc246996252"/>
      <w:bookmarkStart w:id="53" w:name="_Toc152045609"/>
      <w:bookmarkStart w:id="54" w:name="_Toc179632627"/>
      <w:bookmarkStart w:id="55" w:name="_Toc152042387"/>
      <w:bookmarkStart w:id="56" w:name="_Toc247085767"/>
      <w:bookmarkStart w:id="57" w:name="EB7c62c7a396b64a37a73f7fce64281754"/>
      <w:r>
        <w:rPr>
          <w:rFonts w:hint="eastAsia" w:ascii="黑体" w:hAnsi="黑体" w:eastAsia="黑体" w:cs="黑体"/>
          <w:b/>
          <w:bCs/>
          <w:kern w:val="44"/>
          <w:sz w:val="32"/>
          <w:szCs w:val="32"/>
        </w:rPr>
        <w:t>第四章</w:t>
      </w:r>
      <w:r>
        <w:rPr>
          <w:rFonts w:ascii="黑体" w:hAnsi="黑体" w:eastAsia="黑体" w:cs="黑体"/>
          <w:b/>
          <w:bCs/>
          <w:kern w:val="44"/>
          <w:sz w:val="32"/>
          <w:szCs w:val="32"/>
        </w:rPr>
        <w:t xml:space="preserve"> </w:t>
      </w:r>
      <w:r>
        <w:rPr>
          <w:rFonts w:hint="eastAsia" w:ascii="黑体" w:hAnsi="黑体" w:eastAsia="黑体" w:cs="黑体"/>
          <w:b/>
          <w:bCs/>
          <w:kern w:val="44"/>
          <w:sz w:val="32"/>
          <w:szCs w:val="32"/>
        </w:rPr>
        <w:t>合同条款及格式</w:t>
      </w:r>
      <w:bookmarkEnd w:id="49"/>
      <w:bookmarkEnd w:id="50"/>
      <w:bookmarkEnd w:id="51"/>
      <w:bookmarkEnd w:id="52"/>
      <w:bookmarkEnd w:id="53"/>
      <w:bookmarkEnd w:id="54"/>
      <w:bookmarkEnd w:id="55"/>
      <w:bookmarkEnd w:id="56"/>
    </w:p>
    <w:p>
      <w:pPr>
        <w:wordWrap w:val="0"/>
        <w:spacing w:afterLines="150" w:line="600" w:lineRule="exact"/>
        <w:jc w:val="left"/>
        <w:rPr>
          <w:rFonts w:ascii="Times New Roman" w:hAnsi="Times New Roman" w:eastAsia="Times New Roman"/>
          <w:b/>
          <w:bCs/>
          <w:kern w:val="0"/>
          <w:sz w:val="28"/>
          <w:szCs w:val="28"/>
        </w:rPr>
      </w:pPr>
      <w:r>
        <w:rPr>
          <w:rFonts w:hint="eastAsia" w:ascii="Times New Roman" w:hAnsi="Times New Roman"/>
          <w:b/>
          <w:bCs/>
          <w:kern w:val="0"/>
          <w:sz w:val="28"/>
          <w:szCs w:val="28"/>
        </w:rPr>
        <w:t>合同条款前附表</w:t>
      </w:r>
    </w:p>
    <w:tbl>
      <w:tblPr>
        <w:tblStyle w:val="2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b/>
                <w:bCs/>
                <w:kern w:val="0"/>
                <w:sz w:val="24"/>
                <w:szCs w:val="24"/>
              </w:rPr>
            </w:pPr>
            <w:r>
              <w:rPr>
                <w:rFonts w:hint="eastAsia" w:ascii="Times New Roman" w:hAnsi="Times New Roman"/>
                <w:b/>
                <w:bCs/>
                <w:kern w:val="0"/>
                <w:sz w:val="24"/>
                <w:szCs w:val="24"/>
              </w:rPr>
              <w:t>序号</w:t>
            </w:r>
          </w:p>
        </w:tc>
        <w:tc>
          <w:tcPr>
            <w:tcW w:w="1417" w:type="dxa"/>
            <w:vAlign w:val="center"/>
          </w:tcPr>
          <w:p>
            <w:pPr>
              <w:wordWrap w:val="0"/>
              <w:spacing w:line="440" w:lineRule="exact"/>
              <w:jc w:val="center"/>
              <w:rPr>
                <w:rFonts w:ascii="Times New Roman" w:hAnsi="Times New Roman"/>
                <w:b/>
                <w:bCs/>
                <w:kern w:val="0"/>
                <w:sz w:val="24"/>
                <w:szCs w:val="24"/>
              </w:rPr>
            </w:pPr>
            <w:r>
              <w:rPr>
                <w:rFonts w:hint="eastAsia" w:ascii="Times New Roman" w:hAnsi="Times New Roman"/>
                <w:b/>
                <w:bCs/>
                <w:kern w:val="0"/>
                <w:sz w:val="24"/>
                <w:szCs w:val="24"/>
              </w:rPr>
              <w:t>条款名称</w:t>
            </w:r>
          </w:p>
        </w:tc>
        <w:tc>
          <w:tcPr>
            <w:tcW w:w="6253" w:type="dxa"/>
            <w:vAlign w:val="center"/>
          </w:tcPr>
          <w:p>
            <w:pPr>
              <w:wordWrap w:val="0"/>
              <w:spacing w:line="440" w:lineRule="exact"/>
              <w:jc w:val="center"/>
              <w:rPr>
                <w:rFonts w:ascii="Times New Roman" w:hAnsi="Times New Roman"/>
                <w:b/>
                <w:bCs/>
                <w:kern w:val="0"/>
                <w:sz w:val="24"/>
                <w:szCs w:val="24"/>
              </w:rPr>
            </w:pPr>
            <w:r>
              <w:rPr>
                <w:rFonts w:hint="eastAsia" w:ascii="Times New Roman" w:hAnsi="Times New Roman"/>
                <w:b/>
                <w:bCs/>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kern w:val="0"/>
                <w:sz w:val="24"/>
                <w:szCs w:val="24"/>
              </w:rPr>
            </w:pPr>
            <w:r>
              <w:rPr>
                <w:rFonts w:ascii="Times New Roman" w:hAnsi="Times New Roman"/>
                <w:kern w:val="0"/>
                <w:sz w:val="24"/>
                <w:szCs w:val="24"/>
              </w:rPr>
              <w:t>1</w:t>
            </w:r>
          </w:p>
        </w:tc>
        <w:tc>
          <w:tcPr>
            <w:tcW w:w="1417" w:type="dxa"/>
            <w:vAlign w:val="center"/>
          </w:tcPr>
          <w:p>
            <w:pPr>
              <w:wordWrap w:val="0"/>
              <w:spacing w:line="440" w:lineRule="exact"/>
              <w:jc w:val="center"/>
              <w:rPr>
                <w:rFonts w:ascii="Times New Roman" w:hAnsi="Times New Roman"/>
                <w:kern w:val="0"/>
                <w:sz w:val="24"/>
                <w:szCs w:val="24"/>
              </w:rPr>
            </w:pPr>
            <w:r>
              <w:rPr>
                <w:rFonts w:hint="eastAsia" w:ascii="Times New Roman" w:hAnsi="Times New Roman"/>
                <w:kern w:val="0"/>
                <w:sz w:val="24"/>
                <w:szCs w:val="24"/>
              </w:rPr>
              <w:t>付款人</w:t>
            </w:r>
          </w:p>
        </w:tc>
        <w:tc>
          <w:tcPr>
            <w:tcW w:w="6253" w:type="dxa"/>
            <w:vAlign w:val="center"/>
          </w:tcPr>
          <w:p>
            <w:pPr>
              <w:wordWrap w:val="0"/>
              <w:spacing w:line="440" w:lineRule="exact"/>
              <w:rPr>
                <w:rFonts w:ascii="Times New Roman" w:hAnsi="Times New Roman"/>
                <w:kern w:val="0"/>
                <w:sz w:val="24"/>
                <w:szCs w:val="24"/>
              </w:rPr>
            </w:pPr>
            <w:r>
              <w:rPr>
                <w:rFonts w:hint="eastAsia"/>
                <w:szCs w:val="21"/>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kern w:val="0"/>
                <w:sz w:val="24"/>
                <w:szCs w:val="24"/>
              </w:rPr>
            </w:pPr>
            <w:r>
              <w:rPr>
                <w:rFonts w:ascii="Times New Roman" w:hAnsi="Times New Roman"/>
                <w:kern w:val="0"/>
                <w:sz w:val="24"/>
                <w:szCs w:val="24"/>
              </w:rPr>
              <w:t>2</w:t>
            </w:r>
          </w:p>
        </w:tc>
        <w:tc>
          <w:tcPr>
            <w:tcW w:w="1417" w:type="dxa"/>
            <w:vAlign w:val="center"/>
          </w:tcPr>
          <w:p>
            <w:pPr>
              <w:wordWrap w:val="0"/>
              <w:spacing w:line="440" w:lineRule="exact"/>
              <w:jc w:val="center"/>
              <w:rPr>
                <w:rFonts w:ascii="Times New Roman" w:hAnsi="Times New Roman"/>
                <w:kern w:val="0"/>
                <w:sz w:val="24"/>
                <w:szCs w:val="24"/>
              </w:rPr>
            </w:pPr>
            <w:r>
              <w:rPr>
                <w:rFonts w:hint="eastAsia" w:ascii="Times New Roman" w:hAnsi="Times New Roman"/>
                <w:kern w:val="0"/>
                <w:sz w:val="24"/>
                <w:szCs w:val="24"/>
              </w:rPr>
              <w:t>付款方式</w:t>
            </w:r>
          </w:p>
        </w:tc>
        <w:tc>
          <w:tcPr>
            <w:tcW w:w="6253" w:type="dxa"/>
            <w:vAlign w:val="center"/>
          </w:tcPr>
          <w:p>
            <w:pPr>
              <w:wordWrap w:val="0"/>
              <w:spacing w:line="440" w:lineRule="exact"/>
              <w:ind w:firstLine="420" w:firstLineChars="200"/>
              <w:rPr>
                <w:szCs w:val="21"/>
              </w:rPr>
            </w:pPr>
            <w:r>
              <w:rPr>
                <w:rFonts w:hint="eastAsia"/>
                <w:szCs w:val="21"/>
              </w:rPr>
              <w:t>工程完成</w:t>
            </w:r>
            <w:r>
              <w:rPr>
                <w:szCs w:val="21"/>
              </w:rPr>
              <w:t>50%</w:t>
            </w:r>
            <w:r>
              <w:rPr>
                <w:rFonts w:hint="eastAsia"/>
                <w:szCs w:val="21"/>
              </w:rPr>
              <w:t>后付至工程合同价款的</w:t>
            </w:r>
            <w:r>
              <w:rPr>
                <w:szCs w:val="21"/>
              </w:rPr>
              <w:t>40%</w:t>
            </w:r>
            <w:r>
              <w:rPr>
                <w:rFonts w:hint="eastAsia"/>
                <w:szCs w:val="21"/>
              </w:rPr>
              <w:t>，工程完成</w:t>
            </w:r>
            <w:r>
              <w:rPr>
                <w:szCs w:val="21"/>
              </w:rPr>
              <w:t>80%</w:t>
            </w:r>
            <w:r>
              <w:rPr>
                <w:rFonts w:hint="eastAsia"/>
                <w:szCs w:val="21"/>
              </w:rPr>
              <w:t>后付至工程合同价款的</w:t>
            </w:r>
            <w:r>
              <w:rPr>
                <w:szCs w:val="21"/>
              </w:rPr>
              <w:t>60%</w:t>
            </w:r>
            <w:r>
              <w:rPr>
                <w:rFonts w:hint="eastAsia"/>
                <w:szCs w:val="21"/>
              </w:rPr>
              <w:t>，工程竣工验收合格后付至已完成工程合同价款的</w:t>
            </w:r>
            <w:r>
              <w:rPr>
                <w:szCs w:val="21"/>
              </w:rPr>
              <w:t>80%</w:t>
            </w:r>
            <w:r>
              <w:rPr>
                <w:rFonts w:hint="eastAsia"/>
                <w:szCs w:val="21"/>
              </w:rPr>
              <w:t>，余款作为待结价款和质保金，工程结算经审计部门审核后，付至审定价款的</w:t>
            </w:r>
            <w:r>
              <w:rPr>
                <w:szCs w:val="21"/>
              </w:rPr>
              <w:t>97%</w:t>
            </w:r>
            <w:r>
              <w:rPr>
                <w:rFonts w:hint="eastAsia"/>
                <w:szCs w:val="21"/>
              </w:rPr>
              <w:t>；自竣工验收合格之日起满两年无质量问题，余款一次性付清（无息）。</w:t>
            </w:r>
          </w:p>
          <w:p>
            <w:pPr>
              <w:wordWrap w:val="0"/>
              <w:spacing w:line="440" w:lineRule="exact"/>
              <w:ind w:firstLine="420" w:firstLineChars="200"/>
              <w:rPr>
                <w:szCs w:val="21"/>
              </w:rPr>
            </w:pPr>
            <w:r>
              <w:rPr>
                <w:rFonts w:hint="eastAsia"/>
                <w:szCs w:val="21"/>
              </w:rPr>
              <w:t>采购人每次付款前，中标人需提供增值税专用发票，否则采购人有权拒绝付款。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kern w:val="0"/>
                <w:sz w:val="24"/>
                <w:szCs w:val="24"/>
              </w:rPr>
            </w:pPr>
            <w:r>
              <w:rPr>
                <w:rFonts w:ascii="Times New Roman" w:hAnsi="Times New Roman"/>
                <w:kern w:val="0"/>
                <w:sz w:val="24"/>
                <w:szCs w:val="24"/>
              </w:rPr>
              <w:t>3</w:t>
            </w:r>
          </w:p>
        </w:tc>
        <w:tc>
          <w:tcPr>
            <w:tcW w:w="1417" w:type="dxa"/>
            <w:vAlign w:val="center"/>
          </w:tcPr>
          <w:p>
            <w:pPr>
              <w:wordWrap w:val="0"/>
              <w:spacing w:line="440" w:lineRule="exact"/>
              <w:jc w:val="center"/>
              <w:rPr>
                <w:rFonts w:ascii="Times New Roman" w:hAnsi="Times New Roman"/>
                <w:kern w:val="0"/>
                <w:sz w:val="24"/>
                <w:szCs w:val="24"/>
              </w:rPr>
            </w:pPr>
            <w:r>
              <w:rPr>
                <w:rFonts w:hint="eastAsia" w:ascii="Times New Roman" w:hAnsi="Times New Roman"/>
                <w:kern w:val="0"/>
                <w:sz w:val="24"/>
                <w:szCs w:val="24"/>
              </w:rPr>
              <w:t>质保期</w:t>
            </w:r>
          </w:p>
        </w:tc>
        <w:tc>
          <w:tcPr>
            <w:tcW w:w="6253" w:type="dxa"/>
            <w:vAlign w:val="center"/>
          </w:tcPr>
          <w:p>
            <w:pPr>
              <w:wordWrap w:val="0"/>
              <w:spacing w:line="440" w:lineRule="exact"/>
              <w:rPr>
                <w:rFonts w:ascii="Times New Roman" w:hAnsi="Times New Roman"/>
                <w:kern w:val="0"/>
                <w:sz w:val="24"/>
                <w:szCs w:val="24"/>
              </w:rPr>
            </w:pPr>
            <w:r>
              <w:rPr>
                <w:rFonts w:hint="eastAsia" w:ascii="Times New Roman" w:hAnsi="Times New Roman"/>
                <w:kern w:val="0"/>
                <w:sz w:val="24"/>
                <w:szCs w:val="24"/>
              </w:rPr>
              <w:t>详见第二章</w:t>
            </w:r>
            <w:r>
              <w:rPr>
                <w:rFonts w:hint="eastAsia"/>
              </w:rPr>
              <w:t>投标人须知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850" w:type="dxa"/>
            <w:vAlign w:val="center"/>
          </w:tcPr>
          <w:p>
            <w:pPr>
              <w:wordWrap w:val="0"/>
              <w:spacing w:line="440" w:lineRule="exact"/>
              <w:jc w:val="center"/>
              <w:rPr>
                <w:rFonts w:ascii="Times New Roman" w:hAnsi="Times New Roman"/>
                <w:kern w:val="0"/>
                <w:sz w:val="24"/>
                <w:szCs w:val="24"/>
              </w:rPr>
            </w:pPr>
            <w:r>
              <w:rPr>
                <w:rFonts w:ascii="Times New Roman" w:hAnsi="Times New Roman"/>
                <w:kern w:val="0"/>
                <w:sz w:val="24"/>
                <w:szCs w:val="24"/>
              </w:rPr>
              <w:t>4</w:t>
            </w:r>
          </w:p>
        </w:tc>
        <w:tc>
          <w:tcPr>
            <w:tcW w:w="1417" w:type="dxa"/>
            <w:vAlign w:val="center"/>
          </w:tcPr>
          <w:p>
            <w:pPr>
              <w:wordWrap w:val="0"/>
              <w:spacing w:line="440" w:lineRule="exact"/>
              <w:jc w:val="center"/>
              <w:rPr>
                <w:rFonts w:ascii="Times New Roman" w:hAnsi="Times New Roman"/>
                <w:kern w:val="0"/>
                <w:sz w:val="24"/>
                <w:szCs w:val="24"/>
              </w:rPr>
            </w:pPr>
            <w:r>
              <w:rPr>
                <w:rFonts w:hint="eastAsia" w:ascii="Times New Roman" w:hAnsi="Times New Roman"/>
                <w:kern w:val="0"/>
                <w:sz w:val="24"/>
                <w:szCs w:val="24"/>
              </w:rPr>
              <w:t>售后服务响应要求</w:t>
            </w:r>
          </w:p>
        </w:tc>
        <w:tc>
          <w:tcPr>
            <w:tcW w:w="6253" w:type="dxa"/>
            <w:vAlign w:val="center"/>
          </w:tcPr>
          <w:p>
            <w:pPr>
              <w:wordWrap w:val="0"/>
              <w:spacing w:line="440" w:lineRule="exact"/>
              <w:rPr>
                <w:rFonts w:ascii="Times New Roman" w:hAnsi="Times New Roman"/>
                <w:kern w:val="0"/>
                <w:sz w:val="24"/>
                <w:szCs w:val="24"/>
              </w:rPr>
            </w:pPr>
            <w:r>
              <w:rPr>
                <w:rFonts w:hint="eastAsia" w:ascii="Times New Roman" w:hAnsi="Times New Roman"/>
                <w:kern w:val="0"/>
                <w:sz w:val="24"/>
                <w:szCs w:val="24"/>
              </w:rPr>
              <w:t>详见第一章招标公告、第二章</w:t>
            </w:r>
            <w:r>
              <w:rPr>
                <w:rFonts w:hint="eastAsia"/>
              </w:rPr>
              <w:t>投标人须知</w:t>
            </w:r>
          </w:p>
        </w:tc>
      </w:tr>
    </w:tbl>
    <w:p>
      <w:pPr>
        <w:wordWrap w:val="0"/>
        <w:spacing w:line="360" w:lineRule="exact"/>
        <w:ind w:firstLine="480" w:firstLineChars="200"/>
        <w:jc w:val="left"/>
        <w:rPr>
          <w:rFonts w:ascii="Times New Roman" w:hAnsi="Times New Roman" w:eastAsia="Times New Roman"/>
          <w:kern w:val="0"/>
          <w:sz w:val="24"/>
          <w:szCs w:val="24"/>
        </w:rPr>
      </w:pPr>
    </w:p>
    <w:p>
      <w:pPr>
        <w:wordWrap w:val="0"/>
        <w:spacing w:line="360" w:lineRule="exact"/>
        <w:ind w:firstLine="480" w:firstLineChars="200"/>
        <w:jc w:val="left"/>
        <w:rPr>
          <w:rFonts w:ascii="Times New Roman" w:hAnsi="Times New Roman" w:eastAsia="Times New Roman"/>
          <w:kern w:val="0"/>
          <w:sz w:val="24"/>
          <w:szCs w:val="24"/>
        </w:rPr>
      </w:pPr>
      <w:r>
        <w:rPr>
          <w:rFonts w:hint="eastAsia" w:ascii="宋体" w:hAnsi="宋体" w:cs="宋体"/>
          <w:kern w:val="0"/>
          <w:sz w:val="24"/>
          <w:szCs w:val="24"/>
        </w:rPr>
        <w:t>具体合同条款及格式由招标人与中标人在不违背招标文件要求和投标文件承诺的条件下友好协商签订。</w:t>
      </w:r>
    </w:p>
    <w:p>
      <w:pPr>
        <w:spacing w:line="600" w:lineRule="exact"/>
      </w:pPr>
    </w:p>
    <w:p>
      <w:pPr>
        <w:pStyle w:val="2"/>
        <w:rPr>
          <w:rFonts w:ascii="黑体" w:hAnsi="黑体" w:eastAsia="黑体" w:cs="黑体"/>
          <w:sz w:val="32"/>
          <w:szCs w:val="32"/>
        </w:rPr>
      </w:pPr>
      <w:bookmarkStart w:id="58" w:name="_Toc152045772"/>
      <w:bookmarkStart w:id="59" w:name="_Toc296602587"/>
      <w:bookmarkStart w:id="60" w:name="_Toc246997083"/>
      <w:bookmarkStart w:id="61" w:name="_Toc152042554"/>
      <w:bookmarkStart w:id="62" w:name="_Toc247085855"/>
      <w:bookmarkStart w:id="63" w:name="_Toc179632789"/>
      <w:bookmarkStart w:id="64" w:name="_Toc246996340"/>
      <w:bookmarkStart w:id="65" w:name="_Toc144974834"/>
    </w:p>
    <w:p>
      <w:pPr>
        <w:pStyle w:val="2"/>
        <w:rPr>
          <w:rFonts w:ascii="黑体" w:hAnsi="黑体" w:eastAsia="黑体" w:cs="黑体"/>
          <w:sz w:val="32"/>
          <w:szCs w:val="32"/>
        </w:rPr>
      </w:pPr>
    </w:p>
    <w:bookmarkEnd w:id="57"/>
    <w:bookmarkEnd w:id="58"/>
    <w:bookmarkEnd w:id="59"/>
    <w:bookmarkEnd w:id="60"/>
    <w:bookmarkEnd w:id="61"/>
    <w:bookmarkEnd w:id="62"/>
    <w:bookmarkEnd w:id="63"/>
    <w:bookmarkEnd w:id="64"/>
    <w:bookmarkEnd w:id="65"/>
    <w:p>
      <w:pPr>
        <w:pStyle w:val="2"/>
        <w:keepNext w:val="0"/>
        <w:keepLines w:val="0"/>
        <w:spacing w:before="0" w:after="0" w:line="560" w:lineRule="exact"/>
        <w:rPr>
          <w:rFonts w:ascii="黑体" w:hAnsi="黑体" w:eastAsia="黑体" w:cs="黑体"/>
          <w:sz w:val="32"/>
          <w:szCs w:val="32"/>
        </w:rPr>
      </w:pPr>
      <w:bookmarkStart w:id="66" w:name="_Toc296602599"/>
      <w:bookmarkStart w:id="67" w:name="_Toc179632804"/>
      <w:bookmarkStart w:id="68" w:name="_Toc246996353"/>
      <w:bookmarkStart w:id="69" w:name="_Toc246997096"/>
      <w:bookmarkStart w:id="70" w:name="_Toc247085870"/>
    </w:p>
    <w:p>
      <w:pPr>
        <w:pStyle w:val="2"/>
        <w:keepNext w:val="0"/>
        <w:keepLines w:val="0"/>
        <w:spacing w:before="0" w:after="0" w:line="560" w:lineRule="exact"/>
        <w:rPr>
          <w:rFonts w:ascii="黑体" w:hAnsi="黑体" w:eastAsia="黑体" w:cs="黑体"/>
          <w:sz w:val="32"/>
          <w:szCs w:val="32"/>
        </w:rPr>
      </w:pPr>
    </w:p>
    <w:p>
      <w:pPr>
        <w:pStyle w:val="2"/>
        <w:keepNext w:val="0"/>
        <w:keepLines w:val="0"/>
        <w:spacing w:before="0" w:after="0" w:line="560" w:lineRule="exact"/>
        <w:jc w:val="center"/>
        <w:rPr>
          <w:rFonts w:ascii="黑体" w:hAnsi="黑体" w:eastAsia="黑体" w:cs="黑体"/>
          <w:sz w:val="32"/>
          <w:szCs w:val="32"/>
        </w:rPr>
      </w:pPr>
    </w:p>
    <w:p>
      <w:pPr>
        <w:pStyle w:val="2"/>
        <w:keepNext w:val="0"/>
        <w:keepLines w:val="0"/>
        <w:spacing w:before="0" w:after="0" w:line="560" w:lineRule="exact"/>
        <w:jc w:val="center"/>
        <w:rPr>
          <w:rFonts w:ascii="黑体" w:hAnsi="黑体" w:eastAsia="黑体" w:cs="黑体"/>
          <w:sz w:val="32"/>
          <w:szCs w:val="32"/>
        </w:rPr>
      </w:pPr>
    </w:p>
    <w:p>
      <w:pPr>
        <w:pStyle w:val="2"/>
        <w:keepNext w:val="0"/>
        <w:keepLines w:val="0"/>
        <w:spacing w:before="0" w:after="0" w:line="560" w:lineRule="exact"/>
        <w:jc w:val="center"/>
        <w:rPr>
          <w:rFonts w:ascii="黑体" w:hAnsi="黑体" w:eastAsia="黑体" w:cs="黑体"/>
          <w:sz w:val="32"/>
          <w:szCs w:val="32"/>
        </w:rPr>
      </w:pPr>
    </w:p>
    <w:p>
      <w:pPr>
        <w:pStyle w:val="2"/>
        <w:keepNext w:val="0"/>
        <w:keepLines w:val="0"/>
        <w:spacing w:before="0" w:after="0" w:line="560" w:lineRule="exact"/>
        <w:jc w:val="center"/>
        <w:rPr>
          <w:rFonts w:ascii="黑体" w:hAnsi="黑体" w:eastAsia="黑体" w:cs="黑体"/>
          <w:sz w:val="32"/>
          <w:szCs w:val="32"/>
        </w:rPr>
      </w:pPr>
    </w:p>
    <w:p>
      <w:pPr>
        <w:pStyle w:val="2"/>
        <w:keepNext w:val="0"/>
        <w:keepLines w:val="0"/>
        <w:spacing w:before="0" w:after="0" w:line="560" w:lineRule="exact"/>
        <w:jc w:val="center"/>
        <w:rPr>
          <w:rFonts w:ascii="黑体" w:hAnsi="黑体" w:eastAsia="黑体" w:cs="黑体"/>
          <w:sz w:val="32"/>
          <w:szCs w:val="32"/>
        </w:rPr>
      </w:pPr>
      <w:r>
        <w:rPr>
          <w:rFonts w:hint="eastAsia" w:ascii="黑体" w:hAnsi="黑体" w:eastAsia="黑体" w:cs="黑体"/>
          <w:sz w:val="32"/>
          <w:szCs w:val="32"/>
        </w:rPr>
        <w:t>第五章</w:t>
      </w:r>
      <w:r>
        <w:rPr>
          <w:rFonts w:ascii="黑体" w:hAnsi="黑体" w:eastAsia="黑体" w:cs="黑体"/>
          <w:sz w:val="32"/>
          <w:szCs w:val="32"/>
        </w:rPr>
        <w:t xml:space="preserve">  </w:t>
      </w:r>
      <w:r>
        <w:rPr>
          <w:rFonts w:hint="eastAsia" w:ascii="黑体" w:hAnsi="黑体" w:eastAsia="黑体" w:cs="黑体"/>
          <w:sz w:val="32"/>
          <w:szCs w:val="32"/>
        </w:rPr>
        <w:t>技术标准和要求</w:t>
      </w:r>
      <w:bookmarkEnd w:id="66"/>
      <w:bookmarkEnd w:id="67"/>
      <w:bookmarkEnd w:id="68"/>
      <w:bookmarkEnd w:id="69"/>
      <w:bookmarkEnd w:id="70"/>
    </w:p>
    <w:p>
      <w:r>
        <w:rPr>
          <w:rFonts w:hint="eastAsia"/>
        </w:rPr>
        <w:t>表格</w:t>
      </w:r>
      <w:r>
        <w:t>1</w:t>
      </w:r>
    </w:p>
    <w:tbl>
      <w:tblPr>
        <w:tblStyle w:val="24"/>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708"/>
        <w:gridCol w:w="2268"/>
        <w:gridCol w:w="4757"/>
      </w:tblGrid>
      <w:tr>
        <w:tblPrEx>
          <w:tblLayout w:type="fixed"/>
          <w:tblCellMar>
            <w:top w:w="0" w:type="dxa"/>
            <w:left w:w="108" w:type="dxa"/>
            <w:bottom w:w="0" w:type="dxa"/>
            <w:right w:w="108" w:type="dxa"/>
          </w:tblCellMar>
        </w:tblPrEx>
        <w:trPr>
          <w:trHeight w:val="420" w:hRule="atLeast"/>
        </w:trPr>
        <w:tc>
          <w:tcPr>
            <w:tcW w:w="563" w:type="dxa"/>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序号</w:t>
            </w:r>
          </w:p>
        </w:tc>
        <w:tc>
          <w:tcPr>
            <w:tcW w:w="708" w:type="dxa"/>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系统名称</w:t>
            </w:r>
          </w:p>
        </w:tc>
        <w:tc>
          <w:tcPr>
            <w:tcW w:w="2268" w:type="dxa"/>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设备名称</w:t>
            </w:r>
          </w:p>
        </w:tc>
        <w:tc>
          <w:tcPr>
            <w:tcW w:w="4757" w:type="dxa"/>
            <w:noWrap/>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所需证明材料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w:t>
            </w:r>
          </w:p>
        </w:tc>
        <w:tc>
          <w:tcPr>
            <w:tcW w:w="708" w:type="dxa"/>
            <w:vMerge w:val="restart"/>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计算机网络系统</w:t>
            </w: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内网核心交换机</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1.</w:t>
            </w:r>
            <w:r>
              <w:rPr>
                <w:rFonts w:hint="eastAsia" w:ascii="仿宋" w:hAnsi="仿宋" w:eastAsia="仿宋" w:cs="宋体"/>
                <w:color w:val="000000"/>
                <w:kern w:val="0"/>
                <w:sz w:val="24"/>
                <w:szCs w:val="24"/>
              </w:rPr>
              <w:t>提供产品厂商的中国网络空间安全协会单位会员证书复印件并加盖原厂公章。</w:t>
            </w:r>
            <w:r>
              <w:rPr>
                <w:rFonts w:ascii="仿宋" w:hAnsi="仿宋" w:eastAsia="仿宋" w:cs="宋体"/>
                <w:color w:val="000000"/>
                <w:kern w:val="0"/>
                <w:sz w:val="24"/>
                <w:szCs w:val="24"/>
              </w:rPr>
              <w:t xml:space="preserve">                                                                                                                                  2.</w:t>
            </w:r>
            <w:r>
              <w:rPr>
                <w:rFonts w:hint="eastAsia" w:ascii="仿宋" w:hAnsi="仿宋" w:eastAsia="仿宋" w:cs="宋体"/>
                <w:color w:val="000000"/>
                <w:kern w:val="0"/>
                <w:sz w:val="24"/>
                <w:szCs w:val="24"/>
              </w:rPr>
              <w:t>为了响应国家节约能源的政策，设备制造商须具备</w:t>
            </w:r>
            <w:r>
              <w:rPr>
                <w:rFonts w:ascii="仿宋" w:hAnsi="仿宋" w:eastAsia="仿宋" w:cs="宋体"/>
                <w:color w:val="000000"/>
                <w:kern w:val="0"/>
                <w:sz w:val="24"/>
                <w:szCs w:val="24"/>
              </w:rPr>
              <w:t>ISO 50001</w:t>
            </w:r>
            <w:r>
              <w:rPr>
                <w:rFonts w:hint="eastAsia" w:ascii="仿宋" w:hAnsi="仿宋" w:eastAsia="仿宋" w:cs="宋体"/>
                <w:color w:val="000000"/>
                <w:kern w:val="0"/>
                <w:sz w:val="24"/>
                <w:szCs w:val="24"/>
              </w:rPr>
              <w:t>国际认证证书，证书上必须体现符合</w:t>
            </w:r>
            <w:r>
              <w:rPr>
                <w:rFonts w:ascii="仿宋" w:hAnsi="仿宋" w:eastAsia="仿宋" w:cs="宋体"/>
                <w:color w:val="000000"/>
                <w:kern w:val="0"/>
                <w:sz w:val="24"/>
                <w:szCs w:val="24"/>
              </w:rPr>
              <w:t>ISO 50001:2011</w:t>
            </w:r>
            <w:r>
              <w:rPr>
                <w:rFonts w:hint="eastAsia" w:ascii="仿宋" w:hAnsi="仿宋" w:eastAsia="仿宋" w:cs="宋体"/>
                <w:color w:val="000000"/>
                <w:kern w:val="0"/>
                <w:sz w:val="24"/>
                <w:szCs w:val="24"/>
              </w:rPr>
              <w:t>标准，提供证书复印件并加盖原厂公章；</w:t>
            </w:r>
            <w:r>
              <w:rPr>
                <w:rFonts w:ascii="仿宋" w:hAnsi="仿宋" w:eastAsia="仿宋" w:cs="宋体"/>
                <w:color w:val="000000"/>
                <w:kern w:val="0"/>
                <w:sz w:val="24"/>
                <w:szCs w:val="24"/>
              </w:rPr>
              <w:t xml:space="preserve">                                                                                                         3. </w:t>
            </w:r>
            <w:r>
              <w:rPr>
                <w:rFonts w:hint="eastAsia" w:ascii="仿宋" w:hAnsi="仿宋" w:eastAsia="仿宋" w:cs="宋体"/>
                <w:color w:val="000000"/>
                <w:kern w:val="0"/>
                <w:sz w:val="24"/>
                <w:szCs w:val="24"/>
              </w:rPr>
              <w:t>为提高服务质量，降低总体成本，设备制造厂商须是</w:t>
            </w:r>
            <w:r>
              <w:rPr>
                <w:rFonts w:ascii="仿宋" w:hAnsi="仿宋" w:eastAsia="仿宋" w:cs="宋体"/>
                <w:color w:val="000000"/>
                <w:kern w:val="0"/>
                <w:sz w:val="24"/>
                <w:szCs w:val="24"/>
              </w:rPr>
              <w:t>ITSS</w:t>
            </w:r>
            <w:r>
              <w:rPr>
                <w:rFonts w:hint="eastAsia" w:ascii="仿宋" w:hAnsi="仿宋" w:eastAsia="仿宋" w:cs="宋体"/>
                <w:color w:val="000000"/>
                <w:kern w:val="0"/>
                <w:sz w:val="24"/>
                <w:szCs w:val="24"/>
              </w:rPr>
              <w:t>集成实施标准专业组与运行维护标准专业组会员单位，提供</w:t>
            </w:r>
            <w:r>
              <w:rPr>
                <w:rFonts w:ascii="仿宋" w:hAnsi="仿宋" w:eastAsia="仿宋" w:cs="宋体"/>
                <w:color w:val="000000"/>
                <w:kern w:val="0"/>
                <w:sz w:val="24"/>
                <w:szCs w:val="24"/>
              </w:rPr>
              <w:t>ITSS</w:t>
            </w:r>
            <w:r>
              <w:rPr>
                <w:rFonts w:hint="eastAsia" w:ascii="仿宋" w:hAnsi="仿宋" w:eastAsia="仿宋" w:cs="宋体"/>
                <w:color w:val="000000"/>
                <w:kern w:val="0"/>
                <w:sz w:val="24"/>
                <w:szCs w:val="24"/>
              </w:rPr>
              <w:t>官网查询链接及截图证明。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2</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24</w:t>
            </w:r>
            <w:r>
              <w:rPr>
                <w:rFonts w:hint="eastAsia" w:ascii="仿宋" w:hAnsi="仿宋" w:eastAsia="仿宋" w:cs="宋体"/>
                <w:color w:val="000000"/>
                <w:kern w:val="0"/>
                <w:sz w:val="24"/>
                <w:szCs w:val="24"/>
              </w:rPr>
              <w:t>口接入交换机</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1.</w:t>
            </w:r>
            <w:r>
              <w:rPr>
                <w:rFonts w:hint="eastAsia" w:ascii="仿宋" w:hAnsi="仿宋" w:eastAsia="仿宋" w:cs="宋体"/>
                <w:color w:val="000000"/>
                <w:kern w:val="0"/>
                <w:sz w:val="24"/>
                <w:szCs w:val="24"/>
              </w:rPr>
              <w:t>★为保证设备稳定运行、设备防浪涌≥</w:t>
            </w:r>
            <w:r>
              <w:rPr>
                <w:rFonts w:ascii="仿宋" w:hAnsi="仿宋" w:eastAsia="仿宋" w:cs="宋体"/>
                <w:color w:val="000000"/>
                <w:kern w:val="0"/>
                <w:sz w:val="24"/>
                <w:szCs w:val="24"/>
              </w:rPr>
              <w:t>10kv</w:t>
            </w:r>
            <w:r>
              <w:rPr>
                <w:rFonts w:hint="eastAsia" w:ascii="仿宋" w:hAnsi="仿宋" w:eastAsia="仿宋" w:cs="宋体"/>
                <w:color w:val="000000"/>
                <w:kern w:val="0"/>
                <w:sz w:val="24"/>
                <w:szCs w:val="24"/>
              </w:rPr>
              <w:t>，提供第三方权威机构检验报告复印件证明并加盖原厂公章；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3</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上网行为管理</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1.</w:t>
            </w:r>
            <w:r>
              <w:rPr>
                <w:rFonts w:hint="eastAsia" w:ascii="仿宋" w:hAnsi="仿宋" w:eastAsia="仿宋" w:cs="宋体"/>
                <w:color w:val="000000"/>
                <w:kern w:val="0"/>
                <w:sz w:val="24"/>
                <w:szCs w:val="24"/>
              </w:rPr>
              <w:t>提供公安部网络安全保卫局《计算机信息系统安全专用产品销售许可证》复印件并加盖原厂公章；</w:t>
            </w:r>
            <w:r>
              <w:rPr>
                <w:rFonts w:ascii="仿宋" w:hAnsi="仿宋" w:eastAsia="仿宋" w:cs="宋体"/>
                <w:color w:val="000000"/>
                <w:kern w:val="0"/>
                <w:sz w:val="24"/>
                <w:szCs w:val="24"/>
              </w:rPr>
              <w:br w:type="textWrapping"/>
            </w:r>
            <w:r>
              <w:rPr>
                <w:rFonts w:ascii="仿宋" w:hAnsi="仿宋" w:eastAsia="仿宋" w:cs="宋体"/>
                <w:color w:val="000000"/>
                <w:kern w:val="0"/>
                <w:sz w:val="24"/>
                <w:szCs w:val="24"/>
              </w:rPr>
              <w:t>2.</w:t>
            </w:r>
            <w:r>
              <w:rPr>
                <w:rFonts w:hint="eastAsia" w:ascii="仿宋" w:hAnsi="仿宋" w:eastAsia="仿宋" w:cs="宋体"/>
                <w:color w:val="000000"/>
                <w:kern w:val="0"/>
                <w:sz w:val="24"/>
                <w:szCs w:val="24"/>
              </w:rPr>
              <w:t>提供上网行为管理软件著作权证书复印件并加盖原厂公章；</w:t>
            </w:r>
            <w:r>
              <w:rPr>
                <w:rFonts w:ascii="仿宋" w:hAnsi="仿宋" w:eastAsia="仿宋" w:cs="宋体"/>
                <w:color w:val="000000"/>
                <w:kern w:val="0"/>
                <w:sz w:val="24"/>
                <w:szCs w:val="24"/>
              </w:rPr>
              <w:br w:type="textWrapping"/>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提供产品国家信息安全产品认证证书</w:t>
            </w:r>
            <w:r>
              <w:rPr>
                <w:rFonts w:ascii="仿宋" w:hAnsi="仿宋" w:eastAsia="仿宋" w:cs="宋体"/>
                <w:color w:val="000000"/>
                <w:kern w:val="0"/>
                <w:sz w:val="24"/>
                <w:szCs w:val="24"/>
              </w:rPr>
              <w:t xml:space="preserve">(ISCCC) </w:t>
            </w:r>
            <w:r>
              <w:rPr>
                <w:rFonts w:hint="eastAsia" w:ascii="仿宋" w:hAnsi="仿宋" w:eastAsia="仿宋" w:cs="宋体"/>
                <w:color w:val="000000"/>
                <w:kern w:val="0"/>
                <w:sz w:val="24"/>
                <w:szCs w:val="24"/>
              </w:rPr>
              <w:t>复印件并加盖原厂公章。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4</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入侵防御</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提供国家信息安全产品认证证书，投标时提供认证证书复印件并加盖原厂公章。</w:t>
            </w:r>
          </w:p>
        </w:tc>
      </w:tr>
      <w:tr>
        <w:tblPrEx>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5</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出口防火墙</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1.</w:t>
            </w:r>
            <w:r>
              <w:rPr>
                <w:rFonts w:hint="eastAsia" w:ascii="仿宋" w:hAnsi="仿宋" w:eastAsia="仿宋" w:cs="宋体"/>
                <w:color w:val="000000"/>
                <w:kern w:val="0"/>
                <w:sz w:val="24"/>
                <w:szCs w:val="24"/>
              </w:rPr>
              <w:t>提供《电信设备进网许可证》复印件并加盖原厂公章；</w:t>
            </w:r>
            <w:r>
              <w:rPr>
                <w:rFonts w:ascii="仿宋" w:hAnsi="仿宋" w:eastAsia="仿宋" w:cs="宋体"/>
                <w:color w:val="000000"/>
                <w:kern w:val="0"/>
                <w:sz w:val="24"/>
                <w:szCs w:val="24"/>
              </w:rPr>
              <w:br w:type="textWrapping"/>
            </w:r>
            <w:r>
              <w:rPr>
                <w:rFonts w:ascii="仿宋" w:hAnsi="仿宋" w:eastAsia="仿宋" w:cs="宋体"/>
                <w:color w:val="000000"/>
                <w:kern w:val="0"/>
                <w:sz w:val="24"/>
                <w:szCs w:val="24"/>
              </w:rPr>
              <w:t>2.</w:t>
            </w:r>
            <w:r>
              <w:rPr>
                <w:rFonts w:hint="eastAsia" w:ascii="仿宋" w:hAnsi="仿宋" w:eastAsia="仿宋" w:cs="宋体"/>
                <w:color w:val="000000"/>
                <w:kern w:val="0"/>
                <w:sz w:val="24"/>
                <w:szCs w:val="24"/>
              </w:rPr>
              <w:t>提供公安部第二代高性能防火墙</w:t>
            </w:r>
            <w:r>
              <w:rPr>
                <w:rFonts w:ascii="仿宋" w:hAnsi="仿宋" w:eastAsia="仿宋" w:cs="宋体"/>
                <w:color w:val="000000"/>
                <w:kern w:val="0"/>
                <w:sz w:val="24"/>
                <w:szCs w:val="24"/>
              </w:rPr>
              <w:t>(</w:t>
            </w:r>
            <w:r>
              <w:rPr>
                <w:rFonts w:hint="eastAsia" w:ascii="仿宋" w:hAnsi="仿宋" w:eastAsia="仿宋" w:cs="宋体"/>
                <w:color w:val="000000"/>
                <w:kern w:val="0"/>
                <w:sz w:val="24"/>
                <w:szCs w:val="24"/>
              </w:rPr>
              <w:t>千兆</w:t>
            </w:r>
            <w:r>
              <w:rPr>
                <w:rFonts w:ascii="仿宋" w:hAnsi="仿宋" w:eastAsia="仿宋" w:cs="宋体"/>
                <w:color w:val="000000"/>
                <w:kern w:val="0"/>
                <w:sz w:val="24"/>
                <w:szCs w:val="24"/>
              </w:rPr>
              <w:t>)</w:t>
            </w:r>
            <w:r>
              <w:rPr>
                <w:rFonts w:hint="eastAsia" w:ascii="仿宋" w:hAnsi="仿宋" w:eastAsia="仿宋" w:cs="宋体"/>
                <w:color w:val="000000"/>
                <w:kern w:val="0"/>
                <w:sz w:val="24"/>
                <w:szCs w:val="24"/>
              </w:rPr>
              <w:t>销售许可证</w:t>
            </w:r>
            <w:r>
              <w:rPr>
                <w:rFonts w:ascii="仿宋" w:hAnsi="仿宋" w:eastAsia="仿宋" w:cs="宋体"/>
                <w:color w:val="000000"/>
                <w:kern w:val="0"/>
                <w:sz w:val="24"/>
                <w:szCs w:val="24"/>
              </w:rPr>
              <w:t>(</w:t>
            </w:r>
            <w:r>
              <w:rPr>
                <w:rFonts w:hint="eastAsia" w:ascii="仿宋" w:hAnsi="仿宋" w:eastAsia="仿宋" w:cs="宋体"/>
                <w:color w:val="000000"/>
                <w:kern w:val="0"/>
                <w:sz w:val="24"/>
                <w:szCs w:val="24"/>
              </w:rPr>
              <w:t>增强级－支持</w:t>
            </w:r>
            <w:r>
              <w:rPr>
                <w:rFonts w:ascii="仿宋" w:hAnsi="仿宋" w:eastAsia="仿宋" w:cs="宋体"/>
                <w:color w:val="000000"/>
                <w:kern w:val="0"/>
                <w:sz w:val="24"/>
                <w:szCs w:val="24"/>
              </w:rPr>
              <w:t xml:space="preserve"> IPv6)</w:t>
            </w:r>
            <w:r>
              <w:rPr>
                <w:rFonts w:hint="eastAsia" w:ascii="仿宋" w:hAnsi="仿宋" w:eastAsia="仿宋" w:cs="宋体"/>
                <w:color w:val="000000"/>
                <w:kern w:val="0"/>
                <w:sz w:val="24"/>
                <w:szCs w:val="24"/>
              </w:rPr>
              <w:t>复印件并加盖原厂公章；</w:t>
            </w:r>
            <w:r>
              <w:rPr>
                <w:rFonts w:ascii="仿宋" w:hAnsi="仿宋" w:eastAsia="仿宋" w:cs="宋体"/>
                <w:color w:val="000000"/>
                <w:kern w:val="0"/>
                <w:sz w:val="24"/>
                <w:szCs w:val="24"/>
              </w:rPr>
              <w:br w:type="textWrapping"/>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提供所投产品有效的《</w:t>
            </w:r>
            <w:r>
              <w:rPr>
                <w:rFonts w:ascii="仿宋" w:hAnsi="仿宋" w:eastAsia="仿宋" w:cs="宋体"/>
                <w:color w:val="000000"/>
                <w:kern w:val="0"/>
                <w:sz w:val="24"/>
                <w:szCs w:val="24"/>
              </w:rPr>
              <w:t>IPv6 Ready Phase 2</w:t>
            </w:r>
            <w:r>
              <w:rPr>
                <w:rFonts w:hint="eastAsia" w:ascii="仿宋" w:hAnsi="仿宋" w:eastAsia="仿宋" w:cs="宋体"/>
                <w:color w:val="000000"/>
                <w:kern w:val="0"/>
                <w:sz w:val="24"/>
                <w:szCs w:val="24"/>
              </w:rPr>
              <w:t>证书》复印件并加盖原厂公章；</w:t>
            </w:r>
            <w:r>
              <w:rPr>
                <w:rFonts w:ascii="仿宋" w:hAnsi="仿宋" w:eastAsia="仿宋" w:cs="宋体"/>
                <w:color w:val="000000"/>
                <w:kern w:val="0"/>
                <w:sz w:val="24"/>
                <w:szCs w:val="24"/>
              </w:rPr>
              <w:br w:type="textWrapping"/>
            </w:r>
            <w:r>
              <w:rPr>
                <w:rFonts w:ascii="仿宋" w:hAnsi="仿宋" w:eastAsia="仿宋" w:cs="宋体"/>
                <w:color w:val="000000"/>
                <w:kern w:val="0"/>
                <w:sz w:val="24"/>
                <w:szCs w:val="24"/>
              </w:rPr>
              <w:t>4.</w:t>
            </w:r>
            <w:r>
              <w:rPr>
                <w:rFonts w:hint="eastAsia" w:ascii="仿宋" w:hAnsi="仿宋" w:eastAsia="仿宋" w:cs="宋体"/>
                <w:color w:val="000000"/>
                <w:kern w:val="0"/>
                <w:sz w:val="24"/>
                <w:szCs w:val="24"/>
              </w:rPr>
              <w:t>提供产品厂商商用密码产品销售许可证复印件并加盖原厂公章。</w:t>
            </w:r>
          </w:p>
        </w:tc>
      </w:tr>
      <w:tr>
        <w:tblPrEx>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6</w:t>
            </w:r>
          </w:p>
        </w:tc>
        <w:tc>
          <w:tcPr>
            <w:tcW w:w="70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视频监控系统</w:t>
            </w: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智能</w:t>
            </w:r>
            <w:r>
              <w:rPr>
                <w:rFonts w:ascii="仿宋" w:hAnsi="仿宋" w:eastAsia="仿宋" w:cs="宋体"/>
                <w:color w:val="000000"/>
                <w:kern w:val="0"/>
                <w:sz w:val="24"/>
                <w:szCs w:val="24"/>
              </w:rPr>
              <w:t>LED</w:t>
            </w:r>
            <w:r>
              <w:rPr>
                <w:rFonts w:hint="eastAsia" w:ascii="仿宋" w:hAnsi="仿宋" w:eastAsia="仿宋" w:cs="宋体"/>
                <w:color w:val="000000"/>
                <w:kern w:val="0"/>
                <w:sz w:val="24"/>
                <w:szCs w:val="24"/>
              </w:rPr>
              <w:t>补光灯</w:t>
            </w:r>
          </w:p>
        </w:tc>
        <w:tc>
          <w:tcPr>
            <w:tcW w:w="4757" w:type="dxa"/>
            <w:shd w:val="clear" w:color="000000" w:fill="FFFFFF"/>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1</w:t>
            </w:r>
            <w:r>
              <w:rPr>
                <w:rFonts w:hint="eastAsia" w:ascii="仿宋" w:hAnsi="仿宋" w:eastAsia="仿宋" w:cs="宋体"/>
                <w:color w:val="000000"/>
                <w:kern w:val="0"/>
                <w:sz w:val="24"/>
                <w:szCs w:val="24"/>
              </w:rPr>
              <w:t>、★支持过压保护自恢复功能，具有公安部安全防范报警系统产品质量监督检验测试中心检测报告证明，提供证书复印件并加盖原厂公章；</w:t>
            </w:r>
            <w:r>
              <w:rPr>
                <w:rFonts w:ascii="仿宋" w:hAnsi="仿宋" w:eastAsia="仿宋" w:cs="宋体"/>
                <w:color w:val="000000"/>
                <w:kern w:val="0"/>
                <w:sz w:val="24"/>
                <w:szCs w:val="24"/>
              </w:rPr>
              <w:br w:type="textWrapping"/>
            </w:r>
            <w:r>
              <w:rPr>
                <w:rFonts w:ascii="仿宋" w:hAnsi="仿宋" w:eastAsia="仿宋" w:cs="宋体"/>
                <w:color w:val="000000"/>
                <w:kern w:val="0"/>
                <w:sz w:val="24"/>
                <w:szCs w:val="24"/>
              </w:rPr>
              <w:t>2</w:t>
            </w:r>
            <w:r>
              <w:rPr>
                <w:rFonts w:hint="eastAsia" w:ascii="仿宋" w:hAnsi="仿宋" w:eastAsia="仿宋" w:cs="宋体"/>
                <w:color w:val="000000"/>
                <w:kern w:val="0"/>
                <w:sz w:val="24"/>
                <w:szCs w:val="24"/>
              </w:rPr>
              <w:t>、★具有智能灯光控制系统软件著作权证书，提供证书复印件并加盖原厂公章。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7</w:t>
            </w:r>
          </w:p>
        </w:tc>
        <w:tc>
          <w:tcPr>
            <w:tcW w:w="708" w:type="dxa"/>
            <w:vMerge w:val="restart"/>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无线对讲</w:t>
            </w: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中继台</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投标时需要提供工信部颁发的《无线电发射设备型号核准证》复印件并加盖原厂公章。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8</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数字对讲机</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投标时需要提供工信部颁发的《无线电发射设备型号核准证》复印件并加盖原厂公章。</w:t>
            </w:r>
          </w:p>
        </w:tc>
      </w:tr>
      <w:tr>
        <w:tblPrEx>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9</w:t>
            </w:r>
          </w:p>
        </w:tc>
        <w:tc>
          <w:tcPr>
            <w:tcW w:w="708" w:type="dxa"/>
            <w:vMerge w:val="restart"/>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一卡通</w:t>
            </w: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门禁读卡器</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投标时提供国家防爆电气产品质量监督检验中心的防爆合格证书复印件或影印件并加盖原厂印章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10</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四门控制器</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投标时提供公安部安全防范报警系统产品质量监督检验测试中心复印件或影印件并加盖原厂印章，证明星号项。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11</w:t>
            </w:r>
          </w:p>
        </w:tc>
        <w:tc>
          <w:tcPr>
            <w:tcW w:w="708" w:type="dxa"/>
            <w:vMerge w:val="restart"/>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智能停车场</w:t>
            </w: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智能挡车器</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参照</w:t>
            </w:r>
            <w:r>
              <w:rPr>
                <w:rFonts w:ascii="仿宋" w:hAnsi="仿宋" w:eastAsia="仿宋" w:cs="宋体"/>
                <w:color w:val="000000"/>
                <w:kern w:val="0"/>
                <w:sz w:val="24"/>
                <w:szCs w:val="24"/>
              </w:rPr>
              <w:t>EMC</w:t>
            </w:r>
            <w:r>
              <w:rPr>
                <w:rFonts w:hint="eastAsia" w:ascii="仿宋" w:hAnsi="仿宋" w:eastAsia="仿宋" w:cs="宋体"/>
                <w:color w:val="000000"/>
                <w:kern w:val="0"/>
                <w:sz w:val="24"/>
                <w:szCs w:val="24"/>
              </w:rPr>
              <w:t>标准设计</w:t>
            </w:r>
            <w:r>
              <w:rPr>
                <w:rFonts w:ascii="仿宋" w:hAnsi="仿宋" w:eastAsia="仿宋" w:cs="宋体"/>
                <w:color w:val="000000"/>
                <w:kern w:val="0"/>
                <w:sz w:val="24"/>
                <w:szCs w:val="24"/>
              </w:rPr>
              <w:t>,</w:t>
            </w:r>
            <w:r>
              <w:rPr>
                <w:rFonts w:hint="eastAsia" w:ascii="仿宋" w:hAnsi="仿宋" w:eastAsia="仿宋" w:cs="宋体"/>
                <w:color w:val="000000"/>
                <w:kern w:val="0"/>
                <w:sz w:val="24"/>
                <w:szCs w:val="24"/>
              </w:rPr>
              <w:t>投标时提供</w:t>
            </w:r>
            <w:r>
              <w:rPr>
                <w:rFonts w:ascii="仿宋" w:hAnsi="仿宋" w:eastAsia="仿宋" w:cs="宋体"/>
                <w:color w:val="000000"/>
                <w:kern w:val="0"/>
                <w:sz w:val="24"/>
                <w:szCs w:val="24"/>
              </w:rPr>
              <w:t>CQC</w:t>
            </w:r>
            <w:r>
              <w:rPr>
                <w:rFonts w:hint="eastAsia" w:ascii="仿宋" w:hAnsi="仿宋" w:eastAsia="仿宋" w:cs="宋体"/>
                <w:color w:val="000000"/>
                <w:kern w:val="0"/>
                <w:sz w:val="24"/>
                <w:szCs w:val="24"/>
              </w:rPr>
              <w:t>产品认证证书复印件并加盖原厂公章。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12</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车牌识别与电子显示套件机</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投标时提供国家安全防范报警系统产品质量监督检验测试中心检测报告影印件或复印件并加盖原厂印章</w:t>
            </w:r>
            <w:r>
              <w:rPr>
                <w:rFonts w:ascii="仿宋" w:hAnsi="仿宋" w:eastAsia="仿宋" w:cs="宋体"/>
                <w:color w:val="000000"/>
                <w:kern w:val="0"/>
                <w:sz w:val="24"/>
                <w:szCs w:val="24"/>
              </w:rPr>
              <w:t>,</w:t>
            </w:r>
            <w:r>
              <w:rPr>
                <w:rFonts w:hint="eastAsia" w:ascii="仿宋" w:hAnsi="仿宋" w:eastAsia="仿宋" w:cs="宋体"/>
                <w:color w:val="000000"/>
                <w:kern w:val="0"/>
                <w:sz w:val="24"/>
                <w:szCs w:val="24"/>
              </w:rPr>
              <w:t>证明识别率。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13</w:t>
            </w:r>
          </w:p>
        </w:tc>
        <w:tc>
          <w:tcPr>
            <w:tcW w:w="708" w:type="dxa"/>
            <w:vMerge w:val="restart"/>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信息发布</w:t>
            </w: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中央控制系统端软件</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投标时需提供软件企业证书、软件产品证书、计算机软件著作权登记证书（需提供证书复印件并加盖原厂印章）。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14</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可接入智能数据处理系统：</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投标时需提供计算机软件著作权登记证书复印件并加盖原厂印章。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15</w:t>
            </w:r>
          </w:p>
        </w:tc>
        <w:tc>
          <w:tcPr>
            <w:tcW w:w="708" w:type="dxa"/>
            <w:vMerge w:val="continue"/>
            <w:vAlign w:val="center"/>
          </w:tcPr>
          <w:p>
            <w:pPr>
              <w:widowControl/>
              <w:jc w:val="left"/>
              <w:rPr>
                <w:rFonts w:ascii="仿宋" w:hAnsi="仿宋" w:eastAsia="仿宋" w:cs="宋体"/>
                <w:color w:val="000000"/>
                <w:kern w:val="0"/>
                <w:sz w:val="24"/>
                <w:szCs w:val="24"/>
              </w:rPr>
            </w:pP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P4</w:t>
            </w:r>
            <w:r>
              <w:rPr>
                <w:rFonts w:hint="eastAsia" w:ascii="仿宋" w:hAnsi="仿宋" w:eastAsia="仿宋" w:cs="宋体"/>
                <w:color w:val="000000"/>
                <w:kern w:val="0"/>
                <w:sz w:val="24"/>
                <w:szCs w:val="24"/>
              </w:rPr>
              <w:t>全彩屏</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1</w:t>
            </w:r>
            <w:r>
              <w:rPr>
                <w:rFonts w:hint="eastAsia" w:ascii="仿宋" w:hAnsi="仿宋" w:eastAsia="仿宋" w:cs="宋体"/>
                <w:color w:val="000000"/>
                <w:kern w:val="0"/>
                <w:sz w:val="24"/>
                <w:szCs w:val="24"/>
              </w:rPr>
              <w:t>）模块级数字校正存储技术：每个基本模块上都装有</w:t>
            </w:r>
            <w:r>
              <w:rPr>
                <w:rFonts w:ascii="仿宋" w:hAnsi="仿宋" w:eastAsia="仿宋" w:cs="宋体"/>
                <w:color w:val="000000"/>
                <w:kern w:val="0"/>
                <w:sz w:val="24"/>
                <w:szCs w:val="24"/>
              </w:rPr>
              <w:t>CPU</w:t>
            </w:r>
            <w:r>
              <w:rPr>
                <w:rFonts w:hint="eastAsia" w:ascii="仿宋" w:hAnsi="仿宋" w:eastAsia="仿宋" w:cs="宋体"/>
                <w:color w:val="000000"/>
                <w:kern w:val="0"/>
                <w:sz w:val="24"/>
                <w:szCs w:val="24"/>
              </w:rPr>
              <w:t>，把亮度、色度矫正数据存储在模块上，更换模块同时也更换了亮度和色度数据，彻底消除了因更换模块导致的花屏现象，提供第三方检测报告复印件并加盖原厂印章；</w:t>
            </w:r>
            <w:r>
              <w:rPr>
                <w:rFonts w:ascii="仿宋" w:hAnsi="仿宋" w:eastAsia="仿宋" w:cs="宋体"/>
                <w:color w:val="000000"/>
                <w:kern w:val="0"/>
                <w:sz w:val="24"/>
                <w:szCs w:val="24"/>
              </w:rPr>
              <w:br w:type="textWrapping"/>
            </w:r>
            <w:r>
              <w:rPr>
                <w:rFonts w:ascii="仿宋" w:hAnsi="仿宋" w:eastAsia="仿宋" w:cs="宋体"/>
                <w:color w:val="000000"/>
                <w:kern w:val="0"/>
                <w:sz w:val="24"/>
                <w:szCs w:val="24"/>
              </w:rPr>
              <w:t>2</w:t>
            </w:r>
            <w:r>
              <w:rPr>
                <w:rFonts w:hint="eastAsia" w:ascii="仿宋" w:hAnsi="仿宋" w:eastAsia="仿宋" w:cs="宋体"/>
                <w:color w:val="000000"/>
                <w:kern w:val="0"/>
                <w:sz w:val="24"/>
                <w:szCs w:val="24"/>
              </w:rPr>
              <w:t>）组成</w:t>
            </w:r>
            <w:r>
              <w:rPr>
                <w:rFonts w:ascii="仿宋" w:hAnsi="仿宋" w:eastAsia="仿宋" w:cs="宋体"/>
                <w:color w:val="000000"/>
                <w:kern w:val="0"/>
                <w:sz w:val="24"/>
                <w:szCs w:val="24"/>
              </w:rPr>
              <w:t>LED</w:t>
            </w:r>
            <w:r>
              <w:rPr>
                <w:rFonts w:hint="eastAsia" w:ascii="仿宋" w:hAnsi="仿宋" w:eastAsia="仿宋" w:cs="宋体"/>
                <w:color w:val="000000"/>
                <w:kern w:val="0"/>
                <w:sz w:val="24"/>
                <w:szCs w:val="24"/>
              </w:rPr>
              <w:t>显示屏显示模组对地漏电流≤</w:t>
            </w:r>
            <w:r>
              <w:rPr>
                <w:rFonts w:ascii="仿宋" w:hAnsi="仿宋" w:eastAsia="仿宋" w:cs="宋体"/>
                <w:color w:val="000000"/>
                <w:kern w:val="0"/>
                <w:sz w:val="24"/>
                <w:szCs w:val="24"/>
              </w:rPr>
              <w:t>1.19mA/m2</w:t>
            </w:r>
            <w:r>
              <w:rPr>
                <w:rFonts w:hint="eastAsia" w:ascii="仿宋" w:hAnsi="仿宋" w:eastAsia="仿宋" w:cs="宋体"/>
                <w:color w:val="000000"/>
                <w:kern w:val="0"/>
                <w:sz w:val="24"/>
                <w:szCs w:val="24"/>
              </w:rPr>
              <w:t>，提供所投产品国家权威检测机构出具的</w:t>
            </w:r>
            <w:r>
              <w:rPr>
                <w:rFonts w:ascii="仿宋" w:hAnsi="仿宋" w:eastAsia="仿宋" w:cs="宋体"/>
                <w:color w:val="000000"/>
                <w:kern w:val="0"/>
                <w:sz w:val="24"/>
                <w:szCs w:val="24"/>
              </w:rPr>
              <w:t>CMA</w:t>
            </w:r>
            <w:r>
              <w:rPr>
                <w:rFonts w:hint="eastAsia" w:ascii="仿宋" w:hAnsi="仿宋" w:eastAsia="仿宋" w:cs="宋体"/>
                <w:color w:val="000000"/>
                <w:kern w:val="0"/>
                <w:sz w:val="24"/>
                <w:szCs w:val="24"/>
              </w:rPr>
              <w:t>检测报告复印件并加盖原厂公章。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16</w:t>
            </w:r>
          </w:p>
        </w:tc>
        <w:tc>
          <w:tcPr>
            <w:tcW w:w="70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公共广播系统</w:t>
            </w:r>
          </w:p>
        </w:tc>
        <w:tc>
          <w:tcPr>
            <w:tcW w:w="2268" w:type="dxa"/>
            <w:shd w:val="clear" w:color="000000" w:fill="FFFFFF"/>
            <w:noWrap/>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智能广播媒体矩阵：提供智能广播媒体矩阵</w:t>
            </w:r>
            <w:r>
              <w:rPr>
                <w:rFonts w:ascii="仿宋" w:hAnsi="仿宋" w:eastAsia="仿宋" w:cs="宋体"/>
                <w:color w:val="000000"/>
                <w:kern w:val="0"/>
                <w:sz w:val="24"/>
                <w:szCs w:val="24"/>
              </w:rPr>
              <w:t>3C</w:t>
            </w:r>
            <w:r>
              <w:rPr>
                <w:rFonts w:hint="eastAsia" w:ascii="仿宋" w:hAnsi="仿宋" w:eastAsia="仿宋" w:cs="宋体"/>
                <w:color w:val="000000"/>
                <w:kern w:val="0"/>
                <w:sz w:val="24"/>
                <w:szCs w:val="24"/>
              </w:rPr>
              <w:t>及节能产品认证证书。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17</w:t>
            </w:r>
          </w:p>
        </w:tc>
        <w:tc>
          <w:tcPr>
            <w:tcW w:w="70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机房工程（</w:t>
            </w:r>
            <w:r>
              <w:rPr>
                <w:rFonts w:ascii="仿宋" w:hAnsi="仿宋" w:eastAsia="仿宋" w:cs="宋体"/>
                <w:color w:val="000000"/>
                <w:kern w:val="0"/>
                <w:sz w:val="24"/>
                <w:szCs w:val="24"/>
              </w:rPr>
              <w:t>UPS</w:t>
            </w:r>
            <w:r>
              <w:rPr>
                <w:rFonts w:hint="eastAsia" w:ascii="仿宋" w:hAnsi="仿宋" w:eastAsia="仿宋" w:cs="宋体"/>
                <w:color w:val="000000"/>
                <w:kern w:val="0"/>
                <w:sz w:val="24"/>
                <w:szCs w:val="24"/>
              </w:rPr>
              <w:t>主机）</w:t>
            </w: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UPS</w:t>
            </w:r>
            <w:r>
              <w:rPr>
                <w:rFonts w:hint="eastAsia" w:ascii="仿宋" w:hAnsi="仿宋" w:eastAsia="仿宋" w:cs="宋体"/>
                <w:color w:val="000000"/>
                <w:kern w:val="0"/>
                <w:sz w:val="24"/>
                <w:szCs w:val="24"/>
              </w:rPr>
              <w:t>主机</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ascii="仿宋" w:hAnsi="仿宋" w:eastAsia="仿宋" w:cs="宋体"/>
                <w:color w:val="000000"/>
                <w:kern w:val="0"/>
                <w:sz w:val="24"/>
                <w:szCs w:val="24"/>
              </w:rPr>
              <w:t>20KVA UPS</w:t>
            </w:r>
            <w:r>
              <w:rPr>
                <w:rFonts w:hint="eastAsia" w:ascii="仿宋" w:hAnsi="仿宋" w:eastAsia="仿宋" w:cs="宋体"/>
                <w:color w:val="000000"/>
                <w:kern w:val="0"/>
                <w:sz w:val="24"/>
                <w:szCs w:val="24"/>
              </w:rPr>
              <w:t>主机：★外壳防护等级：</w:t>
            </w:r>
            <w:r>
              <w:rPr>
                <w:rFonts w:ascii="仿宋" w:hAnsi="仿宋" w:eastAsia="仿宋" w:cs="宋体"/>
                <w:color w:val="000000"/>
                <w:kern w:val="0"/>
                <w:sz w:val="24"/>
                <w:szCs w:val="24"/>
              </w:rPr>
              <w:t>IP21</w:t>
            </w:r>
            <w:r>
              <w:rPr>
                <w:rFonts w:hint="eastAsia" w:ascii="仿宋" w:hAnsi="仿宋" w:eastAsia="仿宋" w:cs="宋体"/>
                <w:color w:val="000000"/>
                <w:kern w:val="0"/>
                <w:sz w:val="24"/>
                <w:szCs w:val="24"/>
              </w:rPr>
              <w:t>，具有</w:t>
            </w:r>
            <w:r>
              <w:rPr>
                <w:rFonts w:ascii="仿宋" w:hAnsi="仿宋" w:eastAsia="仿宋" w:cs="宋体"/>
                <w:color w:val="000000"/>
                <w:kern w:val="0"/>
                <w:sz w:val="24"/>
                <w:szCs w:val="24"/>
              </w:rPr>
              <w:t>CMA</w:t>
            </w:r>
            <w:r>
              <w:rPr>
                <w:rFonts w:hint="eastAsia" w:ascii="仿宋" w:hAnsi="仿宋" w:eastAsia="仿宋" w:cs="宋体"/>
                <w:color w:val="000000"/>
                <w:kern w:val="0"/>
                <w:sz w:val="24"/>
                <w:szCs w:val="24"/>
              </w:rPr>
              <w:t>或</w:t>
            </w:r>
            <w:r>
              <w:rPr>
                <w:rFonts w:ascii="仿宋" w:hAnsi="仿宋" w:eastAsia="仿宋" w:cs="宋体"/>
                <w:color w:val="000000"/>
                <w:kern w:val="0"/>
                <w:sz w:val="24"/>
                <w:szCs w:val="24"/>
              </w:rPr>
              <w:t>CAL</w:t>
            </w:r>
            <w:r>
              <w:rPr>
                <w:rFonts w:hint="eastAsia" w:ascii="仿宋" w:hAnsi="仿宋" w:eastAsia="仿宋" w:cs="宋体"/>
                <w:color w:val="000000"/>
                <w:kern w:val="0"/>
                <w:sz w:val="24"/>
                <w:szCs w:val="24"/>
              </w:rPr>
              <w:t>或</w:t>
            </w:r>
            <w:r>
              <w:rPr>
                <w:rFonts w:ascii="仿宋" w:hAnsi="仿宋" w:eastAsia="仿宋" w:cs="宋体"/>
                <w:color w:val="000000"/>
                <w:kern w:val="0"/>
                <w:sz w:val="24"/>
                <w:szCs w:val="24"/>
              </w:rPr>
              <w:t>CNAS</w:t>
            </w:r>
            <w:r>
              <w:rPr>
                <w:rFonts w:hint="eastAsia" w:ascii="仿宋" w:hAnsi="仿宋" w:eastAsia="仿宋" w:cs="宋体"/>
                <w:color w:val="000000"/>
                <w:kern w:val="0"/>
                <w:sz w:val="24"/>
                <w:szCs w:val="24"/>
              </w:rPr>
              <w:t>认证标识第三方检测机构出具的检测报告（检验报告）证明，提供加盖生产厂家公章的复印件或影印件。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3" w:type="dxa"/>
            <w:shd w:val="clear" w:color="000000" w:fill="FFFFFF"/>
            <w:noWrap/>
            <w:vAlign w:val="center"/>
          </w:tcPr>
          <w:p>
            <w:pPr>
              <w:widowControl/>
              <w:jc w:val="center"/>
              <w:rPr>
                <w:rFonts w:ascii="仿宋" w:hAnsi="仿宋" w:eastAsia="仿宋" w:cs="宋体"/>
                <w:color w:val="000000"/>
                <w:kern w:val="0"/>
                <w:sz w:val="24"/>
                <w:szCs w:val="24"/>
              </w:rPr>
            </w:pPr>
            <w:r>
              <w:rPr>
                <w:rFonts w:ascii="仿宋" w:hAnsi="仿宋" w:eastAsia="仿宋" w:cs="宋体"/>
                <w:color w:val="000000"/>
                <w:kern w:val="0"/>
                <w:sz w:val="24"/>
                <w:szCs w:val="24"/>
              </w:rPr>
              <w:t>18</w:t>
            </w:r>
          </w:p>
        </w:tc>
        <w:tc>
          <w:tcPr>
            <w:tcW w:w="70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机房工程（精密空调）</w:t>
            </w:r>
          </w:p>
        </w:tc>
        <w:tc>
          <w:tcPr>
            <w:tcW w:w="2268"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精密空调</w:t>
            </w:r>
          </w:p>
        </w:tc>
        <w:tc>
          <w:tcPr>
            <w:tcW w:w="4757" w:type="dxa"/>
            <w:shd w:val="clear" w:color="000000" w:fill="FFFFFF"/>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精密空调：★性能指标符合</w:t>
            </w:r>
            <w:r>
              <w:rPr>
                <w:rFonts w:ascii="仿宋" w:hAnsi="仿宋" w:eastAsia="仿宋" w:cs="宋体"/>
                <w:color w:val="000000"/>
                <w:kern w:val="0"/>
                <w:sz w:val="24"/>
                <w:szCs w:val="24"/>
              </w:rPr>
              <w:t xml:space="preserve">GB/T 19413-2010 </w:t>
            </w:r>
            <w:r>
              <w:rPr>
                <w:rFonts w:hint="eastAsia" w:ascii="仿宋" w:hAnsi="仿宋" w:eastAsia="仿宋" w:cs="宋体"/>
                <w:color w:val="000000"/>
                <w:kern w:val="0"/>
                <w:sz w:val="24"/>
                <w:szCs w:val="24"/>
              </w:rPr>
              <w:t>《计算机和数据处理机房用单元式空气调节机》和</w:t>
            </w:r>
            <w:r>
              <w:rPr>
                <w:rFonts w:ascii="仿宋" w:hAnsi="仿宋" w:eastAsia="仿宋" w:cs="宋体"/>
                <w:color w:val="000000"/>
                <w:kern w:val="0"/>
                <w:sz w:val="24"/>
                <w:szCs w:val="24"/>
              </w:rPr>
              <w:t>GC009G02(C)</w:t>
            </w:r>
            <w:r>
              <w:rPr>
                <w:rFonts w:hint="eastAsia" w:ascii="仿宋" w:hAnsi="仿宋" w:eastAsia="仿宋" w:cs="宋体"/>
                <w:color w:val="000000"/>
                <w:kern w:val="0"/>
                <w:sz w:val="24"/>
                <w:szCs w:val="24"/>
              </w:rPr>
              <w:t>《制冷空调设备产品诚信认证实施规则》规定的要求，具有</w:t>
            </w:r>
            <w:r>
              <w:rPr>
                <w:rFonts w:ascii="仿宋" w:hAnsi="仿宋" w:eastAsia="仿宋" w:cs="宋体"/>
                <w:color w:val="000000"/>
                <w:kern w:val="0"/>
                <w:sz w:val="24"/>
                <w:szCs w:val="24"/>
              </w:rPr>
              <w:t>CMA</w:t>
            </w:r>
            <w:r>
              <w:rPr>
                <w:rFonts w:hint="eastAsia" w:ascii="仿宋" w:hAnsi="仿宋" w:eastAsia="仿宋" w:cs="宋体"/>
                <w:color w:val="000000"/>
                <w:kern w:val="0"/>
                <w:sz w:val="24"/>
                <w:szCs w:val="24"/>
              </w:rPr>
              <w:t>或</w:t>
            </w:r>
            <w:r>
              <w:rPr>
                <w:rFonts w:ascii="仿宋" w:hAnsi="仿宋" w:eastAsia="仿宋" w:cs="宋体"/>
                <w:color w:val="000000"/>
                <w:kern w:val="0"/>
                <w:sz w:val="24"/>
                <w:szCs w:val="24"/>
              </w:rPr>
              <w:t>CAL</w:t>
            </w:r>
            <w:r>
              <w:rPr>
                <w:rFonts w:hint="eastAsia" w:ascii="仿宋" w:hAnsi="仿宋" w:eastAsia="仿宋" w:cs="宋体"/>
                <w:color w:val="000000"/>
                <w:kern w:val="0"/>
                <w:sz w:val="24"/>
                <w:szCs w:val="24"/>
              </w:rPr>
              <w:t>或</w:t>
            </w:r>
            <w:r>
              <w:rPr>
                <w:rFonts w:ascii="仿宋" w:hAnsi="仿宋" w:eastAsia="仿宋" w:cs="宋体"/>
                <w:color w:val="000000"/>
                <w:kern w:val="0"/>
                <w:sz w:val="24"/>
                <w:szCs w:val="24"/>
              </w:rPr>
              <w:t>CNAS</w:t>
            </w:r>
            <w:r>
              <w:rPr>
                <w:rFonts w:hint="eastAsia" w:ascii="仿宋" w:hAnsi="仿宋" w:eastAsia="仿宋" w:cs="宋体"/>
                <w:color w:val="000000"/>
                <w:kern w:val="0"/>
                <w:sz w:val="24"/>
                <w:szCs w:val="24"/>
              </w:rPr>
              <w:t>认证标识第三方检测机构出具的证书证明，提供加盖原厂公章的复印件或影印件。</w:t>
            </w:r>
          </w:p>
        </w:tc>
      </w:tr>
    </w:tbl>
    <w:p>
      <w:pPr>
        <w:spacing w:line="560" w:lineRule="exact"/>
        <w:jc w:val="left"/>
        <w:rPr>
          <w:rFonts w:ascii="黑体" w:hAnsi="黑体" w:eastAsia="黑体" w:cs="黑体"/>
          <w:b/>
          <w:kern w:val="44"/>
          <w:sz w:val="32"/>
          <w:szCs w:val="32"/>
        </w:rPr>
        <w:sectPr>
          <w:pgSz w:w="11907" w:h="16840"/>
          <w:pgMar w:top="1191" w:right="1191" w:bottom="1191" w:left="1191" w:header="851" w:footer="851" w:gutter="0"/>
          <w:cols w:space="720" w:num="1"/>
        </w:sectPr>
      </w:pPr>
      <w:r>
        <w:rPr>
          <w:rFonts w:hint="eastAsia" w:ascii="黑体" w:hAnsi="黑体" w:eastAsia="黑体" w:cs="黑体"/>
          <w:b/>
          <w:kern w:val="44"/>
          <w:sz w:val="32"/>
          <w:szCs w:val="32"/>
        </w:rPr>
        <w:t>详见附件</w:t>
      </w:r>
      <w:r>
        <w:rPr>
          <w:rFonts w:ascii="黑体" w:hAnsi="黑体" w:eastAsia="黑体" w:cs="黑体"/>
          <w:b/>
          <w:kern w:val="44"/>
          <w:sz w:val="32"/>
          <w:szCs w:val="32"/>
        </w:rPr>
        <w:t>1</w:t>
      </w:r>
      <w:r>
        <w:rPr>
          <w:rFonts w:hint="eastAsia" w:ascii="黑体" w:hAnsi="黑体" w:eastAsia="黑体" w:cs="黑体"/>
          <w:b/>
          <w:kern w:val="44"/>
          <w:sz w:val="32"/>
          <w:szCs w:val="32"/>
        </w:rPr>
        <w:t>。</w:t>
      </w:r>
    </w:p>
    <w:p>
      <w:pPr>
        <w:pStyle w:val="2"/>
        <w:keepNext w:val="0"/>
        <w:keepLines w:val="0"/>
        <w:spacing w:before="0" w:after="0" w:line="560" w:lineRule="exact"/>
        <w:jc w:val="center"/>
        <w:rPr>
          <w:rFonts w:ascii="黑体" w:hAnsi="黑体" w:eastAsia="黑体" w:cs="黑体"/>
          <w:sz w:val="32"/>
          <w:szCs w:val="32"/>
        </w:rPr>
      </w:pPr>
    </w:p>
    <w:p>
      <w:pPr>
        <w:pStyle w:val="2"/>
        <w:keepNext w:val="0"/>
        <w:keepLines w:val="0"/>
        <w:spacing w:before="0" w:after="0" w:line="560" w:lineRule="exact"/>
        <w:jc w:val="center"/>
        <w:rPr>
          <w:rFonts w:ascii="黑体" w:hAnsi="黑体" w:eastAsia="黑体" w:cs="黑体"/>
          <w:sz w:val="32"/>
          <w:szCs w:val="32"/>
        </w:rPr>
      </w:pPr>
      <w:r>
        <w:rPr>
          <w:rFonts w:hint="eastAsia" w:ascii="黑体" w:hAnsi="黑体" w:eastAsia="黑体" w:cs="黑体"/>
          <w:sz w:val="32"/>
          <w:szCs w:val="32"/>
        </w:rPr>
        <w:t>第六章</w:t>
      </w:r>
      <w:r>
        <w:rPr>
          <w:rFonts w:ascii="黑体" w:hAnsi="黑体" w:eastAsia="黑体" w:cs="黑体"/>
          <w:sz w:val="32"/>
          <w:szCs w:val="32"/>
        </w:rPr>
        <w:t xml:space="preserve">  </w:t>
      </w:r>
      <w:r>
        <w:rPr>
          <w:rFonts w:hint="eastAsia" w:ascii="黑体" w:hAnsi="黑体" w:eastAsia="黑体" w:cs="黑体"/>
          <w:sz w:val="32"/>
          <w:szCs w:val="32"/>
        </w:rPr>
        <w:t>采购清单与图纸</w:t>
      </w:r>
    </w:p>
    <w:p/>
    <w:p>
      <w:pPr>
        <w:spacing w:line="560" w:lineRule="exact"/>
        <w:jc w:val="left"/>
        <w:rPr>
          <w:rFonts w:ascii="黑体" w:hAnsi="黑体" w:eastAsia="黑体" w:cs="黑体"/>
          <w:b/>
          <w:kern w:val="44"/>
          <w:sz w:val="32"/>
          <w:szCs w:val="32"/>
        </w:rPr>
      </w:pPr>
      <w:r>
        <w:rPr>
          <w:rFonts w:hint="eastAsia" w:ascii="黑体" w:hAnsi="黑体" w:eastAsia="黑体" w:cs="黑体"/>
          <w:b/>
          <w:kern w:val="44"/>
          <w:sz w:val="32"/>
          <w:szCs w:val="32"/>
        </w:rPr>
        <w:t>图纸详见附件</w:t>
      </w:r>
      <w:r>
        <w:rPr>
          <w:rFonts w:ascii="黑体" w:hAnsi="黑体" w:eastAsia="黑体" w:cs="黑体"/>
          <w:b/>
          <w:kern w:val="44"/>
          <w:sz w:val="32"/>
          <w:szCs w:val="32"/>
        </w:rPr>
        <w:t>2</w:t>
      </w:r>
      <w:r>
        <w:rPr>
          <w:rFonts w:hint="eastAsia" w:ascii="黑体" w:hAnsi="黑体" w:eastAsia="黑体" w:cs="黑体"/>
          <w:b/>
          <w:kern w:val="44"/>
          <w:sz w:val="32"/>
          <w:szCs w:val="32"/>
        </w:rPr>
        <w:t>；</w:t>
      </w:r>
    </w:p>
    <w:p>
      <w:pPr>
        <w:spacing w:line="560" w:lineRule="exact"/>
        <w:jc w:val="left"/>
        <w:rPr>
          <w:rFonts w:ascii="黑体" w:hAnsi="黑体" w:eastAsia="黑体" w:cs="黑体"/>
          <w:b/>
          <w:kern w:val="44"/>
          <w:sz w:val="32"/>
          <w:szCs w:val="32"/>
        </w:rPr>
      </w:pPr>
      <w:r>
        <w:rPr>
          <w:rFonts w:hint="eastAsia" w:ascii="黑体" w:hAnsi="黑体" w:eastAsia="黑体" w:cs="黑体"/>
          <w:b/>
          <w:kern w:val="44"/>
          <w:sz w:val="32"/>
          <w:szCs w:val="32"/>
        </w:rPr>
        <w:t>采购清单详见附件</w:t>
      </w:r>
      <w:r>
        <w:rPr>
          <w:rFonts w:ascii="黑体" w:hAnsi="黑体" w:eastAsia="黑体" w:cs="黑体"/>
          <w:b/>
          <w:kern w:val="44"/>
          <w:sz w:val="32"/>
          <w:szCs w:val="32"/>
        </w:rPr>
        <w:t>3</w:t>
      </w:r>
      <w:r>
        <w:rPr>
          <w:rFonts w:hint="eastAsia" w:ascii="黑体" w:hAnsi="黑体" w:eastAsia="黑体" w:cs="黑体"/>
          <w:b/>
          <w:kern w:val="44"/>
          <w:sz w:val="32"/>
          <w:szCs w:val="32"/>
        </w:rPr>
        <w:t>。</w:t>
      </w:r>
    </w:p>
    <w:p>
      <w:pPr>
        <w:spacing w:line="560" w:lineRule="exact"/>
        <w:jc w:val="left"/>
        <w:rPr>
          <w:rFonts w:ascii="黑体" w:hAnsi="黑体" w:eastAsia="黑体" w:cs="黑体"/>
          <w:b/>
          <w:kern w:val="44"/>
          <w:sz w:val="32"/>
          <w:szCs w:val="32"/>
        </w:rPr>
      </w:pPr>
    </w:p>
    <w:p>
      <w:pPr>
        <w:spacing w:line="560" w:lineRule="exact"/>
        <w:jc w:val="left"/>
        <w:rPr>
          <w:rFonts w:ascii="黑体" w:hAnsi="黑体" w:eastAsia="黑体" w:cs="黑体"/>
          <w:b/>
          <w:kern w:val="44"/>
          <w:sz w:val="32"/>
          <w:szCs w:val="32"/>
        </w:rPr>
        <w:sectPr>
          <w:pgSz w:w="11907" w:h="16840"/>
          <w:pgMar w:top="1191" w:right="1191" w:bottom="1191" w:left="1191" w:header="851" w:footer="851" w:gutter="0"/>
          <w:cols w:space="720" w:num="1"/>
        </w:sectPr>
      </w:pPr>
    </w:p>
    <w:p>
      <w:pPr>
        <w:widowControl/>
        <w:shd w:val="clear" w:color="auto" w:fill="FFFFFF"/>
        <w:wordWrap w:val="0"/>
        <w:spacing w:afterLines="150" w:line="560" w:lineRule="exact"/>
        <w:jc w:val="center"/>
        <w:outlineLvl w:val="0"/>
        <w:rPr>
          <w:rFonts w:ascii="黑体" w:hAnsi="黑体" w:eastAsia="黑体" w:cs="黑体"/>
          <w:b/>
          <w:kern w:val="44"/>
          <w:sz w:val="32"/>
          <w:szCs w:val="32"/>
        </w:rPr>
      </w:pPr>
      <w:r>
        <w:rPr>
          <w:rFonts w:hint="eastAsia" w:ascii="黑体" w:hAnsi="黑体" w:eastAsia="黑体" w:cs="黑体"/>
          <w:b/>
          <w:kern w:val="44"/>
          <w:sz w:val="32"/>
          <w:szCs w:val="32"/>
        </w:rPr>
        <w:t>第七章</w:t>
      </w:r>
      <w:r>
        <w:rPr>
          <w:rFonts w:ascii="黑体" w:hAnsi="黑体" w:eastAsia="黑体" w:cs="黑体"/>
          <w:b/>
          <w:kern w:val="44"/>
          <w:sz w:val="32"/>
          <w:szCs w:val="32"/>
        </w:rPr>
        <w:t xml:space="preserve">  </w:t>
      </w:r>
      <w:r>
        <w:rPr>
          <w:rFonts w:hint="eastAsia" w:ascii="黑体" w:hAnsi="黑体" w:eastAsia="黑体" w:cs="黑体"/>
          <w:b/>
          <w:kern w:val="44"/>
          <w:sz w:val="32"/>
          <w:szCs w:val="32"/>
        </w:rPr>
        <w:t>亳州公路客运高铁枢纽站弱电智能化</w:t>
      </w:r>
    </w:p>
    <w:p>
      <w:pPr>
        <w:pStyle w:val="3"/>
        <w:spacing w:before="0" w:after="0" w:line="560" w:lineRule="exact"/>
        <w:jc w:val="center"/>
        <w:rPr>
          <w:rFonts w:ascii="黑体" w:cs="黑体"/>
          <w:kern w:val="44"/>
          <w:szCs w:val="32"/>
        </w:rPr>
      </w:pPr>
      <w:r>
        <w:rPr>
          <w:rFonts w:ascii="黑体" w:hAnsi="黑体" w:cs="黑体"/>
          <w:kern w:val="44"/>
          <w:szCs w:val="32"/>
        </w:rPr>
        <w:t xml:space="preserve"> </w:t>
      </w:r>
      <w:r>
        <w:rPr>
          <w:rFonts w:hint="eastAsia" w:ascii="黑体" w:hAnsi="黑体" w:cs="黑体"/>
          <w:kern w:val="44"/>
          <w:szCs w:val="32"/>
        </w:rPr>
        <w:t>投标文件格式</w:t>
      </w:r>
    </w:p>
    <w:p>
      <w:pPr>
        <w:jc w:val="center"/>
        <w:rPr>
          <w:rFonts w:ascii="黑体" w:hAnsi="黑体" w:eastAsia="黑体" w:cs="黑体"/>
          <w:sz w:val="32"/>
          <w:szCs w:val="32"/>
        </w:rPr>
      </w:pPr>
      <w:r>
        <w:rPr>
          <w:rFonts w:hint="eastAsia" w:ascii="黑体" w:hAnsi="黑体" w:eastAsia="黑体" w:cs="黑体"/>
          <w:sz w:val="32"/>
          <w:szCs w:val="32"/>
        </w:rPr>
        <w:t>（项目编号：</w:t>
      </w:r>
      <w:r>
        <w:rPr>
          <w:rFonts w:ascii="黑体" w:hAnsi="黑体" w:eastAsia="黑体" w:cs="黑体"/>
          <w:sz w:val="32"/>
          <w:szCs w:val="32"/>
        </w:rPr>
        <w:t>BZJK-2019-054</w:t>
      </w:r>
      <w:r>
        <w:rPr>
          <w:rFonts w:hint="eastAsia" w:ascii="黑体" w:hAnsi="黑体" w:eastAsia="黑体" w:cs="黑体"/>
          <w:sz w:val="32"/>
          <w:szCs w:val="32"/>
        </w:rPr>
        <w:t>号）</w:t>
      </w:r>
    </w:p>
    <w:p>
      <w:pPr>
        <w:jc w:val="center"/>
        <w:rPr>
          <w:rFonts w:ascii="黑体" w:hAnsi="黑体" w:eastAsia="黑体" w:cs="黑体"/>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ascii="黑体" w:hAnsi="黑体" w:eastAsia="黑体"/>
          <w:sz w:val="32"/>
          <w:szCs w:val="32"/>
          <w:u w:val="single"/>
        </w:rPr>
        <w:t xml:space="preserve">        </w:t>
      </w:r>
      <w:r>
        <w:rPr>
          <w:rFonts w:hint="eastAsia" w:ascii="黑体" w:hAnsi="黑体" w:eastAsia="黑体"/>
          <w:sz w:val="32"/>
          <w:szCs w:val="32"/>
          <w:u w:val="single"/>
        </w:rPr>
        <w:t>（盖</w:t>
      </w:r>
      <w:r>
        <w:rPr>
          <w:rFonts w:ascii="黑体" w:hAnsi="黑体" w:eastAsia="黑体"/>
          <w:sz w:val="32"/>
          <w:szCs w:val="32"/>
          <w:u w:val="single"/>
        </w:rPr>
        <w:t xml:space="preserve">  </w:t>
      </w:r>
      <w:r>
        <w:rPr>
          <w:rFonts w:hint="eastAsia" w:ascii="黑体" w:hAnsi="黑体" w:eastAsia="黑体"/>
          <w:sz w:val="32"/>
          <w:szCs w:val="32"/>
          <w:u w:val="single"/>
        </w:rPr>
        <w:t>章）</w:t>
      </w:r>
      <w:r>
        <w:rPr>
          <w:rFonts w:ascii="黑体" w:hAnsi="黑体" w:eastAsia="黑体"/>
          <w:sz w:val="32"/>
          <w:szCs w:val="32"/>
          <w:u w:val="single"/>
        </w:rPr>
        <w:t xml:space="preserve">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
    <w:p/>
    <w:p/>
    <w:p/>
    <w:p>
      <w:pPr>
        <w:pStyle w:val="4"/>
      </w:pPr>
      <w:r>
        <w:rPr>
          <w:rFonts w:hint="eastAsia"/>
        </w:rPr>
        <w:t>一、投标函（格式）</w:t>
      </w:r>
    </w:p>
    <w:p>
      <w:pPr>
        <w:spacing w:line="360" w:lineRule="auto"/>
        <w:rPr>
          <w:rFonts w:ascii="宋体"/>
          <w:b/>
          <w:szCs w:val="21"/>
        </w:rPr>
      </w:pPr>
      <w:r>
        <w:rPr>
          <w:rFonts w:hint="eastAsia" w:ascii="方正小标宋简体" w:hAnsi="方正小标宋简体" w:eastAsia="方正小标宋简体" w:cs="方正小标宋简体"/>
          <w:sz w:val="32"/>
          <w:szCs w:val="32"/>
        </w:rPr>
        <w:t>亳州交通投资控股集团有限公司</w:t>
      </w:r>
      <w:r>
        <w:rPr>
          <w:rFonts w:hint="eastAsia" w:ascii="宋体" w:hAnsi="宋体"/>
          <w:b/>
          <w:sz w:val="32"/>
          <w:szCs w:val="32"/>
        </w:rPr>
        <w:t>：</w:t>
      </w:r>
    </w:p>
    <w:p>
      <w:pPr>
        <w:spacing w:line="360" w:lineRule="auto"/>
        <w:ind w:firstLine="420" w:firstLineChars="200"/>
        <w:rPr>
          <w:rFonts w:ascii="宋体"/>
        </w:rPr>
      </w:pPr>
    </w:p>
    <w:p>
      <w:pPr>
        <w:spacing w:line="360" w:lineRule="auto"/>
        <w:ind w:firstLine="420" w:firstLineChars="200"/>
        <w:rPr>
          <w:rFonts w:ascii="宋体"/>
        </w:rPr>
      </w:pPr>
      <w:r>
        <w:rPr>
          <w:rFonts w:ascii="宋体" w:hAnsi="宋体"/>
        </w:rPr>
        <w:t>1</w:t>
      </w:r>
      <w:r>
        <w:rPr>
          <w:rFonts w:hint="eastAsia" w:ascii="宋体" w:hAnsi="宋体"/>
        </w:rPr>
        <w:t>、我方授权</w:t>
      </w:r>
      <w:r>
        <w:rPr>
          <w:rFonts w:ascii="宋体" w:hAnsi="宋体"/>
          <w:u w:val="single"/>
        </w:rPr>
        <w:t xml:space="preserve">        </w:t>
      </w:r>
      <w:r>
        <w:rPr>
          <w:rFonts w:ascii="宋体" w:hAnsi="宋体"/>
        </w:rPr>
        <w:t>(</w:t>
      </w:r>
      <w:r>
        <w:rPr>
          <w:rFonts w:hint="eastAsia" w:ascii="宋体" w:hAnsi="宋体"/>
        </w:rPr>
        <w:t>姓名和职务</w:t>
      </w:r>
      <w:r>
        <w:rPr>
          <w:rFonts w:ascii="宋体" w:hAnsi="宋体"/>
        </w:rPr>
        <w:t>)</w:t>
      </w:r>
      <w:r>
        <w:rPr>
          <w:rFonts w:hint="eastAsia" w:ascii="宋体" w:hAnsi="宋体"/>
        </w:rPr>
        <w:t>代表我方</w:t>
      </w:r>
      <w:r>
        <w:rPr>
          <w:rFonts w:ascii="宋体" w:hAnsi="宋体"/>
          <w:u w:val="single"/>
        </w:rPr>
        <w:t xml:space="preserve">               </w:t>
      </w:r>
      <w:r>
        <w:rPr>
          <w:rFonts w:hint="eastAsia" w:ascii="宋体" w:hAnsi="宋体"/>
        </w:rPr>
        <w:t>（供应商的名称）全权处理</w:t>
      </w:r>
      <w:r>
        <w:rPr>
          <w:rFonts w:ascii="宋体" w:hAnsi="宋体"/>
          <w:u w:val="single"/>
        </w:rPr>
        <w:t xml:space="preserve">      </w:t>
      </w:r>
      <w:r>
        <w:rPr>
          <w:rFonts w:hint="eastAsia" w:ascii="宋体" w:hAnsi="宋体"/>
          <w:b/>
          <w:u w:val="single"/>
        </w:rPr>
        <w:t>项目名称及编号</w:t>
      </w:r>
      <w:r>
        <w:rPr>
          <w:rFonts w:ascii="宋体" w:hAnsi="宋体"/>
          <w:b/>
          <w:u w:val="single"/>
        </w:rPr>
        <w:t xml:space="preserve">          </w:t>
      </w:r>
      <w:r>
        <w:rPr>
          <w:rFonts w:ascii="宋体" w:hAnsi="宋体"/>
          <w:u w:val="single"/>
        </w:rPr>
        <w:t xml:space="preserve"> </w:t>
      </w:r>
      <w:r>
        <w:rPr>
          <w:rFonts w:hint="eastAsia" w:ascii="宋体" w:hAnsi="宋体"/>
        </w:rPr>
        <w:t>项目投标的有关事宜。遵照招标文件（含补充文件）的要求承担本项目的实施，向甲方提供所需的货物和服务。</w:t>
      </w:r>
    </w:p>
    <w:p>
      <w:pPr>
        <w:spacing w:line="360" w:lineRule="auto"/>
        <w:ind w:firstLine="420" w:firstLineChars="200"/>
        <w:rPr>
          <w:rFonts w:ascii="宋体"/>
        </w:rPr>
      </w:pPr>
      <w:r>
        <w:rPr>
          <w:rFonts w:ascii="宋体" w:hAnsi="宋体"/>
        </w:rPr>
        <w:t>2</w:t>
      </w:r>
      <w:r>
        <w:rPr>
          <w:rFonts w:hint="eastAsia" w:ascii="宋体" w:hAnsi="宋体"/>
        </w:rPr>
        <w:t>、我方同意</w:t>
      </w:r>
      <w:r>
        <w:rPr>
          <w:rFonts w:hint="eastAsia" w:ascii="宋体" w:hAnsi="宋体"/>
          <w:szCs w:val="21"/>
        </w:rPr>
        <w:t>接受招标文件中招标有效期的相关规定。</w:t>
      </w:r>
    </w:p>
    <w:p>
      <w:pPr>
        <w:spacing w:line="360" w:lineRule="auto"/>
        <w:ind w:firstLine="420" w:firstLineChars="200"/>
        <w:rPr>
          <w:rFonts w:ascii="宋体"/>
        </w:rPr>
      </w:pPr>
      <w:r>
        <w:rPr>
          <w:rFonts w:ascii="宋体" w:hAnsi="宋体"/>
        </w:rPr>
        <w:t>3</w:t>
      </w:r>
      <w:r>
        <w:rPr>
          <w:rFonts w:hint="eastAsia" w:ascii="宋体" w:hAnsi="宋体"/>
        </w:rPr>
        <w:t>、一旦我方中标，我方将严格履行合同规定的责任和义务。</w:t>
      </w:r>
    </w:p>
    <w:p>
      <w:pPr>
        <w:spacing w:line="360" w:lineRule="auto"/>
        <w:ind w:firstLine="420" w:firstLineChars="200"/>
        <w:rPr>
          <w:rFonts w:ascii="宋体"/>
        </w:rPr>
      </w:pPr>
      <w:r>
        <w:rPr>
          <w:rFonts w:ascii="宋体" w:hAnsi="宋体"/>
        </w:rPr>
        <w:t>4</w:t>
      </w:r>
      <w:r>
        <w:rPr>
          <w:rFonts w:hint="eastAsia" w:ascii="宋体" w:hAnsi="宋体"/>
        </w:rPr>
        <w:t>、我方同意按照招标文件的要求，向贵中心递交金额为人民币（大写）</w:t>
      </w:r>
      <w:r>
        <w:rPr>
          <w:rFonts w:ascii="宋体" w:hAnsi="宋体"/>
          <w:u w:val="single"/>
        </w:rPr>
        <w:t xml:space="preserve">     </w:t>
      </w:r>
      <w:r>
        <w:rPr>
          <w:rFonts w:hint="eastAsia" w:ascii="宋体" w:hAnsi="宋体"/>
        </w:rPr>
        <w:t>元（小写：</w:t>
      </w:r>
      <w:r>
        <w:rPr>
          <w:rFonts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spacing w:line="360" w:lineRule="auto"/>
        <w:ind w:firstLine="420" w:firstLineChars="200"/>
        <w:rPr>
          <w:rFonts w:ascii="宋体"/>
        </w:rPr>
      </w:pPr>
      <w:r>
        <w:rPr>
          <w:rFonts w:ascii="宋体" w:hAnsi="宋体"/>
        </w:rPr>
        <w:t>5</w:t>
      </w:r>
      <w:r>
        <w:rPr>
          <w:rFonts w:hint="eastAsia" w:ascii="宋体" w:hAnsi="宋体"/>
        </w:rPr>
        <w:t>、我方愿意提供贵中心可能另外要求的、与谈判有关的文件资料，并保证我方已提供和将要提供的文件是真实的、准确的。</w:t>
      </w:r>
    </w:p>
    <w:p>
      <w:pPr>
        <w:spacing w:line="360" w:lineRule="auto"/>
        <w:ind w:firstLine="420" w:firstLineChars="200"/>
        <w:rPr>
          <w:rFonts w:ascii="宋体"/>
        </w:rPr>
      </w:pPr>
      <w:r>
        <w:rPr>
          <w:rFonts w:ascii="宋体" w:hAnsi="宋体"/>
        </w:rPr>
        <w:t>6</w:t>
      </w:r>
      <w:r>
        <w:rPr>
          <w:rFonts w:hint="eastAsia" w:ascii="宋体" w:hAnsi="宋体"/>
        </w:rPr>
        <w:t>、我方提供的此项目所有证件的扫描件与原件相符，是真实、合法、有效的，提供的综合业绩资料是真实的。如发现虚假证件或虚假陈述，我方愿承担与此相关的一切法律后果。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rPr>
      </w:pPr>
      <w:r>
        <w:rPr>
          <w:rFonts w:ascii="宋体" w:hAnsi="宋体"/>
        </w:rPr>
        <w:t>7</w:t>
      </w:r>
      <w:r>
        <w:rPr>
          <w:rFonts w:hint="eastAsia" w:ascii="宋体" w:hAnsi="宋体"/>
        </w:rPr>
        <w:t>、我方完全理解贵中心不一定将合同授予最低报价的供应商。</w:t>
      </w:r>
    </w:p>
    <w:p>
      <w:pPr>
        <w:spacing w:line="360" w:lineRule="auto"/>
        <w:rPr>
          <w:rFonts w:ascii="宋体"/>
        </w:rPr>
      </w:pPr>
      <w:r>
        <w:rPr>
          <w:rFonts w:hint="eastAsia" w:ascii="宋体" w:hAnsi="宋体"/>
        </w:rPr>
        <w:t>供应商：</w:t>
      </w:r>
      <w:r>
        <w:rPr>
          <w:rFonts w:ascii="宋体" w:hAnsi="宋体"/>
          <w:u w:val="single"/>
        </w:rPr>
        <w:t xml:space="preserve">                                      </w:t>
      </w:r>
      <w:r>
        <w:rPr>
          <w:rFonts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ascii="宋体" w:hAnsi="宋体"/>
        </w:rPr>
        <w:t xml:space="preserve">     </w:t>
      </w:r>
    </w:p>
    <w:p>
      <w:pPr>
        <w:spacing w:line="360" w:lineRule="auto"/>
        <w:rPr>
          <w:rFonts w:ascii="宋体"/>
          <w:u w:val="single"/>
        </w:rPr>
      </w:pPr>
      <w:r>
        <w:rPr>
          <w:rFonts w:hint="eastAsia" w:ascii="宋体" w:hAnsi="宋体"/>
        </w:rPr>
        <w:t>单位地址及邮政编码：</w:t>
      </w:r>
      <w:r>
        <w:rPr>
          <w:rFonts w:ascii="宋体" w:hAnsi="宋体"/>
          <w:u w:val="single"/>
        </w:rPr>
        <w:t xml:space="preserve">                                          </w:t>
      </w:r>
    </w:p>
    <w:p>
      <w:pPr>
        <w:spacing w:line="360" w:lineRule="auto"/>
        <w:rPr>
          <w:rFonts w:ascii="宋体"/>
          <w:u w:val="single"/>
        </w:rPr>
      </w:pPr>
      <w:r>
        <w:rPr>
          <w:rFonts w:hint="eastAsia" w:ascii="宋体" w:hAnsi="宋体"/>
          <w:color w:val="FF0000"/>
        </w:rPr>
        <w:t>法定代表人</w:t>
      </w:r>
      <w:r>
        <w:rPr>
          <w:rFonts w:hint="eastAsia" w:ascii="宋体" w:hAnsi="宋体"/>
        </w:rPr>
        <w:t>：</w:t>
      </w:r>
      <w:r>
        <w:rPr>
          <w:rFonts w:ascii="宋体" w:hAnsi="宋体"/>
          <w:u w:val="single"/>
        </w:rPr>
        <w:t xml:space="preserve">              </w:t>
      </w:r>
      <w:r>
        <w:rPr>
          <w:rFonts w:hint="eastAsia" w:ascii="宋体" w:hAnsi="宋体"/>
          <w:u w:val="single"/>
        </w:rPr>
        <w:t>（</w:t>
      </w:r>
      <w:r>
        <w:rPr>
          <w:rFonts w:hint="eastAsia" w:ascii="宋体" w:hAnsi="宋体"/>
          <w:color w:val="FF0000"/>
          <w:u w:val="single"/>
        </w:rPr>
        <w:t>盖法定代表人签章）</w:t>
      </w:r>
    </w:p>
    <w:p>
      <w:pPr>
        <w:spacing w:line="360" w:lineRule="auto"/>
        <w:rPr>
          <w:rFonts w:ascii="宋体"/>
          <w:u w:val="single"/>
        </w:rPr>
      </w:pPr>
      <w:r>
        <w:rPr>
          <w:rFonts w:hint="eastAsia" w:ascii="宋体" w:hAnsi="宋体"/>
        </w:rPr>
        <w:t>联系电话（传真）：</w:t>
      </w:r>
      <w:r>
        <w:rPr>
          <w:rFonts w:ascii="宋体" w:hAnsi="宋体"/>
          <w:u w:val="single"/>
        </w:rPr>
        <w:t xml:space="preserve">                                              </w:t>
      </w:r>
    </w:p>
    <w:p>
      <w:pPr>
        <w:spacing w:line="360" w:lineRule="auto"/>
        <w:rPr>
          <w:rFonts w:ascii="宋体"/>
        </w:rPr>
      </w:pPr>
    </w:p>
    <w:p>
      <w:pPr>
        <w:spacing w:line="360" w:lineRule="auto"/>
        <w:rPr>
          <w:rFonts w:ascii="宋体"/>
        </w:rPr>
      </w:pPr>
      <w:r>
        <w:rPr>
          <w:rFonts w:ascii="宋体" w:hAnsi="宋体"/>
        </w:rPr>
        <w:t xml:space="preserve">     </w:t>
      </w:r>
    </w:p>
    <w:p>
      <w:pPr>
        <w:spacing w:line="360" w:lineRule="auto"/>
        <w:rPr>
          <w:rFonts w:ascii="宋体"/>
        </w:rPr>
      </w:pP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spacing w:line="360" w:lineRule="auto"/>
        <w:rPr>
          <w:rFonts w:ascii="宋体"/>
        </w:rPr>
      </w:pPr>
    </w:p>
    <w:p>
      <w:pPr>
        <w:widowControl/>
        <w:spacing w:line="360" w:lineRule="auto"/>
        <w:jc w:val="left"/>
        <w:rPr>
          <w:rFonts w:ascii="宋体"/>
        </w:rPr>
        <w:sectPr>
          <w:pgSz w:w="11907" w:h="16840"/>
          <w:pgMar w:top="1191" w:right="1191" w:bottom="1191" w:left="1191" w:header="851" w:footer="851" w:gutter="0"/>
          <w:cols w:space="720" w:num="1"/>
        </w:sectPr>
      </w:pPr>
    </w:p>
    <w:p>
      <w:pPr>
        <w:pStyle w:val="4"/>
      </w:pPr>
      <w:r>
        <w:rPr>
          <w:rFonts w:hint="eastAsia"/>
        </w:rPr>
        <w:t>二、开标一览表（格式）</w:t>
      </w:r>
    </w:p>
    <w:p>
      <w:pPr>
        <w:rPr>
          <w:rFonts w:ascii="宋体" w:cs="宋体"/>
          <w:b/>
          <w:szCs w:val="21"/>
        </w:rPr>
      </w:pPr>
    </w:p>
    <w:p>
      <w:pPr>
        <w:rPr>
          <w:rFonts w:ascii="宋体" w:cs="宋体"/>
          <w:b/>
          <w:szCs w:val="21"/>
        </w:rPr>
      </w:pPr>
    </w:p>
    <w:p>
      <w:pPr>
        <w:rPr>
          <w:rFonts w:ascii="宋体" w:cs="宋体"/>
          <w:b/>
          <w:szCs w:val="21"/>
          <w:u w:val="single"/>
        </w:rPr>
      </w:pPr>
      <w:r>
        <w:rPr>
          <w:rFonts w:hint="eastAsia" w:ascii="宋体" w:hAnsi="宋体" w:cs="宋体"/>
          <w:b/>
          <w:szCs w:val="21"/>
        </w:rPr>
        <w:t>投标人名称</w:t>
      </w:r>
      <w:r>
        <w:rPr>
          <w:rFonts w:ascii="宋体" w:hAnsi="宋体" w:cs="宋体"/>
          <w:b/>
          <w:szCs w:val="21"/>
        </w:rPr>
        <w:t>:</w:t>
      </w:r>
      <w:r>
        <w:rPr>
          <w:rFonts w:ascii="宋体" w:hAnsi="宋体" w:cs="宋体"/>
          <w:b/>
          <w:szCs w:val="21"/>
          <w:u w:val="single"/>
        </w:rPr>
        <w:t xml:space="preserve">          </w:t>
      </w:r>
    </w:p>
    <w:tbl>
      <w:tblPr>
        <w:tblStyle w:val="2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910" w:type="dxa"/>
            <w:tcBorders>
              <w:top w:val="double" w:color="auto" w:sz="4" w:space="0"/>
              <w:left w:val="double" w:color="auto" w:sz="4" w:space="0"/>
            </w:tcBorders>
            <w:vAlign w:val="center"/>
          </w:tcPr>
          <w:p>
            <w:pPr>
              <w:jc w:val="center"/>
              <w:rPr>
                <w:rFonts w:ascii="宋体"/>
                <w:szCs w:val="18"/>
              </w:rPr>
            </w:pPr>
            <w:r>
              <w:rPr>
                <w:rFonts w:hint="eastAsia" w:ascii="宋体" w:hAnsi="宋体"/>
                <w:szCs w:val="18"/>
              </w:rPr>
              <w:t>项目名称</w:t>
            </w:r>
          </w:p>
        </w:tc>
        <w:tc>
          <w:tcPr>
            <w:tcW w:w="6658" w:type="dxa"/>
            <w:tcBorders>
              <w:top w:val="double" w:color="auto" w:sz="4" w:space="0"/>
              <w:right w:val="double" w:color="auto" w:sz="4" w:space="0"/>
            </w:tcBorders>
            <w:vAlign w:val="center"/>
          </w:tcPr>
          <w:p>
            <w:pPr>
              <w:rPr>
                <w:rFonts w:asci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left w:val="double" w:color="auto" w:sz="4" w:space="0"/>
            </w:tcBorders>
            <w:vAlign w:val="center"/>
          </w:tcPr>
          <w:p>
            <w:pPr>
              <w:jc w:val="center"/>
              <w:rPr>
                <w:rFonts w:ascii="宋体"/>
                <w:szCs w:val="18"/>
              </w:rPr>
            </w:pPr>
            <w:r>
              <w:rPr>
                <w:rFonts w:hint="eastAsia" w:ascii="宋体" w:hAnsi="宋体"/>
                <w:szCs w:val="18"/>
              </w:rPr>
              <w:t>投标报价</w:t>
            </w:r>
            <w:r>
              <w:rPr>
                <w:rFonts w:ascii="宋体" w:hAnsi="宋体"/>
                <w:szCs w:val="18"/>
              </w:rPr>
              <w:t xml:space="preserve">  </w:t>
            </w:r>
          </w:p>
        </w:tc>
        <w:tc>
          <w:tcPr>
            <w:tcW w:w="6658" w:type="dxa"/>
            <w:tcBorders>
              <w:right w:val="double" w:color="auto" w:sz="4" w:space="0"/>
            </w:tcBorders>
            <w:vAlign w:val="center"/>
          </w:tcPr>
          <w:p>
            <w:pPr>
              <w:rPr>
                <w:rFonts w:ascii="宋体"/>
                <w:color w:val="FF0000"/>
                <w:szCs w:val="18"/>
              </w:rPr>
            </w:pPr>
            <w:r>
              <w:rPr>
                <w:rFonts w:hint="eastAsia" w:ascii="宋体" w:hAnsi="宋体"/>
                <w:color w:val="FF0000"/>
                <w:szCs w:val="18"/>
              </w:rPr>
              <w:t>人民币大写（元）</w:t>
            </w:r>
            <w:r>
              <w:rPr>
                <w:rFonts w:ascii="宋体" w:hAnsi="宋体"/>
                <w:color w:val="FF0000"/>
                <w:szCs w:val="18"/>
              </w:rPr>
              <w:t>:</w:t>
            </w:r>
          </w:p>
          <w:p>
            <w:pPr>
              <w:rPr>
                <w:rFonts w:ascii="宋体"/>
                <w:szCs w:val="18"/>
              </w:rPr>
            </w:pPr>
            <w:r>
              <w:rPr>
                <w:rFonts w:hint="eastAsia" w:ascii="宋体" w:hAnsi="宋体"/>
                <w:color w:val="FF0000"/>
                <w:szCs w:val="18"/>
              </w:rPr>
              <w:t>人民币小写（元）</w:t>
            </w:r>
            <w:r>
              <w:rPr>
                <w:rFonts w:ascii="宋体" w:hAnsi="宋体"/>
                <w:color w:val="FF0000"/>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left w:val="double" w:color="auto" w:sz="4" w:space="0"/>
            </w:tcBorders>
            <w:vAlign w:val="center"/>
          </w:tcPr>
          <w:p>
            <w:pPr>
              <w:jc w:val="center"/>
              <w:rPr>
                <w:rFonts w:ascii="宋体"/>
                <w:szCs w:val="18"/>
              </w:rPr>
            </w:pPr>
            <w:r>
              <w:rPr>
                <w:rFonts w:hint="eastAsia" w:ascii="宋体" w:hAnsi="宋体"/>
                <w:szCs w:val="18"/>
              </w:rPr>
              <w:t>服务期</w:t>
            </w:r>
            <w:r>
              <w:rPr>
                <w:rFonts w:ascii="宋体" w:hAnsi="宋体"/>
                <w:szCs w:val="18"/>
              </w:rPr>
              <w:t>(</w:t>
            </w:r>
            <w:r>
              <w:rPr>
                <w:rFonts w:hint="eastAsia" w:ascii="宋体" w:hAnsi="宋体"/>
                <w:szCs w:val="18"/>
              </w:rPr>
              <w:t>工期</w:t>
            </w:r>
            <w:r>
              <w:rPr>
                <w:rFonts w:ascii="宋体" w:hAnsi="宋体"/>
                <w:szCs w:val="18"/>
              </w:rPr>
              <w:t>)</w:t>
            </w:r>
          </w:p>
        </w:tc>
        <w:tc>
          <w:tcPr>
            <w:tcW w:w="6658" w:type="dxa"/>
            <w:tcBorders>
              <w:right w:val="double" w:color="auto" w:sz="4" w:space="0"/>
            </w:tcBorders>
            <w:vAlign w:val="center"/>
          </w:tcPr>
          <w:p>
            <w:pPr>
              <w:rPr>
                <w:rFonts w:ascii="宋体"/>
                <w:color w:val="FF0000"/>
                <w:szCs w:val="18"/>
              </w:rPr>
            </w:pPr>
            <w:r>
              <w:rPr>
                <w:rFonts w:hint="eastAsia" w:ascii="宋体" w:hAnsi="宋体"/>
                <w:color w:val="FF0000"/>
                <w:szCs w:val="18"/>
              </w:rPr>
              <w:t>合同签订之日起</w:t>
            </w:r>
            <w:r>
              <w:rPr>
                <w:rFonts w:ascii="宋体" w:hAnsi="宋体"/>
                <w:color w:val="FF0000"/>
                <w:szCs w:val="18"/>
              </w:rPr>
              <w:t xml:space="preserve"> </w:t>
            </w:r>
            <w:r>
              <w:rPr>
                <w:rFonts w:ascii="宋体" w:hAnsi="宋体"/>
                <w:color w:val="FF0000"/>
                <w:szCs w:val="18"/>
                <w:u w:val="single"/>
              </w:rPr>
              <w:t xml:space="preserve">    </w:t>
            </w:r>
            <w:r>
              <w:rPr>
                <w:rFonts w:ascii="宋体" w:hAnsi="宋体"/>
                <w:color w:val="FF0000"/>
                <w:szCs w:val="18"/>
              </w:rPr>
              <w:t xml:space="preserve"> </w:t>
            </w:r>
            <w:r>
              <w:rPr>
                <w:rFonts w:hint="eastAsia" w:ascii="宋体" w:hAnsi="宋体"/>
                <w:color w:val="FF0000"/>
                <w:szCs w:val="18"/>
              </w:rPr>
              <w:t>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10" w:type="dxa"/>
            <w:tcBorders>
              <w:left w:val="double" w:color="auto" w:sz="4" w:space="0"/>
              <w:bottom w:val="double" w:color="auto" w:sz="4" w:space="0"/>
            </w:tcBorders>
            <w:vAlign w:val="center"/>
          </w:tcPr>
          <w:p>
            <w:pPr>
              <w:jc w:val="center"/>
              <w:rPr>
                <w:rFonts w:ascii="宋体"/>
                <w:szCs w:val="18"/>
              </w:rPr>
            </w:pPr>
            <w:r>
              <w:rPr>
                <w:rFonts w:hint="eastAsia" w:ascii="宋体" w:hAnsi="宋体"/>
                <w:szCs w:val="18"/>
              </w:rPr>
              <w:t>备注</w:t>
            </w:r>
          </w:p>
        </w:tc>
        <w:tc>
          <w:tcPr>
            <w:tcW w:w="6658" w:type="dxa"/>
            <w:tcBorders>
              <w:bottom w:val="double" w:color="auto" w:sz="4" w:space="0"/>
              <w:right w:val="double" w:color="auto" w:sz="4" w:space="0"/>
            </w:tcBorders>
            <w:vAlign w:val="center"/>
          </w:tcPr>
          <w:p>
            <w:pPr>
              <w:rPr>
                <w:rFonts w:ascii="宋体"/>
                <w:szCs w:val="18"/>
              </w:rPr>
            </w:pPr>
            <w:r>
              <w:rPr>
                <w:rFonts w:ascii="宋体" w:hAnsi="宋体"/>
                <w:szCs w:val="18"/>
              </w:rPr>
              <w:t xml:space="preserve">    </w:t>
            </w:r>
          </w:p>
        </w:tc>
      </w:tr>
    </w:tbl>
    <w:p>
      <w:pPr>
        <w:autoSpaceDE w:val="0"/>
        <w:autoSpaceDN w:val="0"/>
        <w:adjustRightInd w:val="0"/>
        <w:jc w:val="left"/>
        <w:rPr>
          <w:rFonts w:ascii="宋体" w:cs="仿宋_GB2312"/>
          <w:b/>
          <w:kern w:val="0"/>
          <w:szCs w:val="21"/>
        </w:rPr>
      </w:pPr>
    </w:p>
    <w:p>
      <w:pPr>
        <w:autoSpaceDE w:val="0"/>
        <w:autoSpaceDN w:val="0"/>
        <w:adjustRightInd w:val="0"/>
        <w:jc w:val="left"/>
        <w:rPr>
          <w:rFonts w:ascii="宋体" w:cs="仿宋_GB2312"/>
          <w:szCs w:val="21"/>
        </w:rPr>
      </w:pPr>
      <w:r>
        <w:rPr>
          <w:rFonts w:hint="eastAsia" w:ascii="宋体" w:hAnsi="宋体" w:cs="仿宋_GB2312"/>
          <w:b/>
          <w:kern w:val="0"/>
          <w:szCs w:val="21"/>
        </w:rPr>
        <w:t>注</w:t>
      </w:r>
      <w:r>
        <w:rPr>
          <w:rFonts w:hint="eastAsia" w:ascii="宋体" w:hAnsi="宋体" w:cs="仿宋_GB2312"/>
          <w:kern w:val="0"/>
          <w:szCs w:val="21"/>
        </w:rPr>
        <w:t>：</w:t>
      </w:r>
      <w:r>
        <w:rPr>
          <w:rFonts w:ascii="宋体" w:hAnsi="宋体" w:cs="仿宋_GB2312"/>
          <w:kern w:val="0"/>
          <w:szCs w:val="21"/>
        </w:rPr>
        <w:t>1</w:t>
      </w:r>
      <w:r>
        <w:rPr>
          <w:rFonts w:hint="eastAsia" w:ascii="宋体" w:hAnsi="宋体" w:cs="仿宋_GB2312"/>
          <w:kern w:val="0"/>
          <w:szCs w:val="21"/>
        </w:rPr>
        <w:t>、</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autoSpaceDE w:val="0"/>
        <w:autoSpaceDN w:val="0"/>
        <w:adjustRightInd w:val="0"/>
        <w:jc w:val="left"/>
        <w:rPr>
          <w:rFonts w:ascii="宋体" w:cs="仿宋_GB2312"/>
          <w:szCs w:val="21"/>
        </w:rPr>
      </w:pPr>
    </w:p>
    <w:p>
      <w:pPr>
        <w:autoSpaceDE w:val="0"/>
        <w:autoSpaceDN w:val="0"/>
        <w:adjustRightInd w:val="0"/>
        <w:ind w:firstLine="420" w:firstLineChars="200"/>
        <w:jc w:val="left"/>
        <w:rPr>
          <w:rFonts w:ascii="宋体"/>
          <w:szCs w:val="18"/>
        </w:rPr>
      </w:pPr>
    </w:p>
    <w:p>
      <w:pPr>
        <w:autoSpaceDE w:val="0"/>
        <w:autoSpaceDN w:val="0"/>
        <w:adjustRightInd w:val="0"/>
        <w:ind w:firstLine="420" w:firstLineChars="200"/>
        <w:jc w:val="left"/>
        <w:rPr>
          <w:rFonts w:ascii="宋体"/>
          <w:szCs w:val="18"/>
        </w:rPr>
      </w:pPr>
    </w:p>
    <w:p>
      <w:pPr>
        <w:autoSpaceDE w:val="0"/>
        <w:autoSpaceDN w:val="0"/>
        <w:adjustRightInd w:val="0"/>
        <w:ind w:firstLine="420" w:firstLineChars="200"/>
        <w:jc w:val="left"/>
        <w:rPr>
          <w:rFonts w:ascii="宋体"/>
          <w:szCs w:val="18"/>
        </w:rPr>
      </w:pPr>
      <w:r>
        <w:rPr>
          <w:rFonts w:hint="eastAsia" w:ascii="宋体" w:hAnsi="宋体"/>
          <w:szCs w:val="18"/>
        </w:rPr>
        <w:t>法定代表人（签字或印章）：</w:t>
      </w:r>
      <w:r>
        <w:rPr>
          <w:rFonts w:ascii="宋体" w:hAnsi="宋体"/>
          <w:szCs w:val="18"/>
        </w:rPr>
        <w:t xml:space="preserve">          </w:t>
      </w:r>
    </w:p>
    <w:p>
      <w:pPr>
        <w:autoSpaceDE w:val="0"/>
        <w:autoSpaceDN w:val="0"/>
        <w:adjustRightInd w:val="0"/>
        <w:jc w:val="left"/>
        <w:rPr>
          <w:rFonts w:ascii="宋体"/>
          <w:szCs w:val="18"/>
        </w:rPr>
      </w:pPr>
      <w:r>
        <w:rPr>
          <w:rFonts w:ascii="宋体" w:hAnsi="宋体"/>
          <w:szCs w:val="18"/>
        </w:rPr>
        <w:t xml:space="preserve">                                    </w:t>
      </w:r>
    </w:p>
    <w:p>
      <w:pPr>
        <w:autoSpaceDE w:val="0"/>
        <w:autoSpaceDN w:val="0"/>
        <w:adjustRightInd w:val="0"/>
        <w:ind w:firstLine="420" w:firstLineChars="200"/>
        <w:jc w:val="left"/>
        <w:rPr>
          <w:rFonts w:ascii="宋体"/>
          <w:szCs w:val="18"/>
        </w:rPr>
      </w:pPr>
      <w:r>
        <w:rPr>
          <w:rFonts w:hint="eastAsia" w:ascii="宋体" w:hAnsi="宋体"/>
          <w:szCs w:val="18"/>
        </w:rPr>
        <w:t>供应商</w:t>
      </w:r>
      <w:r>
        <w:rPr>
          <w:rFonts w:ascii="宋体" w:hAnsi="宋体"/>
          <w:szCs w:val="18"/>
        </w:rPr>
        <w:t>(</w:t>
      </w:r>
      <w:r>
        <w:rPr>
          <w:rFonts w:hint="eastAsia" w:ascii="宋体" w:hAnsi="宋体"/>
          <w:szCs w:val="18"/>
        </w:rPr>
        <w:t>盖单位公章</w:t>
      </w:r>
      <w:r>
        <w:rPr>
          <w:rFonts w:ascii="宋体" w:hAnsi="宋体"/>
          <w:szCs w:val="18"/>
        </w:rPr>
        <w:t>)</w:t>
      </w:r>
      <w:r>
        <w:rPr>
          <w:rFonts w:hint="eastAsia" w:ascii="宋体" w:hAnsi="宋体"/>
          <w:szCs w:val="18"/>
        </w:rPr>
        <w:t>：</w:t>
      </w:r>
      <w:r>
        <w:rPr>
          <w:rFonts w:ascii="宋体" w:hAnsi="宋体"/>
          <w:szCs w:val="18"/>
        </w:rPr>
        <w:t xml:space="preserve">                 </w:t>
      </w:r>
    </w:p>
    <w:p>
      <w:pPr>
        <w:autoSpaceDE w:val="0"/>
        <w:autoSpaceDN w:val="0"/>
        <w:adjustRightInd w:val="0"/>
        <w:ind w:firstLine="840" w:firstLineChars="400"/>
        <w:jc w:val="left"/>
        <w:rPr>
          <w:rFonts w:ascii="宋体"/>
          <w:szCs w:val="18"/>
        </w:rPr>
      </w:pPr>
      <w:r>
        <w:rPr>
          <w:rFonts w:ascii="宋体" w:hAnsi="宋体"/>
          <w:szCs w:val="18"/>
        </w:rPr>
        <w:t xml:space="preserve">                              </w:t>
      </w:r>
    </w:p>
    <w:p>
      <w:pPr>
        <w:autoSpaceDE w:val="0"/>
        <w:autoSpaceDN w:val="0"/>
        <w:adjustRightInd w:val="0"/>
        <w:ind w:firstLine="840" w:firstLineChars="400"/>
        <w:jc w:val="left"/>
        <w:rPr>
          <w:rFonts w:ascii="宋体"/>
          <w:szCs w:val="18"/>
        </w:rPr>
      </w:pPr>
    </w:p>
    <w:p>
      <w:pPr>
        <w:autoSpaceDE w:val="0"/>
        <w:autoSpaceDN w:val="0"/>
        <w:adjustRightInd w:val="0"/>
        <w:ind w:firstLine="840" w:firstLineChars="400"/>
        <w:jc w:val="left"/>
        <w:rPr>
          <w:rFonts w:ascii="宋体"/>
          <w:szCs w:val="18"/>
        </w:rPr>
      </w:pPr>
    </w:p>
    <w:p>
      <w:pPr>
        <w:autoSpaceDE w:val="0"/>
        <w:autoSpaceDN w:val="0"/>
        <w:adjustRightInd w:val="0"/>
        <w:ind w:firstLine="840" w:firstLineChars="400"/>
        <w:jc w:val="left"/>
        <w:rPr>
          <w:rFonts w:ascii="宋体"/>
          <w:szCs w:val="18"/>
        </w:rPr>
      </w:pPr>
    </w:p>
    <w:p>
      <w:pPr>
        <w:autoSpaceDE w:val="0"/>
        <w:autoSpaceDN w:val="0"/>
        <w:adjustRightInd w:val="0"/>
        <w:ind w:firstLine="840" w:firstLineChars="400"/>
        <w:jc w:val="left"/>
        <w:rPr>
          <w:rFonts w:ascii="宋体"/>
          <w:szCs w:val="18"/>
        </w:rPr>
      </w:pPr>
    </w:p>
    <w:p>
      <w:pPr>
        <w:autoSpaceDE w:val="0"/>
        <w:autoSpaceDN w:val="0"/>
        <w:adjustRightInd w:val="0"/>
        <w:ind w:firstLine="5670" w:firstLineChars="2700"/>
        <w:jc w:val="left"/>
        <w:rPr>
          <w:rFonts w:ascii="宋体"/>
          <w:szCs w:val="18"/>
        </w:rPr>
        <w:sectPr>
          <w:pgSz w:w="11907" w:h="16840"/>
          <w:pgMar w:top="1191" w:right="1191" w:bottom="1191" w:left="1191" w:header="851" w:footer="851" w:gutter="0"/>
          <w:cols w:space="720" w:num="1"/>
        </w:sectPr>
      </w:pPr>
      <w:r>
        <w:rPr>
          <w:rFonts w:hint="eastAsia" w:ascii="宋体" w:hAnsi="宋体"/>
          <w:szCs w:val="18"/>
        </w:rPr>
        <w:t>年</w:t>
      </w:r>
      <w:r>
        <w:rPr>
          <w:rFonts w:ascii="宋体" w:hAnsi="宋体"/>
          <w:szCs w:val="18"/>
        </w:rPr>
        <w:t xml:space="preserve">     </w:t>
      </w:r>
      <w:r>
        <w:rPr>
          <w:rFonts w:hint="eastAsia" w:ascii="宋体" w:hAnsi="宋体"/>
          <w:szCs w:val="18"/>
        </w:rPr>
        <w:t>月</w:t>
      </w:r>
      <w:r>
        <w:rPr>
          <w:rFonts w:ascii="宋体" w:hAnsi="宋体"/>
          <w:szCs w:val="18"/>
        </w:rPr>
        <w:t xml:space="preserve">     </w:t>
      </w:r>
      <w:r>
        <w:rPr>
          <w:rFonts w:hint="eastAsia" w:ascii="宋体" w:hAnsi="宋体"/>
          <w:szCs w:val="18"/>
        </w:rPr>
        <w:t>日</w:t>
      </w:r>
      <w:r>
        <w:rPr>
          <w:rFonts w:ascii="宋体" w:hAnsi="宋体"/>
          <w:szCs w:val="18"/>
        </w:rPr>
        <w:t xml:space="preserve">     </w:t>
      </w:r>
    </w:p>
    <w:p>
      <w:pPr>
        <w:pStyle w:val="4"/>
        <w:wordWrap w:val="0"/>
        <w:rPr>
          <w:kern w:val="0"/>
        </w:rPr>
      </w:pPr>
      <w:r>
        <w:rPr>
          <w:rFonts w:hint="eastAsia"/>
          <w:kern w:val="0"/>
        </w:rPr>
        <w:t>三、投标分项报价表（格式）</w:t>
      </w:r>
    </w:p>
    <w:p>
      <w:pPr>
        <w:wordWrap w:val="0"/>
        <w:spacing w:line="360" w:lineRule="auto"/>
        <w:rPr>
          <w:rFonts w:ascii="Times New Roman" w:hAnsi="Times New Roman"/>
          <w:kern w:val="0"/>
          <w:sz w:val="36"/>
        </w:rPr>
      </w:pPr>
      <w:r>
        <w:rPr>
          <w:rFonts w:hint="eastAsia" w:ascii="Times New Roman" w:hAnsi="Times New Roman"/>
          <w:kern w:val="0"/>
          <w:szCs w:val="18"/>
        </w:rPr>
        <w:t>投标人名称：</w:t>
      </w:r>
      <w:r>
        <w:rPr>
          <w:rFonts w:ascii="Times New Roman" w:hAnsi="Times New Roman"/>
          <w:kern w:val="0"/>
          <w:szCs w:val="18"/>
          <w:u w:val="single"/>
        </w:rPr>
        <w:t xml:space="preserve">                       </w:t>
      </w:r>
      <w:r>
        <w:rPr>
          <w:rFonts w:ascii="Times New Roman" w:hAnsi="Times New Roman"/>
          <w:kern w:val="0"/>
          <w:szCs w:val="18"/>
        </w:rPr>
        <w:t xml:space="preserve">   </w:t>
      </w:r>
      <w:r>
        <w:rPr>
          <w:rFonts w:hint="eastAsia" w:ascii="Times New Roman" w:hAnsi="Times New Roman"/>
          <w:kern w:val="0"/>
          <w:szCs w:val="18"/>
        </w:rPr>
        <w:t>招标项目编号：</w:t>
      </w:r>
      <w:r>
        <w:rPr>
          <w:rFonts w:ascii="Times New Roman" w:hAnsi="Times New Roman"/>
          <w:kern w:val="0"/>
          <w:szCs w:val="18"/>
          <w:u w:val="single"/>
        </w:rPr>
        <w:t xml:space="preserve">                  </w:t>
      </w:r>
      <w:r>
        <w:rPr>
          <w:rFonts w:ascii="Times New Roman" w:hAnsi="Times New Roman"/>
          <w:kern w:val="0"/>
          <w:szCs w:val="18"/>
        </w:rPr>
        <w:t xml:space="preserve">           </w:t>
      </w:r>
    </w:p>
    <w:tbl>
      <w:tblPr>
        <w:tblStyle w:val="24"/>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序</w:t>
            </w:r>
          </w:p>
          <w:p>
            <w:pPr>
              <w:wordWrap w:val="0"/>
              <w:jc w:val="center"/>
              <w:rPr>
                <w:rFonts w:ascii="Times New Roman" w:hAnsi="Times New Roman"/>
                <w:b/>
                <w:bCs/>
                <w:kern w:val="0"/>
                <w:szCs w:val="21"/>
              </w:rPr>
            </w:pPr>
            <w:r>
              <w:rPr>
                <w:rFonts w:hint="eastAsia" w:ascii="Times New Roman" w:hAnsi="Times New Roman"/>
                <w:b/>
                <w:bCs/>
                <w:kern w:val="0"/>
                <w:szCs w:val="21"/>
              </w:rPr>
              <w:t>号</w:t>
            </w:r>
          </w:p>
        </w:tc>
        <w:tc>
          <w:tcPr>
            <w:tcW w:w="3771"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产品名称</w:t>
            </w:r>
          </w:p>
        </w:tc>
        <w:tc>
          <w:tcPr>
            <w:tcW w:w="3771"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产品品牌及规格型号</w:t>
            </w:r>
          </w:p>
        </w:tc>
        <w:tc>
          <w:tcPr>
            <w:tcW w:w="1234"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单位</w:t>
            </w:r>
          </w:p>
        </w:tc>
        <w:tc>
          <w:tcPr>
            <w:tcW w:w="1234"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数量</w:t>
            </w:r>
          </w:p>
        </w:tc>
        <w:tc>
          <w:tcPr>
            <w:tcW w:w="1446"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单价（元）</w:t>
            </w:r>
          </w:p>
        </w:tc>
        <w:tc>
          <w:tcPr>
            <w:tcW w:w="1446"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金额（元）</w:t>
            </w:r>
          </w:p>
        </w:tc>
        <w:tc>
          <w:tcPr>
            <w:tcW w:w="1026" w:type="dxa"/>
            <w:vAlign w:val="center"/>
          </w:tcPr>
          <w:p>
            <w:pPr>
              <w:wordWrap w:val="0"/>
              <w:jc w:val="center"/>
              <w:rPr>
                <w:rFonts w:ascii="Times New Roman" w:hAnsi="Times New Roman"/>
                <w:b/>
                <w:bCs/>
                <w:kern w:val="0"/>
                <w:szCs w:val="21"/>
              </w:rPr>
            </w:pPr>
            <w:r>
              <w:rPr>
                <w:rFonts w:hint="eastAsia" w:ascii="Times New Roman" w:hAnsi="Times New Roman"/>
                <w:b/>
                <w:bCs/>
                <w:kern w:val="0"/>
                <w:szCs w:val="21"/>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wordWrap w:val="0"/>
              <w:jc w:val="center"/>
              <w:rPr>
                <w:rFonts w:ascii="Times New Roman" w:hAnsi="Times New Roman"/>
                <w:kern w:val="0"/>
                <w:szCs w:val="21"/>
              </w:rPr>
            </w:pPr>
            <w:r>
              <w:rPr>
                <w:rFonts w:ascii="Times New Roman" w:hAnsi="Times New Roman"/>
                <w:kern w:val="0"/>
                <w:szCs w:val="21"/>
              </w:rPr>
              <w:t>1</w:t>
            </w:r>
          </w:p>
        </w:tc>
        <w:tc>
          <w:tcPr>
            <w:tcW w:w="3771" w:type="dxa"/>
            <w:vAlign w:val="center"/>
          </w:tcPr>
          <w:p>
            <w:pPr>
              <w:wordWrap w:val="0"/>
              <w:jc w:val="center"/>
              <w:rPr>
                <w:rFonts w:ascii="Times New Roman" w:hAnsi="Times New Roman"/>
                <w:kern w:val="0"/>
                <w:szCs w:val="21"/>
              </w:rPr>
            </w:pPr>
          </w:p>
        </w:tc>
        <w:tc>
          <w:tcPr>
            <w:tcW w:w="3771" w:type="dxa"/>
            <w:vAlign w:val="center"/>
          </w:tcPr>
          <w:p>
            <w:pPr>
              <w:wordWrap w:val="0"/>
              <w:jc w:val="center"/>
              <w:rPr>
                <w:rFonts w:ascii="Times New Roman" w:hAnsi="Times New Roman"/>
                <w:kern w:val="0"/>
                <w:szCs w:val="21"/>
              </w:rPr>
            </w:pPr>
          </w:p>
        </w:tc>
        <w:tc>
          <w:tcPr>
            <w:tcW w:w="1234" w:type="dxa"/>
            <w:vAlign w:val="center"/>
          </w:tcPr>
          <w:p>
            <w:pPr>
              <w:wordWrap w:val="0"/>
              <w:jc w:val="center"/>
              <w:rPr>
                <w:rFonts w:ascii="Times New Roman" w:hAnsi="Times New Roman"/>
                <w:kern w:val="0"/>
                <w:szCs w:val="21"/>
              </w:rPr>
            </w:pPr>
          </w:p>
        </w:tc>
        <w:tc>
          <w:tcPr>
            <w:tcW w:w="1234" w:type="dxa"/>
            <w:vAlign w:val="center"/>
          </w:tcPr>
          <w:p>
            <w:pPr>
              <w:wordWrap w:val="0"/>
              <w:jc w:val="center"/>
              <w:rPr>
                <w:rFonts w:ascii="Times New Roman" w:hAnsi="Times New Roman"/>
                <w:kern w:val="0"/>
                <w:szCs w:val="21"/>
              </w:rPr>
            </w:pPr>
          </w:p>
        </w:tc>
        <w:tc>
          <w:tcPr>
            <w:tcW w:w="1446" w:type="dxa"/>
            <w:vAlign w:val="center"/>
          </w:tcPr>
          <w:p>
            <w:pPr>
              <w:wordWrap w:val="0"/>
              <w:jc w:val="center"/>
              <w:rPr>
                <w:rFonts w:ascii="Times New Roman" w:hAnsi="Times New Roman"/>
                <w:kern w:val="0"/>
                <w:szCs w:val="21"/>
              </w:rPr>
            </w:pPr>
          </w:p>
        </w:tc>
        <w:tc>
          <w:tcPr>
            <w:tcW w:w="1446" w:type="dxa"/>
            <w:vAlign w:val="center"/>
          </w:tcPr>
          <w:p>
            <w:pPr>
              <w:wordWrap w:val="0"/>
              <w:jc w:val="center"/>
              <w:rPr>
                <w:rFonts w:ascii="Times New Roman" w:hAnsi="Times New Roman"/>
                <w:kern w:val="0"/>
                <w:szCs w:val="21"/>
              </w:rPr>
            </w:pPr>
          </w:p>
        </w:tc>
        <w:tc>
          <w:tcPr>
            <w:tcW w:w="1026" w:type="dxa"/>
            <w:vMerge w:val="restart"/>
            <w:vAlign w:val="center"/>
          </w:tcPr>
          <w:p>
            <w:pPr>
              <w:wordWrap w:val="0"/>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wordWrap w:val="0"/>
              <w:jc w:val="center"/>
              <w:rPr>
                <w:rFonts w:ascii="Times New Roman" w:hAnsi="Times New Roman"/>
                <w:kern w:val="0"/>
                <w:szCs w:val="21"/>
              </w:rPr>
            </w:pPr>
            <w:r>
              <w:rPr>
                <w:rFonts w:hint="eastAsia" w:ascii="Times New Roman" w:hAnsi="Times New Roman"/>
                <w:kern w:val="0"/>
                <w:szCs w:val="21"/>
              </w:rPr>
              <w:t>合计</w:t>
            </w:r>
          </w:p>
        </w:tc>
        <w:tc>
          <w:tcPr>
            <w:tcW w:w="3771" w:type="dxa"/>
            <w:vAlign w:val="center"/>
          </w:tcPr>
          <w:p>
            <w:pPr>
              <w:wordWrap w:val="0"/>
              <w:jc w:val="center"/>
              <w:rPr>
                <w:rFonts w:ascii="Times New Roman" w:hAnsi="Times New Roman"/>
                <w:kern w:val="0"/>
                <w:szCs w:val="21"/>
              </w:rPr>
            </w:pPr>
          </w:p>
        </w:tc>
        <w:tc>
          <w:tcPr>
            <w:tcW w:w="1234" w:type="dxa"/>
            <w:vAlign w:val="center"/>
          </w:tcPr>
          <w:p>
            <w:pPr>
              <w:wordWrap w:val="0"/>
              <w:jc w:val="center"/>
              <w:rPr>
                <w:rFonts w:ascii="Times New Roman" w:hAnsi="Times New Roman"/>
                <w:kern w:val="0"/>
                <w:szCs w:val="21"/>
              </w:rPr>
            </w:pPr>
          </w:p>
        </w:tc>
        <w:tc>
          <w:tcPr>
            <w:tcW w:w="1234" w:type="dxa"/>
            <w:vAlign w:val="center"/>
          </w:tcPr>
          <w:p>
            <w:pPr>
              <w:wordWrap w:val="0"/>
              <w:jc w:val="center"/>
              <w:rPr>
                <w:rFonts w:ascii="Times New Roman" w:hAnsi="Times New Roman"/>
                <w:kern w:val="0"/>
                <w:szCs w:val="21"/>
              </w:rPr>
            </w:pPr>
          </w:p>
        </w:tc>
        <w:tc>
          <w:tcPr>
            <w:tcW w:w="1446" w:type="dxa"/>
            <w:vAlign w:val="center"/>
          </w:tcPr>
          <w:p>
            <w:pPr>
              <w:wordWrap w:val="0"/>
              <w:jc w:val="center"/>
              <w:rPr>
                <w:rFonts w:ascii="Times New Roman" w:hAnsi="Times New Roman"/>
                <w:kern w:val="0"/>
                <w:szCs w:val="21"/>
              </w:rPr>
            </w:pPr>
          </w:p>
        </w:tc>
        <w:tc>
          <w:tcPr>
            <w:tcW w:w="1446" w:type="dxa"/>
            <w:vAlign w:val="center"/>
          </w:tcPr>
          <w:p>
            <w:pPr>
              <w:wordWrap w:val="0"/>
              <w:jc w:val="center"/>
              <w:rPr>
                <w:rFonts w:ascii="Times New Roman" w:hAnsi="Times New Roman"/>
                <w:kern w:val="0"/>
                <w:szCs w:val="21"/>
              </w:rPr>
            </w:pPr>
          </w:p>
        </w:tc>
        <w:tc>
          <w:tcPr>
            <w:tcW w:w="1026" w:type="dxa"/>
            <w:vMerge w:val="continue"/>
            <w:vAlign w:val="center"/>
          </w:tcPr>
          <w:p>
            <w:pPr>
              <w:wordWrap w:val="0"/>
              <w:jc w:val="center"/>
              <w:rPr>
                <w:rFonts w:ascii="Times New Roman" w:hAnsi="Times New Roman"/>
                <w:kern w:val="0"/>
                <w:szCs w:val="21"/>
              </w:rPr>
            </w:pPr>
          </w:p>
        </w:tc>
      </w:tr>
    </w:tbl>
    <w:p>
      <w:pPr>
        <w:wordWrap w:val="0"/>
        <w:rPr>
          <w:rFonts w:ascii="Times New Roman" w:hAnsi="Times New Roman"/>
          <w:kern w:val="0"/>
        </w:rPr>
      </w:pPr>
    </w:p>
    <w:p>
      <w:pPr>
        <w:wordWrap w:val="0"/>
        <w:spacing w:line="300" w:lineRule="auto"/>
        <w:rPr>
          <w:rFonts w:ascii="Times New Roman" w:hAnsi="Times New Roman"/>
          <w:kern w:val="0"/>
          <w:szCs w:val="21"/>
          <w:u w:val="single"/>
        </w:rPr>
      </w:pPr>
      <w:r>
        <w:rPr>
          <w:rFonts w:hint="eastAsia" w:ascii="Times New Roman" w:hAnsi="Times New Roman"/>
          <w:kern w:val="0"/>
          <w:szCs w:val="21"/>
        </w:rPr>
        <w:t>投标人（盖单位</w:t>
      </w:r>
      <w:r>
        <w:rPr>
          <w:rFonts w:hint="eastAsia" w:ascii="Times New Roman" w:hAnsi="Times New Roman"/>
          <w:kern w:val="0"/>
        </w:rPr>
        <w:t>章</w:t>
      </w:r>
      <w:r>
        <w:rPr>
          <w:rFonts w:hint="eastAsia" w:ascii="Times New Roman" w:hAnsi="Times New Roman"/>
          <w:kern w:val="0"/>
          <w:szCs w:val="21"/>
        </w:rPr>
        <w:t>）</w:t>
      </w:r>
      <w:r>
        <w:rPr>
          <w:rFonts w:ascii="Times New Roman" w:hAnsi="Times New Roman"/>
          <w:kern w:val="0"/>
          <w:szCs w:val="21"/>
          <w:u w:val="single"/>
        </w:rPr>
        <w:t xml:space="preserve">                                               </w:t>
      </w:r>
    </w:p>
    <w:p>
      <w:pPr>
        <w:wordWrap w:val="0"/>
        <w:spacing w:line="300" w:lineRule="auto"/>
        <w:rPr>
          <w:rFonts w:ascii="Times New Roman" w:hAnsi="Times New Roman"/>
          <w:kern w:val="0"/>
          <w:szCs w:val="21"/>
        </w:rPr>
      </w:pPr>
    </w:p>
    <w:p>
      <w:pPr>
        <w:wordWrap w:val="0"/>
        <w:spacing w:line="300" w:lineRule="auto"/>
        <w:rPr>
          <w:rFonts w:ascii="Times New Roman" w:hAnsi="Times New Roman"/>
          <w:kern w:val="0"/>
          <w:szCs w:val="21"/>
          <w:u w:val="single"/>
        </w:rPr>
      </w:pPr>
      <w:r>
        <w:rPr>
          <w:rFonts w:hint="eastAsia" w:ascii="Times New Roman" w:hAnsi="Times New Roman"/>
          <w:kern w:val="0"/>
          <w:szCs w:val="21"/>
        </w:rPr>
        <w:t>法定代表人（签字或盖</w:t>
      </w:r>
      <w:r>
        <w:rPr>
          <w:rFonts w:hint="eastAsia" w:ascii="Times New Roman" w:hAnsi="Times New Roman"/>
          <w:kern w:val="0"/>
        </w:rPr>
        <w:t>章</w:t>
      </w:r>
      <w:r>
        <w:rPr>
          <w:rFonts w:hint="eastAsia" w:ascii="Times New Roman" w:hAnsi="Times New Roman"/>
          <w:kern w:val="0"/>
          <w:szCs w:val="21"/>
        </w:rPr>
        <w:t>）</w:t>
      </w:r>
      <w:r>
        <w:rPr>
          <w:rFonts w:ascii="Times New Roman" w:hAnsi="Times New Roman"/>
          <w:kern w:val="0"/>
          <w:szCs w:val="21"/>
          <w:u w:val="single"/>
        </w:rPr>
        <w:t xml:space="preserve">                                   </w:t>
      </w:r>
    </w:p>
    <w:p>
      <w:pPr>
        <w:wordWrap w:val="0"/>
        <w:spacing w:line="300" w:lineRule="auto"/>
        <w:rPr>
          <w:rFonts w:ascii="Times New Roman" w:hAnsi="Times New Roman"/>
          <w:kern w:val="0"/>
        </w:rPr>
      </w:pPr>
      <w:r>
        <w:rPr>
          <w:rFonts w:ascii="Times New Roman" w:hAnsi="Times New Roman"/>
          <w:kern w:val="0"/>
          <w:sz w:val="24"/>
          <w:szCs w:val="24"/>
        </w:rPr>
        <w:t xml:space="preserve"> </w:t>
      </w:r>
    </w:p>
    <w:p>
      <w:pPr>
        <w:wordWrap w:val="0"/>
        <w:spacing w:line="360" w:lineRule="exact"/>
        <w:ind w:left="31680" w:hanging="420" w:hangingChars="200"/>
        <w:rPr>
          <w:rFonts w:ascii="Times New Roman" w:hAnsi="Times New Roman"/>
          <w:kern w:val="0"/>
        </w:rPr>
      </w:pPr>
      <w:r>
        <w:rPr>
          <w:rFonts w:hint="eastAsia" w:ascii="Times New Roman" w:hAnsi="Times New Roman"/>
          <w:kern w:val="0"/>
        </w:rPr>
        <w:t>注：</w:t>
      </w:r>
      <w:r>
        <w:rPr>
          <w:rFonts w:ascii="Times New Roman" w:hAnsi="Times New Roman"/>
          <w:kern w:val="0"/>
        </w:rPr>
        <w:t>1.</w:t>
      </w:r>
      <w:r>
        <w:rPr>
          <w:rFonts w:hint="eastAsia" w:ascii="Times New Roman" w:hAnsi="Times New Roman"/>
          <w:kern w:val="0"/>
        </w:rPr>
        <w:t>如果按单价计算的结果与总价不一致，以单价为准修正总价。</w:t>
      </w:r>
      <w:r>
        <w:rPr>
          <w:rFonts w:ascii="Times New Roman" w:hAnsi="Times New Roman"/>
          <w:kern w:val="0"/>
        </w:rPr>
        <w:br w:type="textWrapping"/>
      </w:r>
      <w:r>
        <w:rPr>
          <w:rFonts w:ascii="Times New Roman" w:hAnsi="Times New Roman"/>
          <w:kern w:val="0"/>
        </w:rPr>
        <w:t>2.</w:t>
      </w:r>
      <w:r>
        <w:rPr>
          <w:rFonts w:hint="eastAsia" w:ascii="Times New Roman" w:hAnsi="Times New Roman"/>
          <w:color w:val="FF0000"/>
          <w:kern w:val="0"/>
        </w:rPr>
        <w:t>如果不提供详细分项报价将视为没有实质性响应招标文件。</w:t>
      </w:r>
      <w:r>
        <w:rPr>
          <w:rFonts w:ascii="Times New Roman" w:hAnsi="Times New Roman"/>
          <w:color w:val="FF0000"/>
          <w:kern w:val="0"/>
        </w:rPr>
        <w:br w:type="textWrapping"/>
      </w:r>
      <w:r>
        <w:rPr>
          <w:rFonts w:ascii="Times New Roman" w:hAnsi="Times New Roman"/>
          <w:kern w:val="0"/>
        </w:rPr>
        <w:t>3.</w:t>
      </w:r>
      <w:r>
        <w:rPr>
          <w:rFonts w:hint="eastAsia" w:ascii="Times New Roman" w:hAnsi="Times New Roman"/>
          <w:kern w:val="0"/>
        </w:rPr>
        <w:t>上述单价为综合单价，应包含一切税费。</w:t>
      </w:r>
    </w:p>
    <w:p>
      <w:pPr>
        <w:wordWrap w:val="0"/>
        <w:spacing w:line="360" w:lineRule="exact"/>
        <w:ind w:firstLine="411" w:firstLineChars="196"/>
        <w:rPr>
          <w:rFonts w:ascii="Times New Roman" w:hAnsi="Times New Roman"/>
          <w:kern w:val="0"/>
        </w:rPr>
      </w:pPr>
      <w:r>
        <w:rPr>
          <w:rFonts w:ascii="Times New Roman" w:hAnsi="Times New Roman"/>
          <w:kern w:val="0"/>
        </w:rPr>
        <w:t>4.</w:t>
      </w:r>
      <w:r>
        <w:rPr>
          <w:rFonts w:hint="eastAsia" w:ascii="Times New Roman" w:hAnsi="Times New Roman"/>
          <w:kern w:val="0"/>
        </w:rPr>
        <w:t>投标人根据项目实际填写，表中单项，项目招标要求不涉及的可留空或自行调整。</w:t>
      </w:r>
    </w:p>
    <w:p>
      <w:pPr>
        <w:wordWrap w:val="0"/>
        <w:spacing w:line="360" w:lineRule="exact"/>
        <w:ind w:firstLine="411" w:firstLineChars="196"/>
        <w:rPr>
          <w:rFonts w:ascii="Times New Roman" w:hAnsi="Times New Roman"/>
          <w:kern w:val="0"/>
        </w:rPr>
        <w:sectPr>
          <w:headerReference r:id="rId3" w:type="default"/>
          <w:pgSz w:w="16840" w:h="11907" w:orient="landscape"/>
          <w:pgMar w:top="1191" w:right="1191" w:bottom="1191" w:left="1191" w:header="851" w:footer="851" w:gutter="0"/>
          <w:pgNumType w:fmt="numberInDash"/>
          <w:cols w:space="720" w:num="1"/>
          <w:docGrid w:linePitch="312" w:charSpace="0"/>
        </w:sectPr>
      </w:pPr>
      <w:r>
        <w:rPr>
          <w:rFonts w:ascii="Times New Roman" w:hAnsi="Times New Roman"/>
          <w:kern w:val="0"/>
        </w:rPr>
        <w:t>5.</w:t>
      </w:r>
      <w:r>
        <w:rPr>
          <w:rFonts w:hint="eastAsia" w:ascii="Times New Roman" w:hAnsi="Times New Roman"/>
          <w:kern w:val="0"/>
        </w:rPr>
        <w:t>表格不够可以自行加页；具体配置请投标人填写完全，没有填写完全的则按无此配置评标。</w:t>
      </w:r>
    </w:p>
    <w:p>
      <w:pPr>
        <w:wordWrap w:val="0"/>
        <w:spacing w:line="360" w:lineRule="exact"/>
        <w:jc w:val="left"/>
        <w:rPr>
          <w:rFonts w:ascii="Times New Roman" w:hAnsi="Times New Roman"/>
          <w:kern w:val="0"/>
          <w:sz w:val="24"/>
          <w:szCs w:val="24"/>
        </w:rPr>
      </w:pPr>
    </w:p>
    <w:p>
      <w:pPr>
        <w:pStyle w:val="4"/>
        <w:wordWrap w:val="0"/>
        <w:rPr>
          <w:kern w:val="0"/>
        </w:rPr>
      </w:pPr>
      <w:r>
        <w:rPr>
          <w:rFonts w:hint="eastAsia"/>
          <w:kern w:val="0"/>
        </w:rPr>
        <w:t>四、规格响应表（格式）</w:t>
      </w:r>
    </w:p>
    <w:p>
      <w:pPr>
        <w:wordWrap w:val="0"/>
        <w:spacing w:line="360" w:lineRule="auto"/>
        <w:rPr>
          <w:rFonts w:ascii="Times New Roman" w:hAnsi="Times New Roman"/>
          <w:kern w:val="0"/>
          <w:sz w:val="36"/>
        </w:rPr>
      </w:pPr>
      <w:r>
        <w:rPr>
          <w:rFonts w:hint="eastAsia" w:ascii="Times New Roman" w:hAnsi="Times New Roman"/>
          <w:kern w:val="0"/>
          <w:szCs w:val="18"/>
        </w:rPr>
        <w:t>投标人名称：</w:t>
      </w:r>
      <w:r>
        <w:rPr>
          <w:rFonts w:ascii="Times New Roman" w:hAnsi="Times New Roman"/>
          <w:kern w:val="0"/>
          <w:szCs w:val="18"/>
          <w:u w:val="single"/>
        </w:rPr>
        <w:t xml:space="preserve">                       </w:t>
      </w:r>
      <w:r>
        <w:rPr>
          <w:rFonts w:ascii="Times New Roman" w:hAnsi="Times New Roman"/>
          <w:kern w:val="0"/>
          <w:szCs w:val="18"/>
        </w:rPr>
        <w:t xml:space="preserve">   </w:t>
      </w:r>
      <w:r>
        <w:rPr>
          <w:rFonts w:hint="eastAsia" w:ascii="Times New Roman" w:hAnsi="Times New Roman"/>
          <w:kern w:val="0"/>
          <w:szCs w:val="18"/>
        </w:rPr>
        <w:t>招标项目编号：</w:t>
      </w:r>
      <w:r>
        <w:rPr>
          <w:rFonts w:ascii="Times New Roman" w:hAnsi="Times New Roman"/>
          <w:kern w:val="0"/>
          <w:szCs w:val="18"/>
          <w:u w:val="single"/>
        </w:rPr>
        <w:t xml:space="preserve">                  </w:t>
      </w:r>
      <w:r>
        <w:rPr>
          <w:rFonts w:ascii="Times New Roman" w:hAnsi="Times New Roman"/>
          <w:kern w:val="0"/>
          <w:szCs w:val="18"/>
        </w:rPr>
        <w:t xml:space="preserve">  </w:t>
      </w:r>
      <w:r>
        <w:rPr>
          <w:rFonts w:ascii="Times New Roman" w:hAnsi="Times New Roman"/>
          <w:color w:val="FF0000"/>
          <w:kern w:val="0"/>
          <w:szCs w:val="18"/>
        </w:rPr>
        <w:t xml:space="preserve"> </w:t>
      </w:r>
      <w:r>
        <w:rPr>
          <w:rFonts w:ascii="Times New Roman" w:hAnsi="Times New Roman"/>
          <w:kern w:val="0"/>
          <w:szCs w:val="18"/>
        </w:rPr>
        <w:t xml:space="preserve"> </w:t>
      </w:r>
    </w:p>
    <w:tbl>
      <w:tblPr>
        <w:tblStyle w:val="24"/>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321"/>
        <w:gridCol w:w="1322"/>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double" w:color="auto" w:sz="4" w:space="0"/>
              <w:left w:val="single" w:color="auto" w:sz="4" w:space="0"/>
            </w:tcBorders>
            <w:vAlign w:val="center"/>
          </w:tcPr>
          <w:p>
            <w:pPr>
              <w:wordWrap w:val="0"/>
              <w:spacing w:line="360" w:lineRule="exact"/>
              <w:jc w:val="center"/>
              <w:rPr>
                <w:rFonts w:ascii="Times New Roman" w:hAnsi="Times New Roman"/>
                <w:b/>
                <w:bCs/>
                <w:kern w:val="0"/>
              </w:rPr>
            </w:pPr>
            <w:r>
              <w:rPr>
                <w:rFonts w:hint="eastAsia" w:ascii="Times New Roman" w:hAnsi="Times New Roman"/>
                <w:b/>
                <w:bCs/>
                <w:kern w:val="0"/>
              </w:rPr>
              <w:t>序号</w:t>
            </w:r>
          </w:p>
        </w:tc>
        <w:tc>
          <w:tcPr>
            <w:tcW w:w="1321" w:type="dxa"/>
            <w:vMerge w:val="restart"/>
            <w:tcBorders>
              <w:top w:val="double" w:color="auto" w:sz="4" w:space="0"/>
            </w:tcBorders>
            <w:vAlign w:val="center"/>
          </w:tcPr>
          <w:p>
            <w:pPr>
              <w:wordWrap w:val="0"/>
              <w:spacing w:line="360" w:lineRule="exact"/>
              <w:jc w:val="center"/>
              <w:rPr>
                <w:rFonts w:ascii="Times New Roman" w:hAnsi="Times New Roman"/>
                <w:b/>
                <w:bCs/>
                <w:kern w:val="0"/>
              </w:rPr>
            </w:pPr>
            <w:r>
              <w:rPr>
                <w:rFonts w:hint="eastAsia" w:ascii="Times New Roman" w:hAnsi="Times New Roman"/>
                <w:b/>
                <w:bCs/>
                <w:kern w:val="0"/>
              </w:rPr>
              <w:t>货物名称</w:t>
            </w:r>
          </w:p>
        </w:tc>
        <w:tc>
          <w:tcPr>
            <w:tcW w:w="1322" w:type="dxa"/>
            <w:vMerge w:val="restart"/>
            <w:tcBorders>
              <w:top w:val="double" w:color="auto" w:sz="4" w:space="0"/>
            </w:tcBorders>
            <w:vAlign w:val="center"/>
          </w:tcPr>
          <w:p>
            <w:pPr>
              <w:wordWrap w:val="0"/>
              <w:spacing w:line="360" w:lineRule="exact"/>
              <w:jc w:val="center"/>
              <w:rPr>
                <w:rFonts w:ascii="Times New Roman" w:hAnsi="Times New Roman" w:eastAsia="Times New Roman"/>
                <w:b/>
                <w:bCs/>
                <w:kern w:val="0"/>
              </w:rPr>
            </w:pPr>
            <w:r>
              <w:rPr>
                <w:rFonts w:hint="eastAsia" w:ascii="Times New Roman" w:hAnsi="Times New Roman"/>
                <w:b/>
                <w:bCs/>
                <w:kern w:val="0"/>
              </w:rPr>
              <w:t>品牌及型号</w:t>
            </w:r>
          </w:p>
        </w:tc>
        <w:tc>
          <w:tcPr>
            <w:tcW w:w="5103" w:type="dxa"/>
            <w:gridSpan w:val="2"/>
            <w:tcBorders>
              <w:top w:val="double" w:color="auto" w:sz="4" w:space="0"/>
            </w:tcBorders>
          </w:tcPr>
          <w:p>
            <w:pPr>
              <w:wordWrap w:val="0"/>
              <w:spacing w:line="360" w:lineRule="exact"/>
              <w:jc w:val="center"/>
              <w:rPr>
                <w:rFonts w:ascii="Times New Roman" w:hAnsi="Times New Roman"/>
                <w:b/>
                <w:bCs/>
                <w:kern w:val="0"/>
              </w:rPr>
            </w:pPr>
            <w:r>
              <w:rPr>
                <w:rFonts w:hint="eastAsia" w:ascii="Times New Roman" w:hAnsi="Times New Roman"/>
                <w:b/>
                <w:bCs/>
                <w:color w:val="FF0000"/>
                <w:kern w:val="0"/>
              </w:rPr>
              <w:t>招标文件</w:t>
            </w:r>
            <w:r>
              <w:rPr>
                <w:rFonts w:hint="eastAsia" w:ascii="Times New Roman" w:hAnsi="Times New Roman"/>
                <w:b/>
                <w:bCs/>
                <w:kern w:val="0"/>
              </w:rPr>
              <w:t>要求部分</w:t>
            </w:r>
          </w:p>
        </w:tc>
        <w:tc>
          <w:tcPr>
            <w:tcW w:w="5103" w:type="dxa"/>
            <w:gridSpan w:val="2"/>
            <w:tcBorders>
              <w:top w:val="double" w:color="auto" w:sz="4" w:space="0"/>
            </w:tcBorders>
          </w:tcPr>
          <w:p>
            <w:pPr>
              <w:wordWrap w:val="0"/>
              <w:spacing w:line="360" w:lineRule="exact"/>
              <w:jc w:val="center"/>
              <w:rPr>
                <w:rFonts w:ascii="Times New Roman" w:hAnsi="Times New Roman"/>
                <w:b/>
                <w:bCs/>
                <w:color w:val="FF0000"/>
                <w:kern w:val="0"/>
              </w:rPr>
            </w:pPr>
            <w:r>
              <w:rPr>
                <w:rFonts w:hint="eastAsia" w:ascii="Times New Roman" w:hAnsi="Times New Roman"/>
                <w:b/>
                <w:bCs/>
                <w:color w:val="FF0000"/>
                <w:kern w:val="0"/>
              </w:rPr>
              <w:t>投标文件响应部分</w:t>
            </w:r>
          </w:p>
        </w:tc>
        <w:tc>
          <w:tcPr>
            <w:tcW w:w="1494" w:type="dxa"/>
            <w:vMerge w:val="restart"/>
            <w:tcBorders>
              <w:top w:val="double" w:color="auto" w:sz="4" w:space="0"/>
              <w:right w:val="single" w:color="auto" w:sz="4" w:space="0"/>
            </w:tcBorders>
            <w:vAlign w:val="center"/>
          </w:tcPr>
          <w:p>
            <w:pPr>
              <w:wordWrap w:val="0"/>
              <w:spacing w:line="360" w:lineRule="exact"/>
              <w:jc w:val="center"/>
              <w:rPr>
                <w:rFonts w:ascii="Times New Roman" w:hAnsi="Times New Roman"/>
                <w:kern w:val="0"/>
              </w:rPr>
            </w:pPr>
            <w:r>
              <w:rPr>
                <w:rFonts w:hint="eastAsia" w:ascii="Times New Roman" w:hAnsi="Times New Roman"/>
                <w:b/>
                <w:bCs/>
                <w:kern w:val="0"/>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25" w:type="dxa"/>
            <w:vMerge w:val="continue"/>
            <w:tcBorders>
              <w:left w:val="single" w:color="auto" w:sz="4" w:space="0"/>
            </w:tcBorders>
          </w:tcPr>
          <w:p>
            <w:pPr>
              <w:wordWrap w:val="0"/>
              <w:spacing w:line="360" w:lineRule="exact"/>
              <w:jc w:val="center"/>
              <w:rPr>
                <w:rFonts w:ascii="Times New Roman" w:hAnsi="Times New Roman"/>
                <w:b/>
                <w:bCs/>
                <w:kern w:val="0"/>
              </w:rPr>
            </w:pPr>
          </w:p>
        </w:tc>
        <w:tc>
          <w:tcPr>
            <w:tcW w:w="1321" w:type="dxa"/>
            <w:vMerge w:val="continue"/>
          </w:tcPr>
          <w:p>
            <w:pPr>
              <w:wordWrap w:val="0"/>
              <w:spacing w:line="360" w:lineRule="exact"/>
              <w:jc w:val="center"/>
              <w:rPr>
                <w:rFonts w:ascii="Times New Roman" w:hAnsi="Times New Roman"/>
                <w:b/>
                <w:bCs/>
                <w:kern w:val="0"/>
              </w:rPr>
            </w:pPr>
          </w:p>
        </w:tc>
        <w:tc>
          <w:tcPr>
            <w:tcW w:w="1322" w:type="dxa"/>
            <w:vMerge w:val="continue"/>
          </w:tcPr>
          <w:p>
            <w:pPr>
              <w:wordWrap w:val="0"/>
              <w:spacing w:line="360" w:lineRule="exact"/>
              <w:jc w:val="center"/>
              <w:rPr>
                <w:rFonts w:ascii="Times New Roman" w:hAnsi="Times New Roman"/>
                <w:b/>
                <w:bCs/>
                <w:kern w:val="0"/>
              </w:rPr>
            </w:pPr>
          </w:p>
        </w:tc>
        <w:tc>
          <w:tcPr>
            <w:tcW w:w="3402" w:type="dxa"/>
            <w:vAlign w:val="center"/>
          </w:tcPr>
          <w:p>
            <w:pPr>
              <w:wordWrap w:val="0"/>
              <w:spacing w:line="360" w:lineRule="exact"/>
              <w:jc w:val="center"/>
              <w:rPr>
                <w:rFonts w:ascii="Times New Roman" w:hAnsi="Times New Roman"/>
                <w:b/>
                <w:bCs/>
                <w:kern w:val="0"/>
              </w:rPr>
            </w:pPr>
            <w:r>
              <w:rPr>
                <w:rFonts w:hint="eastAsia" w:ascii="Times New Roman" w:hAnsi="Times New Roman"/>
                <w:b/>
                <w:bCs/>
                <w:kern w:val="0"/>
              </w:rPr>
              <w:t>技术参数</w:t>
            </w:r>
          </w:p>
        </w:tc>
        <w:tc>
          <w:tcPr>
            <w:tcW w:w="1701" w:type="dxa"/>
          </w:tcPr>
          <w:p>
            <w:pPr>
              <w:wordWrap w:val="0"/>
              <w:spacing w:line="360" w:lineRule="exact"/>
              <w:jc w:val="center"/>
              <w:rPr>
                <w:rFonts w:ascii="Times New Roman" w:hAnsi="Times New Roman"/>
                <w:b/>
                <w:bCs/>
                <w:kern w:val="0"/>
              </w:rPr>
            </w:pPr>
            <w:r>
              <w:rPr>
                <w:rFonts w:hint="eastAsia" w:ascii="Times New Roman" w:hAnsi="Times New Roman"/>
                <w:b/>
                <w:bCs/>
                <w:kern w:val="0"/>
              </w:rPr>
              <w:t>数量</w:t>
            </w:r>
          </w:p>
        </w:tc>
        <w:tc>
          <w:tcPr>
            <w:tcW w:w="3402" w:type="dxa"/>
            <w:vAlign w:val="center"/>
          </w:tcPr>
          <w:p>
            <w:pPr>
              <w:wordWrap w:val="0"/>
              <w:spacing w:line="360" w:lineRule="exact"/>
              <w:jc w:val="center"/>
              <w:rPr>
                <w:rFonts w:ascii="Times New Roman" w:hAnsi="Times New Roman"/>
                <w:b/>
                <w:bCs/>
                <w:kern w:val="0"/>
              </w:rPr>
            </w:pPr>
            <w:r>
              <w:rPr>
                <w:rFonts w:hint="eastAsia" w:ascii="Times New Roman" w:hAnsi="Times New Roman"/>
                <w:b/>
                <w:bCs/>
                <w:kern w:val="0"/>
              </w:rPr>
              <w:t>技术参数</w:t>
            </w:r>
          </w:p>
        </w:tc>
        <w:tc>
          <w:tcPr>
            <w:tcW w:w="1701" w:type="dxa"/>
          </w:tcPr>
          <w:p>
            <w:pPr>
              <w:wordWrap w:val="0"/>
              <w:spacing w:line="360" w:lineRule="exact"/>
              <w:jc w:val="center"/>
              <w:rPr>
                <w:rFonts w:ascii="Times New Roman" w:hAnsi="Times New Roman"/>
                <w:b/>
                <w:bCs/>
                <w:kern w:val="0"/>
              </w:rPr>
            </w:pPr>
            <w:r>
              <w:rPr>
                <w:rFonts w:hint="eastAsia" w:ascii="Times New Roman" w:hAnsi="Times New Roman"/>
                <w:b/>
                <w:bCs/>
                <w:kern w:val="0"/>
              </w:rPr>
              <w:t>数量</w:t>
            </w:r>
          </w:p>
        </w:tc>
        <w:tc>
          <w:tcPr>
            <w:tcW w:w="1494" w:type="dxa"/>
            <w:vMerge w:val="continue"/>
            <w:tcBorders>
              <w:right w:val="single" w:color="auto" w:sz="4" w:space="0"/>
            </w:tcBorders>
          </w:tcPr>
          <w:p>
            <w:pPr>
              <w:wordWrap w:val="0"/>
              <w:spacing w:line="360" w:lineRule="exact"/>
              <w:jc w:val="center"/>
              <w:rPr>
                <w:rFonts w:ascii="Times New Roman" w:hAnsi="Times New Roman"/>
                <w:kern w:val="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bottom w:val="double" w:color="auto" w:sz="4" w:space="0"/>
            </w:tcBorders>
            <w:vAlign w:val="center"/>
          </w:tcPr>
          <w:p>
            <w:pPr>
              <w:wordWrap w:val="0"/>
              <w:spacing w:line="360" w:lineRule="exact"/>
              <w:jc w:val="center"/>
              <w:rPr>
                <w:rFonts w:ascii="Times New Roman" w:hAnsi="Times New Roman"/>
                <w:kern w:val="0"/>
              </w:rPr>
            </w:pPr>
            <w:r>
              <w:rPr>
                <w:rFonts w:ascii="Times New Roman" w:hAnsi="Times New Roman"/>
                <w:kern w:val="0"/>
              </w:rPr>
              <w:t>1</w:t>
            </w:r>
          </w:p>
        </w:tc>
        <w:tc>
          <w:tcPr>
            <w:tcW w:w="1321" w:type="dxa"/>
            <w:tcBorders>
              <w:bottom w:val="double" w:color="auto" w:sz="4" w:space="0"/>
            </w:tcBorders>
            <w:vAlign w:val="center"/>
          </w:tcPr>
          <w:p>
            <w:pPr>
              <w:wordWrap w:val="0"/>
              <w:spacing w:line="360" w:lineRule="exact"/>
              <w:jc w:val="center"/>
              <w:rPr>
                <w:rFonts w:ascii="Times New Roman" w:hAnsi="Times New Roman"/>
                <w:kern w:val="0"/>
              </w:rPr>
            </w:pPr>
          </w:p>
        </w:tc>
        <w:tc>
          <w:tcPr>
            <w:tcW w:w="1322" w:type="dxa"/>
            <w:tcBorders>
              <w:bottom w:val="double" w:color="auto" w:sz="4" w:space="0"/>
            </w:tcBorders>
            <w:vAlign w:val="center"/>
          </w:tcPr>
          <w:p>
            <w:pPr>
              <w:wordWrap w:val="0"/>
              <w:spacing w:line="360" w:lineRule="exact"/>
              <w:jc w:val="center"/>
              <w:rPr>
                <w:rFonts w:ascii="Times New Roman" w:hAnsi="Times New Roman"/>
                <w:kern w:val="0"/>
              </w:rPr>
            </w:pPr>
          </w:p>
        </w:tc>
        <w:tc>
          <w:tcPr>
            <w:tcW w:w="3402" w:type="dxa"/>
            <w:tcBorders>
              <w:bottom w:val="double" w:color="auto" w:sz="4" w:space="0"/>
            </w:tcBorders>
            <w:vAlign w:val="center"/>
          </w:tcPr>
          <w:p>
            <w:pPr>
              <w:wordWrap w:val="0"/>
              <w:spacing w:line="360" w:lineRule="exact"/>
              <w:jc w:val="center"/>
              <w:rPr>
                <w:rFonts w:ascii="Times New Roman" w:hAnsi="Times New Roman"/>
                <w:kern w:val="0"/>
              </w:rPr>
            </w:pPr>
          </w:p>
        </w:tc>
        <w:tc>
          <w:tcPr>
            <w:tcW w:w="1701" w:type="dxa"/>
            <w:tcBorders>
              <w:bottom w:val="double" w:color="auto" w:sz="4" w:space="0"/>
            </w:tcBorders>
            <w:vAlign w:val="center"/>
          </w:tcPr>
          <w:p>
            <w:pPr>
              <w:wordWrap w:val="0"/>
              <w:spacing w:line="360" w:lineRule="exact"/>
              <w:jc w:val="center"/>
              <w:rPr>
                <w:rFonts w:ascii="Times New Roman" w:hAnsi="Times New Roman"/>
                <w:kern w:val="0"/>
              </w:rPr>
            </w:pPr>
          </w:p>
        </w:tc>
        <w:tc>
          <w:tcPr>
            <w:tcW w:w="3402" w:type="dxa"/>
            <w:tcBorders>
              <w:bottom w:val="double" w:color="auto" w:sz="4" w:space="0"/>
            </w:tcBorders>
          </w:tcPr>
          <w:p>
            <w:pPr>
              <w:wordWrap w:val="0"/>
              <w:spacing w:line="360" w:lineRule="exact"/>
              <w:jc w:val="center"/>
              <w:rPr>
                <w:rFonts w:ascii="Times New Roman" w:hAnsi="Times New Roman"/>
                <w:kern w:val="0"/>
              </w:rPr>
            </w:pPr>
          </w:p>
        </w:tc>
        <w:tc>
          <w:tcPr>
            <w:tcW w:w="1701" w:type="dxa"/>
            <w:tcBorders>
              <w:bottom w:val="double" w:color="auto" w:sz="4" w:space="0"/>
            </w:tcBorders>
          </w:tcPr>
          <w:p>
            <w:pPr>
              <w:wordWrap w:val="0"/>
              <w:spacing w:line="360" w:lineRule="exact"/>
              <w:jc w:val="center"/>
              <w:rPr>
                <w:rFonts w:ascii="Times New Roman" w:hAnsi="Times New Roman"/>
                <w:kern w:val="0"/>
              </w:rPr>
            </w:pPr>
          </w:p>
        </w:tc>
        <w:tc>
          <w:tcPr>
            <w:tcW w:w="1494" w:type="dxa"/>
            <w:tcBorders>
              <w:bottom w:val="double" w:color="auto" w:sz="4" w:space="0"/>
              <w:right w:val="single" w:color="auto" w:sz="4" w:space="0"/>
            </w:tcBorders>
          </w:tcPr>
          <w:p>
            <w:pPr>
              <w:wordWrap w:val="0"/>
              <w:spacing w:line="360" w:lineRule="exact"/>
              <w:jc w:val="center"/>
              <w:rPr>
                <w:rFonts w:ascii="Times New Roman" w:hAnsi="Times New Roman"/>
                <w:kern w:val="0"/>
              </w:rPr>
            </w:pPr>
          </w:p>
        </w:tc>
      </w:tr>
    </w:tbl>
    <w:p>
      <w:pPr>
        <w:wordWrap w:val="0"/>
        <w:spacing w:line="300" w:lineRule="auto"/>
        <w:jc w:val="center"/>
        <w:rPr>
          <w:rFonts w:ascii="Times New Roman" w:hAnsi="Times New Roman"/>
          <w:kern w:val="0"/>
        </w:rPr>
      </w:pPr>
    </w:p>
    <w:p>
      <w:pPr>
        <w:wordWrap w:val="0"/>
        <w:spacing w:line="300" w:lineRule="auto"/>
        <w:rPr>
          <w:rFonts w:ascii="Times New Roman" w:hAnsi="Times New Roman"/>
          <w:kern w:val="0"/>
          <w:szCs w:val="21"/>
        </w:rPr>
      </w:pPr>
      <w:r>
        <w:rPr>
          <w:rFonts w:hint="eastAsia" w:ascii="Times New Roman" w:hAnsi="Times New Roman"/>
          <w:kern w:val="0"/>
          <w:szCs w:val="21"/>
        </w:rPr>
        <w:t>投标人（盖单位</w:t>
      </w:r>
      <w:r>
        <w:rPr>
          <w:rFonts w:hint="eastAsia" w:ascii="Times New Roman" w:hAnsi="Times New Roman"/>
          <w:kern w:val="0"/>
        </w:rPr>
        <w:t>章</w:t>
      </w:r>
      <w:r>
        <w:rPr>
          <w:rFonts w:hint="eastAsia" w:ascii="Times New Roman" w:hAnsi="Times New Roman"/>
          <w:kern w:val="0"/>
          <w:szCs w:val="21"/>
        </w:rPr>
        <w:t>）</w:t>
      </w:r>
      <w:r>
        <w:rPr>
          <w:rFonts w:ascii="Times New Roman" w:hAnsi="Times New Roman"/>
          <w:kern w:val="0"/>
          <w:szCs w:val="18"/>
          <w:u w:val="single"/>
        </w:rPr>
        <w:t xml:space="preserve">                               </w:t>
      </w:r>
      <w:r>
        <w:rPr>
          <w:rFonts w:ascii="Times New Roman" w:hAnsi="Times New Roman"/>
          <w:kern w:val="0"/>
          <w:szCs w:val="18"/>
        </w:rPr>
        <w:t xml:space="preserve"> </w:t>
      </w:r>
    </w:p>
    <w:p>
      <w:pPr>
        <w:wordWrap w:val="0"/>
        <w:spacing w:line="300" w:lineRule="auto"/>
        <w:rPr>
          <w:rFonts w:ascii="Times New Roman" w:hAnsi="Times New Roman"/>
          <w:kern w:val="0"/>
          <w:szCs w:val="21"/>
        </w:rPr>
      </w:pPr>
    </w:p>
    <w:p>
      <w:pPr>
        <w:wordWrap w:val="0"/>
        <w:spacing w:line="300" w:lineRule="auto"/>
        <w:rPr>
          <w:rFonts w:ascii="Times New Roman" w:hAnsi="Times New Roman"/>
          <w:kern w:val="0"/>
        </w:rPr>
      </w:pPr>
      <w:r>
        <w:rPr>
          <w:rFonts w:hint="eastAsia" w:ascii="Times New Roman" w:hAnsi="Times New Roman"/>
          <w:kern w:val="0"/>
          <w:szCs w:val="21"/>
        </w:rPr>
        <w:t>法定代表人（签字或盖</w:t>
      </w:r>
      <w:r>
        <w:rPr>
          <w:rFonts w:hint="eastAsia" w:ascii="Times New Roman" w:hAnsi="Times New Roman"/>
          <w:kern w:val="0"/>
        </w:rPr>
        <w:t>章</w:t>
      </w:r>
      <w:r>
        <w:rPr>
          <w:rFonts w:hint="eastAsia" w:ascii="Times New Roman" w:hAnsi="Times New Roman"/>
          <w:kern w:val="0"/>
          <w:szCs w:val="21"/>
        </w:rPr>
        <w:t>）</w:t>
      </w:r>
      <w:r>
        <w:rPr>
          <w:rFonts w:ascii="Times New Roman" w:hAnsi="Times New Roman"/>
          <w:kern w:val="0"/>
          <w:szCs w:val="18"/>
          <w:u w:val="single"/>
        </w:rPr>
        <w:t xml:space="preserve">                       </w:t>
      </w:r>
      <w:r>
        <w:rPr>
          <w:rFonts w:ascii="Times New Roman" w:hAnsi="Times New Roman"/>
          <w:kern w:val="0"/>
          <w:szCs w:val="18"/>
        </w:rPr>
        <w:t xml:space="preserve"> </w:t>
      </w:r>
    </w:p>
    <w:p>
      <w:pPr>
        <w:wordWrap w:val="0"/>
        <w:spacing w:line="300" w:lineRule="auto"/>
        <w:rPr>
          <w:rFonts w:ascii="Times New Roman" w:hAnsi="Times New Roman"/>
          <w:kern w:val="0"/>
        </w:rPr>
      </w:pPr>
    </w:p>
    <w:p>
      <w:pPr>
        <w:wordWrap w:val="0"/>
        <w:spacing w:line="360" w:lineRule="exact"/>
        <w:rPr>
          <w:rFonts w:ascii="Times New Roman" w:hAnsi="Times New Roman"/>
          <w:kern w:val="0"/>
        </w:rPr>
      </w:pPr>
      <w:r>
        <w:rPr>
          <w:rFonts w:hint="eastAsia" w:ascii="Times New Roman" w:hAnsi="Times New Roman"/>
          <w:kern w:val="0"/>
        </w:rPr>
        <w:t>注：</w:t>
      </w:r>
      <w:r>
        <w:rPr>
          <w:rFonts w:ascii="Times New Roman" w:hAnsi="Times New Roman"/>
          <w:kern w:val="0"/>
        </w:rPr>
        <w:t>1</w:t>
      </w:r>
      <w:r>
        <w:rPr>
          <w:rFonts w:hint="eastAsia" w:ascii="Times New Roman" w:hAnsi="Times New Roman"/>
          <w:kern w:val="0"/>
        </w:rPr>
        <w:t>、本表填写时，</w:t>
      </w:r>
      <w:r>
        <w:rPr>
          <w:rFonts w:hint="eastAsia" w:ascii="Times New Roman" w:hAnsi="Times New Roman"/>
          <w:b/>
          <w:bCs/>
          <w:kern w:val="0"/>
        </w:rPr>
        <w:t>投标货物技术参数与规格不得复制招标文件的技术参数要求</w:t>
      </w:r>
      <w:r>
        <w:rPr>
          <w:rFonts w:hint="eastAsia" w:ascii="Times New Roman" w:hAnsi="Times New Roman"/>
          <w:kern w:val="0"/>
        </w:rPr>
        <w:t>，应据实填写。</w:t>
      </w:r>
    </w:p>
    <w:p>
      <w:pPr>
        <w:wordWrap w:val="0"/>
        <w:spacing w:line="360" w:lineRule="exact"/>
        <w:ind w:firstLine="411" w:firstLineChars="196"/>
        <w:rPr>
          <w:rFonts w:ascii="Times New Roman" w:hAnsi="Times New Roman" w:eastAsia="Times New Roman"/>
          <w:kern w:val="0"/>
        </w:rPr>
        <w:sectPr>
          <w:pgSz w:w="16840" w:h="11907" w:orient="landscape"/>
          <w:pgMar w:top="1191" w:right="1191" w:bottom="1191" w:left="1191" w:header="851" w:footer="851" w:gutter="0"/>
          <w:pgNumType w:fmt="numberInDash"/>
          <w:cols w:space="720" w:num="1"/>
          <w:docGrid w:linePitch="312" w:charSpace="0"/>
        </w:sectPr>
      </w:pPr>
      <w:r>
        <w:rPr>
          <w:rFonts w:ascii="Times New Roman" w:hAnsi="Times New Roman"/>
          <w:kern w:val="0"/>
        </w:rPr>
        <w:t>2</w:t>
      </w:r>
      <w:r>
        <w:rPr>
          <w:rFonts w:hint="eastAsia" w:ascii="Times New Roman" w:hAnsi="Times New Roman"/>
          <w:kern w:val="0"/>
        </w:rPr>
        <w:t>、投标人根据项目实际填写，表中单项，项目招标要求不涉及的可留空或自行调整。</w:t>
      </w:r>
    </w:p>
    <w:p>
      <w:pPr>
        <w:spacing w:line="360" w:lineRule="exact"/>
        <w:ind w:left="31680" w:hanging="420" w:hangingChars="200"/>
      </w:pPr>
    </w:p>
    <w:p>
      <w:pPr>
        <w:pStyle w:val="4"/>
        <w:jc w:val="center"/>
      </w:pPr>
      <w:r>
        <w:rPr>
          <w:rFonts w:hint="eastAsia"/>
        </w:rPr>
        <w:t>五、拟投入本项目的工作人员汇总表（格式）</w:t>
      </w:r>
    </w:p>
    <w:p>
      <w:pPr>
        <w:spacing w:line="360" w:lineRule="auto"/>
        <w:rPr>
          <w:rFonts w:ascii="宋体"/>
          <w:sz w:val="36"/>
        </w:rPr>
      </w:pPr>
      <w:r>
        <w:rPr>
          <w:rFonts w:hint="eastAsia" w:ascii="宋体" w:hAnsi="宋体"/>
          <w:szCs w:val="18"/>
        </w:rPr>
        <w:t>投标人名称：</w:t>
      </w:r>
      <w:r>
        <w:rPr>
          <w:rFonts w:ascii="宋体" w:hAnsi="宋体"/>
          <w:szCs w:val="18"/>
        </w:rPr>
        <w:t xml:space="preserve">                          </w:t>
      </w:r>
      <w:r>
        <w:rPr>
          <w:rFonts w:hint="eastAsia" w:ascii="宋体" w:hAnsi="宋体"/>
          <w:szCs w:val="18"/>
        </w:rPr>
        <w:t>项目编号：</w:t>
      </w:r>
      <w:r>
        <w:rPr>
          <w:rFonts w:ascii="宋体" w:hAnsi="宋体"/>
          <w:szCs w:val="18"/>
        </w:rPr>
        <w:t xml:space="preserve">                   </w:t>
      </w:r>
    </w:p>
    <w:tbl>
      <w:tblPr>
        <w:tblStyle w:val="24"/>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vAlign w:val="center"/>
          </w:tcPr>
          <w:p>
            <w:pPr>
              <w:jc w:val="center"/>
              <w:rPr>
                <w:rFonts w:ascii="宋体"/>
                <w:szCs w:val="21"/>
              </w:rPr>
            </w:pPr>
            <w:r>
              <w:rPr>
                <w:rFonts w:hint="eastAsia" w:ascii="宋体" w:hAnsi="宋体"/>
                <w:szCs w:val="21"/>
              </w:rPr>
              <w:t>序号</w:t>
            </w:r>
          </w:p>
        </w:tc>
        <w:tc>
          <w:tcPr>
            <w:tcW w:w="1800" w:type="dxa"/>
            <w:vAlign w:val="center"/>
          </w:tcPr>
          <w:p>
            <w:pPr>
              <w:jc w:val="center"/>
              <w:rPr>
                <w:rFonts w:ascii="宋体"/>
                <w:szCs w:val="21"/>
              </w:rPr>
            </w:pPr>
            <w:r>
              <w:rPr>
                <w:rFonts w:hint="eastAsia" w:ascii="宋体" w:hAnsi="宋体"/>
                <w:szCs w:val="21"/>
              </w:rPr>
              <w:t>职务</w:t>
            </w:r>
          </w:p>
        </w:tc>
        <w:tc>
          <w:tcPr>
            <w:tcW w:w="1304" w:type="dxa"/>
            <w:vAlign w:val="center"/>
          </w:tcPr>
          <w:p>
            <w:pPr>
              <w:jc w:val="center"/>
              <w:rPr>
                <w:rFonts w:ascii="宋体"/>
                <w:szCs w:val="21"/>
              </w:rPr>
            </w:pPr>
            <w:r>
              <w:rPr>
                <w:rFonts w:hint="eastAsia" w:ascii="宋体" w:hAnsi="宋体"/>
                <w:szCs w:val="21"/>
              </w:rPr>
              <w:t>姓名</w:t>
            </w:r>
          </w:p>
        </w:tc>
        <w:tc>
          <w:tcPr>
            <w:tcW w:w="1304" w:type="dxa"/>
            <w:vAlign w:val="center"/>
          </w:tcPr>
          <w:p>
            <w:pPr>
              <w:jc w:val="center"/>
              <w:rPr>
                <w:rFonts w:ascii="宋体"/>
                <w:szCs w:val="21"/>
              </w:rPr>
            </w:pPr>
            <w:r>
              <w:rPr>
                <w:rFonts w:hint="eastAsia" w:ascii="宋体" w:hAnsi="宋体"/>
                <w:szCs w:val="21"/>
              </w:rPr>
              <w:t>出生年月</w:t>
            </w:r>
          </w:p>
        </w:tc>
        <w:tc>
          <w:tcPr>
            <w:tcW w:w="1304" w:type="dxa"/>
            <w:vAlign w:val="center"/>
          </w:tcPr>
          <w:p>
            <w:pPr>
              <w:jc w:val="center"/>
              <w:rPr>
                <w:rFonts w:ascii="宋体"/>
                <w:szCs w:val="21"/>
              </w:rPr>
            </w:pPr>
            <w:r>
              <w:rPr>
                <w:rFonts w:hint="eastAsia" w:ascii="宋体" w:hAnsi="宋体"/>
                <w:szCs w:val="21"/>
              </w:rPr>
              <w:t>文化程度</w:t>
            </w:r>
          </w:p>
        </w:tc>
        <w:tc>
          <w:tcPr>
            <w:tcW w:w="1304" w:type="dxa"/>
            <w:vAlign w:val="center"/>
          </w:tcPr>
          <w:p>
            <w:pPr>
              <w:jc w:val="center"/>
              <w:rPr>
                <w:rFonts w:ascii="宋体"/>
                <w:color w:val="0000FF"/>
                <w:szCs w:val="21"/>
              </w:rPr>
            </w:pPr>
            <w:r>
              <w:rPr>
                <w:rFonts w:hint="eastAsia" w:ascii="宋体" w:hAnsi="宋体"/>
                <w:color w:val="0000FF"/>
                <w:szCs w:val="21"/>
              </w:rPr>
              <w:t>资格证书（如有）</w:t>
            </w:r>
          </w:p>
        </w:tc>
        <w:tc>
          <w:tcPr>
            <w:tcW w:w="1656" w:type="dxa"/>
            <w:vAlign w:val="center"/>
          </w:tcPr>
          <w:p>
            <w:pPr>
              <w:jc w:val="center"/>
              <w:rPr>
                <w:rFonts w:ascii="宋体"/>
                <w:color w:val="0000FF"/>
                <w:szCs w:val="21"/>
              </w:rPr>
            </w:pPr>
            <w:r>
              <w:rPr>
                <w:rFonts w:hint="eastAsia" w:ascii="宋体" w:hAnsi="宋体"/>
                <w:color w:val="0000FF"/>
                <w:szCs w:val="21"/>
              </w:rPr>
              <w:t>专业技术职称</w:t>
            </w:r>
          </w:p>
          <w:p>
            <w:pPr>
              <w:jc w:val="center"/>
              <w:rPr>
                <w:rFonts w:ascii="宋体"/>
                <w:color w:val="0000FF"/>
                <w:szCs w:val="21"/>
              </w:rPr>
            </w:pPr>
            <w:r>
              <w:rPr>
                <w:rFonts w:hint="eastAsia" w:ascii="宋体" w:hAnsi="宋体"/>
                <w:color w:val="0000FF"/>
                <w:szCs w:val="21"/>
              </w:rPr>
              <w:t>（如有）</w:t>
            </w:r>
          </w:p>
          <w:p>
            <w:pPr>
              <w:jc w:val="center"/>
              <w:rPr>
                <w:rFonts w:ascii="宋体"/>
                <w:color w:val="0000FF"/>
                <w:szCs w:val="21"/>
              </w:rPr>
            </w:pPr>
            <w:r>
              <w:rPr>
                <w:rFonts w:ascii="宋体" w:hAnsi="宋体"/>
                <w:color w:val="0000FF"/>
                <w:szCs w:val="21"/>
              </w:rPr>
              <w:t>9</w:t>
            </w:r>
          </w:p>
          <w:p>
            <w:pPr>
              <w:jc w:val="center"/>
              <w:rPr>
                <w:rFonts w:ascii="宋体"/>
                <w:color w:val="0000FF"/>
                <w:szCs w:val="21"/>
              </w:rPr>
            </w:pPr>
          </w:p>
          <w:p>
            <w:pPr>
              <w:jc w:val="center"/>
              <w:rPr>
                <w:rFonts w:ascii="宋体"/>
                <w:color w:val="0000FF"/>
                <w:szCs w:val="21"/>
              </w:rPr>
            </w:pPr>
          </w:p>
          <w:p>
            <w:pPr>
              <w:jc w:val="center"/>
              <w:rPr>
                <w:rFonts w:ascii="宋体"/>
                <w:color w:val="0000FF"/>
                <w:szCs w:val="21"/>
              </w:rPr>
            </w:pPr>
          </w:p>
          <w:p>
            <w:pPr>
              <w:jc w:val="center"/>
              <w:rPr>
                <w:rFonts w:ascii="宋体"/>
                <w:color w:val="0000FF"/>
                <w:szCs w:val="21"/>
              </w:rPr>
            </w:pPr>
          </w:p>
          <w:p>
            <w:pPr>
              <w:jc w:val="center"/>
              <w:rPr>
                <w:rFonts w:ascii="宋体"/>
                <w:color w:val="0000FF"/>
                <w:szCs w:val="21"/>
              </w:rPr>
            </w:pPr>
          </w:p>
          <w:p>
            <w:pPr>
              <w:jc w:val="center"/>
              <w:rPr>
                <w:rFonts w:ascii="宋体"/>
                <w:color w:val="0000FF"/>
                <w:szCs w:val="21"/>
              </w:rPr>
            </w:pPr>
          </w:p>
          <w:p>
            <w:pPr>
              <w:jc w:val="center"/>
              <w:rPr>
                <w:rFonts w:ascii="宋体"/>
                <w:color w:val="0000FF"/>
                <w:szCs w:val="21"/>
              </w:rPr>
            </w:pPr>
            <w:r>
              <w:rPr>
                <w:rFonts w:ascii="宋体" w:hAnsi="宋体"/>
                <w:color w:val="0000FF"/>
                <w:szCs w:val="21"/>
              </w:rPr>
              <w:t>9</w:t>
            </w:r>
          </w:p>
        </w:tc>
        <w:tc>
          <w:tcPr>
            <w:tcW w:w="1768" w:type="dxa"/>
            <w:vAlign w:val="center"/>
          </w:tcPr>
          <w:p>
            <w:pPr>
              <w:jc w:val="center"/>
              <w:rPr>
                <w:rFonts w:ascii="宋体"/>
                <w:szCs w:val="21"/>
              </w:rPr>
            </w:pPr>
            <w:r>
              <w:rPr>
                <w:rFonts w:hint="eastAsia" w:ascii="宋体" w:hAnsi="宋体"/>
                <w:szCs w:val="21"/>
              </w:rPr>
              <w:t>从事该行业年限</w:t>
            </w:r>
          </w:p>
        </w:tc>
        <w:tc>
          <w:tcPr>
            <w:tcW w:w="1544" w:type="dxa"/>
            <w:vAlign w:val="center"/>
          </w:tcPr>
          <w:p>
            <w:pPr>
              <w:jc w:val="center"/>
              <w:rPr>
                <w:rFonts w:ascii="宋体"/>
                <w:szCs w:val="21"/>
              </w:rPr>
            </w:pPr>
            <w:r>
              <w:rPr>
                <w:rFonts w:hint="eastAsia" w:ascii="宋体" w:hAnsi="宋体"/>
                <w:szCs w:val="21"/>
              </w:rPr>
              <w:t>从事专业</w:t>
            </w:r>
          </w:p>
        </w:tc>
        <w:tc>
          <w:tcPr>
            <w:tcW w:w="1656" w:type="dxa"/>
            <w:vAlign w:val="center"/>
          </w:tcPr>
          <w:p>
            <w:pPr>
              <w:jc w:val="center"/>
              <w:rPr>
                <w:rFonts w:asci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vAlign w:val="center"/>
          </w:tcPr>
          <w:p>
            <w:pPr>
              <w:jc w:val="center"/>
              <w:rPr>
                <w:rFonts w:ascii="宋体"/>
                <w:szCs w:val="21"/>
              </w:rPr>
            </w:pPr>
            <w:r>
              <w:rPr>
                <w:rFonts w:ascii="宋体" w:hAnsi="宋体"/>
                <w:szCs w:val="21"/>
              </w:rPr>
              <w:t>1</w:t>
            </w: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vAlign w:val="center"/>
          </w:tcPr>
          <w:p>
            <w:pPr>
              <w:jc w:val="center"/>
              <w:rPr>
                <w:rFonts w:ascii="宋体"/>
                <w:szCs w:val="21"/>
              </w:rPr>
            </w:pPr>
            <w:r>
              <w:rPr>
                <w:rFonts w:ascii="宋体" w:hAnsi="宋体"/>
                <w:szCs w:val="21"/>
              </w:rPr>
              <w:t>2</w:t>
            </w: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vAlign w:val="center"/>
          </w:tcPr>
          <w:p>
            <w:pPr>
              <w:jc w:val="center"/>
              <w:rPr>
                <w:rFonts w:ascii="宋体"/>
                <w:szCs w:val="21"/>
              </w:rPr>
            </w:pPr>
            <w:r>
              <w:rPr>
                <w:rFonts w:ascii="宋体" w:hAnsi="宋体"/>
                <w:szCs w:val="21"/>
              </w:rPr>
              <w:t>3</w:t>
            </w: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vAlign w:val="center"/>
          </w:tcPr>
          <w:p>
            <w:pPr>
              <w:jc w:val="center"/>
              <w:rPr>
                <w:rFonts w:ascii="宋体"/>
                <w:szCs w:val="21"/>
              </w:rPr>
            </w:pPr>
            <w:r>
              <w:rPr>
                <w:rFonts w:hint="eastAsia" w:ascii="宋体" w:hAnsi="宋体"/>
                <w:szCs w:val="21"/>
              </w:rPr>
              <w:t>…</w:t>
            </w: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vAlign w:val="center"/>
          </w:tcPr>
          <w:p>
            <w:pPr>
              <w:jc w:val="center"/>
              <w:rPr>
                <w:rFonts w:ascii="宋体"/>
                <w:szCs w:val="21"/>
              </w:rPr>
            </w:pP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vAlign w:val="center"/>
          </w:tcPr>
          <w:p>
            <w:pPr>
              <w:jc w:val="center"/>
              <w:rPr>
                <w:rFonts w:ascii="宋体"/>
                <w:szCs w:val="21"/>
              </w:rPr>
            </w:pP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vAlign w:val="center"/>
          </w:tcPr>
          <w:p>
            <w:pPr>
              <w:jc w:val="center"/>
              <w:rPr>
                <w:rFonts w:ascii="宋体"/>
                <w:szCs w:val="21"/>
              </w:rPr>
            </w:pP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vAlign w:val="center"/>
          </w:tcPr>
          <w:p>
            <w:pPr>
              <w:jc w:val="center"/>
              <w:rPr>
                <w:rFonts w:ascii="宋体"/>
                <w:szCs w:val="21"/>
              </w:rPr>
            </w:pPr>
          </w:p>
        </w:tc>
        <w:tc>
          <w:tcPr>
            <w:tcW w:w="1800"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304" w:type="dxa"/>
            <w:vAlign w:val="center"/>
          </w:tcPr>
          <w:p>
            <w:pPr>
              <w:jc w:val="center"/>
              <w:rPr>
                <w:rFonts w:ascii="宋体"/>
                <w:szCs w:val="21"/>
              </w:rPr>
            </w:pPr>
          </w:p>
        </w:tc>
        <w:tc>
          <w:tcPr>
            <w:tcW w:w="1656" w:type="dxa"/>
            <w:vAlign w:val="center"/>
          </w:tcPr>
          <w:p>
            <w:pPr>
              <w:jc w:val="center"/>
              <w:rPr>
                <w:rFonts w:ascii="宋体"/>
                <w:szCs w:val="21"/>
              </w:rPr>
            </w:pPr>
          </w:p>
        </w:tc>
        <w:tc>
          <w:tcPr>
            <w:tcW w:w="1768" w:type="dxa"/>
            <w:vAlign w:val="center"/>
          </w:tcPr>
          <w:p>
            <w:pPr>
              <w:jc w:val="center"/>
              <w:rPr>
                <w:rFonts w:ascii="宋体"/>
                <w:szCs w:val="21"/>
              </w:rPr>
            </w:pPr>
          </w:p>
        </w:tc>
        <w:tc>
          <w:tcPr>
            <w:tcW w:w="1544" w:type="dxa"/>
            <w:vAlign w:val="center"/>
          </w:tcPr>
          <w:p>
            <w:pPr>
              <w:jc w:val="center"/>
              <w:rPr>
                <w:rFonts w:ascii="宋体"/>
                <w:szCs w:val="21"/>
              </w:rPr>
            </w:pPr>
          </w:p>
        </w:tc>
        <w:tc>
          <w:tcPr>
            <w:tcW w:w="1656" w:type="dxa"/>
            <w:vAlign w:val="center"/>
          </w:tcPr>
          <w:p>
            <w:pPr>
              <w:jc w:val="center"/>
              <w:rPr>
                <w:rFonts w:ascii="宋体"/>
                <w:szCs w:val="21"/>
              </w:rPr>
            </w:pPr>
          </w:p>
        </w:tc>
      </w:tr>
    </w:tbl>
    <w:p>
      <w:pPr>
        <w:jc w:val="center"/>
        <w:rPr>
          <w:rFonts w:ascii="宋体"/>
          <w:szCs w:val="21"/>
        </w:rPr>
      </w:pPr>
    </w:p>
    <w:p>
      <w:pPr>
        <w:spacing w:line="300" w:lineRule="auto"/>
        <w:rPr>
          <w:rFonts w:ascii="宋体"/>
          <w:szCs w:val="21"/>
        </w:rPr>
      </w:pPr>
      <w:r>
        <w:rPr>
          <w:rFonts w:hint="eastAsia" w:ascii="宋体" w:hAnsi="宋体"/>
          <w:szCs w:val="21"/>
        </w:rPr>
        <w:t>投标人</w:t>
      </w:r>
      <w:r>
        <w:rPr>
          <w:rFonts w:ascii="宋体" w:hAnsi="宋体"/>
          <w:szCs w:val="21"/>
        </w:rPr>
        <w:t>(</w:t>
      </w:r>
      <w:r>
        <w:rPr>
          <w:rFonts w:hint="eastAsia" w:ascii="宋体" w:hAnsi="宋体"/>
          <w:szCs w:val="21"/>
        </w:rPr>
        <w:t>盖单位公章</w:t>
      </w:r>
      <w:r>
        <w:rPr>
          <w:rFonts w:ascii="宋体" w:hAnsi="宋体"/>
          <w:szCs w:val="21"/>
        </w:rPr>
        <w:t>)</w:t>
      </w:r>
    </w:p>
    <w:p>
      <w:pPr>
        <w:spacing w:line="300" w:lineRule="auto"/>
        <w:rPr>
          <w:rFonts w:ascii="宋体"/>
          <w:szCs w:val="21"/>
        </w:rPr>
      </w:pPr>
    </w:p>
    <w:p>
      <w:pPr>
        <w:spacing w:line="300" w:lineRule="auto"/>
        <w:rPr>
          <w:rFonts w:ascii="宋体"/>
        </w:rPr>
      </w:pPr>
      <w:r>
        <w:rPr>
          <w:rFonts w:hint="eastAsia" w:ascii="宋体" w:hAnsi="宋体"/>
          <w:szCs w:val="21"/>
        </w:rPr>
        <w:t>法定代表人（签字或印章）</w:t>
      </w:r>
    </w:p>
    <w:p>
      <w:pPr>
        <w:spacing w:line="360" w:lineRule="auto"/>
        <w:rPr>
          <w:rFonts w:ascii="宋体"/>
        </w:rPr>
      </w:pPr>
    </w:p>
    <w:p>
      <w:pPr>
        <w:spacing w:line="360" w:lineRule="exact"/>
        <w:ind w:firstLine="411" w:firstLineChars="196"/>
        <w:rPr>
          <w:rFonts w:ascii="宋体"/>
        </w:rPr>
      </w:pPr>
      <w:r>
        <w:rPr>
          <w:rFonts w:hint="eastAsia" w:ascii="宋体" w:hAnsi="宋体"/>
        </w:rPr>
        <w:t>注：</w:t>
      </w:r>
      <w:r>
        <w:rPr>
          <w:rFonts w:ascii="宋体" w:hAnsi="宋体"/>
        </w:rPr>
        <w:t>1</w:t>
      </w:r>
      <w:r>
        <w:rPr>
          <w:rFonts w:hint="eastAsia" w:ascii="宋体" w:hAnsi="宋体"/>
        </w:rPr>
        <w:t>、投标人根据项目实际填写，表中单项，项目招标要求不涉及的可留空或自行调整。</w:t>
      </w:r>
    </w:p>
    <w:p>
      <w:pPr>
        <w:spacing w:line="360" w:lineRule="exact"/>
        <w:ind w:firstLine="831" w:firstLineChars="396"/>
        <w:rPr>
          <w:rFonts w:ascii="宋体"/>
        </w:rPr>
        <w:sectPr>
          <w:pgSz w:w="16840" w:h="11907" w:orient="landscape"/>
          <w:pgMar w:top="1191" w:right="1191" w:bottom="1191" w:left="1191" w:header="851" w:footer="851" w:gutter="0"/>
          <w:cols w:space="720" w:num="1"/>
        </w:sectPr>
      </w:pPr>
      <w:r>
        <w:rPr>
          <w:rFonts w:ascii="宋体" w:hAnsi="宋体"/>
        </w:rPr>
        <w:t>2</w:t>
      </w:r>
      <w:r>
        <w:rPr>
          <w:rFonts w:hint="eastAsia" w:ascii="宋体" w:hAnsi="宋体"/>
        </w:rPr>
        <w:t>、表格不够可以自行加页；具体配置请投标人填写完全，没有填写完全的则按无此配置评标</w:t>
      </w:r>
    </w:p>
    <w:p>
      <w:pPr>
        <w:pStyle w:val="4"/>
        <w:jc w:val="center"/>
      </w:pPr>
      <w:r>
        <w:rPr>
          <w:rFonts w:hint="eastAsia"/>
        </w:rPr>
        <w:t>六、投标人主要业绩一览表（格式）</w:t>
      </w:r>
    </w:p>
    <w:p>
      <w:pPr>
        <w:spacing w:line="360" w:lineRule="auto"/>
        <w:ind w:firstLine="315" w:firstLineChars="150"/>
        <w:rPr>
          <w:rFonts w:ascii="仿宋_GB2312" w:eastAsia="仿宋_GB2312"/>
          <w:sz w:val="24"/>
          <w:szCs w:val="24"/>
        </w:rPr>
      </w:pPr>
      <w:r>
        <w:rPr>
          <w:rFonts w:hint="eastAsia" w:ascii="宋体" w:hAnsi="宋体"/>
          <w:szCs w:val="18"/>
        </w:rPr>
        <w:t>投标人名称：</w:t>
      </w:r>
      <w:r>
        <w:rPr>
          <w:rFonts w:ascii="宋体" w:hAnsi="宋体"/>
          <w:szCs w:val="18"/>
        </w:rPr>
        <w:t xml:space="preserve">                     </w:t>
      </w:r>
      <w:r>
        <w:rPr>
          <w:rFonts w:hint="eastAsia" w:ascii="宋体" w:hAnsi="宋体"/>
          <w:szCs w:val="18"/>
        </w:rPr>
        <w:t>招标项目编号：</w:t>
      </w:r>
      <w:r>
        <w:rPr>
          <w:rFonts w:ascii="宋体" w:hAnsi="宋体"/>
          <w:szCs w:val="18"/>
        </w:rPr>
        <w:t xml:space="preserve">                  </w:t>
      </w:r>
    </w:p>
    <w:tbl>
      <w:tblPr>
        <w:tblStyle w:val="24"/>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721" w:type="dxa"/>
            <w:vAlign w:val="center"/>
          </w:tcPr>
          <w:p>
            <w:pPr>
              <w:jc w:val="center"/>
              <w:rPr>
                <w:rFonts w:ascii="宋体"/>
                <w:szCs w:val="18"/>
              </w:rPr>
            </w:pPr>
            <w:r>
              <w:rPr>
                <w:rFonts w:hint="eastAsia" w:ascii="宋体" w:hAnsi="宋体"/>
                <w:szCs w:val="18"/>
              </w:rPr>
              <w:t>序号</w:t>
            </w:r>
          </w:p>
        </w:tc>
        <w:tc>
          <w:tcPr>
            <w:tcW w:w="3425" w:type="dxa"/>
            <w:vAlign w:val="center"/>
          </w:tcPr>
          <w:p>
            <w:pPr>
              <w:jc w:val="center"/>
              <w:rPr>
                <w:rFonts w:ascii="宋体"/>
                <w:szCs w:val="18"/>
              </w:rPr>
            </w:pPr>
            <w:r>
              <w:rPr>
                <w:rFonts w:hint="eastAsia" w:ascii="宋体" w:hAnsi="宋体"/>
                <w:szCs w:val="18"/>
              </w:rPr>
              <w:t>项目名称</w:t>
            </w:r>
          </w:p>
        </w:tc>
        <w:tc>
          <w:tcPr>
            <w:tcW w:w="2622" w:type="dxa"/>
            <w:vAlign w:val="center"/>
          </w:tcPr>
          <w:p>
            <w:pPr>
              <w:jc w:val="center"/>
              <w:rPr>
                <w:rFonts w:ascii="宋体"/>
                <w:szCs w:val="18"/>
              </w:rPr>
            </w:pPr>
            <w:r>
              <w:rPr>
                <w:rFonts w:hint="eastAsia" w:ascii="宋体" w:hAnsi="宋体"/>
                <w:szCs w:val="18"/>
              </w:rPr>
              <w:t>委托单位</w:t>
            </w:r>
          </w:p>
        </w:tc>
        <w:tc>
          <w:tcPr>
            <w:tcW w:w="2340" w:type="dxa"/>
            <w:vAlign w:val="center"/>
          </w:tcPr>
          <w:p>
            <w:pPr>
              <w:jc w:val="center"/>
              <w:rPr>
                <w:rFonts w:ascii="宋体"/>
                <w:szCs w:val="18"/>
              </w:rPr>
            </w:pPr>
            <w:r>
              <w:rPr>
                <w:rFonts w:hint="eastAsia" w:ascii="宋体" w:hAnsi="宋体"/>
                <w:szCs w:val="18"/>
              </w:rPr>
              <w:t>合同签订时间</w:t>
            </w:r>
          </w:p>
        </w:tc>
        <w:tc>
          <w:tcPr>
            <w:tcW w:w="1836" w:type="dxa"/>
            <w:vAlign w:val="center"/>
          </w:tcPr>
          <w:p>
            <w:pPr>
              <w:jc w:val="center"/>
              <w:rPr>
                <w:rFonts w:ascii="宋体"/>
                <w:szCs w:val="18"/>
              </w:rPr>
            </w:pPr>
            <w:r>
              <w:rPr>
                <w:rFonts w:hint="eastAsia" w:ascii="宋体" w:hAnsi="宋体"/>
                <w:szCs w:val="18"/>
              </w:rPr>
              <w:t>项目所在地</w:t>
            </w:r>
            <w:r>
              <w:rPr>
                <w:rFonts w:ascii="宋体" w:hAnsi="宋体"/>
                <w:szCs w:val="18"/>
              </w:rPr>
              <w:t xml:space="preserve">   </w:t>
            </w:r>
            <w:r>
              <w:rPr>
                <w:rFonts w:hint="eastAsia" w:ascii="宋体" w:hAnsi="宋体"/>
                <w:szCs w:val="18"/>
              </w:rPr>
              <w:t>（</w:t>
            </w:r>
            <w:r>
              <w:rPr>
                <w:rFonts w:ascii="宋体" w:hAnsi="宋体"/>
                <w:szCs w:val="18"/>
              </w:rPr>
              <w:t>XX</w:t>
            </w:r>
            <w:r>
              <w:rPr>
                <w:rFonts w:hint="eastAsia" w:ascii="宋体" w:hAnsi="宋体"/>
                <w:szCs w:val="18"/>
              </w:rPr>
              <w:t>省</w:t>
            </w:r>
            <w:r>
              <w:rPr>
                <w:rFonts w:ascii="宋体" w:hAnsi="宋体"/>
                <w:szCs w:val="18"/>
              </w:rPr>
              <w:t>XX</w:t>
            </w:r>
            <w:r>
              <w:rPr>
                <w:rFonts w:hint="eastAsia" w:ascii="宋体" w:hAnsi="宋体"/>
                <w:szCs w:val="18"/>
              </w:rPr>
              <w:t>市）</w:t>
            </w:r>
          </w:p>
        </w:tc>
        <w:tc>
          <w:tcPr>
            <w:tcW w:w="1755" w:type="dxa"/>
            <w:vAlign w:val="center"/>
          </w:tcPr>
          <w:p>
            <w:pPr>
              <w:jc w:val="center"/>
              <w:rPr>
                <w:rFonts w:ascii="宋体"/>
                <w:szCs w:val="18"/>
              </w:rPr>
            </w:pPr>
            <w:r>
              <w:rPr>
                <w:rFonts w:hint="eastAsia" w:ascii="宋体" w:hAnsi="宋体"/>
                <w:szCs w:val="18"/>
              </w:rPr>
              <w:t>中标金额</w:t>
            </w:r>
            <w:r>
              <w:rPr>
                <w:rFonts w:ascii="宋体" w:hAnsi="宋体"/>
                <w:szCs w:val="18"/>
              </w:rPr>
              <w:t xml:space="preserve">    </w:t>
            </w:r>
            <w:r>
              <w:rPr>
                <w:rFonts w:hint="eastAsia" w:ascii="宋体" w:hAnsi="宋体"/>
                <w:szCs w:val="18"/>
              </w:rPr>
              <w:t>（万元）</w:t>
            </w:r>
          </w:p>
        </w:tc>
        <w:tc>
          <w:tcPr>
            <w:tcW w:w="1809" w:type="dxa"/>
            <w:vAlign w:val="center"/>
          </w:tcPr>
          <w:p>
            <w:pPr>
              <w:jc w:val="center"/>
              <w:rPr>
                <w:rFonts w:ascii="宋体"/>
                <w:szCs w:val="18"/>
              </w:rPr>
            </w:pPr>
            <w:r>
              <w:rPr>
                <w:rFonts w:hint="eastAsia" w:ascii="宋体" w:hAnsi="宋体"/>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vAlign w:val="center"/>
          </w:tcPr>
          <w:p>
            <w:pPr>
              <w:jc w:val="center"/>
              <w:rPr>
                <w:rFonts w:ascii="宋体"/>
                <w:szCs w:val="18"/>
              </w:rPr>
            </w:pPr>
            <w:r>
              <w:rPr>
                <w:rFonts w:ascii="宋体" w:hAnsi="宋体"/>
                <w:szCs w:val="18"/>
              </w:rPr>
              <w:t>1</w:t>
            </w:r>
          </w:p>
        </w:tc>
        <w:tc>
          <w:tcPr>
            <w:tcW w:w="3425" w:type="dxa"/>
            <w:vAlign w:val="center"/>
          </w:tcPr>
          <w:p>
            <w:pPr>
              <w:jc w:val="center"/>
              <w:rPr>
                <w:rFonts w:ascii="宋体"/>
                <w:szCs w:val="18"/>
              </w:rPr>
            </w:pPr>
          </w:p>
        </w:tc>
        <w:tc>
          <w:tcPr>
            <w:tcW w:w="2622" w:type="dxa"/>
            <w:vAlign w:val="center"/>
          </w:tcPr>
          <w:p>
            <w:pPr>
              <w:jc w:val="center"/>
              <w:rPr>
                <w:rFonts w:ascii="宋体"/>
                <w:szCs w:val="18"/>
              </w:rPr>
            </w:pPr>
          </w:p>
        </w:tc>
        <w:tc>
          <w:tcPr>
            <w:tcW w:w="2340" w:type="dxa"/>
            <w:vAlign w:val="center"/>
          </w:tcPr>
          <w:p>
            <w:pPr>
              <w:jc w:val="center"/>
              <w:rPr>
                <w:rFonts w:ascii="宋体"/>
                <w:szCs w:val="18"/>
              </w:rPr>
            </w:pPr>
          </w:p>
        </w:tc>
        <w:tc>
          <w:tcPr>
            <w:tcW w:w="1836" w:type="dxa"/>
            <w:vAlign w:val="center"/>
          </w:tcPr>
          <w:p>
            <w:pPr>
              <w:jc w:val="center"/>
              <w:rPr>
                <w:rFonts w:ascii="宋体"/>
                <w:szCs w:val="18"/>
              </w:rPr>
            </w:pPr>
          </w:p>
        </w:tc>
        <w:tc>
          <w:tcPr>
            <w:tcW w:w="1755" w:type="dxa"/>
            <w:vAlign w:val="center"/>
          </w:tcPr>
          <w:p>
            <w:pPr>
              <w:jc w:val="center"/>
              <w:rPr>
                <w:rFonts w:ascii="宋体"/>
                <w:szCs w:val="18"/>
              </w:rPr>
            </w:pPr>
          </w:p>
        </w:tc>
        <w:tc>
          <w:tcPr>
            <w:tcW w:w="1809" w:type="dxa"/>
            <w:vAlign w:val="center"/>
          </w:tcPr>
          <w:p>
            <w:pPr>
              <w:jc w:val="center"/>
              <w:rPr>
                <w:rFonts w:asci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vAlign w:val="center"/>
          </w:tcPr>
          <w:p>
            <w:pPr>
              <w:jc w:val="center"/>
              <w:rPr>
                <w:rFonts w:ascii="宋体"/>
                <w:szCs w:val="18"/>
              </w:rPr>
            </w:pPr>
            <w:r>
              <w:rPr>
                <w:rFonts w:ascii="宋体" w:hAnsi="宋体"/>
                <w:szCs w:val="18"/>
              </w:rPr>
              <w:t>2</w:t>
            </w:r>
          </w:p>
        </w:tc>
        <w:tc>
          <w:tcPr>
            <w:tcW w:w="3425" w:type="dxa"/>
            <w:vAlign w:val="center"/>
          </w:tcPr>
          <w:p>
            <w:pPr>
              <w:jc w:val="center"/>
              <w:rPr>
                <w:rFonts w:ascii="宋体"/>
                <w:szCs w:val="18"/>
              </w:rPr>
            </w:pPr>
          </w:p>
        </w:tc>
        <w:tc>
          <w:tcPr>
            <w:tcW w:w="2622" w:type="dxa"/>
            <w:vAlign w:val="center"/>
          </w:tcPr>
          <w:p>
            <w:pPr>
              <w:jc w:val="center"/>
              <w:rPr>
                <w:rFonts w:ascii="宋体"/>
                <w:szCs w:val="18"/>
              </w:rPr>
            </w:pPr>
          </w:p>
        </w:tc>
        <w:tc>
          <w:tcPr>
            <w:tcW w:w="2340" w:type="dxa"/>
            <w:vAlign w:val="center"/>
          </w:tcPr>
          <w:p>
            <w:pPr>
              <w:jc w:val="center"/>
              <w:rPr>
                <w:rFonts w:ascii="宋体"/>
                <w:szCs w:val="18"/>
              </w:rPr>
            </w:pPr>
          </w:p>
        </w:tc>
        <w:tc>
          <w:tcPr>
            <w:tcW w:w="1836" w:type="dxa"/>
            <w:vAlign w:val="center"/>
          </w:tcPr>
          <w:p>
            <w:pPr>
              <w:jc w:val="center"/>
              <w:rPr>
                <w:rFonts w:ascii="宋体"/>
                <w:szCs w:val="18"/>
              </w:rPr>
            </w:pPr>
          </w:p>
        </w:tc>
        <w:tc>
          <w:tcPr>
            <w:tcW w:w="1755" w:type="dxa"/>
            <w:vAlign w:val="center"/>
          </w:tcPr>
          <w:p>
            <w:pPr>
              <w:jc w:val="center"/>
              <w:rPr>
                <w:rFonts w:ascii="宋体"/>
                <w:szCs w:val="18"/>
              </w:rPr>
            </w:pPr>
          </w:p>
        </w:tc>
        <w:tc>
          <w:tcPr>
            <w:tcW w:w="1809" w:type="dxa"/>
            <w:vAlign w:val="center"/>
          </w:tcPr>
          <w:p>
            <w:pPr>
              <w:jc w:val="center"/>
              <w:rPr>
                <w:rFonts w:asci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vAlign w:val="center"/>
          </w:tcPr>
          <w:p>
            <w:pPr>
              <w:jc w:val="center"/>
              <w:rPr>
                <w:rFonts w:ascii="宋体"/>
                <w:szCs w:val="18"/>
              </w:rPr>
            </w:pPr>
            <w:r>
              <w:rPr>
                <w:rFonts w:ascii="宋体" w:hAnsi="宋体"/>
                <w:szCs w:val="18"/>
              </w:rPr>
              <w:t>3</w:t>
            </w:r>
          </w:p>
        </w:tc>
        <w:tc>
          <w:tcPr>
            <w:tcW w:w="3425" w:type="dxa"/>
            <w:vAlign w:val="center"/>
          </w:tcPr>
          <w:p>
            <w:pPr>
              <w:jc w:val="center"/>
              <w:rPr>
                <w:rFonts w:ascii="宋体"/>
                <w:szCs w:val="18"/>
              </w:rPr>
            </w:pPr>
          </w:p>
        </w:tc>
        <w:tc>
          <w:tcPr>
            <w:tcW w:w="2622" w:type="dxa"/>
            <w:vAlign w:val="center"/>
          </w:tcPr>
          <w:p>
            <w:pPr>
              <w:jc w:val="center"/>
              <w:rPr>
                <w:rFonts w:ascii="宋体"/>
                <w:szCs w:val="18"/>
              </w:rPr>
            </w:pPr>
          </w:p>
        </w:tc>
        <w:tc>
          <w:tcPr>
            <w:tcW w:w="2340" w:type="dxa"/>
            <w:vAlign w:val="center"/>
          </w:tcPr>
          <w:p>
            <w:pPr>
              <w:jc w:val="center"/>
              <w:rPr>
                <w:rFonts w:ascii="宋体"/>
                <w:szCs w:val="18"/>
              </w:rPr>
            </w:pPr>
          </w:p>
        </w:tc>
        <w:tc>
          <w:tcPr>
            <w:tcW w:w="1836" w:type="dxa"/>
            <w:vAlign w:val="center"/>
          </w:tcPr>
          <w:p>
            <w:pPr>
              <w:jc w:val="center"/>
              <w:rPr>
                <w:rFonts w:ascii="宋体"/>
                <w:szCs w:val="18"/>
              </w:rPr>
            </w:pPr>
          </w:p>
        </w:tc>
        <w:tc>
          <w:tcPr>
            <w:tcW w:w="1755" w:type="dxa"/>
            <w:vAlign w:val="center"/>
          </w:tcPr>
          <w:p>
            <w:pPr>
              <w:jc w:val="center"/>
              <w:rPr>
                <w:rFonts w:ascii="宋体"/>
                <w:szCs w:val="18"/>
              </w:rPr>
            </w:pPr>
          </w:p>
        </w:tc>
        <w:tc>
          <w:tcPr>
            <w:tcW w:w="1809" w:type="dxa"/>
            <w:vAlign w:val="center"/>
          </w:tcPr>
          <w:p>
            <w:pPr>
              <w:jc w:val="center"/>
              <w:rPr>
                <w:rFonts w:asci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vAlign w:val="center"/>
          </w:tcPr>
          <w:p>
            <w:pPr>
              <w:jc w:val="center"/>
              <w:rPr>
                <w:rFonts w:ascii="宋体"/>
                <w:szCs w:val="18"/>
              </w:rPr>
            </w:pPr>
            <w:r>
              <w:rPr>
                <w:rFonts w:hint="eastAsia" w:ascii="宋体" w:hAnsi="宋体"/>
                <w:szCs w:val="18"/>
              </w:rPr>
              <w:t>……</w:t>
            </w:r>
          </w:p>
        </w:tc>
        <w:tc>
          <w:tcPr>
            <w:tcW w:w="3425" w:type="dxa"/>
            <w:vAlign w:val="center"/>
          </w:tcPr>
          <w:p>
            <w:pPr>
              <w:jc w:val="center"/>
              <w:rPr>
                <w:rFonts w:ascii="宋体"/>
                <w:szCs w:val="18"/>
              </w:rPr>
            </w:pPr>
          </w:p>
        </w:tc>
        <w:tc>
          <w:tcPr>
            <w:tcW w:w="2622" w:type="dxa"/>
            <w:vAlign w:val="center"/>
          </w:tcPr>
          <w:p>
            <w:pPr>
              <w:jc w:val="center"/>
              <w:rPr>
                <w:rFonts w:ascii="宋体"/>
                <w:szCs w:val="18"/>
              </w:rPr>
            </w:pPr>
          </w:p>
        </w:tc>
        <w:tc>
          <w:tcPr>
            <w:tcW w:w="2340" w:type="dxa"/>
            <w:vAlign w:val="center"/>
          </w:tcPr>
          <w:p>
            <w:pPr>
              <w:jc w:val="center"/>
              <w:rPr>
                <w:rFonts w:ascii="宋体"/>
                <w:szCs w:val="18"/>
              </w:rPr>
            </w:pPr>
          </w:p>
        </w:tc>
        <w:tc>
          <w:tcPr>
            <w:tcW w:w="1836" w:type="dxa"/>
            <w:vAlign w:val="center"/>
          </w:tcPr>
          <w:p>
            <w:pPr>
              <w:jc w:val="center"/>
              <w:rPr>
                <w:rFonts w:ascii="宋体"/>
                <w:szCs w:val="18"/>
              </w:rPr>
            </w:pPr>
          </w:p>
        </w:tc>
        <w:tc>
          <w:tcPr>
            <w:tcW w:w="1755" w:type="dxa"/>
            <w:vAlign w:val="center"/>
          </w:tcPr>
          <w:p>
            <w:pPr>
              <w:jc w:val="center"/>
              <w:rPr>
                <w:rFonts w:ascii="宋体"/>
                <w:szCs w:val="18"/>
              </w:rPr>
            </w:pPr>
          </w:p>
        </w:tc>
        <w:tc>
          <w:tcPr>
            <w:tcW w:w="1809" w:type="dxa"/>
            <w:vAlign w:val="center"/>
          </w:tcPr>
          <w:p>
            <w:pPr>
              <w:jc w:val="center"/>
              <w:rPr>
                <w:rFonts w:ascii="宋体"/>
                <w:szCs w:val="18"/>
              </w:rPr>
            </w:pPr>
          </w:p>
        </w:tc>
      </w:tr>
    </w:tbl>
    <w:p>
      <w:pPr>
        <w:spacing w:line="300" w:lineRule="auto"/>
        <w:rPr>
          <w:rFonts w:ascii="仿宋_GB2312" w:hAnsi="宋体" w:eastAsia="仿宋_GB2312"/>
          <w:sz w:val="24"/>
          <w:szCs w:val="24"/>
        </w:rPr>
      </w:pPr>
    </w:p>
    <w:p>
      <w:pPr>
        <w:spacing w:line="300" w:lineRule="auto"/>
        <w:rPr>
          <w:rFonts w:ascii="宋体"/>
          <w:szCs w:val="21"/>
        </w:rPr>
      </w:pPr>
      <w:r>
        <w:rPr>
          <w:rFonts w:hint="eastAsia" w:ascii="宋体" w:hAnsi="宋体"/>
          <w:szCs w:val="21"/>
        </w:rPr>
        <w:t>投标人</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p>
    <w:p>
      <w:pPr>
        <w:spacing w:line="300" w:lineRule="auto"/>
        <w:rPr>
          <w:rFonts w:ascii="宋体"/>
          <w:szCs w:val="21"/>
        </w:rPr>
      </w:pPr>
    </w:p>
    <w:p>
      <w:pPr>
        <w:spacing w:line="300" w:lineRule="auto"/>
        <w:rPr>
          <w:rFonts w:ascii="宋体"/>
          <w:szCs w:val="21"/>
        </w:rPr>
      </w:pPr>
      <w:r>
        <w:rPr>
          <w:rFonts w:hint="eastAsia" w:ascii="宋体" w:hAnsi="宋体"/>
          <w:szCs w:val="21"/>
        </w:rPr>
        <w:t>法定代表人（签字或盖章）</w:t>
      </w:r>
    </w:p>
    <w:p>
      <w:pPr>
        <w:rPr>
          <w:rFonts w:ascii="宋体"/>
        </w:rPr>
      </w:pPr>
    </w:p>
    <w:p>
      <w:pPr>
        <w:rPr>
          <w:rFonts w:ascii="宋体"/>
        </w:rPr>
      </w:pPr>
    </w:p>
    <w:p>
      <w:pPr>
        <w:rPr>
          <w:rFonts w:ascii="宋体"/>
          <w:color w:val="0000FF"/>
        </w:rPr>
      </w:pPr>
      <w:r>
        <w:rPr>
          <w:rFonts w:hint="eastAsia" w:ascii="宋体" w:hAnsi="宋体"/>
        </w:rPr>
        <w:t>注：</w:t>
      </w:r>
      <w:r>
        <w:rPr>
          <w:rFonts w:ascii="宋体" w:hAnsi="宋体"/>
        </w:rPr>
        <w:t>1</w:t>
      </w:r>
      <w:r>
        <w:rPr>
          <w:rFonts w:hint="eastAsia" w:ascii="宋体" w:hAnsi="宋体"/>
        </w:rPr>
        <w:t>、</w:t>
      </w:r>
      <w:r>
        <w:rPr>
          <w:rFonts w:hint="eastAsia" w:ascii="宋体" w:hAnsi="宋体"/>
          <w:color w:val="0000FF"/>
        </w:rPr>
        <w:t>提供证明投标人业绩的合同等相关资料。</w:t>
      </w:r>
    </w:p>
    <w:p>
      <w:pPr>
        <w:ind w:firstLine="420" w:firstLineChars="200"/>
        <w:rPr>
          <w:rFonts w:ascii="宋体"/>
        </w:rPr>
      </w:pPr>
      <w:r>
        <w:rPr>
          <w:rFonts w:ascii="宋体" w:hAnsi="宋体"/>
        </w:rPr>
        <w:t>2</w:t>
      </w:r>
      <w:r>
        <w:rPr>
          <w:rFonts w:hint="eastAsia" w:ascii="宋体" w:hAnsi="宋体"/>
        </w:rPr>
        <w:t>、投标人根据项目实际填写，表中单项，项目招标要求不涉及的可留空或自行调整。</w:t>
      </w:r>
    </w:p>
    <w:p>
      <w:pPr>
        <w:ind w:firstLine="420" w:firstLineChars="200"/>
        <w:rPr>
          <w:rFonts w:ascii="宋体"/>
        </w:rPr>
        <w:sectPr>
          <w:pgSz w:w="16840" w:h="11907" w:orient="landscape"/>
          <w:pgMar w:top="1191" w:right="1191" w:bottom="1191" w:left="1191" w:header="851" w:footer="851" w:gutter="0"/>
          <w:cols w:space="720" w:num="1"/>
        </w:sectPr>
      </w:pPr>
      <w:r>
        <w:rPr>
          <w:rFonts w:ascii="宋体" w:hAnsi="宋体"/>
        </w:rPr>
        <w:t>3</w:t>
      </w:r>
      <w:r>
        <w:rPr>
          <w:rFonts w:hint="eastAsia" w:ascii="宋体" w:hAnsi="宋体"/>
        </w:rPr>
        <w:t>、表格不够可以自行加页；具体配置请投标人填写完全，没有填写完全的则按无此配置评标</w:t>
      </w:r>
    </w:p>
    <w:p/>
    <w:p/>
    <w:p>
      <w:pPr>
        <w:pStyle w:val="4"/>
        <w:wordWrap w:val="0"/>
        <w:rPr>
          <w:b w:val="0"/>
          <w:kern w:val="0"/>
        </w:rPr>
      </w:pPr>
      <w:r>
        <w:rPr>
          <w:rFonts w:hint="eastAsia"/>
          <w:kern w:val="0"/>
        </w:rPr>
        <w:t>七、投标人关于产品质量和售后服务方面的承诺</w:t>
      </w:r>
    </w:p>
    <w:p>
      <w:pPr>
        <w:wordWrap w:val="0"/>
        <w:spacing w:line="360" w:lineRule="exact"/>
        <w:ind w:firstLine="630" w:firstLineChars="300"/>
        <w:rPr>
          <w:rFonts w:ascii="Times New Roman" w:hAnsi="Times New Roman"/>
          <w:kern w:val="0"/>
        </w:rPr>
      </w:pPr>
      <w:r>
        <w:rPr>
          <w:rFonts w:hint="eastAsia" w:ascii="Times New Roman" w:hAnsi="Times New Roman"/>
          <w:kern w:val="0"/>
          <w:szCs w:val="18"/>
        </w:rPr>
        <w:t>如：产品质量、保修范围、保修期长短及服务、保修期满后的服务、培训计划等。投标人须提供盖单位公章的</w:t>
      </w:r>
      <w:r>
        <w:rPr>
          <w:rFonts w:hint="eastAsia" w:ascii="Times New Roman" w:hAnsi="Times New Roman"/>
          <w:b/>
          <w:bCs/>
          <w:kern w:val="0"/>
          <w:szCs w:val="18"/>
        </w:rPr>
        <w:t>产品质量承诺和售后服务承诺</w:t>
      </w:r>
      <w:r>
        <w:rPr>
          <w:rFonts w:hint="eastAsia" w:ascii="Times New Roman" w:hAnsi="Times New Roman"/>
          <w:b/>
          <w:bCs/>
          <w:kern w:val="0"/>
        </w:rPr>
        <w:t>。</w:t>
      </w:r>
    </w:p>
    <w:p/>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keepNext w:val="0"/>
        <w:keepLines w:val="0"/>
        <w:spacing w:before="0" w:after="0" w:line="413" w:lineRule="auto"/>
      </w:pPr>
    </w:p>
    <w:p>
      <w:pPr>
        <w:pStyle w:val="4"/>
        <w:keepNext w:val="0"/>
        <w:keepLines w:val="0"/>
        <w:spacing w:before="0" w:after="0" w:line="413" w:lineRule="auto"/>
      </w:pPr>
    </w:p>
    <w:p>
      <w:pPr>
        <w:pStyle w:val="4"/>
        <w:keepNext w:val="0"/>
        <w:keepLines w:val="0"/>
        <w:spacing w:before="0" w:after="0" w:line="413" w:lineRule="auto"/>
      </w:pPr>
    </w:p>
    <w:p>
      <w:pPr>
        <w:pStyle w:val="4"/>
        <w:keepNext w:val="0"/>
        <w:keepLines w:val="0"/>
        <w:spacing w:before="0" w:after="0" w:line="413" w:lineRule="auto"/>
      </w:pPr>
    </w:p>
    <w:p>
      <w:pPr>
        <w:pStyle w:val="4"/>
        <w:keepNext w:val="0"/>
        <w:keepLines w:val="0"/>
        <w:spacing w:before="0" w:after="0" w:line="413" w:lineRule="auto"/>
        <w:jc w:val="center"/>
      </w:pPr>
    </w:p>
    <w:p>
      <w:pPr>
        <w:pStyle w:val="4"/>
        <w:keepNext w:val="0"/>
        <w:keepLines w:val="0"/>
        <w:spacing w:before="0" w:after="0" w:line="413" w:lineRule="auto"/>
        <w:jc w:val="center"/>
      </w:pPr>
      <w:r>
        <w:rPr>
          <w:rFonts w:hint="eastAsia"/>
        </w:rPr>
        <w:t>八、</w:t>
      </w:r>
      <w:r>
        <w:rPr>
          <w:rFonts w:hint="eastAsia"/>
          <w:kern w:val="0"/>
        </w:rPr>
        <w:t>服务技术方案</w:t>
      </w:r>
      <w:r>
        <w:rPr>
          <w:rFonts w:hint="eastAsia"/>
        </w:rPr>
        <w:t>（格式）</w:t>
      </w:r>
    </w:p>
    <w:p>
      <w:pPr>
        <w:jc w:val="center"/>
        <w:rPr>
          <w:rFonts w:ascii="Times New Roman" w:hAnsi="Times New Roman"/>
          <w:b/>
          <w:sz w:val="32"/>
          <w:szCs w:val="20"/>
        </w:rPr>
      </w:pPr>
      <w:r>
        <w:rPr>
          <w:rFonts w:hint="eastAsia" w:ascii="Times New Roman" w:hAnsi="Times New Roman"/>
          <w:b/>
          <w:sz w:val="32"/>
          <w:szCs w:val="20"/>
        </w:rPr>
        <w:t>（投标人根据本项目招标需求和企业实际情况自行编写）</w:t>
      </w:r>
    </w:p>
    <w:p>
      <w:pPr>
        <w:spacing w:line="360" w:lineRule="exact"/>
        <w:ind w:left="31680" w:hanging="420" w:hangingChars="200"/>
      </w:pPr>
    </w:p>
    <w:p>
      <w:pPr>
        <w:spacing w:line="360" w:lineRule="exact"/>
        <w:ind w:firstLine="630" w:firstLineChars="300"/>
        <w:rPr>
          <w:rFonts w:ascii="宋体"/>
        </w:rPr>
      </w:pPr>
    </w:p>
    <w:p>
      <w:pPr>
        <w:spacing w:line="360" w:lineRule="exact"/>
        <w:ind w:firstLine="630" w:firstLineChars="300"/>
        <w:rPr>
          <w:rFonts w:ascii="宋体"/>
        </w:rPr>
      </w:pPr>
    </w:p>
    <w:p>
      <w:pPr>
        <w:spacing w:line="360" w:lineRule="exact"/>
        <w:ind w:firstLine="630" w:firstLineChars="30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rPr>
      </w:pPr>
    </w:p>
    <w:p>
      <w:pPr>
        <w:spacing w:line="300" w:lineRule="auto"/>
        <w:ind w:firstLine="4515" w:firstLineChars="2150"/>
        <w:rPr>
          <w:rFonts w:ascii="宋体"/>
          <w:szCs w:val="21"/>
        </w:rPr>
      </w:pPr>
      <w:r>
        <w:rPr>
          <w:rFonts w:hint="eastAsia" w:ascii="宋体" w:hAnsi="宋体"/>
        </w:rPr>
        <w:t>投标人：</w:t>
      </w:r>
      <w:r>
        <w:rPr>
          <w:rFonts w:ascii="仿宋_GB2312" w:hAnsi="仿宋_GB2312" w:eastAsia="仿宋_GB2312" w:cs="仿宋_GB2312"/>
          <w:sz w:val="28"/>
          <w:szCs w:val="28"/>
          <w:u w:val="single"/>
        </w:rPr>
        <w:t xml:space="preserve">             </w:t>
      </w:r>
      <w:r>
        <w:rPr>
          <w:rFonts w:ascii="宋体" w:hAnsi="宋体"/>
          <w:szCs w:val="21"/>
        </w:rPr>
        <w:t>(</w:t>
      </w:r>
      <w:r>
        <w:rPr>
          <w:rFonts w:hint="eastAsia" w:ascii="宋体" w:hAnsi="宋体"/>
          <w:szCs w:val="21"/>
        </w:rPr>
        <w:t>盖单位</w:t>
      </w:r>
      <w:r>
        <w:rPr>
          <w:rFonts w:hint="eastAsia" w:ascii="Times New Roman" w:hAnsi="Times New Roman"/>
        </w:rPr>
        <w:t>公章</w:t>
      </w:r>
      <w:r>
        <w:rPr>
          <w:rFonts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w:t>
      </w:r>
      <w:r>
        <w:rPr>
          <w:rFonts w:ascii="宋体" w:hAnsi="宋体"/>
        </w:rPr>
        <w:t xml:space="preserve">  </w:t>
      </w:r>
      <w:r>
        <w:rPr>
          <w:rFonts w:hint="eastAsia" w:ascii="宋体" w:hAnsi="宋体"/>
        </w:rPr>
        <w:t>期：</w:t>
      </w:r>
      <w:r>
        <w:rPr>
          <w:rFonts w:ascii="仿宋_GB2312" w:hAnsi="仿宋_GB2312" w:eastAsia="仿宋_GB2312" w:cs="仿宋_GB2312"/>
          <w:sz w:val="28"/>
          <w:szCs w:val="28"/>
          <w:u w:val="single"/>
        </w:rPr>
        <w:t xml:space="preserve">      </w:t>
      </w:r>
      <w:r>
        <w:rPr>
          <w:rFonts w:hint="eastAsia" w:ascii="宋体" w:hAnsi="宋体"/>
        </w:rPr>
        <w:t>年</w:t>
      </w:r>
      <w:r>
        <w:rPr>
          <w:rFonts w:ascii="仿宋_GB2312" w:hAnsi="仿宋_GB2312" w:eastAsia="仿宋_GB2312" w:cs="仿宋_GB2312"/>
          <w:sz w:val="28"/>
          <w:szCs w:val="28"/>
          <w:u w:val="single"/>
        </w:rPr>
        <w:t xml:space="preserve">     </w:t>
      </w:r>
      <w:r>
        <w:rPr>
          <w:rFonts w:hint="eastAsia" w:ascii="宋体" w:hAnsi="宋体"/>
        </w:rPr>
        <w:t>月</w:t>
      </w:r>
      <w:r>
        <w:rPr>
          <w:rFonts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szCs w:val="18"/>
        </w:rPr>
      </w:pPr>
    </w:p>
    <w:p>
      <w:pPr>
        <w:widowControl/>
        <w:jc w:val="left"/>
        <w:rPr>
          <w:rFonts w:ascii="宋体"/>
          <w:szCs w:val="18"/>
        </w:rPr>
        <w:sectPr>
          <w:pgSz w:w="11907" w:h="16840"/>
          <w:pgMar w:top="1191" w:right="1191" w:bottom="1191" w:left="1191" w:header="851" w:footer="851" w:gutter="0"/>
          <w:cols w:space="720" w:num="1"/>
        </w:sectPr>
      </w:pPr>
    </w:p>
    <w:p>
      <w:pPr>
        <w:pStyle w:val="4"/>
        <w:jc w:val="center"/>
      </w:pPr>
      <w:r>
        <w:rPr>
          <w:rFonts w:hint="eastAsia"/>
        </w:rPr>
        <w:t>九、资格证明及有关材料</w:t>
      </w:r>
    </w:p>
    <w:p>
      <w:pPr>
        <w:snapToGrid w:val="0"/>
        <w:spacing w:line="480" w:lineRule="auto"/>
        <w:rPr>
          <w:rFonts w:ascii="宋体"/>
          <w:szCs w:val="21"/>
          <w:highlight w:val="yellow"/>
        </w:rPr>
      </w:pPr>
      <w:r>
        <w:rPr>
          <w:rFonts w:ascii="宋体" w:hAnsi="宋体"/>
          <w:szCs w:val="21"/>
          <w:highlight w:val="yellow"/>
        </w:rPr>
        <w:t>1</w:t>
      </w:r>
      <w:r>
        <w:rPr>
          <w:rFonts w:hint="eastAsia" w:ascii="宋体" w:hAnsi="宋体"/>
          <w:szCs w:val="21"/>
          <w:highlight w:val="yellow"/>
        </w:rPr>
        <w:t>、营业执照</w:t>
      </w:r>
    </w:p>
    <w:p>
      <w:pPr>
        <w:snapToGrid w:val="0"/>
        <w:spacing w:line="480" w:lineRule="auto"/>
        <w:rPr>
          <w:rFonts w:asci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szCs w:val="21"/>
          <w:highlight w:val="yellow"/>
        </w:rPr>
      </w:pPr>
      <w:r>
        <w:rPr>
          <w:rFonts w:ascii="宋体" w:hAnsi="宋体"/>
          <w:szCs w:val="21"/>
          <w:highlight w:val="yellow"/>
        </w:rPr>
        <w:t>3</w:t>
      </w:r>
      <w:r>
        <w:rPr>
          <w:rFonts w:hint="eastAsia" w:ascii="宋体" w:hAnsi="宋体"/>
          <w:szCs w:val="21"/>
          <w:highlight w:val="yellow"/>
        </w:rPr>
        <w:t>、社会保障资金证明材料</w:t>
      </w:r>
    </w:p>
    <w:p>
      <w:pPr>
        <w:snapToGrid w:val="0"/>
        <w:spacing w:line="480" w:lineRule="auto"/>
        <w:rPr>
          <w:rFonts w:ascii="宋体"/>
          <w:szCs w:val="21"/>
          <w:highlight w:val="yellow"/>
        </w:rPr>
      </w:pPr>
      <w:r>
        <w:rPr>
          <w:rFonts w:ascii="宋体" w:hAnsi="宋体"/>
          <w:szCs w:val="21"/>
          <w:highlight w:val="yellow"/>
        </w:rPr>
        <w:t>4</w:t>
      </w:r>
      <w:r>
        <w:rPr>
          <w:rFonts w:hint="eastAsia" w:ascii="宋体" w:hAnsi="宋体"/>
          <w:szCs w:val="21"/>
          <w:highlight w:val="yellow"/>
        </w:rPr>
        <w:t>、专业技术能力材料（格式自拟）</w:t>
      </w:r>
    </w:p>
    <w:p>
      <w:pPr>
        <w:snapToGrid w:val="0"/>
        <w:spacing w:line="480" w:lineRule="auto"/>
        <w:rPr>
          <w:rFonts w:ascii="宋体"/>
          <w:szCs w:val="21"/>
          <w:highlight w:val="yellow"/>
        </w:rPr>
      </w:pPr>
      <w:r>
        <w:rPr>
          <w:rFonts w:ascii="宋体" w:hAnsi="宋体"/>
          <w:szCs w:val="21"/>
          <w:highlight w:val="yellow"/>
        </w:rPr>
        <w:t>5</w:t>
      </w:r>
      <w:r>
        <w:rPr>
          <w:rFonts w:hint="eastAsia" w:ascii="宋体" w:hAnsi="宋体"/>
          <w:szCs w:val="21"/>
          <w:highlight w:val="yellow"/>
        </w:rPr>
        <w:t>、无重大违法记录声明函（格式附后）</w:t>
      </w:r>
    </w:p>
    <w:p>
      <w:pPr>
        <w:snapToGrid w:val="0"/>
        <w:spacing w:line="480" w:lineRule="auto"/>
        <w:rPr>
          <w:rFonts w:ascii="宋体"/>
          <w:szCs w:val="21"/>
          <w:highlight w:val="yellow"/>
        </w:rPr>
      </w:pPr>
      <w:r>
        <w:rPr>
          <w:rFonts w:ascii="宋体" w:hAnsi="宋体"/>
          <w:szCs w:val="21"/>
          <w:highlight w:val="yellow"/>
        </w:rPr>
        <w:t>6</w:t>
      </w:r>
      <w:r>
        <w:rPr>
          <w:rFonts w:hint="eastAsia" w:ascii="宋体" w:hAnsi="宋体"/>
          <w:szCs w:val="21"/>
          <w:highlight w:val="yellow"/>
        </w:rPr>
        <w:t>、法定代表人身份证明书、法定代表人授权书（格式附后）</w:t>
      </w:r>
    </w:p>
    <w:p>
      <w:pPr>
        <w:snapToGrid w:val="0"/>
        <w:spacing w:line="480" w:lineRule="auto"/>
        <w:rPr>
          <w:rFonts w:ascii="宋体"/>
          <w:szCs w:val="21"/>
          <w:highlight w:val="yellow"/>
        </w:rPr>
      </w:pPr>
      <w:r>
        <w:rPr>
          <w:rFonts w:ascii="宋体" w:hAnsi="宋体"/>
          <w:szCs w:val="21"/>
          <w:highlight w:val="yellow"/>
        </w:rPr>
        <w:t>7</w:t>
      </w:r>
      <w:r>
        <w:rPr>
          <w:rFonts w:hint="eastAsia" w:ascii="宋体" w:hAnsi="宋体"/>
          <w:szCs w:val="21"/>
          <w:highlight w:val="yellow"/>
        </w:rPr>
        <w:t>、投标保证金有关证明材料（格式附后）</w:t>
      </w:r>
    </w:p>
    <w:p>
      <w:pPr>
        <w:snapToGrid w:val="0"/>
        <w:spacing w:line="480" w:lineRule="auto"/>
        <w:rPr>
          <w:rFonts w:ascii="宋体"/>
          <w:szCs w:val="21"/>
          <w:highlight w:val="yellow"/>
        </w:rPr>
      </w:pPr>
      <w:r>
        <w:rPr>
          <w:rFonts w:ascii="宋体" w:hAnsi="宋体"/>
          <w:szCs w:val="21"/>
          <w:highlight w:val="yellow"/>
        </w:rPr>
        <w:t>8</w:t>
      </w:r>
      <w:r>
        <w:rPr>
          <w:rFonts w:hint="eastAsia" w:ascii="宋体" w:hAnsi="宋体"/>
          <w:szCs w:val="21"/>
          <w:highlight w:val="yellow"/>
        </w:rPr>
        <w:t>、其他资格要求（按招标公告要求提供）</w:t>
      </w:r>
    </w:p>
    <w:p>
      <w:pPr>
        <w:snapToGrid w:val="0"/>
        <w:spacing w:line="480" w:lineRule="auto"/>
        <w:rPr>
          <w:rFonts w:ascii="宋体"/>
          <w:szCs w:val="21"/>
          <w:highlight w:val="yellow"/>
        </w:rPr>
      </w:pPr>
      <w:r>
        <w:rPr>
          <w:rFonts w:ascii="宋体" w:hAnsi="宋体"/>
          <w:szCs w:val="21"/>
          <w:highlight w:val="yellow"/>
        </w:rPr>
        <w:t>9</w:t>
      </w:r>
      <w:r>
        <w:rPr>
          <w:rFonts w:hint="eastAsia" w:ascii="宋体" w:hAnsi="宋体"/>
          <w:szCs w:val="21"/>
          <w:highlight w:val="yellow"/>
        </w:rPr>
        <w:t>、承诺书（格式附后）</w:t>
      </w: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p>
    <w:p>
      <w:pPr>
        <w:spacing w:line="360" w:lineRule="auto"/>
        <w:rPr>
          <w:rFonts w:ascii="宋体"/>
          <w:szCs w:val="21"/>
        </w:rPr>
      </w:pPr>
      <w:r>
        <w:rPr>
          <w:rFonts w:hint="eastAsia" w:ascii="宋体" w:hAnsi="宋体"/>
          <w:szCs w:val="21"/>
        </w:rPr>
        <w:t>格式</w:t>
      </w:r>
      <w:r>
        <w:rPr>
          <w:rFonts w:ascii="宋体" w:hAnsi="宋体"/>
          <w:szCs w:val="21"/>
        </w:rPr>
        <w:t>1</w:t>
      </w:r>
    </w:p>
    <w:p>
      <w:pPr>
        <w:spacing w:line="360" w:lineRule="auto"/>
        <w:jc w:val="center"/>
        <w:rPr>
          <w:rFonts w:asci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w:t>
      </w:r>
      <w:r>
        <w:rPr>
          <w:rFonts w:ascii="宋体" w:hAnsi="宋体"/>
        </w:rPr>
        <w:t xml:space="preserve">    </w:t>
      </w:r>
      <w:r>
        <w:rPr>
          <w:rFonts w:hint="eastAsia" w:ascii="宋体" w:hAnsi="宋体"/>
        </w:rPr>
        <w:t>址：</w:t>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ab/>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rPr>
        <w:t xml:space="preserve"> </w:t>
      </w:r>
      <w:r>
        <w:rPr>
          <w:rFonts w:hint="eastAsia" w:ascii="宋体" w:hAnsi="宋体"/>
        </w:rPr>
        <w:t>年</w:t>
      </w:r>
      <w:r>
        <w:rPr>
          <w:rFonts w:ascii="仿宋_GB2312" w:hAnsi="仿宋_GB2312" w:eastAsia="仿宋_GB2312" w:cs="仿宋_GB2312"/>
          <w:sz w:val="28"/>
          <w:szCs w:val="28"/>
        </w:rPr>
        <w:t xml:space="preserve"> </w:t>
      </w:r>
      <w:r>
        <w:rPr>
          <w:rFonts w:ascii="仿宋_GB2312" w:hAnsi="仿宋_GB2312" w:eastAsia="仿宋_GB2312" w:cs="仿宋_GB2312"/>
          <w:sz w:val="28"/>
          <w:szCs w:val="28"/>
          <w:u w:val="single"/>
        </w:rPr>
        <w:t xml:space="preserve">           </w:t>
      </w:r>
      <w:r>
        <w:rPr>
          <w:rFonts w:hint="eastAsia" w:ascii="宋体" w:hAnsi="宋体"/>
        </w:rPr>
        <w:t>月</w:t>
      </w:r>
      <w:r>
        <w:rPr>
          <w:rFonts w:ascii="宋体" w:hAnsi="宋体"/>
        </w:rPr>
        <w:t xml:space="preserve"> </w:t>
      </w:r>
      <w:r>
        <w:rPr>
          <w:rFonts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w:t>
      </w:r>
      <w:r>
        <w:rPr>
          <w:rFonts w:ascii="宋体" w:hAnsi="宋体"/>
        </w:rPr>
        <w:t xml:space="preserve">    </w:t>
      </w:r>
      <w:r>
        <w:rPr>
          <w:rFonts w:hint="eastAsia" w:ascii="宋体" w:hAnsi="宋体"/>
        </w:rPr>
        <w:t>名：</w:t>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rPr>
        <w:t xml:space="preserve">  </w:t>
      </w:r>
      <w:r>
        <w:rPr>
          <w:rFonts w:ascii="宋体" w:hAnsi="宋体"/>
        </w:rPr>
        <w:t xml:space="preserve"> </w:t>
      </w:r>
      <w:r>
        <w:rPr>
          <w:rFonts w:hint="eastAsia" w:ascii="宋体" w:hAnsi="宋体"/>
        </w:rPr>
        <w:t>性别：</w:t>
      </w:r>
      <w:r>
        <w:rPr>
          <w:rFonts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w:t>
      </w:r>
      <w:r>
        <w:rPr>
          <w:rFonts w:ascii="宋体" w:hAnsi="宋体"/>
        </w:rPr>
        <w:t xml:space="preserve">    </w:t>
      </w:r>
      <w:r>
        <w:rPr>
          <w:rFonts w:hint="eastAsia" w:ascii="宋体" w:hAnsi="宋体"/>
        </w:rPr>
        <w:t>龄：</w:t>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rPr>
        <w:t xml:space="preserve"> </w:t>
      </w:r>
      <w:r>
        <w:rPr>
          <w:rFonts w:ascii="宋体" w:hAnsi="宋体"/>
        </w:rPr>
        <w:t xml:space="preserve">  </w:t>
      </w:r>
      <w:r>
        <w:rPr>
          <w:rFonts w:hint="eastAsia" w:ascii="宋体" w:hAnsi="宋体"/>
        </w:rPr>
        <w:t>职务：</w:t>
      </w:r>
      <w:r>
        <w:rPr>
          <w:rFonts w:ascii="仿宋_GB2312" w:hAnsi="仿宋_GB2312" w:eastAsia="仿宋_GB2312" w:cs="仿宋_GB2312"/>
          <w:sz w:val="28"/>
          <w:szCs w:val="28"/>
        </w:rPr>
        <w:tab/>
      </w:r>
      <w:r>
        <w:rPr>
          <w:rFonts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系</w:t>
      </w:r>
      <w:r>
        <w:rPr>
          <w:rFonts w:ascii="宋体" w:hAnsi="宋体"/>
        </w:rPr>
        <w:t xml:space="preserve"> </w:t>
      </w:r>
      <w:r>
        <w:rPr>
          <w:rFonts w:ascii="仿宋_GB2312" w:hAnsi="仿宋_GB2312" w:eastAsia="仿宋_GB2312" w:cs="仿宋_GB2312"/>
          <w:sz w:val="28"/>
          <w:szCs w:val="28"/>
        </w:rPr>
        <w:t xml:space="preserve"> </w:t>
      </w:r>
      <w:r>
        <w:rPr>
          <w:rFonts w:ascii="仿宋_GB2312" w:hAnsi="仿宋_GB2312" w:eastAsia="仿宋_GB2312" w:cs="仿宋_GB2312"/>
          <w:sz w:val="28"/>
          <w:szCs w:val="28"/>
          <w:u w:val="single"/>
        </w:rPr>
        <w:t xml:space="preserve">                </w:t>
      </w:r>
      <w:r>
        <w:rPr>
          <w:rFonts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3"/>
        <w:adjustRightInd w:val="0"/>
        <w:snapToGrid w:val="0"/>
        <w:spacing w:after="0" w:line="420" w:lineRule="exact"/>
        <w:ind w:left="0" w:leftChars="0" w:firstLine="210" w:firstLineChars="100"/>
        <w:rPr>
          <w:rFonts w:ascii="宋体"/>
        </w:rPr>
      </w:pPr>
      <w:r>
        <w:rPr>
          <w:rFonts w:ascii="宋体" w:hAnsi="宋体"/>
        </w:rPr>
        <w:t xml:space="preserve">  </w:t>
      </w:r>
      <w:r>
        <w:rPr>
          <w:rFonts w:hint="eastAsia" w:ascii="宋体" w:hAnsi="宋体"/>
        </w:rPr>
        <w:t>特此证明。</w:t>
      </w:r>
    </w:p>
    <w:tbl>
      <w:tblPr>
        <w:tblStyle w:val="2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Pr>
          <w:p>
            <w:pPr>
              <w:adjustRightInd w:val="0"/>
              <w:snapToGrid w:val="0"/>
              <w:spacing w:beforeLines="20" w:afterLines="20" w:line="540" w:lineRule="exact"/>
              <w:ind w:firstLine="560" w:firstLineChars="200"/>
              <w:rPr>
                <w:rFonts w:ascii="仿宋_GB2312" w:hAnsi="仿宋_GB2312" w:eastAsia="仿宋_GB2312" w:cs="仿宋_GB2312"/>
                <w:sz w:val="28"/>
                <w:szCs w:val="28"/>
              </w:rPr>
            </w:pPr>
          </w:p>
          <w:p>
            <w:pPr>
              <w:adjustRightInd w:val="0"/>
              <w:snapToGrid w:val="0"/>
              <w:spacing w:beforeLines="20" w:afterLines="20" w:line="5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rPr>
      </w:pPr>
    </w:p>
    <w:p>
      <w:pPr>
        <w:tabs>
          <w:tab w:val="left" w:pos="720"/>
          <w:tab w:val="left" w:pos="900"/>
        </w:tabs>
        <w:adjustRightInd w:val="0"/>
        <w:snapToGrid w:val="0"/>
        <w:spacing w:line="540" w:lineRule="exact"/>
        <w:ind w:firstLine="4515" w:firstLineChars="2150"/>
        <w:rPr>
          <w:rFonts w:ascii="宋体"/>
        </w:rPr>
      </w:pPr>
    </w:p>
    <w:p>
      <w:pPr>
        <w:tabs>
          <w:tab w:val="left" w:pos="720"/>
          <w:tab w:val="left" w:pos="900"/>
        </w:tabs>
        <w:adjustRightInd w:val="0"/>
        <w:snapToGrid w:val="0"/>
        <w:spacing w:line="540" w:lineRule="exact"/>
        <w:ind w:firstLine="4515" w:firstLineChars="2150"/>
        <w:rPr>
          <w:rFonts w:ascii="宋体"/>
        </w:rPr>
      </w:pPr>
    </w:p>
    <w:p>
      <w:pPr>
        <w:tabs>
          <w:tab w:val="left" w:pos="720"/>
          <w:tab w:val="left" w:pos="900"/>
        </w:tabs>
        <w:adjustRightInd w:val="0"/>
        <w:snapToGrid w:val="0"/>
        <w:spacing w:line="540" w:lineRule="exact"/>
        <w:ind w:firstLine="4515" w:firstLineChars="2150"/>
        <w:rPr>
          <w:rFonts w:ascii="宋体"/>
        </w:rPr>
      </w:pPr>
    </w:p>
    <w:p>
      <w:pPr>
        <w:tabs>
          <w:tab w:val="left" w:pos="720"/>
          <w:tab w:val="left" w:pos="900"/>
        </w:tabs>
        <w:adjustRightInd w:val="0"/>
        <w:snapToGrid w:val="0"/>
        <w:spacing w:line="540" w:lineRule="exact"/>
        <w:ind w:firstLine="4515" w:firstLineChars="2150"/>
        <w:rPr>
          <w:rFonts w:ascii="宋体"/>
        </w:rPr>
      </w:pPr>
    </w:p>
    <w:p>
      <w:pPr>
        <w:spacing w:line="300" w:lineRule="auto"/>
        <w:ind w:firstLine="4515" w:firstLineChars="2150"/>
        <w:rPr>
          <w:rFonts w:ascii="宋体"/>
          <w:szCs w:val="21"/>
        </w:rPr>
      </w:pPr>
      <w:r>
        <w:rPr>
          <w:rFonts w:hint="eastAsia" w:ascii="宋体" w:hAnsi="宋体"/>
        </w:rPr>
        <w:t>投标人：</w:t>
      </w:r>
      <w:r>
        <w:rPr>
          <w:rFonts w:ascii="仿宋_GB2312" w:hAnsi="仿宋_GB2312" w:eastAsia="仿宋_GB2312" w:cs="仿宋_GB2312"/>
          <w:sz w:val="28"/>
          <w:szCs w:val="28"/>
          <w:u w:val="single"/>
        </w:rPr>
        <w:t xml:space="preserve">             </w:t>
      </w:r>
      <w:r>
        <w:rPr>
          <w:rFonts w:ascii="宋体" w:hAnsi="宋体"/>
          <w:szCs w:val="21"/>
        </w:rPr>
        <w:t>(</w:t>
      </w:r>
      <w:r>
        <w:rPr>
          <w:rFonts w:hint="eastAsia" w:ascii="宋体" w:hAnsi="宋体"/>
          <w:szCs w:val="21"/>
        </w:rPr>
        <w:t>盖单位</w:t>
      </w:r>
      <w:r>
        <w:rPr>
          <w:rFonts w:hint="eastAsia" w:ascii="Times New Roman" w:hAnsi="Times New Roman"/>
        </w:rPr>
        <w:t>公章</w:t>
      </w:r>
      <w:r>
        <w:rPr>
          <w:rFonts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w:t>
      </w:r>
      <w:r>
        <w:rPr>
          <w:rFonts w:ascii="宋体" w:hAnsi="宋体"/>
        </w:rPr>
        <w:t xml:space="preserve">  </w:t>
      </w:r>
      <w:r>
        <w:rPr>
          <w:rFonts w:hint="eastAsia" w:ascii="宋体" w:hAnsi="宋体"/>
        </w:rPr>
        <w:t>期：</w:t>
      </w:r>
      <w:r>
        <w:rPr>
          <w:rFonts w:ascii="仿宋_GB2312" w:hAnsi="仿宋_GB2312" w:eastAsia="仿宋_GB2312" w:cs="仿宋_GB2312"/>
          <w:sz w:val="28"/>
          <w:szCs w:val="28"/>
          <w:u w:val="single"/>
        </w:rPr>
        <w:t xml:space="preserve">      </w:t>
      </w:r>
      <w:r>
        <w:rPr>
          <w:rFonts w:hint="eastAsia" w:ascii="宋体" w:hAnsi="宋体"/>
        </w:rPr>
        <w:t>年</w:t>
      </w:r>
      <w:r>
        <w:rPr>
          <w:rFonts w:ascii="仿宋_GB2312" w:hAnsi="仿宋_GB2312" w:eastAsia="仿宋_GB2312" w:cs="仿宋_GB2312"/>
          <w:sz w:val="28"/>
          <w:szCs w:val="28"/>
          <w:u w:val="single"/>
        </w:rPr>
        <w:t xml:space="preserve">     </w:t>
      </w:r>
      <w:r>
        <w:rPr>
          <w:rFonts w:hint="eastAsia" w:ascii="宋体" w:hAnsi="宋体"/>
        </w:rPr>
        <w:t>月</w:t>
      </w:r>
      <w:r>
        <w:rPr>
          <w:rFonts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rPr>
      </w:pPr>
    </w:p>
    <w:p>
      <w:pPr>
        <w:spacing w:line="400" w:lineRule="exact"/>
        <w:ind w:hanging="4"/>
        <w:rPr>
          <w:rFonts w:ascii="宋体"/>
        </w:rPr>
      </w:pPr>
    </w:p>
    <w:p>
      <w:pPr>
        <w:spacing w:line="400" w:lineRule="exact"/>
        <w:ind w:hanging="4"/>
        <w:rPr>
          <w:rFonts w:ascii="宋体"/>
        </w:rPr>
      </w:pPr>
    </w:p>
    <w:p>
      <w:pPr>
        <w:spacing w:line="400" w:lineRule="exact"/>
        <w:ind w:hanging="4"/>
        <w:rPr>
          <w:rFonts w:ascii="宋体"/>
        </w:rPr>
      </w:pPr>
    </w:p>
    <w:p>
      <w:pPr>
        <w:spacing w:line="400" w:lineRule="exact"/>
        <w:ind w:hanging="4"/>
        <w:rPr>
          <w:rFonts w:ascii="宋体"/>
        </w:rPr>
      </w:pPr>
    </w:p>
    <w:p>
      <w:pPr>
        <w:spacing w:line="400" w:lineRule="exact"/>
        <w:ind w:hanging="4"/>
        <w:rPr>
          <w:rFonts w:ascii="宋体"/>
        </w:rPr>
      </w:pPr>
    </w:p>
    <w:p>
      <w:pPr>
        <w:spacing w:line="400" w:lineRule="exact"/>
        <w:ind w:hanging="4"/>
        <w:rPr>
          <w:rFonts w:ascii="宋体"/>
        </w:rPr>
      </w:pPr>
    </w:p>
    <w:p>
      <w:pPr>
        <w:spacing w:line="400" w:lineRule="exact"/>
        <w:rPr>
          <w:rFonts w:ascii="宋体"/>
          <w:b/>
          <w:sz w:val="32"/>
          <w:szCs w:val="32"/>
        </w:rPr>
      </w:pPr>
      <w:r>
        <w:rPr>
          <w:rFonts w:hint="eastAsia" w:ascii="宋体" w:hAnsi="宋体"/>
        </w:rPr>
        <w:t>格式</w:t>
      </w:r>
      <w:r>
        <w:rPr>
          <w:rFonts w:ascii="宋体" w:hAnsi="宋体"/>
        </w:rPr>
        <w:t>2</w:t>
      </w:r>
    </w:p>
    <w:p>
      <w:pPr>
        <w:spacing w:line="360" w:lineRule="auto"/>
        <w:jc w:val="center"/>
        <w:rPr>
          <w:rFonts w:asci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vAlign w:val="center"/>
          </w:tcPr>
          <w:p>
            <w:pPr>
              <w:adjustRightInd w:val="0"/>
              <w:snapToGrid w:val="0"/>
              <w:spacing w:beforeLines="20"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vAlign w:val="center"/>
          </w:tcPr>
          <w:p>
            <w:pPr>
              <w:adjustRightInd w:val="0"/>
              <w:snapToGrid w:val="0"/>
              <w:spacing w:beforeLines="20"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b/>
          <w:szCs w:val="21"/>
        </w:rPr>
      </w:pPr>
    </w:p>
    <w:p>
      <w:pPr>
        <w:spacing w:line="400" w:lineRule="exact"/>
        <w:rPr>
          <w:rFonts w:ascii="宋体"/>
          <w:b/>
          <w:bCs/>
        </w:rPr>
      </w:pPr>
    </w:p>
    <w:p>
      <w:pPr>
        <w:spacing w:line="400" w:lineRule="exact"/>
        <w:rPr>
          <w:rFonts w:ascii="宋体"/>
          <w:b/>
          <w:bCs/>
          <w:sz w:val="32"/>
          <w:szCs w:val="32"/>
        </w:rPr>
      </w:pPr>
      <w:r>
        <w:rPr>
          <w:rFonts w:hint="eastAsia" w:ascii="宋体" w:hAnsi="宋体"/>
          <w:b/>
          <w:bCs/>
        </w:rPr>
        <w:t>格式</w:t>
      </w:r>
      <w:r>
        <w:rPr>
          <w:rFonts w:ascii="宋体" w:hAnsi="宋体"/>
          <w:b/>
          <w:bCs/>
        </w:rPr>
        <w:t>3</w:t>
      </w:r>
    </w:p>
    <w:p>
      <w:pPr>
        <w:widowControl/>
        <w:spacing w:line="360" w:lineRule="auto"/>
        <w:jc w:val="left"/>
        <w:rPr>
          <w:rFonts w:ascii="宋体"/>
          <w:b/>
          <w:szCs w:val="21"/>
        </w:rPr>
      </w:pPr>
    </w:p>
    <w:p>
      <w:pPr>
        <w:widowControl/>
        <w:spacing w:line="360" w:lineRule="auto"/>
        <w:jc w:val="left"/>
        <w:rPr>
          <w:rFonts w:ascii="宋体"/>
          <w:b/>
          <w:szCs w:val="21"/>
        </w:rPr>
      </w:pPr>
    </w:p>
    <w:p>
      <w:pPr>
        <w:spacing w:beforeLines="100" w:afterLines="100"/>
        <w:jc w:val="center"/>
        <w:rPr>
          <w:b/>
          <w:color w:val="000000"/>
          <w:sz w:val="30"/>
          <w:szCs w:val="30"/>
        </w:rPr>
      </w:pPr>
      <w:r>
        <w:rPr>
          <w:rFonts w:hint="eastAsia"/>
          <w:b/>
          <w:color w:val="000000"/>
          <w:sz w:val="30"/>
          <w:szCs w:val="30"/>
        </w:rPr>
        <w:t>保证金有关证明材料</w:t>
      </w:r>
    </w:p>
    <w:p>
      <w:pPr>
        <w:adjustRightInd w:val="0"/>
        <w:snapToGrid w:val="0"/>
        <w:spacing w:beforeLines="20" w:afterLines="20" w:line="540" w:lineRule="exact"/>
        <w:jc w:val="center"/>
        <w:rPr>
          <w:rFonts w:ascii="宋体"/>
          <w:b/>
          <w:color w:val="000000"/>
          <w:sz w:val="28"/>
          <w:szCs w:val="28"/>
        </w:rPr>
      </w:pPr>
    </w:p>
    <w:p>
      <w:pPr>
        <w:adjustRightInd w:val="0"/>
        <w:snapToGrid w:val="0"/>
        <w:spacing w:beforeLines="20" w:afterLines="20" w:line="540" w:lineRule="exact"/>
        <w:jc w:val="center"/>
        <w:rPr>
          <w:rFonts w:ascii="宋体"/>
          <w:b/>
          <w:color w:val="000000"/>
          <w:sz w:val="28"/>
          <w:szCs w:val="28"/>
        </w:rPr>
      </w:pPr>
    </w:p>
    <w:p>
      <w:pPr>
        <w:snapToGrid w:val="0"/>
        <w:spacing w:line="360" w:lineRule="auto"/>
        <w:ind w:firstLine="463" w:firstLineChars="192"/>
        <w:rPr>
          <w:rFonts w:ascii="宋体"/>
          <w:color w:val="000000"/>
          <w:sz w:val="24"/>
          <w:szCs w:val="24"/>
        </w:rPr>
      </w:pPr>
      <w:r>
        <w:rPr>
          <w:rFonts w:ascii="宋体" w:hAnsi="宋体"/>
          <w:b/>
          <w:color w:val="000000"/>
          <w:sz w:val="24"/>
          <w:szCs w:val="24"/>
        </w:rPr>
        <w:t>1</w:t>
      </w:r>
      <w:r>
        <w:rPr>
          <w:rFonts w:hint="eastAsia" w:ascii="宋体" w:hAnsi="宋体"/>
          <w:b/>
          <w:color w:val="000000"/>
          <w:sz w:val="24"/>
          <w:szCs w:val="24"/>
        </w:rPr>
        <w:t>、</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color w:val="000000"/>
          <w:sz w:val="24"/>
          <w:szCs w:val="24"/>
        </w:rPr>
      </w:pPr>
    </w:p>
    <w:p>
      <w:pPr>
        <w:snapToGrid w:val="0"/>
        <w:spacing w:line="360" w:lineRule="auto"/>
        <w:ind w:firstLine="460" w:firstLineChars="192"/>
        <w:rPr>
          <w:rFonts w:ascii="宋体"/>
          <w:b/>
          <w:color w:val="000000"/>
          <w:sz w:val="24"/>
          <w:szCs w:val="24"/>
        </w:rPr>
      </w:pPr>
      <w:r>
        <w:rPr>
          <w:rFonts w:ascii="宋体" w:hAnsi="宋体"/>
          <w:color w:val="000000"/>
          <w:sz w:val="24"/>
          <w:szCs w:val="24"/>
        </w:rPr>
        <w:t>2.</w:t>
      </w:r>
      <w:r>
        <w:rPr>
          <w:rFonts w:hint="eastAsia" w:ascii="宋体" w:hAnsi="宋体"/>
          <w:color w:val="000000"/>
          <w:sz w:val="24"/>
          <w:szCs w:val="24"/>
        </w:rPr>
        <w:t>保证金转账或电汇凭证</w:t>
      </w:r>
      <w:r>
        <w:rPr>
          <w:rFonts w:hint="eastAsia" w:ascii="宋体" w:hAnsi="宋体"/>
          <w:b/>
          <w:color w:val="000000"/>
          <w:sz w:val="24"/>
          <w:szCs w:val="24"/>
        </w:rPr>
        <w:t>：</w:t>
      </w:r>
    </w:p>
    <w:p>
      <w:pPr>
        <w:snapToGrid w:val="0"/>
        <w:spacing w:line="360" w:lineRule="auto"/>
        <w:ind w:firstLine="463" w:firstLineChars="192"/>
        <w:rPr>
          <w:rFonts w:ascii="宋体"/>
          <w:b/>
          <w:color w:val="000000"/>
          <w:sz w:val="24"/>
          <w:szCs w:val="24"/>
        </w:rPr>
      </w:pPr>
    </w:p>
    <w:p>
      <w:pPr>
        <w:snapToGrid w:val="0"/>
        <w:spacing w:line="360" w:lineRule="auto"/>
        <w:ind w:firstLine="463" w:firstLineChars="192"/>
        <w:rPr>
          <w:rFonts w:ascii="宋体"/>
          <w:b/>
          <w:color w:val="000000"/>
          <w:sz w:val="24"/>
          <w:szCs w:val="24"/>
        </w:rPr>
      </w:pPr>
    </w:p>
    <w:p>
      <w:pPr>
        <w:snapToGrid w:val="0"/>
        <w:spacing w:line="360" w:lineRule="auto"/>
        <w:ind w:firstLine="463" w:firstLineChars="192"/>
        <w:rPr>
          <w:rFonts w:ascii="宋体"/>
          <w:b/>
          <w:color w:val="000000"/>
          <w:sz w:val="24"/>
          <w:szCs w:val="24"/>
        </w:rPr>
      </w:pPr>
    </w:p>
    <w:p>
      <w:pPr>
        <w:snapToGrid w:val="0"/>
        <w:spacing w:line="360" w:lineRule="auto"/>
        <w:ind w:firstLine="463" w:firstLineChars="192"/>
        <w:rPr>
          <w:rFonts w:ascii="宋体"/>
          <w:b/>
          <w:color w:val="000000"/>
          <w:sz w:val="24"/>
          <w:szCs w:val="24"/>
        </w:rPr>
      </w:pPr>
    </w:p>
    <w:p>
      <w:pPr>
        <w:snapToGrid w:val="0"/>
        <w:spacing w:line="360" w:lineRule="auto"/>
        <w:ind w:firstLine="463" w:firstLineChars="192"/>
        <w:rPr>
          <w:rFonts w:ascii="宋体"/>
          <w:b/>
          <w:color w:val="000000"/>
          <w:sz w:val="24"/>
          <w:szCs w:val="24"/>
        </w:rPr>
      </w:pPr>
    </w:p>
    <w:p>
      <w:pPr>
        <w:snapToGrid w:val="0"/>
        <w:spacing w:line="360" w:lineRule="auto"/>
        <w:ind w:firstLine="463" w:firstLineChars="192"/>
        <w:rPr>
          <w:rFonts w:asci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b/>
          <w:sz w:val="32"/>
          <w:szCs w:val="32"/>
        </w:rPr>
      </w:pPr>
    </w:p>
    <w:p>
      <w:pPr>
        <w:spacing w:line="360" w:lineRule="auto"/>
        <w:jc w:val="center"/>
        <w:rPr>
          <w:rFonts w:ascii="宋体"/>
          <w:b/>
          <w:sz w:val="32"/>
          <w:szCs w:val="32"/>
        </w:rPr>
      </w:pPr>
    </w:p>
    <w:p>
      <w:pPr>
        <w:spacing w:line="360" w:lineRule="auto"/>
        <w:jc w:val="center"/>
        <w:rPr>
          <w:rFonts w:ascii="宋体"/>
          <w:b/>
          <w:sz w:val="32"/>
          <w:szCs w:val="32"/>
        </w:rPr>
      </w:pPr>
    </w:p>
    <w:p>
      <w:pPr>
        <w:widowControl/>
        <w:spacing w:line="360" w:lineRule="auto"/>
        <w:jc w:val="left"/>
        <w:rPr>
          <w:rFonts w:ascii="宋体"/>
          <w:b/>
          <w:szCs w:val="21"/>
        </w:rPr>
      </w:pPr>
    </w:p>
    <w:p>
      <w:pPr>
        <w:widowControl/>
        <w:spacing w:line="360" w:lineRule="auto"/>
        <w:jc w:val="left"/>
        <w:rPr>
          <w:rFonts w:asci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b/>
          <w:sz w:val="32"/>
          <w:szCs w:val="32"/>
        </w:rPr>
      </w:pPr>
      <w:r>
        <w:rPr>
          <w:rFonts w:hint="eastAsia" w:ascii="宋体" w:hAnsi="宋体"/>
          <w:b/>
          <w:sz w:val="32"/>
          <w:szCs w:val="32"/>
          <w:highlight w:val="yellow"/>
        </w:rPr>
        <w:t>承诺书（格式）</w:t>
      </w:r>
    </w:p>
    <w:p>
      <w:pPr>
        <w:spacing w:line="360" w:lineRule="auto"/>
        <w:rPr>
          <w:rFonts w:ascii="宋体"/>
          <w:szCs w:val="21"/>
        </w:rPr>
      </w:pPr>
    </w:p>
    <w:p>
      <w:pPr>
        <w:spacing w:line="480" w:lineRule="auto"/>
        <w:ind w:firstLine="420" w:firstLineChars="200"/>
        <w:rPr>
          <w:rFonts w:ascii="宋体"/>
          <w:szCs w:val="21"/>
        </w:rPr>
      </w:pPr>
      <w:r>
        <w:rPr>
          <w:rFonts w:hint="eastAsia" w:ascii="宋体" w:hAnsi="宋体"/>
          <w:szCs w:val="21"/>
        </w:rPr>
        <w:t>我单位自愿参加该项目的采购活动，为此，我们郑重承诺：</w:t>
      </w:r>
      <w:r>
        <w:rPr>
          <w:rFonts w:ascii="宋体" w:hAnsi="宋体"/>
          <w:szCs w:val="21"/>
        </w:rPr>
        <w:t xml:space="preserve"> </w:t>
      </w:r>
    </w:p>
    <w:p>
      <w:pPr>
        <w:spacing w:line="480" w:lineRule="auto"/>
        <w:ind w:firstLine="420" w:firstLineChars="200"/>
        <w:rPr>
          <w:rFonts w:ascii="宋体"/>
          <w:szCs w:val="21"/>
        </w:rPr>
      </w:pPr>
      <w:r>
        <w:rPr>
          <w:rFonts w:hint="eastAsia" w:ascii="宋体" w:hAnsi="宋体"/>
          <w:szCs w:val="21"/>
        </w:rPr>
        <w:t>一、遵守《政府采购法》、《招标投标法》、《合同法》等法律、法规，诚实守信，合法经营，严格自律，不参与、不做任何违法违纪的事。</w:t>
      </w:r>
      <w:r>
        <w:rPr>
          <w:rFonts w:ascii="宋体" w:hAnsi="宋体"/>
          <w:szCs w:val="21"/>
        </w:rPr>
        <w:t xml:space="preserve"> </w:t>
      </w:r>
    </w:p>
    <w:p>
      <w:pPr>
        <w:spacing w:line="480" w:lineRule="auto"/>
        <w:ind w:firstLine="420" w:firstLineChars="200"/>
        <w:rPr>
          <w:rFonts w:asci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szCs w:val="21"/>
        </w:rPr>
      </w:pPr>
    </w:p>
    <w:p>
      <w:pPr>
        <w:spacing w:line="300" w:lineRule="auto"/>
        <w:rPr>
          <w:rFonts w:ascii="宋体"/>
          <w:szCs w:val="21"/>
        </w:rPr>
      </w:pPr>
    </w:p>
    <w:p>
      <w:pPr>
        <w:spacing w:line="300" w:lineRule="auto"/>
        <w:rPr>
          <w:rFonts w:ascii="宋体"/>
          <w:szCs w:val="21"/>
        </w:rPr>
      </w:pPr>
    </w:p>
    <w:p>
      <w:pPr>
        <w:spacing w:line="300" w:lineRule="auto"/>
        <w:rPr>
          <w:rFonts w:ascii="宋体"/>
          <w:szCs w:val="21"/>
        </w:rPr>
      </w:pPr>
    </w:p>
    <w:p>
      <w:pPr>
        <w:spacing w:line="300" w:lineRule="auto"/>
        <w:ind w:firstLine="4725" w:firstLineChars="2250"/>
        <w:rPr>
          <w:rFonts w:ascii="宋体"/>
          <w:szCs w:val="21"/>
        </w:rPr>
      </w:pPr>
      <w:r>
        <w:rPr>
          <w:rFonts w:hint="eastAsia" w:ascii="宋体" w:hAnsi="宋体"/>
          <w:szCs w:val="21"/>
        </w:rPr>
        <w:t>投标人名称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b/>
          <w:szCs w:val="21"/>
        </w:rPr>
      </w:pPr>
    </w:p>
    <w:p>
      <w:pPr>
        <w:widowControl/>
        <w:spacing w:line="360" w:lineRule="auto"/>
        <w:ind w:firstLine="1050" w:firstLineChars="498"/>
        <w:jc w:val="left"/>
        <w:rPr>
          <w:rFonts w:ascii="宋体"/>
          <w:b/>
          <w:color w:val="0000FF"/>
          <w:szCs w:val="21"/>
        </w:rPr>
      </w:pPr>
      <w:r>
        <w:rPr>
          <w:rFonts w:hint="eastAsia" w:ascii="宋体" w:hAnsi="宋体"/>
          <w:b/>
          <w:color w:val="0000FF"/>
          <w:szCs w:val="21"/>
        </w:rPr>
        <w:t>我单位近三年（从</w:t>
      </w:r>
      <w:r>
        <w:rPr>
          <w:rFonts w:ascii="宋体" w:hAnsi="宋体"/>
          <w:b/>
          <w:color w:val="0000FF"/>
          <w:szCs w:val="21"/>
        </w:rPr>
        <w:t xml:space="preserve">   </w:t>
      </w:r>
      <w:r>
        <w:rPr>
          <w:rFonts w:hint="eastAsia" w:ascii="宋体" w:hAnsi="宋体"/>
          <w:b/>
          <w:color w:val="0000FF"/>
          <w:szCs w:val="21"/>
        </w:rPr>
        <w:t>年</w:t>
      </w:r>
      <w:r>
        <w:rPr>
          <w:rFonts w:ascii="宋体" w:hAnsi="宋体"/>
          <w:b/>
          <w:color w:val="0000FF"/>
          <w:szCs w:val="21"/>
        </w:rPr>
        <w:t xml:space="preserve">   </w:t>
      </w:r>
      <w:r>
        <w:rPr>
          <w:rFonts w:hint="eastAsia" w:ascii="宋体" w:hAnsi="宋体"/>
          <w:b/>
          <w:color w:val="0000FF"/>
          <w:szCs w:val="21"/>
        </w:rPr>
        <w:t>月至</w:t>
      </w:r>
      <w:r>
        <w:rPr>
          <w:rFonts w:ascii="宋体" w:hAnsi="宋体"/>
          <w:b/>
          <w:color w:val="0000FF"/>
          <w:szCs w:val="21"/>
        </w:rPr>
        <w:t xml:space="preserve">  </w:t>
      </w:r>
      <w:r>
        <w:rPr>
          <w:rFonts w:hint="eastAsia" w:ascii="宋体" w:hAnsi="宋体"/>
          <w:b/>
          <w:color w:val="0000FF"/>
          <w:szCs w:val="21"/>
        </w:rPr>
        <w:t>年</w:t>
      </w:r>
      <w:r>
        <w:rPr>
          <w:rFonts w:ascii="宋体" w:hAnsi="宋体"/>
          <w:b/>
          <w:color w:val="0000FF"/>
          <w:szCs w:val="21"/>
        </w:rPr>
        <w:t xml:space="preserve">   </w:t>
      </w:r>
      <w:r>
        <w:rPr>
          <w:rFonts w:hint="eastAsia" w:ascii="宋体" w:hAnsi="宋体"/>
          <w:b/>
          <w:color w:val="0000FF"/>
          <w:szCs w:val="21"/>
        </w:rPr>
        <w:t>月）无重大违法记录，特此声明。</w:t>
      </w:r>
    </w:p>
    <w:p>
      <w:pPr>
        <w:widowControl/>
        <w:spacing w:line="360" w:lineRule="auto"/>
        <w:ind w:firstLine="1050" w:firstLineChars="498"/>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widowControl/>
        <w:spacing w:line="360" w:lineRule="auto"/>
        <w:jc w:val="left"/>
        <w:rPr>
          <w:rFonts w:ascii="宋体"/>
          <w:b/>
          <w:szCs w:val="21"/>
        </w:rPr>
      </w:pPr>
    </w:p>
    <w:p>
      <w:pPr>
        <w:spacing w:line="300" w:lineRule="auto"/>
        <w:jc w:val="center"/>
        <w:rPr>
          <w:rFonts w:ascii="宋体"/>
          <w:szCs w:val="21"/>
        </w:rPr>
      </w:pPr>
      <w:r>
        <w:rPr>
          <w:rFonts w:ascii="宋体" w:hAnsi="宋体"/>
          <w:szCs w:val="21"/>
        </w:rPr>
        <w:t xml:space="preserve">                                             </w:t>
      </w:r>
      <w:r>
        <w:rPr>
          <w:rFonts w:hint="eastAsia" w:ascii="宋体" w:hAnsi="宋体"/>
          <w:szCs w:val="21"/>
        </w:rPr>
        <w:t>投标人名称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right="525" w:firstLine="4725" w:firstLineChars="2250"/>
        <w:jc w:val="right"/>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widowControl/>
        <w:spacing w:line="360" w:lineRule="auto"/>
        <w:jc w:val="left"/>
        <w:rPr>
          <w:rFonts w:asci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rPr>
        <w:t>十、其他资料</w:t>
      </w:r>
    </w:p>
    <w:p>
      <w:pPr>
        <w:widowControl/>
        <w:spacing w:line="360" w:lineRule="auto"/>
        <w:jc w:val="left"/>
        <w:rPr>
          <w:rFonts w:asci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幼圆">
    <w:altName w:val="宋体"/>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2F41"/>
    <w:multiLevelType w:val="multilevel"/>
    <w:tmpl w:val="1E832F41"/>
    <w:lvl w:ilvl="0" w:tentative="0">
      <w:start w:val="1"/>
      <w:numFmt w:val="decimal"/>
      <w:pStyle w:val="88"/>
      <w:lvlText w:val="%1)"/>
      <w:lvlJc w:val="left"/>
      <w:pPr>
        <w:ind w:left="900" w:hanging="420"/>
      </w:pPr>
      <w:rPr>
        <w:rFonts w:cs="Times New Roman"/>
      </w:rPr>
    </w:lvl>
    <w:lvl w:ilvl="1" w:tentative="0">
      <w:start w:val="1"/>
      <w:numFmt w:val="lowerLetter"/>
      <w:lvlText w:val="%2)"/>
      <w:lvlJc w:val="left"/>
      <w:pPr>
        <w:ind w:left="1320" w:hanging="420"/>
      </w:pPr>
      <w:rPr>
        <w:rFonts w:cs="Times New Roman"/>
      </w:rPr>
    </w:lvl>
    <w:lvl w:ilvl="2" w:tentative="0">
      <w:start w:val="1"/>
      <w:numFmt w:val="lowerRoman"/>
      <w:lvlText w:val="%3."/>
      <w:lvlJc w:val="right"/>
      <w:pPr>
        <w:ind w:left="1740" w:hanging="420"/>
      </w:pPr>
      <w:rPr>
        <w:rFonts w:cs="Times New Roman"/>
      </w:rPr>
    </w:lvl>
    <w:lvl w:ilvl="3" w:tentative="0">
      <w:start w:val="1"/>
      <w:numFmt w:val="decimal"/>
      <w:lvlText w:val="%4."/>
      <w:lvlJc w:val="left"/>
      <w:pPr>
        <w:ind w:left="2160" w:hanging="420"/>
      </w:pPr>
      <w:rPr>
        <w:rFonts w:cs="Times New Roman"/>
      </w:rPr>
    </w:lvl>
    <w:lvl w:ilvl="4" w:tentative="0">
      <w:start w:val="1"/>
      <w:numFmt w:val="lowerLetter"/>
      <w:lvlText w:val="%5)"/>
      <w:lvlJc w:val="left"/>
      <w:pPr>
        <w:ind w:left="2580" w:hanging="420"/>
      </w:pPr>
      <w:rPr>
        <w:rFonts w:cs="Times New Roman"/>
      </w:rPr>
    </w:lvl>
    <w:lvl w:ilvl="5" w:tentative="0">
      <w:start w:val="1"/>
      <w:numFmt w:val="lowerRoman"/>
      <w:lvlText w:val="%6."/>
      <w:lvlJc w:val="right"/>
      <w:pPr>
        <w:ind w:left="3000" w:hanging="420"/>
      </w:pPr>
      <w:rPr>
        <w:rFonts w:cs="Times New Roman"/>
      </w:rPr>
    </w:lvl>
    <w:lvl w:ilvl="6" w:tentative="0">
      <w:start w:val="1"/>
      <w:numFmt w:val="decimal"/>
      <w:lvlText w:val="%7."/>
      <w:lvlJc w:val="left"/>
      <w:pPr>
        <w:ind w:left="3420" w:hanging="420"/>
      </w:pPr>
      <w:rPr>
        <w:rFonts w:cs="Times New Roman"/>
      </w:rPr>
    </w:lvl>
    <w:lvl w:ilvl="7" w:tentative="0">
      <w:start w:val="1"/>
      <w:numFmt w:val="lowerLetter"/>
      <w:lvlText w:val="%8)"/>
      <w:lvlJc w:val="left"/>
      <w:pPr>
        <w:ind w:left="3840" w:hanging="420"/>
      </w:pPr>
      <w:rPr>
        <w:rFonts w:cs="Times New Roman"/>
      </w:rPr>
    </w:lvl>
    <w:lvl w:ilvl="8" w:tentative="0">
      <w:start w:val="1"/>
      <w:numFmt w:val="lowerRoman"/>
      <w:lvlText w:val="%9."/>
      <w:lvlJc w:val="right"/>
      <w:pPr>
        <w:ind w:left="426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4167"/>
    <w:rsid w:val="00015616"/>
    <w:rsid w:val="00040B57"/>
    <w:rsid w:val="00043BA7"/>
    <w:rsid w:val="00045E34"/>
    <w:rsid w:val="0009291E"/>
    <w:rsid w:val="000943C4"/>
    <w:rsid w:val="000A416F"/>
    <w:rsid w:val="000F1DC7"/>
    <w:rsid w:val="00117DFC"/>
    <w:rsid w:val="00124A26"/>
    <w:rsid w:val="001531DE"/>
    <w:rsid w:val="00162093"/>
    <w:rsid w:val="00162BE8"/>
    <w:rsid w:val="001A0FCF"/>
    <w:rsid w:val="001D3169"/>
    <w:rsid w:val="001D653D"/>
    <w:rsid w:val="00202C7A"/>
    <w:rsid w:val="003457F7"/>
    <w:rsid w:val="0034678A"/>
    <w:rsid w:val="003B39BF"/>
    <w:rsid w:val="003C3054"/>
    <w:rsid w:val="00483B92"/>
    <w:rsid w:val="004C0B25"/>
    <w:rsid w:val="004F0904"/>
    <w:rsid w:val="0053162C"/>
    <w:rsid w:val="00544445"/>
    <w:rsid w:val="005455BE"/>
    <w:rsid w:val="00583433"/>
    <w:rsid w:val="005B61DE"/>
    <w:rsid w:val="005E3D0B"/>
    <w:rsid w:val="005F5873"/>
    <w:rsid w:val="00607F62"/>
    <w:rsid w:val="0062559E"/>
    <w:rsid w:val="006374C1"/>
    <w:rsid w:val="006419E6"/>
    <w:rsid w:val="0067764E"/>
    <w:rsid w:val="006A3688"/>
    <w:rsid w:val="006C3420"/>
    <w:rsid w:val="006D4EFE"/>
    <w:rsid w:val="00700A26"/>
    <w:rsid w:val="00737887"/>
    <w:rsid w:val="00774ECC"/>
    <w:rsid w:val="00790030"/>
    <w:rsid w:val="007A7EDD"/>
    <w:rsid w:val="007C4E06"/>
    <w:rsid w:val="00800F45"/>
    <w:rsid w:val="00804D82"/>
    <w:rsid w:val="00813905"/>
    <w:rsid w:val="00821F2D"/>
    <w:rsid w:val="00826AC2"/>
    <w:rsid w:val="00841AB1"/>
    <w:rsid w:val="008B20FF"/>
    <w:rsid w:val="008F1296"/>
    <w:rsid w:val="00906A63"/>
    <w:rsid w:val="0091284E"/>
    <w:rsid w:val="009665A2"/>
    <w:rsid w:val="0097730C"/>
    <w:rsid w:val="009815C5"/>
    <w:rsid w:val="0098198B"/>
    <w:rsid w:val="00984167"/>
    <w:rsid w:val="009A2F00"/>
    <w:rsid w:val="00A35796"/>
    <w:rsid w:val="00AC6422"/>
    <w:rsid w:val="00AE28D4"/>
    <w:rsid w:val="00BD2876"/>
    <w:rsid w:val="00CA14B2"/>
    <w:rsid w:val="00CE7396"/>
    <w:rsid w:val="00DC0AA1"/>
    <w:rsid w:val="00DE0BF4"/>
    <w:rsid w:val="00E95685"/>
    <w:rsid w:val="00ED3B67"/>
    <w:rsid w:val="00ED68BE"/>
    <w:rsid w:val="00F10591"/>
    <w:rsid w:val="00F30EFA"/>
    <w:rsid w:val="00F40777"/>
    <w:rsid w:val="00F83EF9"/>
    <w:rsid w:val="00FF02E7"/>
    <w:rsid w:val="0105439A"/>
    <w:rsid w:val="010C1513"/>
    <w:rsid w:val="01306B6E"/>
    <w:rsid w:val="01336AEA"/>
    <w:rsid w:val="014C1C4D"/>
    <w:rsid w:val="015E6724"/>
    <w:rsid w:val="01666EAC"/>
    <w:rsid w:val="018B2C05"/>
    <w:rsid w:val="019452CD"/>
    <w:rsid w:val="019C3A31"/>
    <w:rsid w:val="019F5B07"/>
    <w:rsid w:val="01A96E5A"/>
    <w:rsid w:val="01B52ECD"/>
    <w:rsid w:val="01D77A89"/>
    <w:rsid w:val="01E57560"/>
    <w:rsid w:val="01EB7929"/>
    <w:rsid w:val="01F27730"/>
    <w:rsid w:val="01F7795B"/>
    <w:rsid w:val="01FB63A6"/>
    <w:rsid w:val="0200327B"/>
    <w:rsid w:val="02162590"/>
    <w:rsid w:val="021725EC"/>
    <w:rsid w:val="02604464"/>
    <w:rsid w:val="0272399E"/>
    <w:rsid w:val="027C1790"/>
    <w:rsid w:val="029B3060"/>
    <w:rsid w:val="02B43F75"/>
    <w:rsid w:val="02B65B06"/>
    <w:rsid w:val="02BE5F54"/>
    <w:rsid w:val="02C261C4"/>
    <w:rsid w:val="02D4660B"/>
    <w:rsid w:val="02E50087"/>
    <w:rsid w:val="02F07B6B"/>
    <w:rsid w:val="03002AF9"/>
    <w:rsid w:val="03054B01"/>
    <w:rsid w:val="03084300"/>
    <w:rsid w:val="03597B41"/>
    <w:rsid w:val="035E5F6D"/>
    <w:rsid w:val="03721F6F"/>
    <w:rsid w:val="038B32D9"/>
    <w:rsid w:val="03964B56"/>
    <w:rsid w:val="03A7028E"/>
    <w:rsid w:val="03B34436"/>
    <w:rsid w:val="03D57169"/>
    <w:rsid w:val="03E67070"/>
    <w:rsid w:val="03E727B0"/>
    <w:rsid w:val="03F1125C"/>
    <w:rsid w:val="03FE640A"/>
    <w:rsid w:val="03FF6DAA"/>
    <w:rsid w:val="040474B0"/>
    <w:rsid w:val="04106548"/>
    <w:rsid w:val="04202A33"/>
    <w:rsid w:val="043A660F"/>
    <w:rsid w:val="045A45DF"/>
    <w:rsid w:val="0481730F"/>
    <w:rsid w:val="048558FE"/>
    <w:rsid w:val="049070E9"/>
    <w:rsid w:val="04B102E3"/>
    <w:rsid w:val="04CF07A3"/>
    <w:rsid w:val="04D02DD4"/>
    <w:rsid w:val="04E06B28"/>
    <w:rsid w:val="04E92A5E"/>
    <w:rsid w:val="04F11D7E"/>
    <w:rsid w:val="05071AD8"/>
    <w:rsid w:val="052460C8"/>
    <w:rsid w:val="053830C5"/>
    <w:rsid w:val="053E795E"/>
    <w:rsid w:val="057E22DD"/>
    <w:rsid w:val="05870C9D"/>
    <w:rsid w:val="05935F99"/>
    <w:rsid w:val="059D2658"/>
    <w:rsid w:val="05BB3F97"/>
    <w:rsid w:val="05BD4CD3"/>
    <w:rsid w:val="05D24CE7"/>
    <w:rsid w:val="05D63C43"/>
    <w:rsid w:val="05DE09A0"/>
    <w:rsid w:val="06055928"/>
    <w:rsid w:val="060C3B1E"/>
    <w:rsid w:val="062B0398"/>
    <w:rsid w:val="064515AF"/>
    <w:rsid w:val="065C2DC5"/>
    <w:rsid w:val="065D64A3"/>
    <w:rsid w:val="066461FC"/>
    <w:rsid w:val="069A48D2"/>
    <w:rsid w:val="06B46839"/>
    <w:rsid w:val="06BA45F9"/>
    <w:rsid w:val="06C259F2"/>
    <w:rsid w:val="06D35BA0"/>
    <w:rsid w:val="06DC5A8B"/>
    <w:rsid w:val="06E51288"/>
    <w:rsid w:val="06F30E95"/>
    <w:rsid w:val="06F5447A"/>
    <w:rsid w:val="0706002C"/>
    <w:rsid w:val="070D48A8"/>
    <w:rsid w:val="07151E68"/>
    <w:rsid w:val="07227655"/>
    <w:rsid w:val="072932BC"/>
    <w:rsid w:val="07306B8B"/>
    <w:rsid w:val="073721A2"/>
    <w:rsid w:val="07485A5F"/>
    <w:rsid w:val="075C6BE1"/>
    <w:rsid w:val="076B2E2F"/>
    <w:rsid w:val="077C4F10"/>
    <w:rsid w:val="078C1329"/>
    <w:rsid w:val="07A40ED1"/>
    <w:rsid w:val="07A666A2"/>
    <w:rsid w:val="07AA5CA9"/>
    <w:rsid w:val="07AC1501"/>
    <w:rsid w:val="07C315DA"/>
    <w:rsid w:val="07CD1D19"/>
    <w:rsid w:val="0831495E"/>
    <w:rsid w:val="08336D98"/>
    <w:rsid w:val="08356DA0"/>
    <w:rsid w:val="08443576"/>
    <w:rsid w:val="08564C38"/>
    <w:rsid w:val="08640593"/>
    <w:rsid w:val="086E39DD"/>
    <w:rsid w:val="0881363B"/>
    <w:rsid w:val="088307C1"/>
    <w:rsid w:val="08847914"/>
    <w:rsid w:val="088A605B"/>
    <w:rsid w:val="08A95441"/>
    <w:rsid w:val="08B063FC"/>
    <w:rsid w:val="08C16C3F"/>
    <w:rsid w:val="08CA692B"/>
    <w:rsid w:val="08CB11AB"/>
    <w:rsid w:val="08DA1525"/>
    <w:rsid w:val="08DE5AE7"/>
    <w:rsid w:val="08E233DF"/>
    <w:rsid w:val="08FB6F36"/>
    <w:rsid w:val="09021BC4"/>
    <w:rsid w:val="090B2E0A"/>
    <w:rsid w:val="090F0D44"/>
    <w:rsid w:val="092767FF"/>
    <w:rsid w:val="095C7247"/>
    <w:rsid w:val="096125E3"/>
    <w:rsid w:val="096B693C"/>
    <w:rsid w:val="096F6C88"/>
    <w:rsid w:val="097018B5"/>
    <w:rsid w:val="097331B4"/>
    <w:rsid w:val="097A3EA7"/>
    <w:rsid w:val="0997225F"/>
    <w:rsid w:val="099917D4"/>
    <w:rsid w:val="09A805B1"/>
    <w:rsid w:val="09A83F32"/>
    <w:rsid w:val="09B724AD"/>
    <w:rsid w:val="09DC0061"/>
    <w:rsid w:val="09F07693"/>
    <w:rsid w:val="09F3173B"/>
    <w:rsid w:val="0A2F61F0"/>
    <w:rsid w:val="0A3C1B74"/>
    <w:rsid w:val="0A491065"/>
    <w:rsid w:val="0A552E2D"/>
    <w:rsid w:val="0A694EBA"/>
    <w:rsid w:val="0A6F4456"/>
    <w:rsid w:val="0A841969"/>
    <w:rsid w:val="0ABC264A"/>
    <w:rsid w:val="0ABD0150"/>
    <w:rsid w:val="0ACF2105"/>
    <w:rsid w:val="0B052162"/>
    <w:rsid w:val="0B072E82"/>
    <w:rsid w:val="0B283F58"/>
    <w:rsid w:val="0B2C603D"/>
    <w:rsid w:val="0B341448"/>
    <w:rsid w:val="0B397686"/>
    <w:rsid w:val="0B5A6375"/>
    <w:rsid w:val="0B5F129A"/>
    <w:rsid w:val="0B6D1BB2"/>
    <w:rsid w:val="0B6E2ADF"/>
    <w:rsid w:val="0B6E7AC2"/>
    <w:rsid w:val="0B756CD2"/>
    <w:rsid w:val="0B8C410D"/>
    <w:rsid w:val="0B924D97"/>
    <w:rsid w:val="0B955EC8"/>
    <w:rsid w:val="0BA170B3"/>
    <w:rsid w:val="0BAA22E6"/>
    <w:rsid w:val="0BAF4F4B"/>
    <w:rsid w:val="0BB86AFB"/>
    <w:rsid w:val="0BB95F36"/>
    <w:rsid w:val="0BBE5E96"/>
    <w:rsid w:val="0BC3738A"/>
    <w:rsid w:val="0BC950E2"/>
    <w:rsid w:val="0BDC4D64"/>
    <w:rsid w:val="0BE82097"/>
    <w:rsid w:val="0BFB21B0"/>
    <w:rsid w:val="0C033AD7"/>
    <w:rsid w:val="0C040E64"/>
    <w:rsid w:val="0C2F4424"/>
    <w:rsid w:val="0C3172FF"/>
    <w:rsid w:val="0C41152C"/>
    <w:rsid w:val="0C462B92"/>
    <w:rsid w:val="0C465C75"/>
    <w:rsid w:val="0C4C6F48"/>
    <w:rsid w:val="0C5B657F"/>
    <w:rsid w:val="0C8850B9"/>
    <w:rsid w:val="0C8F1E8C"/>
    <w:rsid w:val="0C9D2E17"/>
    <w:rsid w:val="0CB343A5"/>
    <w:rsid w:val="0CC54C9C"/>
    <w:rsid w:val="0CE71575"/>
    <w:rsid w:val="0CEE5A80"/>
    <w:rsid w:val="0CF61705"/>
    <w:rsid w:val="0D0D1259"/>
    <w:rsid w:val="0D4317F9"/>
    <w:rsid w:val="0D4D1DF6"/>
    <w:rsid w:val="0D5F4E7E"/>
    <w:rsid w:val="0D784318"/>
    <w:rsid w:val="0D9B340C"/>
    <w:rsid w:val="0DB60EC2"/>
    <w:rsid w:val="0DDB1BF8"/>
    <w:rsid w:val="0DDE623A"/>
    <w:rsid w:val="0DEB44B4"/>
    <w:rsid w:val="0E047A18"/>
    <w:rsid w:val="0E181D49"/>
    <w:rsid w:val="0E2E5FDB"/>
    <w:rsid w:val="0E39465A"/>
    <w:rsid w:val="0E3C6BE2"/>
    <w:rsid w:val="0E417A1F"/>
    <w:rsid w:val="0E4B1CFE"/>
    <w:rsid w:val="0E4C0355"/>
    <w:rsid w:val="0E4E6A1C"/>
    <w:rsid w:val="0E5A6218"/>
    <w:rsid w:val="0E7156D1"/>
    <w:rsid w:val="0E7F15AA"/>
    <w:rsid w:val="0EA95480"/>
    <w:rsid w:val="0EAA489B"/>
    <w:rsid w:val="0EAC2077"/>
    <w:rsid w:val="0EB33225"/>
    <w:rsid w:val="0EE14C03"/>
    <w:rsid w:val="0F097C10"/>
    <w:rsid w:val="0F1A542E"/>
    <w:rsid w:val="0F1B410F"/>
    <w:rsid w:val="0F1E4870"/>
    <w:rsid w:val="0F2C17AC"/>
    <w:rsid w:val="0F2C2B55"/>
    <w:rsid w:val="0F4849C5"/>
    <w:rsid w:val="0F4E35D2"/>
    <w:rsid w:val="0F6F0E2E"/>
    <w:rsid w:val="0F753240"/>
    <w:rsid w:val="0F833A2F"/>
    <w:rsid w:val="0F871164"/>
    <w:rsid w:val="0F8A6B2C"/>
    <w:rsid w:val="0FAE40CC"/>
    <w:rsid w:val="0FBC42CF"/>
    <w:rsid w:val="0FC05A6A"/>
    <w:rsid w:val="0FC34AB4"/>
    <w:rsid w:val="0FDE2324"/>
    <w:rsid w:val="10084DF4"/>
    <w:rsid w:val="10153E2B"/>
    <w:rsid w:val="1023300C"/>
    <w:rsid w:val="10243984"/>
    <w:rsid w:val="102638BD"/>
    <w:rsid w:val="1027575F"/>
    <w:rsid w:val="103466DC"/>
    <w:rsid w:val="10482157"/>
    <w:rsid w:val="10604043"/>
    <w:rsid w:val="109D76E7"/>
    <w:rsid w:val="10A534B1"/>
    <w:rsid w:val="10F63DF9"/>
    <w:rsid w:val="10FE726C"/>
    <w:rsid w:val="110730A1"/>
    <w:rsid w:val="1123066C"/>
    <w:rsid w:val="114D31EE"/>
    <w:rsid w:val="11542921"/>
    <w:rsid w:val="116859F5"/>
    <w:rsid w:val="117D0B50"/>
    <w:rsid w:val="117E5164"/>
    <w:rsid w:val="118D3A45"/>
    <w:rsid w:val="11914392"/>
    <w:rsid w:val="11A2655F"/>
    <w:rsid w:val="11A65902"/>
    <w:rsid w:val="11AA6A50"/>
    <w:rsid w:val="11B142AB"/>
    <w:rsid w:val="11BD399C"/>
    <w:rsid w:val="11BD3FCD"/>
    <w:rsid w:val="11C06091"/>
    <w:rsid w:val="11C14438"/>
    <w:rsid w:val="11D41883"/>
    <w:rsid w:val="11DC379C"/>
    <w:rsid w:val="11EE55F4"/>
    <w:rsid w:val="11FB5FEE"/>
    <w:rsid w:val="11FC5E2E"/>
    <w:rsid w:val="120173A1"/>
    <w:rsid w:val="1203695F"/>
    <w:rsid w:val="120D6655"/>
    <w:rsid w:val="121C761C"/>
    <w:rsid w:val="12272CFA"/>
    <w:rsid w:val="122859FA"/>
    <w:rsid w:val="123816AB"/>
    <w:rsid w:val="12385140"/>
    <w:rsid w:val="1265323D"/>
    <w:rsid w:val="1266717E"/>
    <w:rsid w:val="12771A10"/>
    <w:rsid w:val="128049E6"/>
    <w:rsid w:val="12836A7D"/>
    <w:rsid w:val="12853CE2"/>
    <w:rsid w:val="12A62520"/>
    <w:rsid w:val="12E7559F"/>
    <w:rsid w:val="1306607A"/>
    <w:rsid w:val="13433941"/>
    <w:rsid w:val="13480F43"/>
    <w:rsid w:val="135216BE"/>
    <w:rsid w:val="13910519"/>
    <w:rsid w:val="13AD72F3"/>
    <w:rsid w:val="13B3667C"/>
    <w:rsid w:val="13B47AED"/>
    <w:rsid w:val="13B76B87"/>
    <w:rsid w:val="13C76B83"/>
    <w:rsid w:val="13C91390"/>
    <w:rsid w:val="13F32937"/>
    <w:rsid w:val="14055F98"/>
    <w:rsid w:val="142A7BFE"/>
    <w:rsid w:val="14410B0B"/>
    <w:rsid w:val="144D5898"/>
    <w:rsid w:val="14574A87"/>
    <w:rsid w:val="14802533"/>
    <w:rsid w:val="148D68BA"/>
    <w:rsid w:val="148F3910"/>
    <w:rsid w:val="14A3289A"/>
    <w:rsid w:val="14BE37B2"/>
    <w:rsid w:val="14CE7EBE"/>
    <w:rsid w:val="14D63290"/>
    <w:rsid w:val="14D80944"/>
    <w:rsid w:val="14D8518B"/>
    <w:rsid w:val="15045279"/>
    <w:rsid w:val="150629ED"/>
    <w:rsid w:val="151A63DD"/>
    <w:rsid w:val="152C4FE2"/>
    <w:rsid w:val="1537516A"/>
    <w:rsid w:val="15475563"/>
    <w:rsid w:val="155D2CF5"/>
    <w:rsid w:val="156920FF"/>
    <w:rsid w:val="158A100B"/>
    <w:rsid w:val="1590779A"/>
    <w:rsid w:val="15A13B02"/>
    <w:rsid w:val="15C213E7"/>
    <w:rsid w:val="15C91F5E"/>
    <w:rsid w:val="15E91427"/>
    <w:rsid w:val="160C2243"/>
    <w:rsid w:val="161A54A9"/>
    <w:rsid w:val="1623491C"/>
    <w:rsid w:val="16396409"/>
    <w:rsid w:val="163E262E"/>
    <w:rsid w:val="163F19D6"/>
    <w:rsid w:val="164E5E27"/>
    <w:rsid w:val="165F2E0B"/>
    <w:rsid w:val="16615754"/>
    <w:rsid w:val="16675AEC"/>
    <w:rsid w:val="16883C6A"/>
    <w:rsid w:val="16957D49"/>
    <w:rsid w:val="169F396A"/>
    <w:rsid w:val="16AA172B"/>
    <w:rsid w:val="16B70EFF"/>
    <w:rsid w:val="16B83053"/>
    <w:rsid w:val="16C95D77"/>
    <w:rsid w:val="16CE2C21"/>
    <w:rsid w:val="16D6307D"/>
    <w:rsid w:val="16DC193C"/>
    <w:rsid w:val="16E44E8C"/>
    <w:rsid w:val="16F22D8B"/>
    <w:rsid w:val="16FA2CAA"/>
    <w:rsid w:val="16FE7B6A"/>
    <w:rsid w:val="17015002"/>
    <w:rsid w:val="1708355A"/>
    <w:rsid w:val="172563BC"/>
    <w:rsid w:val="173B367B"/>
    <w:rsid w:val="176924FF"/>
    <w:rsid w:val="176A2C6F"/>
    <w:rsid w:val="177379C7"/>
    <w:rsid w:val="177B3D5C"/>
    <w:rsid w:val="17866AA1"/>
    <w:rsid w:val="17896760"/>
    <w:rsid w:val="178E0A6B"/>
    <w:rsid w:val="179B21AB"/>
    <w:rsid w:val="179C27E1"/>
    <w:rsid w:val="179C41E5"/>
    <w:rsid w:val="17A4015F"/>
    <w:rsid w:val="17A8633A"/>
    <w:rsid w:val="17AA0309"/>
    <w:rsid w:val="17AA5CDE"/>
    <w:rsid w:val="17AC2437"/>
    <w:rsid w:val="17AF049E"/>
    <w:rsid w:val="17B07912"/>
    <w:rsid w:val="17CD15FD"/>
    <w:rsid w:val="17DB5FBD"/>
    <w:rsid w:val="17E6778E"/>
    <w:rsid w:val="17FA07AB"/>
    <w:rsid w:val="180A0B37"/>
    <w:rsid w:val="180D27D0"/>
    <w:rsid w:val="180E6704"/>
    <w:rsid w:val="18112B25"/>
    <w:rsid w:val="183646D2"/>
    <w:rsid w:val="1846009F"/>
    <w:rsid w:val="18574936"/>
    <w:rsid w:val="1868406C"/>
    <w:rsid w:val="189131C3"/>
    <w:rsid w:val="18956E44"/>
    <w:rsid w:val="189D4049"/>
    <w:rsid w:val="18B64912"/>
    <w:rsid w:val="18B76110"/>
    <w:rsid w:val="18BA1275"/>
    <w:rsid w:val="18BA721F"/>
    <w:rsid w:val="18BD339C"/>
    <w:rsid w:val="18C378EC"/>
    <w:rsid w:val="18D04797"/>
    <w:rsid w:val="18E913E0"/>
    <w:rsid w:val="18EB3DB2"/>
    <w:rsid w:val="18EC46AE"/>
    <w:rsid w:val="191026E1"/>
    <w:rsid w:val="19116E27"/>
    <w:rsid w:val="19484484"/>
    <w:rsid w:val="19727856"/>
    <w:rsid w:val="19937969"/>
    <w:rsid w:val="19C00AD3"/>
    <w:rsid w:val="19CF11F2"/>
    <w:rsid w:val="19E050FE"/>
    <w:rsid w:val="19E47793"/>
    <w:rsid w:val="19F52B11"/>
    <w:rsid w:val="1A071857"/>
    <w:rsid w:val="1A11686E"/>
    <w:rsid w:val="1A2000A1"/>
    <w:rsid w:val="1A22430C"/>
    <w:rsid w:val="1A34228F"/>
    <w:rsid w:val="1A527ABA"/>
    <w:rsid w:val="1A866BB4"/>
    <w:rsid w:val="1A9076E6"/>
    <w:rsid w:val="1AA226C8"/>
    <w:rsid w:val="1AB04A19"/>
    <w:rsid w:val="1AB459C8"/>
    <w:rsid w:val="1AC36387"/>
    <w:rsid w:val="1AD83EF4"/>
    <w:rsid w:val="1AE37027"/>
    <w:rsid w:val="1AE60FD4"/>
    <w:rsid w:val="1B024738"/>
    <w:rsid w:val="1B0F6A2E"/>
    <w:rsid w:val="1B176278"/>
    <w:rsid w:val="1B185407"/>
    <w:rsid w:val="1B1E02D4"/>
    <w:rsid w:val="1B4B7614"/>
    <w:rsid w:val="1B577E93"/>
    <w:rsid w:val="1B605446"/>
    <w:rsid w:val="1B68571D"/>
    <w:rsid w:val="1B7F0D90"/>
    <w:rsid w:val="1B817D0C"/>
    <w:rsid w:val="1BC908C4"/>
    <w:rsid w:val="1BF3556E"/>
    <w:rsid w:val="1BFD04D0"/>
    <w:rsid w:val="1C0A3ED4"/>
    <w:rsid w:val="1C140A0D"/>
    <w:rsid w:val="1C1D1DF2"/>
    <w:rsid w:val="1C373CD2"/>
    <w:rsid w:val="1C4F19FF"/>
    <w:rsid w:val="1C840806"/>
    <w:rsid w:val="1CA90FB7"/>
    <w:rsid w:val="1CB05923"/>
    <w:rsid w:val="1CC469F0"/>
    <w:rsid w:val="1CC911C3"/>
    <w:rsid w:val="1CDD60C2"/>
    <w:rsid w:val="1CE74519"/>
    <w:rsid w:val="1D064227"/>
    <w:rsid w:val="1D097EB9"/>
    <w:rsid w:val="1D0C035F"/>
    <w:rsid w:val="1D121A8A"/>
    <w:rsid w:val="1D1C7D2F"/>
    <w:rsid w:val="1D36319E"/>
    <w:rsid w:val="1D436355"/>
    <w:rsid w:val="1D4B3106"/>
    <w:rsid w:val="1D5702DC"/>
    <w:rsid w:val="1D60374C"/>
    <w:rsid w:val="1D677558"/>
    <w:rsid w:val="1D69147B"/>
    <w:rsid w:val="1D760E3D"/>
    <w:rsid w:val="1D786937"/>
    <w:rsid w:val="1D90750E"/>
    <w:rsid w:val="1DD77D19"/>
    <w:rsid w:val="1DD90B0B"/>
    <w:rsid w:val="1E1D2ABC"/>
    <w:rsid w:val="1E1F7DF5"/>
    <w:rsid w:val="1E311206"/>
    <w:rsid w:val="1E3A1230"/>
    <w:rsid w:val="1E4662D1"/>
    <w:rsid w:val="1E4F7FBD"/>
    <w:rsid w:val="1E6E0006"/>
    <w:rsid w:val="1E712987"/>
    <w:rsid w:val="1E886B59"/>
    <w:rsid w:val="1E9B013B"/>
    <w:rsid w:val="1EB62E41"/>
    <w:rsid w:val="1EFF07AB"/>
    <w:rsid w:val="1F0D7F71"/>
    <w:rsid w:val="1F1B793C"/>
    <w:rsid w:val="1F552D1E"/>
    <w:rsid w:val="1F594E06"/>
    <w:rsid w:val="1F66502E"/>
    <w:rsid w:val="1F7502D6"/>
    <w:rsid w:val="1F7577E1"/>
    <w:rsid w:val="1F773A0E"/>
    <w:rsid w:val="1F7D200D"/>
    <w:rsid w:val="1F7F20B0"/>
    <w:rsid w:val="1F9404A1"/>
    <w:rsid w:val="1FA022E3"/>
    <w:rsid w:val="1FC05AF5"/>
    <w:rsid w:val="1FC55F14"/>
    <w:rsid w:val="1FC934A6"/>
    <w:rsid w:val="1FCC402F"/>
    <w:rsid w:val="1FD53C93"/>
    <w:rsid w:val="1FE956D8"/>
    <w:rsid w:val="1FF92559"/>
    <w:rsid w:val="2000058D"/>
    <w:rsid w:val="20014CC7"/>
    <w:rsid w:val="201E080E"/>
    <w:rsid w:val="202D3844"/>
    <w:rsid w:val="20376A92"/>
    <w:rsid w:val="203F10AC"/>
    <w:rsid w:val="2057621B"/>
    <w:rsid w:val="206332E5"/>
    <w:rsid w:val="20691AD2"/>
    <w:rsid w:val="208C66E9"/>
    <w:rsid w:val="20B66411"/>
    <w:rsid w:val="20BA3EB2"/>
    <w:rsid w:val="20C36B31"/>
    <w:rsid w:val="20CA43EC"/>
    <w:rsid w:val="20CE4861"/>
    <w:rsid w:val="21016741"/>
    <w:rsid w:val="2101711D"/>
    <w:rsid w:val="210623F2"/>
    <w:rsid w:val="2139038F"/>
    <w:rsid w:val="2139426F"/>
    <w:rsid w:val="214065AA"/>
    <w:rsid w:val="214C1625"/>
    <w:rsid w:val="214D3F96"/>
    <w:rsid w:val="214E56EB"/>
    <w:rsid w:val="214E5EAE"/>
    <w:rsid w:val="214F634D"/>
    <w:rsid w:val="21504234"/>
    <w:rsid w:val="2151424A"/>
    <w:rsid w:val="21640F07"/>
    <w:rsid w:val="21712E02"/>
    <w:rsid w:val="21820D3B"/>
    <w:rsid w:val="21835B51"/>
    <w:rsid w:val="21BD4628"/>
    <w:rsid w:val="224B7E5A"/>
    <w:rsid w:val="225A0C7F"/>
    <w:rsid w:val="22686CFD"/>
    <w:rsid w:val="227C0C52"/>
    <w:rsid w:val="228E2F62"/>
    <w:rsid w:val="229C565C"/>
    <w:rsid w:val="22AF78E3"/>
    <w:rsid w:val="22E75029"/>
    <w:rsid w:val="22FB5EE0"/>
    <w:rsid w:val="231F7977"/>
    <w:rsid w:val="23443BAE"/>
    <w:rsid w:val="236A0077"/>
    <w:rsid w:val="23773E69"/>
    <w:rsid w:val="237E44D8"/>
    <w:rsid w:val="23944B78"/>
    <w:rsid w:val="23A05E84"/>
    <w:rsid w:val="23A71670"/>
    <w:rsid w:val="23B445D6"/>
    <w:rsid w:val="23C03F84"/>
    <w:rsid w:val="23CB3213"/>
    <w:rsid w:val="23D11720"/>
    <w:rsid w:val="23FE5155"/>
    <w:rsid w:val="242B20A1"/>
    <w:rsid w:val="24310962"/>
    <w:rsid w:val="2432582E"/>
    <w:rsid w:val="24432ED7"/>
    <w:rsid w:val="244A40DB"/>
    <w:rsid w:val="245D177A"/>
    <w:rsid w:val="24780FB7"/>
    <w:rsid w:val="247A462A"/>
    <w:rsid w:val="24824584"/>
    <w:rsid w:val="2484732A"/>
    <w:rsid w:val="248C1A07"/>
    <w:rsid w:val="248F3659"/>
    <w:rsid w:val="24990700"/>
    <w:rsid w:val="24B85BE6"/>
    <w:rsid w:val="24C00FC2"/>
    <w:rsid w:val="24C37F7F"/>
    <w:rsid w:val="24DF1E77"/>
    <w:rsid w:val="24F626A8"/>
    <w:rsid w:val="24F702CD"/>
    <w:rsid w:val="25240AFD"/>
    <w:rsid w:val="25390ED9"/>
    <w:rsid w:val="25504F9E"/>
    <w:rsid w:val="25507D2D"/>
    <w:rsid w:val="2576334D"/>
    <w:rsid w:val="257E05C4"/>
    <w:rsid w:val="258209EF"/>
    <w:rsid w:val="258752B9"/>
    <w:rsid w:val="25B620E6"/>
    <w:rsid w:val="25C4447A"/>
    <w:rsid w:val="25D26421"/>
    <w:rsid w:val="25F22E8B"/>
    <w:rsid w:val="25F81174"/>
    <w:rsid w:val="260B52D9"/>
    <w:rsid w:val="2631752B"/>
    <w:rsid w:val="263B1D3D"/>
    <w:rsid w:val="263E7303"/>
    <w:rsid w:val="265B3BA5"/>
    <w:rsid w:val="2692058F"/>
    <w:rsid w:val="26946F61"/>
    <w:rsid w:val="26A30C79"/>
    <w:rsid w:val="26A533BC"/>
    <w:rsid w:val="26A60FCD"/>
    <w:rsid w:val="26A71906"/>
    <w:rsid w:val="26AE0989"/>
    <w:rsid w:val="26C84952"/>
    <w:rsid w:val="26E66846"/>
    <w:rsid w:val="26FA3651"/>
    <w:rsid w:val="27003D89"/>
    <w:rsid w:val="27021036"/>
    <w:rsid w:val="2736796F"/>
    <w:rsid w:val="27651619"/>
    <w:rsid w:val="278F1FBC"/>
    <w:rsid w:val="27A3432A"/>
    <w:rsid w:val="27B22BA0"/>
    <w:rsid w:val="27B86F72"/>
    <w:rsid w:val="27DB2350"/>
    <w:rsid w:val="27DE016E"/>
    <w:rsid w:val="27E946FA"/>
    <w:rsid w:val="27F0591B"/>
    <w:rsid w:val="27F657E8"/>
    <w:rsid w:val="28102235"/>
    <w:rsid w:val="28123D45"/>
    <w:rsid w:val="281F3D7D"/>
    <w:rsid w:val="28321AE9"/>
    <w:rsid w:val="284340C3"/>
    <w:rsid w:val="284E1BFA"/>
    <w:rsid w:val="28517687"/>
    <w:rsid w:val="28554AF9"/>
    <w:rsid w:val="285C7AA6"/>
    <w:rsid w:val="286A5AC8"/>
    <w:rsid w:val="28782B82"/>
    <w:rsid w:val="287F1BA9"/>
    <w:rsid w:val="28885AB3"/>
    <w:rsid w:val="28970ABD"/>
    <w:rsid w:val="28AE2B73"/>
    <w:rsid w:val="28E13C74"/>
    <w:rsid w:val="28E16146"/>
    <w:rsid w:val="2918062E"/>
    <w:rsid w:val="292431B6"/>
    <w:rsid w:val="29263B88"/>
    <w:rsid w:val="29444145"/>
    <w:rsid w:val="294D1976"/>
    <w:rsid w:val="2951771D"/>
    <w:rsid w:val="295E51F3"/>
    <w:rsid w:val="299724A2"/>
    <w:rsid w:val="29CA41A9"/>
    <w:rsid w:val="29CA426F"/>
    <w:rsid w:val="29DF766A"/>
    <w:rsid w:val="29E30D2C"/>
    <w:rsid w:val="29E90BFE"/>
    <w:rsid w:val="2A0301F7"/>
    <w:rsid w:val="2A03295D"/>
    <w:rsid w:val="2A0D6FE7"/>
    <w:rsid w:val="2A3B63EF"/>
    <w:rsid w:val="2A471634"/>
    <w:rsid w:val="2A4B012F"/>
    <w:rsid w:val="2A5431BD"/>
    <w:rsid w:val="2A625850"/>
    <w:rsid w:val="2A625C2E"/>
    <w:rsid w:val="2A690223"/>
    <w:rsid w:val="2A7317A0"/>
    <w:rsid w:val="2A82783C"/>
    <w:rsid w:val="2A8B26F4"/>
    <w:rsid w:val="2AA53CA4"/>
    <w:rsid w:val="2AAA6188"/>
    <w:rsid w:val="2AAD6A73"/>
    <w:rsid w:val="2AAE378D"/>
    <w:rsid w:val="2AB628C9"/>
    <w:rsid w:val="2AB67623"/>
    <w:rsid w:val="2AC753E8"/>
    <w:rsid w:val="2ADF5388"/>
    <w:rsid w:val="2AF33759"/>
    <w:rsid w:val="2AF477AB"/>
    <w:rsid w:val="2B04145D"/>
    <w:rsid w:val="2B0E7D22"/>
    <w:rsid w:val="2B1F2930"/>
    <w:rsid w:val="2B3509E6"/>
    <w:rsid w:val="2B36351A"/>
    <w:rsid w:val="2B5977E1"/>
    <w:rsid w:val="2B680115"/>
    <w:rsid w:val="2B6B7D0D"/>
    <w:rsid w:val="2B766C07"/>
    <w:rsid w:val="2B802033"/>
    <w:rsid w:val="2BAA19C3"/>
    <w:rsid w:val="2BBC1485"/>
    <w:rsid w:val="2BC01647"/>
    <w:rsid w:val="2BC44F1A"/>
    <w:rsid w:val="2BE4686B"/>
    <w:rsid w:val="2C062FAB"/>
    <w:rsid w:val="2C090018"/>
    <w:rsid w:val="2C1354E4"/>
    <w:rsid w:val="2C466829"/>
    <w:rsid w:val="2C4A44F7"/>
    <w:rsid w:val="2C56766B"/>
    <w:rsid w:val="2C5D4963"/>
    <w:rsid w:val="2C5F1EED"/>
    <w:rsid w:val="2CAF3389"/>
    <w:rsid w:val="2CC91F3C"/>
    <w:rsid w:val="2CCE67A9"/>
    <w:rsid w:val="2CD365D5"/>
    <w:rsid w:val="2CDD05A4"/>
    <w:rsid w:val="2CE45AE6"/>
    <w:rsid w:val="2CED60C7"/>
    <w:rsid w:val="2CF11432"/>
    <w:rsid w:val="2CFC53C3"/>
    <w:rsid w:val="2D3039FB"/>
    <w:rsid w:val="2D72342E"/>
    <w:rsid w:val="2D90604D"/>
    <w:rsid w:val="2D9917D0"/>
    <w:rsid w:val="2DAA12EC"/>
    <w:rsid w:val="2DD04959"/>
    <w:rsid w:val="2DDC492F"/>
    <w:rsid w:val="2DEF371D"/>
    <w:rsid w:val="2DF46570"/>
    <w:rsid w:val="2E4670DE"/>
    <w:rsid w:val="2E5D384D"/>
    <w:rsid w:val="2EA103B0"/>
    <w:rsid w:val="2EA85906"/>
    <w:rsid w:val="2EBB4753"/>
    <w:rsid w:val="2EC45272"/>
    <w:rsid w:val="2EC51715"/>
    <w:rsid w:val="2ECF7C93"/>
    <w:rsid w:val="2ED147ED"/>
    <w:rsid w:val="2ED87C51"/>
    <w:rsid w:val="2EE32E40"/>
    <w:rsid w:val="2EF323DF"/>
    <w:rsid w:val="2EFC2309"/>
    <w:rsid w:val="2F065509"/>
    <w:rsid w:val="2F0C383F"/>
    <w:rsid w:val="2F125CE7"/>
    <w:rsid w:val="2F13520B"/>
    <w:rsid w:val="2F154791"/>
    <w:rsid w:val="2F2247E6"/>
    <w:rsid w:val="2F483C9E"/>
    <w:rsid w:val="2F4E0CF5"/>
    <w:rsid w:val="2F5F7082"/>
    <w:rsid w:val="2F6004B3"/>
    <w:rsid w:val="2F6036A4"/>
    <w:rsid w:val="2F76645C"/>
    <w:rsid w:val="2F801E85"/>
    <w:rsid w:val="2FA15702"/>
    <w:rsid w:val="2FA64F52"/>
    <w:rsid w:val="2FA718D4"/>
    <w:rsid w:val="2FC10131"/>
    <w:rsid w:val="2FD43AAB"/>
    <w:rsid w:val="2FE575A8"/>
    <w:rsid w:val="2FEB7C90"/>
    <w:rsid w:val="2FF47050"/>
    <w:rsid w:val="30021344"/>
    <w:rsid w:val="301D7F60"/>
    <w:rsid w:val="30242049"/>
    <w:rsid w:val="304E7E66"/>
    <w:rsid w:val="305355C6"/>
    <w:rsid w:val="30587A60"/>
    <w:rsid w:val="30633C4A"/>
    <w:rsid w:val="307E72A6"/>
    <w:rsid w:val="308C337C"/>
    <w:rsid w:val="3090717D"/>
    <w:rsid w:val="30B2605C"/>
    <w:rsid w:val="30DD6003"/>
    <w:rsid w:val="30F86EF0"/>
    <w:rsid w:val="31137A10"/>
    <w:rsid w:val="3118136C"/>
    <w:rsid w:val="311F71EF"/>
    <w:rsid w:val="314678FA"/>
    <w:rsid w:val="31525426"/>
    <w:rsid w:val="316E5DD3"/>
    <w:rsid w:val="317F7479"/>
    <w:rsid w:val="31994B9C"/>
    <w:rsid w:val="31C23915"/>
    <w:rsid w:val="31EC7E90"/>
    <w:rsid w:val="31F34430"/>
    <w:rsid w:val="31FA21C5"/>
    <w:rsid w:val="32060049"/>
    <w:rsid w:val="32121A11"/>
    <w:rsid w:val="32206813"/>
    <w:rsid w:val="324A29EC"/>
    <w:rsid w:val="32750B8A"/>
    <w:rsid w:val="32856C3B"/>
    <w:rsid w:val="32A36CEB"/>
    <w:rsid w:val="32B3727E"/>
    <w:rsid w:val="32C52C6F"/>
    <w:rsid w:val="32F23D81"/>
    <w:rsid w:val="33042CEB"/>
    <w:rsid w:val="331150C4"/>
    <w:rsid w:val="33125B84"/>
    <w:rsid w:val="33252650"/>
    <w:rsid w:val="332D0D33"/>
    <w:rsid w:val="333636C4"/>
    <w:rsid w:val="333B3790"/>
    <w:rsid w:val="3359538A"/>
    <w:rsid w:val="33870E6E"/>
    <w:rsid w:val="338712C2"/>
    <w:rsid w:val="338A6105"/>
    <w:rsid w:val="33937B08"/>
    <w:rsid w:val="339E7964"/>
    <w:rsid w:val="33A55A2F"/>
    <w:rsid w:val="33B55CD2"/>
    <w:rsid w:val="33C3644A"/>
    <w:rsid w:val="33D6575E"/>
    <w:rsid w:val="33D87BF0"/>
    <w:rsid w:val="33DF10C1"/>
    <w:rsid w:val="33E31335"/>
    <w:rsid w:val="33EE6DFF"/>
    <w:rsid w:val="33F21235"/>
    <w:rsid w:val="33F2729A"/>
    <w:rsid w:val="33F4683E"/>
    <w:rsid w:val="33FB336A"/>
    <w:rsid w:val="33FB678B"/>
    <w:rsid w:val="342629A1"/>
    <w:rsid w:val="342979EC"/>
    <w:rsid w:val="34405AE7"/>
    <w:rsid w:val="34510AF4"/>
    <w:rsid w:val="34875598"/>
    <w:rsid w:val="348C7028"/>
    <w:rsid w:val="34BF5074"/>
    <w:rsid w:val="34CB1E9D"/>
    <w:rsid w:val="34F34DCA"/>
    <w:rsid w:val="34F46DFA"/>
    <w:rsid w:val="35053121"/>
    <w:rsid w:val="35056B57"/>
    <w:rsid w:val="350E5524"/>
    <w:rsid w:val="353110EC"/>
    <w:rsid w:val="353244FF"/>
    <w:rsid w:val="353B15B7"/>
    <w:rsid w:val="354662F5"/>
    <w:rsid w:val="35487707"/>
    <w:rsid w:val="35554AFC"/>
    <w:rsid w:val="355E41CA"/>
    <w:rsid w:val="35617855"/>
    <w:rsid w:val="356D6724"/>
    <w:rsid w:val="35836328"/>
    <w:rsid w:val="35843EF4"/>
    <w:rsid w:val="35875021"/>
    <w:rsid w:val="358D4C7D"/>
    <w:rsid w:val="3595435E"/>
    <w:rsid w:val="35A036FB"/>
    <w:rsid w:val="35BA2909"/>
    <w:rsid w:val="35C37BB9"/>
    <w:rsid w:val="35C54037"/>
    <w:rsid w:val="360C2D6A"/>
    <w:rsid w:val="36111186"/>
    <w:rsid w:val="36124DFD"/>
    <w:rsid w:val="36250F08"/>
    <w:rsid w:val="3625406D"/>
    <w:rsid w:val="363B70E2"/>
    <w:rsid w:val="36615293"/>
    <w:rsid w:val="366F002E"/>
    <w:rsid w:val="369417CF"/>
    <w:rsid w:val="36990226"/>
    <w:rsid w:val="36A91413"/>
    <w:rsid w:val="36AA22D1"/>
    <w:rsid w:val="36B945DF"/>
    <w:rsid w:val="36BC6256"/>
    <w:rsid w:val="36C37E0E"/>
    <w:rsid w:val="36E47465"/>
    <w:rsid w:val="36F95D87"/>
    <w:rsid w:val="37086C85"/>
    <w:rsid w:val="37313AB8"/>
    <w:rsid w:val="37397F49"/>
    <w:rsid w:val="373C7126"/>
    <w:rsid w:val="374167DA"/>
    <w:rsid w:val="37625A99"/>
    <w:rsid w:val="37745F2E"/>
    <w:rsid w:val="379310B2"/>
    <w:rsid w:val="37A95489"/>
    <w:rsid w:val="37B65A89"/>
    <w:rsid w:val="37CD3B37"/>
    <w:rsid w:val="37D017B7"/>
    <w:rsid w:val="37D50B4D"/>
    <w:rsid w:val="37D67E6E"/>
    <w:rsid w:val="37DE5A99"/>
    <w:rsid w:val="37F77666"/>
    <w:rsid w:val="38097D01"/>
    <w:rsid w:val="38162B54"/>
    <w:rsid w:val="38244450"/>
    <w:rsid w:val="382E0386"/>
    <w:rsid w:val="382F1270"/>
    <w:rsid w:val="3855023D"/>
    <w:rsid w:val="387501F5"/>
    <w:rsid w:val="387714CF"/>
    <w:rsid w:val="387E3E17"/>
    <w:rsid w:val="38874E1B"/>
    <w:rsid w:val="389F236A"/>
    <w:rsid w:val="38D738F5"/>
    <w:rsid w:val="38DB5948"/>
    <w:rsid w:val="38DE639E"/>
    <w:rsid w:val="38FB7982"/>
    <w:rsid w:val="39061798"/>
    <w:rsid w:val="393D3567"/>
    <w:rsid w:val="39401CE0"/>
    <w:rsid w:val="395004A0"/>
    <w:rsid w:val="39695551"/>
    <w:rsid w:val="397B2A4F"/>
    <w:rsid w:val="3989701A"/>
    <w:rsid w:val="39A461BF"/>
    <w:rsid w:val="39C63A81"/>
    <w:rsid w:val="39C67FF4"/>
    <w:rsid w:val="39D94059"/>
    <w:rsid w:val="39DD0728"/>
    <w:rsid w:val="39DF0520"/>
    <w:rsid w:val="3A422AE1"/>
    <w:rsid w:val="3A464AB6"/>
    <w:rsid w:val="3A7576BE"/>
    <w:rsid w:val="3A7800A6"/>
    <w:rsid w:val="3A795E9B"/>
    <w:rsid w:val="3A887B90"/>
    <w:rsid w:val="3A915208"/>
    <w:rsid w:val="3A9E1C83"/>
    <w:rsid w:val="3ABF2893"/>
    <w:rsid w:val="3AC137C4"/>
    <w:rsid w:val="3AE82517"/>
    <w:rsid w:val="3B4B30D1"/>
    <w:rsid w:val="3B4E465B"/>
    <w:rsid w:val="3B526CBA"/>
    <w:rsid w:val="3B6221EF"/>
    <w:rsid w:val="3B6A7C84"/>
    <w:rsid w:val="3B6F4D35"/>
    <w:rsid w:val="3B8C3047"/>
    <w:rsid w:val="3BA5205B"/>
    <w:rsid w:val="3BAC7C0C"/>
    <w:rsid w:val="3BAE74A6"/>
    <w:rsid w:val="3BB00042"/>
    <w:rsid w:val="3BB91655"/>
    <w:rsid w:val="3BD2733C"/>
    <w:rsid w:val="3BD523FD"/>
    <w:rsid w:val="3BD769CE"/>
    <w:rsid w:val="3BE066F0"/>
    <w:rsid w:val="3BE51F1F"/>
    <w:rsid w:val="3BE6488C"/>
    <w:rsid w:val="3BF4536B"/>
    <w:rsid w:val="3C12712E"/>
    <w:rsid w:val="3C205115"/>
    <w:rsid w:val="3C2B0FA1"/>
    <w:rsid w:val="3C2E40C1"/>
    <w:rsid w:val="3C363EC9"/>
    <w:rsid w:val="3C370418"/>
    <w:rsid w:val="3C3F11AD"/>
    <w:rsid w:val="3C4F2E61"/>
    <w:rsid w:val="3C50628B"/>
    <w:rsid w:val="3C516BBA"/>
    <w:rsid w:val="3C57613E"/>
    <w:rsid w:val="3C7012BA"/>
    <w:rsid w:val="3C9703CC"/>
    <w:rsid w:val="3C9A10E1"/>
    <w:rsid w:val="3CA3578F"/>
    <w:rsid w:val="3CB36FCF"/>
    <w:rsid w:val="3CCB3D5C"/>
    <w:rsid w:val="3CEF5BCA"/>
    <w:rsid w:val="3CF75552"/>
    <w:rsid w:val="3CFC6329"/>
    <w:rsid w:val="3D04336B"/>
    <w:rsid w:val="3D1377FD"/>
    <w:rsid w:val="3D1D138E"/>
    <w:rsid w:val="3D3A67A9"/>
    <w:rsid w:val="3D49495E"/>
    <w:rsid w:val="3D497AAC"/>
    <w:rsid w:val="3D5251DB"/>
    <w:rsid w:val="3D781EC2"/>
    <w:rsid w:val="3D827228"/>
    <w:rsid w:val="3D9239FB"/>
    <w:rsid w:val="3D9A0453"/>
    <w:rsid w:val="3DD477B6"/>
    <w:rsid w:val="3DD678D1"/>
    <w:rsid w:val="3DDB7329"/>
    <w:rsid w:val="3DF50A57"/>
    <w:rsid w:val="3DF7160C"/>
    <w:rsid w:val="3DFE7706"/>
    <w:rsid w:val="3E37182B"/>
    <w:rsid w:val="3E4D61AB"/>
    <w:rsid w:val="3E5325C6"/>
    <w:rsid w:val="3E532E9D"/>
    <w:rsid w:val="3E577B71"/>
    <w:rsid w:val="3E621170"/>
    <w:rsid w:val="3E6C5593"/>
    <w:rsid w:val="3E7C5726"/>
    <w:rsid w:val="3E85255A"/>
    <w:rsid w:val="3E857F79"/>
    <w:rsid w:val="3E9A19E2"/>
    <w:rsid w:val="3E9B2B06"/>
    <w:rsid w:val="3EA43C16"/>
    <w:rsid w:val="3EA659A5"/>
    <w:rsid w:val="3EA95D3B"/>
    <w:rsid w:val="3EC84315"/>
    <w:rsid w:val="3ED515A5"/>
    <w:rsid w:val="3F2A4EF5"/>
    <w:rsid w:val="3F2F6001"/>
    <w:rsid w:val="3F47689E"/>
    <w:rsid w:val="3F751B56"/>
    <w:rsid w:val="3F7737AA"/>
    <w:rsid w:val="3F833364"/>
    <w:rsid w:val="3F891088"/>
    <w:rsid w:val="3FAC7624"/>
    <w:rsid w:val="3FDE70E8"/>
    <w:rsid w:val="3FE66C32"/>
    <w:rsid w:val="40016A77"/>
    <w:rsid w:val="400314E2"/>
    <w:rsid w:val="40485433"/>
    <w:rsid w:val="40781328"/>
    <w:rsid w:val="408C6AC8"/>
    <w:rsid w:val="40A260DF"/>
    <w:rsid w:val="40A96104"/>
    <w:rsid w:val="40AC41F4"/>
    <w:rsid w:val="40B3012C"/>
    <w:rsid w:val="40B64A25"/>
    <w:rsid w:val="40BE1988"/>
    <w:rsid w:val="40DF2AF0"/>
    <w:rsid w:val="40ED4C2B"/>
    <w:rsid w:val="410F37EC"/>
    <w:rsid w:val="411D67BE"/>
    <w:rsid w:val="411F680C"/>
    <w:rsid w:val="412162E4"/>
    <w:rsid w:val="41416F1B"/>
    <w:rsid w:val="417113A9"/>
    <w:rsid w:val="41724314"/>
    <w:rsid w:val="417343F1"/>
    <w:rsid w:val="4179432A"/>
    <w:rsid w:val="418F3C45"/>
    <w:rsid w:val="419C4BA9"/>
    <w:rsid w:val="41DB7865"/>
    <w:rsid w:val="41F001F6"/>
    <w:rsid w:val="41F56D6A"/>
    <w:rsid w:val="41F64D87"/>
    <w:rsid w:val="41FC7DB8"/>
    <w:rsid w:val="421F5809"/>
    <w:rsid w:val="42356C86"/>
    <w:rsid w:val="42407A87"/>
    <w:rsid w:val="4241494F"/>
    <w:rsid w:val="42505B38"/>
    <w:rsid w:val="425A3BF7"/>
    <w:rsid w:val="426536F9"/>
    <w:rsid w:val="42725102"/>
    <w:rsid w:val="427A3A08"/>
    <w:rsid w:val="428F05F2"/>
    <w:rsid w:val="4293330E"/>
    <w:rsid w:val="42A42ED1"/>
    <w:rsid w:val="42A748AF"/>
    <w:rsid w:val="42BF30EE"/>
    <w:rsid w:val="42D006B4"/>
    <w:rsid w:val="42E82656"/>
    <w:rsid w:val="42FE6806"/>
    <w:rsid w:val="43034613"/>
    <w:rsid w:val="43180CB6"/>
    <w:rsid w:val="435E6D6E"/>
    <w:rsid w:val="436604E4"/>
    <w:rsid w:val="43703CDC"/>
    <w:rsid w:val="43BE5E63"/>
    <w:rsid w:val="43C95072"/>
    <w:rsid w:val="43D11056"/>
    <w:rsid w:val="43DE3E65"/>
    <w:rsid w:val="44350037"/>
    <w:rsid w:val="44392B0F"/>
    <w:rsid w:val="44666FB5"/>
    <w:rsid w:val="44740B82"/>
    <w:rsid w:val="44764C77"/>
    <w:rsid w:val="448C6E5B"/>
    <w:rsid w:val="44964A7F"/>
    <w:rsid w:val="44C34BC0"/>
    <w:rsid w:val="44E13C3D"/>
    <w:rsid w:val="44ED0D38"/>
    <w:rsid w:val="44FF7038"/>
    <w:rsid w:val="451A6E5C"/>
    <w:rsid w:val="451E22E0"/>
    <w:rsid w:val="45253646"/>
    <w:rsid w:val="452D7D9B"/>
    <w:rsid w:val="45584F7A"/>
    <w:rsid w:val="45600601"/>
    <w:rsid w:val="456943D8"/>
    <w:rsid w:val="456B5D38"/>
    <w:rsid w:val="4573099C"/>
    <w:rsid w:val="45944415"/>
    <w:rsid w:val="459C04FB"/>
    <w:rsid w:val="45AE15E7"/>
    <w:rsid w:val="45BF2862"/>
    <w:rsid w:val="45C93938"/>
    <w:rsid w:val="45CE03C7"/>
    <w:rsid w:val="45E84953"/>
    <w:rsid w:val="45F67B4C"/>
    <w:rsid w:val="46052973"/>
    <w:rsid w:val="460E73A6"/>
    <w:rsid w:val="46153986"/>
    <w:rsid w:val="465C32B8"/>
    <w:rsid w:val="4671021F"/>
    <w:rsid w:val="46861F40"/>
    <w:rsid w:val="468C2204"/>
    <w:rsid w:val="469B1238"/>
    <w:rsid w:val="46A72F4A"/>
    <w:rsid w:val="46AC5C53"/>
    <w:rsid w:val="46C60823"/>
    <w:rsid w:val="46E57519"/>
    <w:rsid w:val="47241E12"/>
    <w:rsid w:val="47266CF6"/>
    <w:rsid w:val="474C5BB1"/>
    <w:rsid w:val="476A7C5B"/>
    <w:rsid w:val="47725D4E"/>
    <w:rsid w:val="47957A8F"/>
    <w:rsid w:val="47A60178"/>
    <w:rsid w:val="47AF62C2"/>
    <w:rsid w:val="47BD1E3E"/>
    <w:rsid w:val="47E864F7"/>
    <w:rsid w:val="47FF20B6"/>
    <w:rsid w:val="480A2B93"/>
    <w:rsid w:val="480B431B"/>
    <w:rsid w:val="48137F60"/>
    <w:rsid w:val="48220A3B"/>
    <w:rsid w:val="48281939"/>
    <w:rsid w:val="48336643"/>
    <w:rsid w:val="4855009A"/>
    <w:rsid w:val="489158EF"/>
    <w:rsid w:val="48974C3A"/>
    <w:rsid w:val="489763E9"/>
    <w:rsid w:val="48985728"/>
    <w:rsid w:val="48BB2AEC"/>
    <w:rsid w:val="48C47EED"/>
    <w:rsid w:val="48DD2980"/>
    <w:rsid w:val="48E839FF"/>
    <w:rsid w:val="48E9728B"/>
    <w:rsid w:val="492E3CAF"/>
    <w:rsid w:val="49320EC7"/>
    <w:rsid w:val="49335DE0"/>
    <w:rsid w:val="49341EFD"/>
    <w:rsid w:val="49390D3D"/>
    <w:rsid w:val="493D549A"/>
    <w:rsid w:val="49421A26"/>
    <w:rsid w:val="49423A78"/>
    <w:rsid w:val="49460D7F"/>
    <w:rsid w:val="49581DCD"/>
    <w:rsid w:val="495A1749"/>
    <w:rsid w:val="498750D8"/>
    <w:rsid w:val="49905239"/>
    <w:rsid w:val="49A92B02"/>
    <w:rsid w:val="49B42A1F"/>
    <w:rsid w:val="49C96528"/>
    <w:rsid w:val="49CD0D6C"/>
    <w:rsid w:val="49DF5926"/>
    <w:rsid w:val="49F00967"/>
    <w:rsid w:val="49F67A60"/>
    <w:rsid w:val="49F95A5E"/>
    <w:rsid w:val="4A100446"/>
    <w:rsid w:val="4A1B0AF9"/>
    <w:rsid w:val="4A292811"/>
    <w:rsid w:val="4A366813"/>
    <w:rsid w:val="4A412B11"/>
    <w:rsid w:val="4A4F7849"/>
    <w:rsid w:val="4A6A10B9"/>
    <w:rsid w:val="4A793DBD"/>
    <w:rsid w:val="4A803D13"/>
    <w:rsid w:val="4A835469"/>
    <w:rsid w:val="4A851A7F"/>
    <w:rsid w:val="4AA30F95"/>
    <w:rsid w:val="4AC00C12"/>
    <w:rsid w:val="4AD508AE"/>
    <w:rsid w:val="4AF713D8"/>
    <w:rsid w:val="4AFA6259"/>
    <w:rsid w:val="4B0F3B0F"/>
    <w:rsid w:val="4B282410"/>
    <w:rsid w:val="4B290378"/>
    <w:rsid w:val="4B301D89"/>
    <w:rsid w:val="4B384BC8"/>
    <w:rsid w:val="4B44754C"/>
    <w:rsid w:val="4B4C24F9"/>
    <w:rsid w:val="4B511315"/>
    <w:rsid w:val="4B547905"/>
    <w:rsid w:val="4B5E266F"/>
    <w:rsid w:val="4B7D5AF4"/>
    <w:rsid w:val="4B7F7194"/>
    <w:rsid w:val="4B833358"/>
    <w:rsid w:val="4B8D19A5"/>
    <w:rsid w:val="4BA751FF"/>
    <w:rsid w:val="4BAF4369"/>
    <w:rsid w:val="4BB24D57"/>
    <w:rsid w:val="4BC666D3"/>
    <w:rsid w:val="4BC9638C"/>
    <w:rsid w:val="4BF51E8C"/>
    <w:rsid w:val="4C3B3D86"/>
    <w:rsid w:val="4C4863E2"/>
    <w:rsid w:val="4C513A05"/>
    <w:rsid w:val="4C60103D"/>
    <w:rsid w:val="4C7973A6"/>
    <w:rsid w:val="4C7B5EDC"/>
    <w:rsid w:val="4C9308E5"/>
    <w:rsid w:val="4C937EB8"/>
    <w:rsid w:val="4C9F5E69"/>
    <w:rsid w:val="4CA45BFF"/>
    <w:rsid w:val="4CAA6180"/>
    <w:rsid w:val="4CB7470F"/>
    <w:rsid w:val="4CB74E71"/>
    <w:rsid w:val="4CC077CC"/>
    <w:rsid w:val="4CC35211"/>
    <w:rsid w:val="4CCD2A2F"/>
    <w:rsid w:val="4CD65286"/>
    <w:rsid w:val="4CE602F5"/>
    <w:rsid w:val="4D013DCC"/>
    <w:rsid w:val="4D113C11"/>
    <w:rsid w:val="4D164552"/>
    <w:rsid w:val="4D276C0E"/>
    <w:rsid w:val="4D295308"/>
    <w:rsid w:val="4D361950"/>
    <w:rsid w:val="4D38520E"/>
    <w:rsid w:val="4D3A5BB0"/>
    <w:rsid w:val="4D573BA3"/>
    <w:rsid w:val="4D5D44FD"/>
    <w:rsid w:val="4D72431F"/>
    <w:rsid w:val="4D7D36E0"/>
    <w:rsid w:val="4D976EB0"/>
    <w:rsid w:val="4D9A4AC5"/>
    <w:rsid w:val="4DA2638C"/>
    <w:rsid w:val="4DA8162B"/>
    <w:rsid w:val="4DAB6E66"/>
    <w:rsid w:val="4DCB06ED"/>
    <w:rsid w:val="4DD71C3F"/>
    <w:rsid w:val="4DE35877"/>
    <w:rsid w:val="4DFE47A4"/>
    <w:rsid w:val="4E1B25BB"/>
    <w:rsid w:val="4E3A6093"/>
    <w:rsid w:val="4E450949"/>
    <w:rsid w:val="4E4F76CC"/>
    <w:rsid w:val="4E612C67"/>
    <w:rsid w:val="4E6401DB"/>
    <w:rsid w:val="4E64476B"/>
    <w:rsid w:val="4E6E64AA"/>
    <w:rsid w:val="4E7341FD"/>
    <w:rsid w:val="4E7E5BE6"/>
    <w:rsid w:val="4EA358F2"/>
    <w:rsid w:val="4EBC4735"/>
    <w:rsid w:val="4EC70DC5"/>
    <w:rsid w:val="4ED40322"/>
    <w:rsid w:val="4ED46C46"/>
    <w:rsid w:val="4EE347F8"/>
    <w:rsid w:val="4EE34904"/>
    <w:rsid w:val="4F165BF4"/>
    <w:rsid w:val="4F166391"/>
    <w:rsid w:val="4F1B333C"/>
    <w:rsid w:val="4F251D7F"/>
    <w:rsid w:val="4F257F71"/>
    <w:rsid w:val="4F5529B0"/>
    <w:rsid w:val="4F565325"/>
    <w:rsid w:val="4F71145D"/>
    <w:rsid w:val="4F8E2EAB"/>
    <w:rsid w:val="4F9F0C10"/>
    <w:rsid w:val="4FA86E81"/>
    <w:rsid w:val="4FAB1924"/>
    <w:rsid w:val="4FB94ACA"/>
    <w:rsid w:val="4FC97682"/>
    <w:rsid w:val="4FCC3151"/>
    <w:rsid w:val="50106976"/>
    <w:rsid w:val="501E1D11"/>
    <w:rsid w:val="50213CA7"/>
    <w:rsid w:val="503B31CB"/>
    <w:rsid w:val="50532C4F"/>
    <w:rsid w:val="505335F4"/>
    <w:rsid w:val="507135C1"/>
    <w:rsid w:val="507750E1"/>
    <w:rsid w:val="50782525"/>
    <w:rsid w:val="50806E4F"/>
    <w:rsid w:val="508759FE"/>
    <w:rsid w:val="50892F40"/>
    <w:rsid w:val="50A77577"/>
    <w:rsid w:val="50BA34F7"/>
    <w:rsid w:val="50C145EA"/>
    <w:rsid w:val="50C43D15"/>
    <w:rsid w:val="50D156B0"/>
    <w:rsid w:val="50DF0AC6"/>
    <w:rsid w:val="50E51301"/>
    <w:rsid w:val="50EA6882"/>
    <w:rsid w:val="50F2101E"/>
    <w:rsid w:val="50FC5A54"/>
    <w:rsid w:val="51105744"/>
    <w:rsid w:val="511571B3"/>
    <w:rsid w:val="51223B44"/>
    <w:rsid w:val="512A31FF"/>
    <w:rsid w:val="512E220D"/>
    <w:rsid w:val="51366722"/>
    <w:rsid w:val="513B0385"/>
    <w:rsid w:val="516B7E86"/>
    <w:rsid w:val="51702D35"/>
    <w:rsid w:val="517272FA"/>
    <w:rsid w:val="517941F3"/>
    <w:rsid w:val="5187574D"/>
    <w:rsid w:val="51880890"/>
    <w:rsid w:val="51900EF4"/>
    <w:rsid w:val="519740F1"/>
    <w:rsid w:val="51AC22DE"/>
    <w:rsid w:val="51B86368"/>
    <w:rsid w:val="51BC4067"/>
    <w:rsid w:val="51CC2AC1"/>
    <w:rsid w:val="51D258AB"/>
    <w:rsid w:val="51DE0F6C"/>
    <w:rsid w:val="51ED4866"/>
    <w:rsid w:val="51F7785E"/>
    <w:rsid w:val="51FD3D54"/>
    <w:rsid w:val="52144897"/>
    <w:rsid w:val="521A0F6B"/>
    <w:rsid w:val="522B00BB"/>
    <w:rsid w:val="524D3D44"/>
    <w:rsid w:val="526B1D02"/>
    <w:rsid w:val="526D7E62"/>
    <w:rsid w:val="528862C9"/>
    <w:rsid w:val="52895867"/>
    <w:rsid w:val="528F3C5C"/>
    <w:rsid w:val="52960FCB"/>
    <w:rsid w:val="52A4010B"/>
    <w:rsid w:val="52AF2FDC"/>
    <w:rsid w:val="52C34C2F"/>
    <w:rsid w:val="52E850B8"/>
    <w:rsid w:val="52F76CB5"/>
    <w:rsid w:val="52F83F96"/>
    <w:rsid w:val="52FE5DCD"/>
    <w:rsid w:val="530A0052"/>
    <w:rsid w:val="531F4FE2"/>
    <w:rsid w:val="532F64D3"/>
    <w:rsid w:val="53364A26"/>
    <w:rsid w:val="53437DCD"/>
    <w:rsid w:val="53547789"/>
    <w:rsid w:val="537362D3"/>
    <w:rsid w:val="537F64E6"/>
    <w:rsid w:val="538F1D3C"/>
    <w:rsid w:val="53C702FC"/>
    <w:rsid w:val="53CF7AB8"/>
    <w:rsid w:val="53E63FB2"/>
    <w:rsid w:val="53F90BCB"/>
    <w:rsid w:val="54023BD7"/>
    <w:rsid w:val="54044D39"/>
    <w:rsid w:val="54086B94"/>
    <w:rsid w:val="5414486D"/>
    <w:rsid w:val="5420515E"/>
    <w:rsid w:val="543D7FBC"/>
    <w:rsid w:val="544F139B"/>
    <w:rsid w:val="545F7590"/>
    <w:rsid w:val="546350F0"/>
    <w:rsid w:val="54743AD1"/>
    <w:rsid w:val="54754604"/>
    <w:rsid w:val="5478342D"/>
    <w:rsid w:val="548C2CDB"/>
    <w:rsid w:val="54BC272B"/>
    <w:rsid w:val="54CA7E12"/>
    <w:rsid w:val="54D91A9B"/>
    <w:rsid w:val="54DD1993"/>
    <w:rsid w:val="54F67C91"/>
    <w:rsid w:val="54F75BB8"/>
    <w:rsid w:val="551815EC"/>
    <w:rsid w:val="55266C4E"/>
    <w:rsid w:val="552E034E"/>
    <w:rsid w:val="55321234"/>
    <w:rsid w:val="555846BD"/>
    <w:rsid w:val="55613F1C"/>
    <w:rsid w:val="557A6325"/>
    <w:rsid w:val="55881E81"/>
    <w:rsid w:val="558D507D"/>
    <w:rsid w:val="55C14C45"/>
    <w:rsid w:val="55CF3B1C"/>
    <w:rsid w:val="55D711AD"/>
    <w:rsid w:val="55DD555B"/>
    <w:rsid w:val="55F15500"/>
    <w:rsid w:val="56002B17"/>
    <w:rsid w:val="560A60FE"/>
    <w:rsid w:val="56217D32"/>
    <w:rsid w:val="56360B33"/>
    <w:rsid w:val="564009C7"/>
    <w:rsid w:val="564455B0"/>
    <w:rsid w:val="5650775D"/>
    <w:rsid w:val="566A01FA"/>
    <w:rsid w:val="56773703"/>
    <w:rsid w:val="56861F07"/>
    <w:rsid w:val="56894D16"/>
    <w:rsid w:val="56A0597B"/>
    <w:rsid w:val="56BA69E3"/>
    <w:rsid w:val="56BB61F8"/>
    <w:rsid w:val="56D1481D"/>
    <w:rsid w:val="56E22C1E"/>
    <w:rsid w:val="572517F6"/>
    <w:rsid w:val="572F4488"/>
    <w:rsid w:val="5740731E"/>
    <w:rsid w:val="574572A6"/>
    <w:rsid w:val="576D062A"/>
    <w:rsid w:val="577048BD"/>
    <w:rsid w:val="5787781E"/>
    <w:rsid w:val="57906259"/>
    <w:rsid w:val="579E6826"/>
    <w:rsid w:val="57A61471"/>
    <w:rsid w:val="57AE5DD1"/>
    <w:rsid w:val="57B832E3"/>
    <w:rsid w:val="57C63ADF"/>
    <w:rsid w:val="57C830C0"/>
    <w:rsid w:val="57D377C8"/>
    <w:rsid w:val="57D4488D"/>
    <w:rsid w:val="58036E53"/>
    <w:rsid w:val="580A61A9"/>
    <w:rsid w:val="581C1059"/>
    <w:rsid w:val="581E1B71"/>
    <w:rsid w:val="581F0C05"/>
    <w:rsid w:val="58461308"/>
    <w:rsid w:val="58465D3B"/>
    <w:rsid w:val="58476AEE"/>
    <w:rsid w:val="585F1458"/>
    <w:rsid w:val="586F4527"/>
    <w:rsid w:val="5888349A"/>
    <w:rsid w:val="588921C2"/>
    <w:rsid w:val="5894307D"/>
    <w:rsid w:val="58DF0B3E"/>
    <w:rsid w:val="58EF012C"/>
    <w:rsid w:val="590204C2"/>
    <w:rsid w:val="590728EA"/>
    <w:rsid w:val="590B428D"/>
    <w:rsid w:val="59254136"/>
    <w:rsid w:val="59257E7C"/>
    <w:rsid w:val="59467D0A"/>
    <w:rsid w:val="59481624"/>
    <w:rsid w:val="5963656F"/>
    <w:rsid w:val="596E37D4"/>
    <w:rsid w:val="596F3D90"/>
    <w:rsid w:val="59986390"/>
    <w:rsid w:val="59AB561D"/>
    <w:rsid w:val="59C05F9B"/>
    <w:rsid w:val="59D86922"/>
    <w:rsid w:val="59E53991"/>
    <w:rsid w:val="59EE6BC3"/>
    <w:rsid w:val="59F45E1E"/>
    <w:rsid w:val="59F47E70"/>
    <w:rsid w:val="5A12393C"/>
    <w:rsid w:val="5A437D16"/>
    <w:rsid w:val="5A5E6E30"/>
    <w:rsid w:val="5A6917DF"/>
    <w:rsid w:val="5A6B25A1"/>
    <w:rsid w:val="5A79760E"/>
    <w:rsid w:val="5AB26551"/>
    <w:rsid w:val="5AB34953"/>
    <w:rsid w:val="5AD67F9D"/>
    <w:rsid w:val="5AD93F2A"/>
    <w:rsid w:val="5ADE5C31"/>
    <w:rsid w:val="5ADF7A8F"/>
    <w:rsid w:val="5AE519CE"/>
    <w:rsid w:val="5AE728F2"/>
    <w:rsid w:val="5AE90AB9"/>
    <w:rsid w:val="5B206E7C"/>
    <w:rsid w:val="5B4A6588"/>
    <w:rsid w:val="5B4E46DA"/>
    <w:rsid w:val="5B5A30F7"/>
    <w:rsid w:val="5B69730C"/>
    <w:rsid w:val="5B71355B"/>
    <w:rsid w:val="5B872F69"/>
    <w:rsid w:val="5B8C7FFD"/>
    <w:rsid w:val="5B9F70B3"/>
    <w:rsid w:val="5BB0219E"/>
    <w:rsid w:val="5BB219CB"/>
    <w:rsid w:val="5BD145E6"/>
    <w:rsid w:val="5BF05150"/>
    <w:rsid w:val="5C094662"/>
    <w:rsid w:val="5C0B061E"/>
    <w:rsid w:val="5C0F207A"/>
    <w:rsid w:val="5C17765B"/>
    <w:rsid w:val="5C2A5A14"/>
    <w:rsid w:val="5C325BC6"/>
    <w:rsid w:val="5C371608"/>
    <w:rsid w:val="5C372878"/>
    <w:rsid w:val="5C4D3A67"/>
    <w:rsid w:val="5C601087"/>
    <w:rsid w:val="5C632936"/>
    <w:rsid w:val="5C6B7ADC"/>
    <w:rsid w:val="5C6B7B6A"/>
    <w:rsid w:val="5C854FB5"/>
    <w:rsid w:val="5C8F7FE9"/>
    <w:rsid w:val="5CBB337F"/>
    <w:rsid w:val="5CC84675"/>
    <w:rsid w:val="5CCA0411"/>
    <w:rsid w:val="5CCC7EC8"/>
    <w:rsid w:val="5CE81438"/>
    <w:rsid w:val="5CEC2F19"/>
    <w:rsid w:val="5CFA2FF2"/>
    <w:rsid w:val="5D115534"/>
    <w:rsid w:val="5D3B4826"/>
    <w:rsid w:val="5D5935C1"/>
    <w:rsid w:val="5D644B75"/>
    <w:rsid w:val="5D711535"/>
    <w:rsid w:val="5D75715F"/>
    <w:rsid w:val="5D7A6E65"/>
    <w:rsid w:val="5D906EB0"/>
    <w:rsid w:val="5DA3511B"/>
    <w:rsid w:val="5DA55816"/>
    <w:rsid w:val="5DA659C4"/>
    <w:rsid w:val="5DAA0B41"/>
    <w:rsid w:val="5DCE4CE6"/>
    <w:rsid w:val="5E0A55D1"/>
    <w:rsid w:val="5E0A6E80"/>
    <w:rsid w:val="5E0B628F"/>
    <w:rsid w:val="5E0F19E0"/>
    <w:rsid w:val="5E1C50BE"/>
    <w:rsid w:val="5E294764"/>
    <w:rsid w:val="5E2B5C67"/>
    <w:rsid w:val="5E2C6016"/>
    <w:rsid w:val="5E2E5CF0"/>
    <w:rsid w:val="5E510865"/>
    <w:rsid w:val="5E680BD2"/>
    <w:rsid w:val="5E6D3C76"/>
    <w:rsid w:val="5E9351ED"/>
    <w:rsid w:val="5E947055"/>
    <w:rsid w:val="5E9954C0"/>
    <w:rsid w:val="5EAC3A15"/>
    <w:rsid w:val="5EB27213"/>
    <w:rsid w:val="5EBD0D1B"/>
    <w:rsid w:val="5EDC234C"/>
    <w:rsid w:val="5EE73163"/>
    <w:rsid w:val="5F06535A"/>
    <w:rsid w:val="5F1A793E"/>
    <w:rsid w:val="5F207714"/>
    <w:rsid w:val="5F4B26F8"/>
    <w:rsid w:val="5F521681"/>
    <w:rsid w:val="5F5C2B89"/>
    <w:rsid w:val="5F6309B0"/>
    <w:rsid w:val="5F6B1A72"/>
    <w:rsid w:val="5F6D1F1D"/>
    <w:rsid w:val="5F71291F"/>
    <w:rsid w:val="5F722D00"/>
    <w:rsid w:val="5F7A756C"/>
    <w:rsid w:val="5F872D53"/>
    <w:rsid w:val="5F9E5D53"/>
    <w:rsid w:val="5FA80437"/>
    <w:rsid w:val="5FAE5EA5"/>
    <w:rsid w:val="5FE10A94"/>
    <w:rsid w:val="60012050"/>
    <w:rsid w:val="601C4294"/>
    <w:rsid w:val="60516E20"/>
    <w:rsid w:val="607A4832"/>
    <w:rsid w:val="607F1942"/>
    <w:rsid w:val="609B5788"/>
    <w:rsid w:val="611248CD"/>
    <w:rsid w:val="611A6E7F"/>
    <w:rsid w:val="612010B9"/>
    <w:rsid w:val="612C2FB7"/>
    <w:rsid w:val="6140352C"/>
    <w:rsid w:val="615E454C"/>
    <w:rsid w:val="6183061B"/>
    <w:rsid w:val="618D0FA0"/>
    <w:rsid w:val="618F578D"/>
    <w:rsid w:val="61984726"/>
    <w:rsid w:val="61A6123F"/>
    <w:rsid w:val="61A83969"/>
    <w:rsid w:val="61CA4E17"/>
    <w:rsid w:val="61D124C6"/>
    <w:rsid w:val="61D47D90"/>
    <w:rsid w:val="61D55391"/>
    <w:rsid w:val="61DF3A0A"/>
    <w:rsid w:val="61EB0337"/>
    <w:rsid w:val="620806C4"/>
    <w:rsid w:val="6218585F"/>
    <w:rsid w:val="62351C2A"/>
    <w:rsid w:val="623662BC"/>
    <w:rsid w:val="62373C4F"/>
    <w:rsid w:val="62577ACA"/>
    <w:rsid w:val="625922AC"/>
    <w:rsid w:val="62593427"/>
    <w:rsid w:val="625C2518"/>
    <w:rsid w:val="625E330B"/>
    <w:rsid w:val="625E5973"/>
    <w:rsid w:val="626877F1"/>
    <w:rsid w:val="628E46D6"/>
    <w:rsid w:val="62A27B67"/>
    <w:rsid w:val="62B72BD3"/>
    <w:rsid w:val="62B94C88"/>
    <w:rsid w:val="62C17420"/>
    <w:rsid w:val="6333705E"/>
    <w:rsid w:val="635A0518"/>
    <w:rsid w:val="635C7015"/>
    <w:rsid w:val="636739FF"/>
    <w:rsid w:val="63893F4E"/>
    <w:rsid w:val="63913FC0"/>
    <w:rsid w:val="63A35F8A"/>
    <w:rsid w:val="63B16485"/>
    <w:rsid w:val="63DC7C17"/>
    <w:rsid w:val="63EA0153"/>
    <w:rsid w:val="63F245BB"/>
    <w:rsid w:val="640E0057"/>
    <w:rsid w:val="64193FD0"/>
    <w:rsid w:val="641D5906"/>
    <w:rsid w:val="64236D59"/>
    <w:rsid w:val="64433AD0"/>
    <w:rsid w:val="644B63E6"/>
    <w:rsid w:val="64681277"/>
    <w:rsid w:val="646F0A99"/>
    <w:rsid w:val="64705CE7"/>
    <w:rsid w:val="64891635"/>
    <w:rsid w:val="64894E16"/>
    <w:rsid w:val="649316B8"/>
    <w:rsid w:val="649653CA"/>
    <w:rsid w:val="64D11745"/>
    <w:rsid w:val="64DC6153"/>
    <w:rsid w:val="64E1441E"/>
    <w:rsid w:val="64E33D23"/>
    <w:rsid w:val="64F244B5"/>
    <w:rsid w:val="64FA723C"/>
    <w:rsid w:val="64FF7818"/>
    <w:rsid w:val="650C2233"/>
    <w:rsid w:val="650D6202"/>
    <w:rsid w:val="65182109"/>
    <w:rsid w:val="65230174"/>
    <w:rsid w:val="652B0157"/>
    <w:rsid w:val="652F5952"/>
    <w:rsid w:val="65430F1C"/>
    <w:rsid w:val="654C3F58"/>
    <w:rsid w:val="65754F07"/>
    <w:rsid w:val="657B53B8"/>
    <w:rsid w:val="65901B9E"/>
    <w:rsid w:val="65AD3426"/>
    <w:rsid w:val="65B03297"/>
    <w:rsid w:val="65BF29FB"/>
    <w:rsid w:val="65CD0570"/>
    <w:rsid w:val="65DB0DC2"/>
    <w:rsid w:val="65DE5959"/>
    <w:rsid w:val="65E2689E"/>
    <w:rsid w:val="65ED1F96"/>
    <w:rsid w:val="66077228"/>
    <w:rsid w:val="662C630C"/>
    <w:rsid w:val="66436819"/>
    <w:rsid w:val="66463027"/>
    <w:rsid w:val="664F56C8"/>
    <w:rsid w:val="66564A15"/>
    <w:rsid w:val="667C33C5"/>
    <w:rsid w:val="66AF0A52"/>
    <w:rsid w:val="66C758A9"/>
    <w:rsid w:val="66D914A4"/>
    <w:rsid w:val="66DD165A"/>
    <w:rsid w:val="670D6306"/>
    <w:rsid w:val="6716766A"/>
    <w:rsid w:val="672D7433"/>
    <w:rsid w:val="673B2B83"/>
    <w:rsid w:val="674372EC"/>
    <w:rsid w:val="674F258C"/>
    <w:rsid w:val="675D7AE1"/>
    <w:rsid w:val="6763721A"/>
    <w:rsid w:val="67640451"/>
    <w:rsid w:val="67664901"/>
    <w:rsid w:val="67676F05"/>
    <w:rsid w:val="67704596"/>
    <w:rsid w:val="6780752C"/>
    <w:rsid w:val="67A415EF"/>
    <w:rsid w:val="67A479FD"/>
    <w:rsid w:val="67ED3B18"/>
    <w:rsid w:val="67F3624F"/>
    <w:rsid w:val="68275C9E"/>
    <w:rsid w:val="684C1CEC"/>
    <w:rsid w:val="684E2C5E"/>
    <w:rsid w:val="686F0779"/>
    <w:rsid w:val="68984FD0"/>
    <w:rsid w:val="689B2CB1"/>
    <w:rsid w:val="689C5A45"/>
    <w:rsid w:val="689E44E9"/>
    <w:rsid w:val="68A07350"/>
    <w:rsid w:val="68AC713E"/>
    <w:rsid w:val="68AE2291"/>
    <w:rsid w:val="68CE1731"/>
    <w:rsid w:val="68D74B76"/>
    <w:rsid w:val="68EF2D94"/>
    <w:rsid w:val="68F33970"/>
    <w:rsid w:val="68F44233"/>
    <w:rsid w:val="68FB4076"/>
    <w:rsid w:val="6905655A"/>
    <w:rsid w:val="690634AF"/>
    <w:rsid w:val="691A4426"/>
    <w:rsid w:val="6938794B"/>
    <w:rsid w:val="696B5CFA"/>
    <w:rsid w:val="697C2381"/>
    <w:rsid w:val="69816225"/>
    <w:rsid w:val="69836C11"/>
    <w:rsid w:val="6999700A"/>
    <w:rsid w:val="699A7370"/>
    <w:rsid w:val="69A35A6F"/>
    <w:rsid w:val="69A872C2"/>
    <w:rsid w:val="69BF1F87"/>
    <w:rsid w:val="69C90212"/>
    <w:rsid w:val="69C939A1"/>
    <w:rsid w:val="6A0724F9"/>
    <w:rsid w:val="6A165C6B"/>
    <w:rsid w:val="6A2871C3"/>
    <w:rsid w:val="6A2D681A"/>
    <w:rsid w:val="6A6B1161"/>
    <w:rsid w:val="6A8216B3"/>
    <w:rsid w:val="6A9B14A3"/>
    <w:rsid w:val="6AB134DB"/>
    <w:rsid w:val="6AC800C0"/>
    <w:rsid w:val="6AD26DCD"/>
    <w:rsid w:val="6AE77918"/>
    <w:rsid w:val="6AF5357C"/>
    <w:rsid w:val="6AFE263A"/>
    <w:rsid w:val="6B061092"/>
    <w:rsid w:val="6B2137A0"/>
    <w:rsid w:val="6B3A7A70"/>
    <w:rsid w:val="6B3D0314"/>
    <w:rsid w:val="6B5B623A"/>
    <w:rsid w:val="6BA00309"/>
    <w:rsid w:val="6BBE37B4"/>
    <w:rsid w:val="6BC07B6D"/>
    <w:rsid w:val="6BC459A1"/>
    <w:rsid w:val="6BCB677C"/>
    <w:rsid w:val="6BD4768A"/>
    <w:rsid w:val="6BD90CB3"/>
    <w:rsid w:val="6BFE1A9E"/>
    <w:rsid w:val="6C236F53"/>
    <w:rsid w:val="6C2C6B2D"/>
    <w:rsid w:val="6C3572C4"/>
    <w:rsid w:val="6C4D4725"/>
    <w:rsid w:val="6C5056ED"/>
    <w:rsid w:val="6C537CA5"/>
    <w:rsid w:val="6C546F59"/>
    <w:rsid w:val="6C6624CD"/>
    <w:rsid w:val="6C701932"/>
    <w:rsid w:val="6C831932"/>
    <w:rsid w:val="6C8C06B3"/>
    <w:rsid w:val="6C8E44E9"/>
    <w:rsid w:val="6CB579D1"/>
    <w:rsid w:val="6CBE605E"/>
    <w:rsid w:val="6CBF0D8B"/>
    <w:rsid w:val="6CD418C9"/>
    <w:rsid w:val="6CF5521A"/>
    <w:rsid w:val="6D067B0B"/>
    <w:rsid w:val="6D0A436D"/>
    <w:rsid w:val="6D2905A1"/>
    <w:rsid w:val="6D2B2BC8"/>
    <w:rsid w:val="6D40062B"/>
    <w:rsid w:val="6D473010"/>
    <w:rsid w:val="6D4F2A40"/>
    <w:rsid w:val="6D5D1D92"/>
    <w:rsid w:val="6D7A5FF1"/>
    <w:rsid w:val="6D7D7934"/>
    <w:rsid w:val="6D843AA0"/>
    <w:rsid w:val="6D873780"/>
    <w:rsid w:val="6D874C7F"/>
    <w:rsid w:val="6D9A2A51"/>
    <w:rsid w:val="6DA65B2F"/>
    <w:rsid w:val="6DB14D88"/>
    <w:rsid w:val="6DE906D7"/>
    <w:rsid w:val="6E076728"/>
    <w:rsid w:val="6E083E08"/>
    <w:rsid w:val="6E0F539F"/>
    <w:rsid w:val="6E2058DF"/>
    <w:rsid w:val="6E2314E1"/>
    <w:rsid w:val="6E3D7EA8"/>
    <w:rsid w:val="6E3E57D8"/>
    <w:rsid w:val="6E566128"/>
    <w:rsid w:val="6E6A5FDF"/>
    <w:rsid w:val="6E723423"/>
    <w:rsid w:val="6EB52761"/>
    <w:rsid w:val="6EBD333F"/>
    <w:rsid w:val="6EC258D2"/>
    <w:rsid w:val="6ED03BE8"/>
    <w:rsid w:val="6F1806B1"/>
    <w:rsid w:val="6F1A465E"/>
    <w:rsid w:val="6F267B1A"/>
    <w:rsid w:val="6F2C5301"/>
    <w:rsid w:val="6F355555"/>
    <w:rsid w:val="6F5E46B6"/>
    <w:rsid w:val="6F785F95"/>
    <w:rsid w:val="6FA648D3"/>
    <w:rsid w:val="6FBB1202"/>
    <w:rsid w:val="6FBF29B6"/>
    <w:rsid w:val="6FC51C29"/>
    <w:rsid w:val="6FD766EC"/>
    <w:rsid w:val="70142B82"/>
    <w:rsid w:val="70165BFE"/>
    <w:rsid w:val="701D2148"/>
    <w:rsid w:val="701E6A3A"/>
    <w:rsid w:val="702A39A6"/>
    <w:rsid w:val="70384780"/>
    <w:rsid w:val="706F1853"/>
    <w:rsid w:val="70747100"/>
    <w:rsid w:val="707E338E"/>
    <w:rsid w:val="708225FA"/>
    <w:rsid w:val="7083404D"/>
    <w:rsid w:val="708402BA"/>
    <w:rsid w:val="708816E6"/>
    <w:rsid w:val="70922BAA"/>
    <w:rsid w:val="70977D7C"/>
    <w:rsid w:val="70A00311"/>
    <w:rsid w:val="70A518F9"/>
    <w:rsid w:val="70BA54F6"/>
    <w:rsid w:val="70BB0D5E"/>
    <w:rsid w:val="70BE1DC3"/>
    <w:rsid w:val="70D02BBD"/>
    <w:rsid w:val="70D504F6"/>
    <w:rsid w:val="70D61D09"/>
    <w:rsid w:val="70F84D5E"/>
    <w:rsid w:val="70F9659C"/>
    <w:rsid w:val="70FE2686"/>
    <w:rsid w:val="710724F3"/>
    <w:rsid w:val="711C620E"/>
    <w:rsid w:val="7124739D"/>
    <w:rsid w:val="71266A74"/>
    <w:rsid w:val="712B42D9"/>
    <w:rsid w:val="713E2D0F"/>
    <w:rsid w:val="713E7F8F"/>
    <w:rsid w:val="714C1A4B"/>
    <w:rsid w:val="71635360"/>
    <w:rsid w:val="717D55A0"/>
    <w:rsid w:val="71916B4B"/>
    <w:rsid w:val="71A41974"/>
    <w:rsid w:val="71A53EAC"/>
    <w:rsid w:val="71A97073"/>
    <w:rsid w:val="71B25DC4"/>
    <w:rsid w:val="71B533FE"/>
    <w:rsid w:val="71D50174"/>
    <w:rsid w:val="71D9363B"/>
    <w:rsid w:val="71F04757"/>
    <w:rsid w:val="71F30F05"/>
    <w:rsid w:val="72051801"/>
    <w:rsid w:val="721C60FD"/>
    <w:rsid w:val="724947B6"/>
    <w:rsid w:val="72604EDD"/>
    <w:rsid w:val="72666AC2"/>
    <w:rsid w:val="726D7524"/>
    <w:rsid w:val="7281774F"/>
    <w:rsid w:val="72B93FFA"/>
    <w:rsid w:val="72BF0985"/>
    <w:rsid w:val="72D414B5"/>
    <w:rsid w:val="72ED6C6F"/>
    <w:rsid w:val="72F45A27"/>
    <w:rsid w:val="72FC42E0"/>
    <w:rsid w:val="72FF3886"/>
    <w:rsid w:val="730315EF"/>
    <w:rsid w:val="730563D5"/>
    <w:rsid w:val="73260B65"/>
    <w:rsid w:val="73271AC9"/>
    <w:rsid w:val="733C5D78"/>
    <w:rsid w:val="734F01A3"/>
    <w:rsid w:val="73690309"/>
    <w:rsid w:val="7377668C"/>
    <w:rsid w:val="737D21F1"/>
    <w:rsid w:val="73873502"/>
    <w:rsid w:val="73AB732E"/>
    <w:rsid w:val="73B20127"/>
    <w:rsid w:val="73B2258E"/>
    <w:rsid w:val="73D01890"/>
    <w:rsid w:val="73D24D08"/>
    <w:rsid w:val="73E4320A"/>
    <w:rsid w:val="73F17CB8"/>
    <w:rsid w:val="73FA0E27"/>
    <w:rsid w:val="7431631F"/>
    <w:rsid w:val="74316CBA"/>
    <w:rsid w:val="744B3A5E"/>
    <w:rsid w:val="74726799"/>
    <w:rsid w:val="74941150"/>
    <w:rsid w:val="7496473B"/>
    <w:rsid w:val="749755C7"/>
    <w:rsid w:val="74B33FA3"/>
    <w:rsid w:val="74B35489"/>
    <w:rsid w:val="74B60D87"/>
    <w:rsid w:val="74B66864"/>
    <w:rsid w:val="74BB5AF8"/>
    <w:rsid w:val="74E450D3"/>
    <w:rsid w:val="74F86EAD"/>
    <w:rsid w:val="751034C9"/>
    <w:rsid w:val="75134D9F"/>
    <w:rsid w:val="751C0978"/>
    <w:rsid w:val="752F3CFE"/>
    <w:rsid w:val="754C1678"/>
    <w:rsid w:val="754F0DC0"/>
    <w:rsid w:val="75546716"/>
    <w:rsid w:val="75570D15"/>
    <w:rsid w:val="75630BDC"/>
    <w:rsid w:val="75662210"/>
    <w:rsid w:val="75761081"/>
    <w:rsid w:val="75902928"/>
    <w:rsid w:val="759E41AF"/>
    <w:rsid w:val="75A562C0"/>
    <w:rsid w:val="75AC6B2F"/>
    <w:rsid w:val="75BA2BE9"/>
    <w:rsid w:val="75E57258"/>
    <w:rsid w:val="75E75883"/>
    <w:rsid w:val="75EF4550"/>
    <w:rsid w:val="75F7352B"/>
    <w:rsid w:val="76046285"/>
    <w:rsid w:val="761D5852"/>
    <w:rsid w:val="763531C8"/>
    <w:rsid w:val="76365A75"/>
    <w:rsid w:val="765A1929"/>
    <w:rsid w:val="765C4817"/>
    <w:rsid w:val="76653EF8"/>
    <w:rsid w:val="767C10AD"/>
    <w:rsid w:val="7690791B"/>
    <w:rsid w:val="76A302C1"/>
    <w:rsid w:val="76AD2455"/>
    <w:rsid w:val="76D24DA2"/>
    <w:rsid w:val="76D85037"/>
    <w:rsid w:val="76E5294C"/>
    <w:rsid w:val="76E6211C"/>
    <w:rsid w:val="76F033B7"/>
    <w:rsid w:val="7718289E"/>
    <w:rsid w:val="771A3C01"/>
    <w:rsid w:val="77392EB9"/>
    <w:rsid w:val="77644077"/>
    <w:rsid w:val="77750E4D"/>
    <w:rsid w:val="777907DB"/>
    <w:rsid w:val="777B41F4"/>
    <w:rsid w:val="77A04FEF"/>
    <w:rsid w:val="77A13F33"/>
    <w:rsid w:val="77B63A57"/>
    <w:rsid w:val="77BA73C5"/>
    <w:rsid w:val="77C1791F"/>
    <w:rsid w:val="77C57F3C"/>
    <w:rsid w:val="77D7347F"/>
    <w:rsid w:val="77F76502"/>
    <w:rsid w:val="780A24F5"/>
    <w:rsid w:val="783B47D0"/>
    <w:rsid w:val="786E611C"/>
    <w:rsid w:val="787A1CAF"/>
    <w:rsid w:val="78804C97"/>
    <w:rsid w:val="78812A2D"/>
    <w:rsid w:val="78855DAD"/>
    <w:rsid w:val="78976AF5"/>
    <w:rsid w:val="78D20543"/>
    <w:rsid w:val="78DF0397"/>
    <w:rsid w:val="78E40EB8"/>
    <w:rsid w:val="78E91612"/>
    <w:rsid w:val="78EA100E"/>
    <w:rsid w:val="78EC68EC"/>
    <w:rsid w:val="790705BE"/>
    <w:rsid w:val="794B1CBE"/>
    <w:rsid w:val="795528FA"/>
    <w:rsid w:val="795B6B06"/>
    <w:rsid w:val="796B1BBB"/>
    <w:rsid w:val="799617CD"/>
    <w:rsid w:val="799F1A75"/>
    <w:rsid w:val="79A877B5"/>
    <w:rsid w:val="79AB7F06"/>
    <w:rsid w:val="79B738D1"/>
    <w:rsid w:val="79BA0F42"/>
    <w:rsid w:val="79D04C69"/>
    <w:rsid w:val="79D253BD"/>
    <w:rsid w:val="79DA1C85"/>
    <w:rsid w:val="79DD203F"/>
    <w:rsid w:val="79E04974"/>
    <w:rsid w:val="79F50F42"/>
    <w:rsid w:val="7A0946AA"/>
    <w:rsid w:val="7A2430F2"/>
    <w:rsid w:val="7A350440"/>
    <w:rsid w:val="7A794A84"/>
    <w:rsid w:val="7AA4152E"/>
    <w:rsid w:val="7AC12AA4"/>
    <w:rsid w:val="7AC317B5"/>
    <w:rsid w:val="7AE03CB9"/>
    <w:rsid w:val="7AE05CA0"/>
    <w:rsid w:val="7B046EF0"/>
    <w:rsid w:val="7B1B0C46"/>
    <w:rsid w:val="7B294E90"/>
    <w:rsid w:val="7B2E417F"/>
    <w:rsid w:val="7B3418B7"/>
    <w:rsid w:val="7B3A4C6A"/>
    <w:rsid w:val="7B557719"/>
    <w:rsid w:val="7B5F7C39"/>
    <w:rsid w:val="7B6B7E98"/>
    <w:rsid w:val="7B8B7BBE"/>
    <w:rsid w:val="7B924224"/>
    <w:rsid w:val="7B9A508B"/>
    <w:rsid w:val="7BAD1723"/>
    <w:rsid w:val="7BBC5468"/>
    <w:rsid w:val="7BC62645"/>
    <w:rsid w:val="7BC718F2"/>
    <w:rsid w:val="7BDC64FE"/>
    <w:rsid w:val="7BE34036"/>
    <w:rsid w:val="7C0E2BA3"/>
    <w:rsid w:val="7C3672FF"/>
    <w:rsid w:val="7C551DB9"/>
    <w:rsid w:val="7C7D3D28"/>
    <w:rsid w:val="7C8B2C1F"/>
    <w:rsid w:val="7C942B4D"/>
    <w:rsid w:val="7C9B00A3"/>
    <w:rsid w:val="7CA501DC"/>
    <w:rsid w:val="7CA722C8"/>
    <w:rsid w:val="7CB72EE4"/>
    <w:rsid w:val="7CF67626"/>
    <w:rsid w:val="7CFC3462"/>
    <w:rsid w:val="7CFC3CED"/>
    <w:rsid w:val="7CFC437D"/>
    <w:rsid w:val="7D123F7B"/>
    <w:rsid w:val="7D2360EB"/>
    <w:rsid w:val="7D245D39"/>
    <w:rsid w:val="7D474204"/>
    <w:rsid w:val="7D501B55"/>
    <w:rsid w:val="7D645B07"/>
    <w:rsid w:val="7D6541CB"/>
    <w:rsid w:val="7D662CA2"/>
    <w:rsid w:val="7D6E48EB"/>
    <w:rsid w:val="7D764B56"/>
    <w:rsid w:val="7D785C0A"/>
    <w:rsid w:val="7DC66C7B"/>
    <w:rsid w:val="7DD23860"/>
    <w:rsid w:val="7DFC43D4"/>
    <w:rsid w:val="7E031CD2"/>
    <w:rsid w:val="7E040ABB"/>
    <w:rsid w:val="7E101F9D"/>
    <w:rsid w:val="7E105E91"/>
    <w:rsid w:val="7E1754BE"/>
    <w:rsid w:val="7E223BDC"/>
    <w:rsid w:val="7E3552D9"/>
    <w:rsid w:val="7E3C2CE6"/>
    <w:rsid w:val="7E650141"/>
    <w:rsid w:val="7E6F190F"/>
    <w:rsid w:val="7E8B67DD"/>
    <w:rsid w:val="7E9D6DFD"/>
    <w:rsid w:val="7EAB3461"/>
    <w:rsid w:val="7EBF54A6"/>
    <w:rsid w:val="7EC20B31"/>
    <w:rsid w:val="7EC70146"/>
    <w:rsid w:val="7EC84B45"/>
    <w:rsid w:val="7EDF2C84"/>
    <w:rsid w:val="7EED21FB"/>
    <w:rsid w:val="7F0D478C"/>
    <w:rsid w:val="7F123BF3"/>
    <w:rsid w:val="7F21006A"/>
    <w:rsid w:val="7F2D34C8"/>
    <w:rsid w:val="7F2F7D0C"/>
    <w:rsid w:val="7F3C30AF"/>
    <w:rsid w:val="7F3E5646"/>
    <w:rsid w:val="7F5709B5"/>
    <w:rsid w:val="7F734787"/>
    <w:rsid w:val="7F9F0EAF"/>
    <w:rsid w:val="7FAB7425"/>
    <w:rsid w:val="7FB40E30"/>
    <w:rsid w:val="7FD305C7"/>
    <w:rsid w:val="7FD63995"/>
    <w:rsid w:val="7FD7348F"/>
    <w:rsid w:val="7FDA0F38"/>
    <w:rsid w:val="7FDE7237"/>
    <w:rsid w:val="7FF378F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99" w:name="Normal Indent"/>
    <w:lsdException w:uiPriority="99" w:name="footnote text"/>
    <w:lsdException w:unhideWhenUsed="0"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ocked="1"/>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nhideWhenUsed="0" w:uiPriority="99" w:name="Closing"/>
    <w:lsdException w:uiPriority="99" w:name="Signature"/>
    <w:lsdException w:unhideWhenUsed="0" w:uiPriority="99" w:name="Default Paragraph Font"/>
    <w:lsdException w:unhideWhenUsed="0" w:uiPriority="99" w:name="Body Text"/>
    <w:lsdException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nhideWhenUsed="0" w:uiPriority="99" w:name="Body Text First Indent"/>
    <w:lsdException w:uiPriority="99" w:name="Body Text First Indent 2"/>
    <w:lsdException w:uiPriority="99" w:name="Note Heading"/>
    <w:lsdException w:uiPriority="99" w:name="Body Text 2"/>
    <w:lsdException w:qFormat="1" w:unhideWhenUsed="0" w:uiPriority="99" w:name="Body Text 3"/>
    <w:lsdException w:unhideWhenUsed="0" w:uiPriority="99" w:name="Body Text Indent 2"/>
    <w:lsdException w:unhideWhenUsed="0" w:uiPriority="99" w:name="Body Text Indent 3"/>
    <w:lsdException w:uiPriority="99" w:name="Block Text"/>
    <w:lsdException w:unhideWhenUsed="0" w:uiPriority="99" w:semiHidden="0" w:name="Hyperlink"/>
    <w:lsdException w:unhideWhenUsed="0" w:uiPriority="99" w:name="FollowedHyperlink"/>
    <w:lsdException w:qFormat="1" w:unhideWhenUsed="0" w:uiPriority="99" w:semiHidden="0" w:name="Strong"/>
    <w:lsdException w:qFormat="1" w:unhideWhenUsed="0" w:uiPriority="0" w:semiHidden="0" w:name="Emphasis" w:locked="1"/>
    <w:lsdException w:qFormat="1" w:unhideWhenUsed="0" w:uiPriority="99" w:name="Document Map"/>
    <w:lsdException w:unhideWhenUsed="0"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9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0"/>
    <w:qFormat/>
    <w:uiPriority w:val="99"/>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1"/>
    <w:qFormat/>
    <w:uiPriority w:val="99"/>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2"/>
    <w:qFormat/>
    <w:uiPriority w:val="99"/>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3"/>
    <w:qFormat/>
    <w:uiPriority w:val="99"/>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4"/>
    <w:qFormat/>
    <w:uiPriority w:val="99"/>
    <w:pPr>
      <w:keepNext/>
      <w:keepLines/>
      <w:spacing w:before="280" w:after="290" w:line="374" w:lineRule="auto"/>
      <w:outlineLvl w:val="4"/>
    </w:pPr>
    <w:rPr>
      <w:b/>
      <w:bCs/>
      <w:sz w:val="28"/>
      <w:szCs w:val="28"/>
    </w:rPr>
  </w:style>
  <w:style w:type="character" w:default="1" w:styleId="26">
    <w:name w:val="Default Paragraph Font"/>
    <w:semiHidden/>
    <w:uiPriority w:val="99"/>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semiHidden/>
    <w:uiPriority w:val="99"/>
    <w:pPr>
      <w:ind w:firstLine="420"/>
    </w:pPr>
    <w:rPr>
      <w:rFonts w:ascii="幼圆" w:eastAsia="幼圆"/>
      <w:sz w:val="24"/>
      <w:szCs w:val="20"/>
    </w:rPr>
  </w:style>
  <w:style w:type="paragraph" w:styleId="8">
    <w:name w:val="Document Map"/>
    <w:basedOn w:val="1"/>
    <w:link w:val="37"/>
    <w:semiHidden/>
    <w:qFormat/>
    <w:uiPriority w:val="99"/>
    <w:pPr>
      <w:shd w:val="clear" w:color="auto" w:fill="000080"/>
    </w:pPr>
  </w:style>
  <w:style w:type="paragraph" w:styleId="9">
    <w:name w:val="annotation text"/>
    <w:basedOn w:val="1"/>
    <w:link w:val="38"/>
    <w:semiHidden/>
    <w:uiPriority w:val="99"/>
    <w:pPr>
      <w:jc w:val="left"/>
    </w:pPr>
    <w:rPr>
      <w:rFonts w:ascii="Times New Roman" w:hAnsi="Times New Roman"/>
      <w:szCs w:val="20"/>
    </w:rPr>
  </w:style>
  <w:style w:type="paragraph" w:styleId="10">
    <w:name w:val="Body Text 3"/>
    <w:basedOn w:val="1"/>
    <w:link w:val="39"/>
    <w:semiHidden/>
    <w:qFormat/>
    <w:uiPriority w:val="99"/>
    <w:pPr>
      <w:spacing w:after="120"/>
    </w:pPr>
    <w:rPr>
      <w:sz w:val="16"/>
      <w:szCs w:val="16"/>
    </w:rPr>
  </w:style>
  <w:style w:type="paragraph" w:styleId="11">
    <w:name w:val="Closing"/>
    <w:basedOn w:val="1"/>
    <w:next w:val="1"/>
    <w:link w:val="40"/>
    <w:semiHidden/>
    <w:uiPriority w:val="99"/>
    <w:pPr>
      <w:widowControl/>
      <w:ind w:left="4320"/>
      <w:jc w:val="left"/>
    </w:pPr>
    <w:rPr>
      <w:kern w:val="0"/>
      <w:sz w:val="20"/>
      <w:szCs w:val="20"/>
    </w:rPr>
  </w:style>
  <w:style w:type="paragraph" w:styleId="12">
    <w:name w:val="Body Text"/>
    <w:basedOn w:val="1"/>
    <w:link w:val="35"/>
    <w:semiHidden/>
    <w:uiPriority w:val="99"/>
    <w:pPr>
      <w:spacing w:after="120"/>
    </w:pPr>
  </w:style>
  <w:style w:type="paragraph" w:styleId="13">
    <w:name w:val="Body Text Indent"/>
    <w:basedOn w:val="1"/>
    <w:link w:val="41"/>
    <w:semiHidden/>
    <w:uiPriority w:val="99"/>
    <w:pPr>
      <w:spacing w:after="120"/>
      <w:ind w:left="420" w:leftChars="200"/>
    </w:pPr>
  </w:style>
  <w:style w:type="paragraph" w:styleId="14">
    <w:name w:val="Plain Text"/>
    <w:basedOn w:val="1"/>
    <w:link w:val="42"/>
    <w:semiHidden/>
    <w:uiPriority w:val="99"/>
    <w:rPr>
      <w:rFonts w:ascii="宋体" w:hAnsi="Courier New"/>
      <w:szCs w:val="20"/>
    </w:rPr>
  </w:style>
  <w:style w:type="paragraph" w:styleId="15">
    <w:name w:val="Date"/>
    <w:basedOn w:val="1"/>
    <w:next w:val="1"/>
    <w:link w:val="43"/>
    <w:uiPriority w:val="99"/>
  </w:style>
  <w:style w:type="paragraph" w:styleId="16">
    <w:name w:val="Body Text Indent 2"/>
    <w:basedOn w:val="1"/>
    <w:link w:val="44"/>
    <w:semiHidden/>
    <w:uiPriority w:val="99"/>
    <w:pPr>
      <w:spacing w:line="360" w:lineRule="auto"/>
      <w:ind w:firstLine="540" w:firstLineChars="225"/>
    </w:pPr>
    <w:rPr>
      <w:rFonts w:ascii="幼圆" w:eastAsia="幼圆"/>
      <w:sz w:val="24"/>
      <w:szCs w:val="20"/>
    </w:rPr>
  </w:style>
  <w:style w:type="paragraph" w:styleId="17">
    <w:name w:val="Balloon Text"/>
    <w:basedOn w:val="1"/>
    <w:link w:val="45"/>
    <w:semiHidden/>
    <w:uiPriority w:val="99"/>
    <w:rPr>
      <w:sz w:val="18"/>
      <w:szCs w:val="18"/>
    </w:rPr>
  </w:style>
  <w:style w:type="paragraph" w:styleId="18">
    <w:name w:val="footer"/>
    <w:basedOn w:val="1"/>
    <w:link w:val="46"/>
    <w:uiPriority w:val="99"/>
    <w:pPr>
      <w:widowControl/>
      <w:tabs>
        <w:tab w:val="center" w:pos="4153"/>
        <w:tab w:val="right" w:pos="8306"/>
      </w:tabs>
      <w:snapToGrid w:val="0"/>
      <w:jc w:val="left"/>
    </w:pPr>
    <w:rPr>
      <w:rFonts w:ascii="宋体" w:hAnsi="宋体"/>
      <w:kern w:val="0"/>
      <w:sz w:val="18"/>
      <w:szCs w:val="18"/>
    </w:rPr>
  </w:style>
  <w:style w:type="paragraph" w:styleId="19">
    <w:name w:val="header"/>
    <w:basedOn w:val="1"/>
    <w:link w:val="47"/>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link w:val="48"/>
    <w:semiHidden/>
    <w:uiPriority w:val="99"/>
    <w:pPr>
      <w:widowControl/>
      <w:spacing w:line="300" w:lineRule="auto"/>
      <w:ind w:firstLine="480" w:firstLineChars="200"/>
    </w:pPr>
    <w:rPr>
      <w:rFonts w:ascii="宋体" w:hAnsi="宋体"/>
      <w:bCs/>
      <w:kern w:val="0"/>
      <w:sz w:val="24"/>
    </w:rPr>
  </w:style>
  <w:style w:type="paragraph" w:styleId="21">
    <w:name w:val="Normal (Web)"/>
    <w:basedOn w:val="1"/>
    <w:uiPriority w:val="99"/>
    <w:pPr>
      <w:spacing w:before="100" w:beforeAutospacing="1" w:after="100" w:afterAutospacing="1"/>
      <w:jc w:val="left"/>
    </w:pPr>
    <w:rPr>
      <w:kern w:val="0"/>
      <w:sz w:val="24"/>
      <w:szCs w:val="24"/>
    </w:rPr>
  </w:style>
  <w:style w:type="paragraph" w:styleId="22">
    <w:name w:val="Title"/>
    <w:basedOn w:val="1"/>
    <w:next w:val="1"/>
    <w:link w:val="49"/>
    <w:qFormat/>
    <w:uiPriority w:val="99"/>
    <w:pPr>
      <w:spacing w:before="240" w:after="60"/>
      <w:jc w:val="center"/>
      <w:outlineLvl w:val="0"/>
    </w:pPr>
    <w:rPr>
      <w:rFonts w:ascii="Cambria" w:hAnsi="Cambria"/>
      <w:b/>
      <w:bCs/>
      <w:sz w:val="32"/>
      <w:szCs w:val="32"/>
    </w:rPr>
  </w:style>
  <w:style w:type="paragraph" w:styleId="23">
    <w:name w:val="Body Text First Indent"/>
    <w:basedOn w:val="12"/>
    <w:link w:val="36"/>
    <w:semiHidden/>
    <w:uiPriority w:val="99"/>
    <w:pPr>
      <w:ind w:firstLine="420" w:firstLineChars="100"/>
    </w:pPr>
  </w:style>
  <w:style w:type="table" w:styleId="25">
    <w:name w:val="Table Grid"/>
    <w:basedOn w:val="24"/>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7">
    <w:name w:val="Strong"/>
    <w:basedOn w:val="26"/>
    <w:qFormat/>
    <w:uiPriority w:val="99"/>
    <w:rPr>
      <w:rFonts w:cs="Times New Roman"/>
      <w:b/>
    </w:rPr>
  </w:style>
  <w:style w:type="character" w:styleId="28">
    <w:name w:val="FollowedHyperlink"/>
    <w:basedOn w:val="26"/>
    <w:semiHidden/>
    <w:uiPriority w:val="99"/>
    <w:rPr>
      <w:rFonts w:cs="Times New Roman"/>
      <w:color w:val="800080"/>
      <w:u w:val="none"/>
    </w:rPr>
  </w:style>
  <w:style w:type="character" w:styleId="29">
    <w:name w:val="Hyperlink"/>
    <w:basedOn w:val="26"/>
    <w:uiPriority w:val="99"/>
    <w:rPr>
      <w:rFonts w:cs="Times New Roman"/>
      <w:color w:val="0000FF"/>
      <w:u w:val="single"/>
    </w:rPr>
  </w:style>
  <w:style w:type="character" w:customStyle="1" w:styleId="30">
    <w:name w:val="Heading 1 Char"/>
    <w:basedOn w:val="26"/>
    <w:link w:val="2"/>
    <w:locked/>
    <w:uiPriority w:val="99"/>
    <w:rPr>
      <w:rFonts w:ascii="Times New Roman" w:hAnsi="Times New Roman" w:eastAsia="宋体" w:cs="Times New Roman"/>
      <w:b/>
      <w:kern w:val="44"/>
      <w:sz w:val="20"/>
      <w:szCs w:val="20"/>
    </w:rPr>
  </w:style>
  <w:style w:type="character" w:customStyle="1" w:styleId="31">
    <w:name w:val="Heading 2 Char"/>
    <w:basedOn w:val="26"/>
    <w:link w:val="3"/>
    <w:locked/>
    <w:uiPriority w:val="99"/>
    <w:rPr>
      <w:rFonts w:ascii="Arial" w:hAnsi="Arial" w:eastAsia="黑体" w:cs="Times New Roman"/>
      <w:b/>
      <w:sz w:val="20"/>
      <w:szCs w:val="20"/>
    </w:rPr>
  </w:style>
  <w:style w:type="character" w:customStyle="1" w:styleId="32">
    <w:name w:val="Heading 3 Char"/>
    <w:basedOn w:val="26"/>
    <w:link w:val="4"/>
    <w:locked/>
    <w:uiPriority w:val="99"/>
    <w:rPr>
      <w:rFonts w:ascii="Times New Roman" w:hAnsi="Times New Roman" w:eastAsia="宋体" w:cs="Times New Roman"/>
      <w:b/>
      <w:sz w:val="20"/>
      <w:szCs w:val="20"/>
    </w:rPr>
  </w:style>
  <w:style w:type="character" w:customStyle="1" w:styleId="33">
    <w:name w:val="Heading 4 Char"/>
    <w:basedOn w:val="26"/>
    <w:link w:val="5"/>
    <w:semiHidden/>
    <w:locked/>
    <w:uiPriority w:val="99"/>
    <w:rPr>
      <w:rFonts w:ascii="Arial" w:hAnsi="Arial" w:eastAsia="黑体" w:cs="Times New Roman"/>
      <w:b/>
      <w:bCs/>
      <w:sz w:val="28"/>
      <w:szCs w:val="28"/>
    </w:rPr>
  </w:style>
  <w:style w:type="character" w:customStyle="1" w:styleId="34">
    <w:name w:val="Heading 5 Char"/>
    <w:basedOn w:val="26"/>
    <w:link w:val="6"/>
    <w:semiHidden/>
    <w:qFormat/>
    <w:locked/>
    <w:uiPriority w:val="99"/>
    <w:rPr>
      <w:rFonts w:ascii="Calibri" w:hAnsi="Calibri" w:eastAsia="宋体" w:cs="Times New Roman"/>
      <w:b/>
      <w:bCs/>
      <w:sz w:val="28"/>
      <w:szCs w:val="28"/>
    </w:rPr>
  </w:style>
  <w:style w:type="character" w:customStyle="1" w:styleId="35">
    <w:name w:val="Body Text Char"/>
    <w:basedOn w:val="26"/>
    <w:link w:val="12"/>
    <w:semiHidden/>
    <w:locked/>
    <w:uiPriority w:val="99"/>
    <w:rPr>
      <w:rFonts w:ascii="Calibri" w:hAnsi="Calibri" w:eastAsia="宋体" w:cs="Times New Roman"/>
    </w:rPr>
  </w:style>
  <w:style w:type="character" w:customStyle="1" w:styleId="36">
    <w:name w:val="Body Text First Indent Char"/>
    <w:basedOn w:val="35"/>
    <w:link w:val="23"/>
    <w:semiHidden/>
    <w:locked/>
    <w:uiPriority w:val="99"/>
  </w:style>
  <w:style w:type="character" w:customStyle="1" w:styleId="37">
    <w:name w:val="Document Map Char"/>
    <w:basedOn w:val="26"/>
    <w:link w:val="8"/>
    <w:semiHidden/>
    <w:locked/>
    <w:uiPriority w:val="99"/>
    <w:rPr>
      <w:rFonts w:ascii="Calibri" w:hAnsi="Calibri" w:eastAsia="宋体" w:cs="Times New Roman"/>
      <w:shd w:val="clear" w:color="auto" w:fill="000080"/>
    </w:rPr>
  </w:style>
  <w:style w:type="character" w:customStyle="1" w:styleId="38">
    <w:name w:val="Comment Text Char"/>
    <w:basedOn w:val="26"/>
    <w:link w:val="9"/>
    <w:semiHidden/>
    <w:locked/>
    <w:uiPriority w:val="99"/>
    <w:rPr>
      <w:rFonts w:ascii="Times New Roman" w:hAnsi="Times New Roman" w:eastAsia="宋体" w:cs="Times New Roman"/>
      <w:sz w:val="20"/>
      <w:szCs w:val="20"/>
    </w:rPr>
  </w:style>
  <w:style w:type="character" w:customStyle="1" w:styleId="39">
    <w:name w:val="Body Text 3 Char"/>
    <w:basedOn w:val="26"/>
    <w:link w:val="10"/>
    <w:semiHidden/>
    <w:locked/>
    <w:uiPriority w:val="99"/>
    <w:rPr>
      <w:rFonts w:ascii="Calibri" w:hAnsi="Calibri" w:eastAsia="宋体" w:cs="Times New Roman"/>
      <w:sz w:val="16"/>
      <w:szCs w:val="16"/>
    </w:rPr>
  </w:style>
  <w:style w:type="character" w:customStyle="1" w:styleId="40">
    <w:name w:val="Closing Char"/>
    <w:basedOn w:val="26"/>
    <w:link w:val="11"/>
    <w:semiHidden/>
    <w:locked/>
    <w:uiPriority w:val="99"/>
    <w:rPr>
      <w:rFonts w:ascii="Calibri" w:hAnsi="Calibri" w:eastAsia="宋体" w:cs="Times New Roman"/>
      <w:kern w:val="0"/>
      <w:sz w:val="20"/>
      <w:szCs w:val="20"/>
    </w:rPr>
  </w:style>
  <w:style w:type="character" w:customStyle="1" w:styleId="41">
    <w:name w:val="Body Text Indent Char"/>
    <w:basedOn w:val="26"/>
    <w:link w:val="13"/>
    <w:semiHidden/>
    <w:locked/>
    <w:uiPriority w:val="99"/>
    <w:rPr>
      <w:rFonts w:ascii="Calibri" w:hAnsi="Calibri" w:eastAsia="宋体" w:cs="Times New Roman"/>
    </w:rPr>
  </w:style>
  <w:style w:type="character" w:customStyle="1" w:styleId="42">
    <w:name w:val="Plain Text Char"/>
    <w:basedOn w:val="26"/>
    <w:link w:val="14"/>
    <w:semiHidden/>
    <w:locked/>
    <w:uiPriority w:val="99"/>
    <w:rPr>
      <w:rFonts w:ascii="宋体" w:hAnsi="Courier New" w:eastAsia="宋体" w:cs="Times New Roman"/>
      <w:sz w:val="20"/>
      <w:szCs w:val="20"/>
    </w:rPr>
  </w:style>
  <w:style w:type="character" w:customStyle="1" w:styleId="43">
    <w:name w:val="Date Char"/>
    <w:basedOn w:val="26"/>
    <w:link w:val="15"/>
    <w:semiHidden/>
    <w:locked/>
    <w:uiPriority w:val="99"/>
    <w:rPr>
      <w:rFonts w:ascii="Calibri" w:hAnsi="Calibri" w:eastAsia="宋体" w:cs="Times New Roman"/>
    </w:rPr>
  </w:style>
  <w:style w:type="character" w:customStyle="1" w:styleId="44">
    <w:name w:val="Body Text Indent 2 Char"/>
    <w:basedOn w:val="26"/>
    <w:link w:val="16"/>
    <w:semiHidden/>
    <w:locked/>
    <w:uiPriority w:val="99"/>
    <w:rPr>
      <w:rFonts w:ascii="幼圆" w:hAnsi="Calibri" w:eastAsia="幼圆" w:cs="Times New Roman"/>
      <w:sz w:val="20"/>
      <w:szCs w:val="20"/>
    </w:rPr>
  </w:style>
  <w:style w:type="character" w:customStyle="1" w:styleId="45">
    <w:name w:val="Balloon Text Char"/>
    <w:basedOn w:val="26"/>
    <w:link w:val="17"/>
    <w:semiHidden/>
    <w:locked/>
    <w:uiPriority w:val="99"/>
    <w:rPr>
      <w:rFonts w:ascii="Calibri" w:hAnsi="Calibri" w:eastAsia="宋体" w:cs="Times New Roman"/>
      <w:sz w:val="18"/>
      <w:szCs w:val="18"/>
    </w:rPr>
  </w:style>
  <w:style w:type="character" w:customStyle="1" w:styleId="46">
    <w:name w:val="Footer Char"/>
    <w:basedOn w:val="26"/>
    <w:link w:val="18"/>
    <w:locked/>
    <w:uiPriority w:val="99"/>
    <w:rPr>
      <w:rFonts w:ascii="宋体" w:hAnsi="宋体" w:eastAsia="宋体" w:cs="Times New Roman"/>
      <w:kern w:val="0"/>
      <w:sz w:val="18"/>
      <w:szCs w:val="18"/>
    </w:rPr>
  </w:style>
  <w:style w:type="character" w:customStyle="1" w:styleId="47">
    <w:name w:val="Header Char"/>
    <w:basedOn w:val="26"/>
    <w:link w:val="19"/>
    <w:locked/>
    <w:uiPriority w:val="99"/>
    <w:rPr>
      <w:rFonts w:ascii="Calibri" w:hAnsi="Calibri" w:eastAsia="宋体" w:cs="Times New Roman"/>
      <w:sz w:val="18"/>
      <w:szCs w:val="18"/>
    </w:rPr>
  </w:style>
  <w:style w:type="character" w:customStyle="1" w:styleId="48">
    <w:name w:val="Body Text Indent 3 Char"/>
    <w:basedOn w:val="26"/>
    <w:link w:val="20"/>
    <w:semiHidden/>
    <w:locked/>
    <w:uiPriority w:val="99"/>
    <w:rPr>
      <w:rFonts w:ascii="宋体" w:hAnsi="宋体" w:eastAsia="宋体" w:cs="Times New Roman"/>
      <w:bCs/>
      <w:kern w:val="0"/>
      <w:sz w:val="24"/>
    </w:rPr>
  </w:style>
  <w:style w:type="character" w:customStyle="1" w:styleId="49">
    <w:name w:val="Title Char"/>
    <w:basedOn w:val="26"/>
    <w:link w:val="22"/>
    <w:locked/>
    <w:uiPriority w:val="99"/>
    <w:rPr>
      <w:rFonts w:ascii="Cambria" w:hAnsi="Cambria" w:eastAsia="宋体" w:cs="Times New Roman"/>
      <w:b/>
      <w:bCs/>
      <w:sz w:val="32"/>
      <w:szCs w:val="32"/>
    </w:rPr>
  </w:style>
  <w:style w:type="paragraph" w:customStyle="1" w:styleId="50">
    <w:name w:val="msonormal"/>
    <w:basedOn w:val="1"/>
    <w:uiPriority w:val="99"/>
    <w:pPr>
      <w:widowControl/>
      <w:spacing w:before="100" w:beforeAutospacing="1" w:after="100" w:afterAutospacing="1"/>
      <w:jc w:val="left"/>
    </w:pPr>
    <w:rPr>
      <w:rFonts w:ascii="宋体" w:hAnsi="宋体"/>
      <w:kern w:val="0"/>
      <w:sz w:val="24"/>
    </w:rPr>
  </w:style>
  <w:style w:type="character" w:customStyle="1" w:styleId="51">
    <w:name w:val="No Spacing Char"/>
    <w:link w:val="52"/>
    <w:locked/>
    <w:uiPriority w:val="99"/>
    <w:rPr>
      <w:rFonts w:ascii="Calibri" w:hAnsi="Calibri" w:eastAsia="Times New Roman"/>
      <w:kern w:val="2"/>
      <w:sz w:val="22"/>
      <w:lang w:val="en-US" w:eastAsia="zh-CN"/>
    </w:rPr>
  </w:style>
  <w:style w:type="paragraph" w:styleId="52">
    <w:name w:val="No Spacing"/>
    <w:link w:val="51"/>
    <w:qFormat/>
    <w:uiPriority w:val="99"/>
    <w:rPr>
      <w:rFonts w:ascii="Calibri" w:hAnsi="Calibri" w:eastAsia="宋体" w:cs="Calibri"/>
      <w:kern w:val="2"/>
      <w:sz w:val="22"/>
      <w:szCs w:val="22"/>
      <w:lang w:val="en-US" w:eastAsia="zh-CN" w:bidi="ar-SA"/>
    </w:rPr>
  </w:style>
  <w:style w:type="paragraph" w:styleId="53">
    <w:name w:val="List Paragraph"/>
    <w:basedOn w:val="1"/>
    <w:qFormat/>
    <w:uiPriority w:val="99"/>
    <w:pPr>
      <w:ind w:firstLine="420" w:firstLineChars="200"/>
    </w:pPr>
  </w:style>
  <w:style w:type="paragraph" w:customStyle="1" w:styleId="54">
    <w:name w:val="TOC Heading1"/>
    <w:basedOn w:val="2"/>
    <w:next w:val="1"/>
    <w:semiHidden/>
    <w:uiPriority w:val="99"/>
    <w:pPr>
      <w:widowControl/>
      <w:spacing w:before="480" w:after="0" w:line="276" w:lineRule="auto"/>
      <w:outlineLvl w:val="9"/>
    </w:pPr>
    <w:rPr>
      <w:rFonts w:ascii="Cambria" w:hAnsi="Cambria"/>
      <w:color w:val="365F91"/>
      <w:kern w:val="0"/>
      <w:sz w:val="28"/>
    </w:rPr>
  </w:style>
  <w:style w:type="paragraph" w:customStyle="1" w:styleId="55">
    <w:name w:val="列出段落[858D7CFB-ED40-4347-BF05-701D383B685F][858D7CFB-ED40-4347-BF05-701D383B685F]"/>
    <w:basedOn w:val="1"/>
    <w:uiPriority w:val="99"/>
    <w:pPr>
      <w:ind w:firstLine="420" w:firstLineChars="200"/>
    </w:pPr>
  </w:style>
  <w:style w:type="paragraph" w:customStyle="1" w:styleId="56">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7">
    <w:name w:val="样式 标题 3 + (中文) 黑体 小四 非加粗 段前: 7.8 磅 段后: 0 磅 行距: 固定值 20 磅"/>
    <w:basedOn w:val="4"/>
    <w:uiPriority w:val="99"/>
    <w:pPr>
      <w:spacing w:before="0" w:after="0" w:line="400" w:lineRule="exact"/>
    </w:pPr>
    <w:rPr>
      <w:rFonts w:eastAsia="黑体" w:cs="宋体"/>
      <w:b w:val="0"/>
      <w:sz w:val="24"/>
    </w:rPr>
  </w:style>
  <w:style w:type="paragraph" w:customStyle="1" w:styleId="58">
    <w:name w:val="1"/>
    <w:basedOn w:val="1"/>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9">
    <w:name w:val="Char"/>
    <w:basedOn w:val="1"/>
    <w:qFormat/>
    <w:uiPriority w:val="99"/>
    <w:rPr>
      <w:rFonts w:ascii="Tahoma" w:hAnsi="Tahoma"/>
      <w:sz w:val="24"/>
      <w:szCs w:val="20"/>
    </w:rPr>
  </w:style>
  <w:style w:type="paragraph" w:customStyle="1" w:styleId="60">
    <w:name w:val="正文1"/>
    <w:uiPriority w:val="99"/>
    <w:rPr>
      <w:rFonts w:ascii="Times New Roman" w:hAnsi="Times New Roman" w:eastAsia="宋体" w:cs="Times New Roman"/>
      <w:kern w:val="0"/>
      <w:sz w:val="24"/>
      <w:szCs w:val="24"/>
      <w:lang w:val="en-US" w:eastAsia="zh-CN" w:bidi="ar-SA"/>
    </w:rPr>
  </w:style>
  <w:style w:type="paragraph" w:customStyle="1" w:styleId="61">
    <w:name w:val="Char Char Char Char Char Char Char"/>
    <w:basedOn w:val="1"/>
    <w:qFormat/>
    <w:uiPriority w:val="99"/>
    <w:pPr>
      <w:tabs>
        <w:tab w:val="left" w:pos="432"/>
      </w:tabs>
      <w:ind w:left="432" w:hanging="432"/>
    </w:pPr>
    <w:rPr>
      <w:rFonts w:ascii="Tahoma" w:hAnsi="Tahoma"/>
      <w:sz w:val="24"/>
      <w:szCs w:val="20"/>
    </w:rPr>
  </w:style>
  <w:style w:type="paragraph" w:customStyle="1" w:styleId="62">
    <w:name w:val="正文文字2"/>
    <w:basedOn w:val="12"/>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3">
    <w:name w:val="招标标题2"/>
    <w:basedOn w:val="3"/>
    <w:uiPriority w:val="99"/>
    <w:pPr>
      <w:spacing w:beforeLines="50" w:afterLines="50" w:line="240" w:lineRule="auto"/>
    </w:pPr>
    <w:rPr>
      <w:rFonts w:ascii="宋体" w:hAnsi="宋体" w:eastAsia="宋体"/>
      <w:bCs/>
      <w:sz w:val="28"/>
      <w:szCs w:val="28"/>
    </w:rPr>
  </w:style>
  <w:style w:type="paragraph" w:customStyle="1" w:styleId="64">
    <w:name w:val="文档正文"/>
    <w:basedOn w:val="1"/>
    <w:uiPriority w:val="99"/>
    <w:pPr>
      <w:spacing w:before="120" w:after="120" w:line="360" w:lineRule="auto"/>
    </w:pPr>
    <w:rPr>
      <w:rFonts w:ascii="宋体" w:hAnsi="Arial" w:eastAsia="幼圆"/>
      <w:sz w:val="24"/>
      <w:szCs w:val="20"/>
    </w:rPr>
  </w:style>
  <w:style w:type="paragraph" w:customStyle="1" w:styleId="65">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6">
    <w:name w:val="pa-2"/>
    <w:basedOn w:val="1"/>
    <w:uiPriority w:val="99"/>
    <w:pPr>
      <w:widowControl/>
      <w:spacing w:before="150" w:after="150"/>
      <w:jc w:val="left"/>
    </w:pPr>
    <w:rPr>
      <w:rFonts w:ascii="宋体" w:hAnsi="宋体" w:cs="宋体"/>
      <w:kern w:val="0"/>
      <w:sz w:val="24"/>
    </w:rPr>
  </w:style>
  <w:style w:type="paragraph" w:customStyle="1" w:styleId="67">
    <w:name w:val="大汉方案正文 Char"/>
    <w:basedOn w:val="1"/>
    <w:uiPriority w:val="99"/>
    <w:pPr>
      <w:spacing w:line="360" w:lineRule="auto"/>
      <w:ind w:firstLine="200" w:firstLineChars="200"/>
    </w:pPr>
    <w:rPr>
      <w:rFonts w:ascii="Arial" w:hAnsi="Arial"/>
      <w:sz w:val="24"/>
      <w:szCs w:val="24"/>
    </w:rPr>
  </w:style>
  <w:style w:type="paragraph" w:customStyle="1" w:styleId="68">
    <w:name w:val="样式 标题 2 + Times New Roman 四号 非加粗 段前: 5 磅 段后: 0 磅 行距: 固定值 20..."/>
    <w:basedOn w:val="3"/>
    <w:uiPriority w:val="99"/>
    <w:pPr>
      <w:spacing w:before="100" w:after="0" w:line="400" w:lineRule="exact"/>
    </w:pPr>
    <w:rPr>
      <w:rFonts w:ascii="Times New Roman" w:hAnsi="Times New Roman" w:cs="宋体"/>
      <w:b w:val="0"/>
      <w:sz w:val="28"/>
    </w:rPr>
  </w:style>
  <w:style w:type="paragraph" w:customStyle="1" w:styleId="69">
    <w:name w:val="正文_0_0"/>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0">
    <w:name w:val="Char Char Char"/>
    <w:basedOn w:val="1"/>
    <w:uiPriority w:val="99"/>
    <w:rPr>
      <w:rFonts w:ascii="Tahoma" w:hAnsi="Tahoma"/>
      <w:sz w:val="24"/>
      <w:szCs w:val="20"/>
    </w:rPr>
  </w:style>
  <w:style w:type="paragraph" w:customStyle="1" w:styleId="71">
    <w:name w:val="正文_0"/>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2">
    <w:name w:val="技术报告正文"/>
    <w:basedOn w:val="1"/>
    <w:uiPriority w:val="99"/>
    <w:pPr>
      <w:spacing w:beforeLines="50" w:line="440" w:lineRule="exact"/>
      <w:ind w:firstLine="538" w:firstLineChars="192"/>
    </w:pPr>
    <w:rPr>
      <w:rFonts w:cs="Arial"/>
      <w:bCs/>
      <w:sz w:val="28"/>
    </w:rPr>
  </w:style>
  <w:style w:type="paragraph" w:customStyle="1" w:styleId="73">
    <w:name w:val="默认段落字体 Para Char Char Char Char Char Char Char Char Char1 Char Char Char Char Char Char Char Char"/>
    <w:basedOn w:val="8"/>
    <w:uiPriority w:val="99"/>
  </w:style>
  <w:style w:type="paragraph" w:customStyle="1" w:styleId="74">
    <w:name w:val="p0"/>
    <w:basedOn w:val="1"/>
    <w:uiPriority w:val="99"/>
    <w:pPr>
      <w:widowControl/>
    </w:pPr>
    <w:rPr>
      <w:kern w:val="0"/>
      <w:szCs w:val="21"/>
    </w:rPr>
  </w:style>
  <w:style w:type="character" w:customStyle="1" w:styleId="75">
    <w:name w:val="ca-21"/>
    <w:uiPriority w:val="99"/>
    <w:rPr>
      <w:rFonts w:ascii="宋体-18030" w:hAnsi="宋体-18030" w:eastAsia="宋体-18030"/>
      <w:sz w:val="24"/>
    </w:rPr>
  </w:style>
  <w:style w:type="character" w:customStyle="1" w:styleId="76">
    <w:name w:val="ca-1"/>
    <w:basedOn w:val="26"/>
    <w:qFormat/>
    <w:uiPriority w:val="99"/>
    <w:rPr>
      <w:rFonts w:cs="Times New Roman"/>
    </w:rPr>
  </w:style>
  <w:style w:type="character" w:customStyle="1" w:styleId="77">
    <w:name w:val="apple-converted-space"/>
    <w:basedOn w:val="26"/>
    <w:uiPriority w:val="99"/>
    <w:rPr>
      <w:rFonts w:cs="Times New Roman"/>
    </w:rPr>
  </w:style>
  <w:style w:type="character" w:customStyle="1" w:styleId="78">
    <w:name w:val="标题 2 Char Char Char"/>
    <w:uiPriority w:val="99"/>
    <w:rPr>
      <w:rFonts w:ascii="Arial" w:hAnsi="Arial" w:eastAsia="宋体"/>
      <w:b/>
      <w:i/>
      <w:sz w:val="28"/>
      <w:lang w:val="en-US" w:eastAsia="zh-CN"/>
    </w:rPr>
  </w:style>
  <w:style w:type="character" w:customStyle="1" w:styleId="79">
    <w:name w:val="b122"/>
    <w:uiPriority w:val="99"/>
    <w:rPr>
      <w:rFonts w:ascii="Arial" w:hAnsi="Arial"/>
      <w:color w:val="FFFFFF"/>
      <w:sz w:val="18"/>
    </w:rPr>
  </w:style>
  <w:style w:type="character" w:customStyle="1" w:styleId="80">
    <w:name w:val="ca-11"/>
    <w:uiPriority w:val="99"/>
    <w:rPr>
      <w:rFonts w:ascii="宋体" w:hAnsi="宋体" w:eastAsia="宋体"/>
      <w:sz w:val="24"/>
    </w:rPr>
  </w:style>
  <w:style w:type="character" w:customStyle="1" w:styleId="81">
    <w:name w:val="blue"/>
    <w:basedOn w:val="26"/>
    <w:qFormat/>
    <w:uiPriority w:val="99"/>
    <w:rPr>
      <w:rFonts w:cs="Times New Roman"/>
    </w:rPr>
  </w:style>
  <w:style w:type="character" w:customStyle="1" w:styleId="82">
    <w:name w:val="普通文字1 Char1"/>
    <w:uiPriority w:val="99"/>
    <w:rPr>
      <w:rFonts w:ascii="Courier New" w:hAnsi="Courier New" w:eastAsia="宋体"/>
      <w:kern w:val="2"/>
      <w:sz w:val="21"/>
      <w:lang w:val="en-US" w:eastAsia="zh-CN"/>
    </w:rPr>
  </w:style>
  <w:style w:type="character" w:customStyle="1" w:styleId="83">
    <w:name w:val="all sel"/>
    <w:basedOn w:val="26"/>
    <w:qFormat/>
    <w:uiPriority w:val="99"/>
    <w:rPr>
      <w:rFonts w:cs="Times New Roman"/>
    </w:rPr>
  </w:style>
  <w:style w:type="character" w:customStyle="1" w:styleId="84">
    <w:name w:val="style81"/>
    <w:qFormat/>
    <w:uiPriority w:val="99"/>
    <w:rPr>
      <w:sz w:val="21"/>
    </w:rPr>
  </w:style>
  <w:style w:type="character" w:customStyle="1" w:styleId="85">
    <w:name w:val="h121"/>
    <w:uiPriority w:val="99"/>
    <w:rPr>
      <w:color w:val="333333"/>
    </w:rPr>
  </w:style>
  <w:style w:type="character" w:customStyle="1" w:styleId="86">
    <w:name w:val="ca-2"/>
    <w:basedOn w:val="26"/>
    <w:qFormat/>
    <w:uiPriority w:val="99"/>
    <w:rPr>
      <w:rFonts w:cs="Times New Roman"/>
    </w:rPr>
  </w:style>
  <w:style w:type="character" w:customStyle="1" w:styleId="87">
    <w:name w:val="标题 字符1"/>
    <w:basedOn w:val="26"/>
    <w:uiPriority w:val="99"/>
    <w:rPr>
      <w:rFonts w:ascii="等线 Light" w:hAnsi="等线 Light" w:eastAsia="等线 Light" w:cs="Times New Roman"/>
      <w:b/>
      <w:bCs/>
      <w:kern w:val="2"/>
      <w:sz w:val="32"/>
      <w:szCs w:val="32"/>
    </w:rPr>
  </w:style>
  <w:style w:type="paragraph" w:customStyle="1" w:styleId="88">
    <w:name w:val="四级标题"/>
    <w:basedOn w:val="1"/>
    <w:uiPriority w:val="99"/>
    <w:pPr>
      <w:widowControl/>
      <w:numPr>
        <w:ilvl w:val="0"/>
        <w:numId w:val="1"/>
      </w:numPr>
      <w:tabs>
        <w:tab w:val="left" w:pos="851"/>
      </w:tabs>
      <w:spacing w:line="360" w:lineRule="auto"/>
      <w:jc w:val="left"/>
    </w:pPr>
    <w:rPr>
      <w:rFonts w:ascii="宋体" w:hAnsi="宋体"/>
      <w:color w:val="000000"/>
      <w:kern w:val="0"/>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38</Pages>
  <Words>2579</Words>
  <Characters>14702</Characters>
  <Lines>0</Lines>
  <Paragraphs>0</Paragraphs>
  <TotalTime>8</TotalTime>
  <ScaleCrop>false</ScaleCrop>
  <LinksUpToDate>false</LinksUpToDate>
  <CharactersWithSpaces>0</CharactersWithSpaces>
  <Application>WPS Office_11.1.0.8751_F1E327BC-269C-435d-A152-05C5408002CA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高层层</cp:lastModifiedBy>
  <cp:lastPrinted>2019-08-02T07:34:00Z</cp:lastPrinted>
  <dcterms:modified xsi:type="dcterms:W3CDTF">2019-08-02T12:43:37Z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2052-11.1.0.8751</vt:lpwstr>
  </property>
</Properties>
</file>