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60" w:lineRule="exact"/>
        <w:jc w:val="center"/>
        <w:rPr>
          <w:rFonts w:hint="eastAsia" w:eastAsia="方正小标宋简体"/>
          <w:sz w:val="44"/>
          <w:szCs w:val="44"/>
          <w:lang w:val="en-US" w:eastAsia="zh-CN"/>
        </w:rPr>
      </w:pPr>
    </w:p>
    <w:p>
      <w:pPr>
        <w:wordWrap w:val="0"/>
        <w:spacing w:line="560" w:lineRule="exact"/>
        <w:jc w:val="center"/>
        <w:rPr>
          <w:rFonts w:eastAsia="方正小标宋简体"/>
          <w:sz w:val="44"/>
          <w:szCs w:val="44"/>
        </w:rPr>
      </w:pPr>
      <w:r>
        <w:rPr>
          <w:rFonts w:hint="eastAsia" w:eastAsia="方正小标宋简体"/>
          <w:sz w:val="44"/>
          <w:szCs w:val="44"/>
          <w:lang w:val="en-US" w:eastAsia="zh-CN"/>
        </w:rPr>
        <w:t>亳州再生资源交易市场建设项目办公用房及其配套</w:t>
      </w:r>
      <w:r>
        <w:rPr>
          <w:rFonts w:hint="eastAsia" w:eastAsia="方正小标宋简体"/>
          <w:sz w:val="44"/>
          <w:szCs w:val="44"/>
        </w:rPr>
        <w:t>材料采购工程</w:t>
      </w:r>
    </w:p>
    <w:p>
      <w:pPr>
        <w:wordWrap w:val="0"/>
        <w:spacing w:line="560" w:lineRule="exact"/>
        <w:jc w:val="center"/>
        <w:rPr>
          <w:rFonts w:eastAsia="方正小标宋简体"/>
          <w:sz w:val="44"/>
          <w:szCs w:val="44"/>
        </w:rPr>
      </w:pPr>
    </w:p>
    <w:p>
      <w:pPr>
        <w:wordWrap w:val="0"/>
        <w:jc w:val="center"/>
        <w:rPr>
          <w:rFonts w:eastAsia="方正小标宋简体"/>
          <w:sz w:val="96"/>
          <w:szCs w:val="96"/>
        </w:rPr>
      </w:pPr>
      <w:r>
        <w:rPr>
          <w:rFonts w:eastAsia="方正小标宋简体"/>
          <w:sz w:val="96"/>
          <w:szCs w:val="96"/>
        </w:rPr>
        <w:t>招</w:t>
      </w:r>
    </w:p>
    <w:p>
      <w:pPr>
        <w:wordWrap w:val="0"/>
        <w:spacing w:line="240" w:lineRule="exact"/>
        <w:jc w:val="center"/>
        <w:rPr>
          <w:rFonts w:eastAsia="方正小标宋简体"/>
          <w:sz w:val="96"/>
          <w:szCs w:val="96"/>
        </w:rPr>
      </w:pPr>
    </w:p>
    <w:p>
      <w:pPr>
        <w:wordWrap w:val="0"/>
        <w:jc w:val="center"/>
        <w:rPr>
          <w:rFonts w:eastAsia="方正小标宋简体"/>
          <w:sz w:val="96"/>
          <w:szCs w:val="96"/>
        </w:rPr>
      </w:pPr>
      <w:r>
        <w:rPr>
          <w:rFonts w:eastAsia="方正小标宋简体"/>
          <w:sz w:val="96"/>
          <w:szCs w:val="96"/>
        </w:rPr>
        <w:t>标</w:t>
      </w:r>
    </w:p>
    <w:p>
      <w:pPr>
        <w:wordWrap w:val="0"/>
        <w:spacing w:line="240" w:lineRule="exact"/>
        <w:jc w:val="center"/>
        <w:rPr>
          <w:rFonts w:eastAsia="方正小标宋简体"/>
          <w:sz w:val="96"/>
          <w:szCs w:val="96"/>
        </w:rPr>
      </w:pPr>
    </w:p>
    <w:p>
      <w:pPr>
        <w:wordWrap w:val="0"/>
        <w:jc w:val="center"/>
        <w:rPr>
          <w:rFonts w:eastAsia="方正小标宋简体"/>
          <w:sz w:val="96"/>
          <w:szCs w:val="96"/>
        </w:rPr>
      </w:pPr>
      <w:r>
        <w:rPr>
          <w:rFonts w:eastAsia="方正小标宋简体"/>
          <w:sz w:val="96"/>
          <w:szCs w:val="96"/>
        </w:rPr>
        <w:t>文</w:t>
      </w:r>
    </w:p>
    <w:p>
      <w:pPr>
        <w:wordWrap w:val="0"/>
        <w:spacing w:line="240" w:lineRule="exact"/>
        <w:jc w:val="center"/>
        <w:rPr>
          <w:rFonts w:eastAsia="方正小标宋简体"/>
          <w:sz w:val="96"/>
          <w:szCs w:val="96"/>
        </w:rPr>
      </w:pPr>
    </w:p>
    <w:p>
      <w:pPr>
        <w:wordWrap w:val="0"/>
        <w:jc w:val="center"/>
        <w:rPr>
          <w:rFonts w:eastAsia="方正小标宋简体"/>
          <w:sz w:val="96"/>
          <w:szCs w:val="96"/>
        </w:rPr>
      </w:pPr>
      <w:r>
        <w:rPr>
          <w:rFonts w:eastAsia="方正小标宋简体"/>
          <w:sz w:val="96"/>
          <w:szCs w:val="96"/>
        </w:rPr>
        <w:t>件</w:t>
      </w:r>
    </w:p>
    <w:p>
      <w:pPr>
        <w:wordWrap w:val="0"/>
        <w:spacing w:line="560" w:lineRule="exact"/>
        <w:jc w:val="center"/>
        <w:rPr>
          <w:rFonts w:eastAsia="黑体"/>
          <w:sz w:val="32"/>
          <w:szCs w:val="32"/>
        </w:rPr>
      </w:pPr>
    </w:p>
    <w:p>
      <w:pPr>
        <w:wordWrap w:val="0"/>
        <w:spacing w:line="560" w:lineRule="exact"/>
        <w:jc w:val="center"/>
        <w:rPr>
          <w:rFonts w:eastAsia="楷体_GB2312"/>
          <w:sz w:val="32"/>
          <w:szCs w:val="32"/>
        </w:rPr>
      </w:pPr>
    </w:p>
    <w:p>
      <w:pPr>
        <w:wordWrap w:val="0"/>
        <w:spacing w:line="560" w:lineRule="exact"/>
        <w:jc w:val="center"/>
        <w:rPr>
          <w:rFonts w:eastAsia="楷体_GB2312"/>
          <w:sz w:val="32"/>
          <w:szCs w:val="32"/>
        </w:rPr>
      </w:pPr>
    </w:p>
    <w:p>
      <w:pPr>
        <w:wordWrap w:val="0"/>
        <w:spacing w:line="560" w:lineRule="exact"/>
        <w:jc w:val="center"/>
        <w:rPr>
          <w:rFonts w:eastAsia="黑体"/>
          <w:sz w:val="32"/>
          <w:szCs w:val="32"/>
        </w:rPr>
      </w:pPr>
      <w:r>
        <w:rPr>
          <w:rFonts w:eastAsia="黑体"/>
          <w:sz w:val="32"/>
          <w:szCs w:val="32"/>
        </w:rPr>
        <w:t>招标人：</w:t>
      </w:r>
      <w:r>
        <w:rPr>
          <w:rFonts w:hint="eastAsia" w:eastAsia="黑体"/>
          <w:sz w:val="32"/>
          <w:szCs w:val="32"/>
        </w:rPr>
        <w:t>安徽熙盛建工有限公司</w:t>
      </w:r>
    </w:p>
    <w:p>
      <w:pPr>
        <w:wordWrap w:val="0"/>
        <w:spacing w:line="560" w:lineRule="exact"/>
        <w:jc w:val="center"/>
        <w:rPr>
          <w:rFonts w:eastAsia="黑体"/>
          <w:sz w:val="32"/>
          <w:szCs w:val="32"/>
        </w:rPr>
      </w:pPr>
      <w:r>
        <w:rPr>
          <w:rFonts w:eastAsia="黑体"/>
          <w:sz w:val="32"/>
          <w:szCs w:val="32"/>
        </w:rPr>
        <w:t>二〇一</w:t>
      </w:r>
      <w:r>
        <w:rPr>
          <w:rFonts w:hint="eastAsia" w:eastAsia="黑体"/>
          <w:sz w:val="32"/>
          <w:szCs w:val="32"/>
          <w:lang w:val="en-US" w:eastAsia="zh-CN"/>
        </w:rPr>
        <w:t>九</w:t>
      </w:r>
      <w:r>
        <w:rPr>
          <w:rFonts w:eastAsia="黑体"/>
          <w:sz w:val="32"/>
          <w:szCs w:val="32"/>
        </w:rPr>
        <w:t>年</w:t>
      </w:r>
      <w:r>
        <w:rPr>
          <w:rFonts w:hint="eastAsia" w:eastAsia="黑体"/>
          <w:sz w:val="32"/>
          <w:szCs w:val="32"/>
          <w:lang w:val="en-US" w:eastAsia="zh-CN"/>
        </w:rPr>
        <w:t>五</w:t>
      </w:r>
      <w:r>
        <w:rPr>
          <w:rFonts w:eastAsia="黑体"/>
          <w:sz w:val="32"/>
          <w:szCs w:val="32"/>
        </w:rPr>
        <w:t>月</w:t>
      </w:r>
    </w:p>
    <w:p>
      <w:pPr>
        <w:wordWrap w:val="0"/>
        <w:spacing w:line="560" w:lineRule="exact"/>
        <w:rPr>
          <w:rFonts w:eastAsia="黑体"/>
          <w:sz w:val="32"/>
          <w:szCs w:val="32"/>
        </w:rPr>
      </w:pPr>
    </w:p>
    <w:p>
      <w:pPr>
        <w:wordWrap w:val="0"/>
        <w:spacing w:after="468" w:afterLines="150" w:line="560" w:lineRule="exact"/>
        <w:jc w:val="center"/>
        <w:rPr>
          <w:rFonts w:hint="eastAsia" w:eastAsia="宋体"/>
          <w:b/>
          <w:bCs/>
          <w:sz w:val="32"/>
          <w:szCs w:val="32"/>
          <w:lang w:val="en-US" w:eastAsia="zh-CN"/>
        </w:rPr>
      </w:pPr>
      <w:r>
        <w:rPr>
          <w:b/>
          <w:bCs/>
          <w:sz w:val="44"/>
          <w:szCs w:val="44"/>
        </w:rPr>
        <w:t xml:space="preserve">第一章 </w:t>
      </w:r>
      <w:r>
        <w:rPr>
          <w:rFonts w:hint="eastAsia"/>
          <w:b/>
          <w:bCs/>
          <w:sz w:val="44"/>
          <w:szCs w:val="44"/>
          <w:lang w:val="en-US" w:eastAsia="zh-CN"/>
        </w:rPr>
        <w:t>招标公告</w:t>
      </w:r>
    </w:p>
    <w:p>
      <w:pPr>
        <w:pStyle w:val="3"/>
      </w:pPr>
      <w:bookmarkStart w:id="0" w:name="_Toc152042295"/>
      <w:bookmarkStart w:id="1" w:name="_Toc246996166"/>
      <w:bookmarkStart w:id="2" w:name="_Toc247085680"/>
      <w:bookmarkStart w:id="3" w:name="_Toc152045519"/>
      <w:bookmarkStart w:id="4" w:name="_Toc296602410"/>
      <w:bookmarkStart w:id="5" w:name="_Toc179632536"/>
      <w:bookmarkStart w:id="6" w:name="_Toc144974487"/>
      <w:bookmarkStart w:id="7" w:name="_Toc246996909"/>
      <w:r>
        <w:t>1. 招标条件</w:t>
      </w:r>
      <w:bookmarkEnd w:id="0"/>
      <w:bookmarkEnd w:id="1"/>
      <w:bookmarkEnd w:id="2"/>
      <w:bookmarkEnd w:id="3"/>
      <w:bookmarkEnd w:id="4"/>
      <w:bookmarkEnd w:id="5"/>
      <w:bookmarkEnd w:id="6"/>
      <w:bookmarkEnd w:id="7"/>
    </w:p>
    <w:p>
      <w:pPr>
        <w:spacing w:line="400" w:lineRule="exact"/>
        <w:ind w:firstLine="420"/>
        <w:rPr>
          <w:rFonts w:hint="eastAsia"/>
          <w:szCs w:val="21"/>
        </w:rPr>
      </w:pPr>
      <w:bookmarkStart w:id="8" w:name="_Toc246996167"/>
      <w:bookmarkStart w:id="9" w:name="_Toc246996910"/>
      <w:bookmarkStart w:id="10" w:name="_Toc152042296"/>
      <w:bookmarkStart w:id="11" w:name="_Toc179632537"/>
      <w:bookmarkStart w:id="12" w:name="_Toc296602411"/>
      <w:bookmarkStart w:id="13" w:name="_Toc247085681"/>
      <w:bookmarkStart w:id="14" w:name="_Toc152045520"/>
      <w:bookmarkStart w:id="15" w:name="_Toc144974488"/>
      <w:r>
        <w:rPr>
          <w:szCs w:val="21"/>
        </w:rPr>
        <w:t>本项目</w:t>
      </w:r>
      <w:r>
        <w:rPr>
          <w:rFonts w:hint="eastAsia"/>
          <w:szCs w:val="21"/>
          <w:lang w:val="en-US" w:eastAsia="zh-CN"/>
        </w:rPr>
        <w:t>为</w:t>
      </w:r>
      <w:r>
        <w:rPr>
          <w:rFonts w:hint="eastAsia"/>
          <w:szCs w:val="21"/>
          <w:u w:val="single"/>
          <w:shd w:val="clear" w:color="auto" w:fill="auto"/>
          <w:lang w:val="en-US" w:eastAsia="zh-CN"/>
        </w:rPr>
        <w:t>亳州再生资源交易市场建设项目办公用房及其配套材料采购工程，</w:t>
      </w:r>
      <w:r>
        <w:rPr>
          <w:rFonts w:hint="eastAsia"/>
          <w:szCs w:val="21"/>
          <w:shd w:val="clear" w:color="auto" w:fill="auto"/>
          <w:lang w:val="en-US" w:eastAsia="zh-CN"/>
        </w:rPr>
        <w:t>招标人为</w:t>
      </w:r>
      <w:r>
        <w:rPr>
          <w:rFonts w:hint="eastAsia"/>
          <w:szCs w:val="21"/>
          <w:u w:val="single"/>
          <w:shd w:val="clear" w:color="auto" w:fill="auto"/>
          <w:lang w:val="en-US" w:eastAsia="zh-CN"/>
        </w:rPr>
        <w:t>安徽熙盛建工有限公司</w:t>
      </w:r>
      <w:r>
        <w:rPr>
          <w:rFonts w:hint="eastAsia"/>
          <w:szCs w:val="21"/>
          <w:u w:val="none"/>
          <w:shd w:val="clear" w:color="auto" w:fill="auto"/>
          <w:lang w:eastAsia="zh-CN"/>
        </w:rPr>
        <w:t>，</w:t>
      </w:r>
      <w:r>
        <w:rPr>
          <w:szCs w:val="21"/>
          <w:shd w:val="clear" w:color="auto" w:fill="auto"/>
        </w:rPr>
        <w:t>建设资金来自</w:t>
      </w:r>
      <w:r>
        <w:rPr>
          <w:rFonts w:hint="eastAsia"/>
          <w:szCs w:val="21"/>
          <w:u w:val="single"/>
          <w:shd w:val="clear" w:color="auto" w:fill="auto"/>
          <w:lang w:val="en-US" w:eastAsia="zh-CN"/>
        </w:rPr>
        <w:t>企业自筹</w:t>
      </w:r>
      <w:r>
        <w:rPr>
          <w:szCs w:val="21"/>
          <w:shd w:val="clear" w:color="auto" w:fill="auto"/>
        </w:rPr>
        <w:t>。项目已具备招标条件，现</w:t>
      </w:r>
      <w:r>
        <w:rPr>
          <w:rFonts w:hint="eastAsia"/>
          <w:szCs w:val="21"/>
          <w:shd w:val="clear" w:color="auto" w:fill="auto"/>
          <w:lang w:val="en-US" w:eastAsia="zh-CN"/>
        </w:rPr>
        <w:t>对社会进行公开招标</w:t>
      </w:r>
      <w:r>
        <w:rPr>
          <w:szCs w:val="21"/>
          <w:shd w:val="clear" w:color="auto" w:fill="auto"/>
        </w:rPr>
        <w:t>。</w:t>
      </w:r>
    </w:p>
    <w:p>
      <w:pPr>
        <w:pStyle w:val="3"/>
      </w:pPr>
      <w:r>
        <w:t>2. 项目概况与招标范围</w:t>
      </w:r>
      <w:bookmarkEnd w:id="8"/>
      <w:bookmarkEnd w:id="9"/>
      <w:bookmarkEnd w:id="10"/>
      <w:bookmarkEnd w:id="11"/>
      <w:bookmarkEnd w:id="12"/>
      <w:bookmarkEnd w:id="13"/>
      <w:bookmarkEnd w:id="14"/>
      <w:bookmarkEnd w:id="15"/>
    </w:p>
    <w:p>
      <w:pPr>
        <w:spacing w:line="400" w:lineRule="exact"/>
        <w:ind w:firstLine="420"/>
        <w:rPr>
          <w:szCs w:val="21"/>
        </w:rPr>
      </w:pPr>
      <w:bookmarkStart w:id="16" w:name="_Toc246996911"/>
      <w:bookmarkStart w:id="17" w:name="_Toc179632538"/>
      <w:bookmarkStart w:id="18" w:name="_Toc246996168"/>
      <w:bookmarkStart w:id="19" w:name="_Toc247085682"/>
      <w:bookmarkStart w:id="20" w:name="_Toc152045521"/>
      <w:bookmarkStart w:id="21" w:name="_Toc296602412"/>
      <w:bookmarkStart w:id="22" w:name="_Toc152042297"/>
      <w:bookmarkStart w:id="23" w:name="_Toc144974489"/>
      <w:r>
        <w:rPr>
          <w:rFonts w:hint="eastAsia"/>
          <w:szCs w:val="21"/>
        </w:rPr>
        <w:t>2.1 建设地点：</w:t>
      </w:r>
      <w:r>
        <w:rPr>
          <w:rFonts w:hint="eastAsia"/>
          <w:szCs w:val="21"/>
          <w:u w:val="single"/>
          <w:lang w:val="en-US" w:eastAsia="zh-CN"/>
        </w:rPr>
        <w:t>古井大道以东、和平路以南、藿香路以北</w:t>
      </w:r>
      <w:r>
        <w:rPr>
          <w:rFonts w:hint="eastAsia"/>
          <w:szCs w:val="21"/>
        </w:rPr>
        <w:t>。</w:t>
      </w:r>
    </w:p>
    <w:p>
      <w:pPr>
        <w:spacing w:line="400" w:lineRule="exact"/>
        <w:ind w:firstLine="420"/>
        <w:rPr>
          <w:szCs w:val="21"/>
        </w:rPr>
      </w:pPr>
      <w:r>
        <w:rPr>
          <w:rFonts w:hint="eastAsia"/>
          <w:szCs w:val="21"/>
        </w:rPr>
        <w:t>2.2 建设规模：</w:t>
      </w:r>
      <w:r>
        <w:rPr>
          <w:rFonts w:hint="eastAsia"/>
          <w:szCs w:val="21"/>
          <w:u w:val="single"/>
          <w:lang w:val="en-US" w:eastAsia="zh-CN"/>
        </w:rPr>
        <w:t>占地面积26666.7m</w:t>
      </w:r>
      <w:r>
        <w:rPr>
          <w:rFonts w:hint="eastAsia"/>
          <w:szCs w:val="21"/>
          <w:u w:val="single"/>
          <w:vertAlign w:val="superscript"/>
          <w:lang w:val="en-US" w:eastAsia="zh-CN"/>
        </w:rPr>
        <w:t>2</w:t>
      </w:r>
      <w:r>
        <w:rPr>
          <w:rFonts w:hint="eastAsia"/>
          <w:szCs w:val="21"/>
          <w:u w:val="single"/>
          <w:vertAlign w:val="baseline"/>
          <w:lang w:val="en-US" w:eastAsia="zh-CN"/>
        </w:rPr>
        <w:t>，总建筑面积32398.84m</w:t>
      </w:r>
      <w:r>
        <w:rPr>
          <w:rFonts w:hint="eastAsia"/>
          <w:szCs w:val="21"/>
          <w:u w:val="single"/>
          <w:vertAlign w:val="superscript"/>
          <w:lang w:val="en-US" w:eastAsia="zh-CN"/>
        </w:rPr>
        <w:t>2</w:t>
      </w:r>
      <w:r>
        <w:rPr>
          <w:rFonts w:hint="eastAsia"/>
          <w:szCs w:val="21"/>
          <w:u w:val="single"/>
          <w:vertAlign w:val="baseline"/>
          <w:lang w:val="en-US" w:eastAsia="zh-CN"/>
        </w:rPr>
        <w:t>。包含标准化厂房1#、2#、3#、4#、回收市场、变电所、发电机房、配套用房、地下车库、垃圾收集点等</w:t>
      </w:r>
      <w:r>
        <w:rPr>
          <w:rFonts w:hint="eastAsia"/>
          <w:szCs w:val="21"/>
        </w:rPr>
        <w:t>。</w:t>
      </w:r>
    </w:p>
    <w:p>
      <w:pPr>
        <w:spacing w:line="400" w:lineRule="exact"/>
        <w:ind w:firstLine="420"/>
        <w:rPr>
          <w:szCs w:val="21"/>
        </w:rPr>
      </w:pPr>
      <w:r>
        <w:rPr>
          <w:rFonts w:hint="eastAsia"/>
          <w:szCs w:val="21"/>
        </w:rPr>
        <w:t>2.3 计划</w:t>
      </w:r>
      <w:r>
        <w:rPr>
          <w:rFonts w:hint="eastAsia"/>
          <w:szCs w:val="21"/>
          <w:lang w:val="en-US" w:eastAsia="zh-CN"/>
        </w:rPr>
        <w:t>供货期</w:t>
      </w:r>
      <w:r>
        <w:rPr>
          <w:rFonts w:hint="eastAsia"/>
          <w:szCs w:val="21"/>
        </w:rPr>
        <w:t>：</w:t>
      </w:r>
      <w:r>
        <w:rPr>
          <w:rFonts w:hint="eastAsia"/>
          <w:szCs w:val="21"/>
          <w:u w:val="single"/>
          <w:lang w:val="en-US" w:eastAsia="zh-CN"/>
        </w:rPr>
        <w:t>180日历天</w:t>
      </w:r>
      <w:r>
        <w:rPr>
          <w:rFonts w:hint="eastAsia"/>
          <w:szCs w:val="21"/>
        </w:rPr>
        <w:t>。</w:t>
      </w:r>
    </w:p>
    <w:p>
      <w:pPr>
        <w:spacing w:line="400" w:lineRule="exact"/>
        <w:ind w:firstLine="420"/>
        <w:rPr>
          <w:szCs w:val="21"/>
        </w:rPr>
      </w:pPr>
      <w:r>
        <w:rPr>
          <w:rFonts w:hint="eastAsia"/>
          <w:szCs w:val="21"/>
        </w:rPr>
        <w:t>2</w:t>
      </w:r>
      <w:r>
        <w:rPr>
          <w:szCs w:val="21"/>
        </w:rPr>
        <w:t xml:space="preserve">.4 </w:t>
      </w:r>
      <w:r>
        <w:rPr>
          <w:rFonts w:hint="eastAsia"/>
          <w:szCs w:val="21"/>
        </w:rPr>
        <w:t>招标方式：</w:t>
      </w:r>
      <w:r>
        <w:rPr>
          <w:rFonts w:hint="eastAsia"/>
          <w:szCs w:val="21"/>
          <w:lang w:val="en-US" w:eastAsia="zh-CN"/>
        </w:rPr>
        <w:t>自主公开</w:t>
      </w:r>
      <w:r>
        <w:rPr>
          <w:rFonts w:hint="eastAsia"/>
          <w:szCs w:val="21"/>
        </w:rPr>
        <w:t>招标</w:t>
      </w:r>
    </w:p>
    <w:p>
      <w:pPr>
        <w:spacing w:line="400" w:lineRule="exact"/>
        <w:ind w:firstLine="420"/>
        <w:rPr>
          <w:rFonts w:hint="eastAsia"/>
          <w:szCs w:val="21"/>
          <w:u w:val="none"/>
          <w:shd w:val="clear" w:color="auto" w:fill="auto"/>
          <w:lang w:val="en-US" w:eastAsia="zh-CN"/>
        </w:rPr>
      </w:pPr>
      <w:r>
        <w:rPr>
          <w:rFonts w:hint="eastAsia"/>
          <w:szCs w:val="21"/>
        </w:rPr>
        <w:t>2.4 招标范围：</w:t>
      </w:r>
      <w:r>
        <w:rPr>
          <w:rFonts w:hint="eastAsia"/>
          <w:szCs w:val="21"/>
          <w:u w:val="single"/>
          <w:shd w:val="clear" w:color="auto" w:fill="auto"/>
          <w:lang w:val="en-US" w:eastAsia="zh-CN"/>
        </w:rPr>
        <w:t>亳州再生资源交易市场建设项目办公用房及其配套材料采购工程</w:t>
      </w:r>
      <w:r>
        <w:rPr>
          <w:rFonts w:hint="eastAsia"/>
          <w:szCs w:val="21"/>
          <w:u w:val="single"/>
          <w:lang w:val="en-US" w:eastAsia="zh-CN"/>
        </w:rPr>
        <w:t>，包含</w:t>
      </w:r>
      <w:r>
        <w:rPr>
          <w:rFonts w:hint="eastAsia"/>
          <w:szCs w:val="21"/>
          <w:u w:val="single"/>
          <w:vertAlign w:val="baseline"/>
          <w:lang w:val="en-US" w:eastAsia="zh-CN"/>
        </w:rPr>
        <w:t>回收市场、变电所、发电机房、配套用房、地下车库、垃圾收集点等材料供应工作</w:t>
      </w:r>
      <w:r>
        <w:rPr>
          <w:rFonts w:hint="eastAsia"/>
          <w:szCs w:val="21"/>
          <w:u w:val="single"/>
          <w:lang w:val="en-US" w:eastAsia="zh-CN"/>
        </w:rPr>
        <w:t>。</w:t>
      </w:r>
      <w:r>
        <w:rPr>
          <w:rFonts w:hint="eastAsia"/>
          <w:szCs w:val="21"/>
          <w:u w:val="none"/>
          <w:shd w:val="clear" w:color="auto" w:fill="auto"/>
          <w:lang w:val="en-US" w:eastAsia="zh-CN"/>
        </w:rPr>
        <w:t>具体工作内容详见施工图纸。</w:t>
      </w:r>
    </w:p>
    <w:p>
      <w:pPr>
        <w:spacing w:line="400" w:lineRule="exact"/>
        <w:ind w:firstLine="420"/>
        <w:rPr>
          <w:szCs w:val="21"/>
        </w:rPr>
      </w:pPr>
      <w:r>
        <w:rPr>
          <w:rFonts w:hint="eastAsia"/>
          <w:szCs w:val="21"/>
        </w:rPr>
        <w:t>2.5 最高投标限价（招标控制价）：人民币（大写）</w:t>
      </w:r>
      <w:r>
        <w:rPr>
          <w:rFonts w:hint="eastAsia"/>
          <w:szCs w:val="21"/>
          <w:u w:val="single"/>
          <w:lang w:val="en-US" w:eastAsia="zh-CN"/>
        </w:rPr>
        <w:t>壹仟叁佰零叁万壹仟叁佰陆拾捌元整</w:t>
      </w:r>
      <w:r>
        <w:rPr>
          <w:rFonts w:hint="eastAsia"/>
          <w:szCs w:val="21"/>
        </w:rPr>
        <w:t>，（小写）</w:t>
      </w:r>
      <w:r>
        <w:rPr>
          <w:rFonts w:hint="eastAsia"/>
          <w:szCs w:val="21"/>
          <w:u w:val="single"/>
        </w:rPr>
        <w:t>¥</w:t>
      </w:r>
      <w:r>
        <w:rPr>
          <w:rFonts w:hint="eastAsia"/>
          <w:szCs w:val="21"/>
          <w:highlight w:val="none"/>
          <w:u w:val="single"/>
          <w:lang w:val="en-US" w:eastAsia="zh-CN"/>
        </w:rPr>
        <w:t>13031368.00</w:t>
      </w:r>
      <w:r>
        <w:rPr>
          <w:rFonts w:hint="eastAsia"/>
          <w:szCs w:val="21"/>
        </w:rPr>
        <w:t>元。</w:t>
      </w:r>
    </w:p>
    <w:p>
      <w:pPr>
        <w:pStyle w:val="3"/>
      </w:pPr>
      <w:r>
        <w:t>3. 投标人资格要求</w:t>
      </w:r>
      <w:bookmarkEnd w:id="16"/>
      <w:bookmarkEnd w:id="17"/>
      <w:bookmarkEnd w:id="18"/>
      <w:bookmarkEnd w:id="19"/>
      <w:bookmarkEnd w:id="20"/>
      <w:bookmarkEnd w:id="21"/>
      <w:bookmarkEnd w:id="22"/>
      <w:bookmarkEnd w:id="23"/>
    </w:p>
    <w:p>
      <w:pPr>
        <w:pStyle w:val="33"/>
        <w:spacing w:before="0" w:beforeAutospacing="0" w:after="0" w:afterAutospacing="0" w:line="52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3.1 投标人资格要求：</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ascii="Times New Roman" w:hAnsi="Times New Roman" w:cs="Times New Roman"/>
          <w:kern w:val="2"/>
          <w:sz w:val="21"/>
          <w:szCs w:val="21"/>
        </w:rPr>
        <w:t>1</w:t>
      </w:r>
      <w:r>
        <w:rPr>
          <w:rFonts w:hint="eastAsia" w:ascii="Times New Roman" w:hAnsi="Times New Roman" w:cs="Times New Roman"/>
          <w:kern w:val="2"/>
          <w:sz w:val="21"/>
          <w:szCs w:val="21"/>
        </w:rPr>
        <w:t>）</w:t>
      </w:r>
      <w:r>
        <w:rPr>
          <w:rFonts w:ascii="Times New Roman" w:hAnsi="Times New Roman" w:cs="Times New Roman"/>
          <w:kern w:val="2"/>
          <w:sz w:val="21"/>
          <w:szCs w:val="21"/>
        </w:rPr>
        <w:t>具有独立承担民事责任的能力；</w:t>
      </w:r>
    </w:p>
    <w:p>
      <w:pPr>
        <w:pStyle w:val="33"/>
        <w:spacing w:before="0" w:beforeAutospacing="0" w:after="0" w:afterAutospacing="0" w:line="400" w:lineRule="atLeast"/>
        <w:ind w:firstLine="480"/>
        <w:jc w:val="both"/>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lang w:val="en-US" w:eastAsia="zh-CN"/>
        </w:rPr>
        <w:t>2</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lang w:val="en-US" w:eastAsia="zh-CN"/>
        </w:rPr>
        <w:t>营业执照具有建材销售；</w:t>
      </w:r>
    </w:p>
    <w:p>
      <w:pPr>
        <w:pStyle w:val="33"/>
        <w:spacing w:before="0" w:beforeAutospacing="0" w:after="0" w:afterAutospacing="0" w:line="400" w:lineRule="atLeast"/>
        <w:ind w:firstLine="480"/>
        <w:jc w:val="both"/>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3</w:t>
      </w:r>
      <w:r>
        <w:rPr>
          <w:rFonts w:hint="eastAsia" w:ascii="Times New Roman" w:hAnsi="Times New Roman" w:cs="Times New Roman"/>
          <w:kern w:val="2"/>
          <w:sz w:val="21"/>
          <w:szCs w:val="21"/>
        </w:rPr>
        <w:t>）</w:t>
      </w:r>
      <w:r>
        <w:rPr>
          <w:rFonts w:ascii="Times New Roman" w:hAnsi="Times New Roman" w:cs="Times New Roman"/>
          <w:kern w:val="2"/>
          <w:sz w:val="21"/>
          <w:szCs w:val="21"/>
        </w:rPr>
        <w:t>近三年来，</w:t>
      </w:r>
      <w:r>
        <w:rPr>
          <w:rFonts w:hint="eastAsia" w:ascii="Times New Roman" w:hAnsi="Times New Roman" w:cs="Times New Roman"/>
          <w:kern w:val="2"/>
          <w:sz w:val="21"/>
          <w:szCs w:val="21"/>
          <w:lang w:val="en-US" w:eastAsia="zh-CN"/>
        </w:rPr>
        <w:t>单项合同超过500万</w:t>
      </w:r>
      <w:r>
        <w:rPr>
          <w:rFonts w:ascii="Times New Roman" w:hAnsi="Times New Roman" w:cs="Times New Roman"/>
          <w:kern w:val="2"/>
          <w:sz w:val="21"/>
          <w:szCs w:val="21"/>
        </w:rPr>
        <w:t>；</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4</w:t>
      </w:r>
      <w:r>
        <w:rPr>
          <w:rFonts w:hint="eastAsia" w:ascii="Times New Roman" w:hAnsi="Times New Roman" w:cs="Times New Roman"/>
          <w:kern w:val="2"/>
          <w:sz w:val="21"/>
          <w:szCs w:val="21"/>
        </w:rPr>
        <w:t>）</w:t>
      </w:r>
      <w:r>
        <w:rPr>
          <w:rFonts w:ascii="Times New Roman" w:hAnsi="Times New Roman" w:cs="Times New Roman"/>
          <w:kern w:val="2"/>
          <w:sz w:val="21"/>
          <w:szCs w:val="21"/>
        </w:rPr>
        <w:t>具有良好的商业信誉和健全的财务会计制度；</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5</w:t>
      </w:r>
      <w:r>
        <w:rPr>
          <w:rFonts w:hint="eastAsia" w:ascii="Times New Roman" w:hAnsi="Times New Roman" w:cs="Times New Roman"/>
          <w:kern w:val="2"/>
          <w:sz w:val="21"/>
          <w:szCs w:val="21"/>
        </w:rPr>
        <w:t>）</w:t>
      </w:r>
      <w:r>
        <w:rPr>
          <w:rFonts w:ascii="Times New Roman" w:hAnsi="Times New Roman" w:cs="Times New Roman"/>
          <w:kern w:val="2"/>
          <w:sz w:val="21"/>
          <w:szCs w:val="21"/>
        </w:rPr>
        <w:t>具有履行合同所必需的设备和专业技术能力；</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6</w:t>
      </w:r>
      <w:r>
        <w:rPr>
          <w:rFonts w:hint="eastAsia" w:ascii="Times New Roman" w:hAnsi="Times New Roman" w:cs="Times New Roman"/>
          <w:kern w:val="2"/>
          <w:sz w:val="21"/>
          <w:szCs w:val="21"/>
        </w:rPr>
        <w:t>）</w:t>
      </w:r>
      <w:r>
        <w:rPr>
          <w:rFonts w:ascii="Times New Roman" w:hAnsi="Times New Roman" w:cs="Times New Roman"/>
          <w:kern w:val="2"/>
          <w:sz w:val="21"/>
          <w:szCs w:val="21"/>
        </w:rPr>
        <w:t>有依法缴纳税收和社会保障资金的良好记录；</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7</w:t>
      </w:r>
      <w:r>
        <w:rPr>
          <w:rFonts w:hint="eastAsia" w:ascii="Times New Roman" w:hAnsi="Times New Roman" w:cs="Times New Roman"/>
          <w:kern w:val="2"/>
          <w:sz w:val="21"/>
          <w:szCs w:val="21"/>
        </w:rPr>
        <w:t>）</w:t>
      </w:r>
      <w:r>
        <w:rPr>
          <w:rFonts w:ascii="Times New Roman" w:hAnsi="Times New Roman" w:cs="Times New Roman"/>
          <w:kern w:val="2"/>
          <w:sz w:val="21"/>
          <w:szCs w:val="21"/>
        </w:rPr>
        <w:t>近三年来，在经营活动中没有重大违法记录；</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8</w:t>
      </w:r>
      <w:r>
        <w:rPr>
          <w:rFonts w:hint="eastAsia" w:ascii="Times New Roman" w:hAnsi="Times New Roman" w:cs="Times New Roman"/>
          <w:kern w:val="2"/>
          <w:sz w:val="21"/>
          <w:szCs w:val="21"/>
        </w:rPr>
        <w:t>）</w:t>
      </w:r>
      <w:r>
        <w:rPr>
          <w:rFonts w:ascii="Times New Roman" w:hAnsi="Times New Roman" w:cs="Times New Roman"/>
          <w:kern w:val="2"/>
          <w:sz w:val="21"/>
          <w:szCs w:val="21"/>
        </w:rPr>
        <w:t>法律、行政法规规定的其他条件。</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 xml:space="preserve"> </w:t>
      </w:r>
    </w:p>
    <w:p>
      <w:pPr>
        <w:spacing w:line="400" w:lineRule="exact"/>
        <w:ind w:firstLine="420" w:firstLineChars="200"/>
        <w:rPr>
          <w:szCs w:val="21"/>
        </w:rPr>
      </w:pPr>
      <w:r>
        <w:rPr>
          <w:rFonts w:hint="eastAsia"/>
          <w:szCs w:val="21"/>
        </w:rPr>
        <w:t>3.</w:t>
      </w:r>
      <w:r>
        <w:rPr>
          <w:rFonts w:hint="eastAsia"/>
          <w:szCs w:val="21"/>
          <w:lang w:val="en-US" w:eastAsia="zh-CN"/>
        </w:rPr>
        <w:t>2</w:t>
      </w:r>
      <w:r>
        <w:rPr>
          <w:rFonts w:hint="eastAsia"/>
          <w:szCs w:val="21"/>
        </w:rPr>
        <w:t xml:space="preserve"> 本次招标</w:t>
      </w:r>
      <w:r>
        <w:rPr>
          <w:rFonts w:hint="eastAsia"/>
          <w:szCs w:val="21"/>
          <w:u w:val="single"/>
        </w:rPr>
        <w:t xml:space="preserve"> 不接受</w:t>
      </w:r>
      <w:r>
        <w:rPr>
          <w:szCs w:val="21"/>
          <w:u w:val="single"/>
        </w:rPr>
        <w:t xml:space="preserve"> </w:t>
      </w:r>
      <w:r>
        <w:rPr>
          <w:rFonts w:hint="eastAsia"/>
          <w:szCs w:val="21"/>
        </w:rPr>
        <w:t>联合体投标。</w:t>
      </w:r>
    </w:p>
    <w:p>
      <w:pPr>
        <w:pStyle w:val="3"/>
        <w:rPr>
          <w:rFonts w:hint="eastAsia"/>
        </w:rPr>
      </w:pPr>
      <w:bookmarkStart w:id="24" w:name="_Toc247085684"/>
      <w:bookmarkStart w:id="25" w:name="_Toc246996170"/>
      <w:bookmarkStart w:id="26" w:name="_Toc152045523"/>
      <w:bookmarkStart w:id="27" w:name="_Toc296602414"/>
      <w:bookmarkStart w:id="28" w:name="_Toc152042299"/>
      <w:bookmarkStart w:id="29" w:name="_Toc144974491"/>
      <w:bookmarkStart w:id="30" w:name="_Toc246996913"/>
      <w:bookmarkStart w:id="31" w:name="_Toc179632540"/>
      <w:bookmarkStart w:id="32" w:name="_Toc246996172"/>
      <w:bookmarkStart w:id="33" w:name="_Toc144974493"/>
      <w:bookmarkStart w:id="34" w:name="_Toc246996915"/>
      <w:bookmarkStart w:id="35" w:name="_Toc296602416"/>
      <w:bookmarkStart w:id="36" w:name="_Toc152042301"/>
      <w:bookmarkStart w:id="37" w:name="_Toc247085686"/>
      <w:bookmarkStart w:id="38" w:name="_Toc179632542"/>
      <w:bookmarkStart w:id="39" w:name="_Toc152045525"/>
      <w:r>
        <w:rPr>
          <w:rFonts w:hint="eastAsia"/>
        </w:rPr>
        <w:t>4. 招标文件的获取</w:t>
      </w:r>
    </w:p>
    <w:p>
      <w:pPr>
        <w:spacing w:line="400" w:lineRule="exact"/>
        <w:ind w:firstLine="420" w:firstLineChars="200"/>
        <w:rPr>
          <w:rFonts w:hint="default" w:eastAsia="宋体"/>
          <w:szCs w:val="21"/>
          <w:lang w:val="en-US" w:eastAsia="zh-CN"/>
        </w:rPr>
      </w:pPr>
      <w:r>
        <w:rPr>
          <w:szCs w:val="21"/>
        </w:rPr>
        <w:t>4.1</w:t>
      </w:r>
      <w:r>
        <w:rPr>
          <w:rFonts w:hint="eastAsia"/>
          <w:szCs w:val="21"/>
        </w:rPr>
        <w:t xml:space="preserve">  </w:t>
      </w:r>
      <w:r>
        <w:rPr>
          <w:rFonts w:hint="eastAsia"/>
          <w:szCs w:val="21"/>
          <w:lang w:val="en-US" w:eastAsia="zh-CN"/>
        </w:rPr>
        <w:t>现场报名，</w:t>
      </w:r>
      <w:r>
        <w:rPr>
          <w:szCs w:val="21"/>
        </w:rPr>
        <w:t>投标</w:t>
      </w:r>
      <w:r>
        <w:rPr>
          <w:rFonts w:hint="eastAsia"/>
          <w:szCs w:val="21"/>
          <w:lang w:val="en-US" w:eastAsia="zh-CN"/>
        </w:rPr>
        <w:t>报名</w:t>
      </w:r>
      <w:r>
        <w:rPr>
          <w:szCs w:val="21"/>
        </w:rPr>
        <w:t>截止时间为</w:t>
      </w:r>
      <w:r>
        <w:rPr>
          <w:rFonts w:hint="eastAsia"/>
          <w:szCs w:val="21"/>
          <w:highlight w:val="none"/>
          <w:u w:val="single"/>
          <w:lang w:val="en-US" w:eastAsia="zh-CN"/>
        </w:rPr>
        <w:t>2019</w:t>
      </w:r>
      <w:r>
        <w:rPr>
          <w:szCs w:val="21"/>
          <w:highlight w:val="none"/>
        </w:rPr>
        <w:t>年</w:t>
      </w:r>
      <w:r>
        <w:rPr>
          <w:rFonts w:hint="eastAsia"/>
          <w:szCs w:val="21"/>
          <w:highlight w:val="none"/>
          <w:u w:val="single"/>
          <w:lang w:val="en-US" w:eastAsia="zh-CN"/>
        </w:rPr>
        <w:t>6</w:t>
      </w:r>
      <w:r>
        <w:rPr>
          <w:szCs w:val="21"/>
          <w:highlight w:val="none"/>
        </w:rPr>
        <w:t>月</w:t>
      </w:r>
      <w:r>
        <w:rPr>
          <w:rFonts w:hint="eastAsia"/>
          <w:szCs w:val="21"/>
          <w:highlight w:val="none"/>
          <w:u w:val="single"/>
          <w:lang w:val="en-US" w:eastAsia="zh-CN"/>
        </w:rPr>
        <w:t>3</w:t>
      </w:r>
      <w:r>
        <w:rPr>
          <w:szCs w:val="21"/>
          <w:highlight w:val="none"/>
        </w:rPr>
        <w:t>日</w:t>
      </w:r>
      <w:r>
        <w:rPr>
          <w:rFonts w:hint="eastAsia"/>
          <w:szCs w:val="21"/>
          <w:highlight w:val="none"/>
          <w:u w:val="single"/>
          <w:lang w:val="en-US" w:eastAsia="zh-CN"/>
        </w:rPr>
        <w:t>17</w:t>
      </w:r>
      <w:r>
        <w:rPr>
          <w:szCs w:val="21"/>
          <w:highlight w:val="none"/>
        </w:rPr>
        <w:t>时</w:t>
      </w:r>
      <w:r>
        <w:rPr>
          <w:rFonts w:hint="eastAsia"/>
          <w:szCs w:val="21"/>
          <w:highlight w:val="none"/>
          <w:u w:val="single"/>
          <w:lang w:val="en-US" w:eastAsia="zh-CN"/>
        </w:rPr>
        <w:t>00</w:t>
      </w:r>
      <w:r>
        <w:rPr>
          <w:szCs w:val="21"/>
          <w:highlight w:val="none"/>
        </w:rPr>
        <w:t>分</w:t>
      </w:r>
      <w:r>
        <w:rPr>
          <w:szCs w:val="21"/>
        </w:rPr>
        <w:t>，地点为</w:t>
      </w:r>
      <w:r>
        <w:rPr>
          <w:rFonts w:hint="eastAsia"/>
          <w:szCs w:val="21"/>
          <w:u w:val="single"/>
          <w:shd w:val="clear" w:color="auto" w:fill="auto"/>
          <w:lang w:val="en-US" w:eastAsia="zh-CN"/>
        </w:rPr>
        <w:t>安徽熙盛建工有限公司（亳州市中药材电商中心23楼）</w:t>
      </w:r>
      <w:r>
        <w:rPr>
          <w:szCs w:val="21"/>
          <w:shd w:val="clear" w:color="auto" w:fill="auto"/>
        </w:rPr>
        <w:t>。</w:t>
      </w:r>
      <w:r>
        <w:rPr>
          <w:rFonts w:hint="eastAsia"/>
          <w:szCs w:val="21"/>
          <w:shd w:val="clear" w:color="auto" w:fill="auto"/>
          <w:lang w:val="en-US" w:eastAsia="zh-CN"/>
        </w:rPr>
        <w:t>报名携带资料：营业执照、授权委托书、法人代表身份证明、公司简介以及类似销售合同复印件。</w:t>
      </w:r>
    </w:p>
    <w:p>
      <w:pPr>
        <w:pStyle w:val="3"/>
      </w:pPr>
      <w:r>
        <w:t>5. 投标文件的递交</w:t>
      </w:r>
      <w:bookmarkEnd w:id="24"/>
      <w:bookmarkEnd w:id="25"/>
      <w:bookmarkEnd w:id="26"/>
      <w:bookmarkEnd w:id="27"/>
      <w:bookmarkEnd w:id="28"/>
      <w:bookmarkEnd w:id="29"/>
      <w:bookmarkEnd w:id="30"/>
      <w:bookmarkEnd w:id="31"/>
    </w:p>
    <w:p>
      <w:pPr>
        <w:spacing w:line="400" w:lineRule="exact"/>
        <w:ind w:firstLine="420" w:firstLineChars="200"/>
        <w:rPr>
          <w:szCs w:val="21"/>
        </w:rPr>
      </w:pPr>
      <w:r>
        <w:rPr>
          <w:szCs w:val="21"/>
        </w:rPr>
        <w:t>5.1</w:t>
      </w:r>
      <w:r>
        <w:rPr>
          <w:rFonts w:hint="eastAsia"/>
          <w:szCs w:val="21"/>
        </w:rPr>
        <w:t xml:space="preserve"> </w:t>
      </w:r>
      <w:r>
        <w:rPr>
          <w:szCs w:val="21"/>
        </w:rPr>
        <w:t>投标文件递交的截止时间（投标截止时间，下同）为</w:t>
      </w:r>
      <w:r>
        <w:rPr>
          <w:rFonts w:hint="eastAsia"/>
          <w:szCs w:val="21"/>
          <w:highlight w:val="none"/>
          <w:u w:val="single"/>
          <w:lang w:val="en-US" w:eastAsia="zh-CN"/>
        </w:rPr>
        <w:t>2019</w:t>
      </w:r>
      <w:r>
        <w:rPr>
          <w:szCs w:val="21"/>
          <w:highlight w:val="none"/>
        </w:rPr>
        <w:t>年</w:t>
      </w:r>
      <w:r>
        <w:rPr>
          <w:rFonts w:hint="eastAsia"/>
          <w:szCs w:val="21"/>
          <w:highlight w:val="none"/>
          <w:u w:val="single"/>
          <w:lang w:val="en-US" w:eastAsia="zh-CN"/>
        </w:rPr>
        <w:t>6</w:t>
      </w:r>
      <w:r>
        <w:rPr>
          <w:szCs w:val="21"/>
          <w:highlight w:val="none"/>
        </w:rPr>
        <w:t>月</w:t>
      </w:r>
      <w:r>
        <w:rPr>
          <w:rFonts w:hint="eastAsia"/>
          <w:szCs w:val="21"/>
          <w:highlight w:val="none"/>
          <w:u w:val="single"/>
          <w:lang w:val="en-US" w:eastAsia="zh-CN"/>
        </w:rPr>
        <w:t>10</w:t>
      </w:r>
      <w:r>
        <w:rPr>
          <w:szCs w:val="21"/>
          <w:highlight w:val="none"/>
        </w:rPr>
        <w:t>日</w:t>
      </w:r>
      <w:r>
        <w:rPr>
          <w:rFonts w:hint="eastAsia"/>
          <w:szCs w:val="21"/>
          <w:highlight w:val="none"/>
          <w:u w:val="single"/>
          <w:lang w:val="en-US" w:eastAsia="zh-CN"/>
        </w:rPr>
        <w:t>15</w:t>
      </w:r>
      <w:r>
        <w:rPr>
          <w:szCs w:val="21"/>
          <w:highlight w:val="none"/>
        </w:rPr>
        <w:t>时</w:t>
      </w:r>
      <w:r>
        <w:rPr>
          <w:rFonts w:hint="eastAsia"/>
          <w:szCs w:val="21"/>
          <w:highlight w:val="none"/>
          <w:u w:val="single"/>
          <w:lang w:val="en-US" w:eastAsia="zh-CN"/>
        </w:rPr>
        <w:t>00</w:t>
      </w:r>
      <w:r>
        <w:rPr>
          <w:szCs w:val="21"/>
          <w:highlight w:val="none"/>
        </w:rPr>
        <w:t>分</w:t>
      </w:r>
      <w:r>
        <w:rPr>
          <w:szCs w:val="21"/>
        </w:rPr>
        <w:t>，地点为</w:t>
      </w:r>
      <w:r>
        <w:rPr>
          <w:rFonts w:hint="eastAsia"/>
          <w:szCs w:val="21"/>
          <w:u w:val="single"/>
          <w:shd w:val="clear" w:color="auto" w:fill="auto"/>
          <w:lang w:val="en-US" w:eastAsia="zh-CN"/>
        </w:rPr>
        <w:t>安徽熙盛建工有限公司（亳州市中药材电商中心23楼）</w:t>
      </w:r>
      <w:r>
        <w:rPr>
          <w:szCs w:val="21"/>
          <w:shd w:val="clear" w:color="auto" w:fill="auto"/>
        </w:rPr>
        <w:t>。</w:t>
      </w:r>
    </w:p>
    <w:p>
      <w:pPr>
        <w:spacing w:line="400" w:lineRule="exact"/>
        <w:ind w:firstLine="420" w:firstLineChars="200"/>
        <w:rPr>
          <w:rFonts w:hint="eastAsia"/>
          <w:szCs w:val="21"/>
        </w:rPr>
      </w:pPr>
      <w:r>
        <w:rPr>
          <w:szCs w:val="21"/>
        </w:rPr>
        <w:t>5.2</w:t>
      </w:r>
      <w:r>
        <w:rPr>
          <w:rFonts w:hint="eastAsia"/>
          <w:szCs w:val="21"/>
        </w:rPr>
        <w:t xml:space="preserve"> </w:t>
      </w:r>
      <w:r>
        <w:rPr>
          <w:szCs w:val="21"/>
        </w:rPr>
        <w:t>逾期送达的或者未送达指定地点的投标文件，招标人不予受理。</w:t>
      </w:r>
    </w:p>
    <w:p>
      <w:pPr>
        <w:pStyle w:val="3"/>
      </w:pPr>
      <w:r>
        <w:t>6. 联系方式</w:t>
      </w:r>
      <w:bookmarkEnd w:id="32"/>
      <w:bookmarkEnd w:id="33"/>
      <w:bookmarkEnd w:id="34"/>
      <w:bookmarkEnd w:id="35"/>
      <w:bookmarkEnd w:id="36"/>
      <w:bookmarkEnd w:id="37"/>
      <w:bookmarkEnd w:id="38"/>
      <w:bookmarkEnd w:id="39"/>
    </w:p>
    <w:p>
      <w:pPr>
        <w:topLinePunct/>
        <w:spacing w:line="400" w:lineRule="exact"/>
        <w:ind w:firstLine="420" w:firstLineChars="200"/>
        <w:rPr>
          <w:rFonts w:hint="eastAsia" w:ascii="仿宋_GB2312" w:hAnsi="宋体" w:eastAsia="宋体"/>
          <w:color w:val="000000"/>
          <w:sz w:val="32"/>
          <w:szCs w:val="32"/>
          <w:u w:val="single"/>
          <w:lang w:val="en-US" w:eastAsia="zh-CN"/>
        </w:rPr>
      </w:pPr>
      <w:r>
        <w:rPr>
          <w:szCs w:val="21"/>
        </w:rPr>
        <w:t>招 标 人：</w:t>
      </w:r>
      <w:r>
        <w:rPr>
          <w:szCs w:val="21"/>
          <w:u w:val="single"/>
        </w:rPr>
        <w:t>安徽熙盛建工有限公司</w:t>
      </w:r>
    </w:p>
    <w:p>
      <w:pPr>
        <w:topLinePunct/>
        <w:spacing w:line="400" w:lineRule="exact"/>
        <w:ind w:firstLine="420" w:firstLineChars="200"/>
        <w:rPr>
          <w:rFonts w:ascii="仿宋_GB2312" w:hAnsi="宋体" w:eastAsia="仿宋_GB2312"/>
          <w:color w:val="000000"/>
          <w:sz w:val="32"/>
          <w:szCs w:val="32"/>
          <w:u w:val="single"/>
        </w:rPr>
      </w:pPr>
      <w:r>
        <w:rPr>
          <w:szCs w:val="21"/>
        </w:rPr>
        <w:t>地    址：</w:t>
      </w:r>
      <w:r>
        <w:rPr>
          <w:rFonts w:hint="eastAsia"/>
          <w:color w:val="FF0000"/>
          <w:szCs w:val="21"/>
          <w:u w:val="single"/>
        </w:rPr>
        <w:t>亳州市经开区养生大道南侧中药材电商中心23楼</w:t>
      </w:r>
      <w:r>
        <w:rPr>
          <w:szCs w:val="21"/>
        </w:rPr>
        <w:t xml:space="preserve"> </w:t>
      </w:r>
    </w:p>
    <w:p>
      <w:pPr>
        <w:topLinePunct/>
        <w:spacing w:line="400" w:lineRule="exact"/>
        <w:ind w:firstLine="420" w:firstLineChars="200"/>
        <w:rPr>
          <w:szCs w:val="21"/>
        </w:rPr>
      </w:pPr>
      <w:r>
        <w:rPr>
          <w:szCs w:val="21"/>
        </w:rPr>
        <w:t>邮    编：</w:t>
      </w:r>
      <w:r>
        <w:rPr>
          <w:rFonts w:hint="eastAsia"/>
          <w:szCs w:val="21"/>
          <w:u w:val="single"/>
        </w:rPr>
        <w:t>236800</w:t>
      </w:r>
      <w:r>
        <w:rPr>
          <w:szCs w:val="21"/>
        </w:rPr>
        <w:t xml:space="preserve">         </w:t>
      </w:r>
    </w:p>
    <w:p>
      <w:pPr>
        <w:topLinePunct/>
        <w:spacing w:line="400" w:lineRule="exact"/>
        <w:ind w:firstLine="420" w:firstLineChars="200"/>
        <w:rPr>
          <w:szCs w:val="21"/>
        </w:rPr>
      </w:pPr>
      <w:r>
        <w:rPr>
          <w:szCs w:val="21"/>
        </w:rPr>
        <w:t>联 系 人：</w:t>
      </w:r>
      <w:r>
        <w:rPr>
          <w:rFonts w:hint="eastAsia"/>
          <w:szCs w:val="21"/>
        </w:rPr>
        <w:t>王工</w:t>
      </w:r>
      <w:r>
        <w:rPr>
          <w:szCs w:val="21"/>
        </w:rPr>
        <w:t xml:space="preserve">         </w:t>
      </w:r>
    </w:p>
    <w:p>
      <w:pPr>
        <w:topLinePunct/>
        <w:spacing w:line="400" w:lineRule="exact"/>
        <w:ind w:firstLine="420" w:firstLineChars="200"/>
        <w:rPr>
          <w:szCs w:val="21"/>
        </w:rPr>
      </w:pPr>
      <w:r>
        <w:rPr>
          <w:szCs w:val="21"/>
        </w:rPr>
        <w:t>电    话：</w:t>
      </w:r>
      <w:r>
        <w:rPr>
          <w:rFonts w:hint="eastAsia"/>
          <w:szCs w:val="21"/>
          <w:u w:val="single"/>
        </w:rPr>
        <w:t>0558-</w:t>
      </w:r>
      <w:r>
        <w:rPr>
          <w:u w:val="single"/>
        </w:rPr>
        <w:t xml:space="preserve"> </w:t>
      </w:r>
      <w:r>
        <w:rPr>
          <w:szCs w:val="21"/>
          <w:u w:val="single"/>
        </w:rPr>
        <w:t>5998992</w:t>
      </w:r>
      <w:r>
        <w:rPr>
          <w:szCs w:val="21"/>
        </w:rPr>
        <w:t xml:space="preserve">                          </w:t>
      </w:r>
    </w:p>
    <w:p>
      <w:pPr>
        <w:spacing w:line="400" w:lineRule="exact"/>
        <w:ind w:firstLine="420" w:firstLineChars="200"/>
        <w:rPr>
          <w:szCs w:val="21"/>
        </w:rPr>
      </w:pPr>
      <w:r>
        <w:rPr>
          <w:szCs w:val="21"/>
        </w:rPr>
        <w:t xml:space="preserve">       </w:t>
      </w:r>
    </w:p>
    <w:p>
      <w:pPr>
        <w:topLinePunct/>
        <w:spacing w:line="400" w:lineRule="exact"/>
        <w:ind w:firstLine="420" w:firstLineChars="200"/>
        <w:rPr>
          <w:szCs w:val="21"/>
          <w:u w:val="single"/>
        </w:rPr>
      </w:pPr>
      <w:r>
        <w:rPr>
          <w:rFonts w:hint="eastAsia"/>
          <w:szCs w:val="21"/>
        </w:rPr>
        <w:t>开标地点</w:t>
      </w:r>
      <w:r>
        <w:rPr>
          <w:szCs w:val="21"/>
        </w:rPr>
        <w:t>：</w:t>
      </w:r>
      <w:r>
        <w:rPr>
          <w:szCs w:val="21"/>
          <w:u w:val="single"/>
        </w:rPr>
        <w:t>安徽熙盛建工有限公司</w:t>
      </w:r>
      <w:r>
        <w:rPr>
          <w:rFonts w:hint="eastAsia"/>
          <w:szCs w:val="21"/>
          <w:u w:val="single"/>
          <w:lang w:val="en-US" w:eastAsia="zh-CN"/>
        </w:rPr>
        <w:t>会议室</w:t>
      </w:r>
    </w:p>
    <w:p>
      <w:pPr>
        <w:topLinePunct/>
        <w:spacing w:line="400" w:lineRule="exact"/>
        <w:ind w:firstLine="420" w:firstLineChars="200"/>
        <w:rPr>
          <w:rFonts w:ascii="仿宋_GB2312" w:hAnsi="宋体" w:eastAsia="仿宋_GB2312"/>
          <w:color w:val="000000"/>
          <w:sz w:val="32"/>
          <w:szCs w:val="32"/>
          <w:u w:val="single"/>
        </w:rPr>
      </w:pPr>
      <w:r>
        <w:rPr>
          <w:szCs w:val="21"/>
        </w:rPr>
        <w:t>地    址：</w:t>
      </w:r>
      <w:r>
        <w:rPr>
          <w:rFonts w:hint="eastAsia"/>
          <w:color w:val="FF0000"/>
          <w:szCs w:val="21"/>
          <w:u w:val="single"/>
        </w:rPr>
        <w:t>亳州市经开区养生大道南侧中药材电商中心23楼</w:t>
      </w:r>
      <w:r>
        <w:rPr>
          <w:szCs w:val="21"/>
        </w:rPr>
        <w:t xml:space="preserve">         </w:t>
      </w:r>
    </w:p>
    <w:p>
      <w:pPr>
        <w:spacing w:line="400" w:lineRule="exact"/>
        <w:ind w:firstLine="420" w:firstLineChars="200"/>
        <w:rPr>
          <w:szCs w:val="21"/>
        </w:rPr>
      </w:pPr>
      <w:r>
        <w:rPr>
          <w:szCs w:val="21"/>
        </w:rPr>
        <w:t xml:space="preserve">        </w:t>
      </w:r>
    </w:p>
    <w:p>
      <w:pPr>
        <w:spacing w:line="400" w:lineRule="exact"/>
        <w:rPr>
          <w:szCs w:val="21"/>
        </w:rPr>
      </w:pPr>
      <w:r>
        <w:rPr>
          <w:szCs w:val="21"/>
        </w:rPr>
        <w:t xml:space="preserve">                                              </w:t>
      </w:r>
    </w:p>
    <w:p>
      <w:pPr>
        <w:spacing w:line="400" w:lineRule="exact"/>
        <w:rPr>
          <w:szCs w:val="21"/>
        </w:rPr>
      </w:pPr>
      <w:r>
        <w:rPr>
          <w:szCs w:val="21"/>
        </w:rPr>
        <w:t>　　　　　　　　　　　　　　　　　　　　　　　　　</w:t>
      </w:r>
      <w:r>
        <w:rPr>
          <w:szCs w:val="21"/>
          <w:u w:val="single"/>
        </w:rPr>
        <w:t xml:space="preserve"> 201</w:t>
      </w:r>
      <w:r>
        <w:rPr>
          <w:rFonts w:hint="eastAsia"/>
          <w:szCs w:val="21"/>
          <w:u w:val="single"/>
          <w:lang w:val="en-US" w:eastAsia="zh-CN"/>
        </w:rPr>
        <w:t>9</w:t>
      </w:r>
      <w:r>
        <w:rPr>
          <w:szCs w:val="21"/>
        </w:rPr>
        <w:t>年</w:t>
      </w:r>
      <w:r>
        <w:rPr>
          <w:szCs w:val="21"/>
          <w:u w:val="single"/>
        </w:rPr>
        <w:t xml:space="preserve"> </w:t>
      </w:r>
      <w:r>
        <w:rPr>
          <w:rFonts w:hint="eastAsia"/>
          <w:szCs w:val="21"/>
          <w:u w:val="single"/>
          <w:lang w:val="en-US" w:eastAsia="zh-CN"/>
        </w:rPr>
        <w:t>5</w:t>
      </w:r>
      <w:r>
        <w:rPr>
          <w:szCs w:val="21"/>
        </w:rPr>
        <w:t>月</w:t>
      </w:r>
      <w:r>
        <w:rPr>
          <w:szCs w:val="21"/>
          <w:u w:val="single"/>
        </w:rPr>
        <w:t xml:space="preserve"> </w:t>
      </w:r>
      <w:r>
        <w:rPr>
          <w:rFonts w:hint="eastAsia"/>
          <w:szCs w:val="21"/>
          <w:u w:val="single"/>
          <w:lang w:val="en-US" w:eastAsia="zh-CN"/>
        </w:rPr>
        <w:t>30</w:t>
      </w:r>
      <w:r>
        <w:rPr>
          <w:szCs w:val="21"/>
          <w:u w:val="single"/>
        </w:rPr>
        <w:t xml:space="preserve"> </w:t>
      </w:r>
      <w:r>
        <w:rPr>
          <w:szCs w:val="21"/>
        </w:rPr>
        <w:t>日</w:t>
      </w:r>
    </w:p>
    <w:p>
      <w:pPr>
        <w:spacing w:line="400" w:lineRule="exact"/>
        <w:rPr>
          <w:rFonts w:ascii="黑体" w:hAnsi="黑体" w:eastAsia="黑体"/>
          <w:sz w:val="24"/>
        </w:rPr>
      </w:pPr>
    </w:p>
    <w:p>
      <w:pPr>
        <w:spacing w:line="400" w:lineRule="exact"/>
        <w:rPr>
          <w:szCs w:val="21"/>
        </w:rPr>
      </w:pPr>
    </w:p>
    <w:p>
      <w:pPr>
        <w:spacing w:line="400" w:lineRule="exact"/>
        <w:rPr>
          <w:szCs w:val="21"/>
        </w:rPr>
      </w:pPr>
    </w:p>
    <w:p>
      <w:pPr>
        <w:spacing w:line="400" w:lineRule="exact"/>
        <w:rPr>
          <w:szCs w:val="21"/>
        </w:rPr>
      </w:pPr>
    </w:p>
    <w:p>
      <w:pPr>
        <w:spacing w:line="400" w:lineRule="exact"/>
        <w:rPr>
          <w:szCs w:val="21"/>
        </w:rPr>
      </w:pPr>
    </w:p>
    <w:p>
      <w:pPr>
        <w:spacing w:line="400" w:lineRule="exact"/>
        <w:rPr>
          <w:szCs w:val="21"/>
        </w:rPr>
      </w:pPr>
    </w:p>
    <w:p>
      <w:pPr>
        <w:spacing w:line="400" w:lineRule="exact"/>
        <w:rPr>
          <w:szCs w:val="21"/>
        </w:rPr>
      </w:pPr>
    </w:p>
    <w:p>
      <w:pPr>
        <w:pStyle w:val="2"/>
        <w:jc w:val="center"/>
      </w:pPr>
      <w:bookmarkStart w:id="40" w:name="_Toc152042303"/>
      <w:bookmarkStart w:id="41" w:name="_Toc152045527"/>
      <w:bookmarkStart w:id="42" w:name="_Toc296602418"/>
      <w:bookmarkStart w:id="43" w:name="_Toc246996916"/>
      <w:bookmarkStart w:id="44" w:name="_Toc179632544"/>
      <w:bookmarkStart w:id="45" w:name="_Toc246996173"/>
      <w:bookmarkStart w:id="46" w:name="_Toc247085687"/>
      <w:bookmarkStart w:id="47" w:name="_Toc144974495"/>
      <w:r>
        <w:rPr>
          <w:rFonts w:hint="eastAsia"/>
        </w:rPr>
        <w:t>第二章 投标人须知</w:t>
      </w:r>
      <w:bookmarkEnd w:id="40"/>
      <w:bookmarkEnd w:id="41"/>
      <w:bookmarkEnd w:id="42"/>
      <w:bookmarkEnd w:id="43"/>
      <w:bookmarkEnd w:id="44"/>
      <w:bookmarkEnd w:id="45"/>
      <w:bookmarkEnd w:id="46"/>
      <w:bookmarkEnd w:id="47"/>
    </w:p>
    <w:p>
      <w:pPr>
        <w:pStyle w:val="3"/>
      </w:pPr>
      <w:bookmarkStart w:id="48" w:name="_Toc144974496"/>
      <w:bookmarkStart w:id="49" w:name="_Toc246996174"/>
      <w:bookmarkStart w:id="50" w:name="_Toc296602419"/>
      <w:bookmarkStart w:id="51" w:name="_Toc247085688"/>
      <w:bookmarkStart w:id="52" w:name="_Toc152042304"/>
      <w:bookmarkStart w:id="53" w:name="_Toc179632545"/>
      <w:bookmarkStart w:id="54" w:name="_Toc246996917"/>
      <w:bookmarkStart w:id="55" w:name="_Toc152045528"/>
      <w:r>
        <w:rPr>
          <w:rFonts w:hint="eastAsia"/>
        </w:rPr>
        <w:t>投标人须知前附表</w:t>
      </w:r>
      <w:bookmarkEnd w:id="48"/>
      <w:bookmarkEnd w:id="49"/>
      <w:bookmarkEnd w:id="50"/>
      <w:bookmarkEnd w:id="51"/>
      <w:bookmarkEnd w:id="52"/>
      <w:bookmarkEnd w:id="53"/>
      <w:bookmarkEnd w:id="54"/>
      <w:bookmarkEnd w:id="55"/>
    </w:p>
    <w:p/>
    <w:tbl>
      <w:tblPr>
        <w:tblStyle w:val="37"/>
        <w:tblW w:w="8378" w:type="dxa"/>
        <w:tblInd w:w="0" w:type="dxa"/>
        <w:tblLayout w:type="fixed"/>
        <w:tblCellMar>
          <w:top w:w="0" w:type="dxa"/>
          <w:left w:w="108" w:type="dxa"/>
          <w:bottom w:w="0" w:type="dxa"/>
          <w:right w:w="108" w:type="dxa"/>
        </w:tblCellMar>
      </w:tblPr>
      <w:tblGrid>
        <w:gridCol w:w="1029"/>
        <w:gridCol w:w="1926"/>
        <w:gridCol w:w="5423"/>
      </w:tblGrid>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条款号</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条  款  名  称</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编  列  内  容</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1.1.2</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招标人</w:t>
            </w:r>
          </w:p>
        </w:tc>
        <w:tc>
          <w:tcPr>
            <w:tcW w:w="5423" w:type="dxa"/>
            <w:tcBorders>
              <w:top w:val="single" w:color="auto" w:sz="4" w:space="0"/>
              <w:left w:val="single" w:color="auto" w:sz="4" w:space="0"/>
              <w:bottom w:val="single" w:color="auto" w:sz="4" w:space="0"/>
              <w:right w:val="single" w:color="auto" w:sz="4" w:space="0"/>
            </w:tcBorders>
            <w:vAlign w:val="center"/>
          </w:tcPr>
          <w:p>
            <w:pPr>
              <w:topLinePunct/>
              <w:spacing w:line="400" w:lineRule="exact"/>
              <w:rPr>
                <w:rFonts w:ascii="仿宋_GB2312" w:hAnsi="宋体" w:eastAsia="仿宋_GB2312"/>
                <w:color w:val="000000"/>
                <w:sz w:val="32"/>
                <w:szCs w:val="32"/>
                <w:u w:val="single"/>
              </w:rPr>
            </w:pPr>
            <w:r>
              <w:rPr>
                <w:szCs w:val="21"/>
              </w:rPr>
              <w:t>招 标 人：</w:t>
            </w:r>
            <w:r>
              <w:rPr>
                <w:szCs w:val="21"/>
                <w:u w:val="single"/>
              </w:rPr>
              <w:t>安徽熙盛建工有限公司</w:t>
            </w:r>
          </w:p>
          <w:p>
            <w:pPr>
              <w:topLinePunct/>
              <w:spacing w:line="400" w:lineRule="exact"/>
              <w:rPr>
                <w:rFonts w:ascii="仿宋_GB2312" w:hAnsi="宋体" w:eastAsia="仿宋_GB2312"/>
                <w:color w:val="000000"/>
                <w:sz w:val="32"/>
                <w:szCs w:val="32"/>
                <w:u w:val="single"/>
              </w:rPr>
            </w:pPr>
            <w:r>
              <w:rPr>
                <w:szCs w:val="21"/>
              </w:rPr>
              <w:t>地    址：</w:t>
            </w:r>
            <w:r>
              <w:rPr>
                <w:rFonts w:hint="eastAsia"/>
                <w:color w:val="FF0000"/>
                <w:szCs w:val="21"/>
                <w:u w:val="single"/>
              </w:rPr>
              <w:t>亳州市经开区养生大道南侧中药材电商中心23楼</w:t>
            </w:r>
            <w:r>
              <w:rPr>
                <w:szCs w:val="21"/>
              </w:rPr>
              <w:t xml:space="preserve"> </w:t>
            </w:r>
          </w:p>
          <w:p>
            <w:pPr>
              <w:topLinePunct/>
              <w:spacing w:line="400" w:lineRule="exact"/>
              <w:rPr>
                <w:szCs w:val="21"/>
              </w:rPr>
            </w:pPr>
            <w:r>
              <w:rPr>
                <w:szCs w:val="21"/>
              </w:rPr>
              <w:t>邮    编：</w:t>
            </w:r>
            <w:r>
              <w:rPr>
                <w:rFonts w:hint="eastAsia"/>
                <w:szCs w:val="21"/>
                <w:u w:val="single"/>
              </w:rPr>
              <w:t>236800</w:t>
            </w:r>
            <w:r>
              <w:rPr>
                <w:szCs w:val="21"/>
              </w:rPr>
              <w:t xml:space="preserve">         </w:t>
            </w:r>
          </w:p>
          <w:p>
            <w:pPr>
              <w:topLinePunct/>
              <w:spacing w:line="400" w:lineRule="exact"/>
              <w:rPr>
                <w:szCs w:val="21"/>
              </w:rPr>
            </w:pPr>
            <w:r>
              <w:rPr>
                <w:szCs w:val="21"/>
              </w:rPr>
              <w:t>联 系 人：</w:t>
            </w:r>
            <w:r>
              <w:rPr>
                <w:rFonts w:hint="eastAsia"/>
                <w:szCs w:val="21"/>
              </w:rPr>
              <w:t>王工</w:t>
            </w:r>
            <w:r>
              <w:rPr>
                <w:szCs w:val="21"/>
              </w:rPr>
              <w:t xml:space="preserve">         </w:t>
            </w:r>
          </w:p>
          <w:p>
            <w:pPr>
              <w:topLinePunct/>
              <w:spacing w:line="400" w:lineRule="exact"/>
              <w:rPr>
                <w:szCs w:val="21"/>
              </w:rPr>
            </w:pPr>
            <w:r>
              <w:rPr>
                <w:szCs w:val="21"/>
              </w:rPr>
              <w:t>电    话：</w:t>
            </w:r>
            <w:r>
              <w:rPr>
                <w:rFonts w:hint="eastAsia"/>
                <w:szCs w:val="21"/>
                <w:u w:val="single"/>
              </w:rPr>
              <w:t>0558-</w:t>
            </w:r>
            <w:r>
              <w:rPr>
                <w:u w:val="single"/>
              </w:rPr>
              <w:t xml:space="preserve"> </w:t>
            </w:r>
            <w:r>
              <w:rPr>
                <w:szCs w:val="21"/>
                <w:u w:val="single"/>
              </w:rPr>
              <w:t>5998992</w:t>
            </w:r>
            <w:r>
              <w:rPr>
                <w:szCs w:val="21"/>
              </w:rPr>
              <w:t xml:space="preserve">                        </w:t>
            </w:r>
          </w:p>
          <w:p>
            <w:pPr>
              <w:spacing w:line="400" w:lineRule="exact"/>
              <w:ind w:firstLine="420" w:firstLineChars="200"/>
              <w:rPr>
                <w:szCs w:val="21"/>
              </w:rPr>
            </w:pPr>
            <w:r>
              <w:rPr>
                <w:szCs w:val="21"/>
              </w:rPr>
              <w:t xml:space="preserve">       </w:t>
            </w:r>
          </w:p>
          <w:p>
            <w:pPr>
              <w:topLinePunct/>
              <w:spacing w:line="400" w:lineRule="exact"/>
              <w:rPr>
                <w:rFonts w:hint="eastAsia" w:ascii="仿宋_GB2312" w:hAnsi="宋体" w:eastAsia="宋体"/>
                <w:color w:val="000000"/>
                <w:sz w:val="32"/>
                <w:szCs w:val="32"/>
                <w:u w:val="single"/>
                <w:lang w:val="en-US" w:eastAsia="zh-CN"/>
              </w:rPr>
            </w:pPr>
            <w:r>
              <w:rPr>
                <w:rFonts w:hint="eastAsia"/>
                <w:szCs w:val="21"/>
              </w:rPr>
              <w:t>开标地点</w:t>
            </w:r>
            <w:r>
              <w:rPr>
                <w:szCs w:val="21"/>
              </w:rPr>
              <w:t>：</w:t>
            </w:r>
            <w:r>
              <w:rPr>
                <w:szCs w:val="21"/>
                <w:u w:val="single"/>
              </w:rPr>
              <w:t>安徽熙盛建工有限公司</w:t>
            </w:r>
            <w:r>
              <w:rPr>
                <w:rFonts w:hint="eastAsia"/>
                <w:szCs w:val="21"/>
                <w:u w:val="single"/>
                <w:lang w:val="en-US" w:eastAsia="zh-CN"/>
              </w:rPr>
              <w:t>会议室</w:t>
            </w:r>
          </w:p>
          <w:p>
            <w:pPr>
              <w:topLinePunct/>
              <w:spacing w:line="400" w:lineRule="exact"/>
              <w:rPr>
                <w:szCs w:val="21"/>
              </w:rPr>
            </w:pPr>
            <w:r>
              <w:rPr>
                <w:szCs w:val="21"/>
              </w:rPr>
              <w:t>地    址：</w:t>
            </w:r>
            <w:r>
              <w:rPr>
                <w:rFonts w:hint="eastAsia"/>
                <w:color w:val="FF0000"/>
                <w:szCs w:val="21"/>
                <w:u w:val="single"/>
              </w:rPr>
              <w:t>亳州市经开区养生大道南侧中药材电商中心23楼</w:t>
            </w:r>
            <w:r>
              <w:rPr>
                <w:szCs w:val="21"/>
              </w:rPr>
              <w:t xml:space="preserve">                          </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1.1.4</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项目名称</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lang w:val="en-US" w:eastAsia="zh-CN"/>
              </w:rPr>
              <w:t>亳州再生资源交易市场建设项目办公用房及其配套材料采购工程</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1.1.5</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建设地点</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u w:val="single"/>
              </w:rPr>
            </w:pPr>
            <w:r>
              <w:rPr>
                <w:rFonts w:hint="eastAsia"/>
                <w:szCs w:val="21"/>
                <w:lang w:val="en-US" w:eastAsia="zh-CN"/>
              </w:rPr>
              <w:t>古井大道以东、和平路以南、藿香路以北</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资金来源</w:t>
            </w:r>
            <w:r>
              <w:rPr>
                <w:rFonts w:hint="eastAsia"/>
                <w:szCs w:val="21"/>
              </w:rPr>
              <w:t>及比例</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rPr>
              <w:t>自筹</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1.2.2</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资金</w:t>
            </w:r>
            <w:r>
              <w:rPr>
                <w:szCs w:val="21"/>
              </w:rPr>
              <w:t>落实情况</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shd w:val="clear" w:color="FFFFFF" w:fill="D9D9D9"/>
              </w:rPr>
              <w:t>已落实</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w:t>
            </w:r>
            <w:r>
              <w:rPr>
                <w:rFonts w:hint="eastAsia"/>
                <w:szCs w:val="21"/>
              </w:rPr>
              <w:t>3</w:t>
            </w:r>
            <w:r>
              <w:rPr>
                <w:szCs w:val="21"/>
              </w:rPr>
              <w:t>.1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招标范围</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lang w:val="en-US" w:eastAsia="zh-CN"/>
              </w:rPr>
              <w:t>亳州再生资源交易市场建设项目办公用房及其配套材料采购工程，包含回收市场、变电所、发电机房、配套用房、地下车库、垃圾收集点等材料供应工作</w:t>
            </w:r>
            <w:r>
              <w:rPr>
                <w:rFonts w:hint="eastAsia"/>
                <w:szCs w:val="21"/>
                <w:shd w:val="clear" w:color="FFFFFF" w:fill="D9D9D9"/>
              </w:rPr>
              <w:t>（具体工作内容详见工程量清单、施工图纸。）</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1.3.2</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r>
              <w:rPr>
                <w:szCs w:val="21"/>
              </w:rPr>
              <w:t>计划</w:t>
            </w:r>
            <w:r>
              <w:rPr>
                <w:rFonts w:hint="eastAsia"/>
                <w:szCs w:val="21"/>
                <w:lang w:val="en-US" w:eastAsia="zh-CN"/>
              </w:rPr>
              <w:t>供货期</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szCs w:val="21"/>
              </w:rPr>
              <w:t>计划</w:t>
            </w:r>
            <w:r>
              <w:rPr>
                <w:rFonts w:hint="eastAsia"/>
                <w:szCs w:val="21"/>
                <w:lang w:eastAsia="zh-CN"/>
              </w:rPr>
              <w:t>供货期</w:t>
            </w:r>
            <w:r>
              <w:rPr>
                <w:szCs w:val="21"/>
              </w:rPr>
              <w:t>：</w:t>
            </w:r>
            <w:r>
              <w:rPr>
                <w:rFonts w:hint="eastAsia"/>
                <w:szCs w:val="21"/>
                <w:u w:val="single"/>
                <w:lang w:val="en-US" w:eastAsia="zh-CN"/>
              </w:rPr>
              <w:t>180</w:t>
            </w:r>
            <w:r>
              <w:rPr>
                <w:szCs w:val="21"/>
                <w:u w:val="single"/>
              </w:rPr>
              <w:t xml:space="preserve"> </w:t>
            </w:r>
            <w:r>
              <w:rPr>
                <w:szCs w:val="21"/>
              </w:rPr>
              <w:t>日历天</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1.3.3</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质量要求</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default" w:eastAsia="宋体"/>
                <w:szCs w:val="21"/>
                <w:lang w:val="en-US" w:eastAsia="zh-CN"/>
              </w:rPr>
            </w:pPr>
            <w:r>
              <w:rPr>
                <w:rFonts w:hint="eastAsia"/>
                <w:szCs w:val="21"/>
                <w:lang w:val="en-US" w:eastAsia="zh-CN"/>
              </w:rPr>
              <w:t>符合国家有关规定</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1.4.1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投标人资质条件、能力</w:t>
            </w:r>
          </w:p>
        </w:tc>
        <w:tc>
          <w:tcPr>
            <w:tcW w:w="5423" w:type="dxa"/>
            <w:tcBorders>
              <w:top w:val="single" w:color="auto" w:sz="4" w:space="0"/>
              <w:left w:val="single" w:color="auto" w:sz="4" w:space="0"/>
              <w:bottom w:val="single" w:color="auto" w:sz="4" w:space="0"/>
              <w:right w:val="single" w:color="auto" w:sz="4" w:space="0"/>
            </w:tcBorders>
            <w:vAlign w:val="center"/>
          </w:tcPr>
          <w:p>
            <w:pPr>
              <w:pStyle w:val="33"/>
              <w:spacing w:before="0" w:beforeAutospacing="0" w:after="0" w:afterAutospacing="0" w:line="520" w:lineRule="atLeast"/>
              <w:jc w:val="both"/>
              <w:rPr>
                <w:rFonts w:ascii="Times New Roman" w:hAnsi="Times New Roman" w:cs="Times New Roman"/>
                <w:kern w:val="2"/>
                <w:sz w:val="21"/>
                <w:szCs w:val="21"/>
              </w:rPr>
            </w:pPr>
            <w:r>
              <w:rPr>
                <w:rFonts w:hint="eastAsia" w:ascii="Times New Roman" w:hAnsi="Times New Roman" w:cs="Times New Roman"/>
                <w:kern w:val="2"/>
                <w:sz w:val="21"/>
                <w:szCs w:val="21"/>
              </w:rPr>
              <w:t>1 投标人资格要求：</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ascii="Times New Roman" w:hAnsi="Times New Roman" w:cs="Times New Roman"/>
                <w:kern w:val="2"/>
                <w:sz w:val="21"/>
                <w:szCs w:val="21"/>
              </w:rPr>
              <w:t>1</w:t>
            </w:r>
            <w:r>
              <w:rPr>
                <w:rFonts w:hint="eastAsia" w:ascii="Times New Roman" w:hAnsi="Times New Roman" w:cs="Times New Roman"/>
                <w:kern w:val="2"/>
                <w:sz w:val="21"/>
                <w:szCs w:val="21"/>
              </w:rPr>
              <w:t>）</w:t>
            </w:r>
            <w:r>
              <w:rPr>
                <w:rFonts w:ascii="Times New Roman" w:hAnsi="Times New Roman" w:cs="Times New Roman"/>
                <w:kern w:val="2"/>
                <w:sz w:val="21"/>
                <w:szCs w:val="21"/>
              </w:rPr>
              <w:t>具有独立承担民事责任的能力；</w:t>
            </w:r>
          </w:p>
          <w:p>
            <w:pPr>
              <w:pStyle w:val="33"/>
              <w:spacing w:before="0" w:beforeAutospacing="0" w:after="0" w:afterAutospacing="0" w:line="400" w:lineRule="atLeast"/>
              <w:ind w:firstLine="480"/>
              <w:jc w:val="both"/>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lang w:val="en-US" w:eastAsia="zh-CN"/>
              </w:rPr>
              <w:t>2</w:t>
            </w:r>
            <w:r>
              <w:rPr>
                <w:rFonts w:hint="eastAsia" w:ascii="Times New Roman" w:hAnsi="Times New Roman" w:cs="Times New Roman"/>
                <w:kern w:val="2"/>
                <w:sz w:val="21"/>
                <w:szCs w:val="21"/>
                <w:lang w:eastAsia="zh-CN"/>
              </w:rPr>
              <w:t>）</w:t>
            </w:r>
            <w:r>
              <w:rPr>
                <w:rFonts w:hint="eastAsia" w:ascii="Times New Roman" w:hAnsi="Times New Roman" w:cs="Times New Roman"/>
                <w:kern w:val="2"/>
                <w:sz w:val="21"/>
                <w:szCs w:val="21"/>
                <w:lang w:val="en-US" w:eastAsia="zh-CN"/>
              </w:rPr>
              <w:t>营业执照具有建材销售；</w:t>
            </w:r>
          </w:p>
          <w:p>
            <w:pPr>
              <w:pStyle w:val="33"/>
              <w:spacing w:before="0" w:beforeAutospacing="0" w:after="0" w:afterAutospacing="0" w:line="400" w:lineRule="atLeast"/>
              <w:ind w:firstLine="480"/>
              <w:jc w:val="both"/>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3</w:t>
            </w:r>
            <w:r>
              <w:rPr>
                <w:rFonts w:hint="eastAsia" w:ascii="Times New Roman" w:hAnsi="Times New Roman" w:cs="Times New Roman"/>
                <w:kern w:val="2"/>
                <w:sz w:val="21"/>
                <w:szCs w:val="21"/>
              </w:rPr>
              <w:t>）</w:t>
            </w:r>
            <w:r>
              <w:rPr>
                <w:rFonts w:ascii="Times New Roman" w:hAnsi="Times New Roman" w:cs="Times New Roman"/>
                <w:kern w:val="2"/>
                <w:sz w:val="21"/>
                <w:szCs w:val="21"/>
              </w:rPr>
              <w:t>近三年来，</w:t>
            </w:r>
            <w:r>
              <w:rPr>
                <w:rFonts w:hint="eastAsia" w:ascii="Times New Roman" w:hAnsi="Times New Roman" w:cs="Times New Roman"/>
                <w:kern w:val="2"/>
                <w:sz w:val="21"/>
                <w:szCs w:val="21"/>
                <w:lang w:val="en-US" w:eastAsia="zh-CN"/>
              </w:rPr>
              <w:t>单项合同超过500万</w:t>
            </w:r>
            <w:r>
              <w:rPr>
                <w:rFonts w:ascii="Times New Roman" w:hAnsi="Times New Roman" w:cs="Times New Roman"/>
                <w:kern w:val="2"/>
                <w:sz w:val="21"/>
                <w:szCs w:val="21"/>
              </w:rPr>
              <w:t>；</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4</w:t>
            </w:r>
            <w:r>
              <w:rPr>
                <w:rFonts w:hint="eastAsia" w:ascii="Times New Roman" w:hAnsi="Times New Roman" w:cs="Times New Roman"/>
                <w:kern w:val="2"/>
                <w:sz w:val="21"/>
                <w:szCs w:val="21"/>
              </w:rPr>
              <w:t>）</w:t>
            </w:r>
            <w:r>
              <w:rPr>
                <w:rFonts w:ascii="Times New Roman" w:hAnsi="Times New Roman" w:cs="Times New Roman"/>
                <w:kern w:val="2"/>
                <w:sz w:val="21"/>
                <w:szCs w:val="21"/>
              </w:rPr>
              <w:t>具有良好的商业信誉和健全的财务会计制度；</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5</w:t>
            </w:r>
            <w:r>
              <w:rPr>
                <w:rFonts w:hint="eastAsia" w:ascii="Times New Roman" w:hAnsi="Times New Roman" w:cs="Times New Roman"/>
                <w:kern w:val="2"/>
                <w:sz w:val="21"/>
                <w:szCs w:val="21"/>
              </w:rPr>
              <w:t>）</w:t>
            </w:r>
            <w:r>
              <w:rPr>
                <w:rFonts w:ascii="Times New Roman" w:hAnsi="Times New Roman" w:cs="Times New Roman"/>
                <w:kern w:val="2"/>
                <w:sz w:val="21"/>
                <w:szCs w:val="21"/>
              </w:rPr>
              <w:t>具有履行合同所必需的设备和专业技术能力；</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6</w:t>
            </w:r>
            <w:r>
              <w:rPr>
                <w:rFonts w:hint="eastAsia" w:ascii="Times New Roman" w:hAnsi="Times New Roman" w:cs="Times New Roman"/>
                <w:kern w:val="2"/>
                <w:sz w:val="21"/>
                <w:szCs w:val="21"/>
              </w:rPr>
              <w:t>）</w:t>
            </w:r>
            <w:r>
              <w:rPr>
                <w:rFonts w:ascii="Times New Roman" w:hAnsi="Times New Roman" w:cs="Times New Roman"/>
                <w:kern w:val="2"/>
                <w:sz w:val="21"/>
                <w:szCs w:val="21"/>
              </w:rPr>
              <w:t>有依法缴纳税收和社会保障资金的良好记录；</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7</w:t>
            </w:r>
            <w:r>
              <w:rPr>
                <w:rFonts w:hint="eastAsia" w:ascii="Times New Roman" w:hAnsi="Times New Roman" w:cs="Times New Roman"/>
                <w:kern w:val="2"/>
                <w:sz w:val="21"/>
                <w:szCs w:val="21"/>
              </w:rPr>
              <w:t>）</w:t>
            </w:r>
            <w:r>
              <w:rPr>
                <w:rFonts w:ascii="Times New Roman" w:hAnsi="Times New Roman" w:cs="Times New Roman"/>
                <w:kern w:val="2"/>
                <w:sz w:val="21"/>
                <w:szCs w:val="21"/>
              </w:rPr>
              <w:t>近三年来，在经营活动中没有重大违法记录；</w:t>
            </w:r>
          </w:p>
          <w:p>
            <w:pPr>
              <w:pStyle w:val="33"/>
              <w:spacing w:before="0" w:beforeAutospacing="0" w:after="0" w:afterAutospacing="0" w:line="400" w:lineRule="atLeast"/>
              <w:ind w:firstLine="480"/>
              <w:jc w:val="both"/>
              <w:rPr>
                <w:rFonts w:ascii="Times New Roman" w:hAnsi="Times New Roman" w:cs="Times New Roman"/>
                <w:kern w:val="2"/>
                <w:sz w:val="21"/>
                <w:szCs w:val="21"/>
              </w:rPr>
            </w:pPr>
            <w:r>
              <w:rPr>
                <w:rFonts w:hint="eastAsia" w:ascii="Times New Roman" w:hAnsi="Times New Roman" w:cs="Times New Roman"/>
                <w:kern w:val="2"/>
                <w:sz w:val="21"/>
                <w:szCs w:val="21"/>
              </w:rPr>
              <w:t>（</w:t>
            </w:r>
            <w:r>
              <w:rPr>
                <w:rFonts w:hint="eastAsia" w:ascii="Times New Roman" w:hAnsi="Times New Roman" w:cs="Times New Roman"/>
                <w:kern w:val="2"/>
                <w:sz w:val="21"/>
                <w:szCs w:val="21"/>
                <w:lang w:val="en-US" w:eastAsia="zh-CN"/>
              </w:rPr>
              <w:t>8</w:t>
            </w:r>
            <w:r>
              <w:rPr>
                <w:rFonts w:hint="eastAsia" w:ascii="Times New Roman" w:hAnsi="Times New Roman" w:cs="Times New Roman"/>
                <w:kern w:val="2"/>
                <w:sz w:val="21"/>
                <w:szCs w:val="21"/>
              </w:rPr>
              <w:t>）</w:t>
            </w:r>
            <w:r>
              <w:rPr>
                <w:rFonts w:ascii="Times New Roman" w:hAnsi="Times New Roman" w:cs="Times New Roman"/>
                <w:kern w:val="2"/>
                <w:sz w:val="21"/>
                <w:szCs w:val="21"/>
              </w:rPr>
              <w:t>法律、行政法规规定的其他条件。</w:t>
            </w:r>
          </w:p>
          <w:p>
            <w:pPr>
              <w:spacing w:line="400" w:lineRule="exact"/>
              <w:rPr>
                <w:szCs w:val="21"/>
              </w:rPr>
            </w:pP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w:t>
            </w:r>
            <w:r>
              <w:rPr>
                <w:rFonts w:hint="eastAsia"/>
                <w:szCs w:val="21"/>
              </w:rPr>
              <w:t>9</w:t>
            </w:r>
            <w:r>
              <w:rPr>
                <w:szCs w:val="21"/>
              </w:rPr>
              <w:t>.1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踏勘现场</w:t>
            </w:r>
          </w:p>
        </w:tc>
        <w:tc>
          <w:tcPr>
            <w:tcW w:w="5423" w:type="dxa"/>
            <w:tcBorders>
              <w:top w:val="single" w:color="auto" w:sz="4" w:space="0"/>
              <w:left w:val="single" w:color="auto" w:sz="4" w:space="0"/>
              <w:bottom w:val="single" w:color="auto" w:sz="4" w:space="0"/>
              <w:right w:val="single" w:color="auto" w:sz="4" w:space="0"/>
            </w:tcBorders>
            <w:vAlign w:val="center"/>
          </w:tcPr>
          <w:p>
            <w:pPr>
              <w:pStyle w:val="14"/>
              <w:topLinePunct/>
              <w:spacing w:line="400" w:lineRule="exact"/>
              <w:rPr>
                <w:rFonts w:ascii="Times New Roman"/>
                <w:sz w:val="21"/>
                <w:szCs w:val="21"/>
              </w:rPr>
            </w:pPr>
            <w:r>
              <w:rPr>
                <w:rFonts w:hint="eastAsia" w:ascii="Times New Roman"/>
                <w:sz w:val="21"/>
                <w:szCs w:val="21"/>
              </w:rPr>
              <w:t>不组织</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w:t>
            </w:r>
            <w:r>
              <w:rPr>
                <w:rFonts w:hint="eastAsia"/>
                <w:szCs w:val="21"/>
              </w:rPr>
              <w:t>10</w:t>
            </w:r>
            <w:r>
              <w:rPr>
                <w:szCs w:val="21"/>
              </w:rPr>
              <w:t>.1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投标预备会</w:t>
            </w:r>
          </w:p>
        </w:tc>
        <w:tc>
          <w:tcPr>
            <w:tcW w:w="5423" w:type="dxa"/>
            <w:tcBorders>
              <w:top w:val="single" w:color="auto" w:sz="4" w:space="0"/>
              <w:left w:val="single" w:color="auto" w:sz="4" w:space="0"/>
              <w:bottom w:val="single" w:color="auto" w:sz="4" w:space="0"/>
              <w:right w:val="single" w:color="auto" w:sz="4" w:space="0"/>
            </w:tcBorders>
            <w:vAlign w:val="center"/>
          </w:tcPr>
          <w:p>
            <w:pPr>
              <w:pStyle w:val="14"/>
              <w:topLinePunct/>
              <w:spacing w:line="400" w:lineRule="exact"/>
              <w:rPr>
                <w:rFonts w:ascii="Times New Roman"/>
                <w:sz w:val="21"/>
                <w:szCs w:val="21"/>
              </w:rPr>
            </w:pPr>
            <w:r>
              <w:rPr>
                <w:rFonts w:hint="eastAsia" w:ascii="Times New Roman"/>
                <w:sz w:val="21"/>
                <w:szCs w:val="21"/>
              </w:rPr>
              <w:t>不召开</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1.10.2</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投标人提出问题的截止时间</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投标截止时间</w:t>
            </w:r>
            <w:r>
              <w:rPr>
                <w:rFonts w:hint="eastAsia"/>
                <w:szCs w:val="21"/>
                <w:highlight w:val="yellow"/>
                <w:shd w:val="clear" w:color="FFFFFF" w:fill="D9D9D9"/>
              </w:rPr>
              <w:t>前3日</w:t>
            </w:r>
            <w:r>
              <w:rPr>
                <w:rFonts w:hint="eastAsia"/>
                <w:szCs w:val="21"/>
              </w:rPr>
              <w:t>。</w:t>
            </w:r>
          </w:p>
          <w:p>
            <w:pPr>
              <w:spacing w:line="400" w:lineRule="exact"/>
              <w:rPr>
                <w:szCs w:val="21"/>
              </w:rPr>
            </w:pPr>
            <w:r>
              <w:rPr>
                <w:rFonts w:hint="eastAsia"/>
                <w:szCs w:val="21"/>
              </w:rPr>
              <w:t>投标人应仔细阅读和检查招标文件的全部内容，如发现缺页或附件不全，应及时向招标人提出，以便补齐。投标人如对招标文件有任何疑问均应在此时间以前与招标人联系，递交纸质材料。否则，投标人无权再因为招标文件等与投标有关的资料而提出异议、投诉。</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1.10.3</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招标人书面澄清的时间</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招标文件的澄清、修改等将在投标截止时间</w:t>
            </w:r>
            <w:r>
              <w:rPr>
                <w:rFonts w:hint="eastAsia"/>
                <w:szCs w:val="21"/>
                <w:highlight w:val="yellow"/>
                <w:shd w:val="clear" w:color="FFFFFF" w:fill="D9D9D9"/>
              </w:rPr>
              <w:t>前3日内</w:t>
            </w:r>
            <w:r>
              <w:rPr>
                <w:rFonts w:hint="eastAsia"/>
                <w:szCs w:val="21"/>
              </w:rPr>
              <w:t>在亳州交通投资控股集团有限公司官网上发布，投标人须自行查询，无须以纸质形式回复。</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构成招标文件的其他材料</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招标人发出的澄清、答疑及补充文件等。</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投标人要求澄清招标文件的截止时间</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投标人认为招标文件有关内容损害了自身权益，对招标文件有异议的，应当在投标截止时间3日前以书面形式提出。否则，投标人无权再进行投诉。</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2.2.2</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投标截止时间</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u w:val="single"/>
              </w:rPr>
              <w:t xml:space="preserve"> </w:t>
            </w:r>
            <w:r>
              <w:rPr>
                <w:rFonts w:hint="eastAsia"/>
                <w:szCs w:val="21"/>
                <w:highlight w:val="none"/>
                <w:u w:val="single"/>
                <w:lang w:val="en-US" w:eastAsia="zh-CN"/>
              </w:rPr>
              <w:t>2019</w:t>
            </w:r>
            <w:r>
              <w:rPr>
                <w:szCs w:val="21"/>
                <w:highlight w:val="none"/>
              </w:rPr>
              <w:t>年</w:t>
            </w:r>
            <w:r>
              <w:rPr>
                <w:rFonts w:hint="eastAsia"/>
                <w:szCs w:val="21"/>
                <w:highlight w:val="none"/>
                <w:u w:val="single"/>
                <w:lang w:val="en-US" w:eastAsia="zh-CN"/>
              </w:rPr>
              <w:t>6</w:t>
            </w:r>
            <w:r>
              <w:rPr>
                <w:szCs w:val="21"/>
                <w:highlight w:val="none"/>
              </w:rPr>
              <w:t>月</w:t>
            </w:r>
            <w:r>
              <w:rPr>
                <w:rFonts w:hint="eastAsia"/>
                <w:szCs w:val="21"/>
                <w:highlight w:val="none"/>
                <w:u w:val="single"/>
                <w:lang w:val="en-US" w:eastAsia="zh-CN"/>
              </w:rPr>
              <w:t>10</w:t>
            </w:r>
            <w:r>
              <w:rPr>
                <w:szCs w:val="21"/>
                <w:highlight w:val="none"/>
              </w:rPr>
              <w:t>日</w:t>
            </w:r>
            <w:r>
              <w:rPr>
                <w:rFonts w:hint="eastAsia"/>
                <w:szCs w:val="21"/>
                <w:highlight w:val="none"/>
                <w:u w:val="single"/>
                <w:lang w:val="en-US" w:eastAsia="zh-CN"/>
              </w:rPr>
              <w:t>15</w:t>
            </w:r>
            <w:r>
              <w:rPr>
                <w:szCs w:val="21"/>
                <w:highlight w:val="none"/>
              </w:rPr>
              <w:t>时</w:t>
            </w:r>
            <w:r>
              <w:rPr>
                <w:rFonts w:hint="eastAsia"/>
                <w:szCs w:val="21"/>
                <w:highlight w:val="none"/>
                <w:u w:val="single"/>
                <w:lang w:val="en-US" w:eastAsia="zh-CN"/>
              </w:rPr>
              <w:t>00</w:t>
            </w:r>
            <w:r>
              <w:rPr>
                <w:szCs w:val="21"/>
                <w:highlight w:val="none"/>
              </w:rPr>
              <w:t>分</w:t>
            </w:r>
            <w:bookmarkStart w:id="648" w:name="_GoBack"/>
            <w:bookmarkEnd w:id="648"/>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2.2.3</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投标人确认收到招标文件澄清的时间</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2.3.2</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投标人确认收到招标文件修改的时间</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3.1</w:t>
            </w:r>
            <w:r>
              <w:rPr>
                <w:rFonts w:hint="eastAsia"/>
                <w:szCs w:val="21"/>
              </w:rPr>
              <w:t>.1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构成投标文件的其他材料</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投标人的书面澄清、说明和补正（但不得改变投标文件的实质性内容）。</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3.2.3</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最高投标限价</w:t>
            </w:r>
          </w:p>
          <w:p>
            <w:pPr>
              <w:spacing w:line="440" w:lineRule="exact"/>
              <w:jc w:val="center"/>
              <w:rPr>
                <w:szCs w:val="21"/>
              </w:rPr>
            </w:pPr>
            <w:r>
              <w:rPr>
                <w:rFonts w:hint="eastAsia"/>
                <w:szCs w:val="21"/>
              </w:rPr>
              <w:t>（招标控制价，下同）</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val="en-US" w:eastAsia="zh-CN"/>
              </w:rPr>
            </w:pPr>
            <w:r>
              <w:rPr>
                <w:rFonts w:hint="eastAsia"/>
                <w:szCs w:val="21"/>
                <w:highlight w:val="none"/>
                <w:shd w:val="clear" w:color="FFFFFF" w:fill="D9D9D9"/>
              </w:rPr>
              <w:t>详见</w:t>
            </w:r>
            <w:r>
              <w:rPr>
                <w:rFonts w:hint="eastAsia"/>
                <w:szCs w:val="21"/>
                <w:highlight w:val="none"/>
                <w:shd w:val="clear" w:color="FFFFFF" w:fill="D9D9D9"/>
                <w:lang w:val="en-US" w:eastAsia="zh-CN"/>
              </w:rPr>
              <w:t>招标公告</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3.3</w:t>
            </w:r>
            <w:r>
              <w:rPr>
                <w:rFonts w:hint="eastAsia"/>
                <w:szCs w:val="21"/>
              </w:rPr>
              <w:t>.1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投标有效期</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投标截止之日起60</w:t>
            </w:r>
            <w:r>
              <w:rPr>
                <w:rFonts w:hint="eastAsia"/>
                <w:szCs w:val="21"/>
              </w:rPr>
              <w:t>天。</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3.4.1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投标保证金</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szCs w:val="21"/>
                <w:lang w:val="en-US" w:eastAsia="zh-CN"/>
              </w:rPr>
            </w:pPr>
            <w:r>
              <w:rPr>
                <w:rFonts w:hint="eastAsia"/>
                <w:szCs w:val="21"/>
              </w:rPr>
              <w:t>投标保证金的</w:t>
            </w:r>
            <w:r>
              <w:rPr>
                <w:szCs w:val="21"/>
              </w:rPr>
              <w:t>形式：</w:t>
            </w:r>
            <w:r>
              <w:rPr>
                <w:rFonts w:hint="eastAsia"/>
                <w:szCs w:val="21"/>
                <w:lang w:val="en-US" w:eastAsia="zh-CN"/>
              </w:rPr>
              <w:t>无</w:t>
            </w:r>
          </w:p>
          <w:p>
            <w:pPr>
              <w:spacing w:line="400" w:lineRule="exac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投标保证金的</w:t>
            </w:r>
            <w:r>
              <w:rPr>
                <w:color w:val="000000" w:themeColor="text1"/>
                <w:szCs w:val="21"/>
                <w:highlight w:val="none"/>
                <w14:textFill>
                  <w14:solidFill>
                    <w14:schemeClr w14:val="tx1"/>
                  </w14:solidFill>
                </w14:textFill>
              </w:rPr>
              <w:t>金额：</w:t>
            </w:r>
            <w:r>
              <w:rPr>
                <w:rFonts w:hint="eastAsia"/>
                <w:color w:val="000000" w:themeColor="text1"/>
                <w:szCs w:val="21"/>
                <w:highlight w:val="none"/>
                <w14:textFill>
                  <w14:solidFill>
                    <w14:schemeClr w14:val="tx1"/>
                  </w14:solidFill>
                </w14:textFill>
              </w:rPr>
              <w:t>人民币（大写）：</w:t>
            </w:r>
            <w:r>
              <w:rPr>
                <w:rFonts w:hint="eastAsia"/>
                <w:b/>
                <w:bCs/>
                <w:color w:val="000000" w:themeColor="text1"/>
                <w:szCs w:val="21"/>
                <w:highlight w:val="none"/>
                <w:u w:val="single"/>
                <w:shd w:val="clear" w:color="FFFFFF" w:fill="D9D9D9"/>
                <w:lang w:val="en-US" w:eastAsia="zh-CN"/>
                <w14:textFill>
                  <w14:solidFill>
                    <w14:schemeClr w14:val="tx1"/>
                  </w14:solidFill>
                </w14:textFill>
              </w:rPr>
              <w:t>零</w:t>
            </w:r>
            <w:r>
              <w:rPr>
                <w:rFonts w:hint="eastAsia"/>
                <w:color w:val="000000" w:themeColor="text1"/>
                <w:szCs w:val="21"/>
                <w:highlight w:val="none"/>
                <w14:textFill>
                  <w14:solidFill>
                    <w14:schemeClr w14:val="tx1"/>
                  </w14:solidFill>
                </w14:textFill>
              </w:rPr>
              <w:t>元整，（小写）：¥</w:t>
            </w:r>
            <w:r>
              <w:rPr>
                <w:rFonts w:hint="eastAsia"/>
                <w:b/>
                <w:bCs/>
                <w:color w:val="000000" w:themeColor="text1"/>
                <w:szCs w:val="21"/>
                <w:highlight w:val="none"/>
                <w:u w:val="single"/>
                <w:shd w:val="clear" w:color="FFFFFF" w:fill="D9D9D9"/>
                <w:lang w:val="en-US" w:eastAsia="zh-CN"/>
                <w14:textFill>
                  <w14:solidFill>
                    <w14:schemeClr w14:val="tx1"/>
                  </w14:solidFill>
                </w14:textFill>
              </w:rPr>
              <w:t>0.00</w:t>
            </w:r>
            <w:r>
              <w:rPr>
                <w:rFonts w:hint="eastAsia"/>
                <w:color w:val="000000" w:themeColor="text1"/>
                <w:szCs w:val="21"/>
                <w:highlight w:val="none"/>
                <w14:textFill>
                  <w14:solidFill>
                    <w14:schemeClr w14:val="tx1"/>
                  </w14:solidFill>
                </w14:textFill>
              </w:rPr>
              <w:t>元。</w:t>
            </w:r>
          </w:p>
          <w:p>
            <w:pPr>
              <w:spacing w:line="400" w:lineRule="exac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收取投标保证金账号的信息：</w:t>
            </w:r>
          </w:p>
          <w:p>
            <w:pPr>
              <w:widowControl/>
              <w:shd w:val="clear" w:color="auto" w:fill="FFFFFF"/>
              <w:ind w:firstLine="630" w:firstLineChars="3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开户名称：安徽熙盛建工有限公司</w:t>
            </w:r>
          </w:p>
          <w:p>
            <w:pPr>
              <w:widowControl/>
              <w:shd w:val="clear" w:color="auto" w:fill="FFFFFF"/>
              <w:ind w:firstLine="630" w:firstLineChars="3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开户银行：中国建设银行股份有限公司亳州华佗支行</w:t>
            </w:r>
          </w:p>
          <w:p>
            <w:pPr>
              <w:widowControl/>
              <w:shd w:val="clear" w:color="auto" w:fill="FFFFFF"/>
              <w:ind w:firstLine="630" w:firstLineChars="3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账 户 号：3400 1886 7080 5250 0255</w:t>
            </w:r>
          </w:p>
          <w:p>
            <w:pPr>
              <w:spacing w:line="400" w:lineRule="exact"/>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其他要求：</w:t>
            </w:r>
          </w:p>
          <w:p>
            <w:pPr>
              <w:wordWrap w:val="0"/>
              <w:spacing w:line="400" w:lineRule="exact"/>
              <w:ind w:firstLine="420" w:firstLineChars="200"/>
              <w:rPr>
                <w:szCs w:val="21"/>
              </w:rPr>
            </w:pPr>
            <w:r>
              <w:rPr>
                <w:rFonts w:hint="eastAsia"/>
                <w:szCs w:val="21"/>
              </w:rPr>
              <w:t>投标保证金必须在投标截止时间前，由投标人在中华人民共和国境内注册经营的银行基本账户汇入到指定银行账号，确保银行记录可查询，转账或电汇时须在附言处备注“保证金</w:t>
            </w:r>
            <w:r>
              <w:rPr>
                <w:rFonts w:hint="eastAsia"/>
                <w:szCs w:val="21"/>
              </w:rPr>
              <w:t>”，否则，责任自负。</w:t>
            </w:r>
          </w:p>
          <w:p>
            <w:pPr>
              <w:spacing w:line="400" w:lineRule="exact"/>
              <w:ind w:firstLine="420" w:firstLineChars="200"/>
              <w:rPr>
                <w:szCs w:val="21"/>
              </w:rPr>
            </w:pPr>
            <w:r>
              <w:rPr>
                <w:rFonts w:hint="eastAsia"/>
                <w:szCs w:val="21"/>
              </w:rPr>
              <w:t>未按时汇入或非投标人基本账户汇出或收款银行账号错误无法判定保证金对应关系的，保证金无效。</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w:t>
            </w:r>
            <w:r>
              <w:rPr>
                <w:rFonts w:hint="eastAsia"/>
                <w:szCs w:val="21"/>
              </w:rPr>
              <w:t>6</w:t>
            </w:r>
            <w:r>
              <w:rPr>
                <w:szCs w:val="21"/>
              </w:rPr>
              <w:t>.3</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签字或盖章要求</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spacing w:line="400" w:lineRule="exact"/>
              <w:rPr>
                <w:szCs w:val="21"/>
              </w:rPr>
            </w:pPr>
            <w:r>
              <w:rPr>
                <w:rFonts w:hint="eastAsia"/>
                <w:szCs w:val="21"/>
              </w:rPr>
              <w:t>（2）签字：除文件另有规定外，均应为手写签字，否则其投标无效。</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w:t>
            </w:r>
            <w:r>
              <w:rPr>
                <w:rFonts w:hint="eastAsia"/>
                <w:szCs w:val="21"/>
              </w:rPr>
              <w:t>6</w:t>
            </w:r>
            <w:r>
              <w:rPr>
                <w:szCs w:val="21"/>
              </w:rPr>
              <w:t>.4</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投标文件副本份数</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壹份</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w:t>
            </w:r>
            <w:r>
              <w:rPr>
                <w:rFonts w:hint="eastAsia"/>
                <w:szCs w:val="21"/>
              </w:rPr>
              <w:t>6</w:t>
            </w:r>
            <w:r>
              <w:rPr>
                <w:szCs w:val="21"/>
              </w:rPr>
              <w:t>.5</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装订要求</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（1）所有正本与副本封装在一个密封袋中</w:t>
            </w:r>
            <w:r>
              <w:rPr>
                <w:rFonts w:hint="eastAsia"/>
                <w:szCs w:val="21"/>
              </w:rPr>
              <w:t>，且在投标文件封面标明“正本”或“副本”的字样；</w:t>
            </w:r>
          </w:p>
          <w:p>
            <w:pPr>
              <w:spacing w:line="400" w:lineRule="exact"/>
              <w:rPr>
                <w:szCs w:val="21"/>
              </w:rPr>
            </w:pPr>
            <w:r>
              <w:rPr>
                <w:rFonts w:hint="eastAsia"/>
                <w:szCs w:val="21"/>
              </w:rPr>
              <w:t>（2）投标文件应按要求密封，密封袋封口加盖投标单位印章；</w:t>
            </w:r>
          </w:p>
          <w:p>
            <w:pPr>
              <w:spacing w:line="400" w:lineRule="exact"/>
              <w:rPr>
                <w:szCs w:val="21"/>
              </w:rPr>
            </w:pPr>
            <w:r>
              <w:rPr>
                <w:rFonts w:hint="eastAsia"/>
                <w:szCs w:val="21"/>
              </w:rPr>
              <w:t>（3）投标文件须采用胶粘方式装订，装订应牢固、不易拆散和换页，不得采用活页装订。</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4.1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是否退还投标文件</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否</w:t>
            </w:r>
          </w:p>
        </w:tc>
      </w:tr>
      <w:tr>
        <w:tblPrEx>
          <w:tblLayout w:type="fixed"/>
          <w:tblCellMar>
            <w:top w:w="0" w:type="dxa"/>
            <w:left w:w="108" w:type="dxa"/>
            <w:bottom w:w="0" w:type="dxa"/>
            <w:right w:w="108" w:type="dxa"/>
          </w:tblCellMar>
        </w:tblPrEx>
        <w:trPr>
          <w:trHeight w:val="880" w:hRule="atLeast"/>
        </w:trPr>
        <w:tc>
          <w:tcPr>
            <w:tcW w:w="1029" w:type="dxa"/>
            <w:tcBorders>
              <w:top w:val="single" w:color="auto" w:sz="4" w:space="0"/>
              <w:left w:val="single" w:color="auto" w:sz="4" w:space="0"/>
              <w:right w:val="single" w:color="auto" w:sz="4" w:space="0"/>
            </w:tcBorders>
            <w:vAlign w:val="center"/>
          </w:tcPr>
          <w:p>
            <w:pPr>
              <w:spacing w:line="440" w:lineRule="exact"/>
              <w:jc w:val="center"/>
              <w:rPr>
                <w:szCs w:val="21"/>
              </w:rPr>
            </w:pPr>
            <w:r>
              <w:rPr>
                <w:szCs w:val="21"/>
              </w:rPr>
              <w:t>5.1</w:t>
            </w:r>
          </w:p>
        </w:tc>
        <w:tc>
          <w:tcPr>
            <w:tcW w:w="1926" w:type="dxa"/>
            <w:tcBorders>
              <w:top w:val="single" w:color="auto" w:sz="4" w:space="0"/>
              <w:left w:val="single" w:color="auto" w:sz="4" w:space="0"/>
              <w:right w:val="single" w:color="auto" w:sz="4" w:space="0"/>
            </w:tcBorders>
            <w:vAlign w:val="center"/>
          </w:tcPr>
          <w:p>
            <w:pPr>
              <w:spacing w:line="440" w:lineRule="exact"/>
              <w:jc w:val="center"/>
              <w:rPr>
                <w:szCs w:val="21"/>
              </w:rPr>
            </w:pPr>
            <w:r>
              <w:rPr>
                <w:rFonts w:hint="eastAsia"/>
                <w:szCs w:val="21"/>
              </w:rPr>
              <w:t>开标时间和地点</w:t>
            </w:r>
          </w:p>
        </w:tc>
        <w:tc>
          <w:tcPr>
            <w:tcW w:w="5423" w:type="dxa"/>
            <w:tcBorders>
              <w:top w:val="single" w:color="auto" w:sz="4" w:space="0"/>
              <w:left w:val="single" w:color="auto" w:sz="4" w:space="0"/>
              <w:right w:val="single" w:color="auto" w:sz="4" w:space="0"/>
            </w:tcBorders>
            <w:vAlign w:val="center"/>
          </w:tcPr>
          <w:p>
            <w:pPr>
              <w:spacing w:line="400" w:lineRule="exact"/>
              <w:rPr>
                <w:szCs w:val="21"/>
              </w:rPr>
            </w:pPr>
            <w:r>
              <w:rPr>
                <w:szCs w:val="21"/>
              </w:rPr>
              <w:t>开标时间</w:t>
            </w:r>
            <w:r>
              <w:rPr>
                <w:rFonts w:hint="eastAsia"/>
                <w:szCs w:val="21"/>
              </w:rPr>
              <w:t>：</w:t>
            </w:r>
            <w:r>
              <w:rPr>
                <w:szCs w:val="21"/>
              </w:rPr>
              <w:t>同投标截止时间</w:t>
            </w:r>
          </w:p>
          <w:p>
            <w:pPr>
              <w:spacing w:line="400" w:lineRule="exact"/>
              <w:rPr>
                <w:rFonts w:hint="eastAsia" w:eastAsia="宋体"/>
                <w:szCs w:val="21"/>
                <w:lang w:val="en-US" w:eastAsia="zh-CN"/>
              </w:rPr>
            </w:pPr>
            <w:r>
              <w:rPr>
                <w:szCs w:val="21"/>
              </w:rPr>
              <w:t>开标地点</w:t>
            </w:r>
            <w:r>
              <w:rPr>
                <w:rFonts w:hint="eastAsia"/>
                <w:szCs w:val="21"/>
              </w:rPr>
              <w:t>：</w:t>
            </w:r>
            <w:r>
              <w:rPr>
                <w:rFonts w:hint="eastAsia"/>
                <w:szCs w:val="21"/>
                <w:lang w:val="en-US" w:eastAsia="zh-CN"/>
              </w:rPr>
              <w:t>安徽熙盛建工有限公司（中药材电商中心23楼）</w:t>
            </w:r>
          </w:p>
        </w:tc>
      </w:tr>
      <w:tr>
        <w:tblPrEx>
          <w:tblLayout w:type="fixed"/>
          <w:tblCellMar>
            <w:top w:w="0" w:type="dxa"/>
            <w:left w:w="108" w:type="dxa"/>
            <w:bottom w:w="0" w:type="dxa"/>
            <w:right w:w="108" w:type="dxa"/>
          </w:tblCellMar>
        </w:tblPrEx>
        <w:trPr>
          <w:trHeight w:val="880" w:hRule="atLeast"/>
        </w:trPr>
        <w:tc>
          <w:tcPr>
            <w:tcW w:w="1029" w:type="dxa"/>
            <w:tcBorders>
              <w:top w:val="single" w:color="auto" w:sz="4" w:space="0"/>
              <w:left w:val="single" w:color="auto" w:sz="4" w:space="0"/>
              <w:right w:val="single" w:color="auto" w:sz="4" w:space="0"/>
            </w:tcBorders>
            <w:vAlign w:val="center"/>
          </w:tcPr>
          <w:p>
            <w:pPr>
              <w:spacing w:line="440" w:lineRule="exact"/>
              <w:jc w:val="center"/>
              <w:rPr>
                <w:szCs w:val="21"/>
              </w:rPr>
            </w:pPr>
            <w:r>
              <w:rPr>
                <w:szCs w:val="21"/>
              </w:rPr>
              <w:t>6.1.1</w:t>
            </w:r>
          </w:p>
        </w:tc>
        <w:tc>
          <w:tcPr>
            <w:tcW w:w="1926" w:type="dxa"/>
            <w:tcBorders>
              <w:top w:val="single" w:color="auto" w:sz="4" w:space="0"/>
              <w:left w:val="single" w:color="auto" w:sz="4" w:space="0"/>
              <w:right w:val="single" w:color="auto" w:sz="4" w:space="0"/>
            </w:tcBorders>
            <w:vAlign w:val="center"/>
          </w:tcPr>
          <w:p>
            <w:pPr>
              <w:spacing w:line="440" w:lineRule="exact"/>
              <w:jc w:val="center"/>
              <w:rPr>
                <w:szCs w:val="21"/>
              </w:rPr>
            </w:pPr>
            <w:r>
              <w:rPr>
                <w:rFonts w:hint="eastAsia"/>
                <w:szCs w:val="21"/>
              </w:rPr>
              <w:t>评标委员会的组建</w:t>
            </w:r>
          </w:p>
        </w:tc>
        <w:tc>
          <w:tcPr>
            <w:tcW w:w="5423" w:type="dxa"/>
            <w:tcBorders>
              <w:top w:val="single" w:color="auto" w:sz="4" w:space="0"/>
              <w:left w:val="single" w:color="auto" w:sz="4" w:space="0"/>
              <w:right w:val="single" w:color="auto" w:sz="4" w:space="0"/>
            </w:tcBorders>
            <w:vAlign w:val="center"/>
          </w:tcPr>
          <w:p>
            <w:pPr>
              <w:spacing w:line="400" w:lineRule="exact"/>
              <w:rPr>
                <w:szCs w:val="21"/>
              </w:rPr>
            </w:pPr>
            <w:r>
              <w:rPr>
                <w:szCs w:val="21"/>
              </w:rPr>
              <w:t>评标委员会</w:t>
            </w:r>
            <w:r>
              <w:rPr>
                <w:rFonts w:hint="eastAsia"/>
                <w:szCs w:val="21"/>
              </w:rPr>
              <w:t>构成</w:t>
            </w:r>
          </w:p>
          <w:p>
            <w:pPr>
              <w:spacing w:line="400" w:lineRule="exact"/>
              <w:rPr>
                <w:szCs w:val="21"/>
              </w:rPr>
            </w:pPr>
            <w:r>
              <w:rPr>
                <w:szCs w:val="21"/>
              </w:rPr>
              <w:t>评标专家确定方式</w:t>
            </w:r>
            <w:r>
              <w:rPr>
                <w:rFonts w:hint="eastAsia"/>
                <w:szCs w:val="21"/>
              </w:rPr>
              <w:t>：按有关规定组建。</w:t>
            </w:r>
          </w:p>
        </w:tc>
      </w:tr>
      <w:tr>
        <w:tblPrEx>
          <w:tblLayout w:type="fixed"/>
          <w:tblCellMar>
            <w:top w:w="0" w:type="dxa"/>
            <w:left w:w="108" w:type="dxa"/>
            <w:bottom w:w="0" w:type="dxa"/>
            <w:right w:w="108" w:type="dxa"/>
          </w:tblCellMar>
        </w:tblPrEx>
        <w:trPr>
          <w:trHeight w:val="880" w:hRule="atLeast"/>
        </w:trPr>
        <w:tc>
          <w:tcPr>
            <w:tcW w:w="1029" w:type="dxa"/>
            <w:tcBorders>
              <w:top w:val="single" w:color="auto" w:sz="4" w:space="0"/>
              <w:left w:val="single" w:color="auto" w:sz="4" w:space="0"/>
              <w:right w:val="single" w:color="auto" w:sz="4" w:space="0"/>
            </w:tcBorders>
            <w:vAlign w:val="center"/>
          </w:tcPr>
          <w:p>
            <w:pPr>
              <w:spacing w:line="440" w:lineRule="exact"/>
              <w:jc w:val="center"/>
              <w:rPr>
                <w:szCs w:val="21"/>
              </w:rPr>
            </w:pPr>
            <w:r>
              <w:rPr>
                <w:szCs w:val="21"/>
              </w:rPr>
              <w:t>7.1</w:t>
            </w:r>
          </w:p>
        </w:tc>
        <w:tc>
          <w:tcPr>
            <w:tcW w:w="1926" w:type="dxa"/>
            <w:tcBorders>
              <w:top w:val="single" w:color="auto" w:sz="4" w:space="0"/>
              <w:left w:val="single" w:color="auto" w:sz="4" w:space="0"/>
              <w:right w:val="single" w:color="auto" w:sz="4" w:space="0"/>
            </w:tcBorders>
            <w:vAlign w:val="center"/>
          </w:tcPr>
          <w:p>
            <w:pPr>
              <w:spacing w:line="440" w:lineRule="exact"/>
              <w:jc w:val="center"/>
              <w:rPr>
                <w:szCs w:val="21"/>
              </w:rPr>
            </w:pPr>
            <w:r>
              <w:rPr>
                <w:rFonts w:hint="eastAsia"/>
                <w:szCs w:val="21"/>
              </w:rPr>
              <w:t>是否授权评标委员会确定中标人</w:t>
            </w:r>
          </w:p>
        </w:tc>
        <w:tc>
          <w:tcPr>
            <w:tcW w:w="5423" w:type="dxa"/>
            <w:tcBorders>
              <w:top w:val="single" w:color="auto" w:sz="4" w:space="0"/>
              <w:left w:val="single" w:color="auto" w:sz="4" w:space="0"/>
              <w:right w:val="single" w:color="auto" w:sz="4" w:space="0"/>
            </w:tcBorders>
            <w:vAlign w:val="center"/>
          </w:tcPr>
          <w:p>
            <w:pPr>
              <w:spacing w:line="400" w:lineRule="exact"/>
              <w:rPr>
                <w:szCs w:val="21"/>
              </w:rPr>
            </w:pPr>
            <w:r>
              <w:rPr>
                <w:rFonts w:hint="eastAsia"/>
                <w:szCs w:val="21"/>
              </w:rPr>
              <w:t>否，</w:t>
            </w:r>
            <w:r>
              <w:rPr>
                <w:szCs w:val="21"/>
              </w:rPr>
              <w:t>推荐的中标候选人数</w:t>
            </w:r>
            <w:r>
              <w:rPr>
                <w:rFonts w:hint="eastAsia"/>
                <w:szCs w:val="21"/>
              </w:rPr>
              <w:t>：3人</w:t>
            </w:r>
          </w:p>
        </w:tc>
      </w:tr>
      <w:tr>
        <w:tblPrEx>
          <w:tblLayout w:type="fixed"/>
          <w:tblCellMar>
            <w:top w:w="0" w:type="dxa"/>
            <w:left w:w="108" w:type="dxa"/>
            <w:bottom w:w="0" w:type="dxa"/>
            <w:right w:w="108" w:type="dxa"/>
          </w:tblCellMar>
        </w:tblPrEx>
        <w:trPr>
          <w:trHeight w:val="880" w:hRule="atLeast"/>
        </w:trPr>
        <w:tc>
          <w:tcPr>
            <w:tcW w:w="1029" w:type="dxa"/>
            <w:tcBorders>
              <w:top w:val="single" w:color="auto" w:sz="4" w:space="0"/>
              <w:left w:val="single" w:color="auto" w:sz="4" w:space="0"/>
              <w:right w:val="single" w:color="auto" w:sz="4" w:space="0"/>
            </w:tcBorders>
            <w:vAlign w:val="center"/>
          </w:tcPr>
          <w:p>
            <w:pPr>
              <w:spacing w:line="440" w:lineRule="exact"/>
              <w:jc w:val="center"/>
              <w:rPr>
                <w:szCs w:val="21"/>
              </w:rPr>
            </w:pPr>
            <w:r>
              <w:rPr>
                <w:rFonts w:hint="eastAsia"/>
                <w:szCs w:val="21"/>
              </w:rPr>
              <w:t>7.2</w:t>
            </w:r>
          </w:p>
        </w:tc>
        <w:tc>
          <w:tcPr>
            <w:tcW w:w="1926" w:type="dxa"/>
            <w:tcBorders>
              <w:top w:val="single" w:color="auto" w:sz="4" w:space="0"/>
              <w:left w:val="single" w:color="auto" w:sz="4" w:space="0"/>
              <w:right w:val="single" w:color="auto" w:sz="4" w:space="0"/>
            </w:tcBorders>
            <w:vAlign w:val="center"/>
          </w:tcPr>
          <w:p>
            <w:pPr>
              <w:spacing w:line="440" w:lineRule="exact"/>
              <w:jc w:val="center"/>
              <w:rPr>
                <w:szCs w:val="21"/>
              </w:rPr>
            </w:pPr>
            <w:r>
              <w:rPr>
                <w:rFonts w:hint="eastAsia"/>
                <w:szCs w:val="21"/>
              </w:rPr>
              <w:t>投标确认</w:t>
            </w:r>
          </w:p>
        </w:tc>
        <w:tc>
          <w:tcPr>
            <w:tcW w:w="5423" w:type="dxa"/>
            <w:tcBorders>
              <w:top w:val="single" w:color="auto" w:sz="4" w:space="0"/>
              <w:left w:val="single" w:color="auto" w:sz="4" w:space="0"/>
              <w:right w:val="single" w:color="auto" w:sz="4" w:space="0"/>
            </w:tcBorders>
            <w:vAlign w:val="center"/>
          </w:tcPr>
          <w:p>
            <w:pPr>
              <w:wordWrap w:val="0"/>
              <w:spacing w:line="400" w:lineRule="exact"/>
              <w:rPr>
                <w:sz w:val="32"/>
                <w:szCs w:val="32"/>
              </w:rPr>
            </w:pP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7.</w:t>
            </w:r>
            <w:r>
              <w:rPr>
                <w:rFonts w:hint="eastAsia"/>
                <w:szCs w:val="21"/>
              </w:rPr>
              <w:t>4</w:t>
            </w:r>
            <w:r>
              <w:rPr>
                <w:szCs w:val="21"/>
              </w:rPr>
              <w:t>.1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履约担保</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szCs w:val="21"/>
              </w:rPr>
              <w:t>履约担保的形式：</w:t>
            </w:r>
          </w:p>
          <w:p>
            <w:pPr>
              <w:spacing w:line="400" w:lineRule="exact"/>
              <w:ind w:firstLine="420" w:firstLineChars="200"/>
              <w:rPr>
                <w:szCs w:val="21"/>
              </w:rPr>
            </w:pPr>
            <w:r>
              <w:rPr>
                <w:rFonts w:hint="eastAsia"/>
                <w:szCs w:val="21"/>
              </w:rPr>
              <w:t>中标后，投标保证金自动转为履约保证金，履约保证金不足部分由中标人在收到中标通知书15日内从其基本账户开户行银行汇款。</w:t>
            </w:r>
          </w:p>
          <w:p>
            <w:pPr>
              <w:spacing w:line="400" w:lineRule="exact"/>
              <w:ind w:firstLine="420" w:firstLineChars="200"/>
              <w:rPr>
                <w:szCs w:val="21"/>
              </w:rPr>
            </w:pPr>
            <w:r>
              <w:rPr>
                <w:rFonts w:hint="eastAsia"/>
                <w:szCs w:val="21"/>
              </w:rPr>
              <w:t>无违约行为发生或违约行为已处理的情况下，工程竣工验收合格后，返还全部履约保证金（本金无息）。</w:t>
            </w:r>
          </w:p>
          <w:p>
            <w:pPr>
              <w:spacing w:line="400" w:lineRule="exact"/>
              <w:rPr>
                <w:rFonts w:hint="eastAsia" w:eastAsia="宋体"/>
                <w:szCs w:val="21"/>
                <w:lang w:val="en-US" w:eastAsia="zh-CN"/>
              </w:rPr>
            </w:pPr>
            <w:r>
              <w:rPr>
                <w:szCs w:val="21"/>
              </w:rPr>
              <w:t>履约担保的金额：</w:t>
            </w:r>
            <w:r>
              <w:rPr>
                <w:rFonts w:hint="eastAsia"/>
                <w:szCs w:val="21"/>
                <w:lang w:val="en-US" w:eastAsia="zh-CN"/>
              </w:rPr>
              <w:t>无</w:t>
            </w:r>
          </w:p>
        </w:tc>
      </w:tr>
      <w:tr>
        <w:tblPrEx>
          <w:tblLayout w:type="fixed"/>
          <w:tblCellMar>
            <w:top w:w="0" w:type="dxa"/>
            <w:left w:w="108" w:type="dxa"/>
            <w:bottom w:w="0" w:type="dxa"/>
            <w:right w:w="108" w:type="dxa"/>
          </w:tblCellMar>
        </w:tblPrEx>
        <w:tc>
          <w:tcPr>
            <w:tcW w:w="8378"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9</w:t>
            </w:r>
          </w:p>
        </w:tc>
        <w:tc>
          <w:tcPr>
            <w:tcW w:w="7349"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需要</w:t>
            </w:r>
            <w:r>
              <w:rPr>
                <w:b/>
                <w:szCs w:val="21"/>
              </w:rPr>
              <w:t>补充</w:t>
            </w:r>
            <w:r>
              <w:rPr>
                <w:rFonts w:hint="eastAsia"/>
                <w:b/>
                <w:szCs w:val="21"/>
              </w:rPr>
              <w:t>的其他</w:t>
            </w:r>
            <w:r>
              <w:rPr>
                <w:b/>
                <w:szCs w:val="21"/>
              </w:rPr>
              <w:t>内容</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w:t>
            </w:r>
            <w:r>
              <w:rPr>
                <w:rFonts w:hint="eastAsia"/>
                <w:szCs w:val="21"/>
              </w:rPr>
              <w:t>.1</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highlight w:val="yellow"/>
                <w:shd w:val="clear" w:color="FFFFFF" w:fill="D9D9D9"/>
              </w:rPr>
            </w:pPr>
            <w:r>
              <w:rPr>
                <w:rFonts w:hint="eastAsia"/>
                <w:szCs w:val="21"/>
                <w:highlight w:val="yellow"/>
                <w:shd w:val="clear" w:color="FFFFFF" w:fill="D9D9D9"/>
              </w:rPr>
              <w:t>其他要求</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shd w:val="clear" w:color="FFFFFF" w:fill="D9D9D9"/>
              </w:rPr>
            </w:pPr>
            <w:r>
              <w:rPr>
                <w:rFonts w:hint="eastAsia"/>
                <w:szCs w:val="21"/>
                <w:highlight w:val="yellow"/>
                <w:shd w:val="clear" w:color="FFFFFF" w:fill="D9D9D9"/>
              </w:rPr>
              <w:t>否</w:t>
            </w:r>
          </w:p>
        </w:tc>
      </w:tr>
      <w:tr>
        <w:tblPrEx>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w:t>
            </w:r>
            <w:r>
              <w:rPr>
                <w:rFonts w:hint="eastAsia"/>
                <w:szCs w:val="21"/>
              </w:rPr>
              <w:t>.2</w:t>
            </w:r>
          </w:p>
        </w:tc>
        <w:tc>
          <w:tcPr>
            <w:tcW w:w="192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shd w:val="clear" w:color="FFFFFF" w:fill="D9D9D9"/>
              </w:rPr>
            </w:pPr>
            <w:r>
              <w:rPr>
                <w:rFonts w:hint="eastAsia"/>
                <w:szCs w:val="21"/>
              </w:rPr>
              <w:t>解释权</w:t>
            </w:r>
          </w:p>
        </w:tc>
        <w:tc>
          <w:tcPr>
            <w:tcW w:w="5423" w:type="dxa"/>
            <w:tcBorders>
              <w:top w:val="single" w:color="auto" w:sz="4" w:space="0"/>
              <w:left w:val="single" w:color="auto" w:sz="4" w:space="0"/>
              <w:bottom w:val="single" w:color="auto" w:sz="4" w:space="0"/>
              <w:right w:val="single" w:color="auto" w:sz="4" w:space="0"/>
            </w:tcBorders>
            <w:vAlign w:val="center"/>
          </w:tcPr>
          <w:p>
            <w:pPr>
              <w:spacing w:line="400" w:lineRule="exact"/>
              <w:rPr>
                <w:sz w:val="32"/>
                <w:szCs w:val="32"/>
                <w:shd w:val="clear" w:color="FFFFFF" w:fill="D9D9D9"/>
              </w:rPr>
            </w:pPr>
            <w:r>
              <w:rPr>
                <w:rFonts w:hint="eastAsia"/>
                <w:szCs w:val="21"/>
              </w:rPr>
              <w:t>构成本招标文件的各个组成文件应互为解释，互为说明。如有不明确或不一致的，由招标人负责解释。</w:t>
            </w:r>
          </w:p>
        </w:tc>
      </w:tr>
    </w:tbl>
    <w:p>
      <w:pPr>
        <w:spacing w:line="400" w:lineRule="exact"/>
      </w:pPr>
    </w:p>
    <w:p>
      <w:pPr>
        <w:spacing w:line="400" w:lineRule="exact"/>
      </w:pPr>
    </w:p>
    <w:p>
      <w:pPr>
        <w:spacing w:line="400" w:lineRule="exact"/>
      </w:pPr>
      <w:r>
        <w:br w:type="page"/>
      </w:r>
    </w:p>
    <w:p>
      <w:pPr>
        <w:pStyle w:val="3"/>
      </w:pPr>
      <w:bookmarkStart w:id="56" w:name="_Toc246996175"/>
      <w:bookmarkStart w:id="57" w:name="_Toc152045529"/>
      <w:bookmarkStart w:id="58" w:name="_Toc296602420"/>
      <w:bookmarkStart w:id="59" w:name="_Toc179632546"/>
      <w:bookmarkStart w:id="60" w:name="_Toc152042305"/>
      <w:bookmarkStart w:id="61" w:name="_Toc246996918"/>
      <w:bookmarkStart w:id="62" w:name="_Toc247085689"/>
      <w:bookmarkStart w:id="63" w:name="_Toc144974497"/>
      <w:r>
        <w:rPr>
          <w:rFonts w:hint="eastAsia"/>
        </w:rPr>
        <w:t>1. 总则</w:t>
      </w:r>
      <w:bookmarkEnd w:id="56"/>
      <w:bookmarkEnd w:id="57"/>
      <w:bookmarkEnd w:id="58"/>
      <w:bookmarkEnd w:id="59"/>
      <w:bookmarkEnd w:id="60"/>
      <w:bookmarkEnd w:id="61"/>
      <w:bookmarkEnd w:id="62"/>
      <w:bookmarkEnd w:id="63"/>
    </w:p>
    <w:p>
      <w:pPr>
        <w:pStyle w:val="4"/>
      </w:pPr>
      <w:bookmarkStart w:id="64" w:name="_Toc296602421"/>
      <w:bookmarkStart w:id="65" w:name="_Toc152045530"/>
      <w:bookmarkStart w:id="66" w:name="_Toc246996176"/>
      <w:bookmarkStart w:id="67" w:name="_Toc179632547"/>
      <w:bookmarkStart w:id="68" w:name="_Toc144974498"/>
      <w:bookmarkStart w:id="69" w:name="_Toc152042306"/>
      <w:bookmarkStart w:id="70" w:name="_Toc246996919"/>
      <w:bookmarkStart w:id="71" w:name="_Toc247085690"/>
      <w:r>
        <w:rPr>
          <w:rFonts w:hint="eastAsia"/>
        </w:rPr>
        <w:t>1.1 项目概况</w:t>
      </w:r>
      <w:bookmarkEnd w:id="64"/>
      <w:bookmarkEnd w:id="65"/>
      <w:bookmarkEnd w:id="66"/>
      <w:bookmarkEnd w:id="67"/>
      <w:bookmarkEnd w:id="68"/>
      <w:bookmarkEnd w:id="69"/>
      <w:bookmarkEnd w:id="70"/>
      <w:bookmarkEnd w:id="71"/>
    </w:p>
    <w:p>
      <w:pPr>
        <w:spacing w:line="400" w:lineRule="exact"/>
        <w:ind w:firstLine="420" w:firstLineChars="200"/>
      </w:pPr>
      <w:r>
        <w:rPr>
          <w:rFonts w:hint="eastAsia"/>
        </w:rPr>
        <w:t>1.1.1根据《中华人民共和国招标投标法》等有关法律、法规和规章的规定，本招标项目已具备招标条件，现对本项目施工进行招标。</w:t>
      </w:r>
    </w:p>
    <w:p>
      <w:pPr>
        <w:spacing w:line="400" w:lineRule="exact"/>
        <w:ind w:firstLine="420" w:firstLineChars="200"/>
      </w:pPr>
      <w:r>
        <w:rPr>
          <w:rFonts w:hint="eastAsia"/>
        </w:rPr>
        <w:t>1.1.2 本招标项目招标人：见投标人须知前附表。</w:t>
      </w:r>
    </w:p>
    <w:p>
      <w:pPr>
        <w:spacing w:line="400" w:lineRule="exact"/>
        <w:ind w:firstLine="420" w:firstLineChars="200"/>
      </w:pPr>
      <w:r>
        <w:rPr>
          <w:rFonts w:hint="eastAsia"/>
        </w:rPr>
        <w:t>1.1.3 本招标项目招标代理机构：见投标人须知前附表。</w:t>
      </w:r>
    </w:p>
    <w:p>
      <w:pPr>
        <w:spacing w:line="400" w:lineRule="exact"/>
        <w:ind w:firstLine="420" w:firstLineChars="200"/>
      </w:pPr>
      <w:r>
        <w:rPr>
          <w:rFonts w:hint="eastAsia"/>
        </w:rPr>
        <w:t>1.1.4 本招标项目名称：见投标人须知前附表。</w:t>
      </w:r>
    </w:p>
    <w:p>
      <w:pPr>
        <w:spacing w:line="400" w:lineRule="exact"/>
        <w:ind w:firstLine="420" w:firstLineChars="200"/>
      </w:pPr>
      <w:r>
        <w:rPr>
          <w:rFonts w:hint="eastAsia"/>
        </w:rPr>
        <w:t>1.1.5 本招标项目建设地点：见投标人须知前附表。</w:t>
      </w:r>
    </w:p>
    <w:p>
      <w:pPr>
        <w:pStyle w:val="4"/>
      </w:pPr>
      <w:bookmarkStart w:id="72" w:name="_Toc144974499"/>
      <w:bookmarkStart w:id="73" w:name="_Toc246996177"/>
      <w:bookmarkStart w:id="74" w:name="_Toc152045531"/>
      <w:bookmarkStart w:id="75" w:name="_Toc296602422"/>
      <w:bookmarkStart w:id="76" w:name="_Toc179632548"/>
      <w:bookmarkStart w:id="77" w:name="_Toc246996920"/>
      <w:bookmarkStart w:id="78" w:name="_Toc247085691"/>
      <w:bookmarkStart w:id="79" w:name="_Toc152042307"/>
      <w:r>
        <w:rPr>
          <w:rFonts w:hint="eastAsia"/>
        </w:rPr>
        <w:t>1.2 资金来源和落实情况</w:t>
      </w:r>
      <w:bookmarkEnd w:id="72"/>
      <w:bookmarkEnd w:id="73"/>
      <w:bookmarkEnd w:id="74"/>
      <w:bookmarkEnd w:id="75"/>
      <w:bookmarkEnd w:id="76"/>
      <w:bookmarkEnd w:id="77"/>
      <w:bookmarkEnd w:id="78"/>
      <w:bookmarkEnd w:id="79"/>
    </w:p>
    <w:p>
      <w:pPr>
        <w:spacing w:line="400" w:lineRule="exact"/>
        <w:ind w:firstLine="420" w:firstLineChars="200"/>
      </w:pPr>
      <w:r>
        <w:rPr>
          <w:rFonts w:hint="eastAsia"/>
        </w:rPr>
        <w:t>1.2.1 本招标项目的资金来源及出资比例：见投标人须知前附表。</w:t>
      </w:r>
    </w:p>
    <w:p>
      <w:pPr>
        <w:spacing w:line="400" w:lineRule="exact"/>
        <w:ind w:firstLine="420" w:firstLineChars="200"/>
      </w:pPr>
      <w:r>
        <w:rPr>
          <w:rFonts w:hint="eastAsia"/>
        </w:rPr>
        <w:t>1.2.2 本招标项目的资金落实情况：见投标人须知前附表。</w:t>
      </w:r>
    </w:p>
    <w:p>
      <w:pPr>
        <w:pStyle w:val="4"/>
      </w:pPr>
      <w:bookmarkStart w:id="80" w:name="_Toc246996178"/>
      <w:bookmarkStart w:id="81" w:name="_Toc144974500"/>
      <w:bookmarkStart w:id="82" w:name="_Toc179632549"/>
      <w:bookmarkStart w:id="83" w:name="_Toc296602423"/>
      <w:bookmarkStart w:id="84" w:name="_Toc152042308"/>
      <w:bookmarkStart w:id="85" w:name="_Toc152045532"/>
      <w:bookmarkStart w:id="86" w:name="_Toc247085692"/>
      <w:bookmarkStart w:id="87" w:name="_Toc246996921"/>
      <w:r>
        <w:rPr>
          <w:rFonts w:hint="eastAsia"/>
        </w:rPr>
        <w:t>1.3 招标范围、计划</w:t>
      </w:r>
      <w:r>
        <w:rPr>
          <w:rFonts w:hint="eastAsia"/>
          <w:lang w:eastAsia="zh-CN"/>
        </w:rPr>
        <w:t>供货期</w:t>
      </w:r>
      <w:r>
        <w:rPr>
          <w:rFonts w:hint="eastAsia"/>
        </w:rPr>
        <w:t>、质量要求</w:t>
      </w:r>
      <w:bookmarkEnd w:id="80"/>
      <w:bookmarkEnd w:id="81"/>
      <w:bookmarkEnd w:id="82"/>
      <w:bookmarkEnd w:id="83"/>
      <w:bookmarkEnd w:id="84"/>
      <w:bookmarkEnd w:id="85"/>
      <w:bookmarkEnd w:id="86"/>
      <w:bookmarkEnd w:id="87"/>
    </w:p>
    <w:p>
      <w:pPr>
        <w:spacing w:line="400" w:lineRule="exact"/>
        <w:ind w:firstLine="420" w:firstLineChars="200"/>
      </w:pPr>
      <w:r>
        <w:rPr>
          <w:rFonts w:hint="eastAsia"/>
        </w:rPr>
        <w:t>1.3.1 本次招标范围：见投标人须知前附表。</w:t>
      </w:r>
    </w:p>
    <w:p>
      <w:pPr>
        <w:spacing w:line="400" w:lineRule="exact"/>
        <w:ind w:firstLine="420" w:firstLineChars="200"/>
      </w:pPr>
      <w:r>
        <w:rPr>
          <w:rFonts w:hint="eastAsia"/>
        </w:rPr>
        <w:t>1.3.2 本招标项目的计划</w:t>
      </w:r>
      <w:r>
        <w:rPr>
          <w:rFonts w:hint="eastAsia"/>
          <w:lang w:eastAsia="zh-CN"/>
        </w:rPr>
        <w:t>供货期</w:t>
      </w:r>
      <w:r>
        <w:rPr>
          <w:rFonts w:hint="eastAsia"/>
        </w:rPr>
        <w:t>：见投标人须知前附表。</w:t>
      </w:r>
    </w:p>
    <w:p>
      <w:pPr>
        <w:spacing w:line="400" w:lineRule="exact"/>
        <w:ind w:firstLine="420" w:firstLineChars="200"/>
      </w:pPr>
      <w:r>
        <w:rPr>
          <w:rFonts w:hint="eastAsia"/>
        </w:rPr>
        <w:t>1.3.3 本招标项目的质量要求：见投标人须知前附表。</w:t>
      </w:r>
    </w:p>
    <w:p>
      <w:pPr>
        <w:pStyle w:val="4"/>
      </w:pPr>
      <w:bookmarkStart w:id="88" w:name="_Toc247085693"/>
      <w:bookmarkStart w:id="89" w:name="_Toc246996179"/>
      <w:bookmarkStart w:id="90" w:name="_Toc296602424"/>
      <w:bookmarkStart w:id="91" w:name="_Toc152045534"/>
      <w:bookmarkStart w:id="92" w:name="_Toc144974502"/>
      <w:bookmarkStart w:id="93" w:name="_Toc246996922"/>
      <w:bookmarkStart w:id="94" w:name="_Toc152042310"/>
      <w:bookmarkStart w:id="95" w:name="_Toc179632551"/>
      <w:r>
        <w:rPr>
          <w:rFonts w:hint="eastAsia"/>
        </w:rPr>
        <w:t>1.4 投标人资格要求</w:t>
      </w:r>
      <w:bookmarkEnd w:id="88"/>
      <w:bookmarkEnd w:id="89"/>
      <w:bookmarkEnd w:id="90"/>
      <w:bookmarkEnd w:id="91"/>
      <w:bookmarkEnd w:id="92"/>
      <w:bookmarkEnd w:id="93"/>
      <w:bookmarkEnd w:id="94"/>
      <w:bookmarkEnd w:id="95"/>
    </w:p>
    <w:p>
      <w:pPr>
        <w:spacing w:line="400" w:lineRule="exact"/>
        <w:ind w:firstLine="359" w:firstLineChars="171"/>
      </w:pPr>
      <w:r>
        <w:rPr>
          <w:rFonts w:hint="eastAsia"/>
        </w:rPr>
        <w:t>1.4.1 投标人应具备承担本项目施工的资质条件、能力和信誉。</w:t>
      </w:r>
    </w:p>
    <w:p>
      <w:pPr>
        <w:spacing w:line="400" w:lineRule="exact"/>
        <w:ind w:firstLine="359" w:firstLineChars="171"/>
      </w:pPr>
      <w:r>
        <w:rPr>
          <w:rFonts w:hint="eastAsia"/>
        </w:rPr>
        <w:t>（1）资质条件：见投标人须知前附表；</w:t>
      </w:r>
    </w:p>
    <w:p>
      <w:pPr>
        <w:spacing w:line="400" w:lineRule="exact"/>
        <w:ind w:firstLine="359" w:firstLineChars="171"/>
      </w:pPr>
      <w:r>
        <w:rPr>
          <w:rFonts w:hint="eastAsia"/>
        </w:rPr>
        <w:t>（</w:t>
      </w:r>
      <w:r>
        <w:rPr>
          <w:rFonts w:hint="eastAsia"/>
          <w:lang w:val="en-US" w:eastAsia="zh-CN"/>
        </w:rPr>
        <w:t>2</w:t>
      </w:r>
      <w:r>
        <w:rPr>
          <w:rFonts w:hint="eastAsia"/>
        </w:rPr>
        <w:t>）财务要求：见投标人须知前附表；</w:t>
      </w:r>
    </w:p>
    <w:p>
      <w:pPr>
        <w:spacing w:line="400" w:lineRule="exact"/>
        <w:ind w:firstLine="359" w:firstLineChars="171"/>
      </w:pPr>
      <w:r>
        <w:rPr>
          <w:rFonts w:hint="eastAsia"/>
        </w:rPr>
        <w:t>（</w:t>
      </w:r>
      <w:r>
        <w:rPr>
          <w:rFonts w:hint="eastAsia"/>
          <w:lang w:val="en-US" w:eastAsia="zh-CN"/>
        </w:rPr>
        <w:t>3</w:t>
      </w:r>
      <w:r>
        <w:rPr>
          <w:rFonts w:hint="eastAsia"/>
        </w:rPr>
        <w:t>）业绩要求：见投标人须知前附表；</w:t>
      </w:r>
    </w:p>
    <w:p>
      <w:pPr>
        <w:spacing w:line="400" w:lineRule="exact"/>
        <w:ind w:firstLine="359" w:firstLineChars="171"/>
      </w:pPr>
      <w:r>
        <w:rPr>
          <w:rFonts w:hint="eastAsia"/>
        </w:rPr>
        <w:t>（</w:t>
      </w:r>
      <w:r>
        <w:rPr>
          <w:rFonts w:hint="eastAsia"/>
          <w:lang w:val="en-US" w:eastAsia="zh-CN"/>
        </w:rPr>
        <w:t>4</w:t>
      </w:r>
      <w:r>
        <w:rPr>
          <w:rFonts w:hint="eastAsia"/>
        </w:rPr>
        <w:t>）其他要求：见投标人须知前附表。</w:t>
      </w:r>
    </w:p>
    <w:p>
      <w:pPr>
        <w:spacing w:line="400" w:lineRule="exact"/>
        <w:ind w:firstLine="359" w:firstLineChars="171"/>
      </w:pPr>
      <w:r>
        <w:rPr>
          <w:rFonts w:hint="eastAsia"/>
        </w:rPr>
        <w:t>1.4.2 投标人不得存在下列情形之一：</w:t>
      </w:r>
    </w:p>
    <w:p>
      <w:pPr>
        <w:spacing w:line="400" w:lineRule="exact"/>
        <w:ind w:firstLine="359" w:firstLineChars="171"/>
      </w:pPr>
      <w:r>
        <w:rPr>
          <w:rFonts w:hint="eastAsia"/>
        </w:rPr>
        <w:t>（1）为招标人不具有独立法人资格的附属机构（单位）；</w:t>
      </w:r>
    </w:p>
    <w:p>
      <w:pPr>
        <w:spacing w:line="400" w:lineRule="exact"/>
        <w:ind w:firstLine="359" w:firstLineChars="171"/>
      </w:pPr>
      <w:r>
        <w:rPr>
          <w:rFonts w:hint="eastAsia"/>
        </w:rPr>
        <w:t xml:space="preserve">（2）为本招标项目前期准备提供设计或咨询服务的； </w:t>
      </w:r>
    </w:p>
    <w:p>
      <w:pPr>
        <w:spacing w:line="400" w:lineRule="exact"/>
        <w:ind w:firstLine="359" w:firstLineChars="171"/>
      </w:pPr>
      <w:r>
        <w:rPr>
          <w:rFonts w:hint="eastAsia"/>
        </w:rPr>
        <w:t>（3）为本招标项目的监理人；</w:t>
      </w:r>
    </w:p>
    <w:p>
      <w:pPr>
        <w:spacing w:line="400" w:lineRule="exact"/>
        <w:ind w:firstLine="359" w:firstLineChars="171"/>
      </w:pPr>
      <w:r>
        <w:rPr>
          <w:rFonts w:hint="eastAsia"/>
        </w:rPr>
        <w:t xml:space="preserve">（4）为本招标项目的代建人； </w:t>
      </w:r>
    </w:p>
    <w:p>
      <w:pPr>
        <w:spacing w:line="400" w:lineRule="exact"/>
        <w:ind w:firstLine="359" w:firstLineChars="171"/>
      </w:pPr>
      <w:r>
        <w:rPr>
          <w:rFonts w:hint="eastAsia"/>
        </w:rPr>
        <w:t xml:space="preserve">（5）为本招标项目提供招标代理服务的； </w:t>
      </w:r>
    </w:p>
    <w:p>
      <w:pPr>
        <w:spacing w:line="400" w:lineRule="exact"/>
        <w:ind w:firstLine="359" w:firstLineChars="171"/>
      </w:pPr>
      <w:r>
        <w:rPr>
          <w:rFonts w:hint="eastAsia"/>
        </w:rPr>
        <w:t>（6）与本招标项目的监理人或代建人或招标代理机构同为一个法定代表人的；</w:t>
      </w:r>
    </w:p>
    <w:p>
      <w:pPr>
        <w:spacing w:line="400" w:lineRule="exact"/>
        <w:ind w:firstLine="359" w:firstLineChars="171"/>
      </w:pPr>
      <w:r>
        <w:rPr>
          <w:rFonts w:hint="eastAsia"/>
        </w:rPr>
        <w:t>（7）与本招标项目的监理人或代建人或招标代理机构相互控股或参股的；</w:t>
      </w:r>
    </w:p>
    <w:p>
      <w:pPr>
        <w:spacing w:line="400" w:lineRule="exact"/>
        <w:ind w:firstLine="359" w:firstLineChars="171"/>
      </w:pPr>
      <w:r>
        <w:rPr>
          <w:rFonts w:hint="eastAsia"/>
        </w:rPr>
        <w:t>（8）与本招标项目的监理人或代建人或招标代理机构相互任职或工作的；</w:t>
      </w:r>
    </w:p>
    <w:p>
      <w:pPr>
        <w:spacing w:line="400" w:lineRule="exact"/>
        <w:ind w:firstLine="359" w:firstLineChars="171"/>
      </w:pPr>
      <w:r>
        <w:rPr>
          <w:rFonts w:hint="eastAsia"/>
        </w:rPr>
        <w:t xml:space="preserve">（9）被责令停业的； </w:t>
      </w:r>
    </w:p>
    <w:p>
      <w:pPr>
        <w:spacing w:line="400" w:lineRule="exact"/>
        <w:ind w:firstLine="359" w:firstLineChars="171"/>
      </w:pPr>
      <w:r>
        <w:rPr>
          <w:rFonts w:hint="eastAsia"/>
        </w:rPr>
        <w:t xml:space="preserve">（10）被暂停或取消投标资格的； </w:t>
      </w:r>
    </w:p>
    <w:p>
      <w:pPr>
        <w:spacing w:line="400" w:lineRule="exact"/>
        <w:ind w:firstLine="359" w:firstLineChars="171"/>
      </w:pPr>
      <w:r>
        <w:rPr>
          <w:rFonts w:hint="eastAsia"/>
        </w:rPr>
        <w:t>（11）财产被接管或冻结的；</w:t>
      </w:r>
    </w:p>
    <w:p>
      <w:pPr>
        <w:pStyle w:val="4"/>
      </w:pPr>
      <w:bookmarkStart w:id="96" w:name="_Toc246996180"/>
      <w:bookmarkStart w:id="97" w:name="_Toc144974503"/>
      <w:bookmarkStart w:id="98" w:name="_Toc179632552"/>
      <w:bookmarkStart w:id="99" w:name="_Toc152042311"/>
      <w:bookmarkStart w:id="100" w:name="_Toc296602425"/>
      <w:bookmarkStart w:id="101" w:name="_Toc246996923"/>
      <w:bookmarkStart w:id="102" w:name="_Toc247085694"/>
      <w:bookmarkStart w:id="103" w:name="_Toc152045535"/>
      <w:r>
        <w:rPr>
          <w:rFonts w:hint="eastAsia"/>
        </w:rPr>
        <w:t>1.5 费用承担</w:t>
      </w:r>
      <w:bookmarkEnd w:id="96"/>
      <w:bookmarkEnd w:id="97"/>
      <w:bookmarkEnd w:id="98"/>
      <w:bookmarkEnd w:id="99"/>
      <w:bookmarkEnd w:id="100"/>
      <w:bookmarkEnd w:id="101"/>
      <w:bookmarkEnd w:id="102"/>
      <w:bookmarkEnd w:id="103"/>
    </w:p>
    <w:p>
      <w:pPr>
        <w:spacing w:line="400" w:lineRule="exact"/>
        <w:ind w:firstLine="420" w:firstLineChars="200"/>
      </w:pPr>
      <w:r>
        <w:rPr>
          <w:rFonts w:hint="eastAsia"/>
        </w:rPr>
        <w:t>投标人准备和参加投标活动发生的费用自理。</w:t>
      </w:r>
    </w:p>
    <w:p>
      <w:pPr>
        <w:pStyle w:val="4"/>
      </w:pPr>
      <w:bookmarkStart w:id="104" w:name="_Toc144974504"/>
      <w:bookmarkStart w:id="105" w:name="_Toc246996924"/>
      <w:bookmarkStart w:id="106" w:name="_Toc246996181"/>
      <w:bookmarkStart w:id="107" w:name="_Toc152042312"/>
      <w:bookmarkStart w:id="108" w:name="_Toc179632553"/>
      <w:bookmarkStart w:id="109" w:name="_Toc247085695"/>
      <w:bookmarkStart w:id="110" w:name="_Toc296602426"/>
      <w:bookmarkStart w:id="111" w:name="_Toc152045536"/>
      <w:r>
        <w:rPr>
          <w:rFonts w:hint="eastAsia"/>
        </w:rPr>
        <w:t>1.6 保密</w:t>
      </w:r>
      <w:bookmarkEnd w:id="104"/>
      <w:bookmarkEnd w:id="105"/>
      <w:bookmarkEnd w:id="106"/>
      <w:bookmarkEnd w:id="107"/>
      <w:bookmarkEnd w:id="108"/>
      <w:bookmarkEnd w:id="109"/>
      <w:bookmarkEnd w:id="110"/>
      <w:bookmarkEnd w:id="111"/>
    </w:p>
    <w:p>
      <w:pPr>
        <w:spacing w:line="400" w:lineRule="exact"/>
        <w:ind w:firstLine="420" w:firstLineChars="200"/>
      </w:pPr>
      <w:r>
        <w:rPr>
          <w:rFonts w:hint="eastAsia"/>
        </w:rPr>
        <w:t xml:space="preserve">参与招标投标活动的各方应对招标文件和投标文件中的商业和技术等秘密保密，违者应对由此造成的后果承担法律责任。 </w:t>
      </w:r>
    </w:p>
    <w:p>
      <w:pPr>
        <w:pStyle w:val="4"/>
      </w:pPr>
      <w:bookmarkStart w:id="112" w:name="_Toc144974505"/>
      <w:bookmarkStart w:id="113" w:name="_Toc246996925"/>
      <w:bookmarkStart w:id="114" w:name="_Toc152042313"/>
      <w:bookmarkStart w:id="115" w:name="_Toc296602427"/>
      <w:bookmarkStart w:id="116" w:name="_Toc179632554"/>
      <w:bookmarkStart w:id="117" w:name="_Toc247085696"/>
      <w:bookmarkStart w:id="118" w:name="_Toc152045537"/>
      <w:bookmarkStart w:id="119" w:name="_Toc246996182"/>
      <w:r>
        <w:rPr>
          <w:rFonts w:hint="eastAsia"/>
        </w:rPr>
        <w:t>1.7 语言</w:t>
      </w:r>
      <w:bookmarkEnd w:id="112"/>
      <w:r>
        <w:rPr>
          <w:rFonts w:hint="eastAsia"/>
        </w:rPr>
        <w:t>文字</w:t>
      </w:r>
      <w:bookmarkEnd w:id="113"/>
      <w:bookmarkEnd w:id="114"/>
      <w:bookmarkEnd w:id="115"/>
      <w:bookmarkEnd w:id="116"/>
      <w:bookmarkEnd w:id="117"/>
      <w:bookmarkEnd w:id="118"/>
      <w:bookmarkEnd w:id="119"/>
    </w:p>
    <w:p>
      <w:pPr>
        <w:spacing w:line="400" w:lineRule="exact"/>
        <w:ind w:firstLine="420" w:firstLineChars="200"/>
      </w:pPr>
      <w:bookmarkStart w:id="120" w:name="_Toc144974506"/>
      <w:bookmarkStart w:id="121" w:name="_Toc246996183"/>
      <w:bookmarkStart w:id="122" w:name="_Toc179632555"/>
      <w:bookmarkStart w:id="123" w:name="_Toc152042314"/>
      <w:bookmarkStart w:id="124" w:name="_Toc246996926"/>
      <w:bookmarkStart w:id="125" w:name="_Toc152045538"/>
      <w:bookmarkStart w:id="126" w:name="_Toc247085697"/>
      <w:r>
        <w:rPr>
          <w:rFonts w:hint="eastAsia"/>
        </w:rPr>
        <w:t>招标投标文件使用的语言文字为中文。专用术语使用外文的，应附有中文注释。</w:t>
      </w:r>
    </w:p>
    <w:p>
      <w:pPr>
        <w:pStyle w:val="4"/>
      </w:pPr>
      <w:bookmarkStart w:id="127" w:name="_Toc296602428"/>
      <w:r>
        <w:rPr>
          <w:rFonts w:hint="eastAsia"/>
        </w:rPr>
        <w:t>1.8 计量单位</w:t>
      </w:r>
      <w:bookmarkEnd w:id="120"/>
      <w:bookmarkEnd w:id="121"/>
      <w:bookmarkEnd w:id="122"/>
      <w:bookmarkEnd w:id="123"/>
      <w:bookmarkEnd w:id="124"/>
      <w:bookmarkEnd w:id="125"/>
      <w:bookmarkEnd w:id="126"/>
      <w:bookmarkEnd w:id="127"/>
    </w:p>
    <w:p>
      <w:pPr>
        <w:spacing w:line="400" w:lineRule="exact"/>
        <w:ind w:firstLine="420" w:firstLineChars="200"/>
      </w:pPr>
      <w:r>
        <w:rPr>
          <w:rFonts w:hint="eastAsia"/>
        </w:rPr>
        <w:t>所有计量均采用中华人民共和国法定计量单位。</w:t>
      </w:r>
    </w:p>
    <w:p>
      <w:pPr>
        <w:pStyle w:val="4"/>
      </w:pPr>
      <w:bookmarkStart w:id="128" w:name="_Toc144974507"/>
      <w:bookmarkStart w:id="129" w:name="_Toc296602429"/>
      <w:bookmarkStart w:id="130" w:name="_Toc247513962"/>
      <w:bookmarkStart w:id="131" w:name="_Toc152042315"/>
      <w:bookmarkStart w:id="132" w:name="_Toc247592876"/>
      <w:bookmarkStart w:id="133" w:name="_Toc152045539"/>
      <w:bookmarkStart w:id="134" w:name="_Toc247527563"/>
      <w:r>
        <w:rPr>
          <w:rFonts w:hint="eastAsia"/>
        </w:rPr>
        <w:t>1.9 踏勘现场</w:t>
      </w:r>
      <w:bookmarkEnd w:id="128"/>
      <w:bookmarkEnd w:id="129"/>
      <w:bookmarkEnd w:id="130"/>
      <w:bookmarkEnd w:id="131"/>
      <w:bookmarkEnd w:id="132"/>
      <w:bookmarkEnd w:id="133"/>
      <w:bookmarkEnd w:id="134"/>
    </w:p>
    <w:p>
      <w:pPr>
        <w:spacing w:line="400" w:lineRule="exact"/>
        <w:ind w:firstLine="420" w:firstLineChars="200"/>
      </w:pPr>
      <w:r>
        <w:rPr>
          <w:rFonts w:hint="eastAsia"/>
        </w:rPr>
        <w:t xml:space="preserve">1.9.1 投标人须知前附表规定组织踏勘现场的，招标人按投标人须知前附表规定的时间、地点组织投标人踏勘项目现场。 </w:t>
      </w:r>
    </w:p>
    <w:p>
      <w:pPr>
        <w:spacing w:line="400" w:lineRule="exact"/>
        <w:ind w:firstLine="420" w:firstLineChars="200"/>
      </w:pPr>
      <w:r>
        <w:rPr>
          <w:rFonts w:hint="eastAsia"/>
        </w:rPr>
        <w:t>1.9.2 投标人踏勘现场发生的费用自理。</w:t>
      </w:r>
    </w:p>
    <w:p>
      <w:pPr>
        <w:spacing w:line="400" w:lineRule="exact"/>
        <w:ind w:firstLine="420" w:firstLineChars="200"/>
      </w:pPr>
      <w:r>
        <w:rPr>
          <w:rFonts w:hint="eastAsia"/>
        </w:rPr>
        <w:t>1.9.3 除招标人的原因外，投标人自行负责在踏勘现场中所发生的人员伤亡和财产损失。</w:t>
      </w:r>
    </w:p>
    <w:p>
      <w:pPr>
        <w:spacing w:line="400" w:lineRule="exact"/>
        <w:ind w:firstLine="420" w:firstLineChars="200"/>
      </w:pPr>
      <w:r>
        <w:rPr>
          <w:rFonts w:hint="eastAsia"/>
        </w:rPr>
        <w:t>1.9.4 招标人在踏勘现场中介绍的工程场地和相关的周边环境情况，供投标人在编制投标文件时参考，招标人不对投标人据此作出的判断和决策负责。</w:t>
      </w:r>
    </w:p>
    <w:p>
      <w:pPr>
        <w:pStyle w:val="4"/>
      </w:pPr>
      <w:bookmarkStart w:id="135" w:name="_Toc247513963"/>
      <w:bookmarkStart w:id="136" w:name="_Toc152045540"/>
      <w:bookmarkStart w:id="137" w:name="_Toc144974508"/>
      <w:bookmarkStart w:id="138" w:name="_Toc247527564"/>
      <w:bookmarkStart w:id="139" w:name="_Toc152042316"/>
      <w:bookmarkStart w:id="140" w:name="_Toc296602430"/>
      <w:bookmarkStart w:id="141" w:name="_Toc247592877"/>
      <w:r>
        <w:rPr>
          <w:rFonts w:hint="eastAsia"/>
        </w:rPr>
        <w:t>1.10 投标预备会</w:t>
      </w:r>
      <w:bookmarkEnd w:id="135"/>
      <w:bookmarkEnd w:id="136"/>
      <w:bookmarkEnd w:id="137"/>
      <w:bookmarkEnd w:id="138"/>
      <w:bookmarkEnd w:id="139"/>
      <w:bookmarkEnd w:id="140"/>
      <w:bookmarkEnd w:id="141"/>
    </w:p>
    <w:p>
      <w:pPr>
        <w:spacing w:line="400" w:lineRule="exact"/>
        <w:ind w:firstLine="420" w:firstLineChars="200"/>
      </w:pPr>
      <w:r>
        <w:rPr>
          <w:rFonts w:hint="eastAsia"/>
        </w:rPr>
        <w:t>1.10.1 投标人须知前附表规定召开投标预备会的，招标人按投标人须知前附表规定的时间和地点召开投标预备会，澄清投标人提出的问题。</w:t>
      </w:r>
    </w:p>
    <w:p>
      <w:pPr>
        <w:spacing w:line="400" w:lineRule="exact"/>
        <w:ind w:firstLine="420" w:firstLineChars="200"/>
      </w:pPr>
      <w:r>
        <w:rPr>
          <w:rFonts w:hint="eastAsia"/>
        </w:rPr>
        <w:t>1.10.2 投标人应在投标人须知前附表规定的时间前，以书面形式将提出的问题送达招标人，以便招标人在会议期间澄清。</w:t>
      </w:r>
    </w:p>
    <w:p>
      <w:pPr>
        <w:spacing w:line="400" w:lineRule="exact"/>
        <w:ind w:firstLine="420" w:firstLineChars="200"/>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Pr>
      <w:bookmarkStart w:id="142" w:name="_Toc296602431"/>
      <w:r>
        <w:rPr>
          <w:rFonts w:hint="eastAsia"/>
        </w:rPr>
        <w:t>1.11 偏离</w:t>
      </w:r>
      <w:bookmarkEnd w:id="142"/>
    </w:p>
    <w:p>
      <w:pPr>
        <w:spacing w:line="400" w:lineRule="exact"/>
        <w:ind w:firstLine="420" w:firstLineChars="200"/>
      </w:pPr>
      <w:r>
        <w:rPr>
          <w:rFonts w:hint="eastAsia"/>
        </w:rPr>
        <w:t>投标人须知前附表允许投标文件偏离招标文件某些要求的，偏离应当符合招标文件规定的偏离范围和幅度。</w:t>
      </w:r>
    </w:p>
    <w:p>
      <w:pPr>
        <w:pStyle w:val="3"/>
      </w:pPr>
      <w:bookmarkStart w:id="143" w:name="_Toc179632560"/>
      <w:bookmarkStart w:id="144" w:name="_Toc152045542"/>
      <w:bookmarkStart w:id="145" w:name="_Toc296602432"/>
      <w:bookmarkStart w:id="146" w:name="_Toc144974510"/>
      <w:bookmarkStart w:id="147" w:name="_Toc152042318"/>
      <w:bookmarkStart w:id="148" w:name="_Toc246996930"/>
      <w:bookmarkStart w:id="149" w:name="_Toc247085701"/>
      <w:bookmarkStart w:id="150" w:name="_Toc246996187"/>
      <w:r>
        <w:rPr>
          <w:rFonts w:hint="eastAsia"/>
        </w:rPr>
        <w:t>2. 招标文件</w:t>
      </w:r>
      <w:bookmarkEnd w:id="143"/>
      <w:bookmarkEnd w:id="144"/>
      <w:bookmarkEnd w:id="145"/>
      <w:bookmarkEnd w:id="146"/>
      <w:bookmarkEnd w:id="147"/>
      <w:bookmarkEnd w:id="148"/>
      <w:bookmarkEnd w:id="149"/>
      <w:bookmarkEnd w:id="150"/>
    </w:p>
    <w:p>
      <w:pPr>
        <w:pStyle w:val="4"/>
      </w:pPr>
      <w:bookmarkStart w:id="151" w:name="_Toc144974511"/>
      <w:bookmarkStart w:id="152" w:name="_Toc179632561"/>
      <w:bookmarkStart w:id="153" w:name="_Toc247085702"/>
      <w:bookmarkStart w:id="154" w:name="_Toc152045543"/>
      <w:bookmarkStart w:id="155" w:name="_Toc246996188"/>
      <w:bookmarkStart w:id="156" w:name="_Toc246996931"/>
      <w:bookmarkStart w:id="157" w:name="_Toc296602433"/>
      <w:bookmarkStart w:id="158" w:name="_Toc152042319"/>
      <w:r>
        <w:rPr>
          <w:rFonts w:hint="eastAsia"/>
        </w:rPr>
        <w:t>2.1 招标文件的组成</w:t>
      </w:r>
      <w:bookmarkEnd w:id="151"/>
      <w:bookmarkEnd w:id="152"/>
      <w:bookmarkEnd w:id="153"/>
      <w:bookmarkEnd w:id="154"/>
      <w:bookmarkEnd w:id="155"/>
      <w:bookmarkEnd w:id="156"/>
      <w:bookmarkEnd w:id="157"/>
      <w:bookmarkEnd w:id="158"/>
    </w:p>
    <w:p>
      <w:pPr>
        <w:spacing w:line="400" w:lineRule="exact"/>
      </w:pPr>
      <w:r>
        <w:rPr>
          <w:rFonts w:hint="eastAsia"/>
        </w:rPr>
        <w:t>　　2.1.1 本招标文件包括：</w:t>
      </w:r>
    </w:p>
    <w:p>
      <w:pPr>
        <w:spacing w:line="400" w:lineRule="exact"/>
        <w:ind w:firstLine="359" w:firstLineChars="171"/>
        <w:rPr>
          <w:rFonts w:hint="eastAsia" w:eastAsia="宋体"/>
          <w:lang w:eastAsia="zh-CN"/>
        </w:rPr>
      </w:pPr>
      <w:r>
        <w:rPr>
          <w:rFonts w:hint="eastAsia"/>
        </w:rPr>
        <w:t>（1）招标公告</w:t>
      </w:r>
      <w:r>
        <w:rPr>
          <w:rFonts w:hint="eastAsia"/>
          <w:lang w:eastAsia="zh-CN"/>
        </w:rPr>
        <w:t>；</w:t>
      </w:r>
    </w:p>
    <w:p>
      <w:pPr>
        <w:spacing w:line="400" w:lineRule="exact"/>
        <w:ind w:firstLine="359" w:firstLineChars="171"/>
      </w:pPr>
      <w:r>
        <w:rPr>
          <w:rFonts w:hint="eastAsia"/>
        </w:rPr>
        <w:t>（2）投标人须知；</w:t>
      </w:r>
    </w:p>
    <w:p>
      <w:pPr>
        <w:spacing w:line="400" w:lineRule="exact"/>
        <w:ind w:firstLine="359" w:firstLineChars="171"/>
      </w:pPr>
      <w:r>
        <w:rPr>
          <w:rFonts w:hint="eastAsia"/>
        </w:rPr>
        <w:t>（3）评标办法；</w:t>
      </w:r>
    </w:p>
    <w:p>
      <w:pPr>
        <w:spacing w:line="400" w:lineRule="exact"/>
        <w:ind w:firstLine="359" w:firstLineChars="171"/>
        <w:rPr>
          <w:rFonts w:hint="eastAsia"/>
        </w:rPr>
      </w:pPr>
      <w:r>
        <w:rPr>
          <w:rFonts w:hint="eastAsia"/>
        </w:rPr>
        <w:t xml:space="preserve">（4）合同条款及格式； </w:t>
      </w:r>
    </w:p>
    <w:p>
      <w:pPr>
        <w:spacing w:line="400" w:lineRule="exact"/>
        <w:ind w:firstLine="359" w:firstLineChars="171"/>
        <w:rPr>
          <w:rFonts w:hint="eastAsia" w:eastAsia="宋体"/>
          <w:lang w:eastAsia="zh-CN"/>
        </w:rPr>
      </w:pPr>
      <w:r>
        <w:rPr>
          <w:rFonts w:hint="eastAsia"/>
        </w:rPr>
        <w:t>（</w:t>
      </w:r>
      <w:r>
        <w:rPr>
          <w:rFonts w:hint="eastAsia"/>
          <w:lang w:val="en-US" w:eastAsia="zh-CN"/>
        </w:rPr>
        <w:t>5</w:t>
      </w:r>
      <w:r>
        <w:rPr>
          <w:rFonts w:hint="eastAsia"/>
        </w:rPr>
        <w:t>）</w:t>
      </w:r>
      <w:r>
        <w:rPr>
          <w:rFonts w:hint="eastAsia"/>
          <w:lang w:val="en-US" w:eastAsia="zh-CN"/>
        </w:rPr>
        <w:t>商务标总报价；</w:t>
      </w:r>
    </w:p>
    <w:p>
      <w:pPr>
        <w:spacing w:line="400" w:lineRule="exact"/>
        <w:ind w:firstLine="359" w:firstLineChars="171"/>
      </w:pPr>
      <w:r>
        <w:rPr>
          <w:rFonts w:hint="eastAsia"/>
        </w:rPr>
        <w:t>（</w:t>
      </w:r>
      <w:r>
        <w:rPr>
          <w:rFonts w:hint="eastAsia"/>
          <w:lang w:val="en-US" w:eastAsia="zh-CN"/>
        </w:rPr>
        <w:t>6</w:t>
      </w:r>
      <w:r>
        <w:rPr>
          <w:rFonts w:hint="eastAsia"/>
        </w:rPr>
        <w:t>）图纸；</w:t>
      </w:r>
    </w:p>
    <w:p>
      <w:pPr>
        <w:spacing w:line="400" w:lineRule="exact"/>
        <w:ind w:firstLine="359" w:firstLineChars="171"/>
      </w:pPr>
      <w:r>
        <w:rPr>
          <w:rFonts w:hint="eastAsia"/>
        </w:rPr>
        <w:t>（</w:t>
      </w:r>
      <w:r>
        <w:rPr>
          <w:rFonts w:hint="eastAsia"/>
          <w:lang w:val="en-US" w:eastAsia="zh-CN"/>
        </w:rPr>
        <w:t>7</w:t>
      </w:r>
      <w:r>
        <w:rPr>
          <w:rFonts w:hint="eastAsia"/>
        </w:rPr>
        <w:t>）</w:t>
      </w:r>
      <w:r>
        <w:rPr>
          <w:rFonts w:hint="eastAsia"/>
          <w:lang w:val="en-US" w:eastAsia="zh-CN"/>
        </w:rPr>
        <w:t>服务方案</w:t>
      </w:r>
      <w:r>
        <w:rPr>
          <w:rFonts w:hint="eastAsia"/>
        </w:rPr>
        <w:t>；</w:t>
      </w:r>
    </w:p>
    <w:p>
      <w:pPr>
        <w:spacing w:line="400" w:lineRule="exact"/>
        <w:ind w:firstLine="359" w:firstLineChars="171"/>
      </w:pPr>
      <w:r>
        <w:rPr>
          <w:rFonts w:hint="eastAsia"/>
        </w:rPr>
        <w:t>（</w:t>
      </w:r>
      <w:r>
        <w:rPr>
          <w:rFonts w:hint="eastAsia"/>
          <w:lang w:val="en-US" w:eastAsia="zh-CN"/>
        </w:rPr>
        <w:t>8</w:t>
      </w:r>
      <w:r>
        <w:rPr>
          <w:rFonts w:hint="eastAsia"/>
        </w:rPr>
        <w:t>）</w:t>
      </w:r>
      <w:r>
        <w:rPr>
          <w:rFonts w:hint="eastAsia"/>
          <w:lang w:val="en-US" w:eastAsia="zh-CN"/>
        </w:rPr>
        <w:t>投标文件格式</w:t>
      </w:r>
      <w:r>
        <w:rPr>
          <w:rFonts w:hint="eastAsia"/>
        </w:rPr>
        <w:t>。</w:t>
      </w:r>
    </w:p>
    <w:p>
      <w:pPr>
        <w:spacing w:line="400" w:lineRule="exact"/>
        <w:ind w:firstLine="420" w:firstLineChars="200"/>
      </w:pPr>
      <w:r>
        <w:rPr>
          <w:rFonts w:hint="eastAsia"/>
        </w:rPr>
        <w:t>2.1.2 根据本章第1.10款、第2.2款和第2.3款对招标文件所作的澄清、修改，构成招标文件的组成部分。</w:t>
      </w:r>
    </w:p>
    <w:p>
      <w:pPr>
        <w:pStyle w:val="4"/>
      </w:pPr>
      <w:bookmarkStart w:id="159" w:name="_Toc246996189"/>
      <w:bookmarkStart w:id="160" w:name="_Toc144974512"/>
      <w:bookmarkStart w:id="161" w:name="_Toc179632562"/>
      <w:bookmarkStart w:id="162" w:name="_Toc152042320"/>
      <w:bookmarkStart w:id="163" w:name="_Toc296602434"/>
      <w:bookmarkStart w:id="164" w:name="_Toc246996932"/>
      <w:bookmarkStart w:id="165" w:name="_Toc247085703"/>
      <w:bookmarkStart w:id="166" w:name="_Toc152045544"/>
      <w:r>
        <w:rPr>
          <w:rFonts w:hint="eastAsia"/>
        </w:rPr>
        <w:t>2.2 招标文件的澄清</w:t>
      </w:r>
      <w:bookmarkEnd w:id="159"/>
      <w:bookmarkEnd w:id="160"/>
      <w:bookmarkEnd w:id="161"/>
      <w:bookmarkEnd w:id="162"/>
      <w:bookmarkEnd w:id="163"/>
      <w:bookmarkEnd w:id="164"/>
      <w:bookmarkEnd w:id="165"/>
      <w:bookmarkEnd w:id="166"/>
      <w:r>
        <w:rPr>
          <w:rFonts w:hint="eastAsia"/>
        </w:rPr>
        <w:t xml:space="preserve"> </w:t>
      </w:r>
    </w:p>
    <w:p>
      <w:pPr>
        <w:spacing w:line="400" w:lineRule="exact"/>
        <w:ind w:firstLine="420" w:firstLineChars="200"/>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spacing w:line="400" w:lineRule="exact"/>
        <w:ind w:firstLine="420" w:firstLineChars="200"/>
        <w:rPr>
          <w:rFonts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5天，并且澄清内容影响投标文件编制的，将相应延长投标截止时间。</w:t>
      </w:r>
      <w:r>
        <w:rPr>
          <w:rFonts w:hint="eastAsia" w:ascii="仿宋_GB2312" w:hAnsi="仿宋_GB2312" w:eastAsia="仿宋_GB2312"/>
          <w:sz w:val="32"/>
          <w:szCs w:val="32"/>
        </w:rPr>
        <w:t xml:space="preserve"> </w:t>
      </w:r>
    </w:p>
    <w:p>
      <w:pPr>
        <w:spacing w:line="400" w:lineRule="exact"/>
        <w:ind w:firstLine="420" w:firstLineChars="200"/>
      </w:pPr>
      <w:r>
        <w:rPr>
          <w:rFonts w:hint="eastAsia"/>
        </w:rPr>
        <w:t>2.2.3 投标人在收到澄清后，应在投标人须知前附表规定的时间内以书面形式通知招标人，确认已收到该澄清。</w:t>
      </w:r>
    </w:p>
    <w:p>
      <w:pPr>
        <w:pStyle w:val="4"/>
      </w:pPr>
      <w:bookmarkStart w:id="167" w:name="_Toc296602435"/>
      <w:bookmarkStart w:id="168" w:name="_Toc152045545"/>
      <w:bookmarkStart w:id="169" w:name="_Toc144974513"/>
      <w:bookmarkStart w:id="170" w:name="_Toc179632563"/>
      <w:bookmarkStart w:id="171" w:name="_Toc246996190"/>
      <w:bookmarkStart w:id="172" w:name="_Toc246996933"/>
      <w:bookmarkStart w:id="173" w:name="_Toc152042321"/>
      <w:bookmarkStart w:id="174" w:name="_Toc247085704"/>
      <w:r>
        <w:rPr>
          <w:rFonts w:hint="eastAsia"/>
        </w:rPr>
        <w:t>2.3 招标文件的修改</w:t>
      </w:r>
      <w:bookmarkEnd w:id="167"/>
      <w:bookmarkEnd w:id="168"/>
      <w:bookmarkEnd w:id="169"/>
      <w:bookmarkEnd w:id="170"/>
      <w:bookmarkEnd w:id="171"/>
      <w:bookmarkEnd w:id="172"/>
      <w:bookmarkEnd w:id="173"/>
      <w:bookmarkEnd w:id="174"/>
    </w:p>
    <w:p>
      <w:pPr>
        <w:spacing w:line="400" w:lineRule="exact"/>
        <w:ind w:firstLine="420" w:firstLineChars="200"/>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spacing w:line="400" w:lineRule="exact"/>
        <w:ind w:firstLine="420" w:firstLineChars="200"/>
      </w:pPr>
      <w:r>
        <w:rPr>
          <w:rFonts w:hint="eastAsia"/>
        </w:rPr>
        <w:t>2.3.2 投标人收到修改内容后，应在投标人须知前附表规定的时间内以书面形式通知招标人，确认已收到该修改。</w:t>
      </w:r>
    </w:p>
    <w:p>
      <w:pPr>
        <w:pStyle w:val="3"/>
      </w:pPr>
      <w:bookmarkStart w:id="175" w:name="_Toc144974514"/>
      <w:bookmarkStart w:id="176" w:name="_Toc152042322"/>
      <w:bookmarkStart w:id="177" w:name="_Toc152045546"/>
      <w:bookmarkStart w:id="178" w:name="_Toc246996934"/>
      <w:bookmarkStart w:id="179" w:name="_Toc179632564"/>
      <w:bookmarkStart w:id="180" w:name="_Toc247085705"/>
      <w:bookmarkStart w:id="181" w:name="_Toc296602436"/>
      <w:bookmarkStart w:id="182" w:name="_Toc246996191"/>
      <w:r>
        <w:rPr>
          <w:rFonts w:hint="eastAsia"/>
        </w:rPr>
        <w:t>3. 投标文件</w:t>
      </w:r>
      <w:bookmarkEnd w:id="175"/>
      <w:bookmarkEnd w:id="176"/>
      <w:bookmarkEnd w:id="177"/>
      <w:bookmarkEnd w:id="178"/>
      <w:bookmarkEnd w:id="179"/>
      <w:bookmarkEnd w:id="180"/>
      <w:bookmarkEnd w:id="181"/>
      <w:bookmarkEnd w:id="182"/>
    </w:p>
    <w:p>
      <w:pPr>
        <w:pStyle w:val="4"/>
      </w:pPr>
      <w:bookmarkStart w:id="183" w:name="_Toc144974515"/>
      <w:bookmarkStart w:id="184" w:name="_Toc246996192"/>
      <w:bookmarkStart w:id="185" w:name="_Toc246996935"/>
      <w:bookmarkStart w:id="186" w:name="_Toc247085706"/>
      <w:bookmarkStart w:id="187" w:name="_Toc152042323"/>
      <w:bookmarkStart w:id="188" w:name="_Toc296602437"/>
      <w:bookmarkStart w:id="189" w:name="_Toc179632565"/>
      <w:bookmarkStart w:id="190" w:name="_Toc152045547"/>
      <w:r>
        <w:rPr>
          <w:rFonts w:hint="eastAsia"/>
        </w:rPr>
        <w:t>3.1 投标文件的组成</w:t>
      </w:r>
      <w:bookmarkEnd w:id="183"/>
      <w:bookmarkEnd w:id="184"/>
      <w:bookmarkEnd w:id="185"/>
      <w:bookmarkEnd w:id="186"/>
      <w:bookmarkEnd w:id="187"/>
      <w:bookmarkEnd w:id="188"/>
      <w:bookmarkEnd w:id="189"/>
      <w:bookmarkEnd w:id="190"/>
    </w:p>
    <w:p>
      <w:pPr>
        <w:spacing w:line="400" w:lineRule="exact"/>
        <w:ind w:firstLine="420" w:firstLineChars="200"/>
      </w:pPr>
      <w:r>
        <w:rPr>
          <w:rFonts w:hint="eastAsia"/>
        </w:rPr>
        <w:t>投标文件应包括下列内容：</w:t>
      </w:r>
    </w:p>
    <w:p>
      <w:pPr>
        <w:spacing w:line="540" w:lineRule="exact"/>
      </w:pPr>
      <w:bookmarkStart w:id="191" w:name="_Toc152045548"/>
      <w:bookmarkStart w:id="192" w:name="_Toc246996936"/>
      <w:bookmarkStart w:id="193" w:name="_Toc246996193"/>
      <w:bookmarkStart w:id="194" w:name="_Toc247085707"/>
      <w:bookmarkStart w:id="195" w:name="_Toc296602438"/>
      <w:bookmarkStart w:id="196" w:name="_Toc152042324"/>
      <w:bookmarkStart w:id="197" w:name="_Toc179632566"/>
      <w:bookmarkStart w:id="198" w:name="_Toc144974516"/>
      <w:r>
        <w:rPr>
          <w:rFonts w:hint="eastAsia"/>
        </w:rPr>
        <w:t>一、投标函及投标函附录</w:t>
      </w:r>
    </w:p>
    <w:p>
      <w:pPr>
        <w:spacing w:line="540" w:lineRule="exact"/>
      </w:pPr>
      <w:r>
        <w:rPr>
          <w:rFonts w:hint="eastAsia"/>
        </w:rPr>
        <w:t>二、法定代表人身份证明</w:t>
      </w:r>
    </w:p>
    <w:p>
      <w:pPr>
        <w:spacing w:line="540" w:lineRule="exact"/>
      </w:pPr>
      <w:r>
        <w:rPr>
          <w:rFonts w:hint="eastAsia"/>
        </w:rPr>
        <w:t>二、授权委托书</w:t>
      </w:r>
    </w:p>
    <w:p>
      <w:pPr>
        <w:spacing w:line="540" w:lineRule="exact"/>
        <w:rPr>
          <w:rFonts w:hint="eastAsia" w:eastAsia="宋体"/>
          <w:lang w:eastAsia="zh-CN"/>
        </w:rPr>
      </w:pPr>
      <w:r>
        <w:rPr>
          <w:rFonts w:hint="eastAsia"/>
          <w:lang w:val="en-US" w:eastAsia="zh-CN"/>
        </w:rPr>
        <w:t>四</w:t>
      </w:r>
      <w:r>
        <w:rPr>
          <w:rFonts w:hint="eastAsia"/>
        </w:rPr>
        <w:t>、</w:t>
      </w:r>
      <w:r>
        <w:rPr>
          <w:rFonts w:hint="eastAsia"/>
          <w:lang w:val="en-US" w:eastAsia="zh-CN"/>
        </w:rPr>
        <w:t>商务标总报价</w:t>
      </w:r>
    </w:p>
    <w:p>
      <w:pPr>
        <w:spacing w:line="540" w:lineRule="exact"/>
        <w:rPr>
          <w:rFonts w:hint="eastAsia" w:eastAsia="宋体"/>
          <w:lang w:val="en-US" w:eastAsia="zh-CN"/>
        </w:rPr>
      </w:pPr>
      <w:r>
        <w:rPr>
          <w:rFonts w:hint="eastAsia"/>
          <w:lang w:val="en-US" w:eastAsia="zh-CN"/>
        </w:rPr>
        <w:t>五</w:t>
      </w:r>
      <w:r>
        <w:rPr>
          <w:rFonts w:hint="eastAsia"/>
        </w:rPr>
        <w:t>、</w:t>
      </w:r>
      <w:r>
        <w:rPr>
          <w:rFonts w:hint="eastAsia"/>
          <w:lang w:val="en-US" w:eastAsia="zh-CN"/>
        </w:rPr>
        <w:t>服务方案</w:t>
      </w:r>
    </w:p>
    <w:p>
      <w:pPr>
        <w:spacing w:line="540" w:lineRule="exact"/>
        <w:rPr>
          <w:rFonts w:hint="eastAsia"/>
          <w:lang w:val="en-US" w:eastAsia="zh-CN"/>
        </w:rPr>
      </w:pPr>
      <w:r>
        <w:rPr>
          <w:rFonts w:hint="eastAsia"/>
          <w:lang w:val="en-US" w:eastAsia="zh-CN"/>
        </w:rPr>
        <w:t>六、资格审查资料</w:t>
      </w:r>
    </w:p>
    <w:p>
      <w:pPr>
        <w:pStyle w:val="4"/>
        <w:rPr>
          <w:rFonts w:ascii="宋体" w:hAnsi="宋体"/>
          <w:sz w:val="21"/>
          <w:szCs w:val="21"/>
        </w:rPr>
      </w:pPr>
      <w:r>
        <w:rPr>
          <w:rFonts w:hint="eastAsia"/>
        </w:rPr>
        <w:t>3.2 投标报价</w:t>
      </w:r>
      <w:bookmarkEnd w:id="191"/>
      <w:bookmarkEnd w:id="192"/>
      <w:bookmarkEnd w:id="193"/>
      <w:bookmarkEnd w:id="194"/>
      <w:bookmarkEnd w:id="195"/>
      <w:bookmarkEnd w:id="196"/>
      <w:bookmarkEnd w:id="197"/>
      <w:bookmarkEnd w:id="198"/>
    </w:p>
    <w:p>
      <w:pPr>
        <w:spacing w:line="400" w:lineRule="exact"/>
        <w:ind w:firstLine="420" w:firstLineChars="200"/>
      </w:pPr>
      <w:r>
        <w:rPr>
          <w:rFonts w:hint="eastAsia"/>
          <w:highlight w:val="yellow"/>
        </w:rPr>
        <w:t>3.2.1 投标人应按第五章“</w:t>
      </w:r>
      <w:r>
        <w:rPr>
          <w:rFonts w:hint="eastAsia"/>
          <w:highlight w:val="yellow"/>
          <w:lang w:val="en-US" w:eastAsia="zh-CN"/>
        </w:rPr>
        <w:t>商务标总报价</w:t>
      </w:r>
      <w:r>
        <w:rPr>
          <w:rFonts w:hint="eastAsia"/>
          <w:highlight w:val="yellow"/>
        </w:rPr>
        <w:t>”的要求填写相应表格</w:t>
      </w:r>
      <w:r>
        <w:rPr>
          <w:rFonts w:hint="eastAsia"/>
          <w:highlight w:val="yellow"/>
          <w:lang w:val="en-US" w:eastAsia="zh-CN"/>
        </w:rPr>
        <w:t>或者直接报总价</w:t>
      </w:r>
      <w:r>
        <w:rPr>
          <w:rFonts w:hint="eastAsia"/>
        </w:rPr>
        <w:t>。</w:t>
      </w:r>
    </w:p>
    <w:p>
      <w:pPr>
        <w:spacing w:line="400" w:lineRule="exact"/>
        <w:ind w:firstLine="420" w:firstLineChars="200"/>
      </w:pPr>
      <w:r>
        <w:rPr>
          <w:rFonts w:hint="eastAsia"/>
        </w:rPr>
        <w:t>3.2.2 投标人在投标截止时间前修改投标函中的投标报价总额，此修改须符合本章第4.3款的有关要求。</w:t>
      </w:r>
      <w:bookmarkStart w:id="199" w:name="_Toc179632567"/>
      <w:bookmarkStart w:id="200" w:name="_Toc152042325"/>
      <w:bookmarkStart w:id="201" w:name="_Toc152045549"/>
      <w:bookmarkStart w:id="202" w:name="_Toc144974517"/>
    </w:p>
    <w:p>
      <w:pPr>
        <w:spacing w:line="400" w:lineRule="exact"/>
        <w:ind w:firstLine="420" w:firstLineChars="200"/>
      </w:pPr>
      <w:r>
        <w:rPr>
          <w:rFonts w:hint="eastAsia"/>
        </w:rPr>
        <w:t>3.2.3 招标人设有最高投标限价的，投标人的投标报价不得超过最高投标限价，最高投标限价或其计算方法在投标人须知前附表中载明。</w:t>
      </w:r>
    </w:p>
    <w:p>
      <w:pPr>
        <w:pStyle w:val="4"/>
      </w:pPr>
      <w:bookmarkStart w:id="203" w:name="_Toc296602439"/>
      <w:bookmarkStart w:id="204" w:name="_Toc246996194"/>
      <w:bookmarkStart w:id="205" w:name="_Toc246996937"/>
      <w:bookmarkStart w:id="206" w:name="_Toc247085708"/>
      <w:r>
        <w:rPr>
          <w:rFonts w:hint="eastAsia"/>
        </w:rPr>
        <w:t>3.3 投标有效期</w:t>
      </w:r>
      <w:bookmarkEnd w:id="199"/>
      <w:bookmarkEnd w:id="200"/>
      <w:bookmarkEnd w:id="201"/>
      <w:bookmarkEnd w:id="202"/>
      <w:bookmarkEnd w:id="203"/>
      <w:bookmarkEnd w:id="204"/>
      <w:bookmarkEnd w:id="205"/>
      <w:bookmarkEnd w:id="206"/>
    </w:p>
    <w:p>
      <w:pPr>
        <w:spacing w:line="400" w:lineRule="exact"/>
        <w:ind w:firstLine="420" w:firstLineChars="200"/>
      </w:pPr>
      <w:r>
        <w:rPr>
          <w:rFonts w:hint="eastAsia"/>
        </w:rPr>
        <w:t>3.3.1 除投标人须知前附表另有规定外，投标有效期为60天。</w:t>
      </w:r>
    </w:p>
    <w:p>
      <w:pPr>
        <w:spacing w:line="400" w:lineRule="exact"/>
        <w:ind w:firstLine="420" w:firstLineChars="200"/>
      </w:pPr>
      <w:r>
        <w:rPr>
          <w:rFonts w:hint="eastAsia"/>
        </w:rPr>
        <w:t>3.3.2在投标有效期内，投标人撤销或修改其投标文件的，应承担招标文件和法律规定的责任。</w:t>
      </w:r>
    </w:p>
    <w:p>
      <w:pPr>
        <w:spacing w:line="400" w:lineRule="exact"/>
        <w:ind w:firstLine="420" w:firstLineChars="200"/>
        <w:rPr>
          <w:rFonts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Pr>
      <w:bookmarkStart w:id="207" w:name="_Toc247085709"/>
      <w:bookmarkStart w:id="208" w:name="_Toc179632568"/>
      <w:bookmarkStart w:id="209" w:name="_Toc296602440"/>
      <w:bookmarkStart w:id="210" w:name="_Toc246996938"/>
      <w:bookmarkStart w:id="211" w:name="_Toc144974518"/>
      <w:bookmarkStart w:id="212" w:name="_Toc152045550"/>
      <w:bookmarkStart w:id="213" w:name="_Toc246996195"/>
      <w:bookmarkStart w:id="214" w:name="_Toc152042326"/>
      <w:r>
        <w:rPr>
          <w:rFonts w:hint="eastAsia"/>
        </w:rPr>
        <w:t>3.4 投标保证金</w:t>
      </w:r>
      <w:bookmarkEnd w:id="207"/>
      <w:bookmarkEnd w:id="208"/>
      <w:bookmarkEnd w:id="209"/>
      <w:bookmarkEnd w:id="210"/>
      <w:bookmarkEnd w:id="211"/>
      <w:bookmarkEnd w:id="212"/>
      <w:bookmarkEnd w:id="213"/>
      <w:bookmarkEnd w:id="214"/>
    </w:p>
    <w:p>
      <w:pPr>
        <w:spacing w:line="400" w:lineRule="exact"/>
        <w:ind w:firstLine="420" w:firstLineChars="200"/>
        <w:rPr>
          <w:rFonts w:hint="eastAsia"/>
          <w:highlight w:val="yellow"/>
          <w:lang w:val="en-US" w:eastAsia="zh-CN"/>
        </w:rPr>
      </w:pPr>
      <w:r>
        <w:rPr>
          <w:rFonts w:hint="eastAsia"/>
          <w:highlight w:val="yellow"/>
        </w:rPr>
        <w:t xml:space="preserve">3.4.1 </w:t>
      </w:r>
      <w:r>
        <w:rPr>
          <w:rFonts w:hint="eastAsia"/>
          <w:highlight w:val="yellow"/>
          <w:lang w:val="en-US" w:eastAsia="zh-CN"/>
        </w:rPr>
        <w:t>无投标保证金</w:t>
      </w:r>
    </w:p>
    <w:p>
      <w:pPr>
        <w:spacing w:line="400" w:lineRule="exact"/>
        <w:ind w:firstLine="420" w:firstLineChars="200"/>
      </w:pPr>
      <w:r>
        <w:rPr>
          <w:rFonts w:hint="eastAsia"/>
        </w:rPr>
        <w:t>3.4.2 投标人不按本章第3.4.1项要求提交投标保证金的，评标委员会将否决其投标。</w:t>
      </w:r>
    </w:p>
    <w:p>
      <w:pPr>
        <w:spacing w:line="400" w:lineRule="exact"/>
        <w:ind w:firstLine="420" w:firstLineChars="200"/>
      </w:pPr>
      <w:r>
        <w:rPr>
          <w:rFonts w:hint="eastAsia"/>
        </w:rPr>
        <w:t>3.4.3 招标人与中标人签订合同后5日内，向未中标的投标人和中标人退还投标保证金。</w:t>
      </w:r>
    </w:p>
    <w:p>
      <w:pPr>
        <w:spacing w:line="400" w:lineRule="exact"/>
        <w:ind w:firstLine="420" w:firstLineChars="200"/>
      </w:pPr>
      <w:r>
        <w:rPr>
          <w:rFonts w:hint="eastAsia"/>
        </w:rPr>
        <w:t xml:space="preserve">3.4.4 有下列情形之一的，投标保证金将不予退还： </w:t>
      </w:r>
    </w:p>
    <w:p>
      <w:pPr>
        <w:spacing w:line="400" w:lineRule="exact"/>
        <w:ind w:firstLine="718" w:firstLineChars="342"/>
      </w:pPr>
      <w:r>
        <w:rPr>
          <w:rFonts w:hint="eastAsia"/>
        </w:rPr>
        <w:t>（1）投标人在规定的投标有效期内撤销或修改其投标文件；</w:t>
      </w:r>
    </w:p>
    <w:p>
      <w:pPr>
        <w:spacing w:line="400" w:lineRule="exact"/>
        <w:ind w:firstLine="718" w:firstLineChars="342"/>
      </w:pPr>
      <w:r>
        <w:rPr>
          <w:rFonts w:hint="eastAsia"/>
        </w:rPr>
        <w:t>（2）中标人在收到中标通知书后，无正当理由拒签合同协议书或未按招标文件规定提交履约担保。</w:t>
      </w:r>
    </w:p>
    <w:p>
      <w:pPr>
        <w:pStyle w:val="4"/>
      </w:pPr>
      <w:bookmarkStart w:id="215" w:name="_Toc144974520"/>
      <w:bookmarkStart w:id="216" w:name="_Toc246996196"/>
      <w:bookmarkStart w:id="217" w:name="_Toc246996939"/>
      <w:bookmarkStart w:id="218" w:name="_Toc179632570"/>
      <w:bookmarkStart w:id="219" w:name="_Toc296602441"/>
      <w:bookmarkStart w:id="220" w:name="_Toc247085710"/>
      <w:bookmarkStart w:id="221" w:name="_Toc152042328"/>
      <w:bookmarkStart w:id="222" w:name="_Toc152045552"/>
      <w:r>
        <w:rPr>
          <w:rFonts w:hint="eastAsia"/>
        </w:rPr>
        <w:t>3.5 资格审查资料</w:t>
      </w:r>
      <w:bookmarkEnd w:id="215"/>
      <w:bookmarkEnd w:id="216"/>
      <w:bookmarkEnd w:id="217"/>
      <w:bookmarkEnd w:id="218"/>
      <w:bookmarkEnd w:id="219"/>
      <w:bookmarkEnd w:id="220"/>
      <w:bookmarkEnd w:id="221"/>
      <w:bookmarkEnd w:id="222"/>
    </w:p>
    <w:p>
      <w:pPr>
        <w:spacing w:line="400" w:lineRule="exact"/>
        <w:ind w:firstLine="420" w:firstLineChars="200"/>
      </w:pPr>
      <w:r>
        <w:rPr>
          <w:rFonts w:hint="eastAsia"/>
        </w:rPr>
        <w:t>3.5.1 “投标人基本情况表”应附投标人营业执照及其年检合格的证明材料、资质证书副本和安全生产许可证等材料的复印件。</w:t>
      </w:r>
    </w:p>
    <w:p>
      <w:pPr>
        <w:spacing w:line="400" w:lineRule="exact"/>
        <w:ind w:firstLine="420" w:firstLineChars="200"/>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spacing w:line="400" w:lineRule="exact"/>
        <w:ind w:firstLine="420" w:firstLineChars="200"/>
      </w:pPr>
      <w:r>
        <w:rPr>
          <w:rFonts w:hint="eastAsia"/>
        </w:rPr>
        <w:t>3.5.3 “近年完成的类似项目情况表”应附中标通知书和（或）合同协议书、工程接收证书（工程竣工验收证书）复印件，具体年份要求见投标人须知前附表。每张表格只填写一个项目，并标明序号。</w:t>
      </w:r>
    </w:p>
    <w:p>
      <w:pPr>
        <w:spacing w:line="400" w:lineRule="exact"/>
        <w:ind w:firstLine="420" w:firstLineChars="200"/>
      </w:pPr>
      <w:r>
        <w:rPr>
          <w:rFonts w:hint="eastAsia"/>
        </w:rPr>
        <w:t>3.5.4 “正在施工</w:t>
      </w:r>
      <w:r>
        <w:rPr>
          <w:rFonts w:hint="eastAsia"/>
          <w:lang w:val="en-US" w:eastAsia="zh-CN"/>
        </w:rPr>
        <w:t>或</w:t>
      </w:r>
      <w:r>
        <w:rPr>
          <w:rFonts w:hint="eastAsia"/>
        </w:rPr>
        <w:t>新承接的项目情况表”应附中标通知书和（或）合同协议书复印件。每张表格只填写一个项目，并标明序号。</w:t>
      </w:r>
    </w:p>
    <w:p>
      <w:pPr>
        <w:pStyle w:val="4"/>
      </w:pPr>
      <w:bookmarkStart w:id="223" w:name="_Toc296602442"/>
      <w:bookmarkStart w:id="224" w:name="_Toc144974521"/>
      <w:bookmarkStart w:id="225" w:name="_Toc246996940"/>
      <w:bookmarkStart w:id="226" w:name="_Toc152045553"/>
      <w:bookmarkStart w:id="227" w:name="_Toc179632571"/>
      <w:bookmarkStart w:id="228" w:name="_Toc247085711"/>
      <w:bookmarkStart w:id="229" w:name="_Toc246996197"/>
      <w:bookmarkStart w:id="230" w:name="_Toc152042329"/>
      <w:r>
        <w:rPr>
          <w:rFonts w:hint="eastAsia"/>
        </w:rPr>
        <w:t>3.6投标文件的编制</w:t>
      </w:r>
      <w:bookmarkEnd w:id="223"/>
    </w:p>
    <w:p>
      <w:pPr>
        <w:spacing w:line="400" w:lineRule="exact"/>
        <w:ind w:firstLine="420" w:firstLineChars="200"/>
      </w:pPr>
      <w:r>
        <w:rPr>
          <w:rFonts w:hint="eastAsia"/>
        </w:rPr>
        <w:t>3.6.1投标文件应按第八章“投标文件格式”进行编写，如有必要，可以增加附页，作为投标文件的组成部分。其中，投标函附录在满足招标文件实质性要求的基础上，可以提出比招标文件要求更有利于招标人的承诺。</w:t>
      </w:r>
    </w:p>
    <w:p>
      <w:pPr>
        <w:spacing w:line="400" w:lineRule="exact"/>
        <w:ind w:firstLine="420" w:firstLineChars="200"/>
        <w:rPr>
          <w:szCs w:val="21"/>
        </w:rPr>
      </w:pPr>
      <w:r>
        <w:rPr>
          <w:rFonts w:hint="eastAsia"/>
        </w:rPr>
        <w:t>3.6.2 投标文件应当对招标文件有关</w:t>
      </w:r>
      <w:r>
        <w:rPr>
          <w:rFonts w:hint="eastAsia"/>
          <w:szCs w:val="21"/>
          <w:lang w:eastAsia="zh-CN"/>
        </w:rPr>
        <w:t>供货期</w:t>
      </w:r>
      <w:r>
        <w:rPr>
          <w:rFonts w:hint="eastAsia"/>
          <w:szCs w:val="21"/>
        </w:rPr>
        <w:t>、投标有效期、质量要求、技术标准和要求、招标范围等实质性内容作出响应。</w:t>
      </w:r>
    </w:p>
    <w:p>
      <w:pPr>
        <w:spacing w:line="400" w:lineRule="exact"/>
        <w:ind w:firstLine="420" w:firstLineChars="200"/>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spacing w:line="400" w:lineRule="exact"/>
        <w:ind w:firstLine="420" w:firstLineChars="200"/>
      </w:pPr>
      <w:r>
        <w:rPr>
          <w:rFonts w:hint="eastAsia"/>
        </w:rPr>
        <w:t>3.6.4 投标文件正本一份, 副本份数见投标人须知前附表。正本和副本的封面上应清楚地标记“正本”或“副本”的字样。当副本和正本不一致时，以正本为准。</w:t>
      </w:r>
    </w:p>
    <w:p>
      <w:pPr>
        <w:spacing w:line="400" w:lineRule="exact"/>
        <w:ind w:firstLine="420" w:firstLineChars="200"/>
      </w:pPr>
      <w:r>
        <w:rPr>
          <w:rFonts w:hint="eastAsia"/>
        </w:rPr>
        <w:t>3.6.5 投标文件的正本与副本应分别装订成册，具体装订要求见投标人须知前附表规定。</w:t>
      </w:r>
      <w:bookmarkEnd w:id="224"/>
      <w:bookmarkEnd w:id="225"/>
      <w:bookmarkEnd w:id="226"/>
      <w:bookmarkEnd w:id="227"/>
      <w:bookmarkEnd w:id="228"/>
      <w:bookmarkEnd w:id="229"/>
      <w:bookmarkEnd w:id="230"/>
      <w:bookmarkStart w:id="231" w:name="_Toc152042331"/>
      <w:bookmarkStart w:id="232" w:name="_Toc179632573"/>
      <w:bookmarkStart w:id="233" w:name="_Toc246996942"/>
      <w:bookmarkStart w:id="234" w:name="_Toc247085713"/>
      <w:bookmarkStart w:id="235" w:name="_Toc246996199"/>
      <w:bookmarkStart w:id="236" w:name="_Toc144974523"/>
      <w:bookmarkStart w:id="237" w:name="_Toc152045555"/>
    </w:p>
    <w:p>
      <w:pPr>
        <w:pStyle w:val="3"/>
      </w:pPr>
      <w:bookmarkStart w:id="238" w:name="_Toc296602443"/>
      <w:r>
        <w:rPr>
          <w:rFonts w:hint="eastAsia"/>
        </w:rPr>
        <w:t>4. 投标</w:t>
      </w:r>
      <w:bookmarkEnd w:id="231"/>
      <w:bookmarkEnd w:id="232"/>
      <w:bookmarkEnd w:id="233"/>
      <w:bookmarkEnd w:id="234"/>
      <w:bookmarkEnd w:id="235"/>
      <w:bookmarkEnd w:id="236"/>
      <w:bookmarkEnd w:id="237"/>
      <w:bookmarkEnd w:id="238"/>
    </w:p>
    <w:p>
      <w:pPr>
        <w:pStyle w:val="4"/>
      </w:pPr>
      <w:bookmarkStart w:id="239" w:name="_Toc247085714"/>
      <w:bookmarkStart w:id="240" w:name="_Toc152042332"/>
      <w:bookmarkStart w:id="241" w:name="_Toc152045556"/>
      <w:bookmarkStart w:id="242" w:name="_Toc179632574"/>
      <w:bookmarkStart w:id="243" w:name="_Toc144974524"/>
      <w:bookmarkStart w:id="244" w:name="_Toc296602444"/>
      <w:bookmarkStart w:id="245" w:name="_Toc246996200"/>
      <w:bookmarkStart w:id="246" w:name="_Toc246996943"/>
      <w:r>
        <w:rPr>
          <w:rFonts w:hint="eastAsia"/>
        </w:rPr>
        <w:t>4.1 投标文件的密封和标记</w:t>
      </w:r>
      <w:bookmarkEnd w:id="239"/>
      <w:bookmarkEnd w:id="240"/>
      <w:bookmarkEnd w:id="241"/>
      <w:bookmarkEnd w:id="242"/>
      <w:bookmarkEnd w:id="243"/>
      <w:bookmarkEnd w:id="244"/>
      <w:bookmarkEnd w:id="245"/>
      <w:bookmarkEnd w:id="246"/>
    </w:p>
    <w:p>
      <w:pPr>
        <w:spacing w:line="400" w:lineRule="exact"/>
        <w:ind w:firstLine="420" w:firstLineChars="200"/>
      </w:pPr>
      <w:bookmarkStart w:id="247" w:name="_Toc144974525"/>
      <w:bookmarkStart w:id="248" w:name="_Toc247085715"/>
      <w:bookmarkStart w:id="249" w:name="_Toc246996944"/>
      <w:bookmarkStart w:id="250" w:name="_Toc246996201"/>
      <w:bookmarkStart w:id="251" w:name="_Toc179632575"/>
      <w:bookmarkStart w:id="252" w:name="_Toc152045557"/>
      <w:bookmarkStart w:id="253" w:name="_Toc152042333"/>
      <w:r>
        <w:rPr>
          <w:rFonts w:hint="eastAsia"/>
        </w:rPr>
        <w:t>4.1.1 投标文件应进行包装、加贴封条，并在封套的封口处加盖投标人单位章。</w:t>
      </w:r>
    </w:p>
    <w:p>
      <w:pPr>
        <w:spacing w:line="400" w:lineRule="exact"/>
        <w:ind w:firstLine="420" w:firstLineChars="200"/>
      </w:pPr>
      <w:r>
        <w:rPr>
          <w:rFonts w:hint="eastAsia"/>
        </w:rPr>
        <w:t>4.1.2 投标文件封套上应写明的内容见投标人须知前附表。</w:t>
      </w:r>
    </w:p>
    <w:p>
      <w:pPr>
        <w:spacing w:line="400" w:lineRule="exact"/>
        <w:ind w:firstLine="420" w:firstLineChars="200"/>
      </w:pPr>
      <w:r>
        <w:rPr>
          <w:rFonts w:hint="eastAsia"/>
        </w:rPr>
        <w:t>4.1.3 未按本章第4.1.1项或第4.1.2项要求密封和加写标记的投标文件，招标人应予拒收。</w:t>
      </w:r>
    </w:p>
    <w:p>
      <w:pPr>
        <w:pStyle w:val="4"/>
      </w:pPr>
      <w:bookmarkStart w:id="254" w:name="_Toc296602445"/>
      <w:r>
        <w:rPr>
          <w:rFonts w:hint="eastAsia"/>
        </w:rPr>
        <w:t>4.2 投标文件的递交</w:t>
      </w:r>
      <w:bookmarkEnd w:id="247"/>
      <w:bookmarkEnd w:id="248"/>
      <w:bookmarkEnd w:id="249"/>
      <w:bookmarkEnd w:id="250"/>
      <w:bookmarkEnd w:id="251"/>
      <w:bookmarkEnd w:id="252"/>
      <w:bookmarkEnd w:id="253"/>
      <w:bookmarkEnd w:id="254"/>
    </w:p>
    <w:p>
      <w:pPr>
        <w:spacing w:line="400" w:lineRule="exact"/>
        <w:ind w:firstLine="420" w:firstLineChars="200"/>
      </w:pPr>
      <w:r>
        <w:rPr>
          <w:rFonts w:hint="eastAsia"/>
        </w:rPr>
        <w:t>4.2.1 投标人应在本章第2.2.2项规定的投标截止时间前递交投标文件。</w:t>
      </w:r>
    </w:p>
    <w:p>
      <w:pPr>
        <w:spacing w:line="400" w:lineRule="exact"/>
        <w:ind w:firstLine="420" w:firstLineChars="200"/>
      </w:pPr>
      <w:r>
        <w:rPr>
          <w:rFonts w:hint="eastAsia"/>
        </w:rPr>
        <w:t>4.2.2 投标人递交投标文件的地点：见投标人须知前附表。</w:t>
      </w:r>
    </w:p>
    <w:p>
      <w:pPr>
        <w:spacing w:line="400" w:lineRule="exact"/>
        <w:ind w:firstLine="420" w:firstLineChars="200"/>
      </w:pPr>
      <w:r>
        <w:rPr>
          <w:rFonts w:hint="eastAsia"/>
        </w:rPr>
        <w:t>4.2.3 除投标人须知前附表另有规定外，投标人所递交的投标文件不予退还。</w:t>
      </w:r>
    </w:p>
    <w:p>
      <w:pPr>
        <w:spacing w:line="400" w:lineRule="exact"/>
        <w:ind w:firstLine="420" w:firstLineChars="200"/>
      </w:pPr>
      <w:r>
        <w:rPr>
          <w:rFonts w:hint="eastAsia"/>
        </w:rPr>
        <w:t>4.2.4 招标人收到投标文件后，向投标人出具签收凭证。</w:t>
      </w:r>
    </w:p>
    <w:p>
      <w:pPr>
        <w:spacing w:line="400" w:lineRule="exact"/>
        <w:ind w:firstLine="420" w:firstLineChars="200"/>
      </w:pPr>
      <w:r>
        <w:rPr>
          <w:rFonts w:hint="eastAsia"/>
        </w:rPr>
        <w:t>4.2.5 逾期送达的或者未送达指定地点的投标文件，招标人不予受理。</w:t>
      </w:r>
    </w:p>
    <w:p>
      <w:pPr>
        <w:pStyle w:val="4"/>
      </w:pPr>
      <w:bookmarkStart w:id="255" w:name="_Toc179632576"/>
      <w:bookmarkStart w:id="256" w:name="_Toc296602446"/>
      <w:bookmarkStart w:id="257" w:name="_Toc152042334"/>
      <w:bookmarkStart w:id="258" w:name="_Toc247085716"/>
      <w:bookmarkStart w:id="259" w:name="_Toc246996945"/>
      <w:bookmarkStart w:id="260" w:name="_Toc152045558"/>
      <w:bookmarkStart w:id="261" w:name="_Toc246996202"/>
      <w:bookmarkStart w:id="262" w:name="_Toc144974526"/>
      <w:r>
        <w:rPr>
          <w:rFonts w:hint="eastAsia"/>
        </w:rPr>
        <w:t>4.3 投标文件的修改与撤回</w:t>
      </w:r>
      <w:bookmarkEnd w:id="255"/>
      <w:bookmarkEnd w:id="256"/>
      <w:bookmarkEnd w:id="257"/>
      <w:bookmarkEnd w:id="258"/>
      <w:bookmarkEnd w:id="259"/>
      <w:bookmarkEnd w:id="260"/>
      <w:bookmarkEnd w:id="261"/>
      <w:bookmarkEnd w:id="262"/>
    </w:p>
    <w:p>
      <w:pPr>
        <w:spacing w:line="400" w:lineRule="exact"/>
        <w:ind w:firstLine="420" w:firstLineChars="200"/>
      </w:pPr>
      <w:r>
        <w:rPr>
          <w:rFonts w:hint="eastAsia"/>
        </w:rPr>
        <w:t>4.3.1 在本章第2.2.2项规定的投标截止时间前，投标人可以修改或撤回已递交的投标文件，但应以书面形式通知招标人。</w:t>
      </w:r>
    </w:p>
    <w:p>
      <w:pPr>
        <w:spacing w:line="400" w:lineRule="exact"/>
        <w:ind w:firstLine="420" w:firstLineChars="200"/>
      </w:pPr>
      <w:r>
        <w:rPr>
          <w:rFonts w:hint="eastAsia"/>
        </w:rPr>
        <w:t>4.3.2 投标人修改或撤回已递交投标文件的书面通知应按照本章第3.6.3项的要求签字或盖章。招标人收到书面通知后，向投标人出具签收凭证。</w:t>
      </w:r>
    </w:p>
    <w:p>
      <w:pPr>
        <w:spacing w:line="400" w:lineRule="exact"/>
        <w:ind w:firstLine="420" w:firstLineChars="200"/>
      </w:pPr>
      <w:r>
        <w:rPr>
          <w:rFonts w:hint="eastAsia"/>
        </w:rPr>
        <w:t>4.3.3 投标人撤回投标文件的，招标人自收到投标人书面撤回通知之日起5日内退还已收取的投标保证金。</w:t>
      </w:r>
    </w:p>
    <w:p>
      <w:pPr>
        <w:spacing w:line="400" w:lineRule="exact"/>
        <w:ind w:firstLine="420" w:firstLineChars="200"/>
      </w:pPr>
      <w:r>
        <w:rPr>
          <w:rFonts w:hint="eastAsia"/>
        </w:rPr>
        <w:t>4.3.4 修改的内容为投标文件的组成部分。修改的投标文件应按照本章第3条、第4条规定进行编制、密封、标记和递交，并标明“修改”字样。</w:t>
      </w:r>
    </w:p>
    <w:p>
      <w:pPr>
        <w:pStyle w:val="3"/>
      </w:pPr>
      <w:bookmarkStart w:id="263" w:name="_Toc296602447"/>
      <w:bookmarkStart w:id="264" w:name="_Toc246996203"/>
      <w:bookmarkStart w:id="265" w:name="_Toc179632577"/>
      <w:bookmarkStart w:id="266" w:name="_Toc246996946"/>
      <w:bookmarkStart w:id="267" w:name="_Toc144974527"/>
      <w:bookmarkStart w:id="268" w:name="_Toc247085717"/>
      <w:bookmarkStart w:id="269" w:name="_Toc152042335"/>
      <w:bookmarkStart w:id="270" w:name="_Toc152045559"/>
      <w:r>
        <w:rPr>
          <w:rFonts w:hint="eastAsia"/>
        </w:rPr>
        <w:t>5. 开标</w:t>
      </w:r>
      <w:bookmarkEnd w:id="263"/>
      <w:bookmarkEnd w:id="264"/>
      <w:bookmarkEnd w:id="265"/>
      <w:bookmarkEnd w:id="266"/>
      <w:bookmarkEnd w:id="267"/>
      <w:bookmarkEnd w:id="268"/>
      <w:bookmarkEnd w:id="269"/>
      <w:bookmarkEnd w:id="270"/>
    </w:p>
    <w:p>
      <w:pPr>
        <w:pStyle w:val="4"/>
      </w:pPr>
      <w:bookmarkStart w:id="271" w:name="_Toc152045560"/>
      <w:bookmarkStart w:id="272" w:name="_Toc296602448"/>
      <w:bookmarkStart w:id="273" w:name="_Toc246996204"/>
      <w:bookmarkStart w:id="274" w:name="_Toc246996947"/>
      <w:bookmarkStart w:id="275" w:name="_Toc247085718"/>
      <w:bookmarkStart w:id="276" w:name="_Toc144974528"/>
      <w:bookmarkStart w:id="277" w:name="_Toc152042336"/>
      <w:bookmarkStart w:id="278" w:name="_Toc179632578"/>
      <w:r>
        <w:rPr>
          <w:rFonts w:hint="eastAsia"/>
        </w:rPr>
        <w:t>5.1 开标时间和地点</w:t>
      </w:r>
      <w:bookmarkEnd w:id="271"/>
      <w:bookmarkEnd w:id="272"/>
      <w:bookmarkEnd w:id="273"/>
      <w:bookmarkEnd w:id="274"/>
      <w:bookmarkEnd w:id="275"/>
      <w:bookmarkEnd w:id="276"/>
      <w:bookmarkEnd w:id="277"/>
      <w:bookmarkEnd w:id="278"/>
    </w:p>
    <w:p>
      <w:pPr>
        <w:spacing w:line="400" w:lineRule="exact"/>
        <w:ind w:firstLine="420" w:firstLineChars="200"/>
      </w:pPr>
      <w:r>
        <w:rPr>
          <w:rFonts w:hint="eastAsia"/>
        </w:rPr>
        <w:t>招标人在本章第2.2.2项规定的投标截止时间（开标时间）和投标人须知前附表规定的地点公开开标，并邀请所有投标人的法定代表人或其委托代理人准时参加。</w:t>
      </w:r>
    </w:p>
    <w:p>
      <w:pPr>
        <w:pStyle w:val="4"/>
      </w:pPr>
      <w:bookmarkStart w:id="279" w:name="_Toc152042337"/>
      <w:bookmarkStart w:id="280" w:name="_Toc246996948"/>
      <w:bookmarkStart w:id="281" w:name="_Toc152045561"/>
      <w:bookmarkStart w:id="282" w:name="_Toc179632579"/>
      <w:bookmarkStart w:id="283" w:name="_Toc246996205"/>
      <w:bookmarkStart w:id="284" w:name="_Toc296602449"/>
      <w:bookmarkStart w:id="285" w:name="_Toc144974529"/>
      <w:bookmarkStart w:id="286" w:name="_Toc247085719"/>
      <w:r>
        <w:rPr>
          <w:rFonts w:hint="eastAsia"/>
        </w:rPr>
        <w:t>5.2 开标程序</w:t>
      </w:r>
      <w:bookmarkEnd w:id="279"/>
      <w:bookmarkEnd w:id="280"/>
      <w:bookmarkEnd w:id="281"/>
      <w:bookmarkEnd w:id="282"/>
      <w:bookmarkEnd w:id="283"/>
      <w:bookmarkEnd w:id="284"/>
      <w:bookmarkEnd w:id="285"/>
      <w:bookmarkEnd w:id="286"/>
    </w:p>
    <w:p>
      <w:pPr>
        <w:spacing w:line="400" w:lineRule="exact"/>
        <w:ind w:firstLine="420" w:firstLineChars="200"/>
      </w:pPr>
      <w:r>
        <w:rPr>
          <w:rFonts w:hint="eastAsia"/>
        </w:rPr>
        <w:t>主持人按下列程序进行开标：</w:t>
      </w:r>
    </w:p>
    <w:p>
      <w:pPr>
        <w:spacing w:line="400" w:lineRule="exact"/>
        <w:ind w:firstLine="359" w:firstLineChars="171"/>
      </w:pPr>
      <w:r>
        <w:rPr>
          <w:rFonts w:hint="eastAsia"/>
        </w:rPr>
        <w:t>（1）宣布开标纪律；</w:t>
      </w:r>
    </w:p>
    <w:p>
      <w:pPr>
        <w:spacing w:line="400" w:lineRule="exact"/>
        <w:ind w:firstLine="359" w:firstLineChars="171"/>
      </w:pPr>
      <w:r>
        <w:rPr>
          <w:rFonts w:hint="eastAsia"/>
        </w:rPr>
        <w:t>（2）公布在投标截止时间前递交投标文件的投标人名称，并点名确认投标人是否派人到场；</w:t>
      </w:r>
    </w:p>
    <w:p>
      <w:pPr>
        <w:spacing w:line="400" w:lineRule="exact"/>
        <w:ind w:firstLine="359" w:firstLineChars="171"/>
      </w:pPr>
      <w:r>
        <w:rPr>
          <w:rFonts w:hint="eastAsia"/>
        </w:rPr>
        <w:t>（3）宣布开标人、唱标人、记录人、监标人等有关人员姓名；</w:t>
      </w:r>
    </w:p>
    <w:p>
      <w:pPr>
        <w:spacing w:line="400" w:lineRule="exact"/>
        <w:ind w:firstLine="359" w:firstLineChars="171"/>
      </w:pPr>
      <w:r>
        <w:rPr>
          <w:rFonts w:hint="eastAsia"/>
        </w:rPr>
        <w:t>（4）按照投标人须知前附表规定检查投标文件的密封情况；</w:t>
      </w:r>
    </w:p>
    <w:p>
      <w:pPr>
        <w:spacing w:line="400" w:lineRule="exact"/>
        <w:ind w:firstLine="359" w:firstLineChars="171"/>
      </w:pPr>
      <w:r>
        <w:rPr>
          <w:rFonts w:hint="eastAsia"/>
        </w:rPr>
        <w:t>（5）按照投标人须知前附表的规定确定并宣布投标文件开标顺序；</w:t>
      </w:r>
    </w:p>
    <w:p>
      <w:pPr>
        <w:spacing w:line="400" w:lineRule="exact"/>
        <w:ind w:firstLine="359" w:firstLineChars="171"/>
      </w:pPr>
      <w:r>
        <w:rPr>
          <w:rFonts w:hint="eastAsia"/>
        </w:rPr>
        <w:t>（6）设有标底的，公布标底；</w:t>
      </w:r>
    </w:p>
    <w:p>
      <w:pPr>
        <w:spacing w:line="400" w:lineRule="exact"/>
        <w:ind w:firstLine="359" w:firstLineChars="171"/>
      </w:pPr>
      <w:r>
        <w:rPr>
          <w:rFonts w:hint="eastAsia"/>
        </w:rPr>
        <w:t>（7）按照宣布的开标顺序当众开标，公布投标人名称、投标保证金的递交情况、投标报价、质量目标、</w:t>
      </w:r>
      <w:r>
        <w:rPr>
          <w:rFonts w:hint="eastAsia"/>
          <w:lang w:eastAsia="zh-CN"/>
        </w:rPr>
        <w:t>供货期</w:t>
      </w:r>
      <w:r>
        <w:rPr>
          <w:rFonts w:hint="eastAsia"/>
        </w:rPr>
        <w:t>及其他内容，并记录在案；</w:t>
      </w:r>
    </w:p>
    <w:p>
      <w:pPr>
        <w:spacing w:line="400" w:lineRule="exact"/>
        <w:ind w:firstLine="359" w:firstLineChars="171"/>
      </w:pPr>
      <w:r>
        <w:rPr>
          <w:rFonts w:hint="eastAsia"/>
        </w:rPr>
        <w:t>（8）规定最高投标限价计算方法的，计算并公布最高投标限价；</w:t>
      </w:r>
    </w:p>
    <w:p>
      <w:pPr>
        <w:spacing w:line="400" w:lineRule="exact"/>
        <w:ind w:firstLine="359" w:firstLineChars="171"/>
      </w:pPr>
      <w:r>
        <w:rPr>
          <w:rFonts w:hint="eastAsia"/>
        </w:rPr>
        <w:t>（9）投标人代表、招标人代表、监标人、记录人等有关人员在开标记录上签字确认；</w:t>
      </w:r>
    </w:p>
    <w:p>
      <w:pPr>
        <w:spacing w:line="400" w:lineRule="exact"/>
        <w:ind w:firstLine="359" w:firstLineChars="171"/>
      </w:pPr>
      <w:r>
        <w:rPr>
          <w:rFonts w:hint="eastAsia"/>
        </w:rPr>
        <w:t>（10）开标结束。</w:t>
      </w:r>
    </w:p>
    <w:p>
      <w:pPr>
        <w:pStyle w:val="4"/>
      </w:pPr>
      <w:bookmarkStart w:id="287" w:name="_Toc296602450"/>
      <w:r>
        <w:rPr>
          <w:rFonts w:hint="eastAsia"/>
        </w:rPr>
        <w:t>5.3 开标异议</w:t>
      </w:r>
      <w:bookmarkEnd w:id="287"/>
    </w:p>
    <w:p>
      <w:pPr>
        <w:spacing w:line="400" w:lineRule="exact"/>
        <w:ind w:firstLine="359" w:firstLineChars="171"/>
      </w:pPr>
      <w:r>
        <w:rPr>
          <w:rFonts w:hint="eastAsia"/>
        </w:rPr>
        <w:t>投标人对开标有异议的，应当在开标现场提出，招标人当场作出答复，并制作记录。</w:t>
      </w:r>
    </w:p>
    <w:p>
      <w:pPr>
        <w:pStyle w:val="3"/>
      </w:pPr>
      <w:bookmarkStart w:id="288" w:name="_Toc144974530"/>
      <w:bookmarkStart w:id="289" w:name="_Toc246996949"/>
      <w:bookmarkStart w:id="290" w:name="_Toc246996206"/>
      <w:bookmarkStart w:id="291" w:name="_Toc152045562"/>
      <w:bookmarkStart w:id="292" w:name="_Toc179632580"/>
      <w:bookmarkStart w:id="293" w:name="_Toc152042338"/>
      <w:bookmarkStart w:id="294" w:name="_Toc296602451"/>
      <w:bookmarkStart w:id="295" w:name="_Toc247085720"/>
      <w:r>
        <w:rPr>
          <w:rFonts w:hint="eastAsia"/>
        </w:rPr>
        <w:t>6. 评标</w:t>
      </w:r>
      <w:bookmarkEnd w:id="288"/>
      <w:bookmarkEnd w:id="289"/>
      <w:bookmarkEnd w:id="290"/>
      <w:bookmarkEnd w:id="291"/>
      <w:bookmarkEnd w:id="292"/>
      <w:bookmarkEnd w:id="293"/>
      <w:bookmarkEnd w:id="294"/>
      <w:bookmarkEnd w:id="295"/>
    </w:p>
    <w:p>
      <w:pPr>
        <w:pStyle w:val="4"/>
      </w:pPr>
      <w:bookmarkStart w:id="296" w:name="_Toc152045563"/>
      <w:bookmarkStart w:id="297" w:name="_Toc296602452"/>
      <w:bookmarkStart w:id="298" w:name="_Toc246996207"/>
      <w:bookmarkStart w:id="299" w:name="_Toc246996950"/>
      <w:bookmarkStart w:id="300" w:name="_Toc247085721"/>
      <w:bookmarkStart w:id="301" w:name="_Toc152042339"/>
      <w:bookmarkStart w:id="302" w:name="_Toc179632581"/>
      <w:bookmarkStart w:id="303" w:name="_Toc144974531"/>
      <w:r>
        <w:rPr>
          <w:rFonts w:hint="eastAsia"/>
        </w:rPr>
        <w:t>6.1 评标委员会</w:t>
      </w:r>
      <w:bookmarkEnd w:id="296"/>
      <w:bookmarkEnd w:id="297"/>
      <w:bookmarkEnd w:id="298"/>
      <w:bookmarkEnd w:id="299"/>
      <w:bookmarkEnd w:id="300"/>
      <w:bookmarkEnd w:id="301"/>
      <w:bookmarkEnd w:id="302"/>
      <w:bookmarkEnd w:id="303"/>
    </w:p>
    <w:p>
      <w:pPr>
        <w:spacing w:line="400" w:lineRule="exact"/>
        <w:ind w:firstLine="420" w:firstLineChars="200"/>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00" w:lineRule="exact"/>
        <w:ind w:firstLine="420" w:firstLineChars="200"/>
      </w:pPr>
      <w:r>
        <w:rPr>
          <w:rFonts w:hint="eastAsia"/>
        </w:rPr>
        <w:t>6.1.2 评标委员会成员有下列情形之一的，应当回避：</w:t>
      </w:r>
    </w:p>
    <w:p>
      <w:pPr>
        <w:spacing w:line="400" w:lineRule="exact"/>
        <w:ind w:firstLine="359" w:firstLineChars="171"/>
      </w:pPr>
      <w:r>
        <w:rPr>
          <w:rFonts w:hint="eastAsia"/>
        </w:rPr>
        <w:t>（1）投标人或投标人主要负责人的近亲属；</w:t>
      </w:r>
    </w:p>
    <w:p>
      <w:pPr>
        <w:spacing w:line="400" w:lineRule="exact"/>
        <w:ind w:firstLine="359" w:firstLineChars="171"/>
      </w:pPr>
      <w:r>
        <w:rPr>
          <w:rFonts w:hint="eastAsia"/>
        </w:rPr>
        <w:t>（2）项目主管部门或者行政监督部门的人员；</w:t>
      </w:r>
    </w:p>
    <w:p>
      <w:pPr>
        <w:spacing w:line="400" w:lineRule="exact"/>
        <w:ind w:firstLine="359" w:firstLineChars="171"/>
      </w:pPr>
      <w:r>
        <w:rPr>
          <w:rFonts w:hint="eastAsia"/>
        </w:rPr>
        <w:t>（</w:t>
      </w:r>
      <w:r>
        <w:rPr>
          <w:rFonts w:hint="eastAsia"/>
          <w:lang w:val="en-US" w:eastAsia="zh-CN"/>
        </w:rPr>
        <w:t>3</w:t>
      </w:r>
      <w:r>
        <w:rPr>
          <w:rFonts w:hint="eastAsia"/>
        </w:rPr>
        <w:t>）曾因在招标、评标以及其他与招标投标有关活动中从事违法行为而受过行政处罚或刑事处罚的；</w:t>
      </w:r>
    </w:p>
    <w:p>
      <w:pPr>
        <w:pStyle w:val="4"/>
      </w:pPr>
      <w:bookmarkStart w:id="304" w:name="_Toc152045564"/>
      <w:bookmarkStart w:id="305" w:name="_Toc152042340"/>
      <w:bookmarkStart w:id="306" w:name="_Toc246996208"/>
      <w:bookmarkStart w:id="307" w:name="_Toc144974532"/>
      <w:bookmarkStart w:id="308" w:name="_Toc247085722"/>
      <w:bookmarkStart w:id="309" w:name="_Toc296602453"/>
      <w:bookmarkStart w:id="310" w:name="_Toc246996951"/>
      <w:bookmarkStart w:id="311" w:name="_Toc179632582"/>
      <w:r>
        <w:rPr>
          <w:rFonts w:hint="eastAsia"/>
        </w:rPr>
        <w:t>6.2 评标原则</w:t>
      </w:r>
      <w:bookmarkEnd w:id="304"/>
      <w:bookmarkEnd w:id="305"/>
      <w:bookmarkEnd w:id="306"/>
      <w:bookmarkEnd w:id="307"/>
      <w:bookmarkEnd w:id="308"/>
      <w:bookmarkEnd w:id="309"/>
      <w:bookmarkEnd w:id="310"/>
      <w:bookmarkEnd w:id="311"/>
    </w:p>
    <w:p>
      <w:pPr>
        <w:spacing w:line="400" w:lineRule="exact"/>
        <w:ind w:firstLine="420" w:firstLineChars="200"/>
      </w:pPr>
      <w:r>
        <w:rPr>
          <w:rFonts w:hint="eastAsia"/>
        </w:rPr>
        <w:t>评标活动遵循公平、公正、科学和择优的原则。</w:t>
      </w:r>
    </w:p>
    <w:p>
      <w:pPr>
        <w:pStyle w:val="4"/>
      </w:pPr>
      <w:bookmarkStart w:id="312" w:name="_Toc247085723"/>
      <w:bookmarkStart w:id="313" w:name="_Toc246996952"/>
      <w:bookmarkStart w:id="314" w:name="_Toc152045565"/>
      <w:bookmarkStart w:id="315" w:name="_Toc296602454"/>
      <w:bookmarkStart w:id="316" w:name="_Toc152042341"/>
      <w:bookmarkStart w:id="317" w:name="_Toc144974533"/>
      <w:bookmarkStart w:id="318" w:name="_Toc179632583"/>
      <w:bookmarkStart w:id="319" w:name="_Toc246996209"/>
      <w:r>
        <w:rPr>
          <w:rFonts w:hint="eastAsia"/>
        </w:rPr>
        <w:t>6.3 评标</w:t>
      </w:r>
      <w:bookmarkEnd w:id="312"/>
      <w:bookmarkEnd w:id="313"/>
      <w:bookmarkEnd w:id="314"/>
      <w:bookmarkEnd w:id="315"/>
      <w:bookmarkEnd w:id="316"/>
      <w:bookmarkEnd w:id="317"/>
      <w:bookmarkEnd w:id="318"/>
      <w:bookmarkEnd w:id="319"/>
    </w:p>
    <w:p>
      <w:pPr>
        <w:spacing w:line="400" w:lineRule="exact"/>
        <w:ind w:firstLine="420" w:firstLineChars="200"/>
      </w:pPr>
      <w:r>
        <w:rPr>
          <w:rFonts w:hint="eastAsia"/>
        </w:rPr>
        <w:t>评标委员会按照第三章“评标办法”规定的方法、评审因素、标准和程序对投标文件进行评审。第三章“评标办法”没有规定的方法、评审因素和标准，不作为评标依据。</w:t>
      </w:r>
    </w:p>
    <w:p>
      <w:pPr>
        <w:pStyle w:val="3"/>
      </w:pPr>
      <w:bookmarkStart w:id="320" w:name="_Toc152042342"/>
      <w:bookmarkStart w:id="321" w:name="_Toc247085724"/>
      <w:bookmarkStart w:id="322" w:name="_Toc179632584"/>
      <w:bookmarkStart w:id="323" w:name="_Toc246996210"/>
      <w:bookmarkStart w:id="324" w:name="_Toc246996953"/>
      <w:bookmarkStart w:id="325" w:name="_Toc296602455"/>
      <w:bookmarkStart w:id="326" w:name="_Toc152045566"/>
      <w:bookmarkStart w:id="327" w:name="_Toc144974534"/>
      <w:r>
        <w:rPr>
          <w:rFonts w:hint="eastAsia"/>
        </w:rPr>
        <w:t>7. 合同授予</w:t>
      </w:r>
      <w:bookmarkEnd w:id="320"/>
      <w:bookmarkEnd w:id="321"/>
      <w:bookmarkEnd w:id="322"/>
      <w:bookmarkEnd w:id="323"/>
      <w:bookmarkEnd w:id="324"/>
      <w:bookmarkEnd w:id="325"/>
      <w:bookmarkEnd w:id="326"/>
      <w:bookmarkEnd w:id="327"/>
    </w:p>
    <w:p>
      <w:pPr>
        <w:pStyle w:val="4"/>
      </w:pPr>
      <w:bookmarkStart w:id="328" w:name="_Toc152042343"/>
      <w:bookmarkStart w:id="329" w:name="_Toc296602456"/>
      <w:bookmarkStart w:id="330" w:name="_Toc246996211"/>
      <w:bookmarkStart w:id="331" w:name="_Toc179632585"/>
      <w:bookmarkStart w:id="332" w:name="_Toc246996954"/>
      <w:bookmarkStart w:id="333" w:name="_Toc152045567"/>
      <w:bookmarkStart w:id="334" w:name="_Toc247085725"/>
      <w:bookmarkStart w:id="335" w:name="_Toc144974535"/>
      <w:r>
        <w:rPr>
          <w:rFonts w:hint="eastAsia"/>
        </w:rPr>
        <w:t>7.1 定标方式</w:t>
      </w:r>
      <w:bookmarkEnd w:id="328"/>
      <w:bookmarkEnd w:id="329"/>
      <w:bookmarkEnd w:id="330"/>
      <w:bookmarkEnd w:id="331"/>
      <w:bookmarkEnd w:id="332"/>
      <w:bookmarkEnd w:id="333"/>
      <w:bookmarkEnd w:id="334"/>
      <w:bookmarkEnd w:id="335"/>
    </w:p>
    <w:p>
      <w:pPr>
        <w:spacing w:line="400" w:lineRule="exact"/>
        <w:ind w:firstLine="420" w:firstLineChars="200"/>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Pr>
      <w:bookmarkStart w:id="336" w:name="_Toc296602457"/>
      <w:r>
        <w:rPr>
          <w:rFonts w:hint="eastAsia"/>
        </w:rPr>
        <w:t>7.2 中标候选人公示</w:t>
      </w:r>
      <w:bookmarkEnd w:id="336"/>
    </w:p>
    <w:p>
      <w:pPr>
        <w:spacing w:line="400" w:lineRule="exact"/>
        <w:ind w:firstLine="420" w:firstLineChars="200"/>
      </w:pPr>
      <w:r>
        <w:rPr>
          <w:rFonts w:hint="eastAsia"/>
        </w:rPr>
        <w:t>招标人在投标人须知前附表规定的媒介公示中标候选人。</w:t>
      </w:r>
    </w:p>
    <w:p>
      <w:pPr>
        <w:pStyle w:val="4"/>
      </w:pPr>
      <w:bookmarkStart w:id="337" w:name="_Toc246996955"/>
      <w:bookmarkStart w:id="338" w:name="_Toc247085726"/>
      <w:bookmarkStart w:id="339" w:name="_Toc179632586"/>
      <w:bookmarkStart w:id="340" w:name="_Toc152045568"/>
      <w:bookmarkStart w:id="341" w:name="_Toc152042344"/>
      <w:bookmarkStart w:id="342" w:name="_Toc246996212"/>
      <w:bookmarkStart w:id="343" w:name="_Toc296602458"/>
      <w:bookmarkStart w:id="344" w:name="_Toc144974536"/>
      <w:r>
        <w:rPr>
          <w:rFonts w:hint="eastAsia"/>
        </w:rPr>
        <w:t>7.3 中标通知</w:t>
      </w:r>
      <w:bookmarkEnd w:id="337"/>
      <w:bookmarkEnd w:id="338"/>
      <w:bookmarkEnd w:id="339"/>
      <w:bookmarkEnd w:id="340"/>
      <w:bookmarkEnd w:id="341"/>
      <w:bookmarkEnd w:id="342"/>
      <w:bookmarkEnd w:id="343"/>
      <w:bookmarkEnd w:id="344"/>
    </w:p>
    <w:p>
      <w:pPr>
        <w:spacing w:line="400" w:lineRule="exact"/>
        <w:ind w:firstLine="420" w:firstLineChars="200"/>
      </w:pPr>
      <w:r>
        <w:rPr>
          <w:rFonts w:hint="eastAsia"/>
        </w:rPr>
        <w:t>在本章第3.3款规定的投标有效期内，招标人以书面形式向中标人发出中标通知书，同时将中标结果通知未中标的投标人。</w:t>
      </w:r>
    </w:p>
    <w:p>
      <w:pPr>
        <w:pStyle w:val="4"/>
      </w:pPr>
      <w:bookmarkStart w:id="345" w:name="_Toc144974537"/>
      <w:bookmarkStart w:id="346" w:name="_Toc246996213"/>
      <w:bookmarkStart w:id="347" w:name="_Toc247085727"/>
      <w:bookmarkStart w:id="348" w:name="_Toc296602459"/>
      <w:bookmarkStart w:id="349" w:name="_Toc152045569"/>
      <w:bookmarkStart w:id="350" w:name="_Toc152042345"/>
      <w:bookmarkStart w:id="351" w:name="_Toc246996956"/>
      <w:bookmarkStart w:id="352" w:name="_Toc179632587"/>
      <w:r>
        <w:rPr>
          <w:rFonts w:hint="eastAsia"/>
        </w:rPr>
        <w:t>7.4 履约担保</w:t>
      </w:r>
      <w:bookmarkEnd w:id="345"/>
      <w:bookmarkEnd w:id="346"/>
      <w:bookmarkEnd w:id="347"/>
      <w:bookmarkEnd w:id="348"/>
      <w:bookmarkEnd w:id="349"/>
      <w:bookmarkEnd w:id="350"/>
      <w:bookmarkEnd w:id="351"/>
      <w:bookmarkEnd w:id="352"/>
    </w:p>
    <w:p>
      <w:pPr>
        <w:spacing w:line="400" w:lineRule="exact"/>
        <w:ind w:firstLine="420" w:firstLineChars="200"/>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w:t>
      </w:r>
      <w:r>
        <w:rPr>
          <w:rFonts w:hint="eastAsia"/>
          <w:highlight w:val="yellow"/>
        </w:rPr>
        <w:t>履约担保金额为</w:t>
      </w:r>
      <w:r>
        <w:rPr>
          <w:rFonts w:hint="eastAsia"/>
          <w:b/>
          <w:bCs/>
          <w:szCs w:val="21"/>
          <w:shd w:val="clear" w:color="FFFFFF" w:fill="D9D9D9"/>
          <w:lang w:val="en-US" w:eastAsia="zh-CN"/>
        </w:rPr>
        <w:t>0</w:t>
      </w:r>
      <w:r>
        <w:rPr>
          <w:rFonts w:hint="eastAsia"/>
          <w:b/>
          <w:bCs/>
          <w:szCs w:val="21"/>
          <w:highlight w:val="yellow"/>
          <w:shd w:val="clear" w:color="FFFFFF" w:fill="D9D9D9"/>
        </w:rPr>
        <w:t>万元整</w:t>
      </w:r>
      <w:r>
        <w:rPr>
          <w:rFonts w:hint="eastAsia"/>
        </w:rPr>
        <w:t>。</w:t>
      </w:r>
    </w:p>
    <w:p>
      <w:pPr>
        <w:spacing w:line="400" w:lineRule="exact"/>
        <w:ind w:firstLine="420" w:firstLineChars="200"/>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Pr>
      <w:bookmarkStart w:id="353" w:name="_Toc152045570"/>
      <w:bookmarkStart w:id="354" w:name="_Toc144974538"/>
      <w:bookmarkStart w:id="355" w:name="_Toc247085728"/>
      <w:bookmarkStart w:id="356" w:name="_Toc296602460"/>
      <w:bookmarkStart w:id="357" w:name="_Toc246996957"/>
      <w:bookmarkStart w:id="358" w:name="_Toc179632588"/>
      <w:bookmarkStart w:id="359" w:name="_Toc246996214"/>
      <w:bookmarkStart w:id="360" w:name="_Toc152042346"/>
      <w:r>
        <w:rPr>
          <w:rFonts w:hint="eastAsia"/>
        </w:rPr>
        <w:t>7.5 签订合同</w:t>
      </w:r>
      <w:bookmarkEnd w:id="353"/>
      <w:bookmarkEnd w:id="354"/>
      <w:bookmarkEnd w:id="355"/>
      <w:bookmarkEnd w:id="356"/>
      <w:bookmarkEnd w:id="357"/>
      <w:bookmarkEnd w:id="358"/>
      <w:bookmarkEnd w:id="359"/>
      <w:bookmarkEnd w:id="360"/>
    </w:p>
    <w:p>
      <w:pPr>
        <w:spacing w:line="400" w:lineRule="exact"/>
        <w:ind w:firstLine="420" w:firstLineChars="200"/>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spacing w:line="400" w:lineRule="exact"/>
        <w:ind w:firstLine="420" w:firstLineChars="200"/>
      </w:pPr>
      <w:r>
        <w:rPr>
          <w:rFonts w:hint="eastAsia"/>
        </w:rPr>
        <w:t>7.5.2 发出中标通知书后，招标人无正当理由拒签合同的，招标人向中标人退还投标保证金；给中标人造成损失的，还应当赔偿损失。</w:t>
      </w:r>
    </w:p>
    <w:p>
      <w:pPr>
        <w:pStyle w:val="3"/>
      </w:pPr>
      <w:bookmarkStart w:id="361" w:name="_Toc296602461"/>
      <w:r>
        <w:rPr>
          <w:rFonts w:hint="eastAsia"/>
        </w:rPr>
        <w:t>8. 纪律和监督</w:t>
      </w:r>
      <w:bookmarkEnd w:id="361"/>
    </w:p>
    <w:p>
      <w:pPr>
        <w:pStyle w:val="4"/>
      </w:pPr>
      <w:bookmarkStart w:id="362" w:name="_Toc247085733"/>
      <w:bookmarkStart w:id="363" w:name="_Toc296602462"/>
      <w:bookmarkStart w:id="364" w:name="_Toc296590983"/>
      <w:bookmarkStart w:id="365" w:name="_Toc246996962"/>
      <w:bookmarkStart w:id="366" w:name="_Toc144974543"/>
      <w:bookmarkStart w:id="367" w:name="_Toc152045575"/>
      <w:bookmarkStart w:id="368" w:name="_Toc152042351"/>
      <w:bookmarkStart w:id="369" w:name="_Toc179632593"/>
      <w:bookmarkStart w:id="370" w:name="_Toc246996219"/>
      <w:r>
        <w:rPr>
          <w:rFonts w:hint="eastAsia"/>
        </w:rPr>
        <w:t>8.1 对招标人的纪律要求</w:t>
      </w:r>
      <w:bookmarkEnd w:id="362"/>
      <w:bookmarkEnd w:id="363"/>
      <w:bookmarkEnd w:id="364"/>
      <w:bookmarkEnd w:id="365"/>
      <w:bookmarkEnd w:id="366"/>
      <w:bookmarkEnd w:id="367"/>
      <w:bookmarkEnd w:id="368"/>
      <w:bookmarkEnd w:id="369"/>
      <w:bookmarkEnd w:id="370"/>
    </w:p>
    <w:p>
      <w:pPr>
        <w:spacing w:line="400" w:lineRule="exact"/>
        <w:ind w:firstLine="420" w:firstLineChars="200"/>
      </w:pPr>
      <w:r>
        <w:rPr>
          <w:rFonts w:hint="eastAsia"/>
        </w:rPr>
        <w:t>招标人不得泄漏招标投标活动中应当保密的情况和资料，不得与投标人串通损害国家利益、社会公共利益或者他人合法权益。</w:t>
      </w:r>
    </w:p>
    <w:p>
      <w:pPr>
        <w:pStyle w:val="4"/>
      </w:pPr>
      <w:bookmarkStart w:id="371" w:name="_Toc144974544"/>
      <w:bookmarkStart w:id="372" w:name="_Toc247085734"/>
      <w:bookmarkStart w:id="373" w:name="_Toc296602463"/>
      <w:bookmarkStart w:id="374" w:name="_Toc179632594"/>
      <w:bookmarkStart w:id="375" w:name="_Toc152045576"/>
      <w:bookmarkStart w:id="376" w:name="_Toc246996220"/>
      <w:bookmarkStart w:id="377" w:name="_Toc152042352"/>
      <w:bookmarkStart w:id="378" w:name="_Toc246996963"/>
      <w:r>
        <w:rPr>
          <w:rFonts w:hint="eastAsia"/>
        </w:rPr>
        <w:t>8.2 对投标人的纪律要求</w:t>
      </w:r>
      <w:bookmarkEnd w:id="371"/>
      <w:bookmarkEnd w:id="372"/>
      <w:bookmarkEnd w:id="373"/>
      <w:bookmarkEnd w:id="374"/>
      <w:bookmarkEnd w:id="375"/>
      <w:bookmarkEnd w:id="376"/>
      <w:bookmarkEnd w:id="377"/>
      <w:bookmarkEnd w:id="378"/>
    </w:p>
    <w:p>
      <w:pPr>
        <w:spacing w:line="400" w:lineRule="exact"/>
        <w:ind w:firstLine="420" w:firstLineChars="200"/>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Pr>
      <w:bookmarkStart w:id="379" w:name="_Toc247085735"/>
      <w:bookmarkStart w:id="380" w:name="_Toc246996964"/>
      <w:bookmarkStart w:id="381" w:name="_Toc144974545"/>
      <w:bookmarkStart w:id="382" w:name="_Toc296602464"/>
      <w:bookmarkStart w:id="383" w:name="_Toc179632595"/>
      <w:bookmarkStart w:id="384" w:name="_Toc152042353"/>
      <w:bookmarkStart w:id="385" w:name="_Toc246996221"/>
      <w:bookmarkStart w:id="386" w:name="_Toc152045577"/>
      <w:r>
        <w:rPr>
          <w:rFonts w:hint="eastAsia"/>
        </w:rPr>
        <w:t>8.3 对评标委员会成员的纪律要求</w:t>
      </w:r>
      <w:bookmarkEnd w:id="379"/>
      <w:bookmarkEnd w:id="380"/>
      <w:bookmarkEnd w:id="381"/>
      <w:bookmarkEnd w:id="382"/>
      <w:bookmarkEnd w:id="383"/>
      <w:bookmarkEnd w:id="384"/>
      <w:bookmarkEnd w:id="385"/>
      <w:bookmarkEnd w:id="386"/>
    </w:p>
    <w:p>
      <w:pPr>
        <w:spacing w:line="400" w:lineRule="exact"/>
        <w:ind w:firstLine="420" w:firstLineChars="200"/>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Pr>
      <w:bookmarkStart w:id="387" w:name="_Toc247085736"/>
      <w:bookmarkStart w:id="388" w:name="_Toc152042354"/>
      <w:bookmarkStart w:id="389" w:name="_Toc152045578"/>
      <w:bookmarkStart w:id="390" w:name="_Toc246996222"/>
      <w:bookmarkStart w:id="391" w:name="_Toc246996965"/>
      <w:bookmarkStart w:id="392" w:name="_Toc179632596"/>
      <w:bookmarkStart w:id="393" w:name="_Toc296602465"/>
      <w:bookmarkStart w:id="394" w:name="_Toc144974546"/>
      <w:r>
        <w:rPr>
          <w:rFonts w:hint="eastAsia"/>
        </w:rPr>
        <w:t>8.4 对与评标活动有关的工作人员的纪律要求</w:t>
      </w:r>
      <w:bookmarkEnd w:id="387"/>
      <w:bookmarkEnd w:id="388"/>
      <w:bookmarkEnd w:id="389"/>
      <w:bookmarkEnd w:id="390"/>
      <w:bookmarkEnd w:id="391"/>
      <w:bookmarkEnd w:id="392"/>
      <w:bookmarkEnd w:id="393"/>
    </w:p>
    <w:p>
      <w:pPr>
        <w:spacing w:line="400" w:lineRule="exact"/>
        <w:ind w:firstLine="420" w:firstLineChars="200"/>
      </w:pPr>
      <w:bookmarkStart w:id="39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95"/>
    </w:p>
    <w:p>
      <w:pPr>
        <w:pStyle w:val="4"/>
      </w:pPr>
      <w:bookmarkStart w:id="396" w:name="_Toc152045579"/>
      <w:bookmarkStart w:id="397" w:name="_Toc152042356"/>
      <w:bookmarkStart w:id="398" w:name="_Toc296602466"/>
      <w:bookmarkStart w:id="399" w:name="_Toc246996223"/>
      <w:bookmarkStart w:id="400" w:name="_Toc246996966"/>
      <w:bookmarkStart w:id="401" w:name="_Toc179632597"/>
      <w:bookmarkStart w:id="402" w:name="_Toc247085737"/>
      <w:r>
        <w:rPr>
          <w:rFonts w:hint="eastAsia"/>
        </w:rPr>
        <w:t>8.5 投诉</w:t>
      </w:r>
      <w:bookmarkEnd w:id="394"/>
      <w:bookmarkEnd w:id="396"/>
      <w:bookmarkEnd w:id="397"/>
      <w:bookmarkEnd w:id="398"/>
      <w:bookmarkEnd w:id="399"/>
      <w:bookmarkEnd w:id="400"/>
      <w:bookmarkEnd w:id="401"/>
      <w:bookmarkEnd w:id="402"/>
    </w:p>
    <w:p>
      <w:pPr>
        <w:spacing w:line="400" w:lineRule="exact"/>
        <w:ind w:firstLine="420" w:firstLineChars="200"/>
      </w:pPr>
      <w:r>
        <w:rPr>
          <w:rFonts w:hint="eastAsia"/>
        </w:rPr>
        <w:t>投标人和其他利害关系人认为本次招标活动违反法律、法规和规章规定的，有权向有关行政监督部门投诉。</w:t>
      </w:r>
    </w:p>
    <w:p>
      <w:pPr>
        <w:pStyle w:val="3"/>
      </w:pPr>
      <w:bookmarkStart w:id="403" w:name="_Toc144974547"/>
      <w:bookmarkStart w:id="404" w:name="_Toc246996224"/>
      <w:bookmarkStart w:id="405" w:name="_Toc179632598"/>
      <w:bookmarkStart w:id="406" w:name="_Toc296602467"/>
      <w:bookmarkStart w:id="407" w:name="_Toc152045580"/>
      <w:bookmarkStart w:id="408" w:name="_Toc152042357"/>
      <w:bookmarkStart w:id="409" w:name="_Toc246996967"/>
      <w:bookmarkStart w:id="410" w:name="_Toc247085738"/>
      <w:r>
        <w:rPr>
          <w:rFonts w:hint="eastAsia"/>
        </w:rPr>
        <w:t>9. 需要补充的其他内容</w:t>
      </w:r>
      <w:bookmarkEnd w:id="403"/>
      <w:bookmarkEnd w:id="404"/>
      <w:bookmarkEnd w:id="405"/>
      <w:bookmarkEnd w:id="406"/>
      <w:bookmarkEnd w:id="407"/>
      <w:bookmarkEnd w:id="408"/>
      <w:bookmarkEnd w:id="409"/>
      <w:bookmarkEnd w:id="410"/>
    </w:p>
    <w:p>
      <w:pPr>
        <w:spacing w:line="400" w:lineRule="exact"/>
        <w:ind w:firstLine="420" w:firstLineChars="200"/>
      </w:pPr>
      <w:r>
        <w:rPr>
          <w:rFonts w:hint="eastAsia"/>
        </w:rPr>
        <w:t>需要补充的其他内容：见投标人须知前附表。</w:t>
      </w:r>
    </w:p>
    <w:p>
      <w:pPr>
        <w:spacing w:line="440" w:lineRule="exact"/>
        <w:ind w:firstLine="210" w:firstLineChars="100"/>
      </w:pPr>
      <w:r>
        <w:rPr>
          <w:szCs w:val="21"/>
        </w:rPr>
        <w:br w:type="page"/>
      </w:r>
    </w:p>
    <w:p>
      <w:pPr>
        <w:pStyle w:val="2"/>
        <w:jc w:val="center"/>
      </w:pPr>
      <w:bookmarkStart w:id="411" w:name="_Toc179632605"/>
      <w:bookmarkStart w:id="412" w:name="_Toc296602475"/>
      <w:bookmarkStart w:id="413" w:name="_Toc246996230"/>
      <w:bookmarkStart w:id="414" w:name="_Toc152045587"/>
      <w:bookmarkStart w:id="415" w:name="_Toc144974554"/>
      <w:bookmarkStart w:id="416" w:name="_Toc152042364"/>
      <w:bookmarkStart w:id="417" w:name="_Toc247085745"/>
      <w:bookmarkStart w:id="418" w:name="_Toc246996973"/>
      <w:r>
        <w:rPr>
          <w:rFonts w:hint="eastAsia"/>
        </w:rPr>
        <w:t>第三章 评标办法（最低投标价法）</w:t>
      </w:r>
      <w:bookmarkEnd w:id="411"/>
      <w:bookmarkEnd w:id="412"/>
      <w:bookmarkEnd w:id="413"/>
      <w:bookmarkEnd w:id="414"/>
      <w:bookmarkEnd w:id="415"/>
      <w:bookmarkEnd w:id="416"/>
      <w:bookmarkEnd w:id="417"/>
      <w:bookmarkEnd w:id="418"/>
    </w:p>
    <w:p>
      <w:pPr>
        <w:spacing w:line="400" w:lineRule="exact"/>
      </w:pPr>
    </w:p>
    <w:p>
      <w:pPr>
        <w:pStyle w:val="3"/>
      </w:pPr>
      <w:bookmarkStart w:id="419" w:name="_Toc179632606"/>
      <w:bookmarkStart w:id="420" w:name="_Toc246996974"/>
      <w:bookmarkStart w:id="421" w:name="_Toc152045588"/>
      <w:bookmarkStart w:id="422" w:name="_Toc296602476"/>
      <w:bookmarkStart w:id="423" w:name="_Toc246996231"/>
      <w:bookmarkStart w:id="424" w:name="_Toc247085746"/>
      <w:bookmarkStart w:id="425" w:name="_Toc152042365"/>
      <w:bookmarkStart w:id="426" w:name="_Toc144974555"/>
      <w:r>
        <w:rPr>
          <w:rFonts w:hint="eastAsia"/>
        </w:rPr>
        <w:t>评标办法前附表</w:t>
      </w:r>
      <w:bookmarkEnd w:id="419"/>
      <w:bookmarkEnd w:id="420"/>
      <w:bookmarkEnd w:id="421"/>
      <w:bookmarkEnd w:id="422"/>
      <w:bookmarkEnd w:id="423"/>
      <w:bookmarkEnd w:id="424"/>
      <w:bookmarkEnd w:id="425"/>
      <w:bookmarkEnd w:id="426"/>
    </w:p>
    <w:tbl>
      <w:tblPr>
        <w:tblStyle w:val="37"/>
        <w:tblW w:w="892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36"/>
        <w:gridCol w:w="912"/>
        <w:gridCol w:w="2702"/>
        <w:gridCol w:w="467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548" w:type="dxa"/>
            <w:gridSpan w:val="2"/>
            <w:tcBorders>
              <w:top w:val="single" w:color="auto" w:sz="4" w:space="0"/>
              <w:bottom w:val="single" w:color="auto" w:sz="4" w:space="0"/>
              <w:right w:val="single" w:color="auto" w:sz="4" w:space="0"/>
            </w:tcBorders>
            <w:vAlign w:val="center"/>
          </w:tcPr>
          <w:p>
            <w:pPr>
              <w:spacing w:line="440" w:lineRule="exact"/>
              <w:jc w:val="center"/>
              <w:rPr>
                <w:b/>
                <w:szCs w:val="21"/>
              </w:rPr>
            </w:pPr>
            <w:r>
              <w:rPr>
                <w:b/>
                <w:szCs w:val="21"/>
              </w:rPr>
              <w:t>条款号</w:t>
            </w: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评审因素</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restart"/>
            <w:tcBorders>
              <w:top w:val="single" w:color="auto" w:sz="4" w:space="0"/>
              <w:bottom w:val="single" w:color="auto" w:sz="4" w:space="0"/>
              <w:right w:val="single" w:color="auto" w:sz="4" w:space="0"/>
            </w:tcBorders>
            <w:vAlign w:val="center"/>
          </w:tcPr>
          <w:p>
            <w:pPr>
              <w:spacing w:line="440" w:lineRule="exact"/>
              <w:jc w:val="center"/>
              <w:rPr>
                <w:szCs w:val="21"/>
              </w:rPr>
            </w:pPr>
            <w:r>
              <w:rPr>
                <w:szCs w:val="21"/>
              </w:rPr>
              <w:t>2.1.1</w:t>
            </w:r>
          </w:p>
        </w:tc>
        <w:tc>
          <w:tcPr>
            <w:tcW w:w="912" w:type="dxa"/>
            <w:vMerge w:val="restart"/>
            <w:tcBorders>
              <w:top w:val="single" w:color="auto" w:sz="4" w:space="0"/>
              <w:bottom w:val="single" w:color="auto" w:sz="4" w:space="0"/>
              <w:right w:val="single" w:color="auto" w:sz="4" w:space="0"/>
            </w:tcBorders>
            <w:vAlign w:val="center"/>
          </w:tcPr>
          <w:p>
            <w:pPr>
              <w:spacing w:line="440" w:lineRule="exact"/>
              <w:jc w:val="center"/>
              <w:rPr>
                <w:szCs w:val="21"/>
              </w:rPr>
            </w:pPr>
            <w:r>
              <w:rPr>
                <w:szCs w:val="21"/>
              </w:rPr>
              <w:t>形式评审标准</w:t>
            </w: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投标人名称</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Cs w:val="21"/>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912"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投标函签字盖章</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Cs w:val="21"/>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912"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投标文件格式</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Cs w:val="21"/>
              </w:rPr>
              <w:t>符合第八章“投标文件格式”的要求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912"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报价唯一</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Cs w:val="21"/>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912"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restart"/>
            <w:tcBorders>
              <w:top w:val="single" w:color="auto" w:sz="4" w:space="0"/>
              <w:bottom w:val="single" w:color="auto" w:sz="4" w:space="0"/>
              <w:right w:val="single" w:color="auto" w:sz="4" w:space="0"/>
            </w:tcBorders>
            <w:vAlign w:val="center"/>
          </w:tcPr>
          <w:p>
            <w:pPr>
              <w:spacing w:line="440" w:lineRule="exact"/>
              <w:jc w:val="center"/>
              <w:rPr>
                <w:szCs w:val="21"/>
              </w:rPr>
            </w:pPr>
            <w:r>
              <w:rPr>
                <w:szCs w:val="21"/>
              </w:rPr>
              <w:t>2.1.2</w:t>
            </w:r>
          </w:p>
        </w:tc>
        <w:tc>
          <w:tcPr>
            <w:tcW w:w="912" w:type="dxa"/>
            <w:vMerge w:val="restart"/>
            <w:tcBorders>
              <w:top w:val="single" w:color="auto" w:sz="4" w:space="0"/>
              <w:bottom w:val="single" w:color="auto" w:sz="4" w:space="0"/>
              <w:right w:val="single" w:color="auto" w:sz="4" w:space="0"/>
            </w:tcBorders>
            <w:vAlign w:val="center"/>
          </w:tcPr>
          <w:p>
            <w:pPr>
              <w:spacing w:line="440" w:lineRule="exact"/>
              <w:jc w:val="center"/>
              <w:rPr>
                <w:szCs w:val="21"/>
              </w:rPr>
            </w:pPr>
            <w:r>
              <w:rPr>
                <w:szCs w:val="21"/>
              </w:rPr>
              <w:t>资格评审标准</w:t>
            </w: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营业执照</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Cs w:val="21"/>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top w:val="single" w:color="auto" w:sz="4" w:space="0"/>
              <w:bottom w:val="single" w:color="auto" w:sz="4" w:space="0"/>
              <w:right w:val="single" w:color="auto" w:sz="4" w:space="0"/>
            </w:tcBorders>
            <w:vAlign w:val="center"/>
          </w:tcPr>
          <w:p>
            <w:pPr>
              <w:spacing w:line="440" w:lineRule="exact"/>
              <w:jc w:val="center"/>
              <w:rPr>
                <w:szCs w:val="21"/>
              </w:rPr>
            </w:pPr>
          </w:p>
        </w:tc>
        <w:tc>
          <w:tcPr>
            <w:tcW w:w="912" w:type="dxa"/>
            <w:vMerge w:val="continue"/>
            <w:tcBorders>
              <w:top w:val="single" w:color="auto" w:sz="4" w:space="0"/>
              <w:bottom w:val="single" w:color="auto" w:sz="4" w:space="0"/>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r>
              <w:rPr>
                <w:rFonts w:hint="eastAsia" w:ascii="宋体" w:hAnsi="宋体" w:cs="宋体"/>
                <w:sz w:val="24"/>
                <w:szCs w:val="24"/>
              </w:rPr>
              <w:t>投标授权书或法定代表人身份证明</w:t>
            </w:r>
          </w:p>
        </w:tc>
        <w:tc>
          <w:tcPr>
            <w:tcW w:w="4678" w:type="dxa"/>
            <w:tcBorders>
              <w:top w:val="single" w:color="auto" w:sz="4" w:space="0"/>
              <w:left w:val="single" w:color="auto" w:sz="4" w:space="0"/>
              <w:bottom w:val="single" w:color="auto" w:sz="4" w:space="0"/>
              <w:right w:val="single" w:color="auto" w:sz="4" w:space="0"/>
            </w:tcBorders>
          </w:tcPr>
          <w:p>
            <w:pPr>
              <w:spacing w:line="440" w:lineRule="exact"/>
              <w:rPr>
                <w:rFonts w:hint="eastAsia" w:eastAsia="宋体"/>
                <w:szCs w:val="21"/>
                <w:lang w:eastAsia="zh-CN"/>
              </w:rPr>
            </w:pPr>
            <w:r>
              <w:rPr>
                <w:rFonts w:hint="eastAsia" w:ascii="宋体" w:hAnsi="宋体" w:cs="宋体"/>
                <w:sz w:val="24"/>
                <w:szCs w:val="24"/>
              </w:rPr>
              <w:t>投标授权书或法定代表人身份证明</w:t>
            </w:r>
            <w:r>
              <w:rPr>
                <w:rFonts w:hint="eastAsia" w:ascii="宋体" w:hAnsi="宋体" w:cs="宋体"/>
                <w:sz w:val="24"/>
                <w:szCs w:val="24"/>
                <w:lang w:eastAsia="zh-CN"/>
              </w:rPr>
              <w:t>（</w:t>
            </w:r>
            <w:r>
              <w:rPr>
                <w:rFonts w:hint="eastAsia" w:ascii="宋体" w:hAnsi="宋体" w:cs="宋体"/>
                <w:sz w:val="24"/>
                <w:szCs w:val="24"/>
                <w:lang w:val="en-US" w:eastAsia="zh-CN"/>
              </w:rPr>
              <w:t>复印件，加盖章</w:t>
            </w:r>
            <w:r>
              <w:rPr>
                <w:rFonts w:hint="eastAsia" w:ascii="宋体" w:hAnsi="宋体" w:cs="宋体"/>
                <w:sz w:val="24"/>
                <w:szCs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912"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default" w:eastAsia="宋体"/>
                <w:szCs w:val="21"/>
                <w:lang w:val="en-US" w:eastAsia="zh-CN"/>
              </w:rPr>
            </w:pPr>
            <w:r>
              <w:rPr>
                <w:rFonts w:hint="eastAsia"/>
                <w:szCs w:val="21"/>
                <w:lang w:val="en-US" w:eastAsia="zh-CN"/>
              </w:rPr>
              <w:t>业绩</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default" w:eastAsia="宋体"/>
                <w:szCs w:val="21"/>
                <w:lang w:val="en-US" w:eastAsia="zh-CN"/>
              </w:rPr>
            </w:pPr>
            <w:r>
              <w:rPr>
                <w:rFonts w:hint="eastAsia"/>
                <w:szCs w:val="21"/>
                <w:lang w:val="en-US" w:eastAsia="zh-CN"/>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912"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其他要求</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Cs w:val="21"/>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912" w:type="dxa"/>
            <w:vMerge w:val="continue"/>
            <w:tcBorders>
              <w:top w:val="nil"/>
              <w:bottom w:val="single" w:color="auto" w:sz="4" w:space="0"/>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restart"/>
            <w:tcBorders>
              <w:top w:val="single" w:color="auto" w:sz="4" w:space="0"/>
              <w:right w:val="single" w:color="auto" w:sz="4" w:space="0"/>
            </w:tcBorders>
            <w:vAlign w:val="center"/>
          </w:tcPr>
          <w:p>
            <w:pPr>
              <w:spacing w:line="440" w:lineRule="exact"/>
              <w:jc w:val="center"/>
              <w:rPr>
                <w:szCs w:val="21"/>
              </w:rPr>
            </w:pPr>
            <w:r>
              <w:rPr>
                <w:szCs w:val="21"/>
              </w:rPr>
              <w:t>2.1.3</w:t>
            </w:r>
          </w:p>
        </w:tc>
        <w:tc>
          <w:tcPr>
            <w:tcW w:w="912" w:type="dxa"/>
            <w:vMerge w:val="restart"/>
            <w:tcBorders>
              <w:top w:val="single" w:color="auto" w:sz="4" w:space="0"/>
              <w:right w:val="single" w:color="auto" w:sz="4" w:space="0"/>
            </w:tcBorders>
            <w:vAlign w:val="center"/>
          </w:tcPr>
          <w:p>
            <w:pPr>
              <w:spacing w:line="440" w:lineRule="exact"/>
              <w:jc w:val="center"/>
              <w:rPr>
                <w:szCs w:val="21"/>
              </w:rPr>
            </w:pPr>
            <w:r>
              <w:rPr>
                <w:szCs w:val="21"/>
              </w:rPr>
              <w:t>响应性评审</w:t>
            </w:r>
          </w:p>
          <w:p>
            <w:pPr>
              <w:spacing w:line="440" w:lineRule="exact"/>
              <w:jc w:val="center"/>
              <w:rPr>
                <w:szCs w:val="21"/>
              </w:rPr>
            </w:pPr>
            <w:r>
              <w:rPr>
                <w:szCs w:val="21"/>
              </w:rPr>
              <w:t>标准</w:t>
            </w: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投标报价</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Cs w:val="21"/>
              </w:rPr>
              <w:t>符合第二章“投标人须知”第</w:t>
            </w:r>
            <w:r>
              <w:rPr>
                <w:rFonts w:hint="eastAsia"/>
                <w:szCs w:val="21"/>
              </w:rPr>
              <w:t>3</w:t>
            </w:r>
            <w:r>
              <w:rPr>
                <w:szCs w:val="21"/>
              </w:rPr>
              <w:t>.</w:t>
            </w:r>
            <w:r>
              <w:rPr>
                <w:rFonts w:hint="eastAsia"/>
                <w:szCs w:val="21"/>
              </w:rPr>
              <w:t>2</w:t>
            </w:r>
            <w:r>
              <w:rPr>
                <w:szCs w:val="21"/>
              </w:rPr>
              <w:t>.</w:t>
            </w:r>
            <w:r>
              <w:rPr>
                <w:rFonts w:hint="eastAsia"/>
                <w:szCs w:val="21"/>
              </w:rPr>
              <w:t>3</w:t>
            </w:r>
            <w:r>
              <w:rPr>
                <w:szCs w:val="21"/>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top w:val="single" w:color="auto" w:sz="4" w:space="0"/>
              <w:right w:val="single" w:color="auto" w:sz="4" w:space="0"/>
            </w:tcBorders>
            <w:vAlign w:val="center"/>
          </w:tcPr>
          <w:p>
            <w:pPr>
              <w:spacing w:line="440" w:lineRule="exact"/>
              <w:jc w:val="center"/>
              <w:rPr>
                <w:szCs w:val="21"/>
              </w:rPr>
            </w:pPr>
          </w:p>
        </w:tc>
        <w:tc>
          <w:tcPr>
            <w:tcW w:w="912" w:type="dxa"/>
            <w:vMerge w:val="continue"/>
            <w:tcBorders>
              <w:top w:val="single" w:color="auto" w:sz="4" w:space="0"/>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投标内容</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Cs w:val="21"/>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right w:val="single" w:color="auto" w:sz="4" w:space="0"/>
            </w:tcBorders>
            <w:vAlign w:val="center"/>
          </w:tcPr>
          <w:p>
            <w:pPr>
              <w:spacing w:line="440" w:lineRule="exact"/>
              <w:jc w:val="center"/>
              <w:rPr>
                <w:szCs w:val="21"/>
              </w:rPr>
            </w:pPr>
          </w:p>
        </w:tc>
        <w:tc>
          <w:tcPr>
            <w:tcW w:w="912" w:type="dxa"/>
            <w:vMerge w:val="continue"/>
            <w:tcBorders>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lang w:val="en-US" w:eastAsia="zh-CN"/>
              </w:rPr>
              <w:t>供货</w:t>
            </w:r>
            <w:r>
              <w:rPr>
                <w:szCs w:val="21"/>
              </w:rPr>
              <w:t>期</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Cs w:val="21"/>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right w:val="single" w:color="auto" w:sz="4" w:space="0"/>
            </w:tcBorders>
            <w:vAlign w:val="center"/>
          </w:tcPr>
          <w:p>
            <w:pPr>
              <w:spacing w:line="440" w:lineRule="exact"/>
              <w:jc w:val="center"/>
              <w:rPr>
                <w:szCs w:val="21"/>
              </w:rPr>
            </w:pPr>
          </w:p>
        </w:tc>
        <w:tc>
          <w:tcPr>
            <w:tcW w:w="912" w:type="dxa"/>
            <w:vMerge w:val="continue"/>
            <w:tcBorders>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质量</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Cs w:val="21"/>
              </w:rPr>
              <w:t>符合第二章“投标人须知”第1.3.3项规定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right w:val="single" w:color="auto" w:sz="4" w:space="0"/>
            </w:tcBorders>
            <w:vAlign w:val="center"/>
          </w:tcPr>
          <w:p>
            <w:pPr>
              <w:spacing w:line="440" w:lineRule="exact"/>
              <w:jc w:val="center"/>
              <w:rPr>
                <w:szCs w:val="21"/>
              </w:rPr>
            </w:pPr>
          </w:p>
        </w:tc>
        <w:tc>
          <w:tcPr>
            <w:tcW w:w="912" w:type="dxa"/>
            <w:vMerge w:val="continue"/>
            <w:tcBorders>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投标有效期</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szCs w:val="21"/>
              </w:rPr>
              <w:t>符合第二章“投标人须知”第</w:t>
            </w:r>
            <w:r>
              <w:rPr>
                <w:rFonts w:hint="eastAsia"/>
                <w:szCs w:val="21"/>
              </w:rPr>
              <w:t>3</w:t>
            </w:r>
            <w:r>
              <w:rPr>
                <w:szCs w:val="21"/>
              </w:rPr>
              <w:t>.3.</w:t>
            </w:r>
            <w:r>
              <w:rPr>
                <w:rFonts w:hint="eastAsia"/>
                <w:szCs w:val="21"/>
              </w:rPr>
              <w:t>1</w:t>
            </w:r>
            <w:r>
              <w:rPr>
                <w:szCs w:val="21"/>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right w:val="single" w:color="auto" w:sz="4" w:space="0"/>
            </w:tcBorders>
            <w:vAlign w:val="center"/>
          </w:tcPr>
          <w:p>
            <w:pPr>
              <w:spacing w:line="440" w:lineRule="exact"/>
              <w:jc w:val="center"/>
              <w:rPr>
                <w:szCs w:val="21"/>
              </w:rPr>
            </w:pPr>
          </w:p>
        </w:tc>
        <w:tc>
          <w:tcPr>
            <w:tcW w:w="912" w:type="dxa"/>
            <w:vMerge w:val="continue"/>
            <w:tcBorders>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lang w:val="en-US" w:eastAsia="zh-CN"/>
              </w:rPr>
              <w:t>服务方案</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符合第七章“</w:t>
            </w:r>
            <w:r>
              <w:rPr>
                <w:rFonts w:hint="eastAsia"/>
                <w:szCs w:val="21"/>
                <w:lang w:val="en-US" w:eastAsia="zh-CN"/>
              </w:rPr>
              <w:t>服务方案</w:t>
            </w:r>
            <w:r>
              <w:rPr>
                <w:rFonts w:hint="eastAsia"/>
                <w:szCs w:val="21"/>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0" w:hRule="atLeast"/>
        </w:trPr>
        <w:tc>
          <w:tcPr>
            <w:tcW w:w="636" w:type="dxa"/>
            <w:vMerge w:val="continue"/>
            <w:tcBorders>
              <w:right w:val="single" w:color="auto" w:sz="4" w:space="0"/>
            </w:tcBorders>
            <w:vAlign w:val="center"/>
          </w:tcPr>
          <w:p>
            <w:pPr>
              <w:spacing w:line="440" w:lineRule="exact"/>
              <w:jc w:val="center"/>
              <w:rPr>
                <w:szCs w:val="21"/>
              </w:rPr>
            </w:pPr>
          </w:p>
        </w:tc>
        <w:tc>
          <w:tcPr>
            <w:tcW w:w="912" w:type="dxa"/>
            <w:vMerge w:val="continue"/>
            <w:tcBorders>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val="en-US" w:eastAsia="zh-CN"/>
              </w:rPr>
            </w:pP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right w:val="single" w:color="auto" w:sz="4" w:space="0"/>
            </w:tcBorders>
            <w:vAlign w:val="center"/>
          </w:tcPr>
          <w:p>
            <w:pPr>
              <w:spacing w:line="440" w:lineRule="exact"/>
              <w:jc w:val="center"/>
              <w:rPr>
                <w:szCs w:val="21"/>
              </w:rPr>
            </w:pPr>
          </w:p>
        </w:tc>
        <w:tc>
          <w:tcPr>
            <w:tcW w:w="912" w:type="dxa"/>
            <w:vMerge w:val="continue"/>
            <w:tcBorders>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bottom w:val="single" w:color="auto" w:sz="4" w:space="0"/>
              <w:right w:val="single" w:color="auto" w:sz="4" w:space="0"/>
            </w:tcBorders>
            <w:vAlign w:val="center"/>
          </w:tcPr>
          <w:p>
            <w:pPr>
              <w:spacing w:line="440" w:lineRule="exact"/>
              <w:jc w:val="center"/>
              <w:rPr>
                <w:szCs w:val="21"/>
              </w:rPr>
            </w:pPr>
          </w:p>
        </w:tc>
        <w:tc>
          <w:tcPr>
            <w:tcW w:w="912" w:type="dxa"/>
            <w:vMerge w:val="continue"/>
            <w:tcBorders>
              <w:bottom w:val="single" w:color="auto" w:sz="4" w:space="0"/>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636" w:type="dxa"/>
            <w:vMerge w:val="continue"/>
            <w:tcBorders>
              <w:bottom w:val="single" w:color="auto" w:sz="4" w:space="0"/>
              <w:right w:val="single" w:color="auto" w:sz="4" w:space="0"/>
            </w:tcBorders>
            <w:vAlign w:val="center"/>
          </w:tcPr>
          <w:p>
            <w:pPr>
              <w:spacing w:line="440" w:lineRule="exact"/>
              <w:jc w:val="center"/>
              <w:rPr>
                <w:szCs w:val="21"/>
              </w:rPr>
            </w:pPr>
          </w:p>
        </w:tc>
        <w:tc>
          <w:tcPr>
            <w:tcW w:w="912" w:type="dxa"/>
            <w:vMerge w:val="continue"/>
            <w:tcBorders>
              <w:bottom w:val="single" w:color="auto" w:sz="4" w:space="0"/>
              <w:right w:val="single" w:color="auto" w:sz="4" w:space="0"/>
            </w:tcBorders>
            <w:vAlign w:val="center"/>
          </w:tcPr>
          <w:p>
            <w:pPr>
              <w:spacing w:line="440" w:lineRule="exact"/>
              <w:jc w:val="center"/>
              <w:rPr>
                <w:szCs w:val="21"/>
              </w:rPr>
            </w:pPr>
          </w:p>
        </w:tc>
        <w:tc>
          <w:tcPr>
            <w:tcW w:w="270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w:t>
            </w:r>
          </w:p>
        </w:tc>
        <w:tc>
          <w:tcPr>
            <w:tcW w:w="467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928" w:type="dxa"/>
            <w:gridSpan w:val="4"/>
            <w:tcBorders>
              <w:bottom w:val="single" w:color="auto" w:sz="4" w:space="0"/>
              <w:right w:val="single" w:color="auto" w:sz="4" w:space="0"/>
            </w:tcBorders>
            <w:vAlign w:val="center"/>
          </w:tcPr>
          <w:p>
            <w:pPr>
              <w:spacing w:line="440" w:lineRule="exact"/>
              <w:rPr>
                <w:szCs w:val="21"/>
              </w:rPr>
            </w:pPr>
          </w:p>
        </w:tc>
      </w:tr>
    </w:tbl>
    <w:p>
      <w:pPr>
        <w:spacing w:line="400" w:lineRule="exact"/>
      </w:pPr>
    </w:p>
    <w:p>
      <w:pPr>
        <w:spacing w:line="400" w:lineRule="exact"/>
      </w:pPr>
    </w:p>
    <w:p>
      <w:pPr>
        <w:pStyle w:val="3"/>
      </w:pPr>
      <w:bookmarkStart w:id="427" w:name="_Toc246996232"/>
      <w:bookmarkStart w:id="428" w:name="_Toc144974556"/>
      <w:bookmarkStart w:id="429" w:name="_Toc296602477"/>
      <w:bookmarkStart w:id="430" w:name="_Toc247085747"/>
      <w:bookmarkStart w:id="431" w:name="_Toc179632607"/>
      <w:bookmarkStart w:id="432" w:name="_Toc152042366"/>
      <w:bookmarkStart w:id="433" w:name="_Toc246996975"/>
      <w:bookmarkStart w:id="434" w:name="_Toc152045589"/>
      <w:r>
        <w:rPr>
          <w:rFonts w:hint="eastAsia"/>
        </w:rPr>
        <w:t>1. 评标方法</w:t>
      </w:r>
      <w:bookmarkEnd w:id="427"/>
      <w:bookmarkEnd w:id="428"/>
      <w:bookmarkEnd w:id="429"/>
      <w:bookmarkEnd w:id="430"/>
      <w:bookmarkEnd w:id="431"/>
      <w:bookmarkEnd w:id="432"/>
      <w:bookmarkEnd w:id="433"/>
      <w:bookmarkEnd w:id="434"/>
    </w:p>
    <w:p>
      <w:pPr>
        <w:spacing w:line="400" w:lineRule="exact"/>
        <w:ind w:firstLine="420" w:firstLineChars="200"/>
      </w:pPr>
      <w:r>
        <w:rPr>
          <w:rFonts w:hint="eastAsia"/>
        </w:rPr>
        <w:t>本次评标采用最低投标价法。评标委员会对满足招标文件实质要求的投标文件，按照投标价由低到高的顺序推荐中标候选人，但投标报价低于其成本的除外。</w:t>
      </w:r>
    </w:p>
    <w:p>
      <w:pPr>
        <w:pStyle w:val="3"/>
      </w:pPr>
      <w:bookmarkStart w:id="435" w:name="_Toc152045590"/>
      <w:bookmarkStart w:id="436" w:name="_Toc296602478"/>
      <w:bookmarkStart w:id="437" w:name="_Toc246996976"/>
      <w:bookmarkStart w:id="438" w:name="_Toc247085748"/>
      <w:bookmarkStart w:id="439" w:name="_Toc246996233"/>
      <w:bookmarkStart w:id="440" w:name="_Toc179632608"/>
      <w:bookmarkStart w:id="441" w:name="_Toc144974557"/>
      <w:bookmarkStart w:id="442" w:name="_Toc152042367"/>
      <w:r>
        <w:rPr>
          <w:rFonts w:hint="eastAsia"/>
        </w:rPr>
        <w:t>2. 评审标准</w:t>
      </w:r>
      <w:bookmarkEnd w:id="435"/>
      <w:bookmarkEnd w:id="436"/>
      <w:bookmarkEnd w:id="437"/>
      <w:bookmarkEnd w:id="438"/>
      <w:bookmarkEnd w:id="439"/>
      <w:bookmarkEnd w:id="440"/>
      <w:bookmarkEnd w:id="441"/>
      <w:bookmarkEnd w:id="442"/>
    </w:p>
    <w:p>
      <w:pPr>
        <w:pStyle w:val="4"/>
      </w:pPr>
      <w:bookmarkStart w:id="443" w:name="_Toc246996234"/>
      <w:bookmarkStart w:id="444" w:name="_Toc152045591"/>
      <w:bookmarkStart w:id="445" w:name="_Toc247085749"/>
      <w:bookmarkStart w:id="446" w:name="_Toc179632609"/>
      <w:bookmarkStart w:id="447" w:name="_Toc296602479"/>
      <w:bookmarkStart w:id="448" w:name="_Toc246996977"/>
      <w:bookmarkStart w:id="449" w:name="_Toc152042368"/>
      <w:bookmarkStart w:id="450" w:name="_Toc144974558"/>
      <w:r>
        <w:rPr>
          <w:rFonts w:hint="eastAsia"/>
        </w:rPr>
        <w:t>2.1 初步评审标准</w:t>
      </w:r>
      <w:bookmarkEnd w:id="443"/>
      <w:bookmarkEnd w:id="444"/>
      <w:bookmarkEnd w:id="445"/>
      <w:bookmarkEnd w:id="446"/>
      <w:bookmarkEnd w:id="447"/>
      <w:bookmarkEnd w:id="448"/>
      <w:bookmarkEnd w:id="449"/>
      <w:bookmarkEnd w:id="450"/>
    </w:p>
    <w:p>
      <w:pPr>
        <w:spacing w:line="400" w:lineRule="exact"/>
        <w:ind w:firstLine="420" w:firstLineChars="200"/>
      </w:pPr>
      <w:r>
        <w:rPr>
          <w:rFonts w:hint="eastAsia"/>
        </w:rPr>
        <w:t>2.1.1 形式评审标准：见评标办法前附表。</w:t>
      </w:r>
    </w:p>
    <w:p>
      <w:pPr>
        <w:spacing w:line="400" w:lineRule="exact"/>
        <w:ind w:firstLine="420" w:firstLineChars="200"/>
      </w:pPr>
      <w:r>
        <w:rPr>
          <w:rFonts w:hint="eastAsia"/>
        </w:rPr>
        <w:t>2.1.2 资格评审标准：见评标办法前附表。</w:t>
      </w:r>
    </w:p>
    <w:p>
      <w:pPr>
        <w:spacing w:line="400" w:lineRule="exact"/>
        <w:ind w:firstLine="420" w:firstLineChars="200"/>
      </w:pPr>
      <w:r>
        <w:rPr>
          <w:rFonts w:hint="eastAsia"/>
        </w:rPr>
        <w:t>2.1.3 响应性评审标准：见评标办法前附表。</w:t>
      </w:r>
    </w:p>
    <w:p>
      <w:pPr>
        <w:pStyle w:val="4"/>
      </w:pPr>
      <w:bookmarkStart w:id="451" w:name="_Toc144974559"/>
      <w:bookmarkStart w:id="452" w:name="_Toc179632610"/>
      <w:bookmarkStart w:id="453" w:name="_Toc152042369"/>
      <w:bookmarkStart w:id="454" w:name="_Toc247085750"/>
      <w:bookmarkStart w:id="455" w:name="_Toc246996235"/>
      <w:bookmarkStart w:id="456" w:name="_Toc152045592"/>
      <w:bookmarkStart w:id="457" w:name="_Toc246996978"/>
      <w:bookmarkStart w:id="458" w:name="_Toc296602480"/>
      <w:r>
        <w:rPr>
          <w:rFonts w:hint="eastAsia"/>
        </w:rPr>
        <w:t>2.2 详细评审标准</w:t>
      </w:r>
      <w:bookmarkEnd w:id="451"/>
      <w:bookmarkEnd w:id="452"/>
      <w:bookmarkEnd w:id="453"/>
      <w:bookmarkEnd w:id="454"/>
      <w:bookmarkEnd w:id="455"/>
      <w:bookmarkEnd w:id="456"/>
      <w:bookmarkEnd w:id="457"/>
      <w:bookmarkEnd w:id="458"/>
    </w:p>
    <w:p>
      <w:pPr>
        <w:spacing w:line="400" w:lineRule="exact"/>
        <w:ind w:firstLine="420" w:firstLineChars="200"/>
      </w:pPr>
      <w:r>
        <w:rPr>
          <w:rFonts w:hint="eastAsia"/>
        </w:rPr>
        <w:t>详细评审标准：见评标办法前附表。</w:t>
      </w:r>
    </w:p>
    <w:p>
      <w:pPr>
        <w:pStyle w:val="3"/>
      </w:pPr>
      <w:bookmarkStart w:id="459" w:name="_Toc296602481"/>
      <w:bookmarkStart w:id="460" w:name="_Toc152042370"/>
      <w:bookmarkStart w:id="461" w:name="_Toc179632611"/>
      <w:bookmarkStart w:id="462" w:name="_Toc247085751"/>
      <w:bookmarkStart w:id="463" w:name="_Toc152045593"/>
      <w:bookmarkStart w:id="464" w:name="_Toc246996236"/>
      <w:bookmarkStart w:id="465" w:name="_Toc246996979"/>
      <w:bookmarkStart w:id="466" w:name="_Toc144974560"/>
      <w:r>
        <w:rPr>
          <w:rFonts w:hint="eastAsia"/>
        </w:rPr>
        <w:t>3. 评标程序</w:t>
      </w:r>
      <w:bookmarkEnd w:id="459"/>
      <w:bookmarkEnd w:id="460"/>
      <w:bookmarkEnd w:id="461"/>
      <w:bookmarkEnd w:id="462"/>
      <w:bookmarkEnd w:id="463"/>
      <w:bookmarkEnd w:id="464"/>
      <w:bookmarkEnd w:id="465"/>
      <w:bookmarkEnd w:id="466"/>
    </w:p>
    <w:p>
      <w:pPr>
        <w:pStyle w:val="4"/>
      </w:pPr>
      <w:bookmarkStart w:id="467" w:name="_Toc179632612"/>
      <w:bookmarkStart w:id="468" w:name="_Toc247085752"/>
      <w:bookmarkStart w:id="469" w:name="_Toc152042371"/>
      <w:bookmarkStart w:id="470" w:name="_Toc296602482"/>
      <w:bookmarkStart w:id="471" w:name="_Toc246996237"/>
      <w:bookmarkStart w:id="472" w:name="_Toc152045594"/>
      <w:bookmarkStart w:id="473" w:name="_Toc144974561"/>
      <w:bookmarkStart w:id="474" w:name="_Toc246996980"/>
      <w:r>
        <w:rPr>
          <w:rFonts w:hint="eastAsia"/>
        </w:rPr>
        <w:t>3.1 初步评审</w:t>
      </w:r>
      <w:bookmarkEnd w:id="467"/>
      <w:bookmarkEnd w:id="468"/>
      <w:bookmarkEnd w:id="469"/>
      <w:bookmarkEnd w:id="470"/>
      <w:bookmarkEnd w:id="471"/>
      <w:bookmarkEnd w:id="472"/>
      <w:bookmarkEnd w:id="473"/>
      <w:bookmarkEnd w:id="474"/>
    </w:p>
    <w:p>
      <w:pPr>
        <w:spacing w:line="400" w:lineRule="exact"/>
        <w:ind w:firstLine="420" w:firstLineChars="200"/>
      </w:pPr>
      <w:r>
        <w:rPr>
          <w:rFonts w:hint="eastAsia"/>
        </w:rPr>
        <w:t>3.1.1评标委员会可以要求投标人提交第二章“投标人须知”第3.5.1项至第3.5.4项规定的有关证明和证件的原件，以便核验。评标委员会依据本章第2.1款规定的标准对投标文件进行初步评审。有一项不符合评审标准的，评标委员会应当否决其投标。</w:t>
      </w:r>
    </w:p>
    <w:p>
      <w:pPr>
        <w:spacing w:line="400" w:lineRule="exact"/>
        <w:ind w:firstLine="420" w:firstLineChars="200"/>
      </w:pPr>
      <w:r>
        <w:rPr>
          <w:rFonts w:hint="eastAsia"/>
        </w:rPr>
        <w:t>3.1.2 投标人有以下情形之一的，评标委员会应当否决其投标：</w:t>
      </w:r>
    </w:p>
    <w:p>
      <w:pPr>
        <w:spacing w:line="400" w:lineRule="exact"/>
        <w:ind w:firstLine="718" w:firstLineChars="342"/>
      </w:pPr>
      <w:r>
        <w:rPr>
          <w:rFonts w:hint="eastAsia"/>
        </w:rPr>
        <w:t>（1）第二章“投标人须知”第1.4.2项、第1.4.3项规定的任何一种情形的；</w:t>
      </w:r>
    </w:p>
    <w:p>
      <w:pPr>
        <w:spacing w:line="400" w:lineRule="exact"/>
        <w:ind w:firstLine="718" w:firstLineChars="342"/>
      </w:pPr>
      <w:r>
        <w:rPr>
          <w:rFonts w:hint="eastAsia"/>
        </w:rPr>
        <w:t>（2）串通投标或弄虚作假或有其他违法行为的；</w:t>
      </w:r>
    </w:p>
    <w:p>
      <w:pPr>
        <w:spacing w:line="400" w:lineRule="exact"/>
        <w:ind w:firstLine="718" w:firstLineChars="342"/>
      </w:pPr>
      <w:r>
        <w:rPr>
          <w:rFonts w:hint="eastAsia"/>
        </w:rPr>
        <w:t>（3）不按评标委员会要求澄清、说明或补正的。</w:t>
      </w:r>
    </w:p>
    <w:p>
      <w:pPr>
        <w:spacing w:line="400" w:lineRule="exact"/>
        <w:ind w:firstLine="420" w:firstLineChars="200"/>
      </w:pPr>
      <w:r>
        <w:rPr>
          <w:rFonts w:hint="eastAsia"/>
        </w:rPr>
        <w:t>3.1.3投标报价有算术错误的，评标委员会按以下原则对投标报价进行修正，修正的价格经投标人书面确认后具有约束力。投标人不接受修正价格的，评标委员会应当否决其投标。</w:t>
      </w:r>
    </w:p>
    <w:p>
      <w:pPr>
        <w:spacing w:line="400" w:lineRule="exact"/>
        <w:ind w:firstLine="718" w:firstLineChars="342"/>
      </w:pPr>
      <w:r>
        <w:rPr>
          <w:rFonts w:hint="eastAsia"/>
        </w:rPr>
        <w:t>（1）投标文件中的大写金额与小写金额不一致的，以大写金额为准；</w:t>
      </w:r>
    </w:p>
    <w:p>
      <w:pPr>
        <w:spacing w:line="400" w:lineRule="exact"/>
        <w:ind w:firstLine="716" w:firstLineChars="341"/>
      </w:pPr>
      <w:r>
        <w:rPr>
          <w:rFonts w:hint="eastAsia"/>
        </w:rPr>
        <w:t>（2）总价金额与依据单价计算出的结果不一致的，以单价金额为准修正总价，但单价金额小数点有明显错误的除外。</w:t>
      </w:r>
    </w:p>
    <w:p>
      <w:pPr>
        <w:pStyle w:val="4"/>
      </w:pPr>
      <w:bookmarkStart w:id="475" w:name="_Toc247085753"/>
      <w:bookmarkStart w:id="476" w:name="_Toc179632613"/>
      <w:bookmarkStart w:id="477" w:name="_Toc152042372"/>
      <w:bookmarkStart w:id="478" w:name="_Toc144974562"/>
      <w:bookmarkStart w:id="479" w:name="_Toc246996981"/>
      <w:bookmarkStart w:id="480" w:name="_Toc296602483"/>
      <w:bookmarkStart w:id="481" w:name="_Toc152045595"/>
      <w:bookmarkStart w:id="482" w:name="_Toc246996238"/>
      <w:r>
        <w:rPr>
          <w:rFonts w:hint="eastAsia"/>
        </w:rPr>
        <w:t>3.2 详细评审</w:t>
      </w:r>
      <w:bookmarkEnd w:id="475"/>
      <w:bookmarkEnd w:id="476"/>
      <w:bookmarkEnd w:id="477"/>
      <w:bookmarkEnd w:id="478"/>
      <w:bookmarkEnd w:id="479"/>
      <w:bookmarkEnd w:id="480"/>
      <w:bookmarkEnd w:id="481"/>
      <w:bookmarkEnd w:id="482"/>
    </w:p>
    <w:p>
      <w:pPr>
        <w:spacing w:line="400" w:lineRule="exact"/>
        <w:ind w:firstLine="420" w:firstLineChars="200"/>
      </w:pPr>
      <w:r>
        <w:rPr>
          <w:rFonts w:hint="eastAsia"/>
        </w:rPr>
        <w:t>3.2.1评标委员会按本文件规定编制价格比较一览表。</w:t>
      </w:r>
    </w:p>
    <w:p>
      <w:pPr>
        <w:spacing w:line="400" w:lineRule="exact"/>
        <w:ind w:firstLine="420" w:firstLineChars="200"/>
      </w:pPr>
      <w:r>
        <w:rPr>
          <w:rFonts w:hint="eastAsia"/>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pStyle w:val="4"/>
      </w:pPr>
      <w:bookmarkStart w:id="483" w:name="_Toc144974563"/>
      <w:bookmarkStart w:id="484" w:name="_Toc179632614"/>
      <w:bookmarkStart w:id="485" w:name="_Toc152045596"/>
      <w:bookmarkStart w:id="486" w:name="_Toc246996239"/>
      <w:bookmarkStart w:id="487" w:name="_Toc247085754"/>
      <w:bookmarkStart w:id="488" w:name="_Toc152042373"/>
      <w:bookmarkStart w:id="489" w:name="_Toc246996982"/>
      <w:bookmarkStart w:id="490" w:name="_Toc296602484"/>
      <w:r>
        <w:rPr>
          <w:rFonts w:hint="eastAsia"/>
        </w:rPr>
        <w:t>3.3 投标文件的澄清</w:t>
      </w:r>
      <w:bookmarkEnd w:id="483"/>
      <w:r>
        <w:rPr>
          <w:rFonts w:hint="eastAsia"/>
        </w:rPr>
        <w:t>和补正</w:t>
      </w:r>
      <w:bookmarkEnd w:id="484"/>
      <w:bookmarkEnd w:id="485"/>
      <w:bookmarkEnd w:id="486"/>
      <w:bookmarkEnd w:id="487"/>
      <w:bookmarkEnd w:id="488"/>
      <w:bookmarkEnd w:id="489"/>
      <w:bookmarkEnd w:id="490"/>
    </w:p>
    <w:p>
      <w:pPr>
        <w:spacing w:line="400" w:lineRule="exact"/>
        <w:ind w:firstLine="420" w:firstLineChars="200"/>
      </w:pPr>
      <w:r>
        <w:rPr>
          <w:rFonts w:hint="eastAsia"/>
        </w:rPr>
        <w:t>3.3.1在评标过程中，评标委员会可以书面形式要求投标人对所提交的投标文件中不明确的内容进行书面澄清或说明，或者对细微偏差进行补正。评标委员会不接受投标人主动提出的澄清、说明或补正。</w:t>
      </w:r>
    </w:p>
    <w:p>
      <w:pPr>
        <w:spacing w:line="400" w:lineRule="exact"/>
        <w:ind w:firstLine="420" w:firstLineChars="200"/>
      </w:pPr>
      <w:r>
        <w:rPr>
          <w:rFonts w:hint="eastAsia"/>
        </w:rPr>
        <w:t>3.3.2 澄清、说明和补正不得改变投标文件的实质性内容。投标人的书面澄清、说明和补正属于投标文件的组成部分。</w:t>
      </w:r>
    </w:p>
    <w:p>
      <w:pPr>
        <w:spacing w:line="400" w:lineRule="exact"/>
        <w:ind w:firstLine="420" w:firstLineChars="200"/>
      </w:pPr>
      <w:r>
        <w:rPr>
          <w:rFonts w:hint="eastAsia"/>
        </w:rPr>
        <w:t>3.3.3 评标委员会对投标人提交的澄清、说明或补正有疑问的，可以要求投标人进一步澄清、说明或补正，直至满足评标委员会的要求。</w:t>
      </w:r>
    </w:p>
    <w:p>
      <w:pPr>
        <w:pStyle w:val="4"/>
      </w:pPr>
      <w:bookmarkStart w:id="491" w:name="_Toc296602485"/>
      <w:bookmarkStart w:id="492" w:name="_Toc152045597"/>
      <w:bookmarkStart w:id="493" w:name="_Toc144974564"/>
      <w:bookmarkStart w:id="494" w:name="_Toc179632615"/>
      <w:bookmarkStart w:id="495" w:name="_Toc246996240"/>
      <w:bookmarkStart w:id="496" w:name="_Toc152042374"/>
      <w:bookmarkStart w:id="497" w:name="_Toc246996983"/>
      <w:bookmarkStart w:id="498" w:name="_Toc247085755"/>
      <w:r>
        <w:rPr>
          <w:rFonts w:hint="eastAsia"/>
        </w:rPr>
        <w:t>3.4 评标结果</w:t>
      </w:r>
      <w:bookmarkEnd w:id="491"/>
      <w:bookmarkEnd w:id="492"/>
      <w:bookmarkEnd w:id="493"/>
      <w:bookmarkEnd w:id="494"/>
      <w:bookmarkEnd w:id="495"/>
      <w:bookmarkEnd w:id="496"/>
      <w:bookmarkEnd w:id="497"/>
      <w:bookmarkEnd w:id="498"/>
    </w:p>
    <w:p>
      <w:pPr>
        <w:spacing w:line="400" w:lineRule="exact"/>
        <w:ind w:firstLine="420" w:firstLineChars="200"/>
      </w:pPr>
      <w:r>
        <w:rPr>
          <w:rFonts w:hint="eastAsia"/>
        </w:rPr>
        <w:t>3.4.1除第二章“投标人须知”前附表授权直接确定中标人外，评标委员会按照经评审的价格由低到高的顺序推荐中标候选人。</w:t>
      </w:r>
    </w:p>
    <w:p>
      <w:pPr>
        <w:spacing w:line="400" w:lineRule="exact"/>
        <w:ind w:firstLine="420" w:firstLineChars="200"/>
      </w:pPr>
      <w:r>
        <w:rPr>
          <w:rFonts w:hint="eastAsia"/>
        </w:rPr>
        <w:t>3.4.2 评标委员会完成评标后，应当向招标人提交书面评标报告。</w:t>
      </w: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rPr>
          <w:rFonts w:hint="eastAsia"/>
        </w:rPr>
      </w:pPr>
    </w:p>
    <w:p>
      <w:pPr>
        <w:spacing w:line="600" w:lineRule="exact"/>
        <w:jc w:val="center"/>
        <w:rPr>
          <w:szCs w:val="21"/>
        </w:rPr>
      </w:pPr>
      <w:bookmarkStart w:id="499" w:name="_Toc152042387"/>
      <w:bookmarkStart w:id="500" w:name="_Toc152045609"/>
      <w:bookmarkStart w:id="501" w:name="_Toc247085767"/>
      <w:bookmarkStart w:id="502" w:name="_Toc246996995"/>
      <w:bookmarkStart w:id="503" w:name="_Toc179632627"/>
      <w:bookmarkStart w:id="504" w:name="_Toc296602497"/>
      <w:bookmarkStart w:id="505" w:name="_Toc144974577"/>
      <w:bookmarkStart w:id="506" w:name="_Toc246996252"/>
      <w:r>
        <w:rPr>
          <w:rFonts w:hint="eastAsia"/>
          <w:b/>
          <w:bCs/>
          <w:kern w:val="44"/>
          <w:sz w:val="44"/>
          <w:szCs w:val="44"/>
        </w:rPr>
        <w:t>第四章 合同条款及格式</w:t>
      </w:r>
      <w:bookmarkEnd w:id="499"/>
      <w:bookmarkEnd w:id="500"/>
      <w:bookmarkEnd w:id="501"/>
      <w:bookmarkEnd w:id="502"/>
      <w:bookmarkEnd w:id="503"/>
      <w:bookmarkEnd w:id="504"/>
      <w:bookmarkEnd w:id="505"/>
      <w:bookmarkEnd w:id="506"/>
    </w:p>
    <w:p>
      <w:pPr>
        <w:spacing w:line="600" w:lineRule="exact"/>
      </w:pPr>
    </w:p>
    <w:p>
      <w:pPr>
        <w:spacing w:line="600" w:lineRule="exact"/>
        <w:ind w:firstLine="420" w:firstLineChars="200"/>
      </w:pPr>
      <w:r>
        <w:rPr>
          <w:rFonts w:hint="eastAsia"/>
        </w:rPr>
        <w:t>合同条款及格式执行住房和城乡建设部、国家工商行政管理总局于2017年9月22日联合发布的《建设工程施工合同（示范文本）》（GF-2017-0201）</w:t>
      </w:r>
      <w:r>
        <w:rPr>
          <w:rFonts w:hint="eastAsia"/>
          <w:lang w:val="en-US" w:eastAsia="zh-CN"/>
        </w:rPr>
        <w:t>或双方拟定的不违反法律法规的合同文件</w:t>
      </w:r>
      <w:r>
        <w:rPr>
          <w:rFonts w:hint="eastAsia"/>
        </w:rPr>
        <w:t>。</w:t>
      </w:r>
    </w:p>
    <w:p>
      <w:pPr>
        <w:spacing w:line="600" w:lineRule="exact"/>
        <w:ind w:firstLine="420" w:firstLineChars="200"/>
      </w:pPr>
      <w:r>
        <w:rPr>
          <w:rFonts w:hint="eastAsia"/>
        </w:rPr>
        <w:t>具体合同内容由招标人与中标人在不违背招标文件要求和投标文件承诺的条件下友好协商签订。</w:t>
      </w:r>
      <w:r>
        <w:br w:type="page"/>
      </w:r>
    </w:p>
    <w:p>
      <w:pPr>
        <w:pStyle w:val="2"/>
        <w:jc w:val="center"/>
        <w:rPr>
          <w:rFonts w:hint="eastAsia" w:eastAsia="宋体"/>
          <w:lang w:val="en-US" w:eastAsia="zh-CN"/>
        </w:rPr>
      </w:pPr>
      <w:bookmarkStart w:id="507" w:name="_Toc179632789"/>
      <w:bookmarkStart w:id="508" w:name="_Toc246997083"/>
      <w:bookmarkStart w:id="509" w:name="_Toc296602587"/>
      <w:bookmarkStart w:id="510" w:name="_Toc247085855"/>
      <w:bookmarkStart w:id="511" w:name="_Toc152045772"/>
      <w:bookmarkStart w:id="512" w:name="_Toc246996340"/>
      <w:bookmarkStart w:id="513" w:name="_Toc152042554"/>
      <w:bookmarkStart w:id="514" w:name="_Toc144974834"/>
      <w:r>
        <w:rPr>
          <w:rFonts w:hint="eastAsia"/>
        </w:rPr>
        <w:t xml:space="preserve">第五章  </w:t>
      </w:r>
      <w:bookmarkEnd w:id="507"/>
      <w:bookmarkEnd w:id="508"/>
      <w:bookmarkEnd w:id="509"/>
      <w:bookmarkEnd w:id="510"/>
      <w:bookmarkEnd w:id="511"/>
      <w:bookmarkEnd w:id="512"/>
      <w:bookmarkEnd w:id="513"/>
      <w:bookmarkEnd w:id="514"/>
      <w:r>
        <w:rPr>
          <w:rFonts w:hint="eastAsia"/>
          <w:lang w:val="en-US" w:eastAsia="zh-CN"/>
        </w:rPr>
        <w:t>商务标总报价</w:t>
      </w:r>
    </w:p>
    <w:p>
      <w:pPr>
        <w:pStyle w:val="3"/>
      </w:pPr>
      <w:bookmarkStart w:id="515" w:name="_Toc246997084"/>
      <w:bookmarkStart w:id="516" w:name="_Toc152042555"/>
      <w:bookmarkStart w:id="517" w:name="_Toc144974835"/>
      <w:bookmarkStart w:id="518" w:name="_Toc152045773"/>
      <w:bookmarkStart w:id="519" w:name="_Toc246996341"/>
      <w:bookmarkStart w:id="520" w:name="_Toc296602588"/>
      <w:bookmarkStart w:id="521" w:name="_Toc247085856"/>
      <w:bookmarkStart w:id="522" w:name="_Toc179632790"/>
      <w:r>
        <w:rPr>
          <w:rFonts w:hint="eastAsia"/>
        </w:rPr>
        <w:t>1. 工程量清单说明</w:t>
      </w:r>
      <w:bookmarkEnd w:id="515"/>
      <w:bookmarkEnd w:id="516"/>
      <w:bookmarkEnd w:id="517"/>
      <w:bookmarkEnd w:id="518"/>
      <w:bookmarkEnd w:id="519"/>
      <w:bookmarkEnd w:id="520"/>
      <w:bookmarkEnd w:id="521"/>
      <w:bookmarkEnd w:id="522"/>
    </w:p>
    <w:p>
      <w:pPr>
        <w:spacing w:line="400" w:lineRule="exact"/>
      </w:pPr>
      <w:r>
        <w:rPr>
          <w:rFonts w:hint="eastAsia"/>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spacing w:line="400" w:lineRule="exact"/>
      </w:pPr>
      <w:r>
        <w:rPr>
          <w:rFonts w:hint="eastAsia"/>
        </w:rPr>
        <w:t>1.2 本工程量清单应与招标文件中的投标人须知、通用合同条款、专用合同条款、技术标准和要求及图纸等一起阅读和理解。</w:t>
      </w:r>
    </w:p>
    <w:p>
      <w:pPr>
        <w:spacing w:line="400" w:lineRule="exact"/>
      </w:pPr>
      <w:r>
        <w:rPr>
          <w:rFonts w:hint="eastAsia"/>
        </w:rPr>
        <w:t>1.3 本工程量清单仅是投标报价的共同基础，实际工程计量和工程价款的支付应遵循合同条款的约定和第七章“技术标准和要求”的有关规定。</w:t>
      </w:r>
    </w:p>
    <w:p>
      <w:pPr>
        <w:pStyle w:val="3"/>
      </w:pPr>
      <w:bookmarkStart w:id="523" w:name="_Toc144974836"/>
      <w:bookmarkStart w:id="524" w:name="_Toc152042556"/>
      <w:bookmarkStart w:id="525" w:name="_Toc246997085"/>
      <w:bookmarkStart w:id="526" w:name="_Toc246996342"/>
      <w:bookmarkStart w:id="527" w:name="_Toc247085857"/>
      <w:bookmarkStart w:id="528" w:name="_Toc296602589"/>
      <w:bookmarkStart w:id="529" w:name="_Toc179632791"/>
      <w:bookmarkStart w:id="530" w:name="_Toc152045774"/>
      <w:r>
        <w:rPr>
          <w:rFonts w:hint="eastAsia"/>
        </w:rPr>
        <w:t>2. 投标报价说明</w:t>
      </w:r>
      <w:bookmarkEnd w:id="523"/>
      <w:bookmarkEnd w:id="524"/>
      <w:bookmarkEnd w:id="525"/>
      <w:bookmarkEnd w:id="526"/>
      <w:bookmarkEnd w:id="527"/>
      <w:bookmarkEnd w:id="528"/>
      <w:bookmarkEnd w:id="529"/>
      <w:bookmarkEnd w:id="530"/>
    </w:p>
    <w:p>
      <w:pPr>
        <w:spacing w:line="400" w:lineRule="exact"/>
      </w:pPr>
      <w:r>
        <w:rPr>
          <w:rFonts w:hint="eastAsia"/>
        </w:rPr>
        <w:t>2.1 工程量清单中的每一子目须填入单价或价格，且只允许有一个报价。</w:t>
      </w:r>
    </w:p>
    <w:p>
      <w:pPr>
        <w:spacing w:line="400" w:lineRule="exact"/>
      </w:pPr>
      <w:r>
        <w:rPr>
          <w:rFonts w:hint="eastAsia"/>
        </w:rPr>
        <w:t>2.2 工程量清单中标价的单价或金额，应包括所需的人工费、材料和施工机具使用费和企业管理费、利润以及一定范围内的风险费用等。</w:t>
      </w:r>
    </w:p>
    <w:p>
      <w:pPr>
        <w:spacing w:line="400" w:lineRule="exact"/>
      </w:pPr>
      <w:r>
        <w:rPr>
          <w:rFonts w:hint="eastAsia"/>
        </w:rPr>
        <w:t>2.3 工程量清单中投标人没有填入单价或价格的子目，其费用视为已分摊在工程量清单中其他相关子目的单价或价格之中。投标人无论怎样报价，均不免除或降低投标应交纳规费的义务。</w:t>
      </w:r>
    </w:p>
    <w:p>
      <w:pPr>
        <w:spacing w:line="400" w:lineRule="exact"/>
      </w:pPr>
      <w:bookmarkStart w:id="531" w:name="_Toc246996343"/>
      <w:bookmarkStart w:id="532" w:name="_Toc247085858"/>
      <w:bookmarkStart w:id="533" w:name="_Toc246997086"/>
      <w:bookmarkStart w:id="534" w:name="_Toc179632792"/>
      <w:bookmarkStart w:id="535" w:name="_Toc152042557"/>
      <w:bookmarkStart w:id="536" w:name="_Toc152045775"/>
      <w:bookmarkStart w:id="537" w:name="_Toc144974837"/>
      <w:bookmarkStart w:id="538" w:name="_Toc296602590"/>
      <w:r>
        <w:rPr>
          <w:rFonts w:hint="eastAsia"/>
        </w:rPr>
        <w:t>2.4 投标人依据招标文件编制投标文件时，应对施工期间除可能出现的政策、施工环境和市场的变化以及由于招标人分期付款带来的资金占用风险等可能影响工程造价的因素，作出正确的评估，并体现到投标报价中。否则，造成的经济风险责任自负。尤其是工程材料，无论是政策变化还是市场变化引起的价格变动，工程实施中投标人不得要求调整（除非合同另有约定）。</w:t>
      </w:r>
    </w:p>
    <w:p>
      <w:pPr>
        <w:spacing w:line="400" w:lineRule="exact"/>
      </w:pPr>
      <w:r>
        <w:rPr>
          <w:rFonts w:hint="eastAsia"/>
        </w:rPr>
        <w:t>2.5 人工费工资标准应严格执行招标文件及相关规定。</w:t>
      </w:r>
    </w:p>
    <w:p>
      <w:pPr>
        <w:spacing w:line="400" w:lineRule="exact"/>
      </w:pPr>
      <w:r>
        <w:rPr>
          <w:rFonts w:hint="eastAsia"/>
        </w:rPr>
        <w:t>2.6 措施费计算按现行安徽省工程量清单费用标准执行以及招标文件报价格式文件要求计算。</w:t>
      </w:r>
    </w:p>
    <w:p>
      <w:pPr>
        <w:spacing w:line="400" w:lineRule="exact"/>
        <w:rPr>
          <w:rFonts w:hint="eastAsia"/>
        </w:rPr>
      </w:pPr>
      <w:r>
        <w:rPr>
          <w:rFonts w:hint="eastAsia"/>
        </w:rPr>
        <w:t>2.7投标报价的币种为人民币。</w:t>
      </w:r>
    </w:p>
    <w:p>
      <w:pPr>
        <w:spacing w:line="400" w:lineRule="exact"/>
      </w:pPr>
      <w:r>
        <w:rPr>
          <w:rFonts w:hint="eastAsia"/>
          <w:szCs w:val="21"/>
          <w:lang w:val="en-US" w:eastAsia="zh-CN"/>
        </w:rPr>
        <w:t>2.8总报价中已含税，并且总承包方所产生的销项税、进项税等有关税收不平衡带来的损失部分，在工程结算时在工程款中扣除</w:t>
      </w:r>
    </w:p>
    <w:p>
      <w:pPr>
        <w:pStyle w:val="3"/>
      </w:pPr>
      <w:r>
        <w:rPr>
          <w:rFonts w:hint="eastAsia"/>
        </w:rPr>
        <w:t>3. 其他说明</w:t>
      </w:r>
      <w:bookmarkEnd w:id="531"/>
      <w:bookmarkEnd w:id="532"/>
      <w:bookmarkEnd w:id="533"/>
      <w:bookmarkEnd w:id="534"/>
      <w:bookmarkStart w:id="539" w:name="_Toc152045776"/>
      <w:bookmarkStart w:id="540" w:name="_Toc246997087"/>
      <w:bookmarkStart w:id="541" w:name="_Toc144974838"/>
      <w:bookmarkStart w:id="542" w:name="_Toc179632793"/>
      <w:bookmarkStart w:id="543" w:name="_Toc247085859"/>
      <w:bookmarkStart w:id="544" w:name="_Toc296602591"/>
      <w:bookmarkStart w:id="545" w:name="_Toc152042558"/>
      <w:bookmarkStart w:id="546" w:name="_Toc246996344"/>
    </w:p>
    <w:p>
      <w:pPr>
        <w:spacing w:line="400" w:lineRule="exact"/>
      </w:pPr>
      <w:r>
        <w:rPr>
          <w:rFonts w:hint="eastAsia"/>
        </w:rPr>
        <w:t>投标人对投标报价如有需要说明的事项，请将说明材料与投标报价表一并报送。</w:t>
      </w:r>
    </w:p>
    <w:p>
      <w:pPr>
        <w:pStyle w:val="3"/>
      </w:pPr>
      <w:r>
        <w:rPr>
          <w:rFonts w:hint="eastAsia"/>
        </w:rPr>
        <w:t>4. 工程量清单</w:t>
      </w:r>
      <w:bookmarkEnd w:id="535"/>
      <w:bookmarkEnd w:id="536"/>
      <w:bookmarkEnd w:id="537"/>
      <w:bookmarkEnd w:id="538"/>
      <w:bookmarkEnd w:id="539"/>
      <w:bookmarkEnd w:id="540"/>
      <w:bookmarkEnd w:id="541"/>
      <w:bookmarkEnd w:id="542"/>
      <w:bookmarkEnd w:id="543"/>
      <w:bookmarkEnd w:id="544"/>
      <w:bookmarkEnd w:id="545"/>
      <w:bookmarkEnd w:id="546"/>
    </w:p>
    <w:p>
      <w:pPr>
        <w:spacing w:before="120" w:line="360" w:lineRule="exact"/>
        <w:jc w:val="center"/>
        <w:rPr>
          <w:rFonts w:hint="eastAsia" w:ascii="宋体" w:hAnsi="宋体" w:eastAsia="宋体" w:cs="宋体"/>
          <w:b/>
          <w:sz w:val="32"/>
          <w:szCs w:val="32"/>
        </w:rPr>
      </w:pPr>
      <w:bookmarkStart w:id="547" w:name="_Toc179632800"/>
      <w:bookmarkStart w:id="548" w:name="_Toc296602596"/>
      <w:bookmarkStart w:id="549" w:name="_Toc246996350"/>
      <w:bookmarkStart w:id="550" w:name="_Toc152045782"/>
      <w:bookmarkStart w:id="551" w:name="_Toc246997093"/>
      <w:bookmarkStart w:id="552" w:name="_Toc152042571"/>
      <w:bookmarkStart w:id="553" w:name="_Toc247096438"/>
      <w:bookmarkStart w:id="554" w:name="_Toc144974851"/>
      <w:bookmarkStart w:id="555" w:name="_Toc247085866"/>
      <w:r>
        <w:rPr>
          <w:rFonts w:hint="eastAsia" w:ascii="宋体" w:hAnsi="宋体" w:eastAsia="宋体" w:cs="宋体"/>
          <w:b/>
          <w:sz w:val="32"/>
          <w:szCs w:val="32"/>
          <w:u w:val="single"/>
        </w:rPr>
        <w:t xml:space="preserve">      </w:t>
      </w:r>
      <w:r>
        <w:rPr>
          <w:rFonts w:hint="eastAsia" w:ascii="宋体" w:hAnsi="宋体" w:eastAsia="宋体" w:cs="宋体"/>
          <w:b/>
          <w:sz w:val="32"/>
          <w:szCs w:val="32"/>
        </w:rPr>
        <w:t>报价单</w:t>
      </w:r>
    </w:p>
    <w:p>
      <w:pPr>
        <w:snapToGrid w:val="0"/>
        <w:spacing w:line="360" w:lineRule="auto"/>
        <w:rPr>
          <w:rFonts w:hint="eastAsia" w:ascii="宋体" w:hAnsi="宋体" w:eastAsia="宋体" w:cs="宋体"/>
          <w:b/>
          <w:sz w:val="28"/>
          <w:szCs w:val="28"/>
        </w:rPr>
      </w:pPr>
      <w:r>
        <w:rPr>
          <w:rFonts w:hint="eastAsia" w:ascii="宋体" w:hAnsi="宋体" w:eastAsia="宋体" w:cs="宋体"/>
          <w:bCs/>
          <w:sz w:val="22"/>
          <w:szCs w:val="22"/>
        </w:rPr>
        <w:t>招标项目名称：</w:t>
      </w:r>
      <w:r>
        <w:rPr>
          <w:rFonts w:hint="eastAsia" w:ascii="宋体" w:hAnsi="宋体" w:eastAsia="宋体" w:cs="宋体"/>
          <w:bCs/>
          <w:sz w:val="22"/>
          <w:szCs w:val="22"/>
          <w:u w:val="single"/>
        </w:rPr>
        <w:t xml:space="preserve">         </w:t>
      </w:r>
      <w:r>
        <w:rPr>
          <w:rFonts w:hint="eastAsia" w:ascii="宋体" w:hAnsi="宋体" w:eastAsia="宋体" w:cs="宋体"/>
          <w:bCs/>
          <w:sz w:val="22"/>
          <w:szCs w:val="22"/>
        </w:rPr>
        <w:t xml:space="preserve">   </w:t>
      </w:r>
      <w:r>
        <w:rPr>
          <w:rFonts w:hint="eastAsia" w:ascii="宋体" w:hAnsi="宋体" w:eastAsia="宋体" w:cs="宋体"/>
          <w:bCs/>
          <w:sz w:val="24"/>
          <w:szCs w:val="24"/>
        </w:rPr>
        <w:t xml:space="preserve"> </w:t>
      </w:r>
      <w:r>
        <w:rPr>
          <w:rFonts w:hint="eastAsia" w:ascii="宋体" w:hAnsi="宋体" w:eastAsia="宋体" w:cs="宋体"/>
          <w:b/>
          <w:sz w:val="24"/>
          <w:szCs w:val="24"/>
        </w:rPr>
        <w:t xml:space="preserve">                              </w:t>
      </w:r>
      <w:r>
        <w:rPr>
          <w:rFonts w:hint="eastAsia" w:ascii="宋体" w:hAnsi="宋体" w:eastAsia="宋体" w:cs="宋体"/>
          <w:bCs/>
          <w:sz w:val="22"/>
          <w:szCs w:val="22"/>
        </w:rPr>
        <w:t xml:space="preserve"> 投标货币：元</w:t>
      </w:r>
      <w:r>
        <w:rPr>
          <w:rFonts w:hint="eastAsia" w:ascii="宋体" w:hAnsi="宋体" w:eastAsia="宋体" w:cs="宋体"/>
          <w:b/>
          <w:sz w:val="24"/>
          <w:szCs w:val="24"/>
        </w:rPr>
        <w:t xml:space="preserve"> </w:t>
      </w:r>
      <w:r>
        <w:rPr>
          <w:rFonts w:hint="eastAsia" w:ascii="宋体" w:hAnsi="宋体" w:eastAsia="宋体" w:cs="宋体"/>
          <w:b/>
          <w:sz w:val="28"/>
          <w:szCs w:val="28"/>
        </w:rPr>
        <w:t xml:space="preserve">                             </w:t>
      </w:r>
    </w:p>
    <w:tbl>
      <w:tblPr>
        <w:tblStyle w:val="37"/>
        <w:tblW w:w="9378" w:type="dxa"/>
        <w:jc w:val="center"/>
        <w:tblInd w:w="0" w:type="dxa"/>
        <w:tblLayout w:type="fixed"/>
        <w:tblCellMar>
          <w:top w:w="0" w:type="dxa"/>
          <w:left w:w="15" w:type="dxa"/>
          <w:bottom w:w="0" w:type="dxa"/>
          <w:right w:w="15" w:type="dxa"/>
        </w:tblCellMar>
      </w:tblPr>
      <w:tblGrid>
        <w:gridCol w:w="565"/>
        <w:gridCol w:w="1983"/>
        <w:gridCol w:w="1701"/>
        <w:gridCol w:w="517"/>
        <w:gridCol w:w="666"/>
        <w:gridCol w:w="684"/>
        <w:gridCol w:w="566"/>
        <w:gridCol w:w="550"/>
        <w:gridCol w:w="750"/>
        <w:gridCol w:w="717"/>
        <w:gridCol w:w="679"/>
      </w:tblGrid>
      <w:tr>
        <w:tblPrEx>
          <w:tblLayout w:type="fixed"/>
          <w:tblCellMar>
            <w:top w:w="0" w:type="dxa"/>
            <w:left w:w="15" w:type="dxa"/>
            <w:bottom w:w="0" w:type="dxa"/>
            <w:right w:w="15" w:type="dxa"/>
          </w:tblCellMar>
        </w:tblPrEx>
        <w:trPr>
          <w:trHeight w:val="624" w:hRule="atLeast"/>
          <w:jc w:val="center"/>
        </w:trPr>
        <w:tc>
          <w:tcPr>
            <w:tcW w:w="565"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序号</w:t>
            </w:r>
          </w:p>
        </w:tc>
        <w:tc>
          <w:tcPr>
            <w:tcW w:w="1983"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材料名称</w:t>
            </w:r>
          </w:p>
        </w:tc>
        <w:tc>
          <w:tcPr>
            <w:tcW w:w="1701"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规格/型号</w:t>
            </w:r>
          </w:p>
        </w:tc>
        <w:tc>
          <w:tcPr>
            <w:tcW w:w="517"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计量</w:t>
            </w:r>
          </w:p>
          <w:p>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单位</w:t>
            </w:r>
          </w:p>
        </w:tc>
        <w:tc>
          <w:tcPr>
            <w:tcW w:w="666"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数量 </w:t>
            </w:r>
          </w:p>
          <w:p>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（暂定）</w:t>
            </w:r>
          </w:p>
        </w:tc>
        <w:tc>
          <w:tcPr>
            <w:tcW w:w="684" w:type="dxa"/>
            <w:tcBorders>
              <w:top w:val="single" w:color="000000" w:sz="4" w:space="0"/>
              <w:left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kern w:val="0"/>
                <w:sz w:val="20"/>
              </w:rPr>
              <w:t>不含税单价</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r>
              <w:rPr>
                <w:rFonts w:hint="eastAsia" w:ascii="宋体" w:hAnsi="宋体" w:eastAsia="宋体" w:cs="宋体"/>
                <w:kern w:val="0"/>
                <w:sz w:val="20"/>
              </w:rPr>
              <w:t>税率</w:t>
            </w:r>
          </w:p>
          <w:p>
            <w:pPr>
              <w:widowControl/>
              <w:tabs>
                <w:tab w:val="left" w:pos="992"/>
              </w:tabs>
              <w:adjustRightInd w:val="0"/>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kern w:val="0"/>
                <w:sz w:val="20"/>
              </w:rPr>
              <w:t>（%）</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kern w:val="0"/>
                <w:sz w:val="20"/>
              </w:rPr>
              <w:t>税额</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kern w:val="0"/>
                <w:sz w:val="20"/>
              </w:rPr>
              <w:t>含税综合单价</w:t>
            </w: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kern w:val="0"/>
                <w:sz w:val="20"/>
              </w:rPr>
              <w:t>合价</w:t>
            </w: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r>
              <w:rPr>
                <w:rFonts w:hint="eastAsia" w:ascii="宋体" w:hAnsi="宋体" w:eastAsia="宋体" w:cs="宋体"/>
                <w:kern w:val="0"/>
                <w:sz w:val="20"/>
              </w:rPr>
              <w:t>备注</w:t>
            </w:r>
          </w:p>
        </w:tc>
      </w:tr>
      <w:tr>
        <w:tblPrEx>
          <w:tblLayout w:type="fixed"/>
          <w:tblCellMar>
            <w:top w:w="0" w:type="dxa"/>
            <w:left w:w="15" w:type="dxa"/>
            <w:bottom w:w="0" w:type="dxa"/>
            <w:right w:w="15" w:type="dxa"/>
          </w:tblCellMar>
        </w:tblPrEx>
        <w:trPr>
          <w:trHeight w:val="454"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0"/>
              </w:rPr>
            </w:pPr>
            <w:r>
              <w:rPr>
                <w:rFonts w:hint="eastAsia" w:ascii="宋体" w:hAnsi="宋体" w:eastAsia="宋体" w:cs="宋体"/>
                <w:color w:val="000000"/>
                <w:kern w:val="0"/>
                <w:sz w:val="20"/>
              </w:rPr>
              <w:t>1</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钢筋</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lang w:val="en-US" w:eastAsia="zh-CN"/>
              </w:rPr>
            </w:pPr>
            <w:r>
              <w:rPr>
                <w:rFonts w:hint="eastAsia" w:ascii="宋体" w:hAnsi="宋体" w:cs="宋体"/>
                <w:kern w:val="0"/>
                <w:sz w:val="20"/>
                <w:lang w:val="en-US" w:eastAsia="zh-CN"/>
              </w:rPr>
              <w:t>螺纹钢</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lang w:val="en-US" w:eastAsia="zh-CN"/>
              </w:rPr>
            </w:pPr>
            <w:r>
              <w:rPr>
                <w:rFonts w:hint="eastAsia" w:ascii="宋体" w:hAnsi="宋体" w:cs="宋体"/>
                <w:kern w:val="0"/>
                <w:sz w:val="20"/>
                <w:lang w:val="en-US" w:eastAsia="zh-CN"/>
              </w:rPr>
              <w:t>吨</w:t>
            </w: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kern w:val="0"/>
                <w:sz w:val="20"/>
                <w:lang w:val="en-US" w:eastAsia="zh-CN"/>
              </w:rPr>
            </w:pPr>
            <w:r>
              <w:rPr>
                <w:rFonts w:hint="eastAsia" w:ascii="宋体" w:hAnsi="宋体" w:cs="宋体"/>
                <w:kern w:val="0"/>
                <w:sz w:val="20"/>
                <w:lang w:val="en-US" w:eastAsia="zh-CN"/>
              </w:rPr>
              <w:t>885</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top"/>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0"/>
              </w:rPr>
            </w:pPr>
            <w:r>
              <w:rPr>
                <w:rFonts w:hint="eastAsia" w:ascii="宋体" w:hAnsi="宋体" w:eastAsia="宋体" w:cs="宋体"/>
                <w:color w:val="000000"/>
                <w:kern w:val="0"/>
                <w:sz w:val="20"/>
              </w:rPr>
              <w:t>2</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止水钢板（成品）</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3×400mm</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lang w:val="en-US" w:eastAsia="zh-CN"/>
              </w:rPr>
            </w:pPr>
            <w:r>
              <w:rPr>
                <w:rFonts w:hint="eastAsia" w:ascii="宋体" w:hAnsi="宋体" w:cs="宋体"/>
                <w:kern w:val="0"/>
                <w:sz w:val="20"/>
                <w:lang w:val="en-US" w:eastAsia="zh-CN"/>
              </w:rPr>
              <w:t>m</w:t>
            </w: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kern w:val="0"/>
                <w:sz w:val="20"/>
                <w:lang w:val="en-US" w:eastAsia="zh-CN"/>
              </w:rPr>
            </w:pPr>
            <w:r>
              <w:rPr>
                <w:rFonts w:hint="eastAsia" w:ascii="宋体" w:hAnsi="宋体" w:cs="宋体"/>
                <w:kern w:val="0"/>
                <w:sz w:val="20"/>
                <w:lang w:val="en-US" w:eastAsia="zh-CN"/>
              </w:rPr>
              <w:t>1250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0"/>
              </w:rPr>
            </w:pPr>
            <w:r>
              <w:rPr>
                <w:rFonts w:hint="eastAsia" w:ascii="宋体" w:hAnsi="宋体" w:eastAsia="宋体" w:cs="宋体"/>
                <w:color w:val="000000"/>
                <w:kern w:val="0"/>
                <w:sz w:val="20"/>
              </w:rPr>
              <w:t>3</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 xml:space="preserve">水泥 </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kern w:val="0"/>
                <w:sz w:val="20"/>
                <w:lang w:val="en-US" w:eastAsia="zh-CN"/>
              </w:rPr>
            </w:pPr>
            <w:r>
              <w:rPr>
                <w:rFonts w:hint="eastAsia" w:ascii="宋体" w:hAnsi="宋体" w:cs="宋体"/>
                <w:kern w:val="0"/>
                <w:sz w:val="20"/>
                <w:lang w:val="en-US" w:eastAsia="zh-CN"/>
              </w:rPr>
              <w:t>32.5级</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lang w:val="en-US" w:eastAsia="zh-CN"/>
              </w:rPr>
            </w:pPr>
            <w:r>
              <w:rPr>
                <w:rFonts w:hint="eastAsia" w:ascii="宋体" w:hAnsi="宋体" w:cs="宋体"/>
                <w:kern w:val="0"/>
                <w:sz w:val="20"/>
                <w:lang w:val="en-US" w:eastAsia="zh-CN"/>
              </w:rPr>
              <w:t>吨</w:t>
            </w: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kern w:val="0"/>
                <w:sz w:val="20"/>
                <w:lang w:val="en-US" w:eastAsia="zh-CN"/>
              </w:rPr>
            </w:pPr>
            <w:r>
              <w:rPr>
                <w:rFonts w:hint="eastAsia" w:ascii="宋体" w:hAnsi="宋体" w:cs="宋体"/>
                <w:kern w:val="0"/>
                <w:sz w:val="20"/>
                <w:lang w:val="en-US" w:eastAsia="zh-CN"/>
              </w:rPr>
              <w:t>650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0"/>
              </w:rPr>
            </w:pPr>
            <w:r>
              <w:rPr>
                <w:rFonts w:hint="eastAsia" w:ascii="宋体" w:hAnsi="宋体" w:eastAsia="宋体" w:cs="宋体"/>
                <w:color w:val="000000"/>
                <w:kern w:val="0"/>
                <w:sz w:val="20"/>
              </w:rPr>
              <w:t>4</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砂</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中（粗）</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cs="宋体"/>
                <w:kern w:val="0"/>
                <w:sz w:val="20"/>
                <w:lang w:val="en-US" w:eastAsia="zh-CN"/>
              </w:rPr>
              <w:t>吨</w:t>
            </w: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kern w:val="0"/>
                <w:sz w:val="20"/>
                <w:lang w:val="en-US" w:eastAsia="zh-CN"/>
              </w:rPr>
            </w:pPr>
            <w:r>
              <w:rPr>
                <w:rFonts w:hint="eastAsia" w:ascii="宋体" w:hAnsi="宋体" w:cs="宋体"/>
                <w:kern w:val="0"/>
                <w:sz w:val="20"/>
                <w:lang w:val="en-US" w:eastAsia="zh-CN"/>
              </w:rPr>
              <w:t>1287</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0"/>
              </w:rPr>
            </w:pPr>
            <w:r>
              <w:rPr>
                <w:rFonts w:hint="eastAsia" w:ascii="宋体" w:hAnsi="宋体" w:eastAsia="宋体" w:cs="宋体"/>
                <w:color w:val="000000"/>
                <w:kern w:val="0"/>
                <w:sz w:val="20"/>
              </w:rPr>
              <w:t>5</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碎石</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cs="宋体"/>
                <w:kern w:val="0"/>
                <w:sz w:val="20"/>
                <w:lang w:val="en-US" w:eastAsia="zh-CN"/>
              </w:rPr>
              <w:t>吨</w:t>
            </w: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kern w:val="0"/>
                <w:sz w:val="20"/>
                <w:lang w:val="en-US" w:eastAsia="zh-CN"/>
              </w:rPr>
            </w:pPr>
            <w:r>
              <w:rPr>
                <w:rFonts w:hint="eastAsia" w:ascii="宋体" w:hAnsi="宋体" w:cs="宋体"/>
                <w:kern w:val="0"/>
                <w:sz w:val="20"/>
                <w:lang w:val="en-US" w:eastAsia="zh-CN"/>
              </w:rPr>
              <w:t>1785</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0"/>
                <w:lang w:val="en-US" w:eastAsia="zh-CN"/>
              </w:rPr>
            </w:pPr>
            <w:r>
              <w:rPr>
                <w:rFonts w:hint="eastAsia" w:ascii="宋体" w:hAnsi="宋体" w:cs="宋体"/>
                <w:color w:val="000000"/>
                <w:kern w:val="0"/>
                <w:sz w:val="20"/>
                <w:lang w:val="en-US" w:eastAsia="zh-CN"/>
              </w:rPr>
              <w:t>6</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标准砖</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240×115×53</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百块</w:t>
            </w: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kern w:val="0"/>
                <w:sz w:val="20"/>
                <w:lang w:val="en-US" w:eastAsia="zh-CN"/>
              </w:rPr>
            </w:pPr>
            <w:r>
              <w:rPr>
                <w:rFonts w:hint="eastAsia" w:ascii="宋体" w:hAnsi="宋体" w:cs="宋体"/>
                <w:kern w:val="0"/>
                <w:sz w:val="20"/>
                <w:lang w:val="en-US" w:eastAsia="zh-CN"/>
              </w:rPr>
              <w:t>790</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0"/>
                <w:lang w:val="en-US" w:eastAsia="zh-CN"/>
              </w:rPr>
            </w:pPr>
            <w:r>
              <w:rPr>
                <w:rFonts w:hint="eastAsia" w:ascii="宋体" w:hAnsi="宋体" w:cs="宋体"/>
                <w:color w:val="000000"/>
                <w:kern w:val="0"/>
                <w:sz w:val="20"/>
                <w:lang w:val="en-US" w:eastAsia="zh-CN"/>
              </w:rPr>
              <w:t>7</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煤矸石实心砖</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240×200×115</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百块</w:t>
            </w: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kern w:val="0"/>
                <w:sz w:val="20"/>
                <w:lang w:val="en-US" w:eastAsia="zh-CN"/>
              </w:rPr>
            </w:pPr>
            <w:r>
              <w:rPr>
                <w:rFonts w:hint="eastAsia" w:ascii="宋体" w:hAnsi="宋体" w:cs="宋体"/>
                <w:kern w:val="0"/>
                <w:sz w:val="20"/>
                <w:lang w:val="en-US" w:eastAsia="zh-CN"/>
              </w:rPr>
              <w:t>1784</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0"/>
                <w:lang w:val="en-US" w:eastAsia="zh-CN"/>
              </w:rPr>
            </w:pPr>
            <w:r>
              <w:rPr>
                <w:rFonts w:hint="eastAsia" w:ascii="宋体" w:hAnsi="宋体" w:cs="宋体"/>
                <w:color w:val="000000"/>
                <w:kern w:val="0"/>
                <w:sz w:val="20"/>
                <w:lang w:val="en-US" w:eastAsia="zh-CN"/>
              </w:rPr>
              <w:t>8</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lang w:val="en-US" w:eastAsia="zh-CN"/>
              </w:rPr>
            </w:pPr>
            <w:r>
              <w:rPr>
                <w:rFonts w:hint="eastAsia" w:ascii="宋体" w:hAnsi="宋体" w:cs="宋体"/>
                <w:kern w:val="0"/>
                <w:sz w:val="20"/>
                <w:lang w:val="en-US" w:eastAsia="zh-CN"/>
              </w:rPr>
              <w:t>木材</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0"/>
                <w:lang w:val="en-US" w:eastAsia="zh-CN"/>
              </w:rPr>
            </w:pPr>
            <w:r>
              <w:rPr>
                <w:rFonts w:hint="eastAsia" w:ascii="宋体" w:hAnsi="宋体" w:cs="宋体"/>
                <w:color w:val="000000"/>
                <w:kern w:val="0"/>
                <w:sz w:val="20"/>
                <w:lang w:val="en-US" w:eastAsia="zh-CN"/>
              </w:rPr>
              <w:t>9</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r>
              <w:rPr>
                <w:rFonts w:hint="eastAsia" w:ascii="宋体" w:hAnsi="宋体" w:eastAsia="宋体" w:cs="宋体"/>
                <w:kern w:val="0"/>
                <w:sz w:val="20"/>
              </w:rPr>
              <w:t>成品套装木门</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517"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center"/>
              <w:textAlignment w:val="bottom"/>
              <w:rPr>
                <w:rFonts w:hint="eastAsia" w:ascii="宋体" w:hAnsi="宋体" w:eastAsia="宋体" w:cs="宋体"/>
                <w:kern w:val="0"/>
                <w:sz w:val="20"/>
              </w:rPr>
            </w:pPr>
            <w:r>
              <w:rPr>
                <w:rFonts w:hint="eastAsia" w:ascii="宋体" w:hAnsi="宋体" w:eastAsia="宋体" w:cs="宋体"/>
                <w:i w:val="0"/>
                <w:color w:val="000000"/>
                <w:kern w:val="0"/>
                <w:sz w:val="20"/>
                <w:szCs w:val="20"/>
                <w:u w:val="none"/>
                <w:lang w:val="en-US" w:eastAsia="zh-CN" w:bidi="ar"/>
              </w:rPr>
              <w:t>m2</w:t>
            </w:r>
          </w:p>
        </w:tc>
        <w:tc>
          <w:tcPr>
            <w:tcW w:w="666"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default" w:ascii="宋体" w:hAnsi="宋体" w:eastAsia="宋体" w:cs="宋体"/>
                <w:kern w:val="0"/>
                <w:sz w:val="20"/>
                <w:lang w:val="en-US" w:eastAsia="zh-CN"/>
              </w:rPr>
            </w:pPr>
            <w:r>
              <w:rPr>
                <w:rFonts w:hint="eastAsia" w:ascii="宋体" w:hAnsi="宋体" w:cs="宋体"/>
                <w:kern w:val="0"/>
                <w:sz w:val="20"/>
                <w:lang w:val="en-US" w:eastAsia="zh-CN"/>
              </w:rPr>
              <w:t>242</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0"/>
                <w:lang w:val="en-US" w:eastAsia="zh-CN"/>
              </w:rPr>
            </w:pPr>
            <w:r>
              <w:rPr>
                <w:rFonts w:hint="eastAsia" w:ascii="宋体" w:hAnsi="宋体" w:cs="宋体"/>
                <w:color w:val="000000"/>
                <w:kern w:val="0"/>
                <w:sz w:val="20"/>
                <w:lang w:val="en-US" w:eastAsia="zh-CN"/>
              </w:rPr>
              <w:t>10</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0"/>
                <w:lang w:val="en-US" w:eastAsia="zh-CN"/>
              </w:rPr>
            </w:pPr>
            <w:r>
              <w:rPr>
                <w:rFonts w:hint="eastAsia" w:ascii="宋体" w:hAnsi="宋体" w:cs="宋体"/>
                <w:color w:val="000000"/>
                <w:kern w:val="0"/>
                <w:sz w:val="20"/>
                <w:lang w:val="en-US" w:eastAsia="zh-CN"/>
              </w:rPr>
              <w:t>11</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0"/>
                <w:lang w:val="en-US" w:eastAsia="zh-CN"/>
              </w:rPr>
            </w:pPr>
            <w:r>
              <w:rPr>
                <w:rFonts w:hint="eastAsia" w:ascii="宋体" w:hAnsi="宋体" w:cs="宋体"/>
                <w:color w:val="000000"/>
                <w:kern w:val="0"/>
                <w:sz w:val="20"/>
                <w:lang w:val="en-US" w:eastAsia="zh-CN"/>
              </w:rPr>
              <w:t>12</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0"/>
                <w:lang w:val="en-US" w:eastAsia="zh-CN"/>
              </w:rPr>
            </w:pPr>
            <w:r>
              <w:rPr>
                <w:rFonts w:hint="eastAsia" w:ascii="宋体" w:hAnsi="宋体" w:cs="宋体"/>
                <w:color w:val="000000"/>
                <w:kern w:val="0"/>
                <w:sz w:val="20"/>
                <w:lang w:val="en-US" w:eastAsia="zh-CN"/>
              </w:rPr>
              <w:t>13</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0"/>
                <w:lang w:val="en-US" w:eastAsia="zh-CN"/>
              </w:rPr>
            </w:pPr>
            <w:r>
              <w:rPr>
                <w:rFonts w:hint="eastAsia" w:ascii="宋体" w:hAnsi="宋体" w:cs="宋体"/>
                <w:color w:val="000000"/>
                <w:kern w:val="0"/>
                <w:sz w:val="20"/>
                <w:lang w:val="en-US" w:eastAsia="zh-CN"/>
              </w:rPr>
              <w:t>14</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0"/>
                <w:lang w:val="en-US" w:eastAsia="zh-CN"/>
              </w:rPr>
            </w:pPr>
            <w:r>
              <w:rPr>
                <w:rFonts w:hint="eastAsia" w:ascii="宋体" w:hAnsi="宋体" w:cs="宋体"/>
                <w:color w:val="000000"/>
                <w:kern w:val="0"/>
                <w:sz w:val="20"/>
                <w:lang w:val="en-US" w:eastAsia="zh-CN"/>
              </w:rPr>
              <w:t>15</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000000"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429" w:hRule="atLeast"/>
          <w:jc w:val="center"/>
        </w:trPr>
        <w:tc>
          <w:tcPr>
            <w:tcW w:w="5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0"/>
                <w:lang w:val="en-US" w:eastAsia="zh-CN"/>
              </w:rPr>
            </w:pPr>
            <w:r>
              <w:rPr>
                <w:rFonts w:hint="eastAsia" w:ascii="宋体" w:hAnsi="宋体" w:cs="宋体"/>
                <w:color w:val="000000"/>
                <w:kern w:val="0"/>
                <w:sz w:val="20"/>
                <w:lang w:val="en-US" w:eastAsia="zh-CN"/>
              </w:rPr>
              <w:t>16</w:t>
            </w:r>
          </w:p>
        </w:tc>
        <w:tc>
          <w:tcPr>
            <w:tcW w:w="19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51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kern w:val="0"/>
                <w:sz w:val="20"/>
              </w:rPr>
            </w:pP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717" w:type="dxa"/>
            <w:tcBorders>
              <w:top w:val="single" w:color="000000" w:sz="4" w:space="0"/>
              <w:left w:val="single" w:color="000000" w:sz="4" w:space="0"/>
              <w:bottom w:val="single" w:color="000000" w:sz="4" w:space="0"/>
              <w:right w:val="single" w:color="auto" w:sz="4" w:space="0"/>
            </w:tcBorders>
            <w:noWrap w:val="0"/>
            <w:vAlign w:val="center"/>
          </w:tcPr>
          <w:p>
            <w:pPr>
              <w:widowControl/>
              <w:spacing w:line="360" w:lineRule="auto"/>
              <w:jc w:val="center"/>
              <w:textAlignment w:val="center"/>
              <w:rPr>
                <w:rFonts w:hint="eastAsia" w:ascii="宋体" w:hAnsi="宋体" w:eastAsia="宋体" w:cs="宋体"/>
                <w:color w:val="000000"/>
                <w:kern w:val="0"/>
                <w:sz w:val="20"/>
              </w:rPr>
            </w:pPr>
          </w:p>
        </w:tc>
        <w:tc>
          <w:tcPr>
            <w:tcW w:w="679" w:type="dxa"/>
            <w:tcBorders>
              <w:top w:val="single" w:color="000000" w:sz="4" w:space="0"/>
              <w:left w:val="single" w:color="auto" w:sz="4" w:space="0"/>
              <w:bottom w:val="single" w:color="000000" w:sz="4" w:space="0"/>
              <w:right w:val="single" w:color="000000" w:sz="4" w:space="0"/>
            </w:tcBorders>
            <w:noWrap w:val="0"/>
            <w:vAlign w:val="center"/>
          </w:tcPr>
          <w:p>
            <w:pPr>
              <w:widowControl/>
              <w:tabs>
                <w:tab w:val="left" w:pos="992"/>
              </w:tabs>
              <w:adjustRightInd w:val="0"/>
              <w:snapToGrid w:val="0"/>
              <w:spacing w:line="300" w:lineRule="exact"/>
              <w:jc w:val="center"/>
              <w:rPr>
                <w:rFonts w:hint="eastAsia" w:ascii="宋体" w:hAnsi="宋体" w:eastAsia="宋体" w:cs="宋体"/>
                <w:kern w:val="0"/>
                <w:sz w:val="20"/>
              </w:rPr>
            </w:pPr>
          </w:p>
        </w:tc>
      </w:tr>
      <w:tr>
        <w:tblPrEx>
          <w:tblLayout w:type="fixed"/>
          <w:tblCellMar>
            <w:top w:w="0" w:type="dxa"/>
            <w:left w:w="15" w:type="dxa"/>
            <w:bottom w:w="0" w:type="dxa"/>
            <w:right w:w="15" w:type="dxa"/>
          </w:tblCellMar>
        </w:tblPrEx>
        <w:trPr>
          <w:trHeight w:val="507" w:hRule="atLeast"/>
          <w:jc w:val="center"/>
        </w:trPr>
        <w:tc>
          <w:tcPr>
            <w:tcW w:w="2548" w:type="dxa"/>
            <w:gridSpan w:val="2"/>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0"/>
              </w:rPr>
            </w:pPr>
            <w:r>
              <w:rPr>
                <w:rFonts w:hint="eastAsia" w:ascii="宋体" w:hAnsi="宋体" w:eastAsia="宋体" w:cs="宋体"/>
                <w:color w:val="000000"/>
                <w:kern w:val="0"/>
                <w:sz w:val="20"/>
              </w:rPr>
              <w:t>合计</w:t>
            </w:r>
          </w:p>
        </w:tc>
        <w:tc>
          <w:tcPr>
            <w:tcW w:w="6151" w:type="dxa"/>
            <w:gridSpan w:val="8"/>
            <w:tcBorders>
              <w:top w:val="single" w:color="auto" w:sz="4" w:space="0"/>
              <w:left w:val="single" w:color="000000"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kern w:val="0"/>
                <w:sz w:val="20"/>
              </w:rPr>
            </w:pPr>
            <w:r>
              <w:rPr>
                <w:rFonts w:hint="eastAsia" w:ascii="宋体" w:hAnsi="宋体" w:eastAsia="宋体" w:cs="宋体"/>
                <w:color w:val="000000"/>
                <w:kern w:val="0"/>
                <w:sz w:val="20"/>
              </w:rPr>
              <w:t>￥：                   （大写：）</w:t>
            </w:r>
          </w:p>
        </w:tc>
        <w:tc>
          <w:tcPr>
            <w:tcW w:w="679"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0"/>
              </w:rPr>
            </w:pPr>
          </w:p>
        </w:tc>
      </w:tr>
    </w:tbl>
    <w:p>
      <w:pPr>
        <w:spacing w:before="156" w:after="156" w:line="360" w:lineRule="auto"/>
        <w:rPr>
          <w:rFonts w:hint="eastAsia" w:ascii="宋体" w:hAnsi="宋体" w:eastAsia="宋体" w:cs="宋体"/>
          <w:szCs w:val="32"/>
        </w:rPr>
      </w:pPr>
      <w:r>
        <w:rPr>
          <w:rFonts w:hint="eastAsia" w:ascii="宋体" w:hAnsi="宋体" w:eastAsia="宋体" w:cs="宋体"/>
          <w:szCs w:val="32"/>
        </w:rPr>
        <w:t xml:space="preserve">                                      投标人：</w:t>
      </w:r>
      <w:r>
        <w:rPr>
          <w:rFonts w:hint="eastAsia" w:ascii="宋体" w:hAnsi="宋体" w:eastAsia="宋体" w:cs="宋体"/>
          <w:szCs w:val="32"/>
          <w:u w:val="single"/>
        </w:rPr>
        <w:t xml:space="preserve">                     </w:t>
      </w:r>
      <w:r>
        <w:rPr>
          <w:rFonts w:hint="eastAsia" w:ascii="宋体" w:hAnsi="宋体" w:eastAsia="宋体" w:cs="宋体"/>
          <w:szCs w:val="32"/>
        </w:rPr>
        <w:t>（盖单位章）</w:t>
      </w:r>
    </w:p>
    <w:p>
      <w:pPr>
        <w:spacing w:before="156" w:after="156" w:line="360" w:lineRule="auto"/>
        <w:ind w:firstLine="3595" w:firstLineChars="1712"/>
        <w:rPr>
          <w:rFonts w:hint="eastAsia" w:ascii="宋体" w:hAnsi="宋体" w:eastAsia="宋体" w:cs="宋体"/>
          <w:szCs w:val="32"/>
        </w:rPr>
      </w:pPr>
      <w:r>
        <w:rPr>
          <w:rFonts w:hint="eastAsia" w:ascii="宋体" w:hAnsi="宋体" w:eastAsia="宋体" w:cs="宋体"/>
          <w:szCs w:val="32"/>
        </w:rPr>
        <w:t xml:space="preserve">    法定代表人或</w:t>
      </w:r>
    </w:p>
    <w:p>
      <w:pPr>
        <w:spacing w:before="156" w:after="156" w:line="360" w:lineRule="auto"/>
        <w:ind w:firstLine="3595" w:firstLineChars="1712"/>
        <w:rPr>
          <w:rFonts w:hint="eastAsia" w:ascii="宋体" w:hAnsi="宋体" w:eastAsia="宋体" w:cs="宋体"/>
          <w:szCs w:val="32"/>
        </w:rPr>
      </w:pPr>
      <w:r>
        <w:rPr>
          <w:rFonts w:hint="eastAsia" w:ascii="宋体" w:hAnsi="宋体" w:eastAsia="宋体" w:cs="宋体"/>
          <w:szCs w:val="32"/>
        </w:rPr>
        <w:t xml:space="preserve">    其委托代理人：</w:t>
      </w:r>
      <w:r>
        <w:rPr>
          <w:rFonts w:hint="eastAsia" w:ascii="宋体" w:hAnsi="宋体" w:eastAsia="宋体" w:cs="宋体"/>
          <w:szCs w:val="32"/>
          <w:u w:val="single"/>
        </w:rPr>
        <w:t xml:space="preserve">                   </w:t>
      </w:r>
      <w:r>
        <w:rPr>
          <w:rFonts w:hint="eastAsia" w:ascii="宋体" w:hAnsi="宋体" w:eastAsia="宋体" w:cs="宋体"/>
          <w:szCs w:val="32"/>
        </w:rPr>
        <w:t>（签字）</w:t>
      </w:r>
    </w:p>
    <w:p>
      <w:pPr>
        <w:rPr>
          <w:rFonts w:hint="eastAsia" w:ascii="宋体" w:hAnsi="宋体" w:eastAsia="宋体" w:cs="宋体"/>
          <w:szCs w:val="32"/>
        </w:rPr>
      </w:pPr>
      <w:r>
        <w:rPr>
          <w:rFonts w:hint="eastAsia" w:ascii="宋体" w:hAnsi="宋体" w:eastAsia="宋体" w:cs="宋体"/>
          <w:szCs w:val="32"/>
        </w:rPr>
        <w:t>注：</w:t>
      </w:r>
    </w:p>
    <w:p>
      <w:pPr>
        <w:rPr>
          <w:rFonts w:hint="eastAsia" w:ascii="宋体" w:hAnsi="宋体" w:eastAsia="宋体" w:cs="宋体"/>
          <w:szCs w:val="32"/>
        </w:rPr>
      </w:pPr>
      <w:r>
        <w:rPr>
          <w:rFonts w:hint="eastAsia" w:ascii="宋体" w:hAnsi="宋体" w:eastAsia="宋体" w:cs="宋体"/>
          <w:szCs w:val="32"/>
        </w:rPr>
        <w:t>1、投标报价应包括所有成本、利润、保险、税金等，以及招标文件明示或隐含的风险责任和义务。对于没有填入单价或合价的细目，其费用应视为已包括在投标报价表的其他单价或合价中。</w:t>
      </w:r>
    </w:p>
    <w:p>
      <w:pPr>
        <w:rPr>
          <w:rFonts w:hint="eastAsia" w:ascii="宋体" w:hAnsi="宋体" w:eastAsia="宋体" w:cs="宋体"/>
          <w:szCs w:val="32"/>
        </w:rPr>
      </w:pPr>
      <w:r>
        <w:rPr>
          <w:rFonts w:hint="eastAsia" w:ascii="宋体" w:hAnsi="宋体" w:eastAsia="宋体" w:cs="宋体"/>
          <w:szCs w:val="32"/>
        </w:rPr>
        <w:t>2、投标报价表中所列数量的变动，丝毫不会降低或影响合同条款的效力，也不免除供货商按规定的标准进行供货及运输和更换不合格品的责任。</w:t>
      </w:r>
    </w:p>
    <w:p>
      <w:pPr>
        <w:pStyle w:val="2"/>
        <w:jc w:val="center"/>
      </w:pPr>
      <w:r>
        <w:rPr>
          <w:rFonts w:hint="eastAsia"/>
        </w:rPr>
        <w:br w:type="page"/>
      </w:r>
      <w:r>
        <w:rPr>
          <w:rFonts w:hint="eastAsia"/>
        </w:rPr>
        <w:t>第六章  图  纸</w:t>
      </w:r>
      <w:bookmarkEnd w:id="547"/>
      <w:bookmarkEnd w:id="548"/>
      <w:bookmarkEnd w:id="549"/>
      <w:bookmarkEnd w:id="550"/>
      <w:bookmarkEnd w:id="551"/>
      <w:bookmarkEnd w:id="552"/>
      <w:bookmarkEnd w:id="553"/>
      <w:bookmarkEnd w:id="554"/>
      <w:bookmarkEnd w:id="555"/>
    </w:p>
    <w:p>
      <w:pPr>
        <w:spacing w:line="400" w:lineRule="exact"/>
      </w:pPr>
    </w:p>
    <w:p>
      <w:pPr>
        <w:spacing w:line="400" w:lineRule="exact"/>
        <w:jc w:val="left"/>
      </w:pPr>
      <w:r>
        <w:rPr>
          <w:rFonts w:hint="eastAsia" w:ascii="宋体" w:hAnsi="宋体" w:cs="宋体"/>
        </w:rPr>
        <w:t>图纸详见附件。</w:t>
      </w:r>
      <w:r>
        <w:rPr>
          <w:rFonts w:hint="eastAsia" w:ascii="仿宋_GB2312" w:eastAsia="仿宋_GB2312"/>
        </w:rPr>
        <w:br w:type="page"/>
      </w:r>
      <w:bookmarkStart w:id="556" w:name="_Toc152045785"/>
      <w:bookmarkStart w:id="557" w:name="_Toc152042574"/>
      <w:bookmarkStart w:id="558" w:name="_Toc144974854"/>
    </w:p>
    <w:p>
      <w:pPr>
        <w:pStyle w:val="2"/>
        <w:jc w:val="center"/>
        <w:rPr>
          <w:rFonts w:hint="eastAsia" w:eastAsia="宋体"/>
          <w:lang w:eastAsia="zh-CN"/>
        </w:rPr>
      </w:pPr>
      <w:bookmarkStart w:id="559" w:name="_Toc246996353"/>
      <w:bookmarkStart w:id="560" w:name="_Toc296602599"/>
      <w:bookmarkStart w:id="561" w:name="_Toc179632804"/>
      <w:bookmarkStart w:id="562" w:name="_Toc246997096"/>
      <w:bookmarkStart w:id="563" w:name="_Toc247085870"/>
      <w:r>
        <w:rPr>
          <w:rFonts w:hint="eastAsia"/>
        </w:rPr>
        <w:t xml:space="preserve">第七章  </w:t>
      </w:r>
      <w:bookmarkEnd w:id="556"/>
      <w:bookmarkEnd w:id="557"/>
      <w:bookmarkEnd w:id="558"/>
      <w:bookmarkEnd w:id="559"/>
      <w:bookmarkEnd w:id="560"/>
      <w:bookmarkEnd w:id="561"/>
      <w:bookmarkEnd w:id="562"/>
      <w:bookmarkEnd w:id="563"/>
      <w:r>
        <w:rPr>
          <w:rFonts w:hint="eastAsia"/>
          <w:lang w:val="en-US" w:eastAsia="zh-CN"/>
        </w:rPr>
        <w:t>服务方案</w:t>
      </w:r>
    </w:p>
    <w:p>
      <w:pPr>
        <w:spacing w:line="400" w:lineRule="exact"/>
      </w:pPr>
      <w:r>
        <w:rPr>
          <w:rFonts w:hint="eastAsia"/>
        </w:rPr>
        <w:t>一、执行国家现行相关技术规范。</w:t>
      </w:r>
    </w:p>
    <w:p>
      <w:pPr>
        <w:spacing w:line="400" w:lineRule="exact"/>
        <w:rPr>
          <w:rFonts w:hint="eastAsia"/>
        </w:rPr>
      </w:pPr>
      <w:r>
        <w:rPr>
          <w:rFonts w:hint="eastAsia"/>
        </w:rPr>
        <w:t>二、技术要求：</w:t>
      </w:r>
    </w:p>
    <w:p>
      <w:pPr>
        <w:spacing w:line="400" w:lineRule="exact"/>
        <w:rPr>
          <w:rFonts w:hint="eastAsia" w:eastAsia="宋体"/>
          <w:lang w:eastAsia="zh-CN"/>
        </w:rPr>
      </w:pPr>
      <w:r>
        <w:rPr>
          <w:rFonts w:hint="eastAsia"/>
          <w:lang w:val="en-US" w:eastAsia="zh-CN"/>
        </w:rPr>
        <w:t>三、方案：</w:t>
      </w:r>
      <w:r>
        <w:rPr>
          <w:rFonts w:hint="eastAsia"/>
          <w:lang w:eastAsia="zh-CN"/>
        </w:rPr>
        <w:t>（</w:t>
      </w:r>
      <w:r>
        <w:rPr>
          <w:rFonts w:hint="eastAsia"/>
          <w:lang w:val="en-US" w:eastAsia="zh-CN"/>
        </w:rPr>
        <w:t>质量、检验、运输、后期服务等</w:t>
      </w:r>
      <w:r>
        <w:rPr>
          <w:rFonts w:hint="eastAsia"/>
          <w:lang w:eastAsia="zh-CN"/>
        </w:rPr>
        <w:t>）</w:t>
      </w:r>
    </w:p>
    <w:p>
      <w:pPr>
        <w:pStyle w:val="2"/>
        <w:jc w:val="center"/>
      </w:pPr>
      <w:r>
        <w:br w:type="page"/>
      </w:r>
      <w:bookmarkStart w:id="564" w:name="_Toc179632806"/>
      <w:bookmarkStart w:id="565" w:name="_Toc246997097"/>
      <w:bookmarkStart w:id="566" w:name="_Toc296602600"/>
      <w:bookmarkStart w:id="567" w:name="_Toc152042575"/>
      <w:bookmarkStart w:id="568" w:name="_Toc247085872"/>
      <w:bookmarkStart w:id="569" w:name="_Toc144974855"/>
      <w:bookmarkStart w:id="570" w:name="_Toc246996354"/>
      <w:bookmarkStart w:id="571" w:name="_Toc152045786"/>
      <w:r>
        <w:rPr>
          <w:rFonts w:hint="eastAsia"/>
        </w:rPr>
        <w:t>第八章  投标文件格式</w:t>
      </w:r>
      <w:bookmarkEnd w:id="564"/>
      <w:bookmarkEnd w:id="565"/>
      <w:bookmarkEnd w:id="566"/>
      <w:bookmarkEnd w:id="567"/>
      <w:bookmarkEnd w:id="568"/>
      <w:bookmarkEnd w:id="569"/>
      <w:bookmarkEnd w:id="570"/>
      <w:bookmarkEnd w:id="571"/>
    </w:p>
    <w:p>
      <w:pPr>
        <w:spacing w:line="400" w:lineRule="exact"/>
      </w:pPr>
    </w:p>
    <w:p>
      <w:pPr>
        <w:spacing w:line="400" w:lineRule="exact"/>
        <w:rPr>
          <w:rFonts w:ascii="仿宋_GB2312" w:eastAsia="仿宋_GB2312"/>
          <w:szCs w:val="21"/>
        </w:rPr>
      </w:pPr>
      <w:r>
        <w:rPr>
          <w:rFonts w:ascii="仿宋_GB2312" w:eastAsia="仿宋_GB2312"/>
          <w:szCs w:val="21"/>
        </w:rPr>
        <w:br w:type="page"/>
      </w:r>
    </w:p>
    <w:p>
      <w:pPr>
        <w:spacing w:line="440" w:lineRule="exact"/>
        <w:rPr>
          <w:rFonts w:eastAsia="黑体"/>
          <w:sz w:val="20"/>
          <w:szCs w:val="20"/>
        </w:rPr>
      </w:pPr>
    </w:p>
    <w:p>
      <w:pPr>
        <w:spacing w:line="440" w:lineRule="exact"/>
        <w:rPr>
          <w:rFonts w:eastAsia="黑体"/>
          <w:sz w:val="20"/>
          <w:szCs w:val="20"/>
        </w:rPr>
      </w:pPr>
    </w:p>
    <w:p>
      <w:pPr>
        <w:jc w:val="center"/>
        <w:rPr>
          <w:rFonts w:eastAsia="黑体"/>
          <w:sz w:val="20"/>
          <w:szCs w:val="20"/>
        </w:rPr>
      </w:pPr>
      <w:r>
        <w:rPr>
          <w:rFonts w:hint="eastAsia"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eastAsia="黑体"/>
          <w:sz w:val="44"/>
          <w:szCs w:val="44"/>
        </w:rPr>
      </w:pPr>
      <w:r>
        <w:rPr>
          <w:rFonts w:eastAsia="黑体"/>
          <w:sz w:val="44"/>
          <w:szCs w:val="44"/>
        </w:rPr>
        <w:t>投  标  文  件</w:t>
      </w:r>
    </w:p>
    <w:p>
      <w:pPr>
        <w:rPr>
          <w:rFonts w:eastAsia="黑体"/>
          <w:sz w:val="28"/>
          <w:szCs w:val="28"/>
        </w:rPr>
      </w:pPr>
    </w:p>
    <w:p>
      <w:pPr>
        <w:ind w:firstLine="2880" w:firstLineChars="1200"/>
        <w:rPr>
          <w:rFonts w:eastAsia="黑体"/>
          <w:sz w:val="28"/>
          <w:szCs w:val="28"/>
        </w:rPr>
      </w:pPr>
      <w:r>
        <w:rPr>
          <w:rFonts w:hint="eastAsia" w:ascii="楷体" w:hAnsi="楷体" w:eastAsia="楷体" w:cs="楷体"/>
          <w:sz w:val="24"/>
        </w:rPr>
        <w:t>项目编号：</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hint="eastAsia" w:eastAsia="黑体"/>
          <w:sz w:val="28"/>
          <w:szCs w:val="28"/>
          <w:u w:val="single"/>
        </w:rPr>
        <w:t xml:space="preserve">  </w:t>
      </w:r>
      <w:r>
        <w:rPr>
          <w:rFonts w:eastAsia="黑体"/>
          <w:sz w:val="28"/>
          <w:szCs w:val="28"/>
          <w:u w:val="single"/>
        </w:rPr>
        <w:t xml:space="preserve">       </w:t>
      </w:r>
      <w:r>
        <w:rPr>
          <w:rFonts w:eastAsia="黑体"/>
          <w:sz w:val="28"/>
          <w:szCs w:val="28"/>
        </w:rPr>
        <w:t>（盖单位章）</w:t>
      </w:r>
    </w:p>
    <w:p>
      <w:pPr>
        <w:jc w:val="center"/>
        <w:rPr>
          <w:rFonts w:eastAsia="黑体"/>
          <w:sz w:val="28"/>
          <w:szCs w:val="28"/>
        </w:rPr>
      </w:pPr>
      <w:r>
        <w:rPr>
          <w:rFonts w:eastAsia="黑体"/>
          <w:sz w:val="28"/>
          <w:szCs w:val="28"/>
        </w:rPr>
        <w:t>法定代表人或其委托代理人：</w:t>
      </w:r>
      <w:r>
        <w:rPr>
          <w:rFonts w:eastAsia="黑体"/>
          <w:sz w:val="28"/>
          <w:szCs w:val="28"/>
          <w:u w:val="single"/>
        </w:rPr>
        <w:t xml:space="preserve">                </w:t>
      </w:r>
      <w:r>
        <w:rPr>
          <w:rFonts w:eastAsia="黑体"/>
          <w:sz w:val="28"/>
          <w:szCs w:val="28"/>
        </w:rPr>
        <w:t>（签字）</w:t>
      </w:r>
    </w:p>
    <w:p>
      <w:pPr>
        <w:jc w:val="center"/>
        <w:rPr>
          <w:rFonts w:eastAsia="黑体"/>
          <w:sz w:val="28"/>
          <w:szCs w:val="28"/>
        </w:r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pPr>
        <w:spacing w:line="440" w:lineRule="exact"/>
      </w:pPr>
      <w:r>
        <w:br w:type="page"/>
      </w:r>
    </w:p>
    <w:p>
      <w:pPr>
        <w:pStyle w:val="3"/>
        <w:jc w:val="center"/>
      </w:pPr>
      <w:bookmarkStart w:id="572" w:name="_Toc296602601"/>
      <w:bookmarkStart w:id="573" w:name="_Toc246996355"/>
      <w:bookmarkStart w:id="574" w:name="_Toc152045787"/>
      <w:bookmarkStart w:id="575" w:name="_Toc246997098"/>
      <w:bookmarkStart w:id="576" w:name="_Toc247085873"/>
      <w:bookmarkStart w:id="577" w:name="_Toc179632807"/>
      <w:bookmarkStart w:id="578" w:name="_Toc152042576"/>
      <w:bookmarkStart w:id="579" w:name="_Toc144974856"/>
      <w:r>
        <w:rPr>
          <w:rFonts w:hint="eastAsia"/>
        </w:rPr>
        <w:t>目    录</w:t>
      </w:r>
      <w:bookmarkEnd w:id="572"/>
      <w:bookmarkEnd w:id="573"/>
      <w:bookmarkEnd w:id="574"/>
      <w:bookmarkEnd w:id="575"/>
      <w:bookmarkEnd w:id="576"/>
      <w:bookmarkEnd w:id="577"/>
      <w:bookmarkEnd w:id="578"/>
      <w:bookmarkEnd w:id="579"/>
    </w:p>
    <w:p>
      <w:pPr>
        <w:spacing w:line="540" w:lineRule="exact"/>
      </w:pPr>
    </w:p>
    <w:p>
      <w:pPr>
        <w:spacing w:line="540" w:lineRule="exact"/>
      </w:pPr>
      <w:r>
        <w:rPr>
          <w:rFonts w:hint="eastAsia"/>
        </w:rPr>
        <w:t>一、投标函及投标函附录</w:t>
      </w:r>
    </w:p>
    <w:p>
      <w:pPr>
        <w:spacing w:line="540" w:lineRule="exact"/>
      </w:pPr>
      <w:r>
        <w:rPr>
          <w:rFonts w:hint="eastAsia"/>
        </w:rPr>
        <w:t>二、法定代表人身份证明</w:t>
      </w:r>
    </w:p>
    <w:p>
      <w:pPr>
        <w:spacing w:line="540" w:lineRule="exact"/>
      </w:pPr>
      <w:r>
        <w:rPr>
          <w:rFonts w:hint="eastAsia"/>
        </w:rPr>
        <w:t>二、授权委托书</w:t>
      </w:r>
    </w:p>
    <w:p>
      <w:pPr>
        <w:spacing w:line="540" w:lineRule="exact"/>
        <w:rPr>
          <w:rFonts w:hint="eastAsia" w:eastAsia="宋体"/>
          <w:lang w:eastAsia="zh-CN"/>
        </w:rPr>
      </w:pPr>
      <w:r>
        <w:rPr>
          <w:rFonts w:hint="eastAsia"/>
          <w:lang w:val="en-US" w:eastAsia="zh-CN"/>
        </w:rPr>
        <w:t>四</w:t>
      </w:r>
      <w:r>
        <w:rPr>
          <w:rFonts w:hint="eastAsia"/>
        </w:rPr>
        <w:t>、</w:t>
      </w:r>
      <w:r>
        <w:rPr>
          <w:rFonts w:hint="eastAsia"/>
          <w:lang w:val="en-US" w:eastAsia="zh-CN"/>
        </w:rPr>
        <w:t>商务标总报价</w:t>
      </w:r>
    </w:p>
    <w:p>
      <w:pPr>
        <w:spacing w:line="540" w:lineRule="exact"/>
        <w:rPr>
          <w:rFonts w:hint="eastAsia" w:eastAsia="宋体"/>
          <w:lang w:val="en-US" w:eastAsia="zh-CN"/>
        </w:rPr>
      </w:pPr>
      <w:r>
        <w:rPr>
          <w:rFonts w:hint="eastAsia"/>
          <w:lang w:val="en-US" w:eastAsia="zh-CN"/>
        </w:rPr>
        <w:t>五</w:t>
      </w:r>
      <w:r>
        <w:rPr>
          <w:rFonts w:hint="eastAsia"/>
        </w:rPr>
        <w:t>、</w:t>
      </w:r>
      <w:r>
        <w:rPr>
          <w:rFonts w:hint="eastAsia"/>
          <w:lang w:val="en-US" w:eastAsia="zh-CN"/>
        </w:rPr>
        <w:t>服务方案</w:t>
      </w:r>
    </w:p>
    <w:p>
      <w:pPr>
        <w:spacing w:line="540" w:lineRule="exact"/>
        <w:rPr>
          <w:rFonts w:eastAsia="黑体"/>
          <w:sz w:val="20"/>
          <w:szCs w:val="20"/>
        </w:rPr>
      </w:pPr>
      <w:r>
        <w:rPr>
          <w:rFonts w:hint="eastAsia"/>
          <w:lang w:val="en-US" w:eastAsia="zh-CN"/>
        </w:rPr>
        <w:t>六</w:t>
      </w:r>
      <w:r>
        <w:rPr>
          <w:rFonts w:hint="eastAsia"/>
        </w:rPr>
        <w:t>、资格审查资料</w:t>
      </w:r>
      <w:r>
        <w:br w:type="page"/>
      </w:r>
    </w:p>
    <w:p>
      <w:pPr>
        <w:pStyle w:val="3"/>
        <w:jc w:val="center"/>
      </w:pPr>
      <w:bookmarkStart w:id="580" w:name="_Toc247085874"/>
      <w:bookmarkStart w:id="581" w:name="_Toc152045788"/>
      <w:bookmarkStart w:id="582" w:name="_Toc246997099"/>
      <w:bookmarkStart w:id="583" w:name="_Toc246996356"/>
      <w:bookmarkStart w:id="584" w:name="_Toc296602602"/>
      <w:bookmarkStart w:id="585" w:name="_Toc152042577"/>
      <w:bookmarkStart w:id="586" w:name="_Toc144974857"/>
      <w:bookmarkStart w:id="587" w:name="_Toc179632808"/>
      <w:r>
        <w:t>一、投标函</w:t>
      </w:r>
      <w:bookmarkEnd w:id="580"/>
      <w:bookmarkEnd w:id="581"/>
      <w:bookmarkEnd w:id="582"/>
      <w:bookmarkEnd w:id="583"/>
      <w:bookmarkEnd w:id="584"/>
      <w:bookmarkEnd w:id="585"/>
      <w:bookmarkEnd w:id="586"/>
      <w:bookmarkEnd w:id="587"/>
    </w:p>
    <w:p>
      <w:pPr>
        <w:pStyle w:val="4"/>
        <w:jc w:val="center"/>
      </w:pPr>
    </w:p>
    <w:p>
      <w:pPr>
        <w:spacing w:line="440" w:lineRule="exact"/>
        <w:rPr>
          <w:szCs w:val="21"/>
        </w:rPr>
      </w:pPr>
      <w:r>
        <w:rPr>
          <w:szCs w:val="21"/>
          <w:u w:val="single"/>
        </w:rPr>
        <w:t xml:space="preserve">                        </w:t>
      </w:r>
      <w:r>
        <w:rPr>
          <w:szCs w:val="21"/>
        </w:rPr>
        <w:t>（招标人名称）：</w:t>
      </w:r>
    </w:p>
    <w:p>
      <w:pPr>
        <w:spacing w:line="440" w:lineRule="exact"/>
        <w:rPr>
          <w:szCs w:val="21"/>
        </w:rPr>
      </w:pPr>
    </w:p>
    <w:p>
      <w:pPr>
        <w:spacing w:line="440" w:lineRule="exact"/>
        <w:ind w:firstLine="420" w:firstLineChars="200"/>
        <w:rPr>
          <w:szCs w:val="21"/>
        </w:rPr>
      </w:pPr>
      <w:r>
        <w:rPr>
          <w:szCs w:val="21"/>
        </w:rPr>
        <w:t>1．我方已仔细研究了</w:t>
      </w:r>
      <w:r>
        <w:rPr>
          <w:szCs w:val="21"/>
          <w:u w:val="single"/>
        </w:rPr>
        <w:t xml:space="preserve">          </w:t>
      </w:r>
      <w:r>
        <w:rPr>
          <w:szCs w:val="21"/>
        </w:rPr>
        <w:t>（项目名称）招标文件的全部内容，愿意以人民币（大写）</w:t>
      </w:r>
      <w:r>
        <w:rPr>
          <w:szCs w:val="21"/>
          <w:u w:val="single"/>
        </w:rPr>
        <w:t xml:space="preserve">         </w:t>
      </w:r>
      <w:r>
        <w:rPr>
          <w:szCs w:val="21"/>
        </w:rPr>
        <w:t>（¥</w:t>
      </w:r>
      <w:r>
        <w:rPr>
          <w:szCs w:val="21"/>
          <w:u w:val="single"/>
        </w:rPr>
        <w:t xml:space="preserve">           </w:t>
      </w:r>
      <w:r>
        <w:rPr>
          <w:szCs w:val="21"/>
        </w:rPr>
        <w:t>）的投标总报价，</w:t>
      </w:r>
      <w:r>
        <w:rPr>
          <w:rFonts w:hint="eastAsia"/>
          <w:szCs w:val="21"/>
          <w:lang w:eastAsia="zh-CN"/>
        </w:rPr>
        <w:t>供货期</w:t>
      </w:r>
      <w:r>
        <w:rPr>
          <w:rFonts w:hint="eastAsia"/>
          <w:szCs w:val="21"/>
          <w:u w:val="single"/>
        </w:rPr>
        <w:t xml:space="preserve">          </w:t>
      </w:r>
      <w:r>
        <w:rPr>
          <w:rFonts w:hint="eastAsia"/>
          <w:szCs w:val="21"/>
        </w:rPr>
        <w:t xml:space="preserve"> 日历天，</w:t>
      </w:r>
      <w:r>
        <w:rPr>
          <w:szCs w:val="21"/>
        </w:rPr>
        <w:t>按合同约定</w:t>
      </w:r>
      <w:r>
        <w:rPr>
          <w:rFonts w:hint="eastAsia"/>
          <w:szCs w:val="21"/>
          <w:lang w:val="en-US" w:eastAsia="zh-CN"/>
        </w:rPr>
        <w:t>完成供货任务</w:t>
      </w:r>
      <w:r>
        <w:rPr>
          <w:szCs w:val="21"/>
        </w:rPr>
        <w:t>，</w:t>
      </w:r>
      <w:r>
        <w:rPr>
          <w:rFonts w:hint="eastAsia"/>
          <w:szCs w:val="21"/>
          <w:lang w:val="en-US" w:eastAsia="zh-CN"/>
        </w:rPr>
        <w:t>供货</w:t>
      </w:r>
      <w:r>
        <w:rPr>
          <w:szCs w:val="21"/>
        </w:rPr>
        <w:t>质量达到</w:t>
      </w:r>
      <w:r>
        <w:rPr>
          <w:szCs w:val="21"/>
          <w:u w:val="single"/>
        </w:rPr>
        <w:t xml:space="preserve">           </w:t>
      </w:r>
      <w:r>
        <w:rPr>
          <w:szCs w:val="21"/>
        </w:rPr>
        <w:t>。</w:t>
      </w:r>
    </w:p>
    <w:p>
      <w:pPr>
        <w:spacing w:line="440" w:lineRule="exact"/>
        <w:ind w:firstLine="420" w:firstLineChars="200"/>
        <w:rPr>
          <w:szCs w:val="21"/>
        </w:rPr>
      </w:pPr>
      <w:r>
        <w:rPr>
          <w:szCs w:val="21"/>
        </w:rPr>
        <w:t>2．我方承诺在</w:t>
      </w:r>
      <w:r>
        <w:rPr>
          <w:rFonts w:hint="eastAsia"/>
          <w:szCs w:val="21"/>
        </w:rPr>
        <w:t>招标文件规定的</w:t>
      </w:r>
      <w:r>
        <w:rPr>
          <w:szCs w:val="21"/>
        </w:rPr>
        <w:t>投标有效期内不修改、撤销投标文件。</w:t>
      </w:r>
    </w:p>
    <w:p>
      <w:pPr>
        <w:spacing w:line="440" w:lineRule="exact"/>
        <w:ind w:firstLine="420" w:firstLineChars="200"/>
        <w:rPr>
          <w:szCs w:val="21"/>
        </w:rPr>
      </w:pPr>
      <w:r>
        <w:rPr>
          <w:rFonts w:hint="eastAsia"/>
          <w:szCs w:val="21"/>
          <w:lang w:val="en-US" w:eastAsia="zh-CN"/>
        </w:rPr>
        <w:t>3</w:t>
      </w:r>
      <w:r>
        <w:rPr>
          <w:szCs w:val="21"/>
        </w:rPr>
        <w:t>．如我方中标：</w:t>
      </w:r>
    </w:p>
    <w:p>
      <w:pPr>
        <w:spacing w:line="440" w:lineRule="exact"/>
        <w:ind w:firstLine="718" w:firstLineChars="342"/>
        <w:rPr>
          <w:szCs w:val="21"/>
        </w:rPr>
      </w:pPr>
      <w:r>
        <w:rPr>
          <w:szCs w:val="21"/>
        </w:rPr>
        <w:t>（1）我方承诺在收到中标通知书后，在中标通知书规定的期限内与你方签订合同。</w:t>
      </w:r>
    </w:p>
    <w:p>
      <w:pPr>
        <w:spacing w:line="440" w:lineRule="exact"/>
        <w:ind w:firstLine="718" w:firstLineChars="342"/>
        <w:rPr>
          <w:szCs w:val="21"/>
        </w:rPr>
      </w:pPr>
      <w:r>
        <w:rPr>
          <w:szCs w:val="21"/>
        </w:rPr>
        <w:t>（2）随同本投标函递交的投标函附录属于合同文件的组成部分。</w:t>
      </w:r>
    </w:p>
    <w:p>
      <w:pPr>
        <w:spacing w:line="440" w:lineRule="exact"/>
        <w:ind w:firstLine="718" w:firstLineChars="342"/>
        <w:rPr>
          <w:szCs w:val="21"/>
        </w:rPr>
      </w:pPr>
      <w:r>
        <w:rPr>
          <w:szCs w:val="21"/>
        </w:rPr>
        <w:t>（3）我方承诺按照招标文件规定向你方递交履约担保。</w:t>
      </w:r>
    </w:p>
    <w:p>
      <w:pPr>
        <w:spacing w:line="440" w:lineRule="exact"/>
        <w:ind w:left="420" w:leftChars="200"/>
        <w:rPr>
          <w:szCs w:val="21"/>
        </w:rPr>
      </w:pPr>
      <w:r>
        <w:rPr>
          <w:szCs w:val="21"/>
        </w:rPr>
        <w:t>5．</w:t>
      </w:r>
      <w:r>
        <w:rPr>
          <w:rFonts w:hint="eastAsia"/>
        </w:rPr>
        <w:t>我方在此声明，所递交的投标文件及有关资料内容完整、真实和准确。</w:t>
      </w:r>
      <w:r>
        <w:rPr>
          <w:rFonts w:hint="eastAsia"/>
          <w:szCs w:val="21"/>
        </w:rPr>
        <w:t>6．</w:t>
      </w:r>
      <w:r>
        <w:rPr>
          <w:szCs w:val="21"/>
          <w:u w:val="single"/>
        </w:rPr>
        <w:t xml:space="preserve">                                       </w:t>
      </w:r>
      <w:r>
        <w:rPr>
          <w:szCs w:val="21"/>
        </w:rPr>
        <w:t>（</w:t>
      </w:r>
      <w:r>
        <w:rPr>
          <w:rFonts w:hint="eastAsia"/>
          <w:szCs w:val="21"/>
        </w:rPr>
        <w:t>其他</w:t>
      </w:r>
      <w:r>
        <w:rPr>
          <w:szCs w:val="21"/>
        </w:rPr>
        <w:t>补充说明）。</w:t>
      </w:r>
    </w:p>
    <w:p>
      <w:pPr>
        <w:spacing w:line="440" w:lineRule="exact"/>
        <w:rPr>
          <w:szCs w:val="21"/>
        </w:rPr>
      </w:pPr>
    </w:p>
    <w:p>
      <w:pPr>
        <w:spacing w:line="440" w:lineRule="exact"/>
        <w:rPr>
          <w:szCs w:val="21"/>
        </w:rPr>
      </w:pPr>
    </w:p>
    <w:p>
      <w:pPr>
        <w:spacing w:line="440" w:lineRule="exact"/>
        <w:rPr>
          <w:szCs w:val="21"/>
        </w:rPr>
      </w:pPr>
    </w:p>
    <w:p>
      <w:pPr>
        <w:spacing w:line="440" w:lineRule="exact"/>
        <w:ind w:firstLine="3675" w:firstLineChars="1750"/>
        <w:rPr>
          <w:szCs w:val="21"/>
        </w:rPr>
      </w:pPr>
      <w:r>
        <w:rPr>
          <w:szCs w:val="21"/>
        </w:rPr>
        <w:t>投 标 人：</w:t>
      </w:r>
      <w:r>
        <w:rPr>
          <w:szCs w:val="21"/>
          <w:u w:val="single"/>
        </w:rPr>
        <w:t xml:space="preserve">                      </w:t>
      </w:r>
      <w:r>
        <w:rPr>
          <w:szCs w:val="21"/>
        </w:rPr>
        <w:t>（盖单位章）</w:t>
      </w:r>
    </w:p>
    <w:p>
      <w:pPr>
        <w:spacing w:line="440" w:lineRule="exact"/>
        <w:ind w:firstLine="3675" w:firstLineChars="1750"/>
        <w:rPr>
          <w:szCs w:val="21"/>
        </w:rPr>
      </w:pPr>
      <w:r>
        <w:rPr>
          <w:szCs w:val="21"/>
        </w:rPr>
        <w:t>法定代表人或其委托代理人：</w:t>
      </w:r>
      <w:r>
        <w:rPr>
          <w:szCs w:val="21"/>
          <w:u w:val="single"/>
        </w:rPr>
        <w:t xml:space="preserve">      </w:t>
      </w:r>
      <w:r>
        <w:rPr>
          <w:rFonts w:hint="eastAsia"/>
          <w:szCs w:val="21"/>
          <w:u w:val="single"/>
        </w:rPr>
        <w:t xml:space="preserve">   </w:t>
      </w:r>
      <w:r>
        <w:rPr>
          <w:szCs w:val="21"/>
          <w:u w:val="single"/>
        </w:rPr>
        <w:t xml:space="preserve"> </w:t>
      </w:r>
      <w:r>
        <w:rPr>
          <w:szCs w:val="21"/>
        </w:rPr>
        <w:t>（签字）</w:t>
      </w:r>
    </w:p>
    <w:p>
      <w:pPr>
        <w:spacing w:line="440" w:lineRule="exact"/>
        <w:ind w:firstLine="3675" w:firstLineChars="1750"/>
        <w:rPr>
          <w:szCs w:val="21"/>
        </w:rPr>
      </w:pPr>
      <w:r>
        <w:rPr>
          <w:szCs w:val="21"/>
        </w:rPr>
        <w:t>地址：</w:t>
      </w:r>
      <w:r>
        <w:rPr>
          <w:szCs w:val="21"/>
          <w:u w:val="single"/>
        </w:rPr>
        <w:t xml:space="preserve">                                     </w:t>
      </w:r>
    </w:p>
    <w:p>
      <w:pPr>
        <w:spacing w:line="440" w:lineRule="exact"/>
        <w:ind w:firstLine="3675" w:firstLineChars="1750"/>
        <w:rPr>
          <w:szCs w:val="21"/>
        </w:rPr>
      </w:pPr>
      <w:r>
        <w:rPr>
          <w:szCs w:val="21"/>
        </w:rPr>
        <w:t>网址：</w:t>
      </w:r>
      <w:r>
        <w:rPr>
          <w:szCs w:val="21"/>
          <w:u w:val="single"/>
        </w:rPr>
        <w:t xml:space="preserve">                                     </w:t>
      </w:r>
    </w:p>
    <w:p>
      <w:pPr>
        <w:spacing w:line="440" w:lineRule="exact"/>
        <w:ind w:firstLine="3675" w:firstLineChars="1750"/>
        <w:rPr>
          <w:szCs w:val="21"/>
        </w:rPr>
      </w:pPr>
      <w:r>
        <w:rPr>
          <w:szCs w:val="21"/>
        </w:rPr>
        <w:t>电话：</w:t>
      </w:r>
      <w:r>
        <w:rPr>
          <w:szCs w:val="21"/>
          <w:u w:val="single"/>
        </w:rPr>
        <w:t xml:space="preserve">                                     </w:t>
      </w:r>
    </w:p>
    <w:p>
      <w:pPr>
        <w:spacing w:line="440" w:lineRule="exact"/>
        <w:ind w:firstLine="3675" w:firstLineChars="1750"/>
        <w:rPr>
          <w:szCs w:val="21"/>
        </w:rPr>
      </w:pPr>
      <w:r>
        <w:rPr>
          <w:szCs w:val="21"/>
        </w:rPr>
        <w:t>传真：</w:t>
      </w:r>
      <w:r>
        <w:rPr>
          <w:szCs w:val="21"/>
          <w:u w:val="single"/>
        </w:rPr>
        <w:t xml:space="preserve">                                     </w:t>
      </w:r>
    </w:p>
    <w:p>
      <w:pPr>
        <w:spacing w:line="440" w:lineRule="exact"/>
        <w:ind w:firstLine="3675" w:firstLineChars="1750"/>
        <w:rPr>
          <w:szCs w:val="21"/>
        </w:rPr>
      </w:pPr>
      <w:r>
        <w:rPr>
          <w:szCs w:val="21"/>
        </w:rPr>
        <w:t>邮政编码：</w:t>
      </w:r>
      <w:r>
        <w:rPr>
          <w:szCs w:val="21"/>
          <w:u w:val="single"/>
        </w:rPr>
        <w:t xml:space="preserve">                                 </w:t>
      </w:r>
    </w:p>
    <w:p>
      <w:pPr>
        <w:spacing w:line="440" w:lineRule="exact"/>
        <w:ind w:firstLine="5040" w:firstLineChars="2400"/>
        <w:rPr>
          <w:szCs w:val="21"/>
        </w:rPr>
      </w:pPr>
      <w:r>
        <w:rPr>
          <w:rFonts w:hint="eastAsia"/>
          <w:szCs w:val="21"/>
          <w:u w:val="single"/>
        </w:rPr>
        <w:t xml:space="preserve">        </w:t>
      </w:r>
      <w:r>
        <w:rPr>
          <w:szCs w:val="21"/>
        </w:rPr>
        <w:t>年</w:t>
      </w:r>
      <w:r>
        <w:rPr>
          <w:rFonts w:hint="eastAsia"/>
          <w:szCs w:val="21"/>
          <w:u w:val="single"/>
        </w:rPr>
        <w:t xml:space="preserve">        </w:t>
      </w:r>
      <w:r>
        <w:rPr>
          <w:szCs w:val="21"/>
        </w:rPr>
        <w:t>月</w:t>
      </w:r>
      <w:r>
        <w:rPr>
          <w:rFonts w:hint="eastAsia"/>
          <w:szCs w:val="21"/>
          <w:u w:val="single"/>
        </w:rPr>
        <w:t xml:space="preserve">        </w:t>
      </w:r>
      <w:r>
        <w:rPr>
          <w:szCs w:val="21"/>
        </w:rPr>
        <w:t>日</w:t>
      </w:r>
    </w:p>
    <w:p>
      <w:pPr>
        <w:spacing w:line="440" w:lineRule="exact"/>
        <w:jc w:val="center"/>
        <w:rPr>
          <w:rFonts w:eastAsia="黑体"/>
          <w:sz w:val="20"/>
          <w:szCs w:val="20"/>
        </w:rPr>
      </w:pPr>
      <w:r>
        <w:rPr>
          <w:rFonts w:eastAsia="黑体"/>
          <w:sz w:val="20"/>
          <w:szCs w:val="20"/>
        </w:rPr>
        <w:br w:type="page"/>
      </w:r>
    </w:p>
    <w:p>
      <w:pPr>
        <w:pStyle w:val="3"/>
        <w:jc w:val="center"/>
      </w:pPr>
      <w:bookmarkStart w:id="588" w:name="_Toc246996359"/>
      <w:bookmarkStart w:id="589" w:name="_Toc296602605"/>
      <w:bookmarkStart w:id="590" w:name="_Toc152045791"/>
      <w:bookmarkStart w:id="591" w:name="_Toc246997102"/>
      <w:bookmarkStart w:id="592" w:name="_Toc152042580"/>
      <w:bookmarkStart w:id="593" w:name="_Toc144974860"/>
      <w:bookmarkStart w:id="594" w:name="_Toc179632811"/>
      <w:bookmarkStart w:id="595" w:name="_Toc247085877"/>
      <w:r>
        <w:t>二、法定代表人身份证明</w:t>
      </w:r>
      <w:bookmarkEnd w:id="588"/>
      <w:bookmarkEnd w:id="589"/>
      <w:bookmarkEnd w:id="590"/>
      <w:bookmarkEnd w:id="591"/>
      <w:bookmarkEnd w:id="592"/>
      <w:bookmarkEnd w:id="593"/>
      <w:bookmarkEnd w:id="594"/>
      <w:bookmarkEnd w:id="595"/>
    </w:p>
    <w:p>
      <w:pPr>
        <w:spacing w:line="440" w:lineRule="exact"/>
        <w:rPr>
          <w:sz w:val="20"/>
          <w:szCs w:val="20"/>
        </w:rPr>
      </w:pPr>
    </w:p>
    <w:p>
      <w:pPr>
        <w:spacing w:line="440" w:lineRule="exact"/>
        <w:rPr>
          <w:szCs w:val="21"/>
        </w:rPr>
      </w:pPr>
    </w:p>
    <w:p>
      <w:pPr>
        <w:spacing w:line="440" w:lineRule="exact"/>
        <w:rPr>
          <w:szCs w:val="21"/>
        </w:rPr>
      </w:pPr>
      <w:r>
        <w:rPr>
          <w:szCs w:val="21"/>
        </w:rPr>
        <w:t>投标人名称：</w:t>
      </w:r>
      <w:r>
        <w:rPr>
          <w:szCs w:val="21"/>
          <w:u w:val="single"/>
        </w:rPr>
        <w:t xml:space="preserve">                            </w:t>
      </w:r>
      <w:r>
        <w:rPr>
          <w:szCs w:val="21"/>
        </w:rPr>
        <w:t xml:space="preserve"> </w:t>
      </w:r>
    </w:p>
    <w:p>
      <w:pPr>
        <w:spacing w:line="440" w:lineRule="exact"/>
        <w:rPr>
          <w:szCs w:val="21"/>
        </w:rPr>
      </w:pPr>
      <w:r>
        <w:rPr>
          <w:szCs w:val="21"/>
        </w:rPr>
        <w:t>单位性质：</w:t>
      </w:r>
      <w:r>
        <w:rPr>
          <w:szCs w:val="21"/>
          <w:u w:val="single"/>
        </w:rPr>
        <w:t xml:space="preserve">                               </w:t>
      </w:r>
      <w:r>
        <w:rPr>
          <w:szCs w:val="21"/>
        </w:rPr>
        <w:t xml:space="preserve"> </w:t>
      </w:r>
    </w:p>
    <w:p>
      <w:pPr>
        <w:spacing w:line="440" w:lineRule="exact"/>
        <w:rPr>
          <w:szCs w:val="21"/>
        </w:rPr>
      </w:pPr>
      <w:r>
        <w:rPr>
          <w:szCs w:val="21"/>
        </w:rPr>
        <w:t>地址：</w:t>
      </w:r>
      <w:r>
        <w:rPr>
          <w:szCs w:val="21"/>
          <w:u w:val="single"/>
        </w:rPr>
        <w:t xml:space="preserve">                                   </w:t>
      </w:r>
    </w:p>
    <w:p>
      <w:pPr>
        <w:spacing w:line="44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40" w:lineRule="exact"/>
        <w:rPr>
          <w:szCs w:val="21"/>
        </w:rPr>
      </w:pPr>
      <w:r>
        <w:rPr>
          <w:szCs w:val="21"/>
        </w:rPr>
        <w:t>经营期限：</w:t>
      </w:r>
      <w:r>
        <w:rPr>
          <w:szCs w:val="21"/>
          <w:u w:val="single"/>
        </w:rPr>
        <w:t xml:space="preserve">                               </w:t>
      </w:r>
    </w:p>
    <w:p>
      <w:pPr>
        <w:spacing w:line="440" w:lineRule="exact"/>
        <w:rPr>
          <w:szCs w:val="21"/>
        </w:rPr>
      </w:pPr>
      <w:r>
        <w:rPr>
          <w:szCs w:val="21"/>
        </w:rPr>
        <w:t>姓名：</w:t>
      </w:r>
      <w:r>
        <w:rPr>
          <w:szCs w:val="21"/>
          <w:u w:val="single"/>
        </w:rPr>
        <w:t xml:space="preserve">        </w:t>
      </w:r>
      <w:r>
        <w:rPr>
          <w:rFonts w:hint="eastAsia"/>
          <w:szCs w:val="21"/>
          <w:u w:val="single"/>
        </w:rPr>
        <w:t xml:space="preserve"> </w:t>
      </w:r>
      <w:r>
        <w:rPr>
          <w:szCs w:val="21"/>
        </w:rPr>
        <w:t xml:space="preserve"> 性别：</w:t>
      </w:r>
      <w:r>
        <w:rPr>
          <w:szCs w:val="21"/>
          <w:u w:val="single"/>
        </w:rPr>
        <w:t xml:space="preserve">         </w:t>
      </w:r>
      <w:r>
        <w:rPr>
          <w:szCs w:val="21"/>
        </w:rPr>
        <w:t>年龄：</w:t>
      </w:r>
      <w:r>
        <w:rPr>
          <w:szCs w:val="21"/>
          <w:u w:val="single"/>
        </w:rPr>
        <w:t xml:space="preserve">        </w:t>
      </w:r>
      <w:r>
        <w:rPr>
          <w:szCs w:val="21"/>
        </w:rPr>
        <w:t>职务：</w:t>
      </w:r>
      <w:r>
        <w:rPr>
          <w:szCs w:val="21"/>
          <w:u w:val="single"/>
        </w:rPr>
        <w:t xml:space="preserve">        </w:t>
      </w:r>
    </w:p>
    <w:p>
      <w:pPr>
        <w:spacing w:line="440" w:lineRule="exact"/>
        <w:rPr>
          <w:szCs w:val="21"/>
        </w:rPr>
      </w:pPr>
      <w:r>
        <w:rPr>
          <w:szCs w:val="21"/>
        </w:rPr>
        <w:t>系</w:t>
      </w:r>
      <w:r>
        <w:rPr>
          <w:szCs w:val="21"/>
          <w:u w:val="single"/>
        </w:rPr>
        <w:t xml:space="preserve">                             </w:t>
      </w:r>
      <w:r>
        <w:rPr>
          <w:szCs w:val="21"/>
        </w:rPr>
        <w:t xml:space="preserve"> </w:t>
      </w:r>
      <w:r>
        <w:rPr>
          <w:rFonts w:hint="eastAsia"/>
          <w:szCs w:val="21"/>
        </w:rPr>
        <w:t>（</w:t>
      </w:r>
      <w:r>
        <w:rPr>
          <w:szCs w:val="21"/>
        </w:rPr>
        <w:t>投标人名称</w:t>
      </w:r>
      <w:r>
        <w:rPr>
          <w:rFonts w:hint="eastAsia"/>
          <w:szCs w:val="21"/>
        </w:rPr>
        <w:t>）</w:t>
      </w:r>
      <w:r>
        <w:rPr>
          <w:szCs w:val="21"/>
        </w:rPr>
        <w:t>的法定代表人。</w:t>
      </w:r>
    </w:p>
    <w:p>
      <w:pPr>
        <w:spacing w:line="440" w:lineRule="exact"/>
        <w:ind w:firstLine="420" w:firstLineChars="200"/>
        <w:rPr>
          <w:szCs w:val="21"/>
        </w:rPr>
      </w:pPr>
      <w:r>
        <w:rPr>
          <w:szCs w:val="21"/>
        </w:rPr>
        <w:t>特此证明。</w:t>
      </w: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r>
        <w:rPr>
          <w:szCs w:val="21"/>
        </w:rPr>
        <w:t xml:space="preserve">                          投标人：</w:t>
      </w:r>
      <w:r>
        <w:rPr>
          <w:szCs w:val="21"/>
          <w:u w:val="single"/>
        </w:rPr>
        <w:t xml:space="preserve">                 </w:t>
      </w:r>
      <w:r>
        <w:rPr>
          <w:szCs w:val="21"/>
        </w:rPr>
        <w:t>（盖单位章）</w:t>
      </w:r>
    </w:p>
    <w:p>
      <w:pPr>
        <w:spacing w:line="440" w:lineRule="exact"/>
        <w:rPr>
          <w:szCs w:val="21"/>
        </w:rPr>
      </w:pPr>
      <w:r>
        <w:rPr>
          <w:szCs w:val="21"/>
        </w:rPr>
        <w:t xml:space="preserve">                                </w:t>
      </w:r>
      <w:r>
        <w:rPr>
          <w:rFonts w:hint="eastAsia"/>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spacing w:line="440" w:lineRule="exact"/>
        <w:jc w:val="center"/>
        <w:rPr>
          <w:rFonts w:eastAsia="黑体"/>
          <w:sz w:val="20"/>
          <w:szCs w:val="20"/>
        </w:rPr>
      </w:pPr>
      <w:r>
        <w:rPr>
          <w:rFonts w:eastAsia="黑体"/>
          <w:sz w:val="20"/>
          <w:szCs w:val="20"/>
        </w:rPr>
        <w:br w:type="page"/>
      </w:r>
    </w:p>
    <w:p>
      <w:pPr>
        <w:pStyle w:val="3"/>
        <w:jc w:val="center"/>
      </w:pPr>
      <w:bookmarkStart w:id="596" w:name="_Toc144974861"/>
      <w:bookmarkStart w:id="597" w:name="_Toc152042581"/>
      <w:bookmarkStart w:id="598" w:name="_Toc152045792"/>
      <w:bookmarkStart w:id="599" w:name="_Toc246996360"/>
      <w:bookmarkStart w:id="600" w:name="_Toc296602606"/>
      <w:bookmarkStart w:id="601" w:name="_Toc246997103"/>
      <w:bookmarkStart w:id="602" w:name="_Toc179632812"/>
      <w:bookmarkStart w:id="603" w:name="_Toc247085878"/>
      <w:r>
        <w:rPr>
          <w:rFonts w:hint="eastAsia"/>
          <w:lang w:val="en-US" w:eastAsia="zh-CN"/>
        </w:rPr>
        <w:t>三</w:t>
      </w:r>
      <w:r>
        <w:t>、授权委托书</w:t>
      </w:r>
      <w:bookmarkEnd w:id="596"/>
      <w:bookmarkEnd w:id="597"/>
      <w:bookmarkEnd w:id="598"/>
      <w:bookmarkEnd w:id="599"/>
      <w:bookmarkEnd w:id="600"/>
      <w:bookmarkEnd w:id="601"/>
      <w:bookmarkEnd w:id="602"/>
      <w:bookmarkEnd w:id="603"/>
    </w:p>
    <w:p>
      <w:pPr>
        <w:spacing w:line="440" w:lineRule="exact"/>
        <w:rPr>
          <w:rFonts w:eastAsia="黑体"/>
          <w:szCs w:val="21"/>
        </w:rPr>
      </w:pPr>
    </w:p>
    <w:p>
      <w:pPr>
        <w:topLinePunct/>
        <w:spacing w:line="440" w:lineRule="exa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（项目名称）投标文件、签订合同和处理有关事宜，其法律后果由我方承担。</w:t>
      </w:r>
    </w:p>
    <w:p>
      <w:pPr>
        <w:spacing w:line="440" w:lineRule="exact"/>
        <w:rPr>
          <w:szCs w:val="21"/>
        </w:rPr>
      </w:pPr>
      <w:r>
        <w:rPr>
          <w:szCs w:val="21"/>
        </w:rPr>
        <w:t xml:space="preserve">    委托期限：</w:t>
      </w:r>
      <w:r>
        <w:rPr>
          <w:szCs w:val="21"/>
          <w:u w:val="single"/>
        </w:rPr>
        <w:t xml:space="preserve">             </w:t>
      </w:r>
      <w:r>
        <w:rPr>
          <w:rFonts w:hint="eastAsia"/>
          <w:szCs w:val="21"/>
        </w:rPr>
        <w:t>。</w:t>
      </w:r>
    </w:p>
    <w:p>
      <w:pPr>
        <w:spacing w:line="440" w:lineRule="exact"/>
        <w:ind w:firstLine="420" w:firstLineChars="200"/>
        <w:rPr>
          <w:szCs w:val="21"/>
        </w:rPr>
      </w:pPr>
      <w:r>
        <w:rPr>
          <w:szCs w:val="21"/>
        </w:rPr>
        <w:t>代理人无转委托权。</w:t>
      </w:r>
    </w:p>
    <w:p>
      <w:pPr>
        <w:spacing w:line="440" w:lineRule="exact"/>
        <w:ind w:firstLine="420" w:firstLineChars="200"/>
        <w:rPr>
          <w:szCs w:val="21"/>
        </w:rPr>
      </w:pPr>
      <w:r>
        <w:rPr>
          <w:rFonts w:hint="eastAsia"/>
          <w:szCs w:val="21"/>
        </w:rPr>
        <w:t>附：法定代表人身份证明</w:t>
      </w:r>
    </w:p>
    <w:p>
      <w:pPr>
        <w:spacing w:line="440" w:lineRule="exact"/>
        <w:rPr>
          <w:szCs w:val="21"/>
        </w:rPr>
      </w:pPr>
    </w:p>
    <w:p>
      <w:pPr>
        <w:spacing w:line="440" w:lineRule="exact"/>
        <w:rPr>
          <w:szCs w:val="21"/>
        </w:rPr>
      </w:pPr>
    </w:p>
    <w:p>
      <w:pPr>
        <w:spacing w:line="440" w:lineRule="exact"/>
        <w:rPr>
          <w:szCs w:val="21"/>
        </w:rPr>
      </w:pPr>
      <w:r>
        <w:rPr>
          <w:szCs w:val="21"/>
        </w:rPr>
        <w:t>投标人：</w:t>
      </w:r>
      <w:r>
        <w:rPr>
          <w:szCs w:val="21"/>
          <w:u w:val="single"/>
        </w:rPr>
        <w:t xml:space="preserve">                               </w:t>
      </w:r>
      <w:r>
        <w:rPr>
          <w:szCs w:val="21"/>
        </w:rPr>
        <w:t>（盖单位章）</w:t>
      </w:r>
    </w:p>
    <w:p>
      <w:pPr>
        <w:spacing w:line="440" w:lineRule="exact"/>
        <w:rPr>
          <w:szCs w:val="21"/>
        </w:rPr>
      </w:pPr>
    </w:p>
    <w:p>
      <w:pPr>
        <w:spacing w:line="440" w:lineRule="exact"/>
        <w:rPr>
          <w:szCs w:val="21"/>
        </w:rPr>
      </w:pPr>
      <w:r>
        <w:rPr>
          <w:szCs w:val="21"/>
        </w:rPr>
        <w:t>法定代表人：</w:t>
      </w:r>
      <w:r>
        <w:rPr>
          <w:szCs w:val="21"/>
          <w:u w:val="single"/>
        </w:rPr>
        <w:t xml:space="preserve">                               </w:t>
      </w:r>
      <w:r>
        <w:rPr>
          <w:szCs w:val="21"/>
        </w:rPr>
        <w:t>（签字）</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r>
        <w:rPr>
          <w:szCs w:val="21"/>
        </w:rPr>
        <w:t>委托代理人：</w:t>
      </w:r>
      <w:r>
        <w:rPr>
          <w:szCs w:val="21"/>
          <w:u w:val="single"/>
        </w:rPr>
        <w:t xml:space="preserve">                                   </w:t>
      </w:r>
      <w:r>
        <w:rPr>
          <w:szCs w:val="21"/>
        </w:rPr>
        <w:t xml:space="preserve">（签字） </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p>
    <w:p>
      <w:pPr>
        <w:spacing w:line="440" w:lineRule="exact"/>
        <w:ind w:firstLine="2310" w:firstLineChars="1100"/>
        <w:rPr>
          <w:rFonts w:eastAsia="黑体"/>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00" w:lineRule="exact"/>
        <w:rPr>
          <w:rFonts w:eastAsia="黑体"/>
          <w:sz w:val="27"/>
          <w:szCs w:val="27"/>
        </w:rPr>
      </w:pPr>
      <w:r>
        <w:rPr>
          <w:rFonts w:eastAsia="黑体"/>
          <w:sz w:val="20"/>
          <w:szCs w:val="20"/>
        </w:rPr>
        <w:br w:type="page"/>
      </w:r>
    </w:p>
    <w:p>
      <w:pPr>
        <w:pStyle w:val="3"/>
        <w:jc w:val="center"/>
        <w:rPr>
          <w:rFonts w:hint="eastAsia" w:eastAsia="黑体"/>
          <w:lang w:val="en-US" w:eastAsia="zh-CN"/>
        </w:rPr>
      </w:pPr>
      <w:bookmarkStart w:id="604" w:name="_Toc144974863"/>
      <w:bookmarkStart w:id="605" w:name="_Toc246996363"/>
      <w:bookmarkStart w:id="606" w:name="_Toc152042584"/>
      <w:bookmarkStart w:id="607" w:name="_Toc246997106"/>
      <w:bookmarkStart w:id="608" w:name="_Toc296602608"/>
      <w:bookmarkStart w:id="609" w:name="_Toc152045795"/>
      <w:bookmarkStart w:id="610" w:name="_Toc179632815"/>
      <w:bookmarkStart w:id="611" w:name="_Toc247085881"/>
      <w:r>
        <w:rPr>
          <w:rFonts w:hint="eastAsia"/>
        </w:rPr>
        <w:t>四</w:t>
      </w:r>
      <w:r>
        <w:t>、</w:t>
      </w:r>
      <w:bookmarkEnd w:id="604"/>
      <w:bookmarkEnd w:id="605"/>
      <w:bookmarkEnd w:id="606"/>
      <w:bookmarkEnd w:id="607"/>
      <w:bookmarkEnd w:id="608"/>
      <w:bookmarkEnd w:id="609"/>
      <w:bookmarkEnd w:id="610"/>
      <w:bookmarkEnd w:id="611"/>
      <w:r>
        <w:rPr>
          <w:rFonts w:hint="eastAsia"/>
          <w:lang w:val="en-US" w:eastAsia="zh-CN"/>
        </w:rPr>
        <w:t>商务标报价</w:t>
      </w:r>
    </w:p>
    <w:p>
      <w:pPr>
        <w:spacing w:line="440" w:lineRule="exact"/>
        <w:jc w:val="center"/>
        <w:rPr>
          <w:rFonts w:eastAsia="黑体"/>
          <w:sz w:val="20"/>
          <w:szCs w:val="20"/>
        </w:rPr>
      </w:pPr>
      <w:r>
        <w:rPr>
          <w:rFonts w:eastAsia="黑体"/>
          <w:sz w:val="20"/>
          <w:szCs w:val="20"/>
        </w:rPr>
        <w:br w:type="page"/>
      </w:r>
    </w:p>
    <w:p>
      <w:pPr>
        <w:pStyle w:val="3"/>
        <w:jc w:val="center"/>
        <w:rPr>
          <w:rFonts w:hint="eastAsia" w:eastAsia="黑体"/>
          <w:lang w:val="en-US" w:eastAsia="zh-CN"/>
        </w:rPr>
      </w:pPr>
      <w:bookmarkStart w:id="612" w:name="_Toc246996364"/>
      <w:bookmarkStart w:id="613" w:name="_Toc152042585"/>
      <w:bookmarkStart w:id="614" w:name="_Toc296602609"/>
      <w:bookmarkStart w:id="615" w:name="_Toc152045796"/>
      <w:bookmarkStart w:id="616" w:name="_Toc179632816"/>
      <w:bookmarkStart w:id="617" w:name="_Toc247085882"/>
      <w:bookmarkStart w:id="618" w:name="_Toc246997107"/>
      <w:bookmarkStart w:id="619" w:name="_Toc144974864"/>
      <w:r>
        <w:rPr>
          <w:rFonts w:hint="eastAsia"/>
        </w:rPr>
        <w:t>五</w:t>
      </w:r>
      <w:r>
        <w:t>、</w:t>
      </w:r>
      <w:bookmarkEnd w:id="612"/>
      <w:bookmarkEnd w:id="613"/>
      <w:bookmarkEnd w:id="614"/>
      <w:bookmarkEnd w:id="615"/>
      <w:bookmarkEnd w:id="616"/>
      <w:bookmarkEnd w:id="617"/>
      <w:bookmarkEnd w:id="618"/>
      <w:bookmarkEnd w:id="619"/>
      <w:r>
        <w:rPr>
          <w:rFonts w:hint="eastAsia"/>
          <w:lang w:val="en-US" w:eastAsia="zh-CN"/>
        </w:rPr>
        <w:t>服务方案</w:t>
      </w:r>
    </w:p>
    <w:p>
      <w:pPr>
        <w:spacing w:line="440" w:lineRule="exact"/>
        <w:rPr>
          <w:rFonts w:eastAsia="黑体"/>
          <w:szCs w:val="21"/>
        </w:rPr>
      </w:pPr>
    </w:p>
    <w:p>
      <w:pPr>
        <w:numPr>
          <w:ilvl w:val="0"/>
          <w:numId w:val="1"/>
        </w:numPr>
        <w:tabs>
          <w:tab w:val="left" w:pos="720"/>
        </w:tabs>
        <w:spacing w:line="440" w:lineRule="exact"/>
        <w:ind w:firstLine="420" w:firstLineChars="200"/>
        <w:rPr>
          <w:szCs w:val="21"/>
        </w:rPr>
      </w:pPr>
      <w:r>
        <w:rPr>
          <w:rFonts w:hint="eastAsia"/>
          <w:szCs w:val="21"/>
        </w:rPr>
        <w:tab/>
      </w:r>
      <w:r>
        <w:rPr>
          <w:szCs w:val="21"/>
        </w:rPr>
        <w:t>投标人</w:t>
      </w:r>
      <w:r>
        <w:rPr>
          <w:rFonts w:hint="eastAsia"/>
          <w:szCs w:val="21"/>
          <w:lang w:val="en-US" w:eastAsia="zh-CN"/>
        </w:rPr>
        <w:t>服务方案</w:t>
      </w:r>
      <w:r>
        <w:rPr>
          <w:szCs w:val="21"/>
        </w:rPr>
        <w:t>的要求：质量、</w:t>
      </w:r>
      <w:r>
        <w:rPr>
          <w:rFonts w:hint="eastAsia"/>
          <w:szCs w:val="21"/>
          <w:lang w:val="en-US" w:eastAsia="zh-CN"/>
        </w:rPr>
        <w:t>进度</w:t>
      </w:r>
      <w:r>
        <w:rPr>
          <w:szCs w:val="21"/>
        </w:rPr>
        <w:t>、</w:t>
      </w:r>
      <w:r>
        <w:rPr>
          <w:rFonts w:hint="eastAsia"/>
          <w:szCs w:val="21"/>
          <w:lang w:val="en-US" w:eastAsia="zh-CN"/>
        </w:rPr>
        <w:t>售后</w:t>
      </w:r>
      <w:r>
        <w:rPr>
          <w:rFonts w:hint="eastAsia"/>
          <w:szCs w:val="21"/>
        </w:rPr>
        <w:t>等主要措施</w:t>
      </w:r>
      <w:r>
        <w:rPr>
          <w:szCs w:val="21"/>
        </w:rPr>
        <w:t>。</w:t>
      </w:r>
    </w:p>
    <w:p>
      <w:pPr>
        <w:spacing w:line="440" w:lineRule="exact"/>
        <w:rPr>
          <w:rFonts w:eastAsia="黑体"/>
          <w:sz w:val="20"/>
          <w:szCs w:val="20"/>
        </w:rPr>
      </w:pPr>
      <w:r>
        <w:rPr>
          <w:rFonts w:eastAsia="黑体"/>
          <w:sz w:val="20"/>
          <w:szCs w:val="20"/>
        </w:rPr>
        <w:br w:type="page"/>
      </w:r>
      <w:bookmarkStart w:id="620" w:name="_Toc179632823"/>
      <w:bookmarkStart w:id="621" w:name="_Toc152045803"/>
      <w:bookmarkStart w:id="622" w:name="_Toc144974871"/>
      <w:bookmarkStart w:id="623" w:name="_Toc152042592"/>
    </w:p>
    <w:bookmarkEnd w:id="620"/>
    <w:bookmarkEnd w:id="621"/>
    <w:bookmarkEnd w:id="622"/>
    <w:bookmarkEnd w:id="623"/>
    <w:p>
      <w:pPr>
        <w:topLinePunct/>
        <w:spacing w:line="440" w:lineRule="exact"/>
        <w:jc w:val="center"/>
        <w:rPr>
          <w:rFonts w:eastAsia="黑体"/>
          <w:sz w:val="27"/>
          <w:szCs w:val="27"/>
        </w:rPr>
      </w:pPr>
    </w:p>
    <w:p>
      <w:pPr>
        <w:pStyle w:val="3"/>
        <w:jc w:val="center"/>
      </w:pPr>
      <w:bookmarkStart w:id="624" w:name="_Toc179632827"/>
      <w:bookmarkStart w:id="625" w:name="_Toc247085890"/>
      <w:bookmarkStart w:id="626" w:name="_Toc246996372"/>
      <w:bookmarkStart w:id="627" w:name="_Toc246997115"/>
      <w:bookmarkStart w:id="628" w:name="_Toc296602617"/>
      <w:bookmarkStart w:id="629" w:name="_Toc152045807"/>
      <w:bookmarkStart w:id="630" w:name="_Toc152042596"/>
      <w:bookmarkStart w:id="631" w:name="_Toc144974875"/>
      <w:r>
        <w:rPr>
          <w:rFonts w:hint="eastAsia"/>
          <w:lang w:val="en-US" w:eastAsia="zh-CN"/>
        </w:rPr>
        <w:t>六</w:t>
      </w:r>
      <w:r>
        <w:t>、资格审查资料</w:t>
      </w:r>
      <w:bookmarkEnd w:id="624"/>
      <w:bookmarkEnd w:id="625"/>
      <w:bookmarkEnd w:id="626"/>
      <w:bookmarkEnd w:id="627"/>
      <w:bookmarkEnd w:id="628"/>
      <w:bookmarkEnd w:id="629"/>
      <w:bookmarkEnd w:id="630"/>
      <w:bookmarkEnd w:id="631"/>
    </w:p>
    <w:p>
      <w:pPr>
        <w:pStyle w:val="4"/>
        <w:jc w:val="center"/>
      </w:pPr>
      <w:bookmarkStart w:id="632" w:name="_Toc296602618"/>
      <w:bookmarkStart w:id="633" w:name="_Toc152045808"/>
      <w:bookmarkStart w:id="634" w:name="_Toc247085891"/>
      <w:bookmarkStart w:id="635" w:name="_Toc179632828"/>
      <w:bookmarkStart w:id="636" w:name="_Toc246996373"/>
      <w:bookmarkStart w:id="637" w:name="_Toc246997116"/>
      <w:bookmarkStart w:id="638" w:name="_Toc152042597"/>
      <w:bookmarkStart w:id="639" w:name="_Toc144974876"/>
      <w:r>
        <w:t>（一）投标人基本情况表</w:t>
      </w:r>
      <w:bookmarkEnd w:id="632"/>
      <w:bookmarkEnd w:id="633"/>
      <w:bookmarkEnd w:id="634"/>
      <w:bookmarkEnd w:id="635"/>
      <w:bookmarkEnd w:id="636"/>
      <w:bookmarkEnd w:id="637"/>
      <w:bookmarkEnd w:id="638"/>
      <w:bookmarkEnd w:id="639"/>
    </w:p>
    <w:tbl>
      <w:tblPr>
        <w:tblStyle w:val="37"/>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eastAsia="宋体"/>
                <w:szCs w:val="21"/>
                <w:lang w:eastAsia="zh-CN"/>
              </w:rPr>
            </w:pPr>
            <w:r>
              <w:rPr>
                <w:rFonts w:hint="eastAsia"/>
                <w:szCs w:val="21"/>
                <w:lang w:val="en-US" w:eastAsia="zh-CN"/>
              </w:rPr>
              <w:t>经营范围</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其中</w:t>
            </w:r>
          </w:p>
        </w:tc>
        <w:tc>
          <w:tcPr>
            <w:tcW w:w="2299" w:type="dxa"/>
            <w:gridSpan w:val="4"/>
            <w:vMerge w:val="restart"/>
            <w:tcBorders>
              <w:top w:val="single" w:color="auto" w:sz="4" w:space="0"/>
              <w:left w:val="single" w:color="auto" w:sz="4" w:space="0"/>
              <w:right w:val="single" w:color="auto" w:sz="4" w:space="0"/>
            </w:tcBorders>
            <w:vAlign w:val="center"/>
          </w:tcPr>
          <w:p>
            <w:pPr>
              <w:topLinePunct/>
              <w:spacing w:line="440" w:lineRule="exact"/>
              <w:jc w:val="center"/>
              <w:rPr>
                <w:rFonts w:hint="eastAsia" w:eastAsia="宋体"/>
                <w:szCs w:val="21"/>
                <w:lang w:val="en-US" w:eastAsia="zh-CN"/>
              </w:rPr>
            </w:pPr>
            <w:r>
              <w:rPr>
                <w:rFonts w:hint="eastAsia"/>
                <w:szCs w:val="21"/>
                <w:lang w:val="en-US" w:eastAsia="zh-CN"/>
              </w:rPr>
              <w:t>主要负责人</w:t>
            </w:r>
          </w:p>
        </w:tc>
        <w:tc>
          <w:tcPr>
            <w:tcW w:w="1852" w:type="dxa"/>
            <w:gridSpan w:val="2"/>
            <w:vMerge w:val="restart"/>
            <w:tcBorders>
              <w:top w:val="single" w:color="auto" w:sz="4" w:space="0"/>
              <w:left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vMerge w:val="continue"/>
            <w:tcBorders>
              <w:left w:val="single" w:color="auto" w:sz="4" w:space="0"/>
              <w:right w:val="single" w:color="auto" w:sz="4" w:space="0"/>
            </w:tcBorders>
            <w:vAlign w:val="center"/>
          </w:tcPr>
          <w:p>
            <w:pPr>
              <w:topLinePunct/>
              <w:spacing w:line="440" w:lineRule="exact"/>
              <w:jc w:val="center"/>
              <w:rPr>
                <w:rFonts w:hint="eastAsia" w:eastAsia="宋体"/>
                <w:szCs w:val="21"/>
                <w:lang w:val="en-US" w:eastAsia="zh-CN"/>
              </w:rPr>
            </w:pPr>
          </w:p>
        </w:tc>
        <w:tc>
          <w:tcPr>
            <w:tcW w:w="1852" w:type="dxa"/>
            <w:gridSpan w:val="2"/>
            <w:vMerge w:val="continue"/>
            <w:tcBorders>
              <w:left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vMerge w:val="continue"/>
            <w:tcBorders>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852" w:type="dxa"/>
            <w:gridSpan w:val="2"/>
            <w:vMerge w:val="continue"/>
            <w:tcBorders>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vMerge w:val="restart"/>
            <w:tcBorders>
              <w:top w:val="single" w:color="auto" w:sz="4" w:space="0"/>
              <w:left w:val="single" w:color="auto" w:sz="4" w:space="0"/>
              <w:right w:val="single" w:color="auto" w:sz="4" w:space="0"/>
            </w:tcBorders>
            <w:vAlign w:val="center"/>
          </w:tcPr>
          <w:p>
            <w:pPr>
              <w:topLinePunct/>
              <w:spacing w:line="440" w:lineRule="exact"/>
              <w:jc w:val="center"/>
              <w:rPr>
                <w:szCs w:val="21"/>
              </w:rPr>
            </w:pPr>
            <w:r>
              <w:rPr>
                <w:rFonts w:hint="eastAsia"/>
                <w:szCs w:val="21"/>
                <w:lang w:val="en-US" w:eastAsia="zh-CN"/>
              </w:rPr>
              <w:t>后期服务人</w:t>
            </w:r>
          </w:p>
        </w:tc>
        <w:tc>
          <w:tcPr>
            <w:tcW w:w="1852" w:type="dxa"/>
            <w:gridSpan w:val="2"/>
            <w:vMerge w:val="restart"/>
            <w:tcBorders>
              <w:top w:val="single" w:color="auto" w:sz="4" w:space="0"/>
              <w:left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vMerge w:val="continue"/>
            <w:tcBorders>
              <w:left w:val="single" w:color="auto" w:sz="4" w:space="0"/>
              <w:bottom w:val="single" w:color="auto" w:sz="4" w:space="0"/>
              <w:right w:val="single" w:color="auto" w:sz="4" w:space="0"/>
            </w:tcBorders>
            <w:vAlign w:val="center"/>
          </w:tcPr>
          <w:p>
            <w:pPr>
              <w:topLinePunct/>
              <w:spacing w:line="440" w:lineRule="exact"/>
              <w:jc w:val="center"/>
            </w:pPr>
          </w:p>
        </w:tc>
        <w:tc>
          <w:tcPr>
            <w:tcW w:w="1852" w:type="dxa"/>
            <w:gridSpan w:val="2"/>
            <w:vMerge w:val="continue"/>
            <w:tcBorders>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vAlign w:val="center"/>
          </w:tcPr>
          <w:p>
            <w:pPr>
              <w:topLinePunct/>
              <w:spacing w:line="440" w:lineRule="exact"/>
              <w:ind w:firstLine="240" w:firstLineChars="100"/>
              <w:jc w:val="center"/>
              <w:rPr>
                <w:szCs w:val="21"/>
              </w:rPr>
            </w:pPr>
            <w:r>
              <w:rPr>
                <w:rFonts w:hint="eastAsia" w:ascii="宋体" w:hAnsi="宋体" w:cs="宋体"/>
                <w:kern w:val="0"/>
                <w:sz w:val="24"/>
                <w:szCs w:val="24"/>
              </w:rPr>
              <w:t>单位简历及内设机构情况</w:t>
            </w:r>
          </w:p>
        </w:tc>
        <w:tc>
          <w:tcPr>
            <w:tcW w:w="6840" w:type="dxa"/>
            <w:gridSpan w:val="9"/>
            <w:tcBorders>
              <w:top w:val="single" w:color="auto" w:sz="4" w:space="0"/>
              <w:left w:val="single" w:color="auto" w:sz="4" w:space="0"/>
              <w:right w:val="single" w:color="auto" w:sz="4" w:space="0"/>
            </w:tcBorders>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spacing w:line="440" w:lineRule="exact"/>
        <w:rPr>
          <w:rFonts w:eastAsia="黑体"/>
          <w:sz w:val="20"/>
          <w:szCs w:val="20"/>
        </w:rPr>
      </w:pPr>
      <w:bookmarkStart w:id="640" w:name="_Toc152042602"/>
      <w:bookmarkStart w:id="641" w:name="_Toc144974881"/>
      <w:bookmarkStart w:id="642" w:name="_Toc152045813"/>
      <w:bookmarkStart w:id="643" w:name="_Toc179632833"/>
    </w:p>
    <w:p>
      <w:pPr>
        <w:spacing w:line="440" w:lineRule="exact"/>
        <w:rPr>
          <w:rFonts w:eastAsia="黑体"/>
          <w:sz w:val="23"/>
          <w:szCs w:val="23"/>
        </w:rPr>
      </w:pPr>
      <w:r>
        <w:rPr>
          <w:rFonts w:eastAsia="黑体"/>
          <w:sz w:val="20"/>
          <w:szCs w:val="20"/>
        </w:rPr>
        <w:br w:type="page"/>
      </w:r>
    </w:p>
    <w:p>
      <w:pPr>
        <w:spacing w:line="440" w:lineRule="exact"/>
        <w:rPr>
          <w:rFonts w:eastAsia="黑体"/>
          <w:sz w:val="23"/>
          <w:szCs w:val="23"/>
        </w:rPr>
      </w:pPr>
    </w:p>
    <w:p>
      <w:pPr>
        <w:spacing w:line="440" w:lineRule="exact"/>
        <w:rPr>
          <w:rFonts w:eastAsia="黑体"/>
          <w:sz w:val="23"/>
          <w:szCs w:val="23"/>
        </w:rPr>
      </w:pPr>
    </w:p>
    <w:p>
      <w:pPr>
        <w:spacing w:line="440" w:lineRule="exact"/>
        <w:ind w:firstLine="500" w:firstLineChars="250"/>
        <w:jc w:val="center"/>
        <w:rPr>
          <w:rFonts w:eastAsia="黑体"/>
          <w:sz w:val="20"/>
          <w:szCs w:val="20"/>
        </w:rPr>
      </w:pPr>
    </w:p>
    <w:p>
      <w:pPr>
        <w:pStyle w:val="4"/>
        <w:jc w:val="center"/>
      </w:pPr>
      <w:bookmarkStart w:id="644" w:name="_Toc246997117"/>
      <w:bookmarkStart w:id="645" w:name="_Toc246996374"/>
      <w:bookmarkStart w:id="646" w:name="_Toc296602622"/>
      <w:bookmarkStart w:id="647" w:name="_Toc247085892"/>
      <w:r>
        <w:rPr>
          <w:rFonts w:hint="eastAsia"/>
        </w:rPr>
        <w:t>（</w:t>
      </w:r>
      <w:r>
        <w:rPr>
          <w:rFonts w:hint="eastAsia"/>
          <w:lang w:val="en-US" w:eastAsia="zh-CN"/>
        </w:rPr>
        <w:t>二</w:t>
      </w:r>
      <w:r>
        <w:rPr>
          <w:rFonts w:hint="eastAsia"/>
        </w:rPr>
        <w:t>）</w:t>
      </w:r>
      <w:r>
        <w:t>其他</w:t>
      </w:r>
      <w:r>
        <w:rPr>
          <w:rFonts w:hint="eastAsia"/>
        </w:rPr>
        <w:t>资格审查资</w:t>
      </w:r>
      <w:r>
        <w:t>料</w:t>
      </w:r>
      <w:bookmarkEnd w:id="640"/>
      <w:bookmarkEnd w:id="641"/>
      <w:bookmarkEnd w:id="642"/>
      <w:bookmarkEnd w:id="643"/>
      <w:bookmarkEnd w:id="644"/>
      <w:bookmarkEnd w:id="645"/>
      <w:bookmarkEnd w:id="646"/>
      <w:bookmarkEnd w:id="647"/>
    </w:p>
    <w:p/>
    <w:p/>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细黑">
    <w:altName w:val="微软雅黑"/>
    <w:panose1 w:val="02010600040101010101"/>
    <w:charset w:val="86"/>
    <w:family w:val="auto"/>
    <w:pitch w:val="default"/>
    <w:sig w:usb0="00000000" w:usb1="00000000" w:usb2="00000010" w:usb3="00000000" w:csb0="0004009F"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40"/>
      </w:rPr>
    </w:pPr>
    <w:r>
      <w:fldChar w:fldCharType="begin"/>
    </w:r>
    <w:r>
      <w:rPr>
        <w:rStyle w:val="40"/>
      </w:rPr>
      <w:instrText xml:space="preserve">PAGE  </w:instrText>
    </w:r>
    <w:r>
      <w:fldChar w:fldCharType="separate"/>
    </w:r>
    <w:r>
      <w:rPr>
        <w:rStyle w:val="40"/>
      </w:rPr>
      <w:t>38</w:t>
    </w:r>
    <w:r>
      <w:fldChar w:fldCharType="end"/>
    </w:r>
  </w:p>
  <w:p>
    <w:pPr>
      <w:pStyle w:val="2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03B69"/>
    <w:multiLevelType w:val="singleLevel"/>
    <w:tmpl w:val="20103B69"/>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6ACF"/>
    <w:rsid w:val="000560CC"/>
    <w:rsid w:val="00123120"/>
    <w:rsid w:val="001E7E81"/>
    <w:rsid w:val="001F7F6C"/>
    <w:rsid w:val="00316ACF"/>
    <w:rsid w:val="0037443D"/>
    <w:rsid w:val="003C7004"/>
    <w:rsid w:val="003C7686"/>
    <w:rsid w:val="0064091A"/>
    <w:rsid w:val="00645B13"/>
    <w:rsid w:val="00650DE6"/>
    <w:rsid w:val="006A0CB5"/>
    <w:rsid w:val="008204CC"/>
    <w:rsid w:val="0085718F"/>
    <w:rsid w:val="008746B9"/>
    <w:rsid w:val="00936984"/>
    <w:rsid w:val="009F3822"/>
    <w:rsid w:val="00A179FB"/>
    <w:rsid w:val="00BA1479"/>
    <w:rsid w:val="00BC1DB8"/>
    <w:rsid w:val="00BD3D25"/>
    <w:rsid w:val="00E7032E"/>
    <w:rsid w:val="00F3682E"/>
    <w:rsid w:val="00F43327"/>
    <w:rsid w:val="02D610BF"/>
    <w:rsid w:val="037219F7"/>
    <w:rsid w:val="0A2226B2"/>
    <w:rsid w:val="0A4A6FD1"/>
    <w:rsid w:val="10BA7F91"/>
    <w:rsid w:val="18A02460"/>
    <w:rsid w:val="19013150"/>
    <w:rsid w:val="19192BA7"/>
    <w:rsid w:val="1E524548"/>
    <w:rsid w:val="21920754"/>
    <w:rsid w:val="24B61979"/>
    <w:rsid w:val="257A2527"/>
    <w:rsid w:val="2C5716B7"/>
    <w:rsid w:val="3789176E"/>
    <w:rsid w:val="396C6008"/>
    <w:rsid w:val="3D8C7D15"/>
    <w:rsid w:val="45A00C23"/>
    <w:rsid w:val="4A0A4089"/>
    <w:rsid w:val="4AF66756"/>
    <w:rsid w:val="6B894626"/>
    <w:rsid w:val="75366C72"/>
    <w:rsid w:val="7C515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7"/>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48"/>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49"/>
    <w:qFormat/>
    <w:uiPriority w:val="0"/>
    <w:pPr>
      <w:keepNext/>
      <w:keepLines/>
      <w:spacing w:before="260" w:after="260" w:line="415" w:lineRule="auto"/>
      <w:outlineLvl w:val="2"/>
    </w:pPr>
    <w:rPr>
      <w:b/>
      <w:bCs/>
      <w:sz w:val="32"/>
      <w:szCs w:val="32"/>
    </w:rPr>
  </w:style>
  <w:style w:type="paragraph" w:styleId="5">
    <w:name w:val="heading 4"/>
    <w:basedOn w:val="1"/>
    <w:next w:val="1"/>
    <w:link w:val="50"/>
    <w:qFormat/>
    <w:uiPriority w:val="0"/>
    <w:pPr>
      <w:keepNext/>
      <w:keepLines/>
      <w:spacing w:before="280" w:after="290" w:line="374" w:lineRule="auto"/>
      <w:outlineLvl w:val="3"/>
    </w:pPr>
    <w:rPr>
      <w:rFonts w:ascii="Arial" w:hAnsi="Arial" w:eastAsia="黑体"/>
      <w:b/>
      <w:bCs/>
      <w:sz w:val="28"/>
      <w:szCs w:val="28"/>
    </w:rPr>
  </w:style>
  <w:style w:type="paragraph" w:styleId="6">
    <w:name w:val="heading 6"/>
    <w:basedOn w:val="1"/>
    <w:next w:val="1"/>
    <w:link w:val="5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7">
    <w:name w:val="heading 7"/>
    <w:basedOn w:val="1"/>
    <w:next w:val="1"/>
    <w:link w:val="52"/>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1"/>
    <w:next w:val="1"/>
    <w:link w:val="53"/>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9">
    <w:name w:val="heading 9"/>
    <w:basedOn w:val="1"/>
    <w:next w:val="1"/>
    <w:link w:val="54"/>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Layout w:type="fixed"/>
      <w:tblCellMar>
        <w:top w:w="0" w:type="dxa"/>
        <w:left w:w="108" w:type="dxa"/>
        <w:bottom w:w="0" w:type="dxa"/>
        <w:right w:w="108" w:type="dxa"/>
      </w:tblCellMar>
    </w:tblPr>
  </w:style>
  <w:style w:type="paragraph" w:styleId="10">
    <w:name w:val="toc 7"/>
    <w:basedOn w:val="1"/>
    <w:next w:val="1"/>
    <w:qFormat/>
    <w:uiPriority w:val="0"/>
    <w:pPr>
      <w:ind w:left="1260"/>
      <w:jc w:val="left"/>
    </w:pPr>
    <w:rPr>
      <w:sz w:val="18"/>
      <w:szCs w:val="18"/>
    </w:rPr>
  </w:style>
  <w:style w:type="paragraph" w:styleId="11">
    <w:name w:val="Normal Indent"/>
    <w:basedOn w:val="1"/>
    <w:qFormat/>
    <w:uiPriority w:val="0"/>
    <w:pPr>
      <w:ind w:firstLine="420" w:firstLineChars="200"/>
    </w:pPr>
  </w:style>
  <w:style w:type="paragraph" w:styleId="12">
    <w:name w:val="Document Map"/>
    <w:basedOn w:val="1"/>
    <w:link w:val="69"/>
    <w:qFormat/>
    <w:uiPriority w:val="0"/>
    <w:pPr>
      <w:shd w:val="clear" w:color="auto" w:fill="000080"/>
    </w:pPr>
  </w:style>
  <w:style w:type="paragraph" w:styleId="13">
    <w:name w:val="annotation text"/>
    <w:basedOn w:val="1"/>
    <w:link w:val="63"/>
    <w:unhideWhenUsed/>
    <w:qFormat/>
    <w:uiPriority w:val="0"/>
    <w:pPr>
      <w:jc w:val="left"/>
    </w:pPr>
  </w:style>
  <w:style w:type="paragraph" w:styleId="14">
    <w:name w:val="Body Text 3"/>
    <w:basedOn w:val="1"/>
    <w:link w:val="72"/>
    <w:qFormat/>
    <w:uiPriority w:val="0"/>
    <w:rPr>
      <w:rFonts w:ascii="宋体"/>
      <w:sz w:val="24"/>
      <w:szCs w:val="20"/>
    </w:rPr>
  </w:style>
  <w:style w:type="paragraph" w:styleId="15">
    <w:name w:val="Body Text"/>
    <w:basedOn w:val="1"/>
    <w:link w:val="68"/>
    <w:qFormat/>
    <w:uiPriority w:val="0"/>
    <w:pPr>
      <w:spacing w:after="120"/>
    </w:pPr>
  </w:style>
  <w:style w:type="paragraph" w:styleId="16">
    <w:name w:val="Body Text Indent"/>
    <w:basedOn w:val="1"/>
    <w:link w:val="71"/>
    <w:qFormat/>
    <w:uiPriority w:val="0"/>
    <w:pPr>
      <w:spacing w:after="120"/>
      <w:ind w:left="420" w:leftChars="200"/>
    </w:pPr>
  </w:style>
  <w:style w:type="paragraph" w:styleId="17">
    <w:name w:val="toc 5"/>
    <w:basedOn w:val="1"/>
    <w:next w:val="1"/>
    <w:qFormat/>
    <w:uiPriority w:val="0"/>
    <w:pPr>
      <w:ind w:left="840"/>
      <w:jc w:val="left"/>
    </w:pPr>
    <w:rPr>
      <w:sz w:val="18"/>
      <w:szCs w:val="18"/>
    </w:rPr>
  </w:style>
  <w:style w:type="paragraph" w:styleId="18">
    <w:name w:val="toc 3"/>
    <w:basedOn w:val="1"/>
    <w:next w:val="1"/>
    <w:qFormat/>
    <w:uiPriority w:val="0"/>
    <w:pPr>
      <w:ind w:left="420"/>
      <w:jc w:val="left"/>
    </w:pPr>
    <w:rPr>
      <w:i/>
      <w:iCs/>
      <w:sz w:val="20"/>
      <w:szCs w:val="20"/>
    </w:rPr>
  </w:style>
  <w:style w:type="paragraph" w:styleId="19">
    <w:name w:val="Plain Text"/>
    <w:basedOn w:val="1"/>
    <w:link w:val="62"/>
    <w:qFormat/>
    <w:uiPriority w:val="0"/>
    <w:rPr>
      <w:rFonts w:ascii="Courier New" w:hAnsi="Courier New"/>
      <w:szCs w:val="20"/>
    </w:rPr>
  </w:style>
  <w:style w:type="paragraph" w:styleId="20">
    <w:name w:val="toc 8"/>
    <w:basedOn w:val="1"/>
    <w:next w:val="1"/>
    <w:qFormat/>
    <w:uiPriority w:val="0"/>
    <w:pPr>
      <w:ind w:left="1470"/>
      <w:jc w:val="left"/>
    </w:pPr>
    <w:rPr>
      <w:sz w:val="18"/>
      <w:szCs w:val="18"/>
    </w:rPr>
  </w:style>
  <w:style w:type="paragraph" w:styleId="21">
    <w:name w:val="Date"/>
    <w:basedOn w:val="1"/>
    <w:next w:val="1"/>
    <w:link w:val="67"/>
    <w:qFormat/>
    <w:uiPriority w:val="0"/>
    <w:rPr>
      <w:sz w:val="24"/>
      <w:szCs w:val="20"/>
    </w:rPr>
  </w:style>
  <w:style w:type="paragraph" w:styleId="22">
    <w:name w:val="Balloon Text"/>
    <w:basedOn w:val="1"/>
    <w:link w:val="66"/>
    <w:qFormat/>
    <w:uiPriority w:val="0"/>
    <w:rPr>
      <w:sz w:val="18"/>
      <w:szCs w:val="18"/>
    </w:rPr>
  </w:style>
  <w:style w:type="paragraph" w:styleId="23">
    <w:name w:val="footer"/>
    <w:basedOn w:val="1"/>
    <w:link w:val="46"/>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24">
    <w:name w:val="header"/>
    <w:basedOn w:val="1"/>
    <w:link w:val="45"/>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25">
    <w:name w:val="toc 1"/>
    <w:basedOn w:val="1"/>
    <w:next w:val="1"/>
    <w:qFormat/>
    <w:uiPriority w:val="0"/>
    <w:pPr>
      <w:spacing w:before="120" w:after="120"/>
      <w:jc w:val="left"/>
    </w:pPr>
    <w:rPr>
      <w:b/>
      <w:bCs/>
      <w:caps/>
      <w:sz w:val="20"/>
      <w:szCs w:val="20"/>
    </w:rPr>
  </w:style>
  <w:style w:type="paragraph" w:styleId="26">
    <w:name w:val="toc 4"/>
    <w:basedOn w:val="1"/>
    <w:next w:val="1"/>
    <w:qFormat/>
    <w:uiPriority w:val="0"/>
    <w:pPr>
      <w:ind w:left="630"/>
      <w:jc w:val="left"/>
    </w:pPr>
    <w:rPr>
      <w:sz w:val="18"/>
      <w:szCs w:val="18"/>
    </w:rPr>
  </w:style>
  <w:style w:type="paragraph" w:styleId="27">
    <w:name w:val="footnote text"/>
    <w:basedOn w:val="1"/>
    <w:link w:val="70"/>
    <w:qFormat/>
    <w:uiPriority w:val="0"/>
    <w:rPr>
      <w:sz w:val="20"/>
      <w:szCs w:val="20"/>
    </w:rPr>
  </w:style>
  <w:style w:type="paragraph" w:styleId="28">
    <w:name w:val="toc 6"/>
    <w:basedOn w:val="1"/>
    <w:next w:val="1"/>
    <w:qFormat/>
    <w:uiPriority w:val="0"/>
    <w:pPr>
      <w:ind w:left="1050"/>
      <w:jc w:val="left"/>
    </w:pPr>
    <w:rPr>
      <w:sz w:val="18"/>
      <w:szCs w:val="18"/>
    </w:rPr>
  </w:style>
  <w:style w:type="paragraph" w:styleId="29">
    <w:name w:val="Body Text Indent 3"/>
    <w:basedOn w:val="1"/>
    <w:link w:val="65"/>
    <w:qFormat/>
    <w:uiPriority w:val="0"/>
    <w:pPr>
      <w:spacing w:after="120"/>
      <w:ind w:left="420" w:leftChars="200"/>
    </w:pPr>
    <w:rPr>
      <w:sz w:val="16"/>
      <w:szCs w:val="16"/>
    </w:rPr>
  </w:style>
  <w:style w:type="paragraph" w:styleId="30">
    <w:name w:val="table of figures"/>
    <w:basedOn w:val="1"/>
    <w:next w:val="1"/>
    <w:qFormat/>
    <w:uiPriority w:val="0"/>
    <w:pPr>
      <w:ind w:left="200" w:leftChars="200" w:hanging="200" w:hangingChars="200"/>
    </w:pPr>
  </w:style>
  <w:style w:type="paragraph" w:styleId="31">
    <w:name w:val="toc 2"/>
    <w:basedOn w:val="1"/>
    <w:next w:val="1"/>
    <w:qFormat/>
    <w:uiPriority w:val="0"/>
    <w:pPr>
      <w:ind w:left="210"/>
      <w:jc w:val="left"/>
    </w:pPr>
    <w:rPr>
      <w:smallCaps/>
      <w:sz w:val="20"/>
      <w:szCs w:val="20"/>
    </w:rPr>
  </w:style>
  <w:style w:type="paragraph" w:styleId="32">
    <w:name w:val="toc 9"/>
    <w:basedOn w:val="1"/>
    <w:next w:val="1"/>
    <w:qFormat/>
    <w:uiPriority w:val="0"/>
    <w:pPr>
      <w:ind w:left="1680"/>
      <w:jc w:val="left"/>
    </w:pPr>
    <w:rPr>
      <w:sz w:val="18"/>
      <w:szCs w:val="18"/>
    </w:rPr>
  </w:style>
  <w:style w:type="paragraph" w:styleId="3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4">
    <w:name w:val="Title"/>
    <w:basedOn w:val="1"/>
    <w:link w:val="6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5">
    <w:name w:val="annotation subject"/>
    <w:basedOn w:val="13"/>
    <w:next w:val="13"/>
    <w:link w:val="64"/>
    <w:qFormat/>
    <w:uiPriority w:val="0"/>
    <w:rPr>
      <w:b/>
      <w:bCs/>
    </w:rPr>
  </w:style>
  <w:style w:type="paragraph" w:styleId="36">
    <w:name w:val="Body Text First Indent 2"/>
    <w:basedOn w:val="16"/>
    <w:qFormat/>
    <w:uiPriority w:val="0"/>
    <w:pPr>
      <w:ind w:firstLine="420" w:firstLineChars="200"/>
    </w:pPr>
  </w:style>
  <w:style w:type="table" w:styleId="38">
    <w:name w:val="Table Grid"/>
    <w:basedOn w:val="3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40">
    <w:name w:val="page number"/>
    <w:basedOn w:val="39"/>
    <w:qFormat/>
    <w:uiPriority w:val="0"/>
  </w:style>
  <w:style w:type="character" w:styleId="41">
    <w:name w:val="FollowedHyperlink"/>
    <w:qFormat/>
    <w:uiPriority w:val="0"/>
    <w:rPr>
      <w:color w:val="800080"/>
      <w:u w:val="single"/>
    </w:rPr>
  </w:style>
  <w:style w:type="character" w:styleId="42">
    <w:name w:val="Hyperlink"/>
    <w:qFormat/>
    <w:uiPriority w:val="0"/>
    <w:rPr>
      <w:color w:val="0000FF"/>
      <w:u w:val="single"/>
    </w:rPr>
  </w:style>
  <w:style w:type="character" w:styleId="43">
    <w:name w:val="annotation reference"/>
    <w:qFormat/>
    <w:uiPriority w:val="0"/>
    <w:rPr>
      <w:sz w:val="21"/>
      <w:szCs w:val="21"/>
    </w:rPr>
  </w:style>
  <w:style w:type="character" w:styleId="44">
    <w:name w:val="footnote reference"/>
    <w:qFormat/>
    <w:uiPriority w:val="0"/>
    <w:rPr>
      <w:vertAlign w:val="superscript"/>
    </w:rPr>
  </w:style>
  <w:style w:type="character" w:customStyle="1" w:styleId="45">
    <w:name w:val="页眉 字符"/>
    <w:basedOn w:val="39"/>
    <w:link w:val="24"/>
    <w:qFormat/>
    <w:uiPriority w:val="99"/>
    <w:rPr>
      <w:sz w:val="18"/>
      <w:szCs w:val="18"/>
    </w:rPr>
  </w:style>
  <w:style w:type="character" w:customStyle="1" w:styleId="46">
    <w:name w:val="页脚 字符"/>
    <w:basedOn w:val="39"/>
    <w:link w:val="23"/>
    <w:qFormat/>
    <w:uiPriority w:val="99"/>
    <w:rPr>
      <w:sz w:val="18"/>
      <w:szCs w:val="18"/>
    </w:rPr>
  </w:style>
  <w:style w:type="character" w:customStyle="1" w:styleId="47">
    <w:name w:val="标题 1 字符"/>
    <w:basedOn w:val="39"/>
    <w:link w:val="2"/>
    <w:qFormat/>
    <w:uiPriority w:val="0"/>
    <w:rPr>
      <w:rFonts w:ascii="Times New Roman" w:hAnsi="Times New Roman" w:eastAsia="宋体" w:cs="Times New Roman"/>
      <w:b/>
      <w:bCs/>
      <w:kern w:val="44"/>
      <w:sz w:val="44"/>
      <w:szCs w:val="44"/>
    </w:rPr>
  </w:style>
  <w:style w:type="character" w:customStyle="1" w:styleId="48">
    <w:name w:val="标题 2 字符"/>
    <w:basedOn w:val="39"/>
    <w:link w:val="3"/>
    <w:qFormat/>
    <w:uiPriority w:val="0"/>
    <w:rPr>
      <w:rFonts w:ascii="Arial" w:hAnsi="Arial" w:eastAsia="黑体" w:cs="Times New Roman"/>
      <w:b/>
      <w:bCs/>
      <w:sz w:val="32"/>
      <w:szCs w:val="32"/>
    </w:rPr>
  </w:style>
  <w:style w:type="character" w:customStyle="1" w:styleId="49">
    <w:name w:val="标题 3 字符"/>
    <w:basedOn w:val="39"/>
    <w:link w:val="4"/>
    <w:qFormat/>
    <w:uiPriority w:val="0"/>
    <w:rPr>
      <w:rFonts w:ascii="Times New Roman" w:hAnsi="Times New Roman" w:eastAsia="宋体" w:cs="Times New Roman"/>
      <w:b/>
      <w:bCs/>
      <w:sz w:val="32"/>
      <w:szCs w:val="32"/>
    </w:rPr>
  </w:style>
  <w:style w:type="character" w:customStyle="1" w:styleId="50">
    <w:name w:val="标题 4 字符"/>
    <w:basedOn w:val="39"/>
    <w:link w:val="5"/>
    <w:qFormat/>
    <w:uiPriority w:val="0"/>
    <w:rPr>
      <w:rFonts w:ascii="Arial" w:hAnsi="Arial" w:eastAsia="黑体" w:cs="Times New Roman"/>
      <w:b/>
      <w:bCs/>
      <w:sz w:val="28"/>
      <w:szCs w:val="28"/>
    </w:rPr>
  </w:style>
  <w:style w:type="character" w:customStyle="1" w:styleId="51">
    <w:name w:val="标题 6 字符"/>
    <w:basedOn w:val="39"/>
    <w:link w:val="6"/>
    <w:qFormat/>
    <w:uiPriority w:val="0"/>
    <w:rPr>
      <w:rFonts w:ascii="Arial" w:hAnsi="Arial" w:eastAsia="黑体" w:cs="Times New Roman"/>
      <w:b/>
      <w:bCs/>
      <w:kern w:val="0"/>
      <w:sz w:val="24"/>
      <w:szCs w:val="24"/>
    </w:rPr>
  </w:style>
  <w:style w:type="character" w:customStyle="1" w:styleId="52">
    <w:name w:val="标题 7 字符"/>
    <w:basedOn w:val="39"/>
    <w:link w:val="7"/>
    <w:qFormat/>
    <w:uiPriority w:val="0"/>
    <w:rPr>
      <w:rFonts w:ascii="Times New Roman" w:hAnsi="Times New Roman" w:eastAsia="宋体" w:cs="Times New Roman"/>
      <w:b/>
      <w:bCs/>
      <w:kern w:val="0"/>
      <w:sz w:val="24"/>
      <w:szCs w:val="24"/>
    </w:rPr>
  </w:style>
  <w:style w:type="character" w:customStyle="1" w:styleId="53">
    <w:name w:val="标题 8 字符"/>
    <w:basedOn w:val="39"/>
    <w:link w:val="8"/>
    <w:qFormat/>
    <w:uiPriority w:val="0"/>
    <w:rPr>
      <w:rFonts w:ascii="Arial" w:hAnsi="Arial" w:eastAsia="黑体" w:cs="Times New Roman"/>
      <w:kern w:val="0"/>
      <w:sz w:val="24"/>
      <w:szCs w:val="24"/>
    </w:rPr>
  </w:style>
  <w:style w:type="character" w:customStyle="1" w:styleId="54">
    <w:name w:val="标题 9 字符"/>
    <w:basedOn w:val="39"/>
    <w:link w:val="9"/>
    <w:qFormat/>
    <w:uiPriority w:val="0"/>
    <w:rPr>
      <w:rFonts w:ascii="Arial" w:hAnsi="Arial" w:eastAsia="黑体" w:cs="Times New Roman"/>
      <w:kern w:val="0"/>
      <w:szCs w:val="21"/>
    </w:rPr>
  </w:style>
  <w:style w:type="character" w:customStyle="1" w:styleId="55">
    <w:name w:val="Char Char2"/>
    <w:qFormat/>
    <w:uiPriority w:val="0"/>
    <w:rPr>
      <w:rFonts w:eastAsia="宋体"/>
      <w:kern w:val="2"/>
      <w:sz w:val="21"/>
      <w:szCs w:val="24"/>
      <w:lang w:val="en-US" w:eastAsia="zh-CN" w:bidi="ar-SA"/>
    </w:rPr>
  </w:style>
  <w:style w:type="character" w:customStyle="1" w:styleId="56">
    <w:name w:val="Char Char8"/>
    <w:qFormat/>
    <w:uiPriority w:val="0"/>
    <w:rPr>
      <w:rFonts w:ascii="Arial" w:hAnsi="Arial" w:eastAsia="黑体"/>
      <w:b/>
      <w:bCs/>
      <w:kern w:val="2"/>
      <w:sz w:val="32"/>
      <w:szCs w:val="32"/>
      <w:lang w:val="en-US" w:eastAsia="zh-CN" w:bidi="ar-SA"/>
    </w:rPr>
  </w:style>
  <w:style w:type="character" w:customStyle="1" w:styleId="57">
    <w:name w:val="font161"/>
    <w:qFormat/>
    <w:uiPriority w:val="0"/>
    <w:rPr>
      <w:b/>
      <w:bCs/>
      <w:sz w:val="32"/>
      <w:szCs w:val="32"/>
    </w:rPr>
  </w:style>
  <w:style w:type="character" w:customStyle="1" w:styleId="58">
    <w:name w:val="Char Char"/>
    <w:qFormat/>
    <w:uiPriority w:val="0"/>
    <w:rPr>
      <w:rFonts w:ascii="Arial" w:hAnsi="Arial" w:eastAsia="黑体"/>
      <w:b/>
      <w:bCs/>
      <w:kern w:val="2"/>
      <w:sz w:val="32"/>
      <w:szCs w:val="32"/>
      <w:lang w:val="en-US" w:eastAsia="zh-CN" w:bidi="ar-SA"/>
    </w:rPr>
  </w:style>
  <w:style w:type="character" w:customStyle="1" w:styleId="59">
    <w:name w:val="批注文字 字符"/>
    <w:qFormat/>
    <w:uiPriority w:val="0"/>
    <w:rPr>
      <w:rFonts w:eastAsia="宋体"/>
      <w:kern w:val="2"/>
      <w:sz w:val="21"/>
      <w:szCs w:val="24"/>
      <w:lang w:val="en-US" w:eastAsia="zh-CN" w:bidi="ar-SA"/>
    </w:rPr>
  </w:style>
  <w:style w:type="character" w:customStyle="1" w:styleId="60">
    <w:name w:val="Char Char7"/>
    <w:qFormat/>
    <w:uiPriority w:val="0"/>
    <w:rPr>
      <w:rFonts w:ascii="Arial" w:hAnsi="Arial" w:eastAsia="黑体"/>
      <w:b/>
      <w:bCs/>
      <w:kern w:val="2"/>
      <w:sz w:val="32"/>
      <w:szCs w:val="32"/>
      <w:lang w:val="en-US" w:eastAsia="zh-CN" w:bidi="ar-SA"/>
    </w:rPr>
  </w:style>
  <w:style w:type="character" w:customStyle="1" w:styleId="61">
    <w:name w:val="标题 字符"/>
    <w:basedOn w:val="39"/>
    <w:link w:val="34"/>
    <w:qFormat/>
    <w:uiPriority w:val="0"/>
    <w:rPr>
      <w:rFonts w:ascii="Arial" w:hAnsi="Arial" w:eastAsia="宋体" w:cs="Times New Roman"/>
      <w:b/>
      <w:kern w:val="0"/>
      <w:sz w:val="32"/>
      <w:szCs w:val="20"/>
    </w:rPr>
  </w:style>
  <w:style w:type="character" w:customStyle="1" w:styleId="62">
    <w:name w:val="纯文本 字符"/>
    <w:basedOn w:val="39"/>
    <w:link w:val="19"/>
    <w:qFormat/>
    <w:uiPriority w:val="0"/>
    <w:rPr>
      <w:rFonts w:ascii="Courier New" w:hAnsi="Courier New" w:eastAsia="宋体" w:cs="Times New Roman"/>
      <w:szCs w:val="20"/>
    </w:rPr>
  </w:style>
  <w:style w:type="character" w:customStyle="1" w:styleId="63">
    <w:name w:val="批注文字 字符1"/>
    <w:basedOn w:val="39"/>
    <w:link w:val="13"/>
    <w:semiHidden/>
    <w:qFormat/>
    <w:uiPriority w:val="99"/>
    <w:rPr>
      <w:rFonts w:ascii="Times New Roman" w:hAnsi="Times New Roman" w:eastAsia="宋体" w:cs="Times New Roman"/>
      <w:szCs w:val="24"/>
    </w:rPr>
  </w:style>
  <w:style w:type="character" w:customStyle="1" w:styleId="64">
    <w:name w:val="批注主题 字符"/>
    <w:basedOn w:val="63"/>
    <w:link w:val="35"/>
    <w:qFormat/>
    <w:uiPriority w:val="0"/>
    <w:rPr>
      <w:rFonts w:ascii="Times New Roman" w:hAnsi="Times New Roman" w:eastAsia="宋体" w:cs="Times New Roman"/>
      <w:b/>
      <w:bCs/>
      <w:szCs w:val="24"/>
    </w:rPr>
  </w:style>
  <w:style w:type="character" w:customStyle="1" w:styleId="65">
    <w:name w:val="正文文本缩进 3 字符"/>
    <w:basedOn w:val="39"/>
    <w:link w:val="29"/>
    <w:qFormat/>
    <w:uiPriority w:val="0"/>
    <w:rPr>
      <w:rFonts w:ascii="Times New Roman" w:hAnsi="Times New Roman" w:eastAsia="宋体" w:cs="Times New Roman"/>
      <w:sz w:val="16"/>
      <w:szCs w:val="16"/>
    </w:rPr>
  </w:style>
  <w:style w:type="character" w:customStyle="1" w:styleId="66">
    <w:name w:val="批注框文本 字符"/>
    <w:basedOn w:val="39"/>
    <w:link w:val="22"/>
    <w:qFormat/>
    <w:uiPriority w:val="0"/>
    <w:rPr>
      <w:rFonts w:ascii="Times New Roman" w:hAnsi="Times New Roman" w:eastAsia="宋体" w:cs="Times New Roman"/>
      <w:sz w:val="18"/>
      <w:szCs w:val="18"/>
    </w:rPr>
  </w:style>
  <w:style w:type="character" w:customStyle="1" w:styleId="67">
    <w:name w:val="日期 字符"/>
    <w:basedOn w:val="39"/>
    <w:link w:val="21"/>
    <w:qFormat/>
    <w:uiPriority w:val="0"/>
    <w:rPr>
      <w:rFonts w:ascii="Times New Roman" w:hAnsi="Times New Roman" w:eastAsia="宋体" w:cs="Times New Roman"/>
      <w:sz w:val="24"/>
      <w:szCs w:val="20"/>
    </w:rPr>
  </w:style>
  <w:style w:type="character" w:customStyle="1" w:styleId="68">
    <w:name w:val="正文文本 字符"/>
    <w:basedOn w:val="39"/>
    <w:link w:val="15"/>
    <w:qFormat/>
    <w:uiPriority w:val="0"/>
    <w:rPr>
      <w:rFonts w:ascii="Times New Roman" w:hAnsi="Times New Roman" w:eastAsia="宋体" w:cs="Times New Roman"/>
      <w:szCs w:val="24"/>
    </w:rPr>
  </w:style>
  <w:style w:type="character" w:customStyle="1" w:styleId="69">
    <w:name w:val="文档结构图 字符"/>
    <w:basedOn w:val="39"/>
    <w:link w:val="12"/>
    <w:qFormat/>
    <w:uiPriority w:val="0"/>
    <w:rPr>
      <w:rFonts w:ascii="Times New Roman" w:hAnsi="Times New Roman" w:eastAsia="宋体" w:cs="Times New Roman"/>
      <w:szCs w:val="24"/>
      <w:shd w:val="clear" w:color="auto" w:fill="000080"/>
    </w:rPr>
  </w:style>
  <w:style w:type="character" w:customStyle="1" w:styleId="70">
    <w:name w:val="脚注文本 字符"/>
    <w:basedOn w:val="39"/>
    <w:link w:val="27"/>
    <w:qFormat/>
    <w:uiPriority w:val="0"/>
    <w:rPr>
      <w:rFonts w:ascii="Times New Roman" w:hAnsi="Times New Roman" w:eastAsia="宋体" w:cs="Times New Roman"/>
      <w:sz w:val="20"/>
      <w:szCs w:val="20"/>
    </w:rPr>
  </w:style>
  <w:style w:type="character" w:customStyle="1" w:styleId="71">
    <w:name w:val="正文文本缩进 字符"/>
    <w:basedOn w:val="39"/>
    <w:link w:val="16"/>
    <w:qFormat/>
    <w:uiPriority w:val="0"/>
    <w:rPr>
      <w:rFonts w:ascii="Times New Roman" w:hAnsi="Times New Roman" w:eastAsia="宋体" w:cs="Times New Roman"/>
      <w:szCs w:val="24"/>
    </w:rPr>
  </w:style>
  <w:style w:type="character" w:customStyle="1" w:styleId="72">
    <w:name w:val="正文文本 3 字符"/>
    <w:basedOn w:val="39"/>
    <w:link w:val="14"/>
    <w:qFormat/>
    <w:uiPriority w:val="0"/>
    <w:rPr>
      <w:rFonts w:ascii="宋体" w:hAnsi="Times New Roman" w:eastAsia="宋体" w:cs="Times New Roman"/>
      <w:sz w:val="24"/>
      <w:szCs w:val="20"/>
    </w:rPr>
  </w:style>
  <w:style w:type="paragraph" w:customStyle="1" w:styleId="73">
    <w:name w:val="样式1"/>
    <w:basedOn w:val="4"/>
    <w:qFormat/>
    <w:uiPriority w:val="0"/>
    <w:rPr>
      <w:rFonts w:eastAsia="Arial"/>
    </w:rPr>
  </w:style>
  <w:style w:type="paragraph" w:customStyle="1" w:styleId="74">
    <w:name w:val="表格文字"/>
    <w:basedOn w:val="1"/>
    <w:qFormat/>
    <w:uiPriority w:val="0"/>
    <w:pPr>
      <w:adjustRightInd w:val="0"/>
      <w:spacing w:line="420" w:lineRule="atLeast"/>
      <w:jc w:val="left"/>
      <w:textAlignment w:val="baseline"/>
    </w:pPr>
    <w:rPr>
      <w:kern w:val="0"/>
      <w:szCs w:val="20"/>
    </w:rPr>
  </w:style>
  <w:style w:type="paragraph" w:customStyle="1" w:styleId="75">
    <w:name w:val="样式4"/>
    <w:basedOn w:val="4"/>
    <w:qFormat/>
    <w:uiPriority w:val="0"/>
    <w:rPr>
      <w:rFonts w:eastAsia="Arial"/>
    </w:rPr>
  </w:style>
  <w:style w:type="paragraph" w:customStyle="1" w:styleId="76">
    <w:name w:val="Char"/>
    <w:basedOn w:val="1"/>
    <w:qFormat/>
    <w:uiPriority w:val="0"/>
    <w:pPr>
      <w:tabs>
        <w:tab w:val="left" w:pos="360"/>
      </w:tabs>
    </w:pPr>
    <w:rPr>
      <w:sz w:val="24"/>
    </w:rPr>
  </w:style>
  <w:style w:type="paragraph" w:customStyle="1" w:styleId="77">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78">
    <w:name w:val="表格"/>
    <w:basedOn w:val="1"/>
    <w:qFormat/>
    <w:uiPriority w:val="0"/>
    <w:pPr>
      <w:jc w:val="center"/>
      <w:textAlignment w:val="center"/>
    </w:pPr>
    <w:rPr>
      <w:rFonts w:ascii="华文细黑" w:hAnsi="华文细黑"/>
      <w:kern w:val="0"/>
      <w:szCs w:val="20"/>
    </w:rPr>
  </w:style>
  <w:style w:type="paragraph" w:customStyle="1" w:styleId="79">
    <w:name w:val="样式3"/>
    <w:basedOn w:val="4"/>
    <w:qFormat/>
    <w:uiPriority w:val="0"/>
    <w:rPr>
      <w:rFonts w:eastAsia="Arial"/>
    </w:rPr>
  </w:style>
  <w:style w:type="paragraph" w:customStyle="1" w:styleId="8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81">
    <w:name w:val="1"/>
    <w:basedOn w:val="1"/>
    <w:next w:val="1"/>
    <w:qFormat/>
    <w:uiPriority w:val="0"/>
  </w:style>
  <w:style w:type="paragraph" w:customStyle="1" w:styleId="82">
    <w:name w:val="样式2"/>
    <w:basedOn w:val="4"/>
    <w:uiPriority w:val="0"/>
  </w:style>
  <w:style w:type="paragraph" w:customStyle="1" w:styleId="8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84">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40</Pages>
  <Words>2481</Words>
  <Characters>14148</Characters>
  <Lines>117</Lines>
  <Paragraphs>33</Paragraphs>
  <TotalTime>7</TotalTime>
  <ScaleCrop>false</ScaleCrop>
  <LinksUpToDate>false</LinksUpToDate>
  <CharactersWithSpaces>16596</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2018-11-21T01:11:00Z</dcterms:created>
  <dc:creator>xr</dc:creator>
  <cp:lastModifiedBy>王威</cp:lastModifiedBy>
  <cp:lastPrinted>2019-03-01T08:36:00Z</cp:lastPrinted>
  <dcterms:modified xsi:type="dcterms:W3CDTF">2019-05-28T03:39:05Z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