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default"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安行天下职业培训学校空调采购项目</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-0</w:t>
      </w:r>
      <w:r>
        <w:rPr>
          <w:rFonts w:hint="eastAsia" w:ascii="方正小标宋简体" w:hAnsi="方正小标宋简体" w:eastAsia="方正小标宋简体" w:cs="方正小标宋简体"/>
          <w:sz w:val="32"/>
          <w:szCs w:val="32"/>
          <w:lang w:val="en-US" w:eastAsia="zh-CN"/>
        </w:rPr>
        <w:t>34</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招标</w:t>
      </w:r>
      <w:r>
        <w:rPr>
          <w:rFonts w:hint="eastAsia" w:ascii="方正小标宋简体" w:hAnsi="方正小标宋简体" w:eastAsia="方正小标宋简体" w:cs="方正小标宋简体"/>
          <w:sz w:val="32"/>
          <w:szCs w:val="32"/>
        </w:rPr>
        <w:t>人</w:t>
      </w: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月</w:t>
      </w:r>
      <w:r>
        <w:rPr>
          <w:rFonts w:hint="eastAsia" w:ascii="方正小标宋简体" w:hAnsi="方正小标宋简体" w:eastAsia="方正小标宋简体" w:cs="方正小标宋简体"/>
          <w:sz w:val="32"/>
          <w:szCs w:val="32"/>
          <w:lang w:val="en-US" w:eastAsia="zh-CN"/>
        </w:rPr>
        <w:t>21</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lang w:eastAsia="zh-CN"/>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lang w:eastAsia="zh-CN"/>
        </w:rPr>
        <w:t>合同条款及格式</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lang w:val="en-US" w:eastAsia="zh-CN"/>
        </w:rPr>
      </w:pPr>
      <w:r>
        <w:rPr>
          <w:rFonts w:hint="eastAsia" w:ascii="黑体" w:hAnsi="黑体" w:eastAsia="黑体" w:cs="黑体"/>
          <w:sz w:val="28"/>
          <w:szCs w:val="28"/>
        </w:rPr>
        <w:t xml:space="preserve">第五章 </w:t>
      </w:r>
      <w:r>
        <w:rPr>
          <w:rFonts w:hint="eastAsia" w:ascii="黑体" w:hAnsi="黑体" w:eastAsia="黑体" w:cs="黑体"/>
          <w:sz w:val="28"/>
          <w:szCs w:val="28"/>
          <w:lang w:val="en-US" w:eastAsia="zh-CN"/>
        </w:rPr>
        <w:t xml:space="preserve"> 工程量清单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w:t>
      </w:r>
      <w:r>
        <w:rPr>
          <w:rFonts w:hint="eastAsia" w:ascii="黑体" w:hAnsi="黑体" w:eastAsia="黑体" w:cs="黑体"/>
          <w:sz w:val="28"/>
          <w:szCs w:val="28"/>
          <w:lang w:eastAsia="zh-CN"/>
        </w:rPr>
        <w:t>六</w:t>
      </w:r>
      <w:r>
        <w:rPr>
          <w:rFonts w:hint="eastAsia" w:ascii="黑体" w:hAnsi="黑体" w:eastAsia="黑体" w:cs="黑体"/>
          <w:sz w:val="28"/>
          <w:szCs w:val="28"/>
        </w:rPr>
        <w:t>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第一章  安行天下职业培训学校空调采购项目 </w:t>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招标公告</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eastAsia" w:ascii="仿宋_GB2312" w:hAnsi="仿宋_GB2312" w:eastAsia="仿宋_GB2312" w:cs="仿宋_GB2312"/>
          <w:sz w:val="32"/>
          <w:szCs w:val="32"/>
          <w:u w:val="single"/>
          <w:lang w:val="en-US" w:eastAsia="zh-CN"/>
        </w:rPr>
        <w:t>9</w:t>
      </w:r>
      <w:r>
        <w:rPr>
          <w:rFonts w:hint="eastAsia" w:ascii="仿宋_GB2312" w:hAnsi="仿宋_GB2312" w:eastAsia="仿宋_GB2312" w:cs="仿宋_GB2312"/>
          <w:sz w:val="32"/>
          <w:szCs w:val="32"/>
          <w:u w:val="single"/>
        </w:rPr>
        <w:t>-0</w:t>
      </w:r>
      <w:r>
        <w:rPr>
          <w:rFonts w:hint="default" w:ascii="仿宋_GB2312" w:hAnsi="仿宋_GB2312" w:eastAsia="仿宋_GB2312" w:cs="仿宋_GB2312"/>
          <w:sz w:val="32"/>
          <w:szCs w:val="32"/>
          <w:u w:val="single"/>
          <w:lang w:val="en-US" w:eastAsia="zh-CN"/>
        </w:rPr>
        <w:t>34</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1、项目名称:安行天下职业培训学校空调采购项目</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人:安徽省安车交通运输集团有限公司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黑体" w:hAnsi="黑体" w:eastAsia="黑体" w:cs="黑体"/>
          <w:sz w:val="32"/>
          <w:szCs w:val="32"/>
        </w:rPr>
      </w:pPr>
      <w:r>
        <w:rPr>
          <w:rFonts w:hint="eastAsia" w:ascii="黑体" w:hAnsi="黑体" w:eastAsia="黑体" w:cs="黑体"/>
          <w:sz w:val="32"/>
          <w:szCs w:val="32"/>
        </w:rPr>
        <w:t>二、项目概况及招标范围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1</w:t>
      </w:r>
      <w:r>
        <w:rPr>
          <w:rFonts w:hint="eastAsia" w:ascii="仿宋_GB2312" w:hAnsi="仿宋" w:eastAsia="仿宋_GB2312"/>
          <w:sz w:val="32"/>
          <w:szCs w:val="32"/>
          <w:lang w:val="en-US" w:eastAsia="zh-CN"/>
        </w:rPr>
        <w:t>.招标范围：以货物采购清单及技术参数要求清单为准。</w:t>
      </w:r>
    </w:p>
    <w:tbl>
      <w:tblPr>
        <w:tblStyle w:val="25"/>
        <w:tblW w:w="8652" w:type="dxa"/>
        <w:tblInd w:w="6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52"/>
        <w:gridCol w:w="4932"/>
        <w:gridCol w:w="816"/>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652"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货物采购清单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序号</w:t>
            </w:r>
          </w:p>
        </w:tc>
        <w:tc>
          <w:tcPr>
            <w:tcW w:w="145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产品名称</w:t>
            </w:r>
          </w:p>
        </w:tc>
        <w:tc>
          <w:tcPr>
            <w:tcW w:w="49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技术参数</w:t>
            </w:r>
          </w:p>
        </w:tc>
        <w:tc>
          <w:tcPr>
            <w:tcW w:w="81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数量</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全直流变频多联机</w:t>
            </w:r>
          </w:p>
        </w:tc>
        <w:tc>
          <w:tcPr>
            <w:tcW w:w="4932" w:type="dxa"/>
            <w:vAlign w:val="bottom"/>
          </w:tcPr>
          <w:p>
            <w:pPr>
              <w:keepNext w:val="0"/>
              <w:keepLines w:val="0"/>
              <w:widowControl/>
              <w:suppressLineNumbers w:val="0"/>
              <w:jc w:val="center"/>
              <w:textAlignment w:val="bottom"/>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Style w:val="89"/>
                <w:color w:val="auto"/>
                <w:lang w:val="en-US" w:eastAsia="zh-CN" w:bidi="ar"/>
              </w:rPr>
              <w:t>90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Style w:val="89"/>
                <w:color w:val="auto"/>
                <w:lang w:val="en-US" w:eastAsia="zh-CN" w:bidi="ar"/>
              </w:rPr>
              <w:t>100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color w:val="auto"/>
                <w:lang w:val="en-US" w:eastAsia="zh-CN" w:bidi="ar"/>
              </w:rPr>
              <w:t>25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color w:val="auto"/>
                <w:lang w:val="en-US" w:eastAsia="zh-CN" w:bidi="ar"/>
              </w:rPr>
              <w:t>24000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3</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2</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全直流变频多联机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Style w:val="89"/>
                <w:rFonts w:hint="eastAsia"/>
                <w:color w:val="auto"/>
                <w:lang w:val="en-US" w:eastAsia="zh-CN" w:bidi="ar"/>
              </w:rPr>
              <w:t>45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Style w:val="89"/>
                <w:rFonts w:hint="eastAsia"/>
                <w:color w:val="auto"/>
                <w:lang w:val="en-US" w:eastAsia="zh-CN" w:bidi="ar"/>
              </w:rPr>
              <w:t>50</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12.09</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13</w:t>
            </w:r>
            <w:r>
              <w:rPr>
                <w:rStyle w:val="89"/>
                <w:color w:val="auto"/>
                <w:lang w:val="en-US" w:eastAsia="zh-CN" w:bidi="ar"/>
              </w:rPr>
              <w:t>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4</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3</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四面出风嵌入式室内机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14</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16</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color w:val="auto"/>
                <w:lang w:val="en-US" w:eastAsia="zh-CN" w:bidi="ar"/>
              </w:rPr>
              <w:t>2.7</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2.89</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1800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35</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4</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7.2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8.1</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color w:val="auto"/>
                <w:lang w:val="en-US" w:eastAsia="zh-CN" w:bidi="ar"/>
              </w:rPr>
              <w:t>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2.68</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7</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5</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13.2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rFonts w:hint="eastAsia"/>
                <w:color w:val="auto"/>
                <w:lang w:val="en-US" w:eastAsia="zh-CN" w:bidi="ar"/>
              </w:rPr>
              <w:t>3</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4.85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1500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16</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32"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6</w:t>
            </w:r>
          </w:p>
        </w:tc>
        <w:tc>
          <w:tcPr>
            <w:tcW w:w="1452"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风管机</w:t>
            </w:r>
          </w:p>
        </w:tc>
        <w:tc>
          <w:tcPr>
            <w:tcW w:w="493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制冷量≥</w:t>
            </w:r>
            <w:r>
              <w:rPr>
                <w:rFonts w:hint="eastAsia" w:ascii="宋体" w:hAnsi="宋体" w:cs="宋体"/>
                <w:i w:val="0"/>
                <w:color w:val="auto"/>
                <w:kern w:val="0"/>
                <w:sz w:val="24"/>
                <w:szCs w:val="24"/>
                <w:u w:val="none"/>
                <w:lang w:val="en-US" w:eastAsia="zh-CN" w:bidi="ar"/>
              </w:rPr>
              <w:t>14</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制热量≥</w:t>
            </w:r>
            <w:r>
              <w:rPr>
                <w:rFonts w:hint="eastAsia" w:ascii="宋体" w:hAnsi="宋体" w:cs="宋体"/>
                <w:i w:val="0"/>
                <w:color w:val="auto"/>
                <w:kern w:val="0"/>
                <w:sz w:val="24"/>
                <w:szCs w:val="24"/>
                <w:u w:val="none"/>
                <w:lang w:val="en-US" w:eastAsia="zh-CN" w:bidi="ar"/>
              </w:rPr>
              <w:t>13.2</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，加热量</w:t>
            </w:r>
            <w:r>
              <w:rPr>
                <w:rFonts w:hint="eastAsia" w:ascii="宋体" w:hAnsi="宋体" w:eastAsia="宋体" w:cs="宋体"/>
                <w:i w:val="0"/>
                <w:color w:val="auto"/>
                <w:kern w:val="0"/>
                <w:sz w:val="24"/>
                <w:szCs w:val="24"/>
                <w:u w:val="none"/>
                <w:lang w:val="en-US" w:eastAsia="zh-CN" w:bidi="ar"/>
              </w:rPr>
              <w:t>≥</w:t>
            </w:r>
            <w:r>
              <w:rPr>
                <w:rStyle w:val="89"/>
                <w:rFonts w:hint="eastAsia"/>
                <w:color w:val="auto"/>
                <w:lang w:val="en-US" w:eastAsia="zh-CN" w:bidi="ar"/>
              </w:rPr>
              <w:t>3</w:t>
            </w:r>
            <w:r>
              <w:rPr>
                <w:rStyle w:val="89"/>
                <w:color w:val="auto"/>
                <w:lang w:val="en-US" w:eastAsia="zh-CN" w:bidi="ar"/>
              </w:rPr>
              <w:t>.</w:t>
            </w:r>
            <w:r>
              <w:rPr>
                <w:rStyle w:val="89"/>
                <w:rFonts w:hint="eastAsia"/>
                <w:color w:val="auto"/>
                <w:lang w:val="en-US" w:eastAsia="zh-CN" w:bidi="ar"/>
              </w:rPr>
              <w:t>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功率≤</w:t>
            </w:r>
            <w:r>
              <w:rPr>
                <w:rStyle w:val="89"/>
                <w:rFonts w:hint="eastAsia"/>
                <w:color w:val="auto"/>
                <w:lang w:val="en-US" w:eastAsia="zh-CN" w:bidi="ar"/>
              </w:rPr>
              <w:t>5.65</w:t>
            </w:r>
            <w:r>
              <w:rPr>
                <w:rFonts w:hint="eastAsia" w:ascii="宋体" w:hAnsi="宋体" w:eastAsia="宋体" w:cs="宋体"/>
                <w:i w:val="0"/>
                <w:color w:val="auto"/>
                <w:kern w:val="0"/>
                <w:sz w:val="24"/>
                <w:szCs w:val="24"/>
                <w:u w:val="none"/>
                <w:lang w:val="en-US" w:eastAsia="zh-CN" w:bidi="ar"/>
              </w:rPr>
              <w:t>/KW</w:t>
            </w:r>
            <w:r>
              <w:rPr>
                <w:rFonts w:hint="eastAsia" w:ascii="宋体" w:hAnsi="宋体" w:cs="宋体"/>
                <w:i w:val="0"/>
                <w:color w:val="auto"/>
                <w:kern w:val="0"/>
                <w:sz w:val="24"/>
                <w:szCs w:val="24"/>
                <w:u w:val="none"/>
                <w:lang w:val="en-US" w:eastAsia="zh-CN" w:bidi="ar"/>
              </w:rPr>
              <w:t>，</w:t>
            </w:r>
            <w:r>
              <w:rPr>
                <w:rFonts w:hint="eastAsia" w:ascii="宋体" w:hAnsi="宋体" w:eastAsia="宋体" w:cs="宋体"/>
                <w:i w:val="0"/>
                <w:color w:val="auto"/>
                <w:kern w:val="0"/>
                <w:sz w:val="24"/>
                <w:szCs w:val="24"/>
                <w:u w:val="none"/>
                <w:lang w:val="en-US" w:eastAsia="zh-CN" w:bidi="ar"/>
              </w:rPr>
              <w:t>风量≥</w:t>
            </w:r>
            <w:r>
              <w:rPr>
                <w:rStyle w:val="89"/>
                <w:rFonts w:hint="eastAsia"/>
                <w:color w:val="auto"/>
                <w:lang w:val="en-US" w:eastAsia="zh-CN" w:bidi="ar"/>
              </w:rPr>
              <w:t>2000</w:t>
            </w:r>
            <w:r>
              <w:rPr>
                <w:rFonts w:hint="eastAsia" w:ascii="宋体" w:hAnsi="宋体" w:eastAsia="宋体" w:cs="宋体"/>
                <w:i w:val="0"/>
                <w:color w:val="auto"/>
                <w:kern w:val="0"/>
                <w:sz w:val="24"/>
                <w:szCs w:val="24"/>
                <w:u w:val="none"/>
                <w:lang w:val="en-US" w:eastAsia="zh-CN" w:bidi="ar"/>
              </w:rPr>
              <w:t>/m3/h</w:t>
            </w:r>
          </w:p>
        </w:tc>
        <w:tc>
          <w:tcPr>
            <w:tcW w:w="816"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宋体" w:hAnsi="宋体" w:eastAsia="宋体" w:cs="宋体"/>
                <w:i w:val="0"/>
                <w:color w:val="000000"/>
                <w:kern w:val="0"/>
                <w:sz w:val="24"/>
                <w:szCs w:val="24"/>
                <w:u w:val="none"/>
                <w:lang w:val="en-US" w:eastAsia="zh-CN" w:bidi="ar"/>
              </w:rPr>
              <w:t>11</w:t>
            </w:r>
          </w:p>
        </w:tc>
        <w:tc>
          <w:tcPr>
            <w:tcW w:w="720" w:type="dxa"/>
            <w:vAlign w:val="bottom"/>
          </w:tcPr>
          <w:p>
            <w:pPr>
              <w:keepNext w:val="0"/>
              <w:keepLines w:val="0"/>
              <w:widowControl/>
              <w:suppressLineNumbers w:val="0"/>
              <w:jc w:val="center"/>
              <w:textAlignment w:val="bottom"/>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台</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2</w:t>
      </w:r>
      <w:r>
        <w:rPr>
          <w:rFonts w:hint="eastAsia" w:ascii="仿宋_GB2312" w:hAnsi="仿宋" w:eastAsia="仿宋_GB2312"/>
          <w:sz w:val="32"/>
          <w:szCs w:val="32"/>
          <w:lang w:val="en-US" w:eastAsia="zh-CN"/>
        </w:rPr>
        <w:t>.标段划分：一个标段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3</w:t>
      </w:r>
      <w:r>
        <w:rPr>
          <w:rFonts w:hint="eastAsia" w:ascii="仿宋_GB2312" w:hAnsi="仿宋" w:eastAsia="仿宋_GB2312"/>
          <w:sz w:val="32"/>
          <w:szCs w:val="32"/>
          <w:lang w:val="en-US" w:eastAsia="zh-CN"/>
        </w:rPr>
        <w:t>.交货时间：合同签订之日起15个工作日内安装、调试完毕，且具备验收使用条件。特殊情况由供需双方协商确定。设备由供应商负责安装、调试。安装、调试过程中所产生的费用由供应商负担。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4</w:t>
      </w:r>
      <w:r>
        <w:rPr>
          <w:rFonts w:hint="eastAsia" w:ascii="仿宋_GB2312" w:hAnsi="仿宋" w:eastAsia="仿宋_GB2312"/>
          <w:sz w:val="32"/>
          <w:szCs w:val="32"/>
          <w:lang w:val="en-US" w:eastAsia="zh-CN"/>
        </w:rPr>
        <w:t>.交货地点：由采购人指定交货地点。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default" w:ascii="仿宋_GB2312" w:hAnsi="仿宋" w:eastAsia="仿宋_GB2312"/>
          <w:sz w:val="32"/>
          <w:szCs w:val="32"/>
          <w:lang w:val="en-US" w:eastAsia="zh-CN"/>
        </w:rPr>
        <w:t>5</w:t>
      </w:r>
      <w:r>
        <w:rPr>
          <w:rFonts w:hint="eastAsia" w:ascii="仿宋_GB2312" w:hAnsi="仿宋" w:eastAsia="仿宋_GB2312"/>
          <w:sz w:val="32"/>
          <w:szCs w:val="32"/>
          <w:lang w:val="en-US" w:eastAsia="zh-CN"/>
        </w:rPr>
        <w:t>.质量要求：符合国家现行标准，技术规范书要求。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6.合同付款条件：合同签订后支付合同总款10%为定金，货物到场付至70%（包括定金），安装完成并验收合格后付到合同的90%，余10%为质保金，质保期二年，质保满无质量问题，质保金一次性退还（本金无息）。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7.售后服务要求：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(1)卖方负责运输和调试，在此期间发生安全责任事故由卖方负责。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(2)产品质保期不少于24个月，质保期内，卖方提供无偿维修保养服务。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质保期内卖方提供24小时服务，自接到电话后12小时之内到达现场抢修，并应在4小时内恢复正常运行，否则自此之后该项目发生的质量维修，买方均有权委托他人维修，费用从质保金中扣除，不足部分由卖方另行支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(4)运行超过质保期后，卖方人应提供优质优价的零配件供应及维修服务，材料费用由买方承担。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8.最高投标限价（人民币）:</w:t>
      </w:r>
      <w:r>
        <w:rPr>
          <w:rFonts w:hint="eastAsia" w:ascii="仿宋_GB2312" w:hAnsi="仿宋" w:eastAsia="仿宋_GB2312"/>
          <w:sz w:val="32"/>
          <w:szCs w:val="32"/>
          <w:u w:val="single"/>
          <w:lang w:val="en-US" w:eastAsia="zh-CN"/>
        </w:rPr>
        <w:t>834364.7</w:t>
      </w:r>
      <w:r>
        <w:rPr>
          <w:rFonts w:hint="eastAsia" w:ascii="仿宋_GB2312" w:hAnsi="仿宋" w:eastAsia="仿宋_GB2312"/>
          <w:sz w:val="32"/>
          <w:szCs w:val="32"/>
          <w:lang w:val="en-US" w:eastAsia="zh-CN"/>
        </w:rPr>
        <w:t>元(含税)。</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1.投标人资格条件：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符合《政府采购法》第22条相关规定：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(5)参加政府采购活动前三年内，在经营活动中没有重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大违法记录。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（6）开具制造商厂家的唯一授权证明书。</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本次招标</w:t>
      </w:r>
      <w:r>
        <w:rPr>
          <w:rFonts w:hint="eastAsia" w:ascii="仿宋_GB2312" w:hAnsi="仿宋_GB2312" w:eastAsia="仿宋_GB2312" w:cs="仿宋_GB2312"/>
          <w:sz w:val="32"/>
          <w:szCs w:val="32"/>
          <w:highlight w:val="yellow"/>
          <w:u w:val="single"/>
        </w:rPr>
        <w:t>不接受</w:t>
      </w:r>
      <w:r>
        <w:rPr>
          <w:rFonts w:hint="eastAsia" w:ascii="仿宋_GB2312" w:hAnsi="仿宋_GB2312" w:eastAsia="仿宋_GB2312" w:cs="仿宋_GB2312"/>
          <w:sz w:val="32"/>
          <w:szCs w:val="32"/>
        </w:rPr>
        <w:t>联合体投标。</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3.投标单位中标后必须以公司名义签署合同，不允许以分公司名义签署。</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招标文件的获取</w:t>
      </w:r>
    </w:p>
    <w:p>
      <w:pPr>
        <w:keepNext w:val="0"/>
        <w:keepLines w:val="0"/>
        <w:pageBreakBefore w:val="0"/>
        <w:widowControl w:val="0"/>
        <w:kinsoku/>
        <w:wordWrap/>
        <w:overflowPunct/>
        <w:topLinePunct w:val="0"/>
        <w:autoSpaceDE/>
        <w:autoSpaceDN/>
        <w:bidi w:val="0"/>
        <w:spacing w:line="540" w:lineRule="exact"/>
        <w:ind w:firstLine="800" w:firstLineChars="2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请潜在供应商</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止（北京时间）</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sz w:val="32"/>
          <w:szCs w:val="32"/>
          <w:highlight w:val="green"/>
          <w:lang w:eastAsia="zh-CN"/>
        </w:rPr>
        <w:t>自行下载招标文件。</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六</w:t>
      </w:r>
      <w:r>
        <w:rPr>
          <w:rFonts w:hint="eastAsia" w:ascii="黑体" w:hAnsi="黑体" w:eastAsia="黑体" w:cs="黑体"/>
          <w:b/>
          <w:bCs/>
          <w:color w:val="FF0000"/>
          <w:sz w:val="32"/>
          <w:szCs w:val="32"/>
        </w:rPr>
        <w:t>、投标文件的递交及开标</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w:t>
      </w:r>
      <w:r>
        <w:rPr>
          <w:rFonts w:hint="eastAsia" w:ascii="仿宋_GB2312" w:hAnsi="仿宋_GB2312" w:eastAsia="仿宋_GB2312" w:cs="仿宋_GB2312"/>
          <w:color w:val="FF0000"/>
          <w:sz w:val="32"/>
          <w:szCs w:val="32"/>
          <w:lang w:val="en-US" w:eastAsia="zh-CN"/>
        </w:rPr>
        <w:t>.</w:t>
      </w:r>
      <w:r>
        <w:rPr>
          <w:rFonts w:hint="eastAsia" w:ascii="仿宋_GB2312" w:hAnsi="仿宋_GB2312" w:eastAsia="仿宋_GB2312" w:cs="仿宋_GB2312"/>
          <w:color w:val="FF0000"/>
          <w:sz w:val="32"/>
          <w:szCs w:val="32"/>
        </w:rPr>
        <w:t>开标时间及地点同投标文件截止时间及投标文件递交地点。</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、投标担保</w:t>
      </w:r>
    </w:p>
    <w:p>
      <w:pPr>
        <w:keepNext w:val="0"/>
        <w:keepLines w:val="0"/>
        <w:pageBreakBefore w:val="0"/>
        <w:widowControl w:val="0"/>
        <w:kinsoku/>
        <w:wordWrap/>
        <w:overflowPunct/>
        <w:topLinePunct w:val="0"/>
        <w:autoSpaceDE/>
        <w:autoSpaceDN/>
        <w:bidi w:val="0"/>
        <w:spacing w:line="540" w:lineRule="exact"/>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snapToGrid w:val="0"/>
          <w:color w:val="FF0000"/>
          <w:spacing w:val="-4"/>
          <w:kern w:val="0"/>
          <w:sz w:val="32"/>
          <w:szCs w:val="32"/>
          <w:u w:val="single"/>
          <w:lang w:val="en-US" w:eastAsia="zh-CN"/>
        </w:rPr>
        <w:t>1.6</w:t>
      </w:r>
      <w:r>
        <w:rPr>
          <w:rFonts w:hint="eastAsia" w:ascii="仿宋_GB2312" w:hAnsi="仿宋_GB2312" w:eastAsia="仿宋_GB2312" w:cs="仿宋_GB2312"/>
          <w:snapToGrid w:val="0"/>
          <w:color w:val="FF0000"/>
          <w:spacing w:val="-4"/>
          <w:kern w:val="0"/>
          <w:sz w:val="32"/>
          <w:szCs w:val="32"/>
          <w:u w:val="single"/>
          <w:lang w:eastAsia="zh-CN"/>
        </w:rPr>
        <w:t>万</w:t>
      </w:r>
      <w:r>
        <w:rPr>
          <w:rFonts w:hint="eastAsia" w:ascii="仿宋_GB2312" w:hAnsi="仿宋_GB2312" w:eastAsia="仿宋_GB2312" w:cs="仿宋_GB2312"/>
          <w:snapToGrid w:val="0"/>
          <w:color w:val="FF0000"/>
          <w:spacing w:val="-4"/>
          <w:kern w:val="0"/>
          <w:sz w:val="32"/>
          <w:szCs w:val="32"/>
          <w:u w:val="single"/>
        </w:rPr>
        <w:t xml:space="preserve">元 </w:t>
      </w:r>
      <w:r>
        <w:rPr>
          <w:rFonts w:hint="eastAsia" w:ascii="仿宋_GB2312" w:hAnsi="仿宋_GB2312" w:eastAsia="仿宋_GB2312" w:cs="仿宋_GB2312"/>
          <w:color w:val="FF0000"/>
          <w:sz w:val="32"/>
          <w:szCs w:val="32"/>
        </w:rPr>
        <w:t>（人民币），缴纳方式详见招标文件。</w:t>
      </w:r>
      <w:r>
        <w:rPr>
          <w:rFonts w:hint="eastAsia" w:ascii="仿宋_GB2312" w:hAnsi="仿宋_GB2312" w:eastAsia="仿宋_GB2312" w:cs="仿宋_GB2312"/>
          <w:color w:val="FF0000"/>
          <w:sz w:val="32"/>
          <w:szCs w:val="32"/>
          <w:lang w:eastAsia="zh-CN"/>
        </w:rPr>
        <w:t>如果评委认定投标人的报价是不以中标为目的的恶意报价，招标人有权不予退还该投标人的投标保证金。</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八</w:t>
      </w:r>
      <w:r>
        <w:rPr>
          <w:rFonts w:hint="eastAsia" w:ascii="黑体" w:hAnsi="黑体" w:eastAsia="黑体" w:cs="黑体"/>
          <w:color w:val="FF0000"/>
          <w:sz w:val="32"/>
          <w:szCs w:val="32"/>
        </w:rPr>
        <w:t>、招标公告发布媒介</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lang w:eastAsia="zh-CN"/>
        </w:rPr>
        <w:t>安徽省招标投标信息网（</w:t>
      </w:r>
      <w:r>
        <w:rPr>
          <w:rFonts w:hint="eastAsia" w:ascii="仿宋_GB2312" w:hAnsi="仿宋_GB2312" w:eastAsia="仿宋_GB2312" w:cs="仿宋_GB2312"/>
          <w:sz w:val="32"/>
          <w:szCs w:val="32"/>
          <w:highlight w:val="green"/>
          <w:lang w:eastAsia="zh-CN"/>
        </w:rPr>
        <w:fldChar w:fldCharType="begin"/>
      </w:r>
      <w:r>
        <w:rPr>
          <w:rFonts w:hint="eastAsia" w:ascii="仿宋_GB2312" w:hAnsi="仿宋_GB2312" w:eastAsia="仿宋_GB2312" w:cs="仿宋_GB2312"/>
          <w:sz w:val="32"/>
          <w:szCs w:val="32"/>
          <w:highlight w:val="green"/>
          <w:lang w:eastAsia="zh-CN"/>
        </w:rPr>
        <w:instrText xml:space="preserve"> HYPERLINK "http://www.ahtba.org.cn" </w:instrText>
      </w:r>
      <w:r>
        <w:rPr>
          <w:rFonts w:hint="eastAsia" w:ascii="仿宋_GB2312" w:hAnsi="仿宋_GB2312" w:eastAsia="仿宋_GB2312" w:cs="仿宋_GB2312"/>
          <w:sz w:val="32"/>
          <w:szCs w:val="32"/>
          <w:highlight w:val="green"/>
          <w:lang w:eastAsia="zh-CN"/>
        </w:rPr>
        <w:fldChar w:fldCharType="separate"/>
      </w:r>
      <w:r>
        <w:rPr>
          <w:rFonts w:hint="default" w:ascii="仿宋_GB2312" w:hAnsi="仿宋_GB2312" w:eastAsia="仿宋_GB2312" w:cs="仿宋_GB2312"/>
          <w:sz w:val="32"/>
          <w:szCs w:val="32"/>
          <w:highlight w:val="green"/>
          <w:lang w:eastAsia="zh-CN"/>
        </w:rPr>
        <w:t>www.ahtba.org.cn</w:t>
      </w:r>
      <w:r>
        <w:rPr>
          <w:rFonts w:hint="default" w:ascii="仿宋_GB2312" w:hAnsi="仿宋_GB2312" w:eastAsia="仿宋_GB2312" w:cs="仿宋_GB2312"/>
          <w:sz w:val="32"/>
          <w:szCs w:val="32"/>
          <w:highlight w:val="green"/>
          <w:lang w:eastAsia="zh-CN"/>
        </w:rPr>
        <w:fldChar w:fldCharType="end"/>
      </w:r>
      <w:r>
        <w:rPr>
          <w:rFonts w:hint="eastAsia" w:ascii="仿宋_GB2312" w:hAnsi="仿宋_GB2312" w:eastAsia="仿宋_GB2312" w:cs="仿宋_GB2312"/>
          <w:sz w:val="32"/>
          <w:szCs w:val="32"/>
          <w:highlight w:val="green"/>
          <w:lang w:eastAsia="zh-CN"/>
        </w:rPr>
        <w:t>）、</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p>
    <w:p>
      <w:pPr>
        <w:keepNext w:val="0"/>
        <w:keepLines w:val="0"/>
        <w:pageBreakBefore w:val="0"/>
        <w:widowControl w:val="0"/>
        <w:kinsoku/>
        <w:wordWrap/>
        <w:overflowPunct/>
        <w:topLinePunct w:val="0"/>
        <w:autoSpaceDE/>
        <w:autoSpaceDN/>
        <w:bidi w:val="0"/>
        <w:spacing w:line="54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九</w:t>
      </w:r>
      <w:r>
        <w:rPr>
          <w:rFonts w:hint="eastAsia" w:ascii="黑体" w:hAnsi="黑体" w:eastAsia="黑体" w:cs="黑体"/>
          <w:color w:val="FF0000"/>
          <w:sz w:val="32"/>
          <w:szCs w:val="32"/>
        </w:rPr>
        <w:t>、联系方式</w:t>
      </w:r>
      <w:bookmarkStart w:id="71" w:name="_GoBack"/>
      <w:bookmarkEnd w:id="71"/>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招 标 人：安徽省安车交通运输集团有限公司</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r>
        <w:rPr>
          <w:rFonts w:hint="default" w:ascii="仿宋_GB2312" w:hAnsi="仿宋_GB2312" w:eastAsia="仿宋_GB2312" w:cs="仿宋_GB2312"/>
          <w:sz w:val="32"/>
          <w:szCs w:val="32"/>
          <w:lang w:val="en-US"/>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联系电话：0558-5196756</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4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4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安徽省安车交通运输集团有限公司                              </w:t>
      </w:r>
    </w:p>
    <w:p>
      <w:pPr>
        <w:keepNext w:val="0"/>
        <w:keepLines w:val="0"/>
        <w:pageBreakBefore w:val="0"/>
        <w:widowControl w:val="0"/>
        <w:kinsoku/>
        <w:wordWrap/>
        <w:overflowPunct/>
        <w:topLinePunct w:val="0"/>
        <w:autoSpaceDE/>
        <w:autoSpaceDN/>
        <w:bidi w:val="0"/>
        <w:spacing w:line="540" w:lineRule="exact"/>
        <w:ind w:firstLine="6080" w:firstLineChars="19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bookmarkStart w:id="0" w:name="Sheet1"/>
      <w:bookmarkEnd w:id="0"/>
    </w:p>
    <w:p>
      <w:pPr>
        <w:keepNext w:val="0"/>
        <w:keepLines w:val="0"/>
        <w:pageBreakBefore w:val="0"/>
        <w:widowControl w:val="0"/>
        <w:kinsoku/>
        <w:wordWrap/>
        <w:overflowPunct/>
        <w:topLinePunct w:val="0"/>
        <w:autoSpaceDE/>
        <w:autoSpaceDN/>
        <w:bidi w:val="0"/>
        <w:spacing w:line="560" w:lineRule="exact"/>
        <w:ind w:left="7228" w:hanging="7228" w:hangingChars="2250"/>
        <w:jc w:val="center"/>
        <w:textAlignment w:val="auto"/>
        <w:rPr>
          <w:rFonts w:hint="eastAsia" w:ascii="Arial" w:hAnsi="Arial" w:eastAsia="黑体"/>
          <w:b/>
          <w:sz w:val="32"/>
          <w:szCs w:val="20"/>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bookmarkStart w:id="1" w:name="_Toc246996916"/>
      <w:bookmarkStart w:id="2" w:name="_Toc246996173"/>
      <w:bookmarkStart w:id="3" w:name="_Toc247085687"/>
      <w:bookmarkStart w:id="4" w:name="_Toc296602418"/>
      <w:bookmarkStart w:id="5" w:name="_Toc179632544"/>
      <w:bookmarkStart w:id="6" w:name="_Toc144974495"/>
      <w:bookmarkStart w:id="7" w:name="_Toc152042303"/>
      <w:bookmarkStart w:id="8" w:name="_Toc152045527"/>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第二章</w:t>
      </w:r>
      <w:r>
        <w:t xml:space="preserve"> </w:t>
      </w:r>
      <w:r>
        <w:rPr>
          <w:rFonts w:hint="eastAsia"/>
        </w:rPr>
        <w:t>投标人须知</w:t>
      </w:r>
      <w:bookmarkEnd w:id="1"/>
      <w:bookmarkEnd w:id="2"/>
      <w:bookmarkEnd w:id="3"/>
      <w:bookmarkEnd w:id="4"/>
      <w:bookmarkEnd w:id="5"/>
      <w:bookmarkEnd w:id="6"/>
      <w:bookmarkEnd w:id="7"/>
      <w:bookmarkEnd w:id="8"/>
      <w:bookmarkStart w:id="9" w:name="_Toc246996917"/>
      <w:bookmarkStart w:id="10" w:name="_Toc152045528"/>
      <w:bookmarkStart w:id="11" w:name="_Toc296602419"/>
      <w:bookmarkStart w:id="12" w:name="_Toc179632545"/>
      <w:bookmarkStart w:id="13" w:name="_Toc144974496"/>
      <w:bookmarkStart w:id="14" w:name="_Toc247085688"/>
      <w:bookmarkStart w:id="15" w:name="_Toc246996174"/>
      <w:bookmarkStart w:id="16" w:name="_Toc152042304"/>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both"/>
        <w:textAlignment w:val="auto"/>
      </w:pPr>
      <w:r>
        <w:rPr>
          <w:rFonts w:hint="eastAsia"/>
        </w:rPr>
        <w:t>投标人须知前附表</w:t>
      </w:r>
      <w:bookmarkEnd w:id="9"/>
      <w:bookmarkEnd w:id="10"/>
      <w:bookmarkEnd w:id="11"/>
      <w:bookmarkEnd w:id="12"/>
      <w:bookmarkEnd w:id="13"/>
      <w:bookmarkEnd w:id="14"/>
      <w:bookmarkEnd w:id="15"/>
      <w:bookmarkEnd w:id="16"/>
    </w:p>
    <w:p/>
    <w:tbl>
      <w:tblPr>
        <w:tblStyle w:val="24"/>
        <w:tblW w:w="9369" w:type="dxa"/>
        <w:tblInd w:w="137" w:type="dxa"/>
        <w:tblLayout w:type="fixed"/>
        <w:tblCellMar>
          <w:top w:w="0" w:type="dxa"/>
          <w:left w:w="108" w:type="dxa"/>
          <w:bottom w:w="0" w:type="dxa"/>
          <w:right w:w="108" w:type="dxa"/>
        </w:tblCellMar>
      </w:tblPr>
      <w:tblGrid>
        <w:gridCol w:w="989"/>
        <w:gridCol w:w="2071"/>
        <w:gridCol w:w="6309"/>
      </w:tblGrid>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条款号</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w:t>
            </w:r>
          </w:p>
        </w:tc>
        <w:tc>
          <w:tcPr>
            <w:tcW w:w="6309"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人：安徽省安车交通运输集团有限公司</w:t>
            </w:r>
          </w:p>
          <w:p>
            <w:pPr>
              <w:topLinePunct/>
              <w:spacing w:line="400" w:lineRule="exact"/>
              <w:rPr>
                <w:rFonts w:ascii="仿宋_GB2312" w:hAnsi="宋体" w:eastAsia="仿宋_GB2312"/>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1289</w:t>
            </w:r>
            <w:r>
              <w:rPr>
                <w:rFonts w:hint="eastAsia"/>
                <w:szCs w:val="21"/>
                <w:u w:val="single"/>
              </w:rPr>
              <w:t>号（药都大道与希夷大道交叉口东北角</w:t>
            </w:r>
            <w:r>
              <w:rPr>
                <w:rFonts w:hint="eastAsia"/>
                <w:szCs w:val="21"/>
                <w:u w:val="single"/>
                <w:lang w:val="en-US" w:eastAsia="zh-CN"/>
              </w:rPr>
              <w:t>9</w:t>
            </w:r>
            <w:r>
              <w:rPr>
                <w:rFonts w:hint="eastAsia"/>
                <w:szCs w:val="21"/>
                <w:u w:val="single"/>
              </w:rPr>
              <w:t>楼）</w:t>
            </w:r>
            <w:r>
              <w:rPr>
                <w:szCs w:val="21"/>
              </w:rPr>
              <w:t xml:space="preserve">         </w:t>
            </w:r>
          </w:p>
          <w:p>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lang w:eastAsia="zh-CN"/>
              </w:rPr>
              <w:t>田</w:t>
            </w:r>
            <w:r>
              <w:rPr>
                <w:rFonts w:hint="eastAsia"/>
                <w:szCs w:val="21"/>
                <w:u w:val="single"/>
              </w:rPr>
              <w:t>工</w:t>
            </w:r>
            <w:r>
              <w:rPr>
                <w:szCs w:val="21"/>
              </w:rPr>
              <w:t xml:space="preserve">         </w:t>
            </w:r>
          </w:p>
          <w:p>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pPr>
              <w:spacing w:line="400" w:lineRule="exact"/>
              <w:rPr>
                <w:szCs w:val="21"/>
              </w:rPr>
            </w:pPr>
            <w:r>
              <w:rPr>
                <w:rFonts w:hint="eastAsia"/>
                <w:szCs w:val="21"/>
              </w:rPr>
              <w:t>电子邮件：</w:t>
            </w:r>
            <w:r>
              <w:rPr>
                <w:szCs w:val="21"/>
                <w:u w:val="single"/>
              </w:rPr>
              <w:t>bzjkjtjjsj@126.com</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项目名称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 xml:space="preserve"> 安行天下职业培训学校空调采购项目</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建设地点</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资金来源及比例</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企业自筹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资金落实情况</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auto" w:fill="D9D9D9"/>
              </w:rPr>
              <w:t>已落实</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招标范围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szCs w:val="21"/>
                <w:lang w:eastAsia="zh-CN"/>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供货周期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u w:val="single"/>
              </w:rPr>
              <w:t xml:space="preserve"> </w:t>
            </w:r>
            <w:r>
              <w:rPr>
                <w:rFonts w:hint="eastAsia"/>
                <w:szCs w:val="21"/>
                <w:u w:val="single"/>
                <w:lang w:val="en-US" w:eastAsia="zh-CN"/>
              </w:rPr>
              <w:t>15</w:t>
            </w:r>
            <w:r>
              <w:rPr>
                <w:rFonts w:hint="eastAsia"/>
                <w:szCs w:val="21"/>
                <w:u w:val="single"/>
              </w:rPr>
              <w:t xml:space="preserve"> </w:t>
            </w:r>
            <w:r>
              <w:rPr>
                <w:rFonts w:hint="eastAsia"/>
                <w:szCs w:val="21"/>
              </w:rPr>
              <w:t>日历天</w:t>
            </w:r>
          </w:p>
        </w:tc>
      </w:tr>
      <w:tr>
        <w:tblPrEx>
          <w:tblLayout w:type="fixed"/>
          <w:tblCellMar>
            <w:top w:w="0" w:type="dxa"/>
            <w:left w:w="108" w:type="dxa"/>
            <w:bottom w:w="0" w:type="dxa"/>
            <w:right w:w="108" w:type="dxa"/>
          </w:tblCellMar>
        </w:tblPrEx>
        <w:trPr>
          <w:trHeight w:val="9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eastAsia="宋体"/>
                <w:szCs w:val="21"/>
                <w:lang w:eastAsia="zh-CN"/>
              </w:rPr>
              <w:t>符合国家现行标准，技术规范书要求。</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投标人资质条件、能力</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1、符合《中华人民共和国政府采购法》第二十二条规定的投标人资格条件：</w:t>
            </w:r>
          </w:p>
          <w:p>
            <w:pPr>
              <w:tabs>
                <w:tab w:val="left" w:pos="720"/>
              </w:tabs>
              <w:spacing w:line="360" w:lineRule="auto"/>
              <w:rPr>
                <w:rFonts w:hint="eastAsia" w:eastAsia="宋体"/>
                <w:szCs w:val="21"/>
                <w:lang w:eastAsia="zh-CN"/>
              </w:rPr>
            </w:pPr>
            <w:r>
              <w:rPr>
                <w:rFonts w:hint="eastAsia" w:eastAsia="宋体"/>
                <w:szCs w:val="21"/>
                <w:lang w:eastAsia="zh-CN"/>
              </w:rPr>
              <w:t>（1）具有独立承担民事责任的能力；</w:t>
            </w:r>
          </w:p>
          <w:p>
            <w:pPr>
              <w:tabs>
                <w:tab w:val="left" w:pos="720"/>
              </w:tabs>
              <w:spacing w:line="360" w:lineRule="auto"/>
              <w:rPr>
                <w:rFonts w:hint="eastAsia" w:eastAsia="宋体"/>
                <w:szCs w:val="21"/>
                <w:lang w:eastAsia="zh-CN"/>
              </w:rPr>
            </w:pPr>
            <w:r>
              <w:rPr>
                <w:rFonts w:hint="eastAsia" w:eastAsia="宋体"/>
                <w:szCs w:val="21"/>
                <w:lang w:eastAsia="zh-CN"/>
              </w:rPr>
              <w:t>（2）具有良好的商业信誉和健全的财务会计制度；</w:t>
            </w:r>
          </w:p>
          <w:p>
            <w:pPr>
              <w:tabs>
                <w:tab w:val="left" w:pos="720"/>
              </w:tabs>
              <w:spacing w:line="360" w:lineRule="auto"/>
              <w:rPr>
                <w:rFonts w:hint="eastAsia" w:eastAsia="宋体"/>
                <w:szCs w:val="21"/>
                <w:lang w:eastAsia="zh-CN"/>
              </w:rPr>
            </w:pPr>
            <w:r>
              <w:rPr>
                <w:rFonts w:hint="eastAsia" w:eastAsia="宋体"/>
                <w:szCs w:val="21"/>
                <w:lang w:eastAsia="zh-CN"/>
              </w:rPr>
              <w:t>（3）具有履行合同所必需的设备和专业技术能力；</w:t>
            </w:r>
          </w:p>
          <w:p>
            <w:pPr>
              <w:tabs>
                <w:tab w:val="left" w:pos="720"/>
              </w:tabs>
              <w:spacing w:line="360" w:lineRule="auto"/>
              <w:rPr>
                <w:rFonts w:hint="eastAsia" w:eastAsia="宋体"/>
                <w:szCs w:val="21"/>
                <w:lang w:eastAsia="zh-CN"/>
              </w:rPr>
            </w:pPr>
            <w:r>
              <w:rPr>
                <w:rFonts w:hint="eastAsia" w:eastAsia="宋体"/>
                <w:szCs w:val="21"/>
                <w:lang w:eastAsia="zh-CN"/>
              </w:rPr>
              <w:t>（4）有依法缴纳税收和社会保障资金的良好记录；</w:t>
            </w:r>
          </w:p>
          <w:p>
            <w:pPr>
              <w:tabs>
                <w:tab w:val="left" w:pos="720"/>
              </w:tabs>
              <w:spacing w:line="360" w:lineRule="auto"/>
              <w:rPr>
                <w:rFonts w:hint="eastAsia" w:eastAsia="宋体"/>
                <w:szCs w:val="21"/>
                <w:lang w:eastAsia="zh-CN"/>
              </w:rPr>
            </w:pPr>
            <w:r>
              <w:rPr>
                <w:rFonts w:hint="eastAsia" w:eastAsia="宋体"/>
                <w:szCs w:val="21"/>
                <w:lang w:eastAsia="zh-CN"/>
              </w:rPr>
              <w:t>（5）参加政府采购活动前三年内，在经营活动中没有重大违法记录；</w:t>
            </w:r>
          </w:p>
          <w:p>
            <w:pPr>
              <w:tabs>
                <w:tab w:val="left" w:pos="720"/>
              </w:tabs>
              <w:spacing w:line="360" w:lineRule="auto"/>
              <w:rPr>
                <w:rFonts w:hint="eastAsia" w:eastAsia="宋体"/>
                <w:szCs w:val="21"/>
                <w:lang w:eastAsia="zh-CN"/>
              </w:rPr>
            </w:pPr>
            <w:r>
              <w:rPr>
                <w:rFonts w:hint="eastAsia" w:eastAsia="宋体"/>
                <w:szCs w:val="21"/>
                <w:lang w:eastAsia="zh-CN"/>
              </w:rPr>
              <w:t>（6）法律、行政法规规定的其他条件。</w:t>
            </w:r>
          </w:p>
          <w:p>
            <w:pPr>
              <w:tabs>
                <w:tab w:val="left" w:pos="720"/>
              </w:tabs>
              <w:spacing w:line="360" w:lineRule="auto"/>
              <w:rPr>
                <w:rFonts w:hint="eastAsia" w:eastAsia="宋体"/>
                <w:szCs w:val="21"/>
                <w:lang w:eastAsia="zh-CN"/>
              </w:rPr>
            </w:pPr>
            <w:r>
              <w:rPr>
                <w:rFonts w:hint="eastAsia"/>
                <w:szCs w:val="21"/>
                <w:lang w:val="en-US" w:eastAsia="zh-CN"/>
              </w:rPr>
              <w:t>2.开具制造商厂家的唯一授权证明书</w:t>
            </w:r>
            <w:r>
              <w:rPr>
                <w:rFonts w:hint="eastAsia" w:eastAsia="宋体"/>
                <w:szCs w:val="21"/>
                <w:lang w:eastAsia="zh-CN"/>
              </w:rPr>
              <w:t>。</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1.5.1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质量保证及售后服务</w:t>
            </w:r>
          </w:p>
        </w:tc>
        <w:tc>
          <w:tcPr>
            <w:tcW w:w="6309"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rFonts w:hint="eastAsia"/>
                <w:szCs w:val="21"/>
              </w:rPr>
              <w:t>1.报价人应提供原装、全新的、符合国家及用户提出的有关质量标准的设备。</w:t>
            </w:r>
          </w:p>
          <w:p>
            <w:pPr>
              <w:tabs>
                <w:tab w:val="left" w:pos="720"/>
              </w:tabs>
              <w:spacing w:line="360" w:lineRule="auto"/>
              <w:rPr>
                <w:szCs w:val="21"/>
              </w:rPr>
            </w:pPr>
            <w:r>
              <w:rPr>
                <w:rFonts w:hint="eastAsia"/>
                <w:szCs w:val="21"/>
              </w:rPr>
              <w:t>2.中标人必须保证所提供的设备和合同规定的质量、规格和性能相一致，并确保其完整。</w:t>
            </w:r>
          </w:p>
          <w:p>
            <w:pPr>
              <w:tabs>
                <w:tab w:val="left" w:pos="720"/>
              </w:tabs>
              <w:spacing w:line="360" w:lineRule="auto"/>
              <w:rPr>
                <w:rFonts w:hint="eastAsia" w:eastAsia="宋体"/>
                <w:szCs w:val="21"/>
                <w:lang w:eastAsia="zh-CN"/>
              </w:rPr>
            </w:pPr>
            <w:r>
              <w:rPr>
                <w:rFonts w:hint="eastAsia"/>
                <w:szCs w:val="21"/>
              </w:rPr>
              <w:t>3.对于没有列出而对设备的正常运行和维护必不可少的部件、配件等，中选人必须给予补充</w:t>
            </w:r>
            <w:r>
              <w:rPr>
                <w:rFonts w:hint="eastAsia"/>
                <w:szCs w:val="21"/>
                <w:lang w:eastAsia="zh-CN"/>
              </w:rPr>
              <w:t>，补充费用由中标人承担。</w:t>
            </w:r>
          </w:p>
          <w:p>
            <w:pPr>
              <w:tabs>
                <w:tab w:val="left" w:pos="720"/>
              </w:tabs>
              <w:spacing w:line="360" w:lineRule="auto"/>
              <w:rPr>
                <w:szCs w:val="21"/>
              </w:rPr>
            </w:pPr>
            <w:r>
              <w:rPr>
                <w:rFonts w:hint="eastAsia"/>
                <w:szCs w:val="21"/>
              </w:rPr>
              <w:t>4.中标人必须给予质保期服务承诺书规定的质量保证期，此质保期从调试合格后</w:t>
            </w:r>
            <w:r>
              <w:rPr>
                <w:rFonts w:hint="eastAsia"/>
                <w:szCs w:val="21"/>
                <w:lang w:val="en-US" w:eastAsia="zh-CN"/>
              </w:rPr>
              <w:t>24</w:t>
            </w:r>
            <w:r>
              <w:rPr>
                <w:rFonts w:hint="eastAsia"/>
                <w:szCs w:val="21"/>
              </w:rPr>
              <w:t>个月</w:t>
            </w:r>
            <w:r>
              <w:rPr>
                <w:rFonts w:hint="eastAsia"/>
                <w:szCs w:val="21"/>
                <w:lang w:eastAsia="zh-CN"/>
              </w:rPr>
              <w:t>（</w:t>
            </w:r>
            <w:r>
              <w:rPr>
                <w:rFonts w:hint="eastAsia"/>
                <w:szCs w:val="21"/>
                <w:lang w:val="en-US" w:eastAsia="zh-CN"/>
              </w:rPr>
              <w:t>2年</w:t>
            </w:r>
            <w:r>
              <w:rPr>
                <w:rFonts w:hint="eastAsia"/>
                <w:szCs w:val="21"/>
                <w:lang w:eastAsia="zh-CN"/>
              </w:rPr>
              <w:t>）</w:t>
            </w:r>
            <w:r>
              <w:rPr>
                <w:rFonts w:hint="eastAsia"/>
                <w:szCs w:val="21"/>
              </w:rPr>
              <w:t>的免费质量保修期（包括零配件）。</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不组织</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6309"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不召开</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投标人提出问题的截止时间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招标人书面澄清的时间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构成招标文件的其他材料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投标人要求澄清招标文件的截止时间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投标截止时间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u w:val="single"/>
              </w:rPr>
              <w:t xml:space="preserve"> 201</w:t>
            </w:r>
            <w:r>
              <w:rPr>
                <w:rFonts w:hint="eastAsia"/>
                <w:szCs w:val="21"/>
                <w:u w:val="single"/>
              </w:rPr>
              <w:t>9</w:t>
            </w:r>
            <w:r>
              <w:rPr>
                <w:rFonts w:hint="eastAsia"/>
                <w:szCs w:val="21"/>
              </w:rPr>
              <w:t>年</w:t>
            </w:r>
            <w:r>
              <w:rPr>
                <w:rFonts w:hint="eastAsia"/>
                <w:szCs w:val="21"/>
                <w:u w:val="single"/>
                <w:lang w:val="en-US" w:eastAsia="zh-CN"/>
              </w:rPr>
              <w:t>5</w:t>
            </w:r>
            <w:r>
              <w:rPr>
                <w:rFonts w:hint="eastAsia"/>
                <w:szCs w:val="21"/>
              </w:rPr>
              <w:t>月</w:t>
            </w:r>
            <w:r>
              <w:rPr>
                <w:rFonts w:hint="eastAsia"/>
                <w:szCs w:val="21"/>
                <w:u w:val="single"/>
              </w:rPr>
              <w:t xml:space="preserve"> </w:t>
            </w:r>
            <w:r>
              <w:rPr>
                <w:rFonts w:hint="eastAsia"/>
                <w:szCs w:val="21"/>
                <w:u w:val="single"/>
                <w:lang w:val="en-US" w:eastAsia="zh-CN"/>
              </w:rPr>
              <w:t>28</w:t>
            </w:r>
            <w:r>
              <w:rPr>
                <w:szCs w:val="21"/>
                <w:u w:val="single"/>
              </w:rPr>
              <w:t xml:space="preserve"> </w:t>
            </w:r>
            <w:r>
              <w:rPr>
                <w:rFonts w:hint="eastAsia"/>
                <w:szCs w:val="21"/>
              </w:rPr>
              <w:t>日</w:t>
            </w:r>
            <w:r>
              <w:rPr>
                <w:rFonts w:hint="eastAsia"/>
                <w:szCs w:val="21"/>
                <w:u w:val="single"/>
                <w:lang w:val="en-US" w:eastAsia="zh-CN"/>
              </w:rPr>
              <w:t>10</w:t>
            </w:r>
            <w:r>
              <w:rPr>
                <w:rFonts w:hint="eastAsia"/>
                <w:szCs w:val="21"/>
              </w:rPr>
              <w:t>时</w:t>
            </w:r>
            <w:r>
              <w:rPr>
                <w:szCs w:val="21"/>
                <w:u w:val="single"/>
              </w:rPr>
              <w:t>00</w:t>
            </w:r>
            <w:r>
              <w:rPr>
                <w:rFonts w:hint="eastAsia"/>
                <w:szCs w:val="21"/>
              </w:rPr>
              <w:t>分</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投标人确认收到招标文件澄清的时间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投标人确认收到招标文件修改的时间</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构成投标文件的其他材料</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3.2.3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yellow"/>
                <w:shd w:val="clear" w:color="auto" w:fill="D9D9D9"/>
              </w:rPr>
              <w:t>详见招标公告。</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投标保证金</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投标保证金的形式：银行汇款或转账</w:t>
            </w:r>
          </w:p>
          <w:p>
            <w:pPr>
              <w:spacing w:line="400" w:lineRule="exact"/>
              <w:rPr>
                <w:szCs w:val="21"/>
              </w:rPr>
            </w:pPr>
            <w:r>
              <w:rPr>
                <w:rFonts w:hint="eastAsia"/>
                <w:szCs w:val="21"/>
              </w:rPr>
              <w:t>投标保证金的金额：人民币（大写）：</w:t>
            </w:r>
            <w:r>
              <w:rPr>
                <w:rFonts w:hint="eastAsia" w:cs="Times New Roman"/>
                <w:b/>
                <w:bCs/>
                <w:szCs w:val="21"/>
                <w:highlight w:val="yellow"/>
                <w:u w:val="single"/>
                <w:shd w:val="clear" w:color="auto" w:fill="D9D9D9"/>
                <w:lang w:val="en-US" w:eastAsia="zh-CN"/>
              </w:rPr>
              <w:t>壹万陆仟元</w:t>
            </w:r>
            <w:r>
              <w:rPr>
                <w:rFonts w:hint="eastAsia"/>
                <w:szCs w:val="21"/>
              </w:rPr>
              <w:t>整，（小写）：</w:t>
            </w:r>
            <w:r>
              <w:rPr>
                <w:szCs w:val="21"/>
              </w:rPr>
              <w:t>¥</w:t>
            </w:r>
            <w:r>
              <w:rPr>
                <w:rFonts w:hint="eastAsia" w:cs="Times New Roman"/>
                <w:b/>
                <w:bCs/>
                <w:szCs w:val="21"/>
                <w:highlight w:val="yellow"/>
                <w:u w:val="single"/>
                <w:shd w:val="clear" w:color="auto" w:fill="D9D9D9"/>
                <w:lang w:val="en-US" w:eastAsia="zh-CN"/>
              </w:rPr>
              <w:t>16000</w:t>
            </w:r>
            <w:r>
              <w:rPr>
                <w:rFonts w:hint="eastAsia"/>
                <w:szCs w:val="21"/>
              </w:rPr>
              <w:t>元。</w:t>
            </w:r>
          </w:p>
          <w:p>
            <w:pPr>
              <w:wordWrap w:val="0"/>
              <w:spacing w:line="400" w:lineRule="exact"/>
              <w:ind w:firstLine="420" w:firstLineChars="200"/>
              <w:rPr>
                <w:rFonts w:hint="eastAsia" w:cs="Times New Roman"/>
                <w:szCs w:val="21"/>
              </w:rPr>
            </w:pPr>
            <w:r>
              <w:rPr>
                <w:rFonts w:hint="eastAsia" w:cs="Times New Roman"/>
                <w:szCs w:val="21"/>
              </w:rPr>
              <w:t>收取保证金账号信息：</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szCs w:val="21"/>
              </w:rPr>
            </w:pPr>
            <w:r>
              <w:rPr>
                <w:rFonts w:hint="eastAsia"/>
                <w:szCs w:val="21"/>
              </w:rPr>
              <w:t>开户名称：亳州交通投资控股集团有限公司</w:t>
            </w:r>
          </w:p>
          <w:p>
            <w:pPr>
              <w:pageBreakBefore w:val="0"/>
              <w:widowControl/>
              <w:shd w:val="clear" w:color="auto" w:fill="FFFFFF"/>
              <w:kinsoku/>
              <w:overflowPunct/>
              <w:autoSpaceDE/>
              <w:autoSpaceDN/>
              <w:bidi w:val="0"/>
              <w:adjustRightInd/>
              <w:snapToGrid/>
              <w:spacing w:line="500" w:lineRule="exact"/>
              <w:ind w:firstLine="420" w:firstLineChars="200"/>
              <w:rPr>
                <w:szCs w:val="21"/>
              </w:rPr>
            </w:pPr>
            <w:r>
              <w:rPr>
                <w:rFonts w:hint="eastAsia"/>
                <w:szCs w:val="21"/>
              </w:rPr>
              <w:t>户银行：</w:t>
            </w:r>
            <w:r>
              <w:rPr>
                <w:rFonts w:hint="eastAsia"/>
                <w:szCs w:val="21"/>
                <w:lang w:eastAsia="zh-CN"/>
              </w:rPr>
              <w:t>中国农业</w:t>
            </w:r>
            <w:r>
              <w:rPr>
                <w:rFonts w:hint="eastAsia"/>
                <w:szCs w:val="21"/>
              </w:rPr>
              <w:t>银行</w:t>
            </w:r>
            <w:r>
              <w:rPr>
                <w:rFonts w:hint="eastAsia"/>
                <w:szCs w:val="21"/>
                <w:lang w:eastAsia="zh-CN"/>
              </w:rPr>
              <w:t>亳州分行</w:t>
            </w:r>
            <w:r>
              <w:rPr>
                <w:rFonts w:hint="eastAsia"/>
                <w:szCs w:val="21"/>
              </w:rPr>
              <w:t>营业部</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eastAsia="宋体"/>
                <w:szCs w:val="21"/>
                <w:lang w:val="en-US" w:eastAsia="zh-CN"/>
              </w:rPr>
            </w:pPr>
            <w:r>
              <w:rPr>
                <w:rFonts w:hint="eastAsia"/>
                <w:szCs w:val="21"/>
              </w:rPr>
              <w:t>账 户 号：</w:t>
            </w:r>
            <w:r>
              <w:rPr>
                <w:rFonts w:hint="eastAsia"/>
                <w:szCs w:val="21"/>
                <w:lang w:val="en-US" w:eastAsia="zh-CN"/>
              </w:rPr>
              <w:t>1267 0801 0400 09482</w:t>
            </w:r>
          </w:p>
          <w:p>
            <w:pPr>
              <w:spacing w:line="400" w:lineRule="exact"/>
              <w:rPr>
                <w:szCs w:val="21"/>
              </w:rPr>
            </w:pPr>
            <w:r>
              <w:rPr>
                <w:rFonts w:hint="eastAsia"/>
                <w:szCs w:val="21"/>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w:t>
            </w:r>
            <w:r>
              <w:rPr>
                <w:rFonts w:hint="eastAsia"/>
                <w:szCs w:val="21"/>
                <w:highlight w:val="yellow"/>
                <w:shd w:val="clear" w:color="auto" w:fill="D9D9D9"/>
                <w:lang w:val="en-US" w:eastAsia="zh-CN"/>
              </w:rPr>
              <w:t>9</w:t>
            </w:r>
            <w:r>
              <w:rPr>
                <w:szCs w:val="21"/>
                <w:highlight w:val="yellow"/>
                <w:shd w:val="clear" w:color="auto" w:fill="D9D9D9"/>
              </w:rPr>
              <w:t>-</w:t>
            </w:r>
            <w:r>
              <w:rPr>
                <w:rFonts w:hint="eastAsia"/>
                <w:szCs w:val="21"/>
                <w:highlight w:val="yellow"/>
                <w:shd w:val="clear" w:color="auto" w:fill="D9D9D9"/>
                <w:lang w:val="en-US" w:eastAsia="zh-CN"/>
              </w:rPr>
              <w:t>034</w:t>
            </w:r>
            <w:r>
              <w:rPr>
                <w:rFonts w:hint="eastAsia"/>
                <w:szCs w:val="21"/>
                <w:highlight w:val="yellow"/>
                <w:shd w:val="clear" w:color="auto" w:fill="D9D9D9"/>
              </w:rPr>
              <w:t>号保证金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rPr>
          <w:trHeight w:val="127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lang w:val="en-US" w:eastAsia="zh-CN"/>
              </w:rPr>
              <w:t>5</w:t>
            </w:r>
            <w:r>
              <w:rPr>
                <w:szCs w:val="21"/>
              </w:rPr>
              <w:t>.1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eastAsia="zh-CN"/>
              </w:rPr>
              <w:t>付款方式</w:t>
            </w:r>
          </w:p>
        </w:tc>
        <w:tc>
          <w:tcPr>
            <w:tcW w:w="63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szCs w:val="21"/>
                <w:lang w:val="en-US" w:eastAsia="zh-CN"/>
              </w:rPr>
            </w:pPr>
            <w:r>
              <w:rPr>
                <w:rFonts w:hint="eastAsia" w:ascii="宋体" w:hAnsi="宋体" w:cs="Arial"/>
                <w:b w:val="0"/>
                <w:bCs w:val="0"/>
                <w:sz w:val="24"/>
                <w:szCs w:val="24"/>
                <w:lang w:val="en-US" w:eastAsia="zh-CN"/>
              </w:rPr>
              <w:t xml:space="preserve"> 合同签订后支付合同总款10%为定金，货物到场付至70%（包括定金），安装完成并验收合格后付到合同的90%，余10%为质保金，质保期二年，质保满无质量问题，质保金一次性退还（本金无息）。 </w:t>
            </w:r>
          </w:p>
        </w:tc>
      </w:tr>
      <w:tr>
        <w:tblPrEx>
          <w:tblLayout w:type="fixed"/>
          <w:tblCellMar>
            <w:top w:w="0" w:type="dxa"/>
            <w:left w:w="108" w:type="dxa"/>
            <w:bottom w:w="0" w:type="dxa"/>
            <w:right w:w="108" w:type="dxa"/>
          </w:tblCellMar>
        </w:tblPrEx>
        <w:trPr>
          <w:trHeight w:val="1906"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3.6.3</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签字或盖章要求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3.6.4</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投标文件副本份数</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b/>
                <w:bCs/>
                <w:szCs w:val="21"/>
                <w:highlight w:val="yellow"/>
                <w:u w:val="single"/>
                <w:shd w:val="clear" w:color="auto" w:fill="D9D9D9"/>
                <w:lang w:eastAsia="zh-CN"/>
              </w:rPr>
              <w:t>一正两副</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3.6.5</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装订要求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pPr>
              <w:spacing w:line="400" w:lineRule="exact"/>
              <w:rPr>
                <w:szCs w:val="21"/>
              </w:rPr>
            </w:pPr>
            <w:r>
              <w:rPr>
                <w:rFonts w:hint="eastAsia"/>
                <w:szCs w:val="21"/>
              </w:rPr>
              <w:t>（</w:t>
            </w:r>
            <w:r>
              <w:rPr>
                <w:szCs w:val="21"/>
              </w:rPr>
              <w:t>3</w:t>
            </w:r>
            <w:r>
              <w:rPr>
                <w:rFonts w:hint="eastAsia"/>
                <w:szCs w:val="21"/>
              </w:rPr>
              <w:t>）投标文件须采用胶粘方式装订，装订应牢固、不易拆散和换页，不得采用活页装订。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是否退还投标文件</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5.1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开标时间和地点</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开标时间：同投标截止时间</w:t>
            </w:r>
          </w:p>
          <w:p>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w:t>
            </w:r>
            <w:r>
              <w:rPr>
                <w:rFonts w:hint="eastAsia"/>
                <w:szCs w:val="21"/>
                <w:highlight w:val="yellow"/>
                <w:shd w:val="clear" w:color="auto" w:fill="D9D9D9"/>
                <w:lang w:eastAsia="zh-CN"/>
              </w:rPr>
              <w:t>东北角</w:t>
            </w:r>
            <w:r>
              <w:rPr>
                <w:rFonts w:hint="eastAsia"/>
                <w:szCs w:val="21"/>
                <w:highlight w:val="yellow"/>
                <w:shd w:val="clear" w:color="auto" w:fill="D9D9D9"/>
                <w:lang w:val="en-US" w:eastAsia="zh-CN"/>
              </w:rPr>
              <w:t>8</w:t>
            </w:r>
            <w:r>
              <w:rPr>
                <w:rFonts w:hint="eastAsia"/>
                <w:szCs w:val="21"/>
                <w:highlight w:val="yellow"/>
                <w:shd w:val="clear" w:color="auto" w:fill="D9D9D9"/>
              </w:rPr>
              <w:t>楼）</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6.1.1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评标委员会的组建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pPr>
              <w:spacing w:line="400" w:lineRule="exact"/>
              <w:rPr>
                <w:szCs w:val="21"/>
              </w:rPr>
            </w:pPr>
            <w:r>
              <w:rPr>
                <w:rFonts w:hint="eastAsia"/>
                <w:szCs w:val="21"/>
              </w:rPr>
              <w:t>评标专家确定方式：按有关规定组建。</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7.1</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6309"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否，推荐的中标候选人数：</w:t>
            </w:r>
            <w:r>
              <w:rPr>
                <w:szCs w:val="21"/>
              </w:rPr>
              <w:t>3</w:t>
            </w:r>
            <w:r>
              <w:rPr>
                <w:rFonts w:hint="eastAsia"/>
                <w:szCs w:val="21"/>
              </w:rPr>
              <w:t>人</w:t>
            </w:r>
          </w:p>
        </w:tc>
      </w:tr>
      <w:tr>
        <w:tblPrEx>
          <w:tblLayout w:type="fixed"/>
          <w:tblCellMar>
            <w:top w:w="0" w:type="dxa"/>
            <w:left w:w="108" w:type="dxa"/>
            <w:bottom w:w="0" w:type="dxa"/>
            <w:right w:w="108" w:type="dxa"/>
          </w:tblCellMar>
        </w:tblPrEx>
        <w:trPr>
          <w:trHeight w:val="880" w:hRule="atLeast"/>
        </w:trPr>
        <w:tc>
          <w:tcPr>
            <w:tcW w:w="989"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7.2</w:t>
            </w:r>
          </w:p>
        </w:tc>
        <w:tc>
          <w:tcPr>
            <w:tcW w:w="2071"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中标候选人公示媒介</w:t>
            </w:r>
          </w:p>
        </w:tc>
        <w:tc>
          <w:tcPr>
            <w:tcW w:w="6309" w:type="dxa"/>
            <w:tcBorders>
              <w:top w:val="single" w:color="auto" w:sz="4" w:space="0"/>
              <w:left w:val="single" w:color="auto" w:sz="4" w:space="0"/>
              <w:bottom w:val="nil"/>
              <w:right w:val="single" w:color="auto" w:sz="4" w:space="0"/>
            </w:tcBorders>
            <w:vAlign w:val="center"/>
          </w:tcPr>
          <w:p>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7.4.1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履约担保</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履约担保的形式：</w:t>
            </w:r>
          </w:p>
          <w:p>
            <w:pPr>
              <w:spacing w:line="400" w:lineRule="exact"/>
              <w:ind w:firstLine="420" w:firstLineChars="200"/>
              <w:rPr>
                <w:rFonts w:hint="eastAsia" w:eastAsia="宋体"/>
                <w:szCs w:val="21"/>
                <w:lang w:val="en-US" w:eastAsia="zh-CN"/>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w:t>
            </w:r>
            <w:r>
              <w:rPr>
                <w:rFonts w:hint="eastAsia" w:cs="Times New Roman"/>
                <w:szCs w:val="21"/>
              </w:rPr>
              <w:t>收取</w:t>
            </w:r>
            <w:r>
              <w:rPr>
                <w:rFonts w:hint="eastAsia" w:cs="Times New Roman"/>
                <w:szCs w:val="21"/>
                <w:lang w:eastAsia="zh-CN"/>
              </w:rPr>
              <w:t>履约</w:t>
            </w:r>
            <w:r>
              <w:rPr>
                <w:rFonts w:hint="eastAsia" w:cs="Times New Roman"/>
                <w:szCs w:val="21"/>
              </w:rPr>
              <w:t>保证金账号</w:t>
            </w:r>
            <w:r>
              <w:rPr>
                <w:rFonts w:hint="eastAsia" w:cs="Times New Roman"/>
                <w:szCs w:val="21"/>
                <w:lang w:eastAsia="zh-CN"/>
              </w:rPr>
              <w:t>同投标保证金账户。</w:t>
            </w:r>
          </w:p>
          <w:p>
            <w:pPr>
              <w:spacing w:line="400" w:lineRule="exact"/>
              <w:ind w:firstLine="420" w:firstLineChars="200"/>
              <w:rPr>
                <w:szCs w:val="21"/>
              </w:rPr>
            </w:pPr>
            <w:r>
              <w:rPr>
                <w:rFonts w:hint="eastAsia"/>
                <w:szCs w:val="21"/>
              </w:rPr>
              <w:t>无违约行为发生或违约行为已处理的情况下，</w:t>
            </w:r>
            <w:r>
              <w:rPr>
                <w:rFonts w:hint="eastAsia"/>
                <w:szCs w:val="21"/>
                <w:lang w:val="en-US" w:eastAsia="zh-CN"/>
              </w:rPr>
              <w:t>全部设备</w:t>
            </w:r>
            <w:r>
              <w:rPr>
                <w:rFonts w:hint="eastAsia"/>
                <w:szCs w:val="21"/>
                <w:lang w:eastAsia="zh-CN"/>
              </w:rPr>
              <w:t>经验收合格并通电运行成功后</w:t>
            </w:r>
            <w:r>
              <w:rPr>
                <w:rFonts w:hint="eastAsia"/>
                <w:szCs w:val="21"/>
              </w:rPr>
              <w:t>返还全部履约保证金（本金无息）。</w:t>
            </w:r>
          </w:p>
          <w:p>
            <w:pPr>
              <w:spacing w:line="400" w:lineRule="exact"/>
              <w:rPr>
                <w:szCs w:val="21"/>
                <w:lang w:val="en-US"/>
              </w:rPr>
            </w:pPr>
            <w:r>
              <w:rPr>
                <w:rFonts w:hint="eastAsia"/>
                <w:szCs w:val="21"/>
              </w:rPr>
              <w:t>履约</w:t>
            </w:r>
            <w:r>
              <w:rPr>
                <w:rFonts w:hint="eastAsia"/>
                <w:szCs w:val="21"/>
                <w:lang w:eastAsia="zh-CN"/>
              </w:rPr>
              <w:t>保证金</w:t>
            </w:r>
            <w:r>
              <w:rPr>
                <w:rFonts w:hint="eastAsia"/>
                <w:szCs w:val="21"/>
              </w:rPr>
              <w:t>的金额：</w:t>
            </w:r>
            <w:r>
              <w:rPr>
                <w:rFonts w:hint="eastAsia"/>
                <w:b/>
                <w:bCs/>
                <w:szCs w:val="21"/>
                <w:highlight w:val="yellow"/>
                <w:shd w:val="clear" w:color="auto" w:fill="D9D9D9"/>
              </w:rPr>
              <w:t>中标价的</w:t>
            </w:r>
            <w:r>
              <w:rPr>
                <w:rFonts w:hint="default"/>
                <w:b/>
                <w:bCs/>
                <w:szCs w:val="21"/>
                <w:highlight w:val="yellow"/>
                <w:shd w:val="clear" w:color="auto" w:fill="D9D9D9"/>
                <w:lang w:val="en-US" w:eastAsia="zh-CN"/>
              </w:rPr>
              <w:t>10</w:t>
            </w:r>
            <w:r>
              <w:rPr>
                <w:b/>
                <w:bCs/>
                <w:szCs w:val="21"/>
                <w:highlight w:val="yellow"/>
                <w:shd w:val="clear" w:color="auto" w:fill="D9D9D9"/>
              </w:rPr>
              <w:t>%</w:t>
            </w:r>
            <w:r>
              <w:rPr>
                <w:rFonts w:hint="eastAsia"/>
                <w:szCs w:val="21"/>
                <w:lang w:val="en-US" w:eastAsia="zh-CN"/>
              </w:rPr>
              <w:t>(全部设备</w:t>
            </w:r>
            <w:r>
              <w:rPr>
                <w:rFonts w:hint="eastAsia"/>
                <w:szCs w:val="21"/>
                <w:lang w:eastAsia="zh-CN"/>
              </w:rPr>
              <w:t>经验收合格并通电运行成功后无息退</w:t>
            </w:r>
            <w:r>
              <w:rPr>
                <w:rFonts w:hint="eastAsia"/>
                <w:szCs w:val="21"/>
                <w:lang w:val="en-US" w:eastAsia="zh-CN"/>
              </w:rPr>
              <w:t>还)</w:t>
            </w:r>
          </w:p>
        </w:tc>
      </w:tr>
      <w:tr>
        <w:tblPrEx>
          <w:tblLayout w:type="fixed"/>
          <w:tblCellMar>
            <w:top w:w="0" w:type="dxa"/>
            <w:left w:w="108" w:type="dxa"/>
            <w:bottom w:w="0" w:type="dxa"/>
            <w:right w:w="108" w:type="dxa"/>
          </w:tblCellMar>
        </w:tblPrEx>
        <w:tc>
          <w:tcPr>
            <w:tcW w:w="9369"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838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需要补充的其他内容</w:t>
            </w:r>
          </w:p>
        </w:tc>
      </w:tr>
      <w:tr>
        <w:tblPrEx>
          <w:tblLayout w:type="fixed"/>
          <w:tblCellMar>
            <w:top w:w="0" w:type="dxa"/>
            <w:left w:w="108" w:type="dxa"/>
            <w:bottom w:w="0" w:type="dxa"/>
            <w:right w:w="108" w:type="dxa"/>
          </w:tblCellMar>
        </w:tblPrEx>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9.1</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auto" w:fill="D9D9D9"/>
              </w:rPr>
            </w:pPr>
            <w:r>
              <w:rPr>
                <w:rFonts w:hint="eastAsia"/>
                <w:szCs w:val="21"/>
                <w:highlight w:val="yellow"/>
                <w:shd w:val="clear" w:color="auto" w:fill="D9D9D9"/>
              </w:rPr>
              <w:t>否</w:t>
            </w:r>
          </w:p>
        </w:tc>
      </w:tr>
      <w:tr>
        <w:tblPrEx>
          <w:tblLayout w:type="fixed"/>
          <w:tblCellMar>
            <w:top w:w="0" w:type="dxa"/>
            <w:left w:w="108" w:type="dxa"/>
            <w:bottom w:w="0" w:type="dxa"/>
            <w:right w:w="108" w:type="dxa"/>
          </w:tblCellMar>
        </w:tblPrEx>
        <w:trPr>
          <w:trHeight w:val="680" w:hRule="atLeast"/>
        </w:trPr>
        <w:tc>
          <w:tcPr>
            <w:tcW w:w="98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9.2</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auto" w:fill="D9D9D9"/>
              </w:rPr>
            </w:pPr>
            <w:r>
              <w:rPr>
                <w:rFonts w:hint="eastAsia"/>
                <w:szCs w:val="21"/>
              </w:rPr>
              <w:t>解释权</w:t>
            </w:r>
          </w:p>
        </w:tc>
        <w:tc>
          <w:tcPr>
            <w:tcW w:w="6309"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kern w:val="0"/>
          <w:highlight w:val="none"/>
        </w:rPr>
      </w:pPr>
      <w:r>
        <w:rPr>
          <w:rFonts w:hint="default" w:ascii="Times New Roman" w:hAnsi="Times New Roman" w:eastAsia="黑体" w:cs="Times New Roman"/>
          <w:color w:val="000000"/>
          <w:kern w:val="0"/>
          <w:highlight w:val="none"/>
        </w:rPr>
        <w:t>说明：</w:t>
      </w:r>
      <w:r>
        <w:rPr>
          <w:rFonts w:hint="default" w:ascii="Times New Roman" w:hAnsi="Times New Roman" w:cs="Times New Roman"/>
          <w:color w:val="000000"/>
          <w:kern w:val="0"/>
          <w:highlight w:val="none"/>
        </w:rPr>
        <w:t>投标人须知细则</w:t>
      </w:r>
      <w:r>
        <w:rPr>
          <w:rFonts w:hint="default" w:ascii="Times New Roman" w:hAnsi="Times New Roman" w:cs="Times New Roman"/>
          <w:color w:val="000000"/>
          <w:kern w:val="0"/>
          <w:highlight w:val="none"/>
          <w:lang w:val="en-US" w:eastAsia="zh-CN"/>
        </w:rPr>
        <w:t>参</w:t>
      </w:r>
      <w:r>
        <w:rPr>
          <w:rFonts w:hint="default" w:ascii="Times New Roman" w:hAnsi="Times New Roman" w:cs="Times New Roman"/>
          <w:color w:val="000000"/>
          <w:kern w:val="0"/>
          <w:highlight w:val="none"/>
        </w:rPr>
        <w:t>照国家发改委2017年9月4日印发的《中华人民共和国标准</w:t>
      </w:r>
      <w:r>
        <w:rPr>
          <w:rFonts w:hint="default" w:ascii="Times New Roman" w:hAnsi="Times New Roman" w:cs="Times New Roman"/>
          <w:color w:val="000000"/>
          <w:kern w:val="0"/>
          <w:highlight w:val="none"/>
          <w:lang w:val="en-US" w:eastAsia="zh-CN"/>
        </w:rPr>
        <w:t>设备采购</w:t>
      </w:r>
      <w:r>
        <w:rPr>
          <w:rFonts w:hint="default" w:ascii="Times New Roman" w:hAnsi="Times New Roman" w:cs="Times New Roman"/>
          <w:color w:val="000000"/>
          <w:kern w:val="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673" w:type="dxa"/>
        <w:jc w:val="center"/>
        <w:tblInd w:w="3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90"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7" w:hRule="atLeast"/>
          <w:jc w:val="center"/>
        </w:trPr>
        <w:tc>
          <w:tcPr>
            <w:tcW w:w="1022"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hint="eastAsia" w:ascii="宋体" w:hAnsi="宋体" w:eastAsia="宋体"/>
                <w:sz w:val="24"/>
                <w:szCs w:val="24"/>
                <w:lang w:eastAsia="zh-CN"/>
              </w:rPr>
            </w:pPr>
            <w:r>
              <w:rPr>
                <w:rFonts w:hint="eastAsia" w:ascii="宋体" w:hAnsi="宋体"/>
                <w:sz w:val="24"/>
                <w:szCs w:val="24"/>
                <w:lang w:eastAsia="zh-CN"/>
              </w:rPr>
              <w:t>投标人资质</w:t>
            </w:r>
          </w:p>
        </w:tc>
        <w:tc>
          <w:tcPr>
            <w:tcW w:w="6383"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eastAsia="宋体"/>
                <w:szCs w:val="21"/>
                <w:lang w:eastAsia="zh-CN"/>
              </w:rPr>
            </w:pPr>
            <w:r>
              <w:rPr>
                <w:rFonts w:hint="eastAsia" w:eastAsia="宋体"/>
                <w:szCs w:val="21"/>
                <w:lang w:eastAsia="zh-CN"/>
              </w:rPr>
              <w:t>1、符合《中华人民共和国政府采购法》第二十二条规定的投标人资格条件</w:t>
            </w:r>
            <w:r>
              <w:rPr>
                <w:rFonts w:hint="eastAsia"/>
                <w:szCs w:val="21"/>
                <w:lang w:eastAsia="zh-CN"/>
              </w:rPr>
              <w:t>：</w:t>
            </w:r>
            <w:r>
              <w:rPr>
                <w:rFonts w:hint="eastAsia" w:eastAsia="宋体"/>
                <w:szCs w:val="21"/>
                <w:lang w:eastAsia="zh-CN"/>
              </w:rPr>
              <w:t>（1）具有独立承担民事责任的能力；（2）具有良好的商业信誉和健全的财务会计制度；（3）具有履行合同所必需的设备和专业技术能力；（4）有依法缴纳税收和社会保障资金的良好记录；（5）参加政府采购活动前三年内，在经营活动中没有重大违法记录；</w:t>
            </w:r>
          </w:p>
          <w:p>
            <w:pPr>
              <w:tabs>
                <w:tab w:val="left" w:pos="720"/>
              </w:tabs>
              <w:spacing w:line="360" w:lineRule="auto"/>
              <w:rPr>
                <w:rFonts w:hint="eastAsia" w:ascii="宋体" w:hAnsi="宋体" w:eastAsia="宋体"/>
                <w:sz w:val="24"/>
                <w:szCs w:val="24"/>
                <w:highlight w:val="yellow"/>
                <w:lang w:eastAsia="zh-CN"/>
              </w:rPr>
            </w:pPr>
            <w:r>
              <w:rPr>
                <w:rFonts w:hint="eastAsia" w:eastAsia="宋体"/>
                <w:szCs w:val="21"/>
                <w:lang w:eastAsia="zh-CN"/>
              </w:rPr>
              <w:t>（6）法律、行政法规规定的其他条件。2、开具制造商厂家的唯一授权证明书。</w:t>
            </w:r>
            <w:r>
              <w:rPr>
                <w:rFonts w:hint="eastAsia" w:ascii="宋体" w:hAnsi="宋体"/>
                <w:sz w:val="24"/>
                <w:szCs w:val="24"/>
                <w:highlight w:val="yellow"/>
                <w:lang w:eastAsia="zh-CN"/>
              </w:rPr>
              <w:t>（所有资质复印件均需</w:t>
            </w:r>
            <w:r>
              <w:rPr>
                <w:rFonts w:hint="eastAsia" w:ascii="宋体" w:hAnsi="宋体"/>
                <w:color w:val="FF0000"/>
                <w:sz w:val="24"/>
                <w:szCs w:val="24"/>
                <w:highlight w:val="yellow"/>
                <w:lang w:eastAsia="zh-CN"/>
              </w:rPr>
              <w:t>加盖公章</w:t>
            </w:r>
            <w:r>
              <w:rPr>
                <w:rFonts w:hint="eastAsia" w:ascii="宋体" w:hAnsi="宋体"/>
                <w:sz w:val="24"/>
                <w:szCs w:val="24"/>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22"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w:t>
            </w:r>
            <w:r>
              <w:rPr>
                <w:rFonts w:hint="eastAsia" w:ascii="宋体" w:hAnsi="宋体"/>
                <w:sz w:val="24"/>
                <w:szCs w:val="24"/>
                <w:lang w:eastAsia="zh-CN"/>
              </w:rPr>
              <w:t>招标</w:t>
            </w:r>
            <w:r>
              <w:rPr>
                <w:rFonts w:hint="eastAsia" w:ascii="宋体" w:hAnsi="宋体"/>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022"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022"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1、技术标评审涉及的有关资格证明材料、文件、奖项证书及业绩证明文件按招标文件要求装订在投标文件技术标文件中，材料均为扫描件或复印件须加盖单位公章。</w:t>
      </w:r>
    </w:p>
    <w:p>
      <w:pPr>
        <w:ind w:firstLine="480" w:firstLineChars="200"/>
        <w:rPr>
          <w:rFonts w:ascii="Times New Roman" w:hAnsi="宋体"/>
          <w:sz w:val="24"/>
          <w:szCs w:val="24"/>
          <w:highlight w:val="yellow"/>
        </w:rPr>
      </w:pPr>
      <w:r>
        <w:rPr>
          <w:rFonts w:hint="eastAsia" w:ascii="Times New Roman" w:hAnsi="宋体"/>
          <w:sz w:val="24"/>
          <w:szCs w:val="24"/>
          <w:highlight w:val="yellow"/>
        </w:rPr>
        <w:t>2、中标单位需保证所提供加分业绩证明材料真实有效，对于提供虚假材料的，由原评标委员会半数以上投票否决的，招标人有权取消其中标人资格。</w:t>
      </w:r>
    </w:p>
    <w:p>
      <w:pPr>
        <w:spacing w:line="360" w:lineRule="exact"/>
        <w:ind w:firstLine="480" w:firstLineChars="200"/>
        <w:rPr>
          <w:rFonts w:ascii="Times New Roman" w:hAnsi="宋体"/>
          <w:sz w:val="24"/>
          <w:szCs w:val="24"/>
          <w:highlight w:val="yellow"/>
        </w:rPr>
      </w:pPr>
    </w:p>
    <w:p>
      <w:pPr>
        <w:jc w:val="center"/>
        <w:rPr>
          <w:rFonts w:hint="eastAsia"/>
          <w:b/>
          <w:sz w:val="30"/>
          <w:szCs w:val="30"/>
        </w:rPr>
      </w:pPr>
      <w:r>
        <w:rPr>
          <w:rFonts w:hint="eastAsia"/>
          <w:b/>
          <w:sz w:val="30"/>
          <w:szCs w:val="30"/>
        </w:rPr>
        <w:t>投标文件技术和商务评审表</w:t>
      </w:r>
    </w:p>
    <w:tbl>
      <w:tblPr>
        <w:tblStyle w:val="24"/>
        <w:tblpPr w:leftFromText="180" w:rightFromText="180" w:vertAnchor="text" w:horzAnchor="page" w:tblpX="1181" w:tblpY="406"/>
        <w:tblOverlap w:val="never"/>
        <w:tblW w:w="9547"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56"/>
        <w:gridCol w:w="900"/>
        <w:gridCol w:w="68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blHeader/>
        </w:trPr>
        <w:tc>
          <w:tcPr>
            <w:tcW w:w="1756"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评分项目</w:t>
            </w:r>
          </w:p>
        </w:tc>
        <w:tc>
          <w:tcPr>
            <w:tcW w:w="900"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分值</w:t>
            </w:r>
          </w:p>
        </w:tc>
        <w:tc>
          <w:tcPr>
            <w:tcW w:w="6891" w:type="dxa"/>
            <w:noWrap w:val="0"/>
            <w:vAlign w:val="center"/>
          </w:tcPr>
          <w:p>
            <w:pPr>
              <w:adjustRightInd w:val="0"/>
              <w:spacing w:after="60" w:line="360" w:lineRule="exact"/>
              <w:ind w:left="63" w:leftChars="30" w:right="63" w:rightChars="30"/>
              <w:jc w:val="center"/>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价格</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0分</w:t>
            </w:r>
          </w:p>
        </w:tc>
        <w:tc>
          <w:tcPr>
            <w:tcW w:w="6891" w:type="dxa"/>
            <w:noWrap w:val="0"/>
            <w:vAlign w:val="top"/>
          </w:tcPr>
          <w:p>
            <w:pPr>
              <w:spacing w:line="360" w:lineRule="exact"/>
              <w:rPr>
                <w:rFonts w:hint="eastAsia" w:ascii="仿宋_GB2312" w:hAnsi="仿宋_GB2312" w:eastAsia="仿宋_GB2312" w:cs="仿宋_GB2312"/>
                <w:sz w:val="24"/>
              </w:rPr>
            </w:pPr>
            <w:r>
              <w:rPr>
                <w:rFonts w:hint="default" w:ascii="仿宋_GB2312" w:hAnsi="仿宋_GB2312" w:eastAsia="仿宋_GB2312" w:cs="仿宋_GB2312"/>
                <w:sz w:val="24"/>
                <w:lang w:val="en-US"/>
              </w:rPr>
              <w:t xml:space="preserve">    </w:t>
            </w:r>
            <w:r>
              <w:rPr>
                <w:rFonts w:hint="eastAsia" w:ascii="仿宋_GB2312" w:hAnsi="仿宋_GB2312" w:eastAsia="仿宋_GB2312" w:cs="仿宋_GB2312"/>
                <w:sz w:val="24"/>
              </w:rPr>
              <w:t>取</w:t>
            </w:r>
            <w:r>
              <w:rPr>
                <w:rFonts w:hint="eastAsia" w:ascii="仿宋_GB2312" w:hAnsi="仿宋_GB2312" w:eastAsia="仿宋_GB2312" w:cs="仿宋_GB2312"/>
                <w:sz w:val="24"/>
                <w:lang w:eastAsia="zh-CN"/>
              </w:rPr>
              <w:t>所有有效投标人</w:t>
            </w:r>
            <w:r>
              <w:rPr>
                <w:rFonts w:hint="eastAsia" w:ascii="仿宋_GB2312" w:hAnsi="仿宋_GB2312" w:eastAsia="仿宋_GB2312" w:cs="仿宋_GB2312"/>
                <w:sz w:val="24"/>
              </w:rPr>
              <w:t>报价</w:t>
            </w:r>
            <w:r>
              <w:rPr>
                <w:rFonts w:hint="eastAsia" w:ascii="仿宋_GB2312" w:hAnsi="仿宋_GB2312" w:eastAsia="仿宋_GB2312" w:cs="仿宋_GB2312"/>
                <w:sz w:val="24"/>
                <w:lang w:eastAsia="zh-CN"/>
              </w:rPr>
              <w:t>的算术平均数</w:t>
            </w:r>
            <w:r>
              <w:rPr>
                <w:rFonts w:hint="eastAsia" w:ascii="仿宋_GB2312" w:hAnsi="仿宋_GB2312" w:eastAsia="仿宋_GB2312" w:cs="仿宋_GB2312"/>
                <w:sz w:val="24"/>
              </w:rPr>
              <w:t>下浮</w:t>
            </w:r>
            <w:r>
              <w:rPr>
                <w:rFonts w:hint="eastAsia" w:ascii="仿宋_GB2312" w:hAnsi="仿宋_GB2312" w:eastAsia="仿宋_GB2312" w:cs="仿宋_GB2312"/>
                <w:sz w:val="24"/>
                <w:lang w:val="en-US" w:eastAsia="zh-CN"/>
              </w:rPr>
              <w:t>N</w:t>
            </w:r>
            <w:r>
              <w:rPr>
                <w:rFonts w:hint="eastAsia" w:ascii="仿宋_GB2312" w:hAnsi="仿宋_GB2312" w:eastAsia="仿宋_GB2312" w:cs="仿宋_GB2312"/>
                <w:sz w:val="24"/>
              </w:rPr>
              <w:t>% 作为评标基准价。N的取值范围为：2.5、3、</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w:t>
            </w:r>
            <w:r>
              <w:rPr>
                <w:rFonts w:hint="default" w:ascii="仿宋_GB2312" w:hAnsi="仿宋_GB2312" w:eastAsia="仿宋_GB2312" w:cs="仿宋_GB2312"/>
                <w:sz w:val="24"/>
                <w:lang w:val="en-US"/>
              </w:rPr>
              <w:t>4</w:t>
            </w:r>
            <w:r>
              <w:rPr>
                <w:rFonts w:hint="eastAsia" w:ascii="仿宋_GB2312" w:hAnsi="仿宋_GB2312" w:eastAsia="仿宋_GB2312" w:cs="仿宋_GB2312"/>
                <w:sz w:val="24"/>
              </w:rPr>
              <w:t>.5（对应抽取序号分别为1、2、3、4、5，假如抽到3，则N的取值为</w:t>
            </w:r>
            <w:r>
              <w:rPr>
                <w:rFonts w:hint="default" w:ascii="仿宋_GB2312" w:hAnsi="仿宋_GB2312" w:eastAsia="仿宋_GB2312" w:cs="仿宋_GB2312"/>
                <w:sz w:val="24"/>
                <w:lang w:val="en-US"/>
              </w:rPr>
              <w:t>3</w:t>
            </w:r>
            <w:r>
              <w:rPr>
                <w:rFonts w:hint="eastAsia" w:ascii="仿宋_GB2312" w:hAnsi="仿宋_GB2312" w:eastAsia="仿宋_GB2312" w:cs="仿宋_GB2312"/>
                <w:sz w:val="24"/>
              </w:rPr>
              <w:t>.5</w:t>
            </w:r>
            <w:r>
              <w:rPr>
                <w:rFonts w:hint="eastAsia" w:ascii="仿宋_GB2312" w:hAnsi="仿宋_GB2312" w:eastAsia="仿宋_GB2312" w:cs="仿宋_GB2312"/>
                <w:sz w:val="24"/>
                <w:lang w:eastAsia="zh-CN"/>
              </w:rPr>
              <w:t>，序号在开标环节由投标人代表抽取</w:t>
            </w:r>
            <w:r>
              <w:rPr>
                <w:rFonts w:hint="eastAsia" w:ascii="仿宋_GB2312" w:hAnsi="仿宋_GB2312" w:eastAsia="仿宋_GB2312" w:cs="仿宋_GB2312"/>
                <w:sz w:val="24"/>
              </w:rPr>
              <w:t>）。</w:t>
            </w:r>
          </w:p>
          <w:p>
            <w:pPr>
              <w:spacing w:line="36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在所有有效投标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中，投标</w:t>
            </w:r>
            <w:r>
              <w:rPr>
                <w:rFonts w:hint="eastAsia" w:ascii="仿宋_GB2312" w:hAnsi="仿宋_GB2312" w:eastAsia="仿宋_GB2312" w:cs="仿宋_GB2312"/>
                <w:sz w:val="24"/>
                <w:lang w:eastAsia="zh-CN"/>
              </w:rPr>
              <w:t>报价</w:t>
            </w:r>
            <w:r>
              <w:rPr>
                <w:rFonts w:hint="eastAsia" w:ascii="仿宋_GB2312" w:hAnsi="仿宋_GB2312" w:eastAsia="仿宋_GB2312" w:cs="仿宋_GB2312"/>
                <w:sz w:val="24"/>
              </w:rPr>
              <w:t>与评标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相比，采用内插法，投标</w:t>
            </w:r>
            <w:r>
              <w:rPr>
                <w:rFonts w:hint="eastAsia" w:ascii="仿宋_GB2312" w:hAnsi="仿宋_GB2312" w:eastAsia="仿宋_GB2312" w:cs="仿宋_GB2312"/>
                <w:sz w:val="24"/>
                <w:lang w:eastAsia="zh-CN"/>
              </w:rPr>
              <w:t>报价比</w:t>
            </w:r>
            <w:r>
              <w:rPr>
                <w:rFonts w:hint="eastAsia" w:ascii="仿宋_GB2312" w:hAnsi="仿宋_GB2312" w:eastAsia="仿宋_GB2312" w:cs="仿宋_GB2312"/>
                <w:sz w:val="24"/>
              </w:rPr>
              <w:t>评标</w:t>
            </w:r>
            <w:r>
              <w:rPr>
                <w:rFonts w:hint="eastAsia" w:ascii="仿宋_GB2312" w:hAnsi="仿宋_GB2312" w:eastAsia="仿宋_GB2312" w:cs="仿宋_GB2312"/>
                <w:sz w:val="24"/>
                <w:lang w:eastAsia="zh-CN"/>
              </w:rPr>
              <w:t>基准价</w:t>
            </w:r>
            <w:r>
              <w:rPr>
                <w:rFonts w:hint="eastAsia" w:ascii="仿宋_GB2312" w:hAnsi="仿宋_GB2312" w:eastAsia="仿宋_GB2312" w:cs="仿宋_GB2312"/>
                <w:sz w:val="24"/>
              </w:rPr>
              <w:t>每低于（小于）1%扣</w:t>
            </w: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分，每高于（大于）1%扣</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业绩</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10分</w:t>
            </w:r>
          </w:p>
        </w:tc>
        <w:tc>
          <w:tcPr>
            <w:tcW w:w="6891" w:type="dxa"/>
            <w:noWrap w:val="0"/>
            <w:vAlign w:val="top"/>
          </w:tcPr>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rPr>
              <w:t>近三年</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2016年1月1日至今</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，每提供一个投标品牌业绩合同：单项合同金额大于200万的得2分，100-200万之间的得1分，其余不得分，满分</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分，提供中标通知书复印件</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合同复印件及竣工验收报告复印件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信誉</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8分</w:t>
            </w:r>
          </w:p>
        </w:tc>
        <w:tc>
          <w:tcPr>
            <w:tcW w:w="6891" w:type="dxa"/>
            <w:noWrap w:val="0"/>
            <w:vAlign w:val="top"/>
          </w:tcPr>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1、所投产品制造商获得中国质量检验协会颁发的全国空调行业质量领先品牌、全国产品和服务质量诚信示范企业证书的得4分，没有不得分。注：投标文件中须提供证书扫描件。</w:t>
            </w:r>
          </w:p>
          <w:p>
            <w:pPr>
              <w:spacing w:line="360" w:lineRule="exac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2、制造商获得AAA级企业登记信用证书的得4分，提供证书复印件并提供在中国招标投标网上的公示截图。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50"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质保及售后服务</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en-US" w:eastAsia="zh-CN"/>
              </w:rPr>
              <w:t>0分</w:t>
            </w:r>
          </w:p>
        </w:tc>
        <w:tc>
          <w:tcPr>
            <w:tcW w:w="6891" w:type="dxa"/>
            <w:noWrap w:val="0"/>
            <w:vAlign w:val="top"/>
          </w:tcPr>
          <w:p>
            <w:pPr>
              <w:spacing w:line="36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1、在满足招标文件免费质保期要求的基础上，每承诺增加一年免费质保期加1分，满分5分；</w:t>
            </w:r>
          </w:p>
          <w:p>
            <w:pPr>
              <w:spacing w:line="360" w:lineRule="exact"/>
              <w:rPr>
                <w:rFonts w:hint="eastAsia" w:ascii="仿宋_GB2312" w:hAnsi="仿宋_GB2312" w:eastAsia="仿宋_GB2312" w:cs="仿宋_GB2312"/>
                <w:bCs/>
                <w:sz w:val="24"/>
                <w:szCs w:val="24"/>
                <w:lang w:val="zh-TW" w:eastAsia="zh-CN"/>
              </w:rPr>
            </w:pP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val="zh-TW" w:eastAsia="zh-CN"/>
              </w:rPr>
              <w:t>、承诺在保修期内接到服务通知后30分钟内响应，2小时内到达现场，8小时内处理完毕，得</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val="zh-TW" w:eastAsia="zh-CN"/>
              </w:rPr>
              <w:t>分，无售后服务承诺函或承诺不能满足的不得分。</w:t>
            </w:r>
          </w:p>
          <w:p>
            <w:pPr>
              <w:spacing w:line="360" w:lineRule="exact"/>
              <w:rPr>
                <w:rFonts w:hint="default" w:ascii="仿宋_GB2312" w:hAnsi="仿宋_GB2312" w:eastAsia="仿宋_GB2312" w:cs="仿宋_GB2312"/>
                <w:bCs/>
                <w:sz w:val="24"/>
                <w:szCs w:val="24"/>
                <w:lang w:val="en-US" w:eastAsia="zh-CN"/>
              </w:rPr>
            </w:pPr>
            <w:r>
              <w:rPr>
                <w:rFonts w:hint="eastAsia" w:ascii="仿宋_GB2312" w:hAnsi="仿宋_GB2312" w:eastAsia="仿宋_GB2312" w:cs="仿宋_GB2312"/>
                <w:sz w:val="24"/>
                <w:lang w:val="en-US" w:eastAsia="zh-CN"/>
              </w:rPr>
              <w:t>3、根据投标文件中售后服务的承诺，售后体系、售后服务团队及维保方案、备品备件库的合理性、及时性及完善性等。评委会按1-3分酌情打分。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产品</w:t>
            </w:r>
          </w:p>
        </w:tc>
        <w:tc>
          <w:tcPr>
            <w:tcW w:w="900" w:type="dxa"/>
            <w:noWrap w:val="0"/>
            <w:vAlign w:val="center"/>
          </w:tcPr>
          <w:p>
            <w:pPr>
              <w:spacing w:after="120"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分</w:t>
            </w:r>
          </w:p>
        </w:tc>
        <w:tc>
          <w:tcPr>
            <w:tcW w:w="6891" w:type="dxa"/>
            <w:noWrap w:val="0"/>
            <w:vAlign w:val="top"/>
          </w:tcPr>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1、所投产品具有中国环境标志产品认证证书、CRAA产品认证证书、GCCA产品诚信联盟证书。以上有一个得1分，满分3分。提供证书扫描件作为评审依据。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2、不同气候下，所投产品具有国家日用电器质量监督检验中心颁发长效节能评价证书、国家日用电器质量监督检验中心颁发长运无故障评价证书，每有1项得2分，满分4分。提供证书扫描件作为评审依据。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rPr>
              <w:t>3、所投产品具有国家日用电器质量监督检验中心智能节电认证的得 3分。提供证书扫描件作为评审依据。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67" w:hRule="atLeast"/>
          <w:tblHeader/>
        </w:trPr>
        <w:tc>
          <w:tcPr>
            <w:tcW w:w="1756" w:type="dxa"/>
            <w:noWrap w:val="0"/>
            <w:vAlign w:val="center"/>
          </w:tcPr>
          <w:p>
            <w:pPr>
              <w:spacing w:after="120" w:line="36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技术</w:t>
            </w:r>
          </w:p>
        </w:tc>
        <w:tc>
          <w:tcPr>
            <w:tcW w:w="900" w:type="dxa"/>
            <w:noWrap w:val="0"/>
            <w:vAlign w:val="center"/>
          </w:tcPr>
          <w:p>
            <w:pPr>
              <w:spacing w:after="120" w:line="360" w:lineRule="exact"/>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12分</w:t>
            </w:r>
          </w:p>
        </w:tc>
        <w:tc>
          <w:tcPr>
            <w:tcW w:w="6891" w:type="dxa"/>
            <w:noWrap w:val="0"/>
            <w:vAlign w:val="top"/>
          </w:tcPr>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、所投多联机产品压缩机采用全直流变频喷气增焓压缩机的得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分，普通的全直流变频压缩机的得</w:t>
            </w: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分，其他不得分。提供第三方权威机构得检测报告复印件作为评审依据。</w:t>
            </w:r>
          </w:p>
          <w:p>
            <w:pPr>
              <w:adjustRightInd w:val="0"/>
              <w:spacing w:line="360" w:lineRule="atLeas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、所投多联机主机电控主板采用冷媒冷却技术的得</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 xml:space="preserve">分，普通风冷冷却不得分。 </w:t>
            </w:r>
          </w:p>
          <w:p>
            <w:pPr>
              <w:keepNext w:val="0"/>
              <w:keepLines w:val="0"/>
              <w:numPr>
                <w:ilvl w:val="0"/>
                <w:numId w:val="0"/>
              </w:numPr>
              <w:suppressLineNumbers w:val="0"/>
              <w:spacing w:before="0" w:beforeAutospacing="0" w:after="0" w:afterAutospacing="0" w:line="360" w:lineRule="exact"/>
              <w:ind w:right="0" w:rightChars="0"/>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注：投标文件中须提供第三方权威检测机构出具的技术认证证书。</w:t>
            </w:r>
            <w:r>
              <w:rPr>
                <w:rFonts w:hint="eastAsia" w:ascii="仿宋_GB2312" w:hAnsi="仿宋_GB2312" w:eastAsia="仿宋_GB2312" w:cs="仿宋_GB2312"/>
                <w:sz w:val="24"/>
                <w:lang w:val="en-US" w:eastAsia="zh-CN"/>
              </w:rPr>
              <w:t>3、所投产品制造商每提供一个直流变频多联式空调机组安装工程评价证书且制冷设备及系统工程评价结果：制冷综合性能系数≥额定值92%的测试结果的得2分，制冷综合性能系数≥额定值90%的测试结果的得0.5分，本项满分6分, 需提供第三方权威机构认证的制冷设备及系统节能工程应用评价证书扫描件作为评审依据</w:t>
            </w:r>
            <w:r>
              <w:rPr>
                <w:rFonts w:hint="eastAsia" w:ascii="宋体" w:hAnsi="宋体" w:eastAsia="宋体" w:cs="Times New Roman"/>
                <w:kern w:val="2"/>
                <w:sz w:val="24"/>
                <w:szCs w:val="24"/>
                <w:lang w:val="en-US" w:eastAsia="zh-CN" w:bidi="ar-SA"/>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16" w:hRule="atLeast"/>
          <w:tblHeader/>
        </w:trPr>
        <w:tc>
          <w:tcPr>
            <w:tcW w:w="9547" w:type="dxa"/>
            <w:gridSpan w:val="3"/>
            <w:noWrap w:val="0"/>
            <w:vAlign w:val="center"/>
          </w:tcPr>
          <w:p>
            <w:pPr>
              <w:spacing w:line="360" w:lineRule="exact"/>
              <w:ind w:firstLine="480" w:firstLineChars="200"/>
              <w:rPr>
                <w:rFonts w:hint="eastAsia" w:ascii="仿宋_GB2312" w:hAnsi="仿宋_GB2312" w:eastAsia="仿宋_GB2312" w:cs="仿宋_GB2312"/>
                <w:color w:val="1F497D"/>
                <w:sz w:val="24"/>
                <w:szCs w:val="24"/>
              </w:rPr>
            </w:pPr>
            <w:r>
              <w:rPr>
                <w:rFonts w:hint="eastAsia" w:ascii="仿宋_GB2312" w:hAnsi="仿宋_GB2312" w:eastAsia="仿宋_GB2312" w:cs="仿宋_GB2312"/>
                <w:color w:val="1F497D"/>
                <w:sz w:val="24"/>
                <w:szCs w:val="24"/>
              </w:rPr>
              <w:t xml:space="preserve">注： </w:t>
            </w:r>
            <w:r>
              <w:rPr>
                <w:rFonts w:hint="eastAsia" w:ascii="仿宋_GB2312" w:hAnsi="仿宋_GB2312" w:eastAsia="仿宋_GB2312" w:cs="仿宋_GB2312"/>
                <w:color w:val="1F497D"/>
                <w:sz w:val="24"/>
                <w:szCs w:val="24"/>
                <w:highlight w:val="yellow"/>
              </w:rPr>
              <w:t>技术和商务评审涉及的的相关证照、证明、证书、证件、合同等（非投标单位自身单独出具），原件的扫描件装入投标文件。原件中标后由采购人核验，如发现弄虚作假的，取消其中标资格，并按有关规定进行处理。</w:t>
            </w:r>
            <w:r>
              <w:rPr>
                <w:rFonts w:hint="eastAsia" w:ascii="Times New Roman" w:hAnsi="宋体"/>
                <w:sz w:val="24"/>
                <w:szCs w:val="24"/>
                <w:highlight w:val="yellow"/>
              </w:rPr>
              <w:t>材料均为扫描件或复印件须加盖单位公章。</w:t>
            </w:r>
          </w:p>
        </w:tc>
      </w:tr>
    </w:tbl>
    <w:p>
      <w:pPr>
        <w:spacing w:line="360" w:lineRule="exact"/>
        <w:ind w:firstLine="482" w:firstLineChars="200"/>
        <w:rPr>
          <w:rFonts w:hint="eastAsia" w:ascii="仿宋_GB2312" w:hAnsi="仿宋_GB2312" w:eastAsia="仿宋_GB2312" w:cs="仿宋_GB2312"/>
          <w:sz w:val="32"/>
          <w:szCs w:val="32"/>
        </w:rPr>
      </w:pPr>
      <w:r>
        <w:rPr>
          <w:rFonts w:hint="eastAsia" w:ascii="宋体" w:hAnsi="宋体"/>
          <w:b/>
          <w:sz w:val="24"/>
          <w:szCs w:val="24"/>
        </w:rPr>
        <w:t xml:space="preserve"> </w:t>
      </w:r>
    </w:p>
    <w:p>
      <w:pPr>
        <w:spacing w:line="360" w:lineRule="exact"/>
        <w:ind w:firstLine="640" w:firstLineChars="200"/>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评标总得分=F1+F2+F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8</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9</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10</w:t>
      </w:r>
      <w:r>
        <w:rPr>
          <w:rFonts w:hint="eastAsia" w:ascii="仿宋_GB2312" w:hAnsi="仿宋_GB2312" w:eastAsia="仿宋_GB2312" w:cs="仿宋_GB2312"/>
          <w:sz w:val="32"/>
          <w:szCs w:val="32"/>
        </w:rPr>
        <w:t>（F1、F2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F</w:t>
      </w:r>
      <w:r>
        <w:rPr>
          <w:rFonts w:hint="default" w:ascii="仿宋_GB2312" w:hAnsi="仿宋_GB2312" w:eastAsia="仿宋_GB2312" w:cs="仿宋_GB2312"/>
          <w:sz w:val="32"/>
          <w:szCs w:val="32"/>
          <w:lang w:val="en-US"/>
        </w:rPr>
        <w:t>10</w:t>
      </w:r>
      <w:r>
        <w:rPr>
          <w:rFonts w:hint="eastAsia" w:ascii="仿宋_GB2312" w:hAnsi="仿宋_GB2312" w:eastAsia="仿宋_GB2312" w:cs="仿宋_GB2312"/>
          <w:sz w:val="32"/>
          <w:szCs w:val="32"/>
        </w:rPr>
        <w:t>分别为各项评分因素的汇总得分）。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评标时，评标委员会各成员应当独立对每个有效投标人的标书进行评价、打分，然后汇总每个投标人每项评分因素的得分，按评审后得分由高到低顺序排列（1、2、3、…）。</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sz w:val="32"/>
          <w:szCs w:val="32"/>
        </w:rPr>
        <w:t>1. 评标办法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kern w:val="2"/>
          <w:sz w:val="32"/>
          <w:szCs w:val="32"/>
          <w:lang w:val="en-US" w:eastAsia="zh-CN" w:bidi="ar-SA"/>
        </w:rPr>
        <w:t>综合评分法（100分制）</w:t>
      </w:r>
      <w:bookmarkStart w:id="17" w:name="_Toc144974557"/>
      <w:bookmarkStart w:id="18" w:name="_Toc247085748"/>
      <w:bookmarkStart w:id="19" w:name="_Toc152045590"/>
      <w:bookmarkStart w:id="20" w:name="_Toc152042367"/>
      <w:bookmarkStart w:id="21" w:name="_Toc246996976"/>
      <w:bookmarkStart w:id="22" w:name="_Toc246996233"/>
      <w:bookmarkStart w:id="23" w:name="_Toc296602478"/>
      <w:bookmarkStart w:id="24" w:name="_Toc179632608"/>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评审标准</w:t>
      </w:r>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25" w:name="_Toc246996977"/>
      <w:bookmarkStart w:id="26" w:name="_Toc296602479"/>
      <w:bookmarkStart w:id="27" w:name="_Toc152042368"/>
      <w:bookmarkStart w:id="28" w:name="_Toc144974558"/>
      <w:bookmarkStart w:id="29" w:name="_Toc152045591"/>
      <w:bookmarkStart w:id="30" w:name="_Toc179632609"/>
      <w:bookmarkStart w:id="31" w:name="_Toc246996234"/>
      <w:bookmarkStart w:id="32" w:name="_Toc247085749"/>
      <w:r>
        <w:rPr>
          <w:rFonts w:hint="eastAsia" w:ascii="仿宋_GB2312" w:hAnsi="仿宋_GB2312" w:eastAsia="仿宋_GB2312" w:cs="仿宋_GB2312"/>
          <w:b/>
          <w:sz w:val="32"/>
          <w:szCs w:val="32"/>
        </w:rPr>
        <w:t>评审标准</w:t>
      </w:r>
      <w:bookmarkEnd w:id="25"/>
      <w:bookmarkEnd w:id="26"/>
      <w:bookmarkEnd w:id="27"/>
      <w:bookmarkEnd w:id="28"/>
      <w:bookmarkEnd w:id="29"/>
      <w:bookmarkEnd w:id="30"/>
      <w:bookmarkEnd w:id="31"/>
      <w:bookmarkEnd w:id="32"/>
      <w:r>
        <w:rPr>
          <w:rFonts w:hint="eastAsia" w:ascii="仿宋_GB2312" w:hAnsi="仿宋_GB2312" w:eastAsia="仿宋_GB2312" w:cs="仿宋_GB2312"/>
          <w:b/>
          <w:sz w:val="32"/>
          <w:szCs w:val="32"/>
        </w:rPr>
        <w:t>见评标办法前附表。</w:t>
      </w:r>
      <w:bookmarkStart w:id="33" w:name="_Toc152045593"/>
      <w:bookmarkStart w:id="34" w:name="_Toc246996236"/>
      <w:bookmarkStart w:id="35" w:name="_Toc247085751"/>
      <w:bookmarkStart w:id="36" w:name="_Toc296602481"/>
      <w:bookmarkStart w:id="37" w:name="_Toc144974560"/>
      <w:bookmarkStart w:id="38" w:name="_Toc152042370"/>
      <w:bookmarkStart w:id="39" w:name="_Toc246996979"/>
      <w:bookmarkStart w:id="40" w:name="_Toc179632611"/>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评标</w:t>
      </w:r>
      <w:bookmarkEnd w:id="33"/>
      <w:bookmarkEnd w:id="34"/>
      <w:bookmarkEnd w:id="35"/>
      <w:bookmarkEnd w:id="36"/>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41" w:name="_Toc296602482"/>
      <w:bookmarkStart w:id="42" w:name="_Toc152045594"/>
      <w:bookmarkStart w:id="43" w:name="_Toc246996980"/>
      <w:bookmarkStart w:id="44" w:name="_Toc247085752"/>
      <w:bookmarkStart w:id="45" w:name="_Toc246996237"/>
      <w:bookmarkStart w:id="46" w:name="_Toc152042371"/>
      <w:bookmarkStart w:id="47" w:name="_Toc144974561"/>
      <w:bookmarkStart w:id="48" w:name="_Toc179632612"/>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数量应当根据采购需要确定，推荐1-3名中标候选供应商，必须按顺序排列中标候选供应商。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w:t>
      </w:r>
      <w:r>
        <w:rPr>
          <w:rFonts w:hint="eastAsia" w:ascii="仿宋_GB2312" w:hAnsi="仿宋_GB2312" w:eastAsia="仿宋_GB2312" w:cs="仿宋_GB2312"/>
          <w:sz w:val="32"/>
          <w:szCs w:val="32"/>
          <w:lang w:eastAsia="zh-CN"/>
        </w:rPr>
        <w:t>业绩</w:t>
      </w:r>
      <w:r>
        <w:rPr>
          <w:rFonts w:hint="eastAsia" w:ascii="仿宋_GB2312" w:hAnsi="仿宋_GB2312" w:eastAsia="仿宋_GB2312" w:cs="仿宋_GB2312"/>
          <w:sz w:val="32"/>
          <w:szCs w:val="32"/>
        </w:rPr>
        <w:t>优劣顺序排列</w:t>
      </w:r>
      <w:r>
        <w:rPr>
          <w:rFonts w:hint="eastAsia" w:ascii="仿宋_GB2312" w:hAnsi="仿宋_GB2312" w:eastAsia="仿宋_GB2312" w:cs="仿宋_GB2312"/>
          <w:sz w:val="32"/>
          <w:szCs w:val="32"/>
          <w:lang w:eastAsia="zh-CN"/>
        </w:rPr>
        <w:t>，以此类推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1.开标日期和地点；</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2.投标人名单和评标委员会成员名单；</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保密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sz w:val="32"/>
          <w:szCs w:val="32"/>
          <w:lang w:val="en-US" w:eastAsia="zh-CN"/>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41"/>
      <w:bookmarkEnd w:id="42"/>
      <w:bookmarkEnd w:id="43"/>
      <w:bookmarkEnd w:id="44"/>
      <w:bookmarkEnd w:id="45"/>
      <w:bookmarkEnd w:id="46"/>
      <w:bookmarkEnd w:id="47"/>
      <w:bookmarkEnd w:id="48"/>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bookmarkStart w:id="49" w:name="_Toc152042387"/>
      <w:bookmarkStart w:id="50" w:name="_Toc144974577"/>
      <w:bookmarkStart w:id="51" w:name="_Toc152045609"/>
      <w:bookmarkStart w:id="52" w:name="_Toc246996252"/>
      <w:bookmarkStart w:id="53" w:name="_Toc296602497"/>
      <w:bookmarkStart w:id="54" w:name="_Toc247085767"/>
      <w:bookmarkStart w:id="55" w:name="_Toc246996995"/>
      <w:bookmarkStart w:id="56" w:name="_Toc179632627"/>
      <w:bookmarkStart w:id="57" w:name="EB7c62c7a396b64a37a73f7fce64281754"/>
      <w:r>
        <w:rPr>
          <w:rFonts w:hint="eastAsia" w:ascii="黑体" w:hAnsi="黑体" w:eastAsia="黑体" w:cs="黑体"/>
          <w:b/>
          <w:bCs/>
          <w:kern w:val="44"/>
          <w:sz w:val="32"/>
          <w:szCs w:val="32"/>
        </w:rPr>
        <w:t>第四章 合同条款及格式</w:t>
      </w:r>
      <w:bookmarkEnd w:id="49"/>
      <w:bookmarkEnd w:id="50"/>
      <w:bookmarkEnd w:id="51"/>
      <w:bookmarkEnd w:id="52"/>
      <w:bookmarkEnd w:id="53"/>
      <w:bookmarkEnd w:id="54"/>
      <w:bookmarkEnd w:id="55"/>
      <w:bookmarkEnd w:id="56"/>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合同条款前附表</w:t>
      </w:r>
    </w:p>
    <w:tbl>
      <w:tblPr>
        <w:tblStyle w:val="2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安徽省安车交通运输集团有限公司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 xml:space="preserve">合同签订后支付合同总款10%为定金，货物到场付至70%（包括定金），安装完成并验收合格后付到合同的90%，余10%为质保金，质保期二年，质保满无质量问题，质保金一次性退还（本金无息）。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售后服务响应要求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详见</w:t>
            </w:r>
            <w:r>
              <w:rPr>
                <w:rFonts w:hint="eastAsia" w:ascii="Times New Roman" w:hAnsi="Times New Roman" w:cs="Times New Roman"/>
                <w:b w:val="0"/>
                <w:bCs w:val="0"/>
                <w:kern w:val="0"/>
                <w:sz w:val="24"/>
                <w:szCs w:val="24"/>
                <w:highlight w:val="none"/>
                <w:shd w:val="clear" w:color="auto" w:fill="auto"/>
                <w:vertAlign w:val="baseline"/>
                <w:lang w:val="en-US" w:eastAsia="zh-CN"/>
              </w:rPr>
              <w:t>第一章招标公告、</w:t>
            </w:r>
            <w:r>
              <w:rPr>
                <w:rFonts w:hint="default" w:ascii="Times New Roman" w:hAnsi="Times New Roman" w:cs="Times New Roman"/>
                <w:b w:val="0"/>
                <w:bCs w:val="0"/>
                <w:kern w:val="0"/>
                <w:sz w:val="24"/>
                <w:szCs w:val="24"/>
                <w:highlight w:val="none"/>
                <w:shd w:val="clear" w:color="auto" w:fill="auto"/>
                <w:vertAlign w:val="baseline"/>
                <w:lang w:val="en-US" w:eastAsia="zh-CN"/>
              </w:rPr>
              <w:t>第</w:t>
            </w:r>
            <w:r>
              <w:rPr>
                <w:rFonts w:hint="eastAsia" w:ascii="Times New Roman" w:hAnsi="Times New Roman" w:cs="Times New Roman"/>
                <w:b w:val="0"/>
                <w:bCs w:val="0"/>
                <w:kern w:val="0"/>
                <w:sz w:val="24"/>
                <w:szCs w:val="24"/>
                <w:highlight w:val="none"/>
                <w:shd w:val="clear" w:color="auto" w:fill="auto"/>
                <w:vertAlign w:val="baseline"/>
                <w:lang w:val="en-US" w:eastAsia="zh-CN"/>
              </w:rPr>
              <w:t>二</w:t>
            </w:r>
            <w:r>
              <w:rPr>
                <w:rFonts w:hint="default" w:ascii="Times New Roman" w:hAnsi="Times New Roman" w:cs="Times New Roman"/>
                <w:b w:val="0"/>
                <w:bCs w:val="0"/>
                <w:kern w:val="0"/>
                <w:sz w:val="24"/>
                <w:szCs w:val="24"/>
                <w:highlight w:val="none"/>
                <w:shd w:val="clear" w:color="auto" w:fill="auto"/>
                <w:vertAlign w:val="baseline"/>
                <w:lang w:val="en-US" w:eastAsia="zh-CN"/>
              </w:rPr>
              <w:t>章</w:t>
            </w:r>
            <w:r>
              <w:rPr>
                <w:rFonts w:hint="eastAsia"/>
              </w:rPr>
              <w:t>投标人须知</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具体合同条款及格式由招标人与中标人在不违背招标文件要求和投标文件承诺的条件下友好协商签订。</w:t>
      </w:r>
    </w:p>
    <w:p>
      <w:pPr>
        <w:spacing w:line="600" w:lineRule="exact"/>
      </w:pPr>
    </w:p>
    <w:p>
      <w:pPr>
        <w:pStyle w:val="2"/>
        <w:jc w:val="both"/>
        <w:rPr>
          <w:rFonts w:hint="eastAsia" w:ascii="黑体" w:hAnsi="黑体" w:eastAsia="黑体" w:cs="黑体"/>
          <w:sz w:val="32"/>
          <w:szCs w:val="32"/>
        </w:rPr>
      </w:pPr>
      <w:bookmarkStart w:id="58" w:name="_Toc247085855"/>
      <w:bookmarkStart w:id="59" w:name="_Toc179632789"/>
      <w:bookmarkStart w:id="60" w:name="_Toc152045772"/>
      <w:bookmarkStart w:id="61" w:name="_Toc144974834"/>
      <w:bookmarkStart w:id="62" w:name="_Toc246997083"/>
      <w:bookmarkStart w:id="63" w:name="_Toc152042554"/>
      <w:bookmarkStart w:id="64" w:name="_Toc246996340"/>
      <w:bookmarkStart w:id="65" w:name="_Toc296602587"/>
    </w:p>
    <w:p>
      <w:pPr>
        <w:pStyle w:val="2"/>
        <w:jc w:val="both"/>
        <w:rPr>
          <w:rFonts w:hint="eastAsia" w:ascii="黑体" w:hAnsi="黑体" w:eastAsia="黑体" w:cs="黑体"/>
          <w:sz w:val="32"/>
          <w:szCs w:val="32"/>
        </w:rPr>
      </w:pPr>
    </w:p>
    <w:bookmarkEnd w:id="57"/>
    <w:bookmarkEnd w:id="58"/>
    <w:bookmarkEnd w:id="59"/>
    <w:bookmarkEnd w:id="60"/>
    <w:bookmarkEnd w:id="61"/>
    <w:bookmarkEnd w:id="62"/>
    <w:bookmarkEnd w:id="63"/>
    <w:bookmarkEnd w:id="64"/>
    <w:bookmarkEnd w:id="65"/>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bookmarkStart w:id="66" w:name="_Toc246996353"/>
      <w:bookmarkStart w:id="67" w:name="_Toc246997096"/>
      <w:bookmarkStart w:id="68" w:name="_Toc179632804"/>
      <w:bookmarkStart w:id="69" w:name="_Toc296602599"/>
      <w:bookmarkStart w:id="70" w:name="_Toc247085870"/>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p>
    <w:bookmarkEnd w:id="66"/>
    <w:bookmarkEnd w:id="67"/>
    <w:bookmarkEnd w:id="68"/>
    <w:bookmarkEnd w:id="69"/>
    <w:bookmarkEnd w:id="70"/>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第五章  工程量清单</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 工程量清单说明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1.1 本工程量清单是根据招标文件中包括的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1.2 本工程量清单应与招标文件中的投标人须知、技术标准和要求等一起阅读和理解。</w:t>
      </w:r>
    </w:p>
    <w:p>
      <w:pPr>
        <w:pStyle w:val="3"/>
        <w:keepNext w:val="0"/>
        <w:keepLines w:val="0"/>
        <w:pageBreakBefore w:val="0"/>
        <w:widowControl w:val="0"/>
        <w:kinsoku/>
        <w:wordWrap/>
        <w:overflowPunct/>
        <w:topLinePunct w:val="0"/>
        <w:autoSpaceDE/>
        <w:autoSpaceDN/>
        <w:bidi/>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1.3 本工程量清单仅是投标报价的共同基础，实际工程计量和工程价款的支付应遵循</w:t>
      </w:r>
      <w:r>
        <w:rPr>
          <w:rFonts w:hint="eastAsia" w:ascii="仿宋_GB2312" w:hAnsi="仿宋_GB2312" w:eastAsia="仿宋_GB2312" w:cs="仿宋_GB2312"/>
          <w:b w:val="0"/>
          <w:bCs/>
          <w:lang w:eastAsia="zh-CN"/>
        </w:rPr>
        <w:t>具体</w:t>
      </w:r>
      <w:r>
        <w:rPr>
          <w:rFonts w:hint="eastAsia" w:ascii="仿宋_GB2312" w:hAnsi="仿宋_GB2312" w:eastAsia="仿宋_GB2312" w:cs="仿宋_GB2312"/>
          <w:b w:val="0"/>
          <w:bCs/>
        </w:rPr>
        <w:t>合同条款。                                。</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 投标报价说明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2.1 工程量清单中的每一子目须填入单价或价格，且只允许有一个报价。</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2.2 工程量清单中标价的单价或金额，应包括所需人工费、施工机械使用费、材料费、其他（运杂费、质检费、安装费、缺陷修复费、保险费，以及合同明示或暗示的风险、责任和义务等），以及管理费、利润等。</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2.3 工程量清单中投标人没有填入单价或价格的子目，其费用视为已分摊在工程量清单中其他相关子目的单价或价格之中。</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2.4 暂列金额的数量及拟用子目的说明：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2.5暂估价的数量及拟用子目的说明：</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eastAsia="黑体"/>
          <w:lang w:eastAsia="zh-CN"/>
        </w:rPr>
      </w:pPr>
      <w:r>
        <w:rPr>
          <w:rFonts w:hint="eastAsia"/>
          <w:lang w:eastAsia="zh-CN"/>
        </w:rPr>
        <w:t>工程量清单见附件。</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w:t>
      </w:r>
      <w:r>
        <w:rPr>
          <w:rFonts w:hint="eastAsia"/>
          <w:lang w:eastAsia="zh-CN"/>
        </w:rPr>
        <w:t>六</w:t>
      </w:r>
      <w:r>
        <w:rPr>
          <w:rFonts w:hint="eastAsia"/>
        </w:rPr>
        <w:t>章</w:t>
      </w:r>
      <w:r>
        <w:t xml:space="preserve">   </w:t>
      </w:r>
      <w:r>
        <w:rPr>
          <w:rFonts w:hint="eastAsia"/>
        </w:rPr>
        <w:t>投标文件格式</w:t>
      </w:r>
    </w:p>
    <w:p>
      <w:pPr>
        <w:rPr>
          <w:rFonts w:hint="eastAsia"/>
        </w:rPr>
      </w:pP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default"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安行天下职业培训学校空调采购项目</w:t>
      </w:r>
    </w:p>
    <w:p>
      <w:pPr>
        <w:jc w:val="center"/>
        <w:rPr>
          <w:rFonts w:hint="eastAsia" w:ascii="黑体" w:hAnsi="黑体" w:eastAsia="黑体" w:cs="黑体"/>
          <w:sz w:val="32"/>
          <w:szCs w:val="32"/>
        </w:rPr>
      </w:pPr>
      <w:r>
        <w:rPr>
          <w:rFonts w:hint="eastAsia" w:ascii="黑体" w:hAnsi="黑体" w:eastAsia="黑体" w:cs="黑体"/>
          <w:sz w:val="32"/>
          <w:szCs w:val="32"/>
        </w:rPr>
        <w:t>（项目编号：BZJK-201</w:t>
      </w:r>
      <w:r>
        <w:rPr>
          <w:rFonts w:hint="default" w:ascii="黑体" w:hAnsi="黑体" w:eastAsia="黑体" w:cs="黑体"/>
          <w:sz w:val="32"/>
          <w:szCs w:val="32"/>
          <w:lang w:val="en-US"/>
        </w:rPr>
        <w:t>9</w:t>
      </w:r>
      <w:r>
        <w:rPr>
          <w:rFonts w:hint="eastAsia" w:ascii="黑体" w:hAnsi="黑体" w:eastAsia="黑体" w:cs="黑体"/>
          <w:sz w:val="32"/>
          <w:szCs w:val="32"/>
        </w:rPr>
        <w:t>-</w:t>
      </w:r>
      <w:r>
        <w:rPr>
          <w:rFonts w:hint="eastAsia" w:ascii="黑体" w:hAnsi="黑体" w:eastAsia="黑体" w:cs="黑体"/>
          <w:sz w:val="32"/>
          <w:szCs w:val="32"/>
          <w:lang w:val="en-US" w:eastAsia="zh-CN"/>
        </w:rPr>
        <w:t>034</w:t>
      </w:r>
      <w:r>
        <w:rPr>
          <w:rFonts w:hint="eastAsia" w:ascii="黑体" w:hAnsi="黑体" w:eastAsia="黑体" w:cs="黑体"/>
          <w:sz w:val="32"/>
          <w:szCs w:val="32"/>
        </w:rPr>
        <w:t>号）</w:t>
      </w:r>
    </w:p>
    <w:p>
      <w:pPr>
        <w:jc w:val="center"/>
        <w:rPr>
          <w:rFonts w:hint="eastAsia" w:ascii="黑体" w:hAnsi="黑体" w:eastAsia="黑体" w:cs="黑体"/>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Pr>
        <w:pStyle w:val="4"/>
      </w:pPr>
      <w:r>
        <w:rPr>
          <w:rFonts w:hint="eastAsia"/>
        </w:rPr>
        <w:t>一、投标函（格式）</w:t>
      </w:r>
    </w:p>
    <w:p>
      <w:pPr>
        <w:spacing w:line="360" w:lineRule="auto"/>
        <w:rPr>
          <w:rFonts w:ascii="宋体" w:hAnsi="宋体"/>
          <w:b/>
          <w:szCs w:val="21"/>
        </w:rPr>
      </w:pPr>
      <w:r>
        <w:rPr>
          <w:rFonts w:hint="eastAsia" w:ascii="方正小标宋简体" w:hAnsi="方正小标宋简体" w:eastAsia="方正小标宋简体" w:cs="方正小标宋简体"/>
          <w:sz w:val="32"/>
          <w:szCs w:val="32"/>
          <w:lang w:eastAsia="zh-CN"/>
        </w:rPr>
        <w:t>安徽省安车交通运输集团有限公司</w:t>
      </w:r>
      <w:r>
        <w:rPr>
          <w:rFonts w:hint="eastAsia" w:ascii="方正小标宋简体" w:hAnsi="方正小标宋简体" w:eastAsia="方正小标宋简体" w:cs="方正小标宋简体"/>
          <w:sz w:val="32"/>
          <w:szCs w:val="32"/>
        </w:rPr>
        <w:t xml:space="preserve"> </w:t>
      </w:r>
      <w:r>
        <w:rPr>
          <w:rFonts w:hint="eastAsia" w:ascii="宋体" w:hAnsi="宋体"/>
          <w:b/>
          <w:sz w:val="32"/>
          <w:szCs w:val="32"/>
        </w:rPr>
        <w:t>：</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hAnsi="宋体" w:cs="宋体"/>
          <w:b/>
          <w:szCs w:val="21"/>
        </w:rPr>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tbl>
      <w:tblPr>
        <w:tblStyle w:val="24"/>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w:t>
      </w:r>
      <w:r>
        <w:rPr>
          <w:rFonts w:hint="default" w:ascii="Times New Roman" w:hAnsi="Times New Roman" w:cs="Times New Roman"/>
          <w:kern w:val="0"/>
          <w:szCs w:val="21"/>
          <w:highlight w:val="none"/>
          <w:lang w:val="en-US" w:eastAsia="zh-CN"/>
        </w:rPr>
        <w:t>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如果按单价计算的结果与总价不一致，以单价为准修正总价。</w:t>
      </w:r>
      <w:r>
        <w:rPr>
          <w:rFonts w:hint="default" w:ascii="Times New Roman" w:hAnsi="Times New Roman" w:cs="Times New Roman"/>
          <w:kern w:val="0"/>
          <w:highlight w:val="none"/>
        </w:rPr>
        <w:br w:type="textWrapping"/>
      </w:r>
      <w:r>
        <w:rPr>
          <w:rFonts w:hint="default" w:ascii="Times New Roman" w:hAnsi="Times New Roman" w:cs="Times New Roman"/>
          <w:kern w:val="0"/>
          <w:highlight w:val="none"/>
        </w:rPr>
        <w:t>2</w:t>
      </w:r>
      <w:r>
        <w:rPr>
          <w:rFonts w:hint="default" w:ascii="Times New Roman" w:hAnsi="Times New Roman" w:cs="Times New Roman"/>
          <w:kern w:val="0"/>
          <w:highlight w:val="none"/>
          <w:lang w:val="en-US" w:eastAsia="zh-CN"/>
        </w:rPr>
        <w:t>.</w:t>
      </w:r>
      <w:r>
        <w:rPr>
          <w:rFonts w:hint="default" w:ascii="Times New Roman" w:hAnsi="Times New Roman" w:cs="Times New Roman"/>
          <w:color w:val="FF0000"/>
          <w:kern w:val="0"/>
          <w:highlight w:val="none"/>
        </w:rPr>
        <w:t>如果不提供详细分项报价将视为没有实质性响应招标文件。</w:t>
      </w:r>
      <w:r>
        <w:rPr>
          <w:rFonts w:hint="default" w:ascii="Times New Roman" w:hAnsi="Times New Roman" w:cs="Times New Roman"/>
          <w:color w:val="FF0000"/>
          <w:kern w:val="0"/>
          <w:highlight w:val="none"/>
        </w:rPr>
        <w:br w:type="textWrapping"/>
      </w:r>
      <w:r>
        <w:rPr>
          <w:rFonts w:hint="default" w:ascii="Times New Roman" w:hAnsi="Times New Roman" w:cs="Times New Roman"/>
          <w:kern w:val="0"/>
          <w:highlight w:val="none"/>
        </w:rPr>
        <w:t>3</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4</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sectPr>
          <w:headerReference r:id="rId3"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5</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r>
        <w:rPr>
          <w:rFonts w:hint="default" w:ascii="Times New Roman" w:hAnsi="Times New Roman" w:cs="Times New Roman"/>
          <w:color w:val="FF0000"/>
          <w:kern w:val="0"/>
          <w:szCs w:val="18"/>
          <w:highlight w:val="none"/>
        </w:rPr>
        <w:t xml:space="preserve"> </w:t>
      </w:r>
      <w:r>
        <w:rPr>
          <w:rFonts w:hint="default" w:ascii="Times New Roman" w:hAnsi="Times New Roman" w:cs="Times New Roman"/>
          <w:kern w:val="0"/>
          <w:szCs w:val="18"/>
          <w:highlight w:val="none"/>
        </w:rPr>
        <w:t xml:space="preserve"> </w:t>
      </w:r>
    </w:p>
    <w:tbl>
      <w:tblPr>
        <w:tblStyle w:val="24"/>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1"/>
        <w:gridCol w:w="1322"/>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序号</w:t>
            </w:r>
          </w:p>
        </w:tc>
        <w:tc>
          <w:tcPr>
            <w:tcW w:w="1321"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货物名称</w:t>
            </w:r>
          </w:p>
        </w:tc>
        <w:tc>
          <w:tcPr>
            <w:tcW w:w="1322"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eastAsiaTheme="minorEastAsia"/>
                <w:b/>
                <w:bCs/>
                <w:kern w:val="0"/>
                <w:highlight w:val="none"/>
                <w:lang w:val="en-US" w:eastAsia="zh-CN"/>
              </w:rPr>
            </w:pPr>
            <w:r>
              <w:rPr>
                <w:rFonts w:hint="eastAsia" w:ascii="Times New Roman" w:hAnsi="Times New Roman" w:cs="Times New Roman"/>
                <w:b/>
                <w:bCs/>
                <w:kern w:val="0"/>
                <w:highlight w:val="none"/>
                <w:lang w:val="en-US" w:eastAsia="zh-CN"/>
              </w:rPr>
              <w:t>品牌及型号</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color w:val="FF0000"/>
                <w:kern w:val="0"/>
                <w:highlight w:val="none"/>
              </w:rPr>
              <w:t>招标文件</w:t>
            </w:r>
            <w:r>
              <w:rPr>
                <w:rFonts w:hint="default" w:ascii="Times New Roman" w:hAnsi="Times New Roman" w:cs="Times New Roman"/>
                <w:b/>
                <w:bCs/>
                <w:kern w:val="0"/>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kern w:val="0"/>
                <w:highlight w:val="none"/>
              </w:rPr>
            </w:pPr>
            <w:r>
              <w:rPr>
                <w:rFonts w:hint="default" w:ascii="Times New Roman" w:hAnsi="Times New Roman" w:cs="Times New Roman"/>
                <w:b/>
                <w:bCs/>
                <w:color w:val="FF0000"/>
                <w:kern w:val="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b/>
                <w:bCs/>
                <w:kern w:val="0"/>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1"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2"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1</w:t>
            </w:r>
          </w:p>
        </w:tc>
        <w:tc>
          <w:tcPr>
            <w:tcW w:w="132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32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494" w:type="dxa"/>
            <w:tcBorders>
              <w:bottom w:val="single" w:color="auto" w:sz="4" w:space="0"/>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u w:val="single"/>
          <w:lang w:val="en-US" w:eastAsia="zh-CN"/>
        </w:rPr>
        <w:t xml:space="preserve">        </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注：1、本表填写时，</w:t>
      </w:r>
      <w:r>
        <w:rPr>
          <w:rFonts w:hint="default" w:ascii="Times New Roman" w:hAnsi="Times New Roman" w:cs="Times New Roman"/>
          <w:b/>
          <w:bCs/>
          <w:kern w:val="0"/>
          <w:highlight w:val="none"/>
        </w:rPr>
        <w:t>投标货物技术参数与规格不得复制招标文件的技术参数要求</w:t>
      </w:r>
      <w:r>
        <w:rPr>
          <w:rFonts w:hint="default" w:ascii="Times New Roman" w:hAnsi="Times New Roman" w:cs="Times New Roman"/>
          <w:kern w:val="0"/>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kern w:val="0"/>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2、投标人根据项目实际填写，表中单项，项目招标要求不涉及的可留空或自行调</w:t>
      </w:r>
      <w:r>
        <w:rPr>
          <w:rFonts w:hint="default" w:ascii="Times New Roman" w:hAnsi="Times New Roman" w:cs="Times New Roman"/>
          <w:kern w:val="0"/>
          <w:highlight w:val="none"/>
          <w:lang w:val="en-US" w:eastAsia="zh-CN"/>
        </w:rPr>
        <w:t>整。</w:t>
      </w:r>
    </w:p>
    <w:p>
      <w:pPr>
        <w:spacing w:line="360" w:lineRule="exact"/>
        <w:ind w:left="420" w:hanging="420" w:hangingChars="200"/>
      </w:pPr>
    </w:p>
    <w:p>
      <w:pPr>
        <w:pStyle w:val="4"/>
        <w:jc w:val="center"/>
      </w:pPr>
      <w:r>
        <w:rPr>
          <w:rFonts w:hint="eastAsia"/>
          <w:lang w:eastAsia="zh-CN"/>
        </w:rPr>
        <w:t>五</w:t>
      </w:r>
      <w:r>
        <w:rPr>
          <w:rFonts w:hint="eastAsia"/>
        </w:rPr>
        <w:t>、拟投入本项目的工作人员汇总表（格式）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p>
    <w:p>
      <w:pPr>
        <w:pStyle w:val="4"/>
        <w:jc w:val="center"/>
      </w:pPr>
      <w:r>
        <w:rPr>
          <w:rFonts w:hint="eastAsia"/>
          <w:lang w:eastAsia="zh-CN"/>
        </w:rPr>
        <w:t>六</w:t>
      </w:r>
      <w:r>
        <w:rPr>
          <w:rFonts w:hint="eastAsia"/>
        </w:rPr>
        <w:t>、投标人主要业绩一览表（格式）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rPr>
          <w:rFonts w:hint="eastAsia"/>
          <w:lang w:eastAsia="zh-CN"/>
        </w:rPr>
      </w:pPr>
    </w:p>
    <w:p>
      <w:pPr>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w:t>
      </w:r>
      <w:r>
        <w:rPr>
          <w:rFonts w:hint="eastAsia" w:ascii="黑体" w:hAnsi="黑体" w:eastAsia="黑体" w:cs="黑体"/>
          <w:sz w:val="32"/>
          <w:szCs w:val="32"/>
        </w:rPr>
        <w:t xml:space="preserve"> </w:t>
      </w:r>
      <w:r>
        <w:rPr>
          <w:rFonts w:hint="eastAsia" w:ascii="黑体" w:hAnsi="黑体" w:eastAsia="黑体" w:cs="黑体"/>
          <w:sz w:val="32"/>
          <w:szCs w:val="32"/>
          <w:lang w:eastAsia="zh-CN"/>
        </w:rPr>
        <w:t>、</w:t>
      </w:r>
      <w:r>
        <w:rPr>
          <w:rFonts w:hint="eastAsia" w:ascii="黑体" w:hAnsi="黑体" w:eastAsia="黑体" w:cs="黑体"/>
          <w:sz w:val="32"/>
          <w:szCs w:val="32"/>
        </w:rPr>
        <w:t xml:space="preserve"> </w:t>
      </w:r>
      <w:r>
        <w:rPr>
          <w:rFonts w:hint="eastAsia" w:ascii="黑体" w:hAnsi="黑体" w:eastAsia="黑体" w:cs="黑体"/>
          <w:sz w:val="32"/>
          <w:szCs w:val="32"/>
          <w:lang w:eastAsia="zh-CN"/>
        </w:rPr>
        <w:t>已标价工程量清单</w:t>
      </w: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cs="Times New Roman"/>
          <w:kern w:val="0"/>
          <w:highlight w:val="none"/>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lang w:val="en-US" w:eastAsia="zh-CN"/>
        </w:rPr>
      </w:pPr>
      <w:r>
        <w:rPr>
          <w:rFonts w:hint="eastAsia" w:cs="Times New Roman"/>
          <w:kern w:val="0"/>
          <w:highlight w:val="none"/>
          <w:lang w:eastAsia="zh-CN"/>
        </w:rPr>
        <w:t>八</w:t>
      </w:r>
      <w:r>
        <w:rPr>
          <w:rFonts w:hint="default" w:ascii="Times New Roman" w:hAnsi="Times New Roman" w:cs="Times New Roman"/>
          <w:kern w:val="0"/>
          <w:highlight w:val="none"/>
        </w:rPr>
        <w:t>、</w:t>
      </w:r>
      <w:r>
        <w:rPr>
          <w:rFonts w:hint="eastAsia"/>
        </w:rPr>
        <w:t>施工</w:t>
      </w:r>
      <w:r>
        <w:rPr>
          <w:rFonts w:hint="eastAsia"/>
          <w:lang w:eastAsia="zh-CN"/>
        </w:rPr>
        <w:t>方案（格式自拟）</w:t>
      </w: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pStyle w:val="4"/>
        <w:pageBreakBefore w:val="0"/>
        <w:kinsoku/>
        <w:wordWrap w:val="0"/>
        <w:overflowPunct/>
        <w:autoSpaceDE/>
        <w:autoSpaceDN/>
        <w:bidi w:val="0"/>
        <w:textAlignment w:val="auto"/>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rPr>
          <w:rFonts w:hint="eastAsia" w:cs="Times New Roman"/>
          <w:kern w:val="0"/>
          <w:highlight w:val="none"/>
          <w:lang w:eastAsia="zh-CN"/>
        </w:rPr>
      </w:pPr>
    </w:p>
    <w:p>
      <w:pPr>
        <w:pStyle w:val="4"/>
        <w:pageBreakBefore w:val="0"/>
        <w:kinsoku/>
        <w:wordWrap w:val="0"/>
        <w:overflowPunct/>
        <w:autoSpaceDE/>
        <w:autoSpaceDN/>
        <w:bidi w:val="0"/>
        <w:jc w:val="center"/>
        <w:textAlignment w:val="auto"/>
        <w:rPr>
          <w:rFonts w:hint="default" w:ascii="Times New Roman" w:hAnsi="Times New Roman" w:cs="Times New Roman"/>
          <w:b w:val="0"/>
          <w:kern w:val="0"/>
          <w:highlight w:val="none"/>
        </w:rPr>
      </w:pPr>
      <w:r>
        <w:rPr>
          <w:rFonts w:hint="eastAsia" w:cs="Times New Roman"/>
          <w:kern w:val="0"/>
          <w:highlight w:val="none"/>
          <w:lang w:eastAsia="zh-CN"/>
        </w:rPr>
        <w:t>九、</w:t>
      </w:r>
      <w:r>
        <w:rPr>
          <w:rFonts w:hint="default" w:ascii="Times New Roman" w:hAnsi="Times New Roman" w:cs="Times New Roman"/>
          <w:kern w:val="0"/>
          <w:highlight w:val="none"/>
        </w:rPr>
        <w:t>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r>
        <w:rPr>
          <w:rFonts w:hint="default" w:ascii="Times New Roman" w:hAnsi="Times New Roman" w:cs="Times New Roman"/>
          <w:kern w:val="0"/>
          <w:szCs w:val="18"/>
          <w:highlight w:val="none"/>
        </w:rPr>
        <w:t>如：产品质量、保修范围、保修期长短及服务、保修期满后的服务、</w:t>
      </w:r>
      <w:r>
        <w:rPr>
          <w:rFonts w:hint="eastAsia" w:ascii="Times New Roman" w:hAnsi="Times New Roman" w:cs="Times New Roman"/>
          <w:kern w:val="0"/>
          <w:szCs w:val="18"/>
          <w:highlight w:val="none"/>
          <w:lang w:eastAsia="zh-CN"/>
        </w:rPr>
        <w:t>培训计划</w:t>
      </w:r>
      <w:r>
        <w:rPr>
          <w:rFonts w:hint="default" w:ascii="Times New Roman" w:hAnsi="Times New Roman" w:cs="Times New Roman"/>
          <w:kern w:val="0"/>
          <w:szCs w:val="18"/>
          <w:highlight w:val="none"/>
        </w:rPr>
        <w:t>等。投标人须提供盖单位公章</w:t>
      </w:r>
      <w:r>
        <w:rPr>
          <w:rFonts w:hint="default" w:ascii="Times New Roman" w:hAnsi="Times New Roman" w:cs="Times New Roman"/>
          <w:b w:val="0"/>
          <w:bCs w:val="0"/>
          <w:kern w:val="0"/>
          <w:szCs w:val="18"/>
          <w:highlight w:val="none"/>
        </w:rPr>
        <w:t>的</w:t>
      </w:r>
      <w:r>
        <w:rPr>
          <w:rFonts w:hint="default" w:ascii="Times New Roman" w:hAnsi="Times New Roman" w:cs="Times New Roman"/>
          <w:b/>
          <w:bCs/>
          <w:kern w:val="0"/>
          <w:szCs w:val="18"/>
          <w:highlight w:val="none"/>
        </w:rPr>
        <w:t>产品质量承诺和售后服务承诺</w:t>
      </w:r>
      <w:r>
        <w:rPr>
          <w:rFonts w:hint="default" w:ascii="Times New Roman" w:hAnsi="Times New Roman" w:cs="Times New Roman"/>
          <w:b/>
          <w:bCs/>
          <w:kern w:val="0"/>
          <w:highlight w:val="none"/>
        </w:rPr>
        <w:t>。</w:t>
      </w:r>
    </w:p>
    <w:p>
      <w:pP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413" w:lineRule="auto"/>
        <w:jc w:val="center"/>
        <w:textAlignment w:val="auto"/>
      </w:pPr>
      <w:r>
        <w:rPr>
          <w:rFonts w:hint="eastAsia"/>
          <w:lang w:eastAsia="zh-CN"/>
        </w:rPr>
        <w:t>十</w:t>
      </w:r>
      <w:r>
        <w:rPr>
          <w:rFonts w:hint="eastAsia"/>
        </w:rPr>
        <w:t>、</w:t>
      </w:r>
      <w:r>
        <w:rPr>
          <w:rFonts w:hint="default" w:ascii="Times New Roman" w:hAnsi="Times New Roman" w:cs="Times New Roman"/>
          <w:kern w:val="0"/>
          <w:highlight w:val="none"/>
        </w:rPr>
        <w:t>货物服务技术方案</w:t>
      </w:r>
      <w:r>
        <w:rPr>
          <w:rFonts w:hint="eastAsia"/>
        </w:rPr>
        <w:t>（格式）</w:t>
      </w:r>
    </w:p>
    <w:p>
      <w:pPr>
        <w:jc w:val="center"/>
        <w:rPr>
          <w:rFonts w:ascii="Times New Roman" w:hAnsi="Times New Roman"/>
          <w:b/>
          <w:sz w:val="32"/>
          <w:szCs w:val="20"/>
        </w:rPr>
      </w:pPr>
      <w:r>
        <w:rPr>
          <w:rFonts w:hint="eastAsia" w:ascii="Times New Roman" w:hAnsi="Times New Roman"/>
          <w:b/>
          <w:sz w:val="32"/>
          <w:szCs w:val="20"/>
        </w:rPr>
        <w:t>（投标人根据本项目</w:t>
      </w:r>
      <w:r>
        <w:rPr>
          <w:rFonts w:hint="eastAsia" w:ascii="Times New Roman" w:hAnsi="Times New Roman"/>
          <w:b/>
          <w:sz w:val="32"/>
          <w:szCs w:val="20"/>
          <w:lang w:eastAsia="zh-CN"/>
        </w:rPr>
        <w:t>招标</w:t>
      </w:r>
      <w:r>
        <w:rPr>
          <w:rFonts w:hint="eastAsia" w:ascii="Times New Roman" w:hAnsi="Times New Roman"/>
          <w:b/>
          <w:sz w:val="32"/>
          <w:szCs w:val="20"/>
        </w:rPr>
        <w:t>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十一</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hint="eastAsia"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hint="eastAsia" w:ascii="宋体" w:hAnsi="宋体"/>
          <w:szCs w:val="21"/>
          <w:highlight w:val="yellow"/>
          <w:lang w:val="en-US" w:eastAsia="zh-CN"/>
        </w:rPr>
        <w:t>4</w:t>
      </w:r>
      <w:r>
        <w:rPr>
          <w:rFonts w:hint="eastAsia" w:ascii="宋体" w:hAnsi="宋体"/>
          <w:szCs w:val="21"/>
          <w:highlight w:val="yellow"/>
        </w:rPr>
        <w:t>、专业技术能力材料（格式</w:t>
      </w:r>
      <w:r>
        <w:rPr>
          <w:rFonts w:hint="eastAsia" w:ascii="宋体" w:hAnsi="宋体"/>
          <w:szCs w:val="21"/>
          <w:highlight w:val="yellow"/>
          <w:lang w:eastAsia="zh-CN"/>
        </w:rPr>
        <w:t>自拟</w:t>
      </w:r>
      <w:r>
        <w:rPr>
          <w:rFonts w:hint="eastAsia" w:ascii="宋体" w:hAnsi="宋体"/>
          <w:szCs w:val="21"/>
          <w:highlight w:val="yellow"/>
        </w:rPr>
        <w:t>）</w:t>
      </w:r>
    </w:p>
    <w:p>
      <w:pPr>
        <w:snapToGrid w:val="0"/>
        <w:spacing w:line="480" w:lineRule="auto"/>
        <w:rPr>
          <w:rFonts w:ascii="宋体" w:hAnsi="宋体"/>
          <w:szCs w:val="21"/>
          <w:highlight w:val="yellow"/>
        </w:rPr>
      </w:pPr>
      <w:r>
        <w:rPr>
          <w:rFonts w:hint="eastAsia" w:ascii="宋体" w:hAnsi="宋体"/>
          <w:szCs w:val="21"/>
          <w:highlight w:val="yellow"/>
          <w:lang w:val="en-US" w:eastAsia="zh-CN"/>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hint="eastAsia" w:ascii="宋体" w:hAnsi="宋体"/>
          <w:szCs w:val="21"/>
          <w:highlight w:val="yellow"/>
          <w:lang w:val="en-US" w:eastAsia="zh-CN"/>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hint="eastAsia" w:ascii="宋体" w:hAnsi="宋体"/>
          <w:szCs w:val="21"/>
          <w:highlight w:val="yellow"/>
          <w:lang w:val="en-US" w:eastAsia="zh-CN"/>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hint="eastAsia" w:ascii="宋体" w:hAnsi="宋体"/>
          <w:szCs w:val="21"/>
        </w:rPr>
      </w:pPr>
    </w:p>
    <w:p>
      <w:pPr>
        <w:spacing w:line="360" w:lineRule="auto"/>
        <w:rPr>
          <w:rFonts w:hint="eastAsia"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3990" w:firstLineChars="190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3990" w:firstLineChars="190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rPr>
          <w:rFonts w:hint="eastAsia" w:ascii="宋体" w:hAnsi="宋体"/>
        </w:rPr>
      </w:pPr>
    </w:p>
    <w:p>
      <w:pPr>
        <w:spacing w:line="400" w:lineRule="exact"/>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rPr>
          <w:rFonts w:hint="eastAsia" w:ascii="宋体" w:hAnsi="宋体"/>
          <w:b/>
          <w:bCs/>
        </w:rPr>
      </w:pPr>
    </w:p>
    <w:p>
      <w:pPr>
        <w:spacing w:line="400" w:lineRule="exact"/>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w:t>
      </w:r>
      <w:r>
        <w:rPr>
          <w:rFonts w:hint="eastAsia" w:ascii="宋体" w:hAnsi="宋体"/>
          <w:szCs w:val="21"/>
          <w:lang w:eastAsia="zh-CN"/>
        </w:rPr>
        <w:t>人</w:t>
      </w:r>
      <w:r>
        <w:rPr>
          <w:rFonts w:hint="eastAsia" w:ascii="宋体" w:hAnsi="宋体"/>
          <w:szCs w:val="21"/>
        </w:rPr>
        <w:t>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widowControl/>
        <w:spacing w:line="360" w:lineRule="auto"/>
        <w:jc w:val="left"/>
        <w:rPr>
          <w:rFonts w:hint="eastAsia" w:ascii="宋体" w:hAnsi="宋体"/>
          <w:b/>
          <w:szCs w:val="21"/>
        </w:rPr>
      </w:pPr>
    </w:p>
    <w:p>
      <w:pPr>
        <w:widowControl/>
        <w:spacing w:line="360" w:lineRule="auto"/>
        <w:jc w:val="left"/>
        <w:rPr>
          <w:rFonts w:hint="eastAsia" w:ascii="宋体" w:hAnsi="宋体"/>
          <w:b/>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center"/>
        <w:rPr>
          <w:rFonts w:ascii="宋体" w:hAnsi="宋体"/>
          <w:szCs w:val="21"/>
        </w:rPr>
      </w:pPr>
      <w:r>
        <w:rPr>
          <w:rFonts w:hint="eastAsia" w:ascii="宋体" w:hAnsi="宋体"/>
          <w:szCs w:val="21"/>
          <w:lang w:val="en-US" w:eastAsia="zh-CN"/>
        </w:rPr>
        <w:t xml:space="preserve">                                             </w:t>
      </w:r>
      <w:r>
        <w:rPr>
          <w:rFonts w:hint="eastAsia" w:ascii="宋体" w:hAnsi="宋体"/>
          <w:szCs w:val="21"/>
        </w:rPr>
        <w:t>投标</w:t>
      </w:r>
      <w:r>
        <w:rPr>
          <w:rFonts w:hint="eastAsia" w:ascii="宋体" w:hAnsi="宋体"/>
          <w:szCs w:val="21"/>
          <w:lang w:eastAsia="zh-CN"/>
        </w:rPr>
        <w:t>人</w:t>
      </w:r>
      <w:r>
        <w:rPr>
          <w:rFonts w:hint="eastAsia" w:ascii="宋体" w:hAnsi="宋体"/>
          <w:szCs w:val="21"/>
        </w:rPr>
        <w:t>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十二</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2F41"/>
    <w:multiLevelType w:val="multilevel"/>
    <w:tmpl w:val="1E832F41"/>
    <w:lvl w:ilvl="0" w:tentative="0">
      <w:start w:val="1"/>
      <w:numFmt w:val="decimal"/>
      <w:pStyle w:val="88"/>
      <w:lvlText w:val="%1)"/>
      <w:lvlJc w:val="left"/>
      <w:pPr>
        <w:ind w:left="900" w:hanging="420"/>
      </w:pPr>
      <w:rPr>
        <w:rFonts w:cs="Times New Roman"/>
      </w:rPr>
    </w:lvl>
    <w:lvl w:ilvl="1" w:tentative="0">
      <w:start w:val="1"/>
      <w:numFmt w:val="lowerLetter"/>
      <w:lvlText w:val="%2)"/>
      <w:lvlJc w:val="left"/>
      <w:pPr>
        <w:ind w:left="1320" w:hanging="420"/>
      </w:pPr>
      <w:rPr>
        <w:rFonts w:cs="Times New Roman"/>
      </w:rPr>
    </w:lvl>
    <w:lvl w:ilvl="2" w:tentative="0">
      <w:start w:val="1"/>
      <w:numFmt w:val="lowerRoman"/>
      <w:lvlText w:val="%3."/>
      <w:lvlJc w:val="right"/>
      <w:pPr>
        <w:ind w:left="1740" w:hanging="420"/>
      </w:pPr>
      <w:rPr>
        <w:rFonts w:cs="Times New Roman"/>
      </w:rPr>
    </w:lvl>
    <w:lvl w:ilvl="3" w:tentative="0">
      <w:start w:val="1"/>
      <w:numFmt w:val="decimal"/>
      <w:lvlText w:val="%4."/>
      <w:lvlJc w:val="left"/>
      <w:pPr>
        <w:ind w:left="2160" w:hanging="420"/>
      </w:pPr>
      <w:rPr>
        <w:rFonts w:cs="Times New Roman"/>
      </w:rPr>
    </w:lvl>
    <w:lvl w:ilvl="4" w:tentative="0">
      <w:start w:val="1"/>
      <w:numFmt w:val="lowerLetter"/>
      <w:lvlText w:val="%5)"/>
      <w:lvlJc w:val="left"/>
      <w:pPr>
        <w:ind w:left="2580" w:hanging="420"/>
      </w:pPr>
      <w:rPr>
        <w:rFonts w:cs="Times New Roman"/>
      </w:rPr>
    </w:lvl>
    <w:lvl w:ilvl="5" w:tentative="0">
      <w:start w:val="1"/>
      <w:numFmt w:val="lowerRoman"/>
      <w:lvlText w:val="%6."/>
      <w:lvlJc w:val="right"/>
      <w:pPr>
        <w:ind w:left="3000" w:hanging="420"/>
      </w:pPr>
      <w:rPr>
        <w:rFonts w:cs="Times New Roman"/>
      </w:rPr>
    </w:lvl>
    <w:lvl w:ilvl="6" w:tentative="0">
      <w:start w:val="1"/>
      <w:numFmt w:val="decimal"/>
      <w:lvlText w:val="%7."/>
      <w:lvlJc w:val="left"/>
      <w:pPr>
        <w:ind w:left="3420" w:hanging="420"/>
      </w:pPr>
      <w:rPr>
        <w:rFonts w:cs="Times New Roman"/>
      </w:rPr>
    </w:lvl>
    <w:lvl w:ilvl="7" w:tentative="0">
      <w:start w:val="1"/>
      <w:numFmt w:val="lowerLetter"/>
      <w:lvlText w:val="%8)"/>
      <w:lvlJc w:val="left"/>
      <w:pPr>
        <w:ind w:left="3840" w:hanging="420"/>
      </w:pPr>
      <w:rPr>
        <w:rFonts w:cs="Times New Roman"/>
      </w:rPr>
    </w:lvl>
    <w:lvl w:ilvl="8" w:tentative="0">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5616"/>
    <w:rsid w:val="00040B57"/>
    <w:rsid w:val="00043BA7"/>
    <w:rsid w:val="00045E34"/>
    <w:rsid w:val="0009291E"/>
    <w:rsid w:val="000A416F"/>
    <w:rsid w:val="000F1DC7"/>
    <w:rsid w:val="00117DFC"/>
    <w:rsid w:val="001531DE"/>
    <w:rsid w:val="00162093"/>
    <w:rsid w:val="00162BE8"/>
    <w:rsid w:val="001A0FCF"/>
    <w:rsid w:val="001D3169"/>
    <w:rsid w:val="001D653D"/>
    <w:rsid w:val="00202C7A"/>
    <w:rsid w:val="003457F7"/>
    <w:rsid w:val="0034678A"/>
    <w:rsid w:val="003B39BF"/>
    <w:rsid w:val="003C3054"/>
    <w:rsid w:val="00483B92"/>
    <w:rsid w:val="004F0904"/>
    <w:rsid w:val="0053162C"/>
    <w:rsid w:val="00544445"/>
    <w:rsid w:val="005455BE"/>
    <w:rsid w:val="00583433"/>
    <w:rsid w:val="005E3D0B"/>
    <w:rsid w:val="005F5873"/>
    <w:rsid w:val="00607F62"/>
    <w:rsid w:val="0062559E"/>
    <w:rsid w:val="006374C1"/>
    <w:rsid w:val="006419E6"/>
    <w:rsid w:val="0067764E"/>
    <w:rsid w:val="006A3688"/>
    <w:rsid w:val="00700A26"/>
    <w:rsid w:val="00774ECC"/>
    <w:rsid w:val="00790030"/>
    <w:rsid w:val="007A18E1"/>
    <w:rsid w:val="007A7EDD"/>
    <w:rsid w:val="007C4E06"/>
    <w:rsid w:val="00800F45"/>
    <w:rsid w:val="00804D82"/>
    <w:rsid w:val="00813905"/>
    <w:rsid w:val="00821F2D"/>
    <w:rsid w:val="00826AC2"/>
    <w:rsid w:val="00841AB1"/>
    <w:rsid w:val="008B20FF"/>
    <w:rsid w:val="008F1296"/>
    <w:rsid w:val="00906A63"/>
    <w:rsid w:val="0091284E"/>
    <w:rsid w:val="009665A2"/>
    <w:rsid w:val="0097730C"/>
    <w:rsid w:val="009815C5"/>
    <w:rsid w:val="0098198B"/>
    <w:rsid w:val="00984167"/>
    <w:rsid w:val="009A2F00"/>
    <w:rsid w:val="00A35796"/>
    <w:rsid w:val="00AC6422"/>
    <w:rsid w:val="00AE28D4"/>
    <w:rsid w:val="00BD2876"/>
    <w:rsid w:val="00CA14B2"/>
    <w:rsid w:val="00CE7396"/>
    <w:rsid w:val="00DC0AA1"/>
    <w:rsid w:val="00DE0BF4"/>
    <w:rsid w:val="00E95685"/>
    <w:rsid w:val="00ED3B67"/>
    <w:rsid w:val="00ED68BE"/>
    <w:rsid w:val="00F10591"/>
    <w:rsid w:val="00F30EFA"/>
    <w:rsid w:val="00F40777"/>
    <w:rsid w:val="00F83EF9"/>
    <w:rsid w:val="00FF02E7"/>
    <w:rsid w:val="01306B6E"/>
    <w:rsid w:val="01666EAC"/>
    <w:rsid w:val="018B2C05"/>
    <w:rsid w:val="019452CD"/>
    <w:rsid w:val="01A96E5A"/>
    <w:rsid w:val="01D77A89"/>
    <w:rsid w:val="01E57560"/>
    <w:rsid w:val="01EB7929"/>
    <w:rsid w:val="01F27730"/>
    <w:rsid w:val="01FB63A6"/>
    <w:rsid w:val="02162590"/>
    <w:rsid w:val="0272399E"/>
    <w:rsid w:val="027C1790"/>
    <w:rsid w:val="029B3060"/>
    <w:rsid w:val="02B43F75"/>
    <w:rsid w:val="02B65B06"/>
    <w:rsid w:val="02BE5F54"/>
    <w:rsid w:val="02E50087"/>
    <w:rsid w:val="02F07B6B"/>
    <w:rsid w:val="03002AF9"/>
    <w:rsid w:val="03054B01"/>
    <w:rsid w:val="03084300"/>
    <w:rsid w:val="03597B41"/>
    <w:rsid w:val="035E5F6D"/>
    <w:rsid w:val="03721F6F"/>
    <w:rsid w:val="038B32D9"/>
    <w:rsid w:val="03A7028E"/>
    <w:rsid w:val="03B34436"/>
    <w:rsid w:val="03D57169"/>
    <w:rsid w:val="03E67070"/>
    <w:rsid w:val="03E727B0"/>
    <w:rsid w:val="03F1125C"/>
    <w:rsid w:val="03FE640A"/>
    <w:rsid w:val="041E53C9"/>
    <w:rsid w:val="04202A33"/>
    <w:rsid w:val="043A660F"/>
    <w:rsid w:val="045A45DF"/>
    <w:rsid w:val="0481730F"/>
    <w:rsid w:val="04834549"/>
    <w:rsid w:val="048558FE"/>
    <w:rsid w:val="049070E9"/>
    <w:rsid w:val="04B102E3"/>
    <w:rsid w:val="04CF07A3"/>
    <w:rsid w:val="04D02DD4"/>
    <w:rsid w:val="04E06B28"/>
    <w:rsid w:val="04E92A5E"/>
    <w:rsid w:val="04F11D7E"/>
    <w:rsid w:val="05071AD8"/>
    <w:rsid w:val="052460C8"/>
    <w:rsid w:val="053830C5"/>
    <w:rsid w:val="0573433A"/>
    <w:rsid w:val="057E22DD"/>
    <w:rsid w:val="05870C9D"/>
    <w:rsid w:val="05BD4CD3"/>
    <w:rsid w:val="05D24CE7"/>
    <w:rsid w:val="05D63C43"/>
    <w:rsid w:val="05DE09A0"/>
    <w:rsid w:val="06055928"/>
    <w:rsid w:val="060C3B1E"/>
    <w:rsid w:val="062B0398"/>
    <w:rsid w:val="064515AF"/>
    <w:rsid w:val="065C2DC5"/>
    <w:rsid w:val="066461FC"/>
    <w:rsid w:val="06BA45F9"/>
    <w:rsid w:val="06C259F2"/>
    <w:rsid w:val="06C863D3"/>
    <w:rsid w:val="06CC6E45"/>
    <w:rsid w:val="06DC5A8B"/>
    <w:rsid w:val="06E51288"/>
    <w:rsid w:val="06F30E95"/>
    <w:rsid w:val="0706002C"/>
    <w:rsid w:val="070D48A8"/>
    <w:rsid w:val="07151E68"/>
    <w:rsid w:val="07227655"/>
    <w:rsid w:val="072932BC"/>
    <w:rsid w:val="073721A2"/>
    <w:rsid w:val="07485A5F"/>
    <w:rsid w:val="075C6BE1"/>
    <w:rsid w:val="076B2E2F"/>
    <w:rsid w:val="077C4F10"/>
    <w:rsid w:val="078C1329"/>
    <w:rsid w:val="07A40ED1"/>
    <w:rsid w:val="07AC1501"/>
    <w:rsid w:val="07C315DA"/>
    <w:rsid w:val="07CD1D19"/>
    <w:rsid w:val="082E7586"/>
    <w:rsid w:val="0831495E"/>
    <w:rsid w:val="08336D98"/>
    <w:rsid w:val="08356DA0"/>
    <w:rsid w:val="08443576"/>
    <w:rsid w:val="08564C38"/>
    <w:rsid w:val="086E39DD"/>
    <w:rsid w:val="088307C1"/>
    <w:rsid w:val="08847914"/>
    <w:rsid w:val="08A95441"/>
    <w:rsid w:val="08C16C3F"/>
    <w:rsid w:val="08CA692B"/>
    <w:rsid w:val="08CB11AB"/>
    <w:rsid w:val="090B2E0A"/>
    <w:rsid w:val="090F0D44"/>
    <w:rsid w:val="095C7247"/>
    <w:rsid w:val="096B693C"/>
    <w:rsid w:val="096F6C88"/>
    <w:rsid w:val="097018B5"/>
    <w:rsid w:val="097331B4"/>
    <w:rsid w:val="097A3EA7"/>
    <w:rsid w:val="0997225F"/>
    <w:rsid w:val="09A805B1"/>
    <w:rsid w:val="09A83F32"/>
    <w:rsid w:val="09B06948"/>
    <w:rsid w:val="09B724AD"/>
    <w:rsid w:val="09DC0061"/>
    <w:rsid w:val="09F07693"/>
    <w:rsid w:val="09F3173B"/>
    <w:rsid w:val="0A2F61F0"/>
    <w:rsid w:val="0A491065"/>
    <w:rsid w:val="0A552E2D"/>
    <w:rsid w:val="0A841969"/>
    <w:rsid w:val="0ABC264A"/>
    <w:rsid w:val="0ACF2105"/>
    <w:rsid w:val="0B052162"/>
    <w:rsid w:val="0B072E82"/>
    <w:rsid w:val="0B283F58"/>
    <w:rsid w:val="0B2C603D"/>
    <w:rsid w:val="0B341448"/>
    <w:rsid w:val="0B397686"/>
    <w:rsid w:val="0B5A6375"/>
    <w:rsid w:val="0B5F129A"/>
    <w:rsid w:val="0B6D1BB2"/>
    <w:rsid w:val="0B6E2ADF"/>
    <w:rsid w:val="0B6E7AC2"/>
    <w:rsid w:val="0B924D97"/>
    <w:rsid w:val="0B955EC8"/>
    <w:rsid w:val="0BAA22E6"/>
    <w:rsid w:val="0BAF4F4B"/>
    <w:rsid w:val="0BB86AFB"/>
    <w:rsid w:val="0BBE5E96"/>
    <w:rsid w:val="0BC3738A"/>
    <w:rsid w:val="0BC950E2"/>
    <w:rsid w:val="0BDC4D64"/>
    <w:rsid w:val="0BFB21B0"/>
    <w:rsid w:val="0C033AD7"/>
    <w:rsid w:val="0C040E64"/>
    <w:rsid w:val="0C2F4424"/>
    <w:rsid w:val="0C3172FF"/>
    <w:rsid w:val="0C41152C"/>
    <w:rsid w:val="0C462B92"/>
    <w:rsid w:val="0C465C75"/>
    <w:rsid w:val="0C4C6F48"/>
    <w:rsid w:val="0C5B657F"/>
    <w:rsid w:val="0C8850B9"/>
    <w:rsid w:val="0C8F1E8C"/>
    <w:rsid w:val="0C9D2E17"/>
    <w:rsid w:val="0CB343A5"/>
    <w:rsid w:val="0CE71575"/>
    <w:rsid w:val="0CEE5A80"/>
    <w:rsid w:val="0D4317F9"/>
    <w:rsid w:val="0D4D1DF6"/>
    <w:rsid w:val="0D5F4E7E"/>
    <w:rsid w:val="0D9B340C"/>
    <w:rsid w:val="0DDB1BF8"/>
    <w:rsid w:val="0DDE623A"/>
    <w:rsid w:val="0DEB44B4"/>
    <w:rsid w:val="0DEE73B4"/>
    <w:rsid w:val="0DF03815"/>
    <w:rsid w:val="0E047A18"/>
    <w:rsid w:val="0E39465A"/>
    <w:rsid w:val="0E3C6BE2"/>
    <w:rsid w:val="0E4C0355"/>
    <w:rsid w:val="0E4E6A1C"/>
    <w:rsid w:val="0E7F15AA"/>
    <w:rsid w:val="0EAA489B"/>
    <w:rsid w:val="0EAC2077"/>
    <w:rsid w:val="0EB33225"/>
    <w:rsid w:val="0F042767"/>
    <w:rsid w:val="0F097C10"/>
    <w:rsid w:val="0F1A542E"/>
    <w:rsid w:val="0F1B410F"/>
    <w:rsid w:val="0F1E4870"/>
    <w:rsid w:val="0F2C2B55"/>
    <w:rsid w:val="0F4849C5"/>
    <w:rsid w:val="0F4E35D2"/>
    <w:rsid w:val="0F6F0E2E"/>
    <w:rsid w:val="0F753240"/>
    <w:rsid w:val="0F871164"/>
    <w:rsid w:val="0FAE40CC"/>
    <w:rsid w:val="0FBC42CF"/>
    <w:rsid w:val="0FC05A6A"/>
    <w:rsid w:val="0FC34AB4"/>
    <w:rsid w:val="0FDE2324"/>
    <w:rsid w:val="10153E2B"/>
    <w:rsid w:val="1023300C"/>
    <w:rsid w:val="10243984"/>
    <w:rsid w:val="102638BD"/>
    <w:rsid w:val="103466DC"/>
    <w:rsid w:val="10482157"/>
    <w:rsid w:val="10604043"/>
    <w:rsid w:val="109D76E7"/>
    <w:rsid w:val="10A534B1"/>
    <w:rsid w:val="10F6089E"/>
    <w:rsid w:val="10FE726C"/>
    <w:rsid w:val="110730A1"/>
    <w:rsid w:val="1123066C"/>
    <w:rsid w:val="114D31EE"/>
    <w:rsid w:val="11542921"/>
    <w:rsid w:val="116859F5"/>
    <w:rsid w:val="117D0B50"/>
    <w:rsid w:val="117E5164"/>
    <w:rsid w:val="11914392"/>
    <w:rsid w:val="11A2655F"/>
    <w:rsid w:val="11BD399C"/>
    <w:rsid w:val="11BD3FCD"/>
    <w:rsid w:val="11C06091"/>
    <w:rsid w:val="11D41883"/>
    <w:rsid w:val="11EE55F4"/>
    <w:rsid w:val="11FC5E2E"/>
    <w:rsid w:val="12272CFA"/>
    <w:rsid w:val="123816AB"/>
    <w:rsid w:val="12385140"/>
    <w:rsid w:val="1265323D"/>
    <w:rsid w:val="1266717E"/>
    <w:rsid w:val="12771A10"/>
    <w:rsid w:val="12853CE2"/>
    <w:rsid w:val="12A62520"/>
    <w:rsid w:val="12E7559F"/>
    <w:rsid w:val="1306607A"/>
    <w:rsid w:val="13322B25"/>
    <w:rsid w:val="13433941"/>
    <w:rsid w:val="13480F43"/>
    <w:rsid w:val="13B47AED"/>
    <w:rsid w:val="13B76B87"/>
    <w:rsid w:val="13C91390"/>
    <w:rsid w:val="13F32937"/>
    <w:rsid w:val="14055F98"/>
    <w:rsid w:val="142A7BFE"/>
    <w:rsid w:val="14410B0B"/>
    <w:rsid w:val="144D5898"/>
    <w:rsid w:val="14574A87"/>
    <w:rsid w:val="14802533"/>
    <w:rsid w:val="148D68BA"/>
    <w:rsid w:val="148F3910"/>
    <w:rsid w:val="14A3289A"/>
    <w:rsid w:val="14BE37B2"/>
    <w:rsid w:val="14D63290"/>
    <w:rsid w:val="14D80944"/>
    <w:rsid w:val="14D8518B"/>
    <w:rsid w:val="15045279"/>
    <w:rsid w:val="150629ED"/>
    <w:rsid w:val="15475563"/>
    <w:rsid w:val="156920FF"/>
    <w:rsid w:val="1590779A"/>
    <w:rsid w:val="15A13B02"/>
    <w:rsid w:val="15C213E7"/>
    <w:rsid w:val="15E91427"/>
    <w:rsid w:val="161A54A9"/>
    <w:rsid w:val="1623491C"/>
    <w:rsid w:val="16396409"/>
    <w:rsid w:val="163E262E"/>
    <w:rsid w:val="163F19D6"/>
    <w:rsid w:val="164E5E27"/>
    <w:rsid w:val="164F1996"/>
    <w:rsid w:val="165F2E0B"/>
    <w:rsid w:val="16675AEC"/>
    <w:rsid w:val="16883C6A"/>
    <w:rsid w:val="169F396A"/>
    <w:rsid w:val="16AA172B"/>
    <w:rsid w:val="16B70EFF"/>
    <w:rsid w:val="16C95D77"/>
    <w:rsid w:val="16CE2C21"/>
    <w:rsid w:val="16D6307D"/>
    <w:rsid w:val="16DC193C"/>
    <w:rsid w:val="16E44E8C"/>
    <w:rsid w:val="16F22D8B"/>
    <w:rsid w:val="16FA2CAA"/>
    <w:rsid w:val="16FE7B6A"/>
    <w:rsid w:val="1708355A"/>
    <w:rsid w:val="173B367B"/>
    <w:rsid w:val="17421058"/>
    <w:rsid w:val="176924FF"/>
    <w:rsid w:val="176A2C6F"/>
    <w:rsid w:val="17866AA1"/>
    <w:rsid w:val="17896760"/>
    <w:rsid w:val="179C27E1"/>
    <w:rsid w:val="17A4015F"/>
    <w:rsid w:val="17A8633A"/>
    <w:rsid w:val="17AA5CDE"/>
    <w:rsid w:val="17AC2437"/>
    <w:rsid w:val="17B07912"/>
    <w:rsid w:val="17CD15FD"/>
    <w:rsid w:val="17DB5FBD"/>
    <w:rsid w:val="17E6778E"/>
    <w:rsid w:val="180A0B37"/>
    <w:rsid w:val="180D27D0"/>
    <w:rsid w:val="180E6704"/>
    <w:rsid w:val="1846009F"/>
    <w:rsid w:val="1868406C"/>
    <w:rsid w:val="18956E44"/>
    <w:rsid w:val="189D4049"/>
    <w:rsid w:val="18B64912"/>
    <w:rsid w:val="18B76110"/>
    <w:rsid w:val="18BA1275"/>
    <w:rsid w:val="18BA721F"/>
    <w:rsid w:val="18BD339C"/>
    <w:rsid w:val="18C378EC"/>
    <w:rsid w:val="18D04797"/>
    <w:rsid w:val="18E913E0"/>
    <w:rsid w:val="18EB3DB2"/>
    <w:rsid w:val="18EC46AE"/>
    <w:rsid w:val="191026E1"/>
    <w:rsid w:val="19116E27"/>
    <w:rsid w:val="19727856"/>
    <w:rsid w:val="19A144B3"/>
    <w:rsid w:val="19CF11F2"/>
    <w:rsid w:val="19E050FE"/>
    <w:rsid w:val="19F52B11"/>
    <w:rsid w:val="1A071857"/>
    <w:rsid w:val="1A11686E"/>
    <w:rsid w:val="1A2000A1"/>
    <w:rsid w:val="1A22430C"/>
    <w:rsid w:val="1A5C51BE"/>
    <w:rsid w:val="1AB04A19"/>
    <w:rsid w:val="1AB459C8"/>
    <w:rsid w:val="1AC36387"/>
    <w:rsid w:val="1AD83EF4"/>
    <w:rsid w:val="1AE37027"/>
    <w:rsid w:val="1AE60FD4"/>
    <w:rsid w:val="1B024738"/>
    <w:rsid w:val="1B0F6A2E"/>
    <w:rsid w:val="1B176278"/>
    <w:rsid w:val="1B185407"/>
    <w:rsid w:val="1B1E02D4"/>
    <w:rsid w:val="1B577E93"/>
    <w:rsid w:val="1B68571D"/>
    <w:rsid w:val="1B7F0D90"/>
    <w:rsid w:val="1B817D0C"/>
    <w:rsid w:val="1BC908C4"/>
    <w:rsid w:val="1BF3556E"/>
    <w:rsid w:val="1C0A3ED4"/>
    <w:rsid w:val="1C140A0D"/>
    <w:rsid w:val="1C1D1DF2"/>
    <w:rsid w:val="1C373CD2"/>
    <w:rsid w:val="1C4F19FF"/>
    <w:rsid w:val="1CA90FB7"/>
    <w:rsid w:val="1CB05923"/>
    <w:rsid w:val="1CC469F0"/>
    <w:rsid w:val="1CC911C3"/>
    <w:rsid w:val="1CDD60C2"/>
    <w:rsid w:val="1D064227"/>
    <w:rsid w:val="1D097EB9"/>
    <w:rsid w:val="1D0C035F"/>
    <w:rsid w:val="1D121A8A"/>
    <w:rsid w:val="1D2B5D75"/>
    <w:rsid w:val="1D436355"/>
    <w:rsid w:val="1D4B3106"/>
    <w:rsid w:val="1D677558"/>
    <w:rsid w:val="1D760E3D"/>
    <w:rsid w:val="1D90750E"/>
    <w:rsid w:val="1E1D2ABC"/>
    <w:rsid w:val="1E311206"/>
    <w:rsid w:val="1E3A1230"/>
    <w:rsid w:val="1E4662D1"/>
    <w:rsid w:val="1E4F7FBD"/>
    <w:rsid w:val="1E712987"/>
    <w:rsid w:val="1EB62E41"/>
    <w:rsid w:val="1F0D7F71"/>
    <w:rsid w:val="1F552D1E"/>
    <w:rsid w:val="1F7502D6"/>
    <w:rsid w:val="1F773A0E"/>
    <w:rsid w:val="1F7D200D"/>
    <w:rsid w:val="1F7F20B0"/>
    <w:rsid w:val="1F836034"/>
    <w:rsid w:val="1F9404A1"/>
    <w:rsid w:val="1FA022E3"/>
    <w:rsid w:val="1FB72004"/>
    <w:rsid w:val="1FC05AF5"/>
    <w:rsid w:val="1FC55F14"/>
    <w:rsid w:val="1FC934A6"/>
    <w:rsid w:val="1FCC402F"/>
    <w:rsid w:val="1FF92559"/>
    <w:rsid w:val="2000058D"/>
    <w:rsid w:val="20014CC7"/>
    <w:rsid w:val="201E080E"/>
    <w:rsid w:val="202D3844"/>
    <w:rsid w:val="20376A92"/>
    <w:rsid w:val="203F10AC"/>
    <w:rsid w:val="2057621B"/>
    <w:rsid w:val="206332E5"/>
    <w:rsid w:val="20691AD2"/>
    <w:rsid w:val="208C66E9"/>
    <w:rsid w:val="20B66411"/>
    <w:rsid w:val="20BA3EB2"/>
    <w:rsid w:val="20C36B31"/>
    <w:rsid w:val="20CA43EC"/>
    <w:rsid w:val="20CE4861"/>
    <w:rsid w:val="210623F2"/>
    <w:rsid w:val="2139038F"/>
    <w:rsid w:val="2139426F"/>
    <w:rsid w:val="214065AA"/>
    <w:rsid w:val="214E56EB"/>
    <w:rsid w:val="214E5EAE"/>
    <w:rsid w:val="2151424A"/>
    <w:rsid w:val="21712E02"/>
    <w:rsid w:val="21BD4628"/>
    <w:rsid w:val="224B7E5A"/>
    <w:rsid w:val="225A0C7F"/>
    <w:rsid w:val="22686CFD"/>
    <w:rsid w:val="227C0C52"/>
    <w:rsid w:val="22AF78E3"/>
    <w:rsid w:val="22FB5EE0"/>
    <w:rsid w:val="23443BAE"/>
    <w:rsid w:val="23773E69"/>
    <w:rsid w:val="237E44D8"/>
    <w:rsid w:val="23944B78"/>
    <w:rsid w:val="23A05E84"/>
    <w:rsid w:val="23A71670"/>
    <w:rsid w:val="23CB3213"/>
    <w:rsid w:val="23D11720"/>
    <w:rsid w:val="242B20A1"/>
    <w:rsid w:val="24310962"/>
    <w:rsid w:val="2432582E"/>
    <w:rsid w:val="245D177A"/>
    <w:rsid w:val="24780FB7"/>
    <w:rsid w:val="247A462A"/>
    <w:rsid w:val="24824584"/>
    <w:rsid w:val="2484732A"/>
    <w:rsid w:val="248C1A07"/>
    <w:rsid w:val="248F3659"/>
    <w:rsid w:val="24B85BE6"/>
    <w:rsid w:val="24C00FC2"/>
    <w:rsid w:val="24C37F7F"/>
    <w:rsid w:val="24DF1E77"/>
    <w:rsid w:val="24F626A8"/>
    <w:rsid w:val="24F702CD"/>
    <w:rsid w:val="25240AFD"/>
    <w:rsid w:val="25390ED9"/>
    <w:rsid w:val="25504F9E"/>
    <w:rsid w:val="25507D2D"/>
    <w:rsid w:val="2576334D"/>
    <w:rsid w:val="257E05C4"/>
    <w:rsid w:val="258209EF"/>
    <w:rsid w:val="258752B9"/>
    <w:rsid w:val="25B620E6"/>
    <w:rsid w:val="25C4447A"/>
    <w:rsid w:val="25D26421"/>
    <w:rsid w:val="25F81174"/>
    <w:rsid w:val="2631752B"/>
    <w:rsid w:val="263B1D3D"/>
    <w:rsid w:val="263E7303"/>
    <w:rsid w:val="265B3BA5"/>
    <w:rsid w:val="2692058F"/>
    <w:rsid w:val="26946F61"/>
    <w:rsid w:val="26993547"/>
    <w:rsid w:val="26A533BC"/>
    <w:rsid w:val="26AE0989"/>
    <w:rsid w:val="26B06DDE"/>
    <w:rsid w:val="26C84952"/>
    <w:rsid w:val="26E66846"/>
    <w:rsid w:val="26FA3651"/>
    <w:rsid w:val="27003D89"/>
    <w:rsid w:val="2736796F"/>
    <w:rsid w:val="278F1FBC"/>
    <w:rsid w:val="27A3432A"/>
    <w:rsid w:val="27B22BA0"/>
    <w:rsid w:val="27C03736"/>
    <w:rsid w:val="27DB2350"/>
    <w:rsid w:val="27DE016E"/>
    <w:rsid w:val="27E946FA"/>
    <w:rsid w:val="27F0591B"/>
    <w:rsid w:val="27F657E8"/>
    <w:rsid w:val="28102235"/>
    <w:rsid w:val="28123D45"/>
    <w:rsid w:val="28321AE9"/>
    <w:rsid w:val="28517687"/>
    <w:rsid w:val="286A5AC8"/>
    <w:rsid w:val="28782B82"/>
    <w:rsid w:val="28885AB3"/>
    <w:rsid w:val="28E16146"/>
    <w:rsid w:val="2918062E"/>
    <w:rsid w:val="292431B6"/>
    <w:rsid w:val="29263B88"/>
    <w:rsid w:val="29444145"/>
    <w:rsid w:val="294D1976"/>
    <w:rsid w:val="2951771D"/>
    <w:rsid w:val="29CA41A9"/>
    <w:rsid w:val="29CA426F"/>
    <w:rsid w:val="29DF766A"/>
    <w:rsid w:val="29E30D2C"/>
    <w:rsid w:val="29E90BFE"/>
    <w:rsid w:val="2A0301F7"/>
    <w:rsid w:val="2A03295D"/>
    <w:rsid w:val="2A0D6FE7"/>
    <w:rsid w:val="2A3B63EF"/>
    <w:rsid w:val="2A471634"/>
    <w:rsid w:val="2A4B012F"/>
    <w:rsid w:val="2A5431BD"/>
    <w:rsid w:val="2A625850"/>
    <w:rsid w:val="2A625C2E"/>
    <w:rsid w:val="2A7317A0"/>
    <w:rsid w:val="2A8B26F4"/>
    <w:rsid w:val="2AA53CA4"/>
    <w:rsid w:val="2AAA6188"/>
    <w:rsid w:val="2AB628C9"/>
    <w:rsid w:val="2AB67623"/>
    <w:rsid w:val="2AC753E8"/>
    <w:rsid w:val="2ADF5388"/>
    <w:rsid w:val="2AF33759"/>
    <w:rsid w:val="2AF477AB"/>
    <w:rsid w:val="2B04145D"/>
    <w:rsid w:val="2B1F2930"/>
    <w:rsid w:val="2B3509E6"/>
    <w:rsid w:val="2B680115"/>
    <w:rsid w:val="2B766C07"/>
    <w:rsid w:val="2B802033"/>
    <w:rsid w:val="2BC01647"/>
    <w:rsid w:val="2BC44F1A"/>
    <w:rsid w:val="2C062FAB"/>
    <w:rsid w:val="2C090018"/>
    <w:rsid w:val="2C466829"/>
    <w:rsid w:val="2C4A44F7"/>
    <w:rsid w:val="2C5D4963"/>
    <w:rsid w:val="2C5F1EED"/>
    <w:rsid w:val="2C6232B1"/>
    <w:rsid w:val="2CAF3389"/>
    <w:rsid w:val="2CC91F3C"/>
    <w:rsid w:val="2CCE67A9"/>
    <w:rsid w:val="2CDB3C99"/>
    <w:rsid w:val="2CDD05A4"/>
    <w:rsid w:val="2CE45AE6"/>
    <w:rsid w:val="2CE93C7C"/>
    <w:rsid w:val="2CED60C7"/>
    <w:rsid w:val="2CF11432"/>
    <w:rsid w:val="2CFC53C3"/>
    <w:rsid w:val="2D3039FB"/>
    <w:rsid w:val="2D72342E"/>
    <w:rsid w:val="2D854926"/>
    <w:rsid w:val="2D90604D"/>
    <w:rsid w:val="2D9917D0"/>
    <w:rsid w:val="2DAA12EC"/>
    <w:rsid w:val="2DD04959"/>
    <w:rsid w:val="2DEF371D"/>
    <w:rsid w:val="2DF46570"/>
    <w:rsid w:val="2E4670DE"/>
    <w:rsid w:val="2E5D384D"/>
    <w:rsid w:val="2E9D7F78"/>
    <w:rsid w:val="2EA103B0"/>
    <w:rsid w:val="2EA85906"/>
    <w:rsid w:val="2EC45272"/>
    <w:rsid w:val="2EC51715"/>
    <w:rsid w:val="2ED147ED"/>
    <w:rsid w:val="2ED87C51"/>
    <w:rsid w:val="2EE32E40"/>
    <w:rsid w:val="2EF323DF"/>
    <w:rsid w:val="2EFC2309"/>
    <w:rsid w:val="2F0C383F"/>
    <w:rsid w:val="2F125CE7"/>
    <w:rsid w:val="2F154791"/>
    <w:rsid w:val="2F4E0CF5"/>
    <w:rsid w:val="2F5F7082"/>
    <w:rsid w:val="2F6004B3"/>
    <w:rsid w:val="2F801E85"/>
    <w:rsid w:val="2FA64F52"/>
    <w:rsid w:val="2FA718D4"/>
    <w:rsid w:val="2FC10131"/>
    <w:rsid w:val="2FD43AAB"/>
    <w:rsid w:val="2FE575A8"/>
    <w:rsid w:val="2FEB7C90"/>
    <w:rsid w:val="2FF47050"/>
    <w:rsid w:val="30021344"/>
    <w:rsid w:val="301D7F60"/>
    <w:rsid w:val="30242049"/>
    <w:rsid w:val="304E7E66"/>
    <w:rsid w:val="305355C6"/>
    <w:rsid w:val="30587A60"/>
    <w:rsid w:val="30633C4A"/>
    <w:rsid w:val="307E72A6"/>
    <w:rsid w:val="308C337C"/>
    <w:rsid w:val="30B2605C"/>
    <w:rsid w:val="30DD6003"/>
    <w:rsid w:val="31137A10"/>
    <w:rsid w:val="311F71EF"/>
    <w:rsid w:val="31525426"/>
    <w:rsid w:val="31553D58"/>
    <w:rsid w:val="316E5DD3"/>
    <w:rsid w:val="319F5478"/>
    <w:rsid w:val="31EC7E90"/>
    <w:rsid w:val="31F34430"/>
    <w:rsid w:val="31FA21C5"/>
    <w:rsid w:val="32060049"/>
    <w:rsid w:val="32121A11"/>
    <w:rsid w:val="324A29EC"/>
    <w:rsid w:val="32750B8A"/>
    <w:rsid w:val="32856C3B"/>
    <w:rsid w:val="32A36CEB"/>
    <w:rsid w:val="32B3727E"/>
    <w:rsid w:val="32C52C6F"/>
    <w:rsid w:val="32F63393"/>
    <w:rsid w:val="331150C4"/>
    <w:rsid w:val="33125B84"/>
    <w:rsid w:val="33252650"/>
    <w:rsid w:val="332D0D33"/>
    <w:rsid w:val="333636C4"/>
    <w:rsid w:val="333B3790"/>
    <w:rsid w:val="33870E6E"/>
    <w:rsid w:val="338712C2"/>
    <w:rsid w:val="338A6105"/>
    <w:rsid w:val="33A55A2F"/>
    <w:rsid w:val="33C3644A"/>
    <w:rsid w:val="33D6575E"/>
    <w:rsid w:val="33D87BF0"/>
    <w:rsid w:val="33E31335"/>
    <w:rsid w:val="33EE6DFF"/>
    <w:rsid w:val="33F21235"/>
    <w:rsid w:val="33F2729A"/>
    <w:rsid w:val="33F4683E"/>
    <w:rsid w:val="33FB336A"/>
    <w:rsid w:val="342629A1"/>
    <w:rsid w:val="34405AE7"/>
    <w:rsid w:val="34875598"/>
    <w:rsid w:val="34CB1E9D"/>
    <w:rsid w:val="34F34DCA"/>
    <w:rsid w:val="34F46DFA"/>
    <w:rsid w:val="35053121"/>
    <w:rsid w:val="35056B57"/>
    <w:rsid w:val="353110EC"/>
    <w:rsid w:val="353B15B7"/>
    <w:rsid w:val="353C5CF9"/>
    <w:rsid w:val="354662F5"/>
    <w:rsid w:val="35487707"/>
    <w:rsid w:val="35554AFC"/>
    <w:rsid w:val="35617855"/>
    <w:rsid w:val="35843EF4"/>
    <w:rsid w:val="35875021"/>
    <w:rsid w:val="358D4C7D"/>
    <w:rsid w:val="3595435E"/>
    <w:rsid w:val="35BA2909"/>
    <w:rsid w:val="35C37BB9"/>
    <w:rsid w:val="360C2D6A"/>
    <w:rsid w:val="36111186"/>
    <w:rsid w:val="36124DFD"/>
    <w:rsid w:val="36250F08"/>
    <w:rsid w:val="3625406D"/>
    <w:rsid w:val="36615293"/>
    <w:rsid w:val="36990226"/>
    <w:rsid w:val="36A91413"/>
    <w:rsid w:val="36AA22D1"/>
    <w:rsid w:val="36B945DF"/>
    <w:rsid w:val="36BC6256"/>
    <w:rsid w:val="36C37E0E"/>
    <w:rsid w:val="36D554E5"/>
    <w:rsid w:val="36F95D87"/>
    <w:rsid w:val="37313AB8"/>
    <w:rsid w:val="37397F49"/>
    <w:rsid w:val="373C7126"/>
    <w:rsid w:val="37611FA3"/>
    <w:rsid w:val="37625A99"/>
    <w:rsid w:val="37745F2E"/>
    <w:rsid w:val="37A95489"/>
    <w:rsid w:val="37D017B7"/>
    <w:rsid w:val="37D50B4D"/>
    <w:rsid w:val="37D67E6E"/>
    <w:rsid w:val="37DE5A99"/>
    <w:rsid w:val="37F77666"/>
    <w:rsid w:val="38162B54"/>
    <w:rsid w:val="38244450"/>
    <w:rsid w:val="382E0386"/>
    <w:rsid w:val="3855023D"/>
    <w:rsid w:val="387501F5"/>
    <w:rsid w:val="387714CF"/>
    <w:rsid w:val="387E3E17"/>
    <w:rsid w:val="38874E1B"/>
    <w:rsid w:val="389F236A"/>
    <w:rsid w:val="38DB5948"/>
    <w:rsid w:val="38FB7982"/>
    <w:rsid w:val="39061798"/>
    <w:rsid w:val="39270E6F"/>
    <w:rsid w:val="393D3567"/>
    <w:rsid w:val="397B2A4F"/>
    <w:rsid w:val="39C67FF4"/>
    <w:rsid w:val="39D94059"/>
    <w:rsid w:val="39DD0728"/>
    <w:rsid w:val="39DF0520"/>
    <w:rsid w:val="3A422AE1"/>
    <w:rsid w:val="3A464AB6"/>
    <w:rsid w:val="3A795E9B"/>
    <w:rsid w:val="3A887B90"/>
    <w:rsid w:val="3A915208"/>
    <w:rsid w:val="3A9E1C83"/>
    <w:rsid w:val="3ABF2893"/>
    <w:rsid w:val="3AE82517"/>
    <w:rsid w:val="3B4B30D1"/>
    <w:rsid w:val="3B4E465B"/>
    <w:rsid w:val="3B6F4D35"/>
    <w:rsid w:val="3B893155"/>
    <w:rsid w:val="3B8C3047"/>
    <w:rsid w:val="3BA5205B"/>
    <w:rsid w:val="3BAC7C0C"/>
    <w:rsid w:val="3BB00042"/>
    <w:rsid w:val="3BB91655"/>
    <w:rsid w:val="3BD2733C"/>
    <w:rsid w:val="3BD523FD"/>
    <w:rsid w:val="3BD769CE"/>
    <w:rsid w:val="3BE51F1F"/>
    <w:rsid w:val="3C12712E"/>
    <w:rsid w:val="3C205115"/>
    <w:rsid w:val="3C2B0FA1"/>
    <w:rsid w:val="3C2E40C1"/>
    <w:rsid w:val="3C363EC9"/>
    <w:rsid w:val="3C3F11AD"/>
    <w:rsid w:val="3C4F2E61"/>
    <w:rsid w:val="3C50628B"/>
    <w:rsid w:val="3C516BBA"/>
    <w:rsid w:val="3C57613E"/>
    <w:rsid w:val="3C7012BA"/>
    <w:rsid w:val="3C9703CC"/>
    <w:rsid w:val="3C9A10E1"/>
    <w:rsid w:val="3CA3578F"/>
    <w:rsid w:val="3CB36FCF"/>
    <w:rsid w:val="3CCB3D5C"/>
    <w:rsid w:val="3CD25D84"/>
    <w:rsid w:val="3CEF5BCA"/>
    <w:rsid w:val="3CF75552"/>
    <w:rsid w:val="3CFC6329"/>
    <w:rsid w:val="3D1377FD"/>
    <w:rsid w:val="3D1D138E"/>
    <w:rsid w:val="3D3A67A9"/>
    <w:rsid w:val="3D781EC2"/>
    <w:rsid w:val="3D9239FB"/>
    <w:rsid w:val="3D9A0453"/>
    <w:rsid w:val="3DD477B6"/>
    <w:rsid w:val="3DD678D1"/>
    <w:rsid w:val="3DDB7329"/>
    <w:rsid w:val="3DF50A57"/>
    <w:rsid w:val="3DF7160C"/>
    <w:rsid w:val="3DFE7706"/>
    <w:rsid w:val="3E37182B"/>
    <w:rsid w:val="3E4D61AB"/>
    <w:rsid w:val="3E5325C6"/>
    <w:rsid w:val="3E532E9D"/>
    <w:rsid w:val="3E621170"/>
    <w:rsid w:val="3E6C5593"/>
    <w:rsid w:val="3E7C5726"/>
    <w:rsid w:val="3E85255A"/>
    <w:rsid w:val="3E857F79"/>
    <w:rsid w:val="3E9A19E2"/>
    <w:rsid w:val="3E9B2B06"/>
    <w:rsid w:val="3EA43C16"/>
    <w:rsid w:val="3EA659A5"/>
    <w:rsid w:val="3EA95D3B"/>
    <w:rsid w:val="3EC84315"/>
    <w:rsid w:val="3ED515A5"/>
    <w:rsid w:val="3F2A4EF5"/>
    <w:rsid w:val="3F2F6001"/>
    <w:rsid w:val="3F751B56"/>
    <w:rsid w:val="3F7737AA"/>
    <w:rsid w:val="3F833364"/>
    <w:rsid w:val="3F891088"/>
    <w:rsid w:val="3FAC7624"/>
    <w:rsid w:val="3FDE70E8"/>
    <w:rsid w:val="40016A77"/>
    <w:rsid w:val="40781328"/>
    <w:rsid w:val="408C6AC8"/>
    <w:rsid w:val="40A260DF"/>
    <w:rsid w:val="40A96104"/>
    <w:rsid w:val="40B3012C"/>
    <w:rsid w:val="40ED4C2B"/>
    <w:rsid w:val="410F37EC"/>
    <w:rsid w:val="411F680C"/>
    <w:rsid w:val="41416F1B"/>
    <w:rsid w:val="417113A9"/>
    <w:rsid w:val="417343F1"/>
    <w:rsid w:val="4179432A"/>
    <w:rsid w:val="419C4BA9"/>
    <w:rsid w:val="41AD401C"/>
    <w:rsid w:val="41DB7865"/>
    <w:rsid w:val="41F001F6"/>
    <w:rsid w:val="41F56D6A"/>
    <w:rsid w:val="41FC7DB8"/>
    <w:rsid w:val="421F5809"/>
    <w:rsid w:val="42356C86"/>
    <w:rsid w:val="42407A87"/>
    <w:rsid w:val="4241494F"/>
    <w:rsid w:val="425A3BF7"/>
    <w:rsid w:val="42725102"/>
    <w:rsid w:val="427A3A08"/>
    <w:rsid w:val="428F05F2"/>
    <w:rsid w:val="4293330E"/>
    <w:rsid w:val="42A42ED1"/>
    <w:rsid w:val="42BD0F13"/>
    <w:rsid w:val="42BF30EE"/>
    <w:rsid w:val="42D006B4"/>
    <w:rsid w:val="42E82656"/>
    <w:rsid w:val="43034613"/>
    <w:rsid w:val="43180CB6"/>
    <w:rsid w:val="435E6D6E"/>
    <w:rsid w:val="439F62A8"/>
    <w:rsid w:val="43A8389A"/>
    <w:rsid w:val="43BE09FB"/>
    <w:rsid w:val="43BE5E63"/>
    <w:rsid w:val="43C95072"/>
    <w:rsid w:val="43D11056"/>
    <w:rsid w:val="43DE3E65"/>
    <w:rsid w:val="44350037"/>
    <w:rsid w:val="44666FB5"/>
    <w:rsid w:val="44740B82"/>
    <w:rsid w:val="44764C77"/>
    <w:rsid w:val="448C6E5B"/>
    <w:rsid w:val="44964A7F"/>
    <w:rsid w:val="44E13C3D"/>
    <w:rsid w:val="44ED0D38"/>
    <w:rsid w:val="44FF7038"/>
    <w:rsid w:val="451A6E5C"/>
    <w:rsid w:val="451E22E0"/>
    <w:rsid w:val="45253646"/>
    <w:rsid w:val="452D7D9B"/>
    <w:rsid w:val="45507A9C"/>
    <w:rsid w:val="45600601"/>
    <w:rsid w:val="456943D8"/>
    <w:rsid w:val="456B5D38"/>
    <w:rsid w:val="4573099C"/>
    <w:rsid w:val="459C04FB"/>
    <w:rsid w:val="45AE15E7"/>
    <w:rsid w:val="45BF2862"/>
    <w:rsid w:val="45CE03C7"/>
    <w:rsid w:val="45E84953"/>
    <w:rsid w:val="46052973"/>
    <w:rsid w:val="465C32B8"/>
    <w:rsid w:val="4671021F"/>
    <w:rsid w:val="46861F40"/>
    <w:rsid w:val="468D5DB5"/>
    <w:rsid w:val="46A72F4A"/>
    <w:rsid w:val="46AC5C53"/>
    <w:rsid w:val="46C60823"/>
    <w:rsid w:val="47241E12"/>
    <w:rsid w:val="47266CF6"/>
    <w:rsid w:val="474C5BB1"/>
    <w:rsid w:val="476A7C5B"/>
    <w:rsid w:val="47725D4E"/>
    <w:rsid w:val="47A60178"/>
    <w:rsid w:val="47AF62C2"/>
    <w:rsid w:val="47E864F7"/>
    <w:rsid w:val="47FF20B6"/>
    <w:rsid w:val="480A2B93"/>
    <w:rsid w:val="480B431B"/>
    <w:rsid w:val="48137F60"/>
    <w:rsid w:val="48336643"/>
    <w:rsid w:val="4855009A"/>
    <w:rsid w:val="487E23C1"/>
    <w:rsid w:val="48985728"/>
    <w:rsid w:val="48BB2AEC"/>
    <w:rsid w:val="48C47EED"/>
    <w:rsid w:val="48DD2980"/>
    <w:rsid w:val="4925074B"/>
    <w:rsid w:val="492E3CAF"/>
    <w:rsid w:val="49320EC7"/>
    <w:rsid w:val="49335DE0"/>
    <w:rsid w:val="49341EFD"/>
    <w:rsid w:val="493743C9"/>
    <w:rsid w:val="49390D3D"/>
    <w:rsid w:val="493D549A"/>
    <w:rsid w:val="49421A26"/>
    <w:rsid w:val="49423A78"/>
    <w:rsid w:val="49581DCD"/>
    <w:rsid w:val="498750D8"/>
    <w:rsid w:val="49DF5926"/>
    <w:rsid w:val="49F00967"/>
    <w:rsid w:val="49F67A60"/>
    <w:rsid w:val="4A100446"/>
    <w:rsid w:val="4A1B0AF9"/>
    <w:rsid w:val="4A292811"/>
    <w:rsid w:val="4A366813"/>
    <w:rsid w:val="4A4F7849"/>
    <w:rsid w:val="4A6A10B9"/>
    <w:rsid w:val="4A835469"/>
    <w:rsid w:val="4A851A7F"/>
    <w:rsid w:val="4AF713D8"/>
    <w:rsid w:val="4B0F3B0F"/>
    <w:rsid w:val="4B301D89"/>
    <w:rsid w:val="4B384BC8"/>
    <w:rsid w:val="4B44754C"/>
    <w:rsid w:val="4B4C24F9"/>
    <w:rsid w:val="4B511315"/>
    <w:rsid w:val="4B5E266F"/>
    <w:rsid w:val="4B7D5AF4"/>
    <w:rsid w:val="4B7F7194"/>
    <w:rsid w:val="4B833358"/>
    <w:rsid w:val="4B8D19A5"/>
    <w:rsid w:val="4BA751FF"/>
    <w:rsid w:val="4BAF4369"/>
    <w:rsid w:val="4BB24D57"/>
    <w:rsid w:val="4BC666D3"/>
    <w:rsid w:val="4BF51E8C"/>
    <w:rsid w:val="4C3B3D86"/>
    <w:rsid w:val="4C4863E2"/>
    <w:rsid w:val="4C513A05"/>
    <w:rsid w:val="4C7973A6"/>
    <w:rsid w:val="4C9308E5"/>
    <w:rsid w:val="4C937EB8"/>
    <w:rsid w:val="4C9F5E69"/>
    <w:rsid w:val="4CA45BFF"/>
    <w:rsid w:val="4CAA6180"/>
    <w:rsid w:val="4CB7470F"/>
    <w:rsid w:val="4CB74E71"/>
    <w:rsid w:val="4CC077CC"/>
    <w:rsid w:val="4CC35211"/>
    <w:rsid w:val="4CD65286"/>
    <w:rsid w:val="4CE602F5"/>
    <w:rsid w:val="4D013DCC"/>
    <w:rsid w:val="4D113C11"/>
    <w:rsid w:val="4D164552"/>
    <w:rsid w:val="4D295308"/>
    <w:rsid w:val="4D361950"/>
    <w:rsid w:val="4D38520E"/>
    <w:rsid w:val="4D3A5BB0"/>
    <w:rsid w:val="4D7D36E0"/>
    <w:rsid w:val="4D976EB0"/>
    <w:rsid w:val="4DA2638C"/>
    <w:rsid w:val="4DA8162B"/>
    <w:rsid w:val="4DAB6E66"/>
    <w:rsid w:val="4DD71C3F"/>
    <w:rsid w:val="4DDA44C4"/>
    <w:rsid w:val="4DFD1956"/>
    <w:rsid w:val="4DFE47A4"/>
    <w:rsid w:val="4E1B25BB"/>
    <w:rsid w:val="4E4F76CC"/>
    <w:rsid w:val="4E64476B"/>
    <w:rsid w:val="4E7341FD"/>
    <w:rsid w:val="4EA358F2"/>
    <w:rsid w:val="4EBC4735"/>
    <w:rsid w:val="4EC70DC5"/>
    <w:rsid w:val="4ED46C46"/>
    <w:rsid w:val="4EE347F8"/>
    <w:rsid w:val="4EE34904"/>
    <w:rsid w:val="4F165BF4"/>
    <w:rsid w:val="4F166391"/>
    <w:rsid w:val="4F1B333C"/>
    <w:rsid w:val="4F251D7F"/>
    <w:rsid w:val="4F565325"/>
    <w:rsid w:val="4F71145D"/>
    <w:rsid w:val="4F8E2EAB"/>
    <w:rsid w:val="4FA86E81"/>
    <w:rsid w:val="4FAB1924"/>
    <w:rsid w:val="4FB94ACA"/>
    <w:rsid w:val="4FC97682"/>
    <w:rsid w:val="4FCC3151"/>
    <w:rsid w:val="50106976"/>
    <w:rsid w:val="501D62DC"/>
    <w:rsid w:val="50213CA7"/>
    <w:rsid w:val="503B31CB"/>
    <w:rsid w:val="50532C4F"/>
    <w:rsid w:val="507135C1"/>
    <w:rsid w:val="507750E1"/>
    <w:rsid w:val="50892F40"/>
    <w:rsid w:val="50C145EA"/>
    <w:rsid w:val="50C43D15"/>
    <w:rsid w:val="50D156B0"/>
    <w:rsid w:val="50DF0AC6"/>
    <w:rsid w:val="50E51301"/>
    <w:rsid w:val="50EA6882"/>
    <w:rsid w:val="50FC5A54"/>
    <w:rsid w:val="511571B3"/>
    <w:rsid w:val="51223B44"/>
    <w:rsid w:val="512A31FF"/>
    <w:rsid w:val="512E220D"/>
    <w:rsid w:val="513B0385"/>
    <w:rsid w:val="516B7E86"/>
    <w:rsid w:val="51702D35"/>
    <w:rsid w:val="517272FA"/>
    <w:rsid w:val="517941F3"/>
    <w:rsid w:val="5187574D"/>
    <w:rsid w:val="519740F1"/>
    <w:rsid w:val="51AC22DE"/>
    <w:rsid w:val="51B86368"/>
    <w:rsid w:val="51CC2AC1"/>
    <w:rsid w:val="51D258AB"/>
    <w:rsid w:val="51DE0F6C"/>
    <w:rsid w:val="51ED4866"/>
    <w:rsid w:val="51FD3D54"/>
    <w:rsid w:val="52144897"/>
    <w:rsid w:val="521A0F6B"/>
    <w:rsid w:val="522B00BB"/>
    <w:rsid w:val="526D7E62"/>
    <w:rsid w:val="526E2E98"/>
    <w:rsid w:val="528862C9"/>
    <w:rsid w:val="52895867"/>
    <w:rsid w:val="528F3C5C"/>
    <w:rsid w:val="52960FCB"/>
    <w:rsid w:val="52A4010B"/>
    <w:rsid w:val="52AF2FDC"/>
    <w:rsid w:val="52C34C2F"/>
    <w:rsid w:val="52C770C8"/>
    <w:rsid w:val="52E850B8"/>
    <w:rsid w:val="52F76CB5"/>
    <w:rsid w:val="52F83F96"/>
    <w:rsid w:val="52FE5DCD"/>
    <w:rsid w:val="530A0052"/>
    <w:rsid w:val="531F4FE2"/>
    <w:rsid w:val="532F64D3"/>
    <w:rsid w:val="53364A26"/>
    <w:rsid w:val="53437DCD"/>
    <w:rsid w:val="53547789"/>
    <w:rsid w:val="537362D3"/>
    <w:rsid w:val="537F64E6"/>
    <w:rsid w:val="538F1D3C"/>
    <w:rsid w:val="53C702FC"/>
    <w:rsid w:val="53CF7AB8"/>
    <w:rsid w:val="53E63FB2"/>
    <w:rsid w:val="53F90BCB"/>
    <w:rsid w:val="54044D39"/>
    <w:rsid w:val="54086B94"/>
    <w:rsid w:val="5414486D"/>
    <w:rsid w:val="5420515E"/>
    <w:rsid w:val="544F139B"/>
    <w:rsid w:val="545F7590"/>
    <w:rsid w:val="546350F0"/>
    <w:rsid w:val="546F776D"/>
    <w:rsid w:val="54743AD1"/>
    <w:rsid w:val="548C594A"/>
    <w:rsid w:val="54BC272B"/>
    <w:rsid w:val="54CA7E12"/>
    <w:rsid w:val="54D91A9B"/>
    <w:rsid w:val="54DD1993"/>
    <w:rsid w:val="54F67C91"/>
    <w:rsid w:val="54F75BB8"/>
    <w:rsid w:val="551815EC"/>
    <w:rsid w:val="55321234"/>
    <w:rsid w:val="55613F1C"/>
    <w:rsid w:val="55832B6E"/>
    <w:rsid w:val="55881E81"/>
    <w:rsid w:val="55C14C45"/>
    <w:rsid w:val="55CF3B1C"/>
    <w:rsid w:val="55D711AD"/>
    <w:rsid w:val="55DD555B"/>
    <w:rsid w:val="55F15500"/>
    <w:rsid w:val="560A60FE"/>
    <w:rsid w:val="56360B33"/>
    <w:rsid w:val="564009C7"/>
    <w:rsid w:val="564455B0"/>
    <w:rsid w:val="56531F90"/>
    <w:rsid w:val="56773703"/>
    <w:rsid w:val="56861F07"/>
    <w:rsid w:val="56894D16"/>
    <w:rsid w:val="56A0597B"/>
    <w:rsid w:val="56BA69E3"/>
    <w:rsid w:val="56BB61F8"/>
    <w:rsid w:val="56D1481D"/>
    <w:rsid w:val="571D0C01"/>
    <w:rsid w:val="572517F6"/>
    <w:rsid w:val="574572A6"/>
    <w:rsid w:val="576D062A"/>
    <w:rsid w:val="577048BD"/>
    <w:rsid w:val="577A1D46"/>
    <w:rsid w:val="5787781E"/>
    <w:rsid w:val="57906259"/>
    <w:rsid w:val="579E6826"/>
    <w:rsid w:val="57A61471"/>
    <w:rsid w:val="57AE5DD1"/>
    <w:rsid w:val="57B832E3"/>
    <w:rsid w:val="57C63ADF"/>
    <w:rsid w:val="57C830C0"/>
    <w:rsid w:val="57D377C8"/>
    <w:rsid w:val="58036E53"/>
    <w:rsid w:val="581C1059"/>
    <w:rsid w:val="581E1B71"/>
    <w:rsid w:val="581F0C05"/>
    <w:rsid w:val="58461308"/>
    <w:rsid w:val="58465D3B"/>
    <w:rsid w:val="58476AEE"/>
    <w:rsid w:val="586F4527"/>
    <w:rsid w:val="588921C2"/>
    <w:rsid w:val="5894307D"/>
    <w:rsid w:val="58DF0B3E"/>
    <w:rsid w:val="590728EA"/>
    <w:rsid w:val="590B428D"/>
    <w:rsid w:val="59254136"/>
    <w:rsid w:val="59257E7C"/>
    <w:rsid w:val="59481624"/>
    <w:rsid w:val="5963656F"/>
    <w:rsid w:val="59AB561D"/>
    <w:rsid w:val="59C05F9B"/>
    <w:rsid w:val="59D86922"/>
    <w:rsid w:val="59E53991"/>
    <w:rsid w:val="59EE6BC3"/>
    <w:rsid w:val="59F45E1E"/>
    <w:rsid w:val="5A12393C"/>
    <w:rsid w:val="5A437D16"/>
    <w:rsid w:val="5A5E6E30"/>
    <w:rsid w:val="5A6917DF"/>
    <w:rsid w:val="5A6B25A1"/>
    <w:rsid w:val="5A79760E"/>
    <w:rsid w:val="5AB26551"/>
    <w:rsid w:val="5ADF7A8F"/>
    <w:rsid w:val="5AE519CE"/>
    <w:rsid w:val="5AE7228C"/>
    <w:rsid w:val="5AE728F2"/>
    <w:rsid w:val="5AE90AB9"/>
    <w:rsid w:val="5B5A30F7"/>
    <w:rsid w:val="5B69730C"/>
    <w:rsid w:val="5B71355B"/>
    <w:rsid w:val="5B872F69"/>
    <w:rsid w:val="5BB0219E"/>
    <w:rsid w:val="5BB219CB"/>
    <w:rsid w:val="5BD145E6"/>
    <w:rsid w:val="5C094662"/>
    <w:rsid w:val="5C0F207A"/>
    <w:rsid w:val="5C17765B"/>
    <w:rsid w:val="5C267975"/>
    <w:rsid w:val="5C2A5A14"/>
    <w:rsid w:val="5C325BC6"/>
    <w:rsid w:val="5C371608"/>
    <w:rsid w:val="5C4D3A67"/>
    <w:rsid w:val="5C632936"/>
    <w:rsid w:val="5C6B7ADC"/>
    <w:rsid w:val="5C6B7B6A"/>
    <w:rsid w:val="5C8F7FE9"/>
    <w:rsid w:val="5CBB337F"/>
    <w:rsid w:val="5CC84675"/>
    <w:rsid w:val="5CE81438"/>
    <w:rsid w:val="5CEC2F19"/>
    <w:rsid w:val="5CFA2FF2"/>
    <w:rsid w:val="5D115534"/>
    <w:rsid w:val="5D3B4826"/>
    <w:rsid w:val="5D644B75"/>
    <w:rsid w:val="5D711535"/>
    <w:rsid w:val="5D75715F"/>
    <w:rsid w:val="5D7A6E65"/>
    <w:rsid w:val="5D906EB0"/>
    <w:rsid w:val="5DA3511B"/>
    <w:rsid w:val="5DA55816"/>
    <w:rsid w:val="5DA659C4"/>
    <w:rsid w:val="5DAA0B41"/>
    <w:rsid w:val="5DCE4CE6"/>
    <w:rsid w:val="5E0A55D1"/>
    <w:rsid w:val="5E0A6E80"/>
    <w:rsid w:val="5E0B628F"/>
    <w:rsid w:val="5E0F19E0"/>
    <w:rsid w:val="5E1C50BE"/>
    <w:rsid w:val="5E294764"/>
    <w:rsid w:val="5E2B5C67"/>
    <w:rsid w:val="5E2E5CF0"/>
    <w:rsid w:val="5E510865"/>
    <w:rsid w:val="5E6D3C76"/>
    <w:rsid w:val="5E9351ED"/>
    <w:rsid w:val="5E947055"/>
    <w:rsid w:val="5E9954C0"/>
    <w:rsid w:val="5EDC234C"/>
    <w:rsid w:val="5EE73163"/>
    <w:rsid w:val="5F207714"/>
    <w:rsid w:val="5F4B26F8"/>
    <w:rsid w:val="5F521681"/>
    <w:rsid w:val="5F5C2B89"/>
    <w:rsid w:val="5F6309B0"/>
    <w:rsid w:val="5F6D1F1D"/>
    <w:rsid w:val="5F722D00"/>
    <w:rsid w:val="5F7A756C"/>
    <w:rsid w:val="5F872D53"/>
    <w:rsid w:val="5FBA1E7A"/>
    <w:rsid w:val="5FE10A94"/>
    <w:rsid w:val="60012050"/>
    <w:rsid w:val="601C4294"/>
    <w:rsid w:val="607A4832"/>
    <w:rsid w:val="607F1942"/>
    <w:rsid w:val="609B5788"/>
    <w:rsid w:val="611248CD"/>
    <w:rsid w:val="611A6E7F"/>
    <w:rsid w:val="612010B9"/>
    <w:rsid w:val="612C2FB7"/>
    <w:rsid w:val="6183061B"/>
    <w:rsid w:val="618D0FA0"/>
    <w:rsid w:val="618F578D"/>
    <w:rsid w:val="61984726"/>
    <w:rsid w:val="61A6123F"/>
    <w:rsid w:val="61A83969"/>
    <w:rsid w:val="61D124C6"/>
    <w:rsid w:val="61D47D90"/>
    <w:rsid w:val="61DA1CFA"/>
    <w:rsid w:val="61DF3A0A"/>
    <w:rsid w:val="61EB0337"/>
    <w:rsid w:val="620806C4"/>
    <w:rsid w:val="6218585F"/>
    <w:rsid w:val="623662BC"/>
    <w:rsid w:val="62373C4F"/>
    <w:rsid w:val="62577ACA"/>
    <w:rsid w:val="62593427"/>
    <w:rsid w:val="625C2518"/>
    <w:rsid w:val="625E330B"/>
    <w:rsid w:val="625E5973"/>
    <w:rsid w:val="628E46D6"/>
    <w:rsid w:val="62A27B67"/>
    <w:rsid w:val="62B72BD3"/>
    <w:rsid w:val="62C17420"/>
    <w:rsid w:val="63177507"/>
    <w:rsid w:val="6333705E"/>
    <w:rsid w:val="636739FF"/>
    <w:rsid w:val="63893F4E"/>
    <w:rsid w:val="63913FC0"/>
    <w:rsid w:val="63B16485"/>
    <w:rsid w:val="63DC7C17"/>
    <w:rsid w:val="63EA0153"/>
    <w:rsid w:val="63F245BB"/>
    <w:rsid w:val="640E0057"/>
    <w:rsid w:val="641D5906"/>
    <w:rsid w:val="64433AD0"/>
    <w:rsid w:val="644B63E6"/>
    <w:rsid w:val="64681277"/>
    <w:rsid w:val="64705CE7"/>
    <w:rsid w:val="64894E16"/>
    <w:rsid w:val="649316B8"/>
    <w:rsid w:val="64D11745"/>
    <w:rsid w:val="64DC6153"/>
    <w:rsid w:val="64E1441E"/>
    <w:rsid w:val="64FA723C"/>
    <w:rsid w:val="64FF7818"/>
    <w:rsid w:val="650C2233"/>
    <w:rsid w:val="650D6202"/>
    <w:rsid w:val="65182109"/>
    <w:rsid w:val="652B0157"/>
    <w:rsid w:val="652F5952"/>
    <w:rsid w:val="654C3F58"/>
    <w:rsid w:val="65754F07"/>
    <w:rsid w:val="65901B9E"/>
    <w:rsid w:val="65AD3426"/>
    <w:rsid w:val="65B03297"/>
    <w:rsid w:val="65CD0570"/>
    <w:rsid w:val="65DB0DC2"/>
    <w:rsid w:val="66077228"/>
    <w:rsid w:val="662C630C"/>
    <w:rsid w:val="66463027"/>
    <w:rsid w:val="664F56C8"/>
    <w:rsid w:val="66564A15"/>
    <w:rsid w:val="667C33C5"/>
    <w:rsid w:val="66AF0A52"/>
    <w:rsid w:val="66C758A9"/>
    <w:rsid w:val="66DD165A"/>
    <w:rsid w:val="670D6306"/>
    <w:rsid w:val="672D7433"/>
    <w:rsid w:val="673B2B83"/>
    <w:rsid w:val="675D7AE1"/>
    <w:rsid w:val="6763721A"/>
    <w:rsid w:val="67640451"/>
    <w:rsid w:val="67664901"/>
    <w:rsid w:val="67676F05"/>
    <w:rsid w:val="67704596"/>
    <w:rsid w:val="6780752C"/>
    <w:rsid w:val="67A415EF"/>
    <w:rsid w:val="67A479FD"/>
    <w:rsid w:val="67F3624F"/>
    <w:rsid w:val="684E2C5E"/>
    <w:rsid w:val="686F0779"/>
    <w:rsid w:val="689C5A45"/>
    <w:rsid w:val="689E44E9"/>
    <w:rsid w:val="68A07350"/>
    <w:rsid w:val="68AC713E"/>
    <w:rsid w:val="68CE1731"/>
    <w:rsid w:val="68D74B76"/>
    <w:rsid w:val="68EF2D94"/>
    <w:rsid w:val="68F44233"/>
    <w:rsid w:val="68FB4076"/>
    <w:rsid w:val="6905655A"/>
    <w:rsid w:val="690634AF"/>
    <w:rsid w:val="691A4426"/>
    <w:rsid w:val="6938794B"/>
    <w:rsid w:val="696B5CFA"/>
    <w:rsid w:val="697C2381"/>
    <w:rsid w:val="69816225"/>
    <w:rsid w:val="69836C11"/>
    <w:rsid w:val="6999700A"/>
    <w:rsid w:val="699A7370"/>
    <w:rsid w:val="69A35A6F"/>
    <w:rsid w:val="69A872C2"/>
    <w:rsid w:val="69C90212"/>
    <w:rsid w:val="6A0724F9"/>
    <w:rsid w:val="6A165C6B"/>
    <w:rsid w:val="6A2871C3"/>
    <w:rsid w:val="6A2D681A"/>
    <w:rsid w:val="6A6B1161"/>
    <w:rsid w:val="6AB134DB"/>
    <w:rsid w:val="6AD26DCD"/>
    <w:rsid w:val="6AE77918"/>
    <w:rsid w:val="6AF5357C"/>
    <w:rsid w:val="6B061092"/>
    <w:rsid w:val="6B2137A0"/>
    <w:rsid w:val="6B3A7A70"/>
    <w:rsid w:val="6B3D0314"/>
    <w:rsid w:val="6B5B623A"/>
    <w:rsid w:val="6BA00309"/>
    <w:rsid w:val="6BC07B6D"/>
    <w:rsid w:val="6BCB677C"/>
    <w:rsid w:val="6BD4768A"/>
    <w:rsid w:val="6BD90CB3"/>
    <w:rsid w:val="6BFE1A9E"/>
    <w:rsid w:val="6C2C6B2D"/>
    <w:rsid w:val="6C5056ED"/>
    <w:rsid w:val="6C6624CD"/>
    <w:rsid w:val="6C701932"/>
    <w:rsid w:val="6C704850"/>
    <w:rsid w:val="6C831932"/>
    <w:rsid w:val="6C8C06B3"/>
    <w:rsid w:val="6C8E44E9"/>
    <w:rsid w:val="6CB579D1"/>
    <w:rsid w:val="6CBE605E"/>
    <w:rsid w:val="6CBF0D8B"/>
    <w:rsid w:val="6CD418C9"/>
    <w:rsid w:val="6CF5521A"/>
    <w:rsid w:val="6D067B0B"/>
    <w:rsid w:val="6D0A436D"/>
    <w:rsid w:val="6D2905A1"/>
    <w:rsid w:val="6D40062B"/>
    <w:rsid w:val="6D473010"/>
    <w:rsid w:val="6D4F2A40"/>
    <w:rsid w:val="6D5D1D92"/>
    <w:rsid w:val="6D7D7934"/>
    <w:rsid w:val="6D843AA0"/>
    <w:rsid w:val="6D873780"/>
    <w:rsid w:val="6D874C7F"/>
    <w:rsid w:val="6D9A2A51"/>
    <w:rsid w:val="6DA65B2F"/>
    <w:rsid w:val="6DD95016"/>
    <w:rsid w:val="6E2058DF"/>
    <w:rsid w:val="6E2314E1"/>
    <w:rsid w:val="6E3D7EA8"/>
    <w:rsid w:val="6E3E57D8"/>
    <w:rsid w:val="6E6A5FDF"/>
    <w:rsid w:val="6E723423"/>
    <w:rsid w:val="6EB52761"/>
    <w:rsid w:val="6EBD333F"/>
    <w:rsid w:val="6ED03BE8"/>
    <w:rsid w:val="6F1806B1"/>
    <w:rsid w:val="6F1A465E"/>
    <w:rsid w:val="6F267B1A"/>
    <w:rsid w:val="6F2C5301"/>
    <w:rsid w:val="6F355555"/>
    <w:rsid w:val="6F4B5304"/>
    <w:rsid w:val="6F5E46B6"/>
    <w:rsid w:val="6F785F95"/>
    <w:rsid w:val="6FBB1202"/>
    <w:rsid w:val="6FBF29B6"/>
    <w:rsid w:val="6FD766EC"/>
    <w:rsid w:val="701D2148"/>
    <w:rsid w:val="701E6A3A"/>
    <w:rsid w:val="702A39A6"/>
    <w:rsid w:val="70384780"/>
    <w:rsid w:val="706F1853"/>
    <w:rsid w:val="70747100"/>
    <w:rsid w:val="707E338E"/>
    <w:rsid w:val="708225FA"/>
    <w:rsid w:val="7083404D"/>
    <w:rsid w:val="708816E6"/>
    <w:rsid w:val="70A00311"/>
    <w:rsid w:val="70BA54F6"/>
    <w:rsid w:val="70BB0D5E"/>
    <w:rsid w:val="70BE1DC3"/>
    <w:rsid w:val="70D504F6"/>
    <w:rsid w:val="70D61D09"/>
    <w:rsid w:val="70F84D5E"/>
    <w:rsid w:val="70F9659C"/>
    <w:rsid w:val="70FD6298"/>
    <w:rsid w:val="70FE2686"/>
    <w:rsid w:val="710724F3"/>
    <w:rsid w:val="7124739D"/>
    <w:rsid w:val="71266A74"/>
    <w:rsid w:val="713E2D0F"/>
    <w:rsid w:val="714C1A4B"/>
    <w:rsid w:val="71635360"/>
    <w:rsid w:val="717D55A0"/>
    <w:rsid w:val="71916B4B"/>
    <w:rsid w:val="71A41974"/>
    <w:rsid w:val="71A53EAC"/>
    <w:rsid w:val="71A97073"/>
    <w:rsid w:val="71B25DC4"/>
    <w:rsid w:val="71D50174"/>
    <w:rsid w:val="71F04757"/>
    <w:rsid w:val="71F30F05"/>
    <w:rsid w:val="721C60FD"/>
    <w:rsid w:val="724947B6"/>
    <w:rsid w:val="72604EDD"/>
    <w:rsid w:val="72666AC2"/>
    <w:rsid w:val="726D7524"/>
    <w:rsid w:val="7281774F"/>
    <w:rsid w:val="72BF0985"/>
    <w:rsid w:val="72F45A27"/>
    <w:rsid w:val="72FC42E0"/>
    <w:rsid w:val="72FF3886"/>
    <w:rsid w:val="73025F39"/>
    <w:rsid w:val="730563D5"/>
    <w:rsid w:val="73260B65"/>
    <w:rsid w:val="73271AC9"/>
    <w:rsid w:val="733C5D78"/>
    <w:rsid w:val="73690309"/>
    <w:rsid w:val="7377668C"/>
    <w:rsid w:val="737D21F1"/>
    <w:rsid w:val="73873502"/>
    <w:rsid w:val="73AB732E"/>
    <w:rsid w:val="73B20127"/>
    <w:rsid w:val="73B2258E"/>
    <w:rsid w:val="73D01890"/>
    <w:rsid w:val="73D24D08"/>
    <w:rsid w:val="73D26FCB"/>
    <w:rsid w:val="73F17CB8"/>
    <w:rsid w:val="73FA0E27"/>
    <w:rsid w:val="7431631F"/>
    <w:rsid w:val="74316CBA"/>
    <w:rsid w:val="744B3A5E"/>
    <w:rsid w:val="74941150"/>
    <w:rsid w:val="7496473B"/>
    <w:rsid w:val="74B33FA3"/>
    <w:rsid w:val="74B60D87"/>
    <w:rsid w:val="74B66864"/>
    <w:rsid w:val="74BB5AF8"/>
    <w:rsid w:val="74E450D3"/>
    <w:rsid w:val="74F86EAD"/>
    <w:rsid w:val="751034C9"/>
    <w:rsid w:val="75134D9F"/>
    <w:rsid w:val="752F3CFE"/>
    <w:rsid w:val="754C1678"/>
    <w:rsid w:val="754F0DC0"/>
    <w:rsid w:val="75570D15"/>
    <w:rsid w:val="75761081"/>
    <w:rsid w:val="759E41AF"/>
    <w:rsid w:val="75A562C0"/>
    <w:rsid w:val="75AC6B2F"/>
    <w:rsid w:val="75E57258"/>
    <w:rsid w:val="75E75883"/>
    <w:rsid w:val="75F7352B"/>
    <w:rsid w:val="75FA32CB"/>
    <w:rsid w:val="76046285"/>
    <w:rsid w:val="761D5852"/>
    <w:rsid w:val="763531C8"/>
    <w:rsid w:val="76365A75"/>
    <w:rsid w:val="765A1929"/>
    <w:rsid w:val="765C4817"/>
    <w:rsid w:val="76653EF8"/>
    <w:rsid w:val="766714A2"/>
    <w:rsid w:val="767C10AD"/>
    <w:rsid w:val="76A302C1"/>
    <w:rsid w:val="76D24DA2"/>
    <w:rsid w:val="76D85037"/>
    <w:rsid w:val="76E5294C"/>
    <w:rsid w:val="76F033B7"/>
    <w:rsid w:val="771A3C01"/>
    <w:rsid w:val="777907DB"/>
    <w:rsid w:val="777B41F4"/>
    <w:rsid w:val="77A04FEF"/>
    <w:rsid w:val="77A13F33"/>
    <w:rsid w:val="77B63A57"/>
    <w:rsid w:val="77BA73C5"/>
    <w:rsid w:val="77C1791F"/>
    <w:rsid w:val="77C57F3C"/>
    <w:rsid w:val="780A24F5"/>
    <w:rsid w:val="783B47D0"/>
    <w:rsid w:val="786E611C"/>
    <w:rsid w:val="786E621F"/>
    <w:rsid w:val="787A1CAF"/>
    <w:rsid w:val="78812A2D"/>
    <w:rsid w:val="78855DAD"/>
    <w:rsid w:val="78976AF5"/>
    <w:rsid w:val="78D20543"/>
    <w:rsid w:val="78DF0397"/>
    <w:rsid w:val="78E40EB8"/>
    <w:rsid w:val="78EA100E"/>
    <w:rsid w:val="794B1CBE"/>
    <w:rsid w:val="795528FA"/>
    <w:rsid w:val="795B6B06"/>
    <w:rsid w:val="799F1A75"/>
    <w:rsid w:val="79AB7F06"/>
    <w:rsid w:val="79B738D1"/>
    <w:rsid w:val="79BA0F42"/>
    <w:rsid w:val="79D04C69"/>
    <w:rsid w:val="79D253BD"/>
    <w:rsid w:val="79DA1C85"/>
    <w:rsid w:val="79DD203F"/>
    <w:rsid w:val="79E04974"/>
    <w:rsid w:val="7A350440"/>
    <w:rsid w:val="7A837163"/>
    <w:rsid w:val="7AA4152E"/>
    <w:rsid w:val="7AC12AA4"/>
    <w:rsid w:val="7AE03CB9"/>
    <w:rsid w:val="7AE05CA0"/>
    <w:rsid w:val="7B046EF0"/>
    <w:rsid w:val="7B1B0C46"/>
    <w:rsid w:val="7B294E90"/>
    <w:rsid w:val="7B2E417F"/>
    <w:rsid w:val="7B3418B7"/>
    <w:rsid w:val="7B3A4C6A"/>
    <w:rsid w:val="7B557719"/>
    <w:rsid w:val="7B6B7E98"/>
    <w:rsid w:val="7B9A508B"/>
    <w:rsid w:val="7BAD0EC4"/>
    <w:rsid w:val="7BAD1723"/>
    <w:rsid w:val="7BBC5468"/>
    <w:rsid w:val="7BC718F2"/>
    <w:rsid w:val="7BD53F0F"/>
    <w:rsid w:val="7BDC64FE"/>
    <w:rsid w:val="7C3672FF"/>
    <w:rsid w:val="7C551DB9"/>
    <w:rsid w:val="7C8B2C1F"/>
    <w:rsid w:val="7C942B4D"/>
    <w:rsid w:val="7C9B00A3"/>
    <w:rsid w:val="7CA501DC"/>
    <w:rsid w:val="7CA722C8"/>
    <w:rsid w:val="7CB72EE4"/>
    <w:rsid w:val="7CF67626"/>
    <w:rsid w:val="7CFC3CED"/>
    <w:rsid w:val="7CFC437D"/>
    <w:rsid w:val="7D123F7B"/>
    <w:rsid w:val="7D2360EB"/>
    <w:rsid w:val="7D245D39"/>
    <w:rsid w:val="7D474204"/>
    <w:rsid w:val="7D645B07"/>
    <w:rsid w:val="7D6541CB"/>
    <w:rsid w:val="7D662CA2"/>
    <w:rsid w:val="7D6E48EB"/>
    <w:rsid w:val="7D764B56"/>
    <w:rsid w:val="7D785C0A"/>
    <w:rsid w:val="7DC66C7B"/>
    <w:rsid w:val="7DD23860"/>
    <w:rsid w:val="7DFC43D4"/>
    <w:rsid w:val="7E031CD2"/>
    <w:rsid w:val="7E040ABB"/>
    <w:rsid w:val="7E101F9D"/>
    <w:rsid w:val="7E105E91"/>
    <w:rsid w:val="7E1754BE"/>
    <w:rsid w:val="7E223BDC"/>
    <w:rsid w:val="7E3552D9"/>
    <w:rsid w:val="7E3C2CE6"/>
    <w:rsid w:val="7E650141"/>
    <w:rsid w:val="7E8B67DD"/>
    <w:rsid w:val="7E952CF5"/>
    <w:rsid w:val="7E9D6DFD"/>
    <w:rsid w:val="7EAB3461"/>
    <w:rsid w:val="7EC20B31"/>
    <w:rsid w:val="7EC84B45"/>
    <w:rsid w:val="7EDF2C84"/>
    <w:rsid w:val="7EDF74A6"/>
    <w:rsid w:val="7EED21FB"/>
    <w:rsid w:val="7F0D478C"/>
    <w:rsid w:val="7F123BF3"/>
    <w:rsid w:val="7F21006A"/>
    <w:rsid w:val="7F2D34C8"/>
    <w:rsid w:val="7F2F7D0C"/>
    <w:rsid w:val="7F3C30AF"/>
    <w:rsid w:val="7F3E5646"/>
    <w:rsid w:val="7F734787"/>
    <w:rsid w:val="7FAB7425"/>
    <w:rsid w:val="7FD305C7"/>
    <w:rsid w:val="7FD63995"/>
    <w:rsid w:val="7FD7348F"/>
    <w:rsid w:val="7FDA0F38"/>
    <w:rsid w:val="7FF37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qFormat="1"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0"/>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1"/>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2"/>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3"/>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4"/>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8"/>
    <w:semiHidden/>
    <w:unhideWhenUsed/>
    <w:qFormat/>
    <w:uiPriority w:val="99"/>
    <w:pPr>
      <w:shd w:val="clear" w:color="auto" w:fill="000080"/>
    </w:pPr>
  </w:style>
  <w:style w:type="paragraph" w:styleId="9">
    <w:name w:val="annotation text"/>
    <w:basedOn w:val="1"/>
    <w:link w:val="36"/>
    <w:semiHidden/>
    <w:unhideWhenUsed/>
    <w:qFormat/>
    <w:uiPriority w:val="99"/>
    <w:pPr>
      <w:jc w:val="left"/>
    </w:pPr>
    <w:rPr>
      <w:rFonts w:ascii="Times New Roman" w:hAnsi="Times New Roman"/>
      <w:szCs w:val="20"/>
    </w:rPr>
  </w:style>
  <w:style w:type="paragraph" w:styleId="10">
    <w:name w:val="Body Text 3"/>
    <w:basedOn w:val="1"/>
    <w:link w:val="45"/>
    <w:semiHidden/>
    <w:unhideWhenUsed/>
    <w:qFormat/>
    <w:uiPriority w:val="99"/>
    <w:pPr>
      <w:spacing w:after="120"/>
    </w:pPr>
    <w:rPr>
      <w:sz w:val="16"/>
      <w:szCs w:val="16"/>
    </w:rPr>
  </w:style>
  <w:style w:type="paragraph" w:styleId="11">
    <w:name w:val="Closing"/>
    <w:basedOn w:val="1"/>
    <w:next w:val="1"/>
    <w:link w:val="40"/>
    <w:semiHidden/>
    <w:unhideWhenUsed/>
    <w:qFormat/>
    <w:uiPriority w:val="99"/>
    <w:pPr>
      <w:widowControl/>
      <w:ind w:left="4320"/>
      <w:jc w:val="left"/>
    </w:pPr>
    <w:rPr>
      <w:kern w:val="0"/>
      <w:sz w:val="20"/>
      <w:szCs w:val="20"/>
    </w:rPr>
  </w:style>
  <w:style w:type="paragraph" w:styleId="12">
    <w:name w:val="Body Text"/>
    <w:basedOn w:val="1"/>
    <w:link w:val="41"/>
    <w:semiHidden/>
    <w:unhideWhenUsed/>
    <w:qFormat/>
    <w:uiPriority w:val="99"/>
    <w:pPr>
      <w:spacing w:after="120"/>
    </w:pPr>
  </w:style>
  <w:style w:type="paragraph" w:styleId="13">
    <w:name w:val="Body Text Indent"/>
    <w:basedOn w:val="1"/>
    <w:link w:val="42"/>
    <w:semiHidden/>
    <w:unhideWhenUsed/>
    <w:qFormat/>
    <w:uiPriority w:val="99"/>
    <w:pPr>
      <w:spacing w:after="120"/>
      <w:ind w:left="420" w:leftChars="200"/>
    </w:pPr>
  </w:style>
  <w:style w:type="paragraph" w:styleId="14">
    <w:name w:val="Plain Text"/>
    <w:basedOn w:val="1"/>
    <w:link w:val="49"/>
    <w:semiHidden/>
    <w:unhideWhenUsed/>
    <w:qFormat/>
    <w:uiPriority w:val="99"/>
    <w:rPr>
      <w:rFonts w:ascii="宋体" w:hAnsi="Courier New"/>
      <w:szCs w:val="20"/>
    </w:rPr>
  </w:style>
  <w:style w:type="paragraph" w:styleId="15">
    <w:name w:val="Date"/>
    <w:basedOn w:val="1"/>
    <w:next w:val="1"/>
    <w:link w:val="43"/>
    <w:unhideWhenUsed/>
    <w:qFormat/>
    <w:uiPriority w:val="0"/>
  </w:style>
  <w:style w:type="paragraph" w:styleId="16">
    <w:name w:val="Body Text Indent 2"/>
    <w:basedOn w:val="1"/>
    <w:link w:val="46"/>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50"/>
    <w:semiHidden/>
    <w:unhideWhenUsed/>
    <w:qFormat/>
    <w:uiPriority w:val="99"/>
    <w:rPr>
      <w:sz w:val="18"/>
      <w:szCs w:val="18"/>
    </w:rPr>
  </w:style>
  <w:style w:type="paragraph" w:styleId="18">
    <w:name w:val="footer"/>
    <w:basedOn w:val="1"/>
    <w:link w:val="38"/>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7"/>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9"/>
    <w:qFormat/>
    <w:uiPriority w:val="10"/>
    <w:pPr>
      <w:spacing w:before="240" w:after="60"/>
      <w:jc w:val="center"/>
      <w:outlineLvl w:val="0"/>
    </w:pPr>
    <w:rPr>
      <w:rFonts w:ascii="Cambria" w:hAnsi="Cambria"/>
      <w:b/>
      <w:bCs/>
      <w:sz w:val="32"/>
      <w:szCs w:val="32"/>
    </w:rPr>
  </w:style>
  <w:style w:type="paragraph" w:styleId="23">
    <w:name w:val="Body Text First Indent"/>
    <w:basedOn w:val="12"/>
    <w:link w:val="44"/>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FollowedHyperlink"/>
    <w:basedOn w:val="26"/>
    <w:semiHidden/>
    <w:unhideWhenUsed/>
    <w:qFormat/>
    <w:uiPriority w:val="0"/>
    <w:rPr>
      <w:color w:val="800080"/>
      <w:u w:val="none"/>
    </w:rPr>
  </w:style>
  <w:style w:type="character" w:styleId="29">
    <w:name w:val="Hyperlink"/>
    <w:unhideWhenUsed/>
    <w:qFormat/>
    <w:uiPriority w:val="0"/>
    <w:rPr>
      <w:color w:val="0000FF"/>
      <w:u w:val="single"/>
    </w:rPr>
  </w:style>
  <w:style w:type="character" w:customStyle="1" w:styleId="30">
    <w:name w:val="标题 1 字符"/>
    <w:basedOn w:val="26"/>
    <w:link w:val="2"/>
    <w:qFormat/>
    <w:uiPriority w:val="0"/>
    <w:rPr>
      <w:rFonts w:ascii="Times New Roman" w:hAnsi="Times New Roman" w:eastAsia="宋体" w:cs="Times New Roman"/>
      <w:b/>
      <w:kern w:val="44"/>
      <w:sz w:val="44"/>
      <w:szCs w:val="20"/>
    </w:rPr>
  </w:style>
  <w:style w:type="character" w:customStyle="1" w:styleId="31">
    <w:name w:val="标题 2 字符"/>
    <w:basedOn w:val="26"/>
    <w:link w:val="3"/>
    <w:qFormat/>
    <w:uiPriority w:val="0"/>
    <w:rPr>
      <w:rFonts w:ascii="Arial" w:hAnsi="Arial" w:eastAsia="黑体" w:cs="Times New Roman"/>
      <w:b/>
      <w:sz w:val="32"/>
      <w:szCs w:val="20"/>
    </w:rPr>
  </w:style>
  <w:style w:type="character" w:customStyle="1" w:styleId="32">
    <w:name w:val="标题 3 字符"/>
    <w:basedOn w:val="26"/>
    <w:link w:val="4"/>
    <w:qFormat/>
    <w:uiPriority w:val="0"/>
    <w:rPr>
      <w:rFonts w:ascii="Times New Roman" w:hAnsi="Times New Roman" w:eastAsia="宋体" w:cs="Times New Roman"/>
      <w:b/>
      <w:sz w:val="32"/>
      <w:szCs w:val="20"/>
    </w:rPr>
  </w:style>
  <w:style w:type="character" w:customStyle="1" w:styleId="33">
    <w:name w:val="标题 4 字符"/>
    <w:basedOn w:val="26"/>
    <w:link w:val="5"/>
    <w:semiHidden/>
    <w:qFormat/>
    <w:uiPriority w:val="0"/>
    <w:rPr>
      <w:rFonts w:ascii="Arial" w:hAnsi="Arial" w:eastAsia="黑体" w:cs="Times New Roman"/>
      <w:b/>
      <w:bCs/>
      <w:sz w:val="28"/>
      <w:szCs w:val="28"/>
    </w:rPr>
  </w:style>
  <w:style w:type="character" w:customStyle="1" w:styleId="34">
    <w:name w:val="标题 5 字符"/>
    <w:basedOn w:val="26"/>
    <w:link w:val="6"/>
    <w:semiHidden/>
    <w:qFormat/>
    <w:uiPriority w:val="0"/>
    <w:rPr>
      <w:rFonts w:ascii="Calibri" w:hAnsi="Calibri" w:eastAsia="宋体" w:cs="Times New Roman"/>
      <w:b/>
      <w:bCs/>
      <w:sz w:val="28"/>
      <w:szCs w:val="28"/>
    </w:rPr>
  </w:style>
  <w:style w:type="paragraph" w:customStyle="1" w:styleId="35">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6">
    <w:name w:val="批注文字 字符"/>
    <w:basedOn w:val="26"/>
    <w:link w:val="9"/>
    <w:semiHidden/>
    <w:qFormat/>
    <w:uiPriority w:val="99"/>
    <w:rPr>
      <w:rFonts w:ascii="Times New Roman" w:hAnsi="Times New Roman" w:eastAsia="宋体" w:cs="Times New Roman"/>
      <w:szCs w:val="20"/>
    </w:rPr>
  </w:style>
  <w:style w:type="character" w:customStyle="1" w:styleId="37">
    <w:name w:val="页眉 字符"/>
    <w:basedOn w:val="26"/>
    <w:link w:val="19"/>
    <w:qFormat/>
    <w:uiPriority w:val="99"/>
    <w:rPr>
      <w:rFonts w:ascii="Calibri" w:hAnsi="Calibri" w:eastAsia="宋体" w:cs="Times New Roman"/>
      <w:sz w:val="18"/>
      <w:szCs w:val="18"/>
    </w:rPr>
  </w:style>
  <w:style w:type="character" w:customStyle="1" w:styleId="38">
    <w:name w:val="页脚 字符"/>
    <w:basedOn w:val="26"/>
    <w:link w:val="18"/>
    <w:qFormat/>
    <w:uiPriority w:val="99"/>
    <w:rPr>
      <w:rFonts w:ascii="宋体" w:hAnsi="宋体" w:eastAsia="宋体" w:cs="Times New Roman"/>
      <w:kern w:val="0"/>
      <w:sz w:val="18"/>
      <w:szCs w:val="18"/>
    </w:rPr>
  </w:style>
  <w:style w:type="character" w:customStyle="1" w:styleId="39">
    <w:name w:val="标题 字符"/>
    <w:basedOn w:val="26"/>
    <w:link w:val="22"/>
    <w:qFormat/>
    <w:uiPriority w:val="10"/>
    <w:rPr>
      <w:rFonts w:ascii="Cambria" w:hAnsi="Cambria" w:eastAsia="宋体" w:cs="Times New Roman"/>
      <w:b/>
      <w:bCs/>
      <w:sz w:val="32"/>
      <w:szCs w:val="32"/>
    </w:rPr>
  </w:style>
  <w:style w:type="character" w:customStyle="1" w:styleId="40">
    <w:name w:val="结束语 字符"/>
    <w:basedOn w:val="26"/>
    <w:link w:val="11"/>
    <w:semiHidden/>
    <w:qFormat/>
    <w:uiPriority w:val="99"/>
    <w:rPr>
      <w:rFonts w:ascii="Calibri" w:hAnsi="Calibri" w:eastAsia="宋体" w:cs="Times New Roman"/>
      <w:kern w:val="0"/>
      <w:sz w:val="20"/>
      <w:szCs w:val="20"/>
    </w:rPr>
  </w:style>
  <w:style w:type="character" w:customStyle="1" w:styleId="41">
    <w:name w:val="正文文本 字符"/>
    <w:basedOn w:val="26"/>
    <w:link w:val="12"/>
    <w:semiHidden/>
    <w:qFormat/>
    <w:uiPriority w:val="99"/>
    <w:rPr>
      <w:rFonts w:ascii="Calibri" w:hAnsi="Calibri" w:eastAsia="宋体" w:cs="Times New Roman"/>
    </w:rPr>
  </w:style>
  <w:style w:type="character" w:customStyle="1" w:styleId="42">
    <w:name w:val="正文文本缩进 字符"/>
    <w:basedOn w:val="26"/>
    <w:link w:val="13"/>
    <w:semiHidden/>
    <w:qFormat/>
    <w:uiPriority w:val="99"/>
    <w:rPr>
      <w:rFonts w:ascii="Calibri" w:hAnsi="Calibri" w:eastAsia="宋体" w:cs="Times New Roman"/>
    </w:rPr>
  </w:style>
  <w:style w:type="character" w:customStyle="1" w:styleId="43">
    <w:name w:val="日期 字符"/>
    <w:basedOn w:val="26"/>
    <w:link w:val="15"/>
    <w:semiHidden/>
    <w:qFormat/>
    <w:uiPriority w:val="99"/>
    <w:rPr>
      <w:rFonts w:ascii="Calibri" w:hAnsi="Calibri" w:eastAsia="宋体" w:cs="Times New Roman"/>
    </w:rPr>
  </w:style>
  <w:style w:type="character" w:customStyle="1" w:styleId="44">
    <w:name w:val="正文首行缩进 字符"/>
    <w:basedOn w:val="41"/>
    <w:link w:val="23"/>
    <w:semiHidden/>
    <w:qFormat/>
    <w:uiPriority w:val="99"/>
    <w:rPr>
      <w:rFonts w:ascii="Calibri" w:hAnsi="Calibri" w:eastAsia="宋体" w:cs="Times New Roman"/>
    </w:rPr>
  </w:style>
  <w:style w:type="character" w:customStyle="1" w:styleId="45">
    <w:name w:val="正文文本 3 字符"/>
    <w:basedOn w:val="26"/>
    <w:link w:val="10"/>
    <w:semiHidden/>
    <w:qFormat/>
    <w:uiPriority w:val="99"/>
    <w:rPr>
      <w:rFonts w:ascii="Calibri" w:hAnsi="Calibri" w:eastAsia="宋体" w:cs="Times New Roman"/>
      <w:sz w:val="16"/>
      <w:szCs w:val="16"/>
    </w:rPr>
  </w:style>
  <w:style w:type="character" w:customStyle="1" w:styleId="46">
    <w:name w:val="正文文本缩进 2 字符"/>
    <w:basedOn w:val="26"/>
    <w:link w:val="16"/>
    <w:semiHidden/>
    <w:qFormat/>
    <w:uiPriority w:val="99"/>
    <w:rPr>
      <w:rFonts w:ascii="幼圆" w:hAnsi="Calibri" w:eastAsia="幼圆" w:cs="Times New Roman"/>
      <w:sz w:val="24"/>
      <w:szCs w:val="20"/>
    </w:rPr>
  </w:style>
  <w:style w:type="character" w:customStyle="1" w:styleId="47">
    <w:name w:val="正文文本缩进 3 字符"/>
    <w:basedOn w:val="26"/>
    <w:link w:val="20"/>
    <w:semiHidden/>
    <w:qFormat/>
    <w:uiPriority w:val="99"/>
    <w:rPr>
      <w:rFonts w:ascii="宋体" w:hAnsi="宋体" w:eastAsia="宋体" w:cs="Times New Roman"/>
      <w:bCs/>
      <w:kern w:val="0"/>
      <w:sz w:val="24"/>
    </w:rPr>
  </w:style>
  <w:style w:type="character" w:customStyle="1" w:styleId="48">
    <w:name w:val="文档结构图 字符"/>
    <w:basedOn w:val="26"/>
    <w:link w:val="8"/>
    <w:semiHidden/>
    <w:qFormat/>
    <w:uiPriority w:val="99"/>
    <w:rPr>
      <w:rFonts w:ascii="Calibri" w:hAnsi="Calibri" w:eastAsia="宋体" w:cs="Times New Roman"/>
      <w:shd w:val="clear" w:color="auto" w:fill="000080"/>
    </w:rPr>
  </w:style>
  <w:style w:type="character" w:customStyle="1" w:styleId="49">
    <w:name w:val="纯文本 字符"/>
    <w:basedOn w:val="26"/>
    <w:link w:val="14"/>
    <w:semiHidden/>
    <w:qFormat/>
    <w:uiPriority w:val="99"/>
    <w:rPr>
      <w:rFonts w:ascii="宋体" w:hAnsi="Courier New" w:eastAsia="宋体" w:cs="Times New Roman"/>
      <w:szCs w:val="20"/>
    </w:rPr>
  </w:style>
  <w:style w:type="character" w:customStyle="1" w:styleId="50">
    <w:name w:val="批注框文本 字符"/>
    <w:basedOn w:val="26"/>
    <w:link w:val="17"/>
    <w:semiHidden/>
    <w:qFormat/>
    <w:uiPriority w:val="99"/>
    <w:rPr>
      <w:rFonts w:ascii="Calibri" w:hAnsi="Calibri" w:eastAsia="宋体" w:cs="Times New Roman"/>
      <w:sz w:val="18"/>
      <w:szCs w:val="18"/>
    </w:rPr>
  </w:style>
  <w:style w:type="character" w:customStyle="1" w:styleId="51">
    <w:name w:val="无间隔 字符"/>
    <w:link w:val="52"/>
    <w:qFormat/>
    <w:locked/>
    <w:uiPriority w:val="0"/>
    <w:rPr>
      <w:rFonts w:ascii="Calibri" w:hAnsi="Calibri" w:cs="Calibri"/>
      <w:sz w:val="22"/>
    </w:rPr>
  </w:style>
  <w:style w:type="paragraph" w:styleId="52">
    <w:name w:val="No Spacing"/>
    <w:link w:val="51"/>
    <w:qFormat/>
    <w:uiPriority w:val="0"/>
    <w:rPr>
      <w:rFonts w:ascii="Calibri" w:hAnsi="Calibri" w:cs="Calibri" w:eastAsiaTheme="minorEastAsia"/>
      <w:kern w:val="2"/>
      <w:sz w:val="22"/>
      <w:szCs w:val="22"/>
      <w:lang w:val="en-US" w:eastAsia="zh-CN" w:bidi="ar-SA"/>
    </w:rPr>
  </w:style>
  <w:style w:type="paragraph" w:styleId="53">
    <w:name w:val="List Paragraph"/>
    <w:basedOn w:val="1"/>
    <w:qFormat/>
    <w:uiPriority w:val="99"/>
    <w:pPr>
      <w:ind w:firstLine="420" w:firstLineChars="200"/>
    </w:pPr>
  </w:style>
  <w:style w:type="paragraph" w:customStyle="1" w:styleId="54">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5">
    <w:name w:val="列出段落[858D7CFB-ED40-4347-BF05-701D383B685F][858D7CFB-ED40-4347-BF05-701D383B685F]"/>
    <w:basedOn w:val="1"/>
    <w:qFormat/>
    <w:uiPriority w:val="99"/>
    <w:pPr>
      <w:ind w:firstLine="420" w:firstLineChars="200"/>
    </w:pPr>
  </w:style>
  <w:style w:type="paragraph" w:customStyle="1" w:styleId="56">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7">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8">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9">
    <w:name w:val="Char"/>
    <w:basedOn w:val="1"/>
    <w:qFormat/>
    <w:uiPriority w:val="99"/>
    <w:rPr>
      <w:rFonts w:ascii="Tahoma" w:hAnsi="Tahoma"/>
      <w:sz w:val="24"/>
      <w:szCs w:val="20"/>
    </w:rPr>
  </w:style>
  <w:style w:type="paragraph" w:customStyle="1" w:styleId="60">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1">
    <w:name w:val="Char Char Char Char Char Char Char"/>
    <w:basedOn w:val="1"/>
    <w:qFormat/>
    <w:uiPriority w:val="99"/>
    <w:pPr>
      <w:tabs>
        <w:tab w:val="left" w:pos="432"/>
      </w:tabs>
      <w:ind w:left="432" w:hanging="432"/>
    </w:pPr>
    <w:rPr>
      <w:rFonts w:ascii="Tahoma" w:hAnsi="Tahoma"/>
      <w:sz w:val="24"/>
      <w:szCs w:val="20"/>
    </w:rPr>
  </w:style>
  <w:style w:type="paragraph" w:customStyle="1" w:styleId="62">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3">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4">
    <w:name w:val="文档正文"/>
    <w:basedOn w:val="1"/>
    <w:qFormat/>
    <w:uiPriority w:val="99"/>
    <w:pPr>
      <w:spacing w:before="120" w:after="120" w:line="360" w:lineRule="auto"/>
    </w:pPr>
    <w:rPr>
      <w:rFonts w:ascii="宋体" w:hAnsi="Arial" w:eastAsia="幼圆"/>
      <w:sz w:val="24"/>
      <w:szCs w:val="20"/>
    </w:rPr>
  </w:style>
  <w:style w:type="paragraph" w:customStyle="1" w:styleId="65">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6">
    <w:name w:val="pa-2"/>
    <w:basedOn w:val="1"/>
    <w:qFormat/>
    <w:uiPriority w:val="99"/>
    <w:pPr>
      <w:widowControl/>
      <w:spacing w:before="150" w:after="150"/>
      <w:jc w:val="left"/>
    </w:pPr>
    <w:rPr>
      <w:rFonts w:ascii="宋体" w:hAnsi="宋体" w:cs="宋体"/>
      <w:kern w:val="0"/>
      <w:sz w:val="24"/>
    </w:rPr>
  </w:style>
  <w:style w:type="paragraph" w:customStyle="1" w:styleId="67">
    <w:name w:val="大汉方案正文 Char"/>
    <w:basedOn w:val="1"/>
    <w:qFormat/>
    <w:uiPriority w:val="99"/>
    <w:pPr>
      <w:spacing w:line="360" w:lineRule="auto"/>
      <w:ind w:firstLine="200" w:firstLineChars="200"/>
    </w:pPr>
    <w:rPr>
      <w:rFonts w:ascii="Arial" w:hAnsi="Arial"/>
      <w:sz w:val="24"/>
      <w:szCs w:val="24"/>
    </w:rPr>
  </w:style>
  <w:style w:type="paragraph" w:customStyle="1" w:styleId="68">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9">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0">
    <w:name w:val="Char Char Char"/>
    <w:basedOn w:val="1"/>
    <w:qFormat/>
    <w:uiPriority w:val="99"/>
    <w:rPr>
      <w:rFonts w:ascii="Tahoma" w:hAnsi="Tahoma"/>
      <w:sz w:val="24"/>
      <w:szCs w:val="20"/>
    </w:rPr>
  </w:style>
  <w:style w:type="paragraph" w:customStyle="1" w:styleId="71">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2">
    <w:name w:val="技术报告正文"/>
    <w:basedOn w:val="1"/>
    <w:qFormat/>
    <w:uiPriority w:val="99"/>
    <w:pPr>
      <w:spacing w:beforeLines="50" w:line="440" w:lineRule="exact"/>
      <w:ind w:firstLine="538" w:firstLineChars="192"/>
    </w:pPr>
    <w:rPr>
      <w:rFonts w:cs="Arial"/>
      <w:bCs/>
      <w:sz w:val="28"/>
    </w:rPr>
  </w:style>
  <w:style w:type="paragraph" w:customStyle="1" w:styleId="73">
    <w:name w:val="默认段落字体 Para Char Char Char Char Char Char Char Char Char1 Char Char Char Char Char Char Char Char"/>
    <w:basedOn w:val="8"/>
    <w:qFormat/>
    <w:uiPriority w:val="99"/>
  </w:style>
  <w:style w:type="paragraph" w:customStyle="1" w:styleId="74">
    <w:name w:val="p0"/>
    <w:basedOn w:val="1"/>
    <w:qFormat/>
    <w:uiPriority w:val="99"/>
    <w:pPr>
      <w:widowControl/>
    </w:pPr>
    <w:rPr>
      <w:kern w:val="0"/>
      <w:szCs w:val="21"/>
    </w:rPr>
  </w:style>
  <w:style w:type="character" w:customStyle="1" w:styleId="75">
    <w:name w:val="ca-21"/>
    <w:qFormat/>
    <w:uiPriority w:val="0"/>
    <w:rPr>
      <w:rFonts w:hint="eastAsia" w:ascii="宋体-18030" w:hAnsi="宋体-18030" w:eastAsia="宋体-18030" w:cs="宋体-18030"/>
      <w:sz w:val="24"/>
      <w:szCs w:val="24"/>
    </w:rPr>
  </w:style>
  <w:style w:type="character" w:customStyle="1" w:styleId="76">
    <w:name w:val="ca-1"/>
    <w:basedOn w:val="26"/>
    <w:qFormat/>
    <w:uiPriority w:val="0"/>
  </w:style>
  <w:style w:type="character" w:customStyle="1" w:styleId="77">
    <w:name w:val="apple-converted-space"/>
    <w:basedOn w:val="26"/>
    <w:qFormat/>
    <w:uiPriority w:val="0"/>
  </w:style>
  <w:style w:type="character" w:customStyle="1" w:styleId="78">
    <w:name w:val="标题 2 Char Char Char"/>
    <w:qFormat/>
    <w:uiPriority w:val="0"/>
    <w:rPr>
      <w:rFonts w:hint="default" w:ascii="Arial" w:hAnsi="Arial" w:eastAsia="宋体" w:cs="Arial"/>
      <w:b/>
      <w:bCs/>
      <w:i/>
      <w:iCs/>
      <w:sz w:val="28"/>
      <w:szCs w:val="28"/>
      <w:lang w:val="en-US" w:eastAsia="zh-CN" w:bidi="ar-SA"/>
    </w:rPr>
  </w:style>
  <w:style w:type="character" w:customStyle="1" w:styleId="79">
    <w:name w:val="b122"/>
    <w:qFormat/>
    <w:uiPriority w:val="0"/>
    <w:rPr>
      <w:rFonts w:hint="default" w:ascii="Arial" w:hAnsi="Arial" w:cs="Arial"/>
      <w:color w:val="FFFFFF"/>
      <w:sz w:val="18"/>
      <w:szCs w:val="18"/>
    </w:rPr>
  </w:style>
  <w:style w:type="character" w:customStyle="1" w:styleId="80">
    <w:name w:val="ca-11"/>
    <w:qFormat/>
    <w:uiPriority w:val="0"/>
    <w:rPr>
      <w:rFonts w:hint="eastAsia" w:ascii="宋体" w:hAnsi="宋体" w:eastAsia="宋体"/>
      <w:sz w:val="24"/>
      <w:szCs w:val="24"/>
    </w:rPr>
  </w:style>
  <w:style w:type="character" w:customStyle="1" w:styleId="81">
    <w:name w:val="blue"/>
    <w:basedOn w:val="26"/>
    <w:qFormat/>
    <w:uiPriority w:val="0"/>
  </w:style>
  <w:style w:type="character" w:customStyle="1" w:styleId="82">
    <w:name w:val="普通文字1 Char1"/>
    <w:qFormat/>
    <w:uiPriority w:val="0"/>
    <w:rPr>
      <w:rFonts w:hint="default" w:ascii="Courier New" w:hAnsi="Courier New" w:eastAsia="宋体" w:cs="Courier New"/>
      <w:kern w:val="2"/>
      <w:sz w:val="21"/>
      <w:lang w:val="en-US" w:eastAsia="zh-CN" w:bidi="ar-SA"/>
    </w:rPr>
  </w:style>
  <w:style w:type="character" w:customStyle="1" w:styleId="83">
    <w:name w:val="all sel"/>
    <w:basedOn w:val="26"/>
    <w:qFormat/>
    <w:uiPriority w:val="0"/>
  </w:style>
  <w:style w:type="character" w:customStyle="1" w:styleId="84">
    <w:name w:val="style81"/>
    <w:qFormat/>
    <w:uiPriority w:val="0"/>
    <w:rPr>
      <w:sz w:val="21"/>
      <w:szCs w:val="21"/>
    </w:rPr>
  </w:style>
  <w:style w:type="character" w:customStyle="1" w:styleId="85">
    <w:name w:val="h121"/>
    <w:qFormat/>
    <w:uiPriority w:val="0"/>
    <w:rPr>
      <w:color w:val="333333"/>
    </w:rPr>
  </w:style>
  <w:style w:type="character" w:customStyle="1" w:styleId="86">
    <w:name w:val="ca-2"/>
    <w:basedOn w:val="26"/>
    <w:qFormat/>
    <w:uiPriority w:val="0"/>
  </w:style>
  <w:style w:type="character" w:customStyle="1" w:styleId="87">
    <w:name w:val="标题 字符1"/>
    <w:basedOn w:val="26"/>
    <w:qFormat/>
    <w:uiPriority w:val="10"/>
    <w:rPr>
      <w:rFonts w:hint="eastAsia" w:asciiTheme="majorHAnsi" w:hAnsiTheme="majorHAnsi" w:eastAsiaTheme="majorEastAsia" w:cstheme="majorBidi"/>
      <w:b/>
      <w:bCs/>
      <w:kern w:val="2"/>
      <w:sz w:val="32"/>
      <w:szCs w:val="32"/>
    </w:rPr>
  </w:style>
  <w:style w:type="paragraph" w:customStyle="1" w:styleId="88">
    <w:name w:val="四级标题"/>
    <w:basedOn w:val="1"/>
    <w:qFormat/>
    <w:uiPriority w:val="99"/>
    <w:pPr>
      <w:widowControl/>
      <w:numPr>
        <w:ilvl w:val="0"/>
        <w:numId w:val="1"/>
      </w:numPr>
      <w:tabs>
        <w:tab w:val="left" w:pos="851"/>
      </w:tabs>
      <w:spacing w:line="360" w:lineRule="auto"/>
      <w:jc w:val="left"/>
    </w:pPr>
    <w:rPr>
      <w:rFonts w:ascii="宋体" w:hAnsi="宋体"/>
      <w:color w:val="000000"/>
      <w:kern w:val="0"/>
      <w:sz w:val="24"/>
      <w:szCs w:val="24"/>
      <w:lang w:eastAsia="en-US"/>
    </w:rPr>
  </w:style>
  <w:style w:type="character" w:customStyle="1" w:styleId="89">
    <w:name w:val="font21"/>
    <w:basedOn w:val="2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46</TotalTime>
  <ScaleCrop>false</ScaleCrop>
  <LinksUpToDate>false</LinksUpToDate>
  <CharactersWithSpaces>14250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月光照灯</cp:lastModifiedBy>
  <cp:lastPrinted>2019-05-21T09:22:01Z</cp:lastPrinted>
  <dcterms:modified xsi:type="dcterms:W3CDTF">2019-05-21T10:05:47Z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