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亳州市2019年五处公交首末站充电桩设备</w:t>
      </w: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default"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采购项目</w:t>
      </w: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（项目编号：BZJK-201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-0</w:t>
      </w:r>
      <w:r>
        <w:rPr>
          <w:rFonts w:hint="default" w:ascii="方正小标宋简体" w:hAnsi="方正小标宋简体" w:eastAsia="方正小标宋简体" w:cs="方正小标宋简体"/>
          <w:sz w:val="32"/>
          <w:szCs w:val="32"/>
          <w:lang w:val="en-US"/>
        </w:rPr>
        <w:t>22</w:t>
      </w:r>
      <w:r>
        <w:rPr>
          <w:rFonts w:hint="eastAsia" w:ascii="方正小标宋简体" w:hAnsi="方正小标宋简体" w:eastAsia="方正小标宋简体" w:cs="方正小标宋简体"/>
          <w:sz w:val="32"/>
          <w:szCs w:val="32"/>
        </w:rPr>
        <w:t>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eastAsia="zh-CN"/>
        </w:rPr>
        <w:t>招标</w:t>
      </w:r>
      <w:r>
        <w:rPr>
          <w:rFonts w:hint="eastAsia" w:ascii="方正小标宋简体" w:hAnsi="方正小标宋简体" w:eastAsia="方正小标宋简体" w:cs="方正小标宋简体"/>
          <w:sz w:val="32"/>
          <w:szCs w:val="32"/>
        </w:rPr>
        <w:t>人</w:t>
      </w:r>
      <w:r>
        <w:rPr>
          <w:rFonts w:hint="eastAsia" w:ascii="方正小标宋简体" w:hAnsi="方正小标宋简体" w:eastAsia="方正小标宋简体" w:cs="方正小标宋简体"/>
          <w:sz w:val="32"/>
          <w:szCs w:val="32"/>
          <w:lang w:eastAsia="zh-CN"/>
        </w:rPr>
        <w:t>：安徽省安车交通运输集团有限公司</w:t>
      </w:r>
      <w:r>
        <w:rPr>
          <w:rFonts w:hint="eastAsia" w:ascii="方正小标宋简体" w:hAnsi="方正小标宋简体" w:eastAsia="方正小标宋简体" w:cs="方正小标宋简体"/>
          <w:sz w:val="32"/>
          <w:szCs w:val="32"/>
        </w:rPr>
        <w:t xml:space="preserve">                    </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年</w:t>
      </w:r>
      <w:r>
        <w:rPr>
          <w:rFonts w:hint="default" w:ascii="方正小标宋简体" w:hAnsi="方正小标宋简体" w:eastAsia="方正小标宋简体" w:cs="方正小标宋简体"/>
          <w:sz w:val="32"/>
          <w:szCs w:val="32"/>
          <w:lang w:val="en-US" w:eastAsia="zh-CN"/>
        </w:rPr>
        <w:t>4</w:t>
      </w:r>
      <w:r>
        <w:rPr>
          <w:rFonts w:hint="eastAsia" w:ascii="方正小标宋简体" w:hAnsi="方正小标宋简体" w:eastAsia="方正小标宋简体" w:cs="方正小标宋简体"/>
          <w:sz w:val="32"/>
          <w:szCs w:val="32"/>
        </w:rPr>
        <w:t>月</w:t>
      </w:r>
      <w:r>
        <w:rPr>
          <w:rFonts w:hint="eastAsia" w:ascii="方正小标宋简体" w:hAnsi="方正小标宋简体" w:eastAsia="方正小标宋简体" w:cs="方正小标宋简体"/>
          <w:sz w:val="32"/>
          <w:szCs w:val="32"/>
          <w:lang w:val="en-US" w:eastAsia="zh-CN"/>
        </w:rPr>
        <w:t>1</w:t>
      </w:r>
      <w:r>
        <w:rPr>
          <w:rFonts w:hint="default"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日</w:t>
      </w:r>
    </w:p>
    <w:p>
      <w:pPr>
        <w:rPr>
          <w:sz w:val="32"/>
          <w:szCs w:val="32"/>
        </w:rPr>
      </w:pPr>
    </w:p>
    <w:p>
      <w:pPr>
        <w:rPr>
          <w:sz w:val="32"/>
          <w:szCs w:val="32"/>
        </w:rPr>
      </w:pPr>
    </w:p>
    <w:p>
      <w:pPr>
        <w:pStyle w:val="3"/>
        <w:pageBreakBefore w:val="0"/>
        <w:widowControl w:val="0"/>
        <w:kinsoku/>
        <w:wordWrap/>
        <w:overflowPunct/>
        <w:topLinePunct w:val="0"/>
        <w:autoSpaceDE/>
        <w:autoSpaceDN/>
        <w:bidi w:val="0"/>
        <w:adjustRightInd/>
        <w:snapToGrid/>
        <w:spacing w:line="560" w:lineRule="exact"/>
        <w:jc w:val="both"/>
        <w:textAlignment w:val="auto"/>
        <w:rPr>
          <w:rFonts w:hint="eastAsia"/>
        </w:rPr>
      </w:pPr>
    </w:p>
    <w:p>
      <w:pPr>
        <w:pStyle w:val="3"/>
        <w:pageBreakBefore w:val="0"/>
        <w:widowControl w:val="0"/>
        <w:kinsoku/>
        <w:wordWrap/>
        <w:overflowPunct/>
        <w:topLinePunct w:val="0"/>
        <w:autoSpaceDE/>
        <w:autoSpaceDN/>
        <w:bidi w:val="0"/>
        <w:adjustRightInd/>
        <w:snapToGrid/>
        <w:spacing w:line="560" w:lineRule="exact"/>
        <w:jc w:val="center"/>
        <w:textAlignment w:val="auto"/>
      </w:pPr>
      <w:r>
        <w:rPr>
          <w:rFonts w:hint="eastAsia"/>
        </w:rPr>
        <w:t>目</w:t>
      </w:r>
      <w:r>
        <w:t xml:space="preserve">   </w:t>
      </w:r>
      <w:r>
        <w:rPr>
          <w:rFonts w:hint="eastAsia"/>
        </w:rPr>
        <w:t>录</w:t>
      </w:r>
    </w:p>
    <w:p>
      <w:pPr>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第一章</w:t>
      </w:r>
      <w:r>
        <w:rPr>
          <w:rFonts w:hint="eastAsia" w:ascii="黑体" w:hAnsi="黑体" w:eastAsia="黑体" w:cs="黑体"/>
          <w:sz w:val="28"/>
          <w:szCs w:val="28"/>
        </w:rPr>
        <w:tab/>
      </w:r>
      <w:r>
        <w:rPr>
          <w:rFonts w:hint="eastAsia" w:ascii="黑体" w:hAnsi="黑体" w:eastAsia="黑体" w:cs="黑体"/>
          <w:sz w:val="28"/>
          <w:szCs w:val="28"/>
        </w:rPr>
        <w:t>招标公告</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第二章</w:t>
      </w:r>
      <w:r>
        <w:rPr>
          <w:rFonts w:hint="eastAsia" w:ascii="黑体" w:hAnsi="黑体" w:eastAsia="黑体" w:cs="黑体"/>
          <w:sz w:val="28"/>
          <w:szCs w:val="28"/>
        </w:rPr>
        <w:tab/>
      </w:r>
      <w:r>
        <w:rPr>
          <w:rFonts w:hint="eastAsia" w:ascii="黑体" w:hAnsi="黑体" w:eastAsia="黑体" w:cs="黑体"/>
          <w:sz w:val="28"/>
          <w:szCs w:val="28"/>
        </w:rPr>
        <w:t>投标人须知</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第三章</w:t>
      </w:r>
      <w:r>
        <w:rPr>
          <w:rFonts w:hint="eastAsia" w:ascii="黑体" w:hAnsi="黑体" w:eastAsia="黑体" w:cs="黑体"/>
          <w:sz w:val="28"/>
          <w:szCs w:val="28"/>
        </w:rPr>
        <w:tab/>
      </w:r>
      <w:r>
        <w:rPr>
          <w:rFonts w:hint="eastAsia" w:ascii="黑体" w:hAnsi="黑体" w:eastAsia="黑体" w:cs="黑体"/>
          <w:sz w:val="28"/>
          <w:szCs w:val="28"/>
        </w:rPr>
        <w:t>评标办法</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lang w:eastAsia="zh-CN"/>
        </w:rPr>
      </w:pPr>
      <w:r>
        <w:rPr>
          <w:rFonts w:hint="eastAsia" w:ascii="黑体" w:hAnsi="黑体" w:eastAsia="黑体" w:cs="黑体"/>
          <w:sz w:val="28"/>
          <w:szCs w:val="28"/>
        </w:rPr>
        <w:t>第四章</w:t>
      </w:r>
      <w:r>
        <w:rPr>
          <w:rFonts w:hint="eastAsia" w:ascii="黑体" w:hAnsi="黑体" w:eastAsia="黑体" w:cs="黑体"/>
          <w:sz w:val="28"/>
          <w:szCs w:val="28"/>
        </w:rPr>
        <w:tab/>
      </w:r>
      <w:r>
        <w:rPr>
          <w:rFonts w:hint="eastAsia" w:ascii="黑体" w:hAnsi="黑体" w:eastAsia="黑体" w:cs="黑体"/>
          <w:sz w:val="28"/>
          <w:szCs w:val="28"/>
          <w:lang w:eastAsia="zh-CN"/>
        </w:rPr>
        <w:t>合同条款及格式</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 xml:space="preserve">第五章 </w:t>
      </w:r>
      <w:r>
        <w:rPr>
          <w:rFonts w:hint="eastAsia" w:ascii="黑体" w:hAnsi="黑体" w:eastAsia="黑体" w:cs="黑体"/>
          <w:sz w:val="28"/>
          <w:szCs w:val="28"/>
          <w:lang w:val="en-US" w:eastAsia="zh-CN"/>
        </w:rPr>
        <w:t xml:space="preserve"> 技术标准和要求</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w:t>
      </w:r>
      <w:r>
        <w:rPr>
          <w:rFonts w:hint="eastAsia" w:ascii="黑体" w:hAnsi="黑体" w:eastAsia="黑体" w:cs="黑体"/>
          <w:sz w:val="28"/>
          <w:szCs w:val="28"/>
          <w:lang w:eastAsia="zh-CN"/>
        </w:rPr>
        <w:t>六</w:t>
      </w:r>
      <w:r>
        <w:rPr>
          <w:rFonts w:hint="eastAsia" w:ascii="黑体" w:hAnsi="黑体" w:eastAsia="黑体" w:cs="黑体"/>
          <w:sz w:val="28"/>
          <w:szCs w:val="28"/>
        </w:rPr>
        <w:t>章  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 xml:space="preserve">第一章  亳州市2019年五处公交首末站充电桩设备采购项目 </w:t>
      </w:r>
    </w:p>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招标公告</w:t>
      </w: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项目编号：</w:t>
      </w:r>
      <w:r>
        <w:rPr>
          <w:rFonts w:hint="eastAsia" w:ascii="仿宋_GB2312" w:hAnsi="仿宋_GB2312" w:eastAsia="仿宋_GB2312" w:cs="仿宋_GB2312"/>
          <w:sz w:val="32"/>
          <w:szCs w:val="32"/>
          <w:u w:val="single"/>
        </w:rPr>
        <w:t>BZJK-201</w:t>
      </w:r>
      <w:r>
        <w:rPr>
          <w:rFonts w:hint="eastAsia" w:ascii="仿宋_GB2312" w:hAnsi="仿宋_GB2312" w:eastAsia="仿宋_GB2312" w:cs="仿宋_GB2312"/>
          <w:sz w:val="32"/>
          <w:szCs w:val="32"/>
          <w:u w:val="single"/>
          <w:lang w:val="en-US" w:eastAsia="zh-CN"/>
        </w:rPr>
        <w:t>9</w:t>
      </w:r>
      <w:r>
        <w:rPr>
          <w:rFonts w:hint="eastAsia" w:ascii="仿宋_GB2312" w:hAnsi="仿宋_GB2312" w:eastAsia="仿宋_GB2312" w:cs="仿宋_GB2312"/>
          <w:sz w:val="32"/>
          <w:szCs w:val="32"/>
          <w:u w:val="single"/>
        </w:rPr>
        <w:t>-0</w:t>
      </w:r>
      <w:r>
        <w:rPr>
          <w:rFonts w:hint="default" w:ascii="仿宋_GB2312" w:hAnsi="仿宋_GB2312" w:eastAsia="仿宋_GB2312" w:cs="仿宋_GB2312"/>
          <w:sz w:val="32"/>
          <w:szCs w:val="32"/>
          <w:u w:val="single"/>
          <w:lang w:val="en-US" w:eastAsia="zh-CN"/>
        </w:rPr>
        <w:t>22</w:t>
      </w:r>
      <w:r>
        <w:rPr>
          <w:rFonts w:hint="eastAsia" w:ascii="仿宋_GB2312" w:hAnsi="仿宋_GB2312" w:eastAsia="仿宋_GB2312" w:cs="仿宋_GB2312"/>
          <w:sz w:val="32"/>
          <w:szCs w:val="32"/>
          <w:u w:val="single"/>
        </w:rPr>
        <w:t>号</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sz w:val="32"/>
          <w:szCs w:val="32"/>
        </w:rPr>
      </w:pPr>
      <w:r>
        <w:rPr>
          <w:rFonts w:hint="eastAsia" w:ascii="黑体" w:hAnsi="黑体" w:eastAsia="黑体" w:cs="黑体"/>
          <w:sz w:val="32"/>
          <w:szCs w:val="32"/>
        </w:rPr>
        <w:t>一、招标条件</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1、项目名称:亳州市2019年五处公交首末站充电桩设备采购项目 </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人:安徽省安车交通运输集团有限公司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3、资金来源:自筹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4、招标方式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自主公开招标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sz w:val="32"/>
          <w:szCs w:val="32"/>
        </w:rPr>
      </w:pPr>
      <w:r>
        <w:rPr>
          <w:rFonts w:hint="eastAsia" w:ascii="黑体" w:hAnsi="黑体" w:eastAsia="黑体" w:cs="黑体"/>
          <w:sz w:val="32"/>
          <w:szCs w:val="32"/>
        </w:rPr>
        <w:t>二、项目概况及招标范围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1、工程实施地点: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lang w:eastAsia="zh-CN"/>
        </w:rPr>
      </w:pPr>
      <w:r>
        <w:rPr>
          <w:rFonts w:hint="eastAsia" w:ascii="仿宋_GB2312" w:hAnsi="宋体" w:eastAsia="仿宋_GB2312"/>
          <w:sz w:val="32"/>
          <w:szCs w:val="32"/>
          <w:u w:val="none"/>
        </w:rPr>
        <w:t>（1）古井大道西侧、芍花西路东侧</w:t>
      </w:r>
      <w:r>
        <w:rPr>
          <w:rFonts w:hint="eastAsia" w:ascii="仿宋_GB2312" w:hAnsi="宋体" w:eastAsia="仿宋_GB2312"/>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lang w:eastAsia="zh-CN"/>
        </w:rPr>
      </w:pPr>
      <w:r>
        <w:rPr>
          <w:rFonts w:hint="eastAsia" w:ascii="仿宋_GB2312" w:hAnsi="宋体" w:eastAsia="仿宋_GB2312"/>
          <w:sz w:val="32"/>
          <w:szCs w:val="32"/>
          <w:u w:val="none"/>
        </w:rPr>
        <w:t>（2）张良路东侧，养生大道南侧</w:t>
      </w:r>
      <w:r>
        <w:rPr>
          <w:rFonts w:hint="eastAsia" w:ascii="仿宋_GB2312" w:hAnsi="宋体" w:eastAsia="仿宋_GB2312"/>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lang w:eastAsia="zh-CN"/>
        </w:rPr>
      </w:pPr>
      <w:r>
        <w:rPr>
          <w:rFonts w:hint="eastAsia" w:ascii="仿宋_GB2312" w:hAnsi="宋体" w:eastAsia="仿宋_GB2312"/>
          <w:sz w:val="32"/>
          <w:szCs w:val="32"/>
          <w:u w:val="none"/>
        </w:rPr>
        <w:t>（3）百合路南侧、仙翁路东侧</w:t>
      </w:r>
      <w:r>
        <w:rPr>
          <w:rFonts w:hint="eastAsia" w:ascii="仿宋_GB2312" w:hAnsi="宋体" w:eastAsia="仿宋_GB2312"/>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lang w:eastAsia="zh-CN"/>
        </w:rPr>
      </w:pPr>
      <w:r>
        <w:rPr>
          <w:rFonts w:hint="eastAsia" w:ascii="仿宋_GB2312" w:hAnsi="宋体" w:eastAsia="仿宋_GB2312"/>
          <w:sz w:val="32"/>
          <w:szCs w:val="32"/>
          <w:u w:val="none"/>
        </w:rPr>
        <w:t>（4）亳芜大道北侧、张良路东侧</w:t>
      </w:r>
      <w:r>
        <w:rPr>
          <w:rFonts w:hint="eastAsia" w:ascii="仿宋_GB2312" w:hAnsi="宋体" w:eastAsia="仿宋_GB2312"/>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lang w:eastAsia="zh-CN"/>
        </w:rPr>
      </w:pPr>
      <w:r>
        <w:rPr>
          <w:rFonts w:hint="eastAsia" w:ascii="仿宋_GB2312" w:hAnsi="宋体" w:eastAsia="仿宋_GB2312"/>
          <w:sz w:val="32"/>
          <w:szCs w:val="32"/>
          <w:u w:val="none"/>
        </w:rPr>
        <w:t>（5）北一环北侧、药王大道东侧</w:t>
      </w:r>
      <w:r>
        <w:rPr>
          <w:rFonts w:hint="eastAsia" w:ascii="仿宋_GB2312" w:hAnsi="宋体" w:eastAsia="仿宋_GB2312"/>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rPr>
      </w:pPr>
      <w:r>
        <w:rPr>
          <w:rFonts w:hint="eastAsia" w:ascii="仿宋_GB2312" w:hAnsi="仿宋_GB2312" w:eastAsia="仿宋_GB2312" w:cs="仿宋_GB2312"/>
          <w:sz w:val="32"/>
          <w:szCs w:val="32"/>
        </w:rPr>
        <w:t>2、建设规模：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rPr>
      </w:pPr>
      <w:r>
        <w:rPr>
          <w:rFonts w:hint="eastAsia" w:ascii="仿宋_GB2312" w:hAnsi="宋体" w:eastAsia="仿宋_GB2312"/>
          <w:sz w:val="32"/>
          <w:szCs w:val="32"/>
          <w:u w:val="none"/>
        </w:rPr>
        <w:t>（1）</w:t>
      </w:r>
      <w:r>
        <w:rPr>
          <w:rFonts w:eastAsia="仿宋_GB2312"/>
          <w:sz w:val="32"/>
          <w:szCs w:val="32"/>
          <w:u w:val="none"/>
        </w:rPr>
        <w:t>4</w:t>
      </w:r>
      <w:r>
        <w:rPr>
          <w:rFonts w:hint="eastAsia" w:ascii="仿宋_GB2312" w:hAnsi="宋体" w:eastAsia="仿宋_GB2312"/>
          <w:sz w:val="32"/>
          <w:szCs w:val="32"/>
          <w:u w:val="none"/>
        </w:rPr>
        <w:t>号还原小区公交首末站用地面积</w:t>
      </w:r>
      <w:r>
        <w:rPr>
          <w:rFonts w:eastAsia="仿宋_GB2312"/>
          <w:sz w:val="32"/>
          <w:szCs w:val="32"/>
          <w:u w:val="none"/>
        </w:rPr>
        <w:t>8000</w:t>
      </w:r>
      <w:r>
        <w:rPr>
          <w:rFonts w:hint="eastAsia" w:ascii="仿宋_GB2312" w:hAnsi="宋体" w:eastAsia="仿宋_GB2312"/>
          <w:sz w:val="32"/>
          <w:szCs w:val="32"/>
          <w:u w:val="none"/>
        </w:rPr>
        <w:t>平方米、充电桩</w:t>
      </w:r>
      <w:r>
        <w:rPr>
          <w:rFonts w:eastAsia="仿宋_GB2312"/>
          <w:sz w:val="32"/>
          <w:szCs w:val="32"/>
          <w:u w:val="none"/>
        </w:rPr>
        <w:t>30</w:t>
      </w:r>
      <w:r>
        <w:rPr>
          <w:rFonts w:hint="eastAsia" w:ascii="仿宋_GB2312" w:hAnsi="宋体" w:eastAsia="仿宋_GB2312"/>
          <w:sz w:val="32"/>
          <w:szCs w:val="32"/>
          <w:u w:val="none"/>
        </w:rPr>
        <w:t>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rPr>
      </w:pPr>
      <w:r>
        <w:rPr>
          <w:rFonts w:hint="eastAsia" w:ascii="仿宋_GB2312" w:hAnsi="宋体" w:eastAsia="仿宋_GB2312"/>
          <w:sz w:val="32"/>
          <w:szCs w:val="32"/>
          <w:u w:val="none"/>
        </w:rPr>
        <w:t>（2）</w:t>
      </w:r>
      <w:r>
        <w:rPr>
          <w:rFonts w:eastAsia="仿宋_GB2312"/>
          <w:sz w:val="32"/>
          <w:szCs w:val="32"/>
          <w:u w:val="none"/>
        </w:rPr>
        <w:t>5</w:t>
      </w:r>
      <w:r>
        <w:rPr>
          <w:rFonts w:hint="eastAsia" w:ascii="仿宋_GB2312" w:hAnsi="宋体" w:eastAsia="仿宋_GB2312"/>
          <w:sz w:val="32"/>
          <w:szCs w:val="32"/>
          <w:u w:val="none"/>
        </w:rPr>
        <w:t>号还原小区公交首末站用地面积</w:t>
      </w:r>
      <w:r>
        <w:rPr>
          <w:rFonts w:eastAsia="仿宋_GB2312"/>
          <w:sz w:val="32"/>
          <w:szCs w:val="32"/>
          <w:u w:val="none"/>
        </w:rPr>
        <w:t>6000</w:t>
      </w:r>
      <w:r>
        <w:rPr>
          <w:rFonts w:hint="eastAsia" w:ascii="仿宋_GB2312" w:hAnsi="宋体" w:eastAsia="仿宋_GB2312"/>
          <w:sz w:val="32"/>
          <w:szCs w:val="32"/>
          <w:u w:val="none"/>
        </w:rPr>
        <w:t>平方米、充电桩</w:t>
      </w:r>
      <w:r>
        <w:rPr>
          <w:rFonts w:eastAsia="仿宋_GB2312"/>
          <w:sz w:val="32"/>
          <w:szCs w:val="32"/>
          <w:u w:val="none"/>
        </w:rPr>
        <w:t>27</w:t>
      </w:r>
      <w:r>
        <w:rPr>
          <w:rFonts w:hint="eastAsia" w:ascii="仿宋_GB2312" w:hAnsi="宋体" w:eastAsia="仿宋_GB2312"/>
          <w:sz w:val="32"/>
          <w:szCs w:val="32"/>
          <w:u w:val="none"/>
        </w:rPr>
        <w:t>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rPr>
      </w:pPr>
      <w:r>
        <w:rPr>
          <w:rFonts w:hint="eastAsia" w:ascii="仿宋_GB2312" w:hAnsi="宋体" w:eastAsia="仿宋_GB2312"/>
          <w:sz w:val="32"/>
          <w:szCs w:val="32"/>
          <w:u w:val="none"/>
        </w:rPr>
        <w:t>（3）百合路公交首末站用地面积</w:t>
      </w:r>
      <w:r>
        <w:rPr>
          <w:rFonts w:eastAsia="仿宋_GB2312"/>
          <w:sz w:val="32"/>
          <w:szCs w:val="32"/>
          <w:u w:val="none"/>
        </w:rPr>
        <w:t>3845.88</w:t>
      </w:r>
      <w:r>
        <w:rPr>
          <w:rFonts w:hint="eastAsia" w:ascii="仿宋_GB2312" w:hAnsi="宋体" w:eastAsia="仿宋_GB2312"/>
          <w:sz w:val="32"/>
          <w:szCs w:val="32"/>
          <w:u w:val="none"/>
        </w:rPr>
        <w:t>平方米、充电桩</w:t>
      </w:r>
      <w:r>
        <w:rPr>
          <w:rFonts w:eastAsia="仿宋_GB2312"/>
          <w:sz w:val="32"/>
          <w:szCs w:val="32"/>
          <w:u w:val="none"/>
        </w:rPr>
        <w:t>14</w:t>
      </w:r>
      <w:r>
        <w:rPr>
          <w:rFonts w:hint="eastAsia" w:ascii="仿宋_GB2312" w:hAnsi="宋体" w:eastAsia="仿宋_GB2312"/>
          <w:sz w:val="32"/>
          <w:szCs w:val="32"/>
          <w:u w:val="none"/>
        </w:rPr>
        <w:t>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rPr>
      </w:pPr>
      <w:r>
        <w:rPr>
          <w:rFonts w:hint="eastAsia" w:ascii="仿宋_GB2312" w:hAnsi="宋体" w:eastAsia="仿宋_GB2312"/>
          <w:sz w:val="32"/>
          <w:szCs w:val="32"/>
          <w:u w:val="none"/>
        </w:rPr>
        <w:t>（4）林拥城公交首末站用地面积</w:t>
      </w:r>
      <w:r>
        <w:rPr>
          <w:rFonts w:eastAsia="仿宋_GB2312"/>
          <w:sz w:val="32"/>
          <w:szCs w:val="32"/>
          <w:u w:val="none"/>
        </w:rPr>
        <w:t>8000</w:t>
      </w:r>
      <w:r>
        <w:rPr>
          <w:rFonts w:hint="eastAsia" w:ascii="仿宋_GB2312" w:hAnsi="宋体" w:eastAsia="仿宋_GB2312"/>
          <w:sz w:val="32"/>
          <w:szCs w:val="32"/>
          <w:u w:val="none"/>
        </w:rPr>
        <w:t>平方米、充电桩</w:t>
      </w:r>
      <w:r>
        <w:rPr>
          <w:rFonts w:eastAsia="仿宋_GB2312"/>
          <w:sz w:val="32"/>
          <w:szCs w:val="32"/>
          <w:u w:val="none"/>
        </w:rPr>
        <w:t>29</w:t>
      </w:r>
      <w:r>
        <w:rPr>
          <w:rFonts w:hint="eastAsia" w:ascii="仿宋_GB2312" w:hAnsi="宋体" w:eastAsia="仿宋_GB2312"/>
          <w:sz w:val="32"/>
          <w:szCs w:val="32"/>
          <w:u w:val="none"/>
        </w:rPr>
        <w:t>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u w:val="none"/>
        </w:rPr>
      </w:pPr>
      <w:r>
        <w:rPr>
          <w:rFonts w:hint="eastAsia" w:ascii="仿宋_GB2312" w:hAnsi="宋体" w:eastAsia="仿宋_GB2312"/>
          <w:sz w:val="32"/>
          <w:szCs w:val="32"/>
          <w:u w:val="none"/>
        </w:rPr>
        <w:t>（5）亳州北公交客运枢纽站公交首末站用地面积</w:t>
      </w:r>
      <w:r>
        <w:rPr>
          <w:rFonts w:eastAsia="仿宋_GB2312"/>
          <w:sz w:val="32"/>
          <w:szCs w:val="32"/>
          <w:u w:val="none"/>
        </w:rPr>
        <w:t>8000</w:t>
      </w:r>
      <w:r>
        <w:rPr>
          <w:rFonts w:hint="eastAsia" w:ascii="仿宋_GB2312" w:hAnsi="宋体" w:eastAsia="仿宋_GB2312"/>
          <w:sz w:val="32"/>
          <w:szCs w:val="32"/>
          <w:u w:val="none"/>
        </w:rPr>
        <w:t>平方米、充电桩</w:t>
      </w:r>
      <w:r>
        <w:rPr>
          <w:rFonts w:eastAsia="仿宋_GB2312"/>
          <w:sz w:val="32"/>
          <w:szCs w:val="32"/>
          <w:u w:val="none"/>
        </w:rPr>
        <w:t>38</w:t>
      </w:r>
      <w:r>
        <w:rPr>
          <w:rFonts w:hint="eastAsia" w:ascii="仿宋_GB2312" w:hAnsi="宋体" w:eastAsia="仿宋_GB2312"/>
          <w:sz w:val="32"/>
          <w:szCs w:val="32"/>
          <w:u w:val="none"/>
        </w:rPr>
        <w:t>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u w:val="none"/>
        </w:rPr>
      </w:pPr>
      <w:r>
        <w:rPr>
          <w:rFonts w:hint="eastAsia" w:ascii="仿宋_GB2312" w:hAnsi="仿宋" w:eastAsia="仿宋_GB2312"/>
          <w:sz w:val="32"/>
          <w:szCs w:val="32"/>
          <w:u w:val="none"/>
        </w:rPr>
        <w:t>3、招标范围：五处公交首末站</w:t>
      </w:r>
      <w:r>
        <w:rPr>
          <w:rFonts w:eastAsia="仿宋_GB2312"/>
          <w:sz w:val="32"/>
          <w:szCs w:val="32"/>
          <w:u w:val="none"/>
        </w:rPr>
        <w:t>138</w:t>
      </w:r>
      <w:r>
        <w:rPr>
          <w:rFonts w:hint="eastAsia" w:ascii="仿宋_GB2312" w:hAnsi="仿宋" w:eastAsia="仿宋_GB2312"/>
          <w:sz w:val="32"/>
          <w:szCs w:val="32"/>
          <w:u w:val="none"/>
        </w:rPr>
        <w:t>个充电桩（终端），包括：充电桩设备采购、运营管理系统、平台监控系统、调试、检测、成品保护、验收、交付相关资料、质量保修、移交给甲方或甲方指定单位。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4、标的控制价</w:t>
      </w:r>
      <w:r>
        <w:rPr>
          <w:rFonts w:eastAsia="仿宋_GB2312"/>
          <w:sz w:val="32"/>
          <w:szCs w:val="32"/>
          <w:u w:val="single"/>
        </w:rPr>
        <w:t>608.52</w:t>
      </w:r>
      <w:r>
        <w:rPr>
          <w:rFonts w:hint="eastAsia" w:ascii="仿宋_GB2312" w:hAnsi="仿宋" w:eastAsia="仿宋_GB2312"/>
          <w:sz w:val="32"/>
          <w:szCs w:val="32"/>
          <w:u w:val="single"/>
        </w:rPr>
        <w:t>万元</w:t>
      </w:r>
      <w:r>
        <w:rPr>
          <w:rFonts w:hint="eastAsia" w:ascii="仿宋_GB2312" w:hAnsi="仿宋" w:eastAsia="仿宋_GB2312"/>
          <w:sz w:val="32"/>
          <w:szCs w:val="32"/>
          <w:u w:val="single"/>
          <w:lang w:eastAsia="zh-CN"/>
        </w:rPr>
        <w:t>（含税）</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u w:val="single"/>
        </w:rPr>
      </w:pPr>
      <w:r>
        <w:rPr>
          <w:rFonts w:hint="eastAsia" w:ascii="仿宋_GB2312" w:hAnsi="仿宋" w:eastAsia="仿宋_GB2312"/>
          <w:sz w:val="32"/>
          <w:szCs w:val="32"/>
        </w:rPr>
        <w:t>5、供货周期：</w:t>
      </w:r>
      <w:r>
        <w:rPr>
          <w:rFonts w:hint="eastAsia" w:ascii="仿宋_GB2312" w:hAnsi="仿宋" w:eastAsia="仿宋_GB2312"/>
          <w:sz w:val="32"/>
          <w:szCs w:val="32"/>
          <w:u w:val="single"/>
        </w:rPr>
        <w:t xml:space="preserve"> </w:t>
      </w:r>
      <w:r>
        <w:rPr>
          <w:rFonts w:eastAsia="仿宋_GB2312"/>
          <w:sz w:val="32"/>
          <w:szCs w:val="32"/>
          <w:u w:val="single"/>
        </w:rPr>
        <w:t>20</w:t>
      </w:r>
      <w:r>
        <w:rPr>
          <w:rFonts w:hint="eastAsia" w:ascii="仿宋_GB2312" w:hAnsi="仿宋" w:eastAsia="仿宋_GB2312"/>
          <w:sz w:val="32"/>
          <w:szCs w:val="32"/>
          <w:u w:val="single"/>
        </w:rPr>
        <w:t xml:space="preserve"> </w:t>
      </w:r>
      <w:r>
        <w:rPr>
          <w:rFonts w:hint="eastAsia" w:ascii="仿宋_GB2312" w:hAnsi="仿宋" w:eastAsia="仿宋_GB2312"/>
          <w:sz w:val="32"/>
          <w:szCs w:val="32"/>
          <w:u w:val="none"/>
        </w:rPr>
        <w:t>日历天(合同签订</w:t>
      </w:r>
      <w:r>
        <w:rPr>
          <w:rFonts w:hint="eastAsia" w:ascii="仿宋_GB2312" w:hAnsi="仿宋" w:eastAsia="仿宋_GB2312"/>
          <w:sz w:val="32"/>
          <w:szCs w:val="32"/>
          <w:u w:val="none"/>
          <w:lang w:eastAsia="zh-CN"/>
        </w:rPr>
        <w:t>之日起</w:t>
      </w:r>
      <w:r>
        <w:rPr>
          <w:rFonts w:hint="eastAsia" w:ascii="仿宋_GB2312" w:hAnsi="仿宋" w:eastAsia="仿宋_GB2312"/>
          <w:sz w:val="32"/>
          <w:szCs w:val="32"/>
          <w:u w:val="none"/>
        </w:rPr>
        <w:t>每迟一天扣除合同价</w:t>
      </w:r>
      <w:r>
        <w:rPr>
          <w:rFonts w:eastAsia="仿宋_GB2312"/>
          <w:sz w:val="32"/>
          <w:szCs w:val="32"/>
          <w:u w:val="none"/>
        </w:rPr>
        <w:t>1</w:t>
      </w:r>
      <w:r>
        <w:rPr>
          <w:rFonts w:hint="eastAsia" w:ascii="仿宋_GB2312" w:hAnsi="仿宋" w:eastAsia="仿宋_GB2312"/>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6、标段划分：</w:t>
      </w:r>
      <w:r>
        <w:rPr>
          <w:rFonts w:hint="eastAsia" w:ascii="仿宋_GB2312" w:hAnsi="仿宋" w:eastAsia="仿宋_GB2312"/>
          <w:sz w:val="32"/>
          <w:szCs w:val="32"/>
          <w:u w:val="none"/>
        </w:rPr>
        <w:t xml:space="preserve">一个标段  </w:t>
      </w:r>
    </w:p>
    <w:p>
      <w:pPr>
        <w:spacing w:line="500" w:lineRule="exact"/>
        <w:ind w:firstLine="640" w:firstLineChars="200"/>
        <w:rPr>
          <w:rFonts w:hint="eastAsia" w:ascii="仿宋_GB2312" w:hAnsi="仿宋" w:eastAsia="仿宋_GB2312"/>
          <w:sz w:val="32"/>
          <w:szCs w:val="32"/>
          <w:u w:val="single"/>
        </w:rPr>
      </w:pPr>
      <w:r>
        <w:rPr>
          <w:rFonts w:hint="eastAsia" w:ascii="仿宋_GB2312" w:hAnsi="仿宋" w:eastAsia="仿宋_GB2312"/>
          <w:sz w:val="32"/>
          <w:szCs w:val="32"/>
        </w:rPr>
        <w:t>7、采购设备数量、清单部分要求。</w:t>
      </w:r>
    </w:p>
    <w:tbl>
      <w:tblPr>
        <w:tblStyle w:val="2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9"/>
        <w:gridCol w:w="1229"/>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7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地点</w:t>
            </w:r>
          </w:p>
        </w:tc>
        <w:tc>
          <w:tcPr>
            <w:tcW w:w="122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充电桩终端数量(个)</w:t>
            </w:r>
          </w:p>
        </w:tc>
        <w:tc>
          <w:tcPr>
            <w:tcW w:w="1704"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平均单枪功率(KW)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最大单枪功率(KW)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总功率要求(KW)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7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4号还原小区首末站</w:t>
            </w:r>
          </w:p>
        </w:tc>
        <w:tc>
          <w:tcPr>
            <w:tcW w:w="122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30</w:t>
            </w:r>
          </w:p>
        </w:tc>
        <w:tc>
          <w:tcPr>
            <w:tcW w:w="1704"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60KW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150KW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1800KW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7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5号还原小区首末站</w:t>
            </w:r>
          </w:p>
        </w:tc>
        <w:tc>
          <w:tcPr>
            <w:tcW w:w="122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27</w:t>
            </w:r>
          </w:p>
        </w:tc>
        <w:tc>
          <w:tcPr>
            <w:tcW w:w="1704"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60KW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150KW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1620KW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7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百合路首末站</w:t>
            </w:r>
          </w:p>
        </w:tc>
        <w:tc>
          <w:tcPr>
            <w:tcW w:w="122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14</w:t>
            </w:r>
          </w:p>
        </w:tc>
        <w:tc>
          <w:tcPr>
            <w:tcW w:w="1704"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60KW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150KW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 xml:space="preserve"> 840KW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7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林拥城首末站</w:t>
            </w:r>
          </w:p>
        </w:tc>
        <w:tc>
          <w:tcPr>
            <w:tcW w:w="122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29</w:t>
            </w:r>
          </w:p>
        </w:tc>
        <w:tc>
          <w:tcPr>
            <w:tcW w:w="1704"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60KW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150KW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1740KW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7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北客运站首末站</w:t>
            </w:r>
          </w:p>
        </w:tc>
        <w:tc>
          <w:tcPr>
            <w:tcW w:w="1229"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38</w:t>
            </w:r>
          </w:p>
        </w:tc>
        <w:tc>
          <w:tcPr>
            <w:tcW w:w="1704"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60KW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120KW</w:t>
            </w:r>
          </w:p>
        </w:tc>
        <w:tc>
          <w:tcPr>
            <w:tcW w:w="1705" w:type="dxa"/>
            <w:noWrap w:val="0"/>
            <w:vAlign w:val="center"/>
          </w:tcPr>
          <w:p>
            <w:pPr>
              <w:spacing w:line="500" w:lineRule="exact"/>
              <w:jc w:val="center"/>
              <w:rPr>
                <w:rFonts w:hint="eastAsia" w:ascii="仿宋_GB2312" w:hAnsi="宋体" w:eastAsia="仿宋_GB2312"/>
                <w:sz w:val="32"/>
                <w:szCs w:val="32"/>
              </w:rPr>
            </w:pPr>
            <w:r>
              <w:rPr>
                <w:rFonts w:hint="eastAsia" w:ascii="仿宋_GB2312" w:hAnsi="宋体" w:eastAsia="仿宋_GB2312"/>
                <w:sz w:val="32"/>
                <w:szCs w:val="32"/>
              </w:rPr>
              <w:t>2280KW</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备注：北客运站首末站为单桩</w:t>
      </w:r>
      <w:r>
        <w:rPr>
          <w:rFonts w:eastAsia="仿宋_GB2312"/>
          <w:sz w:val="32"/>
          <w:szCs w:val="32"/>
        </w:rPr>
        <w:t>120</w:t>
      </w:r>
      <w:r>
        <w:rPr>
          <w:rFonts w:hint="eastAsia" w:ascii="仿宋_GB2312" w:hAnsi="仿宋" w:eastAsia="仿宋_GB2312"/>
          <w:sz w:val="32"/>
          <w:szCs w:val="32"/>
        </w:rPr>
        <w:t>KW（一体式，一拖二设备）。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rPr>
      </w:pPr>
      <w:r>
        <w:rPr>
          <w:rFonts w:hint="eastAsia" w:ascii="仿宋_GB2312" w:hAnsi="仿宋" w:eastAsia="仿宋_GB2312"/>
          <w:sz w:val="32"/>
          <w:szCs w:val="32"/>
          <w:lang w:val="en-US" w:eastAsia="zh-CN"/>
        </w:rPr>
        <w:t>8</w:t>
      </w:r>
      <w:r>
        <w:rPr>
          <w:rFonts w:hint="eastAsia" w:ascii="仿宋_GB2312" w:hAnsi="仿宋" w:eastAsia="仿宋_GB2312"/>
          <w:sz w:val="32"/>
          <w:szCs w:val="32"/>
        </w:rPr>
        <w:t>、质量要求：确保一次性通过相关部门的验收并取得验收合格证，符合技术要求。</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三、投标人的资格要求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1、符合《中华人民共和国政府采购法》第二十二条规定的投标人资格条件：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（6）法律、行政法规规定的其他条件。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投标人具有ISO9001质量管理体系认证证书、ISO14001环境管理体系认证证书和OHSAS8001职业健康安全管理体系认证证书（认证范围包含充电设备）。</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3、本次招标</w:t>
      </w:r>
      <w:r>
        <w:rPr>
          <w:rFonts w:hint="eastAsia" w:ascii="仿宋_GB2312" w:hAnsi="仿宋_GB2312" w:eastAsia="仿宋_GB2312" w:cs="仿宋_GB2312"/>
          <w:sz w:val="32"/>
          <w:szCs w:val="32"/>
          <w:highlight w:val="yellow"/>
          <w:u w:val="single"/>
        </w:rPr>
        <w:t>不接受</w:t>
      </w:r>
      <w:r>
        <w:rPr>
          <w:rFonts w:hint="eastAsia" w:ascii="仿宋_GB2312" w:hAnsi="仿宋_GB2312" w:eastAsia="仿宋_GB2312" w:cs="仿宋_GB2312"/>
          <w:sz w:val="32"/>
          <w:szCs w:val="32"/>
        </w:rPr>
        <w:t>联合体投标。</w:t>
      </w:r>
    </w:p>
    <w:p>
      <w:pPr>
        <w:pStyle w:val="2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四、采购要求（投标人必须响应）</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rPr>
        <w:t>手机APP:投标人提供的手机APP，</w:t>
      </w:r>
      <w:r>
        <w:rPr>
          <w:rFonts w:hint="eastAsia" w:ascii="仿宋_GB2312" w:hAnsi="仿宋_GB2312" w:eastAsia="仿宋_GB2312" w:cs="仿宋_GB2312"/>
          <w:bCs/>
          <w:sz w:val="32"/>
          <w:szCs w:val="32"/>
          <w:lang w:eastAsia="zh-CN"/>
        </w:rPr>
        <w:t>应</w:t>
      </w:r>
      <w:r>
        <w:rPr>
          <w:rFonts w:hint="eastAsia" w:ascii="仿宋_GB2312" w:hAnsi="仿宋_GB2312" w:eastAsia="仿宋_GB2312" w:cs="仿宋_GB2312"/>
          <w:bCs/>
          <w:sz w:val="32"/>
          <w:szCs w:val="32"/>
        </w:rPr>
        <w:t>具有支持微信或支付宝支付等第三方支付功能；APP支持充电桩位置查询、充电桩充电状态查询、充电历史记录查询、账户余额查询等功能；（</w:t>
      </w:r>
      <w:r>
        <w:rPr>
          <w:rFonts w:hint="eastAsia" w:ascii="仿宋_GB2312" w:hAnsi="仿宋_GB2312" w:eastAsia="仿宋_GB2312" w:cs="仿宋_GB2312"/>
          <w:sz w:val="32"/>
          <w:szCs w:val="32"/>
        </w:rPr>
        <w:t>平台费用包含在招标费用之中，不得向招标方</w:t>
      </w:r>
      <w:r>
        <w:rPr>
          <w:rFonts w:hint="eastAsia" w:ascii="仿宋_GB2312" w:hAnsi="仿宋_GB2312" w:eastAsia="仿宋_GB2312" w:cs="仿宋_GB2312"/>
          <w:sz w:val="32"/>
          <w:szCs w:val="32"/>
          <w:lang w:eastAsia="zh-CN"/>
        </w:rPr>
        <w:t>另行</w:t>
      </w:r>
      <w:r>
        <w:rPr>
          <w:rFonts w:hint="eastAsia" w:ascii="仿宋_GB2312" w:hAnsi="仿宋_GB2312" w:eastAsia="仿宋_GB2312" w:cs="仿宋_GB2312"/>
          <w:sz w:val="32"/>
          <w:szCs w:val="32"/>
        </w:rPr>
        <w:t>收取。要求</w:t>
      </w:r>
      <w:r>
        <w:rPr>
          <w:rFonts w:hint="eastAsia" w:ascii="仿宋_GB2312" w:hAnsi="仿宋_GB2312" w:eastAsia="仿宋_GB2312" w:cs="仿宋_GB2312"/>
          <w:sz w:val="32"/>
          <w:szCs w:val="32"/>
          <w:lang w:eastAsia="zh-CN"/>
        </w:rPr>
        <w:t>开评标</w:t>
      </w:r>
      <w:r>
        <w:rPr>
          <w:rFonts w:hint="eastAsia" w:ascii="仿宋_GB2312" w:hAnsi="仿宋_GB2312" w:eastAsia="仿宋_GB2312" w:cs="仿宋_GB2312"/>
          <w:sz w:val="32"/>
          <w:szCs w:val="32"/>
        </w:rPr>
        <w:t>现场演示)。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、本次招标为公交场站专用，要求投标方具有</w:t>
      </w:r>
      <w:r>
        <w:rPr>
          <w:rFonts w:hint="eastAsia" w:ascii="仿宋_GB2312" w:hAnsi="仿宋_GB2312" w:eastAsia="仿宋_GB2312" w:cs="仿宋_GB2312"/>
          <w:bCs/>
          <w:sz w:val="32"/>
          <w:szCs w:val="32"/>
        </w:rPr>
        <w:t>公交专用运营管理及监控平台：能够远程充电、监控、每天充电次数和充电量、总充电量、数据分析等功能。（</w:t>
      </w:r>
      <w:r>
        <w:rPr>
          <w:rFonts w:hint="eastAsia" w:ascii="仿宋_GB2312" w:hAnsi="仿宋_GB2312" w:eastAsia="仿宋_GB2312" w:cs="仿宋_GB2312"/>
          <w:sz w:val="32"/>
          <w:szCs w:val="32"/>
        </w:rPr>
        <w:t>平台费用包含在招标费用之中，不得向招标方</w:t>
      </w:r>
      <w:r>
        <w:rPr>
          <w:rFonts w:hint="eastAsia" w:ascii="仿宋_GB2312" w:hAnsi="仿宋_GB2312" w:eastAsia="仿宋_GB2312" w:cs="仿宋_GB2312"/>
          <w:sz w:val="32"/>
          <w:szCs w:val="32"/>
          <w:lang w:eastAsia="zh-CN"/>
        </w:rPr>
        <w:t>另行</w:t>
      </w:r>
      <w:r>
        <w:rPr>
          <w:rFonts w:hint="eastAsia" w:ascii="仿宋_GB2312" w:hAnsi="仿宋_GB2312" w:eastAsia="仿宋_GB2312" w:cs="仿宋_GB2312"/>
          <w:sz w:val="32"/>
          <w:szCs w:val="32"/>
        </w:rPr>
        <w:t>收取。</w:t>
      </w:r>
      <w:r>
        <w:rPr>
          <w:rFonts w:hint="eastAsia" w:ascii="仿宋_GB2312" w:hAnsi="仿宋_GB2312" w:eastAsia="仿宋_GB2312" w:cs="仿宋_GB2312"/>
          <w:bCs/>
          <w:sz w:val="32"/>
          <w:szCs w:val="32"/>
        </w:rPr>
        <w:t>要求</w:t>
      </w:r>
      <w:r>
        <w:rPr>
          <w:rFonts w:hint="eastAsia" w:ascii="仿宋_GB2312" w:hAnsi="仿宋_GB2312" w:eastAsia="仿宋_GB2312" w:cs="仿宋_GB2312"/>
          <w:bCs/>
          <w:sz w:val="32"/>
          <w:szCs w:val="32"/>
          <w:lang w:eastAsia="zh-CN"/>
        </w:rPr>
        <w:t>开评标</w:t>
      </w:r>
      <w:r>
        <w:rPr>
          <w:rFonts w:hint="eastAsia" w:ascii="仿宋_GB2312" w:hAnsi="仿宋_GB2312" w:eastAsia="仿宋_GB2312" w:cs="仿宋_GB2312"/>
          <w:bCs/>
          <w:sz w:val="32"/>
          <w:szCs w:val="32"/>
        </w:rPr>
        <w:t>现场演示）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、分体式群充直流设备，每组充电机单枪平均功率不得低于60KW，单枪最大功率不得低于150KW，全部采用国标250A充电枪，充电枪线为6米。</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、充电桩适用于现在各种车型配对，要求充电电压满足400V-750V（适用于所有车型）。</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5</w:t>
      </w:r>
      <w:r>
        <w:rPr>
          <w:rFonts w:hint="eastAsia" w:ascii="仿宋_GB2312" w:hAnsi="仿宋_GB2312" w:eastAsia="仿宋_GB2312" w:cs="仿宋_GB2312"/>
          <w:sz w:val="32"/>
          <w:szCs w:val="32"/>
        </w:rPr>
        <w:t>、中标方必须按照招标方要求（有需求时），接入招标方指定运营平台。</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招标文件的获取</w:t>
      </w:r>
    </w:p>
    <w:p>
      <w:pPr>
        <w:keepNext w:val="0"/>
        <w:keepLines w:val="0"/>
        <w:pageBreakBefore w:val="0"/>
        <w:widowControl w:val="0"/>
        <w:kinsoku/>
        <w:wordWrap/>
        <w:overflowPunct/>
        <w:topLinePunct w:val="0"/>
        <w:autoSpaceDE/>
        <w:autoSpaceDN/>
        <w:bidi w:val="0"/>
        <w:spacing w:line="540" w:lineRule="exact"/>
        <w:ind w:firstLine="800" w:firstLineChars="25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请潜在供应商</w:t>
      </w:r>
      <w:r>
        <w:rPr>
          <w:rFonts w:hint="eastAsia" w:ascii="仿宋_GB2312" w:hAnsi="仿宋_GB2312" w:eastAsia="仿宋_GB2312" w:cs="仿宋_GB2312"/>
          <w:color w:val="FF0000"/>
          <w:sz w:val="32"/>
          <w:szCs w:val="32"/>
        </w:rPr>
        <w:t>自招标公告发布之日起</w:t>
      </w:r>
      <w:r>
        <w:rPr>
          <w:rFonts w:hint="eastAsia" w:ascii="仿宋_GB2312" w:hAnsi="仿宋_GB2312" w:eastAsia="仿宋_GB2312" w:cs="仿宋_GB2312"/>
          <w:sz w:val="32"/>
          <w:szCs w:val="32"/>
        </w:rPr>
        <w:t>至 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止（北京时间）</w:t>
      </w:r>
      <w:r>
        <w:rPr>
          <w:rFonts w:hint="eastAsia" w:ascii="仿宋_GB2312" w:hAnsi="仿宋_GB2312" w:eastAsia="仿宋_GB2312" w:cs="仿宋_GB2312"/>
          <w:sz w:val="32"/>
          <w:szCs w:val="32"/>
          <w:lang w:eastAsia="zh-CN"/>
        </w:rPr>
        <w:t>登录</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sz w:val="32"/>
          <w:szCs w:val="32"/>
          <w:highlight w:val="green"/>
          <w:lang w:eastAsia="zh-CN"/>
        </w:rPr>
        <w:t>自行下载招标文件。</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b/>
          <w:bCs/>
          <w:color w:val="FF0000"/>
          <w:sz w:val="32"/>
          <w:szCs w:val="32"/>
        </w:rPr>
      </w:pPr>
      <w:r>
        <w:rPr>
          <w:rFonts w:hint="eastAsia" w:ascii="黑体" w:hAnsi="黑体" w:eastAsia="黑体" w:cs="黑体"/>
          <w:b/>
          <w:bCs/>
          <w:color w:val="FF0000"/>
          <w:sz w:val="32"/>
          <w:szCs w:val="32"/>
          <w:lang w:eastAsia="zh-CN"/>
        </w:rPr>
        <w:t>六</w:t>
      </w:r>
      <w:r>
        <w:rPr>
          <w:rFonts w:hint="eastAsia" w:ascii="黑体" w:hAnsi="黑体" w:eastAsia="黑体" w:cs="黑体"/>
          <w:b/>
          <w:bCs/>
          <w:color w:val="FF0000"/>
          <w:sz w:val="32"/>
          <w:szCs w:val="32"/>
        </w:rPr>
        <w:t>、投标文件的递交及开标</w:t>
      </w: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1、投标文件递交的截止时间（投标截止时间，下同）：201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，投标人应在投标截止时间前把投标文件递交到指定地点。</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highlight w:val="green"/>
        </w:rPr>
      </w:pPr>
      <w:r>
        <w:rPr>
          <w:rFonts w:hint="eastAsia" w:ascii="仿宋_GB2312" w:hAnsi="仿宋_GB2312" w:eastAsia="仿宋_GB2312" w:cs="仿宋_GB2312"/>
          <w:sz w:val="32"/>
          <w:szCs w:val="32"/>
        </w:rPr>
        <w:t>2、投标文件递交的地点：</w:t>
      </w:r>
      <w:r>
        <w:rPr>
          <w:rFonts w:hint="eastAsia" w:ascii="仿宋_GB2312" w:hAnsi="仿宋_GB2312" w:eastAsia="仿宋_GB2312" w:cs="仿宋_GB2312"/>
          <w:sz w:val="32"/>
          <w:szCs w:val="32"/>
          <w:highlight w:val="green"/>
        </w:rPr>
        <w:t>亳州交通投资控股集团有限公司招投标中心，地址：亳州市谯城区药都大道1289号（药都大道与希夷大道交叉口东北角</w:t>
      </w:r>
      <w:r>
        <w:rPr>
          <w:rFonts w:hint="eastAsia" w:ascii="仿宋_GB2312" w:hAnsi="仿宋_GB2312" w:eastAsia="仿宋_GB2312" w:cs="仿宋_GB2312"/>
          <w:sz w:val="32"/>
          <w:szCs w:val="32"/>
          <w:highlight w:val="green"/>
          <w:lang w:val="en-US" w:eastAsia="zh-CN"/>
        </w:rPr>
        <w:t>9</w:t>
      </w:r>
      <w:r>
        <w:rPr>
          <w:rFonts w:hint="eastAsia" w:ascii="仿宋_GB2312" w:hAnsi="仿宋_GB2312" w:eastAsia="仿宋_GB2312" w:cs="仿宋_GB2312"/>
          <w:sz w:val="32"/>
          <w:szCs w:val="32"/>
          <w:highlight w:val="green"/>
        </w:rPr>
        <w:t>楼）</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3、逾期送达的投标文件，</w:t>
      </w:r>
      <w:r>
        <w:rPr>
          <w:rFonts w:hint="eastAsia" w:ascii="仿宋_GB2312" w:hAnsi="仿宋_GB2312" w:eastAsia="仿宋_GB2312" w:cs="仿宋_GB2312"/>
          <w:sz w:val="32"/>
          <w:szCs w:val="32"/>
          <w:highlight w:val="green"/>
        </w:rPr>
        <w:t>亳州交通投资控股集团有限公司招投标中心</w:t>
      </w:r>
      <w:r>
        <w:rPr>
          <w:rFonts w:hint="eastAsia" w:ascii="仿宋_GB2312" w:hAnsi="仿宋_GB2312" w:eastAsia="仿宋_GB2312" w:cs="仿宋_GB2312"/>
          <w:sz w:val="32"/>
          <w:szCs w:val="32"/>
        </w:rPr>
        <w:t>将予以拒收。</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4、开标时间及地点同投标文件截止时间及投标文件递交地点。</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七</w:t>
      </w:r>
      <w:r>
        <w:rPr>
          <w:rFonts w:hint="eastAsia" w:ascii="黑体" w:hAnsi="黑体" w:eastAsia="黑体" w:cs="黑体"/>
          <w:color w:val="FF0000"/>
          <w:sz w:val="32"/>
          <w:szCs w:val="32"/>
        </w:rPr>
        <w:t>、投标担保</w:t>
      </w: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 xml:space="preserve">    本项目投标保证金：</w:t>
      </w:r>
      <w:r>
        <w:rPr>
          <w:rFonts w:hint="eastAsia" w:ascii="仿宋_GB2312" w:hAnsi="仿宋_GB2312" w:eastAsia="仿宋_GB2312" w:cs="仿宋_GB2312"/>
          <w:snapToGrid w:val="0"/>
          <w:color w:val="FF0000"/>
          <w:spacing w:val="-4"/>
          <w:kern w:val="0"/>
          <w:sz w:val="32"/>
          <w:szCs w:val="32"/>
          <w:u w:val="single"/>
        </w:rPr>
        <w:t xml:space="preserve"> </w:t>
      </w:r>
      <w:r>
        <w:rPr>
          <w:rFonts w:hint="eastAsia" w:ascii="仿宋_GB2312" w:hAnsi="仿宋_GB2312" w:eastAsia="仿宋_GB2312" w:cs="仿宋_GB2312"/>
          <w:snapToGrid w:val="0"/>
          <w:color w:val="FF0000"/>
          <w:spacing w:val="-4"/>
          <w:kern w:val="0"/>
          <w:sz w:val="32"/>
          <w:szCs w:val="32"/>
          <w:u w:val="single"/>
          <w:lang w:val="en-US" w:eastAsia="zh-CN"/>
        </w:rPr>
        <w:t>12</w:t>
      </w:r>
      <w:r>
        <w:rPr>
          <w:rFonts w:hint="eastAsia" w:ascii="仿宋_GB2312" w:hAnsi="仿宋_GB2312" w:eastAsia="仿宋_GB2312" w:cs="仿宋_GB2312"/>
          <w:snapToGrid w:val="0"/>
          <w:color w:val="FF0000"/>
          <w:spacing w:val="-4"/>
          <w:kern w:val="0"/>
          <w:sz w:val="32"/>
          <w:szCs w:val="32"/>
          <w:u w:val="single"/>
          <w:lang w:eastAsia="zh-CN"/>
        </w:rPr>
        <w:t>万</w:t>
      </w:r>
      <w:r>
        <w:rPr>
          <w:rFonts w:hint="eastAsia" w:ascii="仿宋_GB2312" w:hAnsi="仿宋_GB2312" w:eastAsia="仿宋_GB2312" w:cs="仿宋_GB2312"/>
          <w:snapToGrid w:val="0"/>
          <w:color w:val="FF0000"/>
          <w:spacing w:val="-4"/>
          <w:kern w:val="0"/>
          <w:sz w:val="32"/>
          <w:szCs w:val="32"/>
          <w:u w:val="single"/>
        </w:rPr>
        <w:t xml:space="preserve">元  </w:t>
      </w:r>
      <w:r>
        <w:rPr>
          <w:rFonts w:hint="eastAsia" w:ascii="仿宋_GB2312" w:hAnsi="仿宋_GB2312" w:eastAsia="仿宋_GB2312" w:cs="仿宋_GB2312"/>
          <w:color w:val="FF0000"/>
          <w:sz w:val="32"/>
          <w:szCs w:val="32"/>
        </w:rPr>
        <w:t>（人民币），缴纳方式详见招标文件。</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八</w:t>
      </w:r>
      <w:r>
        <w:rPr>
          <w:rFonts w:hint="eastAsia" w:ascii="黑体" w:hAnsi="黑体" w:eastAsia="黑体" w:cs="黑体"/>
          <w:color w:val="FF0000"/>
          <w:sz w:val="32"/>
          <w:szCs w:val="32"/>
        </w:rPr>
        <w:t>、招标公告发布媒介</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本次招标公告在</w:t>
      </w:r>
      <w:r>
        <w:rPr>
          <w:rFonts w:hint="eastAsia" w:ascii="仿宋_GB2312" w:hAnsi="仿宋_GB2312" w:eastAsia="仿宋_GB2312" w:cs="仿宋_GB2312"/>
          <w:sz w:val="32"/>
          <w:szCs w:val="32"/>
          <w:highlight w:val="green"/>
          <w:lang w:eastAsia="zh-CN"/>
        </w:rPr>
        <w:t>安徽省招标投标信息网（</w:t>
      </w:r>
      <w:r>
        <w:rPr>
          <w:rFonts w:hint="eastAsia" w:ascii="仿宋_GB2312" w:hAnsi="仿宋_GB2312" w:eastAsia="仿宋_GB2312" w:cs="仿宋_GB2312"/>
          <w:sz w:val="32"/>
          <w:szCs w:val="32"/>
          <w:highlight w:val="green"/>
          <w:lang w:eastAsia="zh-CN"/>
        </w:rPr>
        <w:fldChar w:fldCharType="begin"/>
      </w:r>
      <w:r>
        <w:rPr>
          <w:rFonts w:hint="eastAsia" w:ascii="仿宋_GB2312" w:hAnsi="仿宋_GB2312" w:eastAsia="仿宋_GB2312" w:cs="仿宋_GB2312"/>
          <w:sz w:val="32"/>
          <w:szCs w:val="32"/>
          <w:highlight w:val="green"/>
          <w:lang w:eastAsia="zh-CN"/>
        </w:rPr>
        <w:instrText xml:space="preserve"> HYPERLINK "http://www.ahtba.org.cn" </w:instrText>
      </w:r>
      <w:r>
        <w:rPr>
          <w:rFonts w:hint="eastAsia" w:ascii="仿宋_GB2312" w:hAnsi="仿宋_GB2312" w:eastAsia="仿宋_GB2312" w:cs="仿宋_GB2312"/>
          <w:sz w:val="32"/>
          <w:szCs w:val="32"/>
          <w:highlight w:val="green"/>
          <w:lang w:eastAsia="zh-CN"/>
        </w:rPr>
        <w:fldChar w:fldCharType="separate"/>
      </w:r>
      <w:r>
        <w:rPr>
          <w:rFonts w:hint="default" w:ascii="仿宋_GB2312" w:hAnsi="仿宋_GB2312" w:eastAsia="仿宋_GB2312" w:cs="仿宋_GB2312"/>
          <w:sz w:val="32"/>
          <w:szCs w:val="32"/>
          <w:highlight w:val="green"/>
          <w:lang w:eastAsia="zh-CN"/>
        </w:rPr>
        <w:t>www.ahtba.org.cn</w:t>
      </w:r>
      <w:r>
        <w:rPr>
          <w:rFonts w:hint="default" w:ascii="仿宋_GB2312" w:hAnsi="仿宋_GB2312" w:eastAsia="仿宋_GB2312" w:cs="仿宋_GB2312"/>
          <w:sz w:val="32"/>
          <w:szCs w:val="32"/>
          <w:highlight w:val="green"/>
          <w:lang w:eastAsia="zh-CN"/>
        </w:rPr>
        <w:fldChar w:fldCharType="end"/>
      </w:r>
      <w:r>
        <w:rPr>
          <w:rFonts w:hint="eastAsia" w:ascii="仿宋_GB2312" w:hAnsi="仿宋_GB2312" w:eastAsia="仿宋_GB2312" w:cs="仿宋_GB2312"/>
          <w:sz w:val="32"/>
          <w:szCs w:val="32"/>
          <w:highlight w:val="green"/>
          <w:lang w:eastAsia="zh-CN"/>
        </w:rPr>
        <w:t>）、</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color w:val="FF0000"/>
          <w:sz w:val="32"/>
          <w:szCs w:val="32"/>
        </w:rPr>
        <w:t>上发布。</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九</w:t>
      </w:r>
      <w:r>
        <w:rPr>
          <w:rFonts w:hint="eastAsia" w:ascii="黑体" w:hAnsi="黑体" w:eastAsia="黑体" w:cs="黑体"/>
          <w:color w:val="FF0000"/>
          <w:sz w:val="32"/>
          <w:szCs w:val="32"/>
        </w:rPr>
        <w:t>、联系方式</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招 标 人：安徽省安车交通运输集团有限公司</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址：亳州市谯城区药都大道1289号（</w:t>
      </w:r>
      <w:r>
        <w:rPr>
          <w:rFonts w:hint="eastAsia" w:ascii="仿宋_GB2312" w:hAnsi="仿宋_GB2312" w:eastAsia="仿宋_GB2312" w:cs="仿宋_GB2312"/>
          <w:sz w:val="32"/>
          <w:szCs w:val="32"/>
          <w:highlight w:val="none"/>
        </w:rPr>
        <w:t>药都大道与希夷大道交叉口东北角</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楼</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   编：236800</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：田</w:t>
      </w:r>
      <w:r>
        <w:rPr>
          <w:rFonts w:hint="eastAsia" w:ascii="仿宋_GB2312" w:hAnsi="仿宋_GB2312" w:eastAsia="仿宋_GB2312" w:cs="仿宋_GB2312"/>
          <w:sz w:val="32"/>
          <w:szCs w:val="32"/>
        </w:rPr>
        <w:t>工</w:t>
      </w:r>
      <w:r>
        <w:rPr>
          <w:rFonts w:hint="default" w:ascii="仿宋_GB2312" w:hAnsi="仿宋_GB2312" w:eastAsia="仿宋_GB2312" w:cs="仿宋_GB2312"/>
          <w:sz w:val="32"/>
          <w:szCs w:val="32"/>
          <w:lang w:val="en-US"/>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联系电话：0558-5196756</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电子邮箱：bzjkjtjjsj@126.com</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4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安徽省安车交通运输集团有限公司                              </w:t>
      </w:r>
    </w:p>
    <w:p>
      <w:pPr>
        <w:keepNext w:val="0"/>
        <w:keepLines w:val="0"/>
        <w:pageBreakBefore w:val="0"/>
        <w:widowControl w:val="0"/>
        <w:kinsoku/>
        <w:wordWrap/>
        <w:overflowPunct/>
        <w:topLinePunct w:val="0"/>
        <w:autoSpaceDE/>
        <w:autoSpaceDN/>
        <w:bidi w:val="0"/>
        <w:spacing w:line="540" w:lineRule="exact"/>
        <w:ind w:firstLine="6080" w:firstLineChars="19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bookmarkStart w:id="0" w:name="Sheet1"/>
      <w:bookmarkEnd w:id="0"/>
    </w:p>
    <w:p>
      <w:pPr>
        <w:keepNext w:val="0"/>
        <w:keepLines w:val="0"/>
        <w:pageBreakBefore w:val="0"/>
        <w:widowControl w:val="0"/>
        <w:kinsoku/>
        <w:wordWrap/>
        <w:overflowPunct/>
        <w:topLinePunct w:val="0"/>
        <w:autoSpaceDE/>
        <w:autoSpaceDN/>
        <w:bidi w:val="0"/>
        <w:spacing w:line="560" w:lineRule="exact"/>
        <w:ind w:left="7228" w:hanging="7228" w:hangingChars="2250"/>
        <w:jc w:val="center"/>
        <w:textAlignment w:val="auto"/>
        <w:rPr>
          <w:rFonts w:hint="eastAsia" w:ascii="Arial" w:hAnsi="Arial" w:eastAsia="黑体"/>
          <w:b/>
          <w:sz w:val="32"/>
          <w:szCs w:val="20"/>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bookmarkStart w:id="1" w:name="_Toc246996916"/>
      <w:bookmarkStart w:id="2" w:name="_Toc152042303"/>
      <w:bookmarkStart w:id="3" w:name="_Toc144974495"/>
      <w:bookmarkStart w:id="4" w:name="_Toc296602418"/>
      <w:bookmarkStart w:id="5" w:name="_Toc247085687"/>
      <w:bookmarkStart w:id="6" w:name="_Toc152045527"/>
      <w:bookmarkStart w:id="7" w:name="_Toc246996173"/>
      <w:bookmarkStart w:id="8" w:name="_Toc179632544"/>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r>
        <w:rPr>
          <w:rFonts w:hint="eastAsia"/>
        </w:rPr>
        <w:t>第二章</w:t>
      </w:r>
      <w:r>
        <w:t xml:space="preserve"> </w:t>
      </w:r>
      <w:r>
        <w:rPr>
          <w:rFonts w:hint="eastAsia"/>
        </w:rPr>
        <w:t>投标人须知</w:t>
      </w:r>
      <w:bookmarkEnd w:id="1"/>
      <w:bookmarkEnd w:id="2"/>
      <w:bookmarkEnd w:id="3"/>
      <w:bookmarkEnd w:id="4"/>
      <w:bookmarkEnd w:id="5"/>
      <w:bookmarkEnd w:id="6"/>
      <w:bookmarkEnd w:id="7"/>
      <w:bookmarkEnd w:id="8"/>
      <w:bookmarkStart w:id="9" w:name="_Toc179632545"/>
      <w:bookmarkStart w:id="10" w:name="_Toc246996174"/>
      <w:bookmarkStart w:id="11" w:name="_Toc152042304"/>
      <w:bookmarkStart w:id="12" w:name="_Toc296602419"/>
      <w:bookmarkStart w:id="13" w:name="_Toc152045528"/>
      <w:bookmarkStart w:id="14" w:name="_Toc247085688"/>
      <w:bookmarkStart w:id="15" w:name="_Toc246996917"/>
      <w:bookmarkStart w:id="16" w:name="_Toc144974496"/>
    </w:p>
    <w:p>
      <w:pPr>
        <w:pStyle w:val="2"/>
        <w:keepNext/>
        <w:keepLines/>
        <w:pageBreakBefore w:val="0"/>
        <w:widowControl w:val="0"/>
        <w:tabs>
          <w:tab w:val="left" w:pos="2778"/>
          <w:tab w:val="center" w:pos="4824"/>
        </w:tabs>
        <w:kinsoku/>
        <w:wordWrap/>
        <w:overflowPunct/>
        <w:topLinePunct w:val="0"/>
        <w:autoSpaceDE/>
        <w:autoSpaceDN/>
        <w:bidi w:val="0"/>
        <w:adjustRightInd/>
        <w:snapToGrid/>
        <w:spacing w:line="560" w:lineRule="exact"/>
        <w:jc w:val="both"/>
        <w:textAlignment w:val="auto"/>
      </w:pPr>
      <w:r>
        <w:rPr>
          <w:rFonts w:hint="eastAsia"/>
        </w:rPr>
        <w:t>投标人须知前附表</w:t>
      </w:r>
      <w:bookmarkEnd w:id="9"/>
      <w:bookmarkEnd w:id="10"/>
      <w:bookmarkEnd w:id="11"/>
      <w:bookmarkEnd w:id="12"/>
      <w:bookmarkEnd w:id="13"/>
      <w:bookmarkEnd w:id="14"/>
      <w:bookmarkEnd w:id="15"/>
      <w:bookmarkEnd w:id="16"/>
    </w:p>
    <w:p/>
    <w:tbl>
      <w:tblPr>
        <w:tblStyle w:val="24"/>
        <w:tblW w:w="9310" w:type="dxa"/>
        <w:tblInd w:w="196" w:type="dxa"/>
        <w:tblLayout w:type="fixed"/>
        <w:tblCellMar>
          <w:top w:w="0" w:type="dxa"/>
          <w:left w:w="108" w:type="dxa"/>
          <w:bottom w:w="0" w:type="dxa"/>
          <w:right w:w="108" w:type="dxa"/>
        </w:tblCellMar>
      </w:tblPr>
      <w:tblGrid>
        <w:gridCol w:w="930"/>
        <w:gridCol w:w="2071"/>
        <w:gridCol w:w="6309"/>
      </w:tblGrid>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条款号</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w:t>
            </w:r>
            <w:r>
              <w:rPr>
                <w:b/>
                <w:szCs w:val="21"/>
              </w:rPr>
              <w:t xml:space="preserve">  </w:t>
            </w:r>
            <w:r>
              <w:rPr>
                <w:rFonts w:hint="eastAsia"/>
                <w:b/>
                <w:szCs w:val="21"/>
              </w:rPr>
              <w:t>款</w:t>
            </w:r>
            <w:r>
              <w:rPr>
                <w:b/>
                <w:szCs w:val="21"/>
              </w:rPr>
              <w:t xml:space="preserve">  </w:t>
            </w:r>
            <w:r>
              <w:rPr>
                <w:rFonts w:hint="eastAsia"/>
                <w:b/>
                <w:szCs w:val="21"/>
              </w:rPr>
              <w:t>名</w:t>
            </w:r>
            <w:r>
              <w:rPr>
                <w:b/>
                <w:szCs w:val="21"/>
              </w:rPr>
              <w:t xml:space="preserve">  </w:t>
            </w:r>
            <w:r>
              <w:rPr>
                <w:rFonts w:hint="eastAsia"/>
                <w:b/>
                <w:szCs w:val="21"/>
              </w:rPr>
              <w:t>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编</w:t>
            </w:r>
            <w:r>
              <w:rPr>
                <w:b/>
                <w:szCs w:val="21"/>
              </w:rPr>
              <w:t xml:space="preserve">  </w:t>
            </w:r>
            <w:r>
              <w:rPr>
                <w:rFonts w:hint="eastAsia"/>
                <w:b/>
                <w:szCs w:val="21"/>
              </w:rPr>
              <w:t>列</w:t>
            </w:r>
            <w:r>
              <w:rPr>
                <w:b/>
                <w:szCs w:val="21"/>
              </w:rPr>
              <w:t xml:space="preserve">  </w:t>
            </w:r>
            <w:r>
              <w:rPr>
                <w:rFonts w:hint="eastAsia"/>
                <w:b/>
                <w:szCs w:val="21"/>
              </w:rPr>
              <w:t>内</w:t>
            </w:r>
            <w:r>
              <w:rPr>
                <w:b/>
                <w:szCs w:val="21"/>
              </w:rPr>
              <w:t xml:space="preserve">  </w:t>
            </w:r>
            <w:r>
              <w:rPr>
                <w:rFonts w:hint="eastAsia"/>
                <w:b/>
                <w:szCs w:val="21"/>
              </w:rPr>
              <w:t>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w:t>
            </w:r>
          </w:p>
        </w:tc>
        <w:tc>
          <w:tcPr>
            <w:tcW w:w="6309" w:type="dxa"/>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招</w:t>
            </w:r>
            <w:r>
              <w:rPr>
                <w:szCs w:val="21"/>
              </w:rPr>
              <w:t xml:space="preserve"> </w:t>
            </w:r>
            <w:r>
              <w:rPr>
                <w:rFonts w:hint="eastAsia"/>
                <w:szCs w:val="21"/>
              </w:rPr>
              <w:t>标</w:t>
            </w:r>
            <w:r>
              <w:rPr>
                <w:szCs w:val="21"/>
              </w:rPr>
              <w:t xml:space="preserve"> </w:t>
            </w:r>
            <w:r>
              <w:rPr>
                <w:rFonts w:hint="eastAsia"/>
                <w:szCs w:val="21"/>
              </w:rPr>
              <w:t>人：安徽省安车交通运输集团有限公司</w:t>
            </w:r>
          </w:p>
          <w:p>
            <w:pPr>
              <w:topLinePunct/>
              <w:spacing w:line="400" w:lineRule="exact"/>
              <w:rPr>
                <w:rFonts w:ascii="仿宋_GB2312" w:hAnsi="宋体" w:eastAsia="仿宋_GB2312"/>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亳州市谯城区药都大道</w:t>
            </w:r>
            <w:r>
              <w:rPr>
                <w:szCs w:val="21"/>
                <w:u w:val="single"/>
              </w:rPr>
              <w:t>1289</w:t>
            </w:r>
            <w:r>
              <w:rPr>
                <w:rFonts w:hint="eastAsia"/>
                <w:szCs w:val="21"/>
                <w:u w:val="single"/>
              </w:rPr>
              <w:t>号（药都大道与希夷大道交叉口东北角</w:t>
            </w:r>
            <w:r>
              <w:rPr>
                <w:rFonts w:hint="eastAsia"/>
                <w:szCs w:val="21"/>
                <w:u w:val="single"/>
                <w:lang w:val="en-US" w:eastAsia="zh-CN"/>
              </w:rPr>
              <w:t>9</w:t>
            </w:r>
            <w:r>
              <w:rPr>
                <w:rFonts w:hint="eastAsia"/>
                <w:szCs w:val="21"/>
                <w:u w:val="single"/>
              </w:rPr>
              <w:t>楼）</w:t>
            </w:r>
            <w:r>
              <w:rPr>
                <w:szCs w:val="21"/>
              </w:rPr>
              <w:t xml:space="preserve">         </w:t>
            </w:r>
          </w:p>
          <w:p>
            <w:pPr>
              <w:topLinePunct/>
              <w:spacing w:line="400" w:lineRule="exact"/>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w:t>
            </w:r>
            <w:r>
              <w:rPr>
                <w:rFonts w:hint="eastAsia"/>
                <w:szCs w:val="21"/>
                <w:u w:val="single"/>
                <w:lang w:eastAsia="zh-CN"/>
              </w:rPr>
              <w:t>田</w:t>
            </w:r>
            <w:r>
              <w:rPr>
                <w:rFonts w:hint="eastAsia"/>
                <w:szCs w:val="21"/>
                <w:u w:val="single"/>
              </w:rPr>
              <w:t>工</w:t>
            </w:r>
            <w:r>
              <w:rPr>
                <w:szCs w:val="21"/>
              </w:rPr>
              <w:t xml:space="preserve">         </w:t>
            </w:r>
          </w:p>
          <w:p>
            <w:pPr>
              <w:topLinePunct/>
              <w:spacing w:line="400" w:lineRule="exact"/>
              <w:rPr>
                <w:szCs w:val="21"/>
              </w:rPr>
            </w:pPr>
            <w:r>
              <w:rPr>
                <w:rFonts w:hint="eastAsia"/>
                <w:szCs w:val="21"/>
              </w:rPr>
              <w:t>电</w:t>
            </w:r>
            <w:r>
              <w:rPr>
                <w:szCs w:val="21"/>
              </w:rPr>
              <w:t xml:space="preserve">    </w:t>
            </w:r>
            <w:r>
              <w:rPr>
                <w:rFonts w:hint="eastAsia"/>
                <w:szCs w:val="21"/>
              </w:rPr>
              <w:t>话：</w:t>
            </w:r>
            <w:r>
              <w:rPr>
                <w:szCs w:val="21"/>
                <w:u w:val="single"/>
              </w:rPr>
              <w:t>0558-5196756</w:t>
            </w:r>
            <w:r>
              <w:rPr>
                <w:szCs w:val="21"/>
              </w:rPr>
              <w:t xml:space="preserve">                  </w:t>
            </w:r>
          </w:p>
          <w:p>
            <w:pPr>
              <w:spacing w:line="400" w:lineRule="exact"/>
              <w:rPr>
                <w:szCs w:val="21"/>
              </w:rPr>
            </w:pPr>
            <w:r>
              <w:rPr>
                <w:rFonts w:hint="eastAsia"/>
                <w:szCs w:val="21"/>
              </w:rPr>
              <w:t>电子邮件：</w:t>
            </w:r>
            <w:r>
              <w:rPr>
                <w:szCs w:val="21"/>
                <w:u w:val="single"/>
              </w:rPr>
              <w:t>bzjkjtjjsj@126.com</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1.1.4</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项目名称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 xml:space="preserve">亳州市2019年五处公交首末站充电桩设备采购项目 </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1.1.5</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建设地点</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lang w:eastAsia="zh-CN"/>
              </w:rPr>
              <w:t>详见招标公告</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资金来源及比例</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rPr>
              <w:t>企业自筹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资金落实情况</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shd w:val="clear" w:color="auto" w:fill="D9D9D9"/>
              </w:rPr>
              <w:t>已落实</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招标范围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szCs w:val="21"/>
                <w:lang w:eastAsia="zh-CN"/>
              </w:rPr>
              <w:t>详见招标公告</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供货周期</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u w:val="single"/>
              </w:rPr>
              <w:t xml:space="preserve"> 20 </w:t>
            </w:r>
            <w:r>
              <w:rPr>
                <w:rFonts w:hint="eastAsia"/>
                <w:szCs w:val="21"/>
              </w:rPr>
              <w:t>日历天(合同签订之日起每迟一天扣除合同价1%)</w:t>
            </w:r>
          </w:p>
        </w:tc>
      </w:tr>
      <w:tr>
        <w:tblPrEx>
          <w:tblLayout w:type="fixed"/>
          <w:tblCellMar>
            <w:top w:w="0" w:type="dxa"/>
            <w:left w:w="108" w:type="dxa"/>
            <w:bottom w:w="0" w:type="dxa"/>
            <w:right w:w="108" w:type="dxa"/>
          </w:tblCellMar>
        </w:tblPrEx>
        <w:trPr>
          <w:trHeight w:val="90"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eastAsia="宋体"/>
                <w:szCs w:val="21"/>
                <w:lang w:eastAsia="zh-CN"/>
              </w:rPr>
              <w:t>确保一次性通过相关部门的验收并取得验收合格证，符合技术要求。</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投标人资质条件、能力</w:t>
            </w:r>
          </w:p>
        </w:tc>
        <w:tc>
          <w:tcPr>
            <w:tcW w:w="6309"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rFonts w:hint="eastAsia" w:eastAsia="宋体"/>
                <w:szCs w:val="21"/>
                <w:lang w:eastAsia="zh-CN"/>
              </w:rPr>
            </w:pPr>
            <w:r>
              <w:rPr>
                <w:rFonts w:hint="eastAsia" w:eastAsia="宋体"/>
                <w:szCs w:val="21"/>
                <w:lang w:eastAsia="zh-CN"/>
              </w:rPr>
              <w:t>1、符合《中华人民共和国政府采购法》第二十二条规定的投标人资格条件：</w:t>
            </w:r>
          </w:p>
          <w:p>
            <w:pPr>
              <w:tabs>
                <w:tab w:val="left" w:pos="720"/>
              </w:tabs>
              <w:spacing w:line="360" w:lineRule="auto"/>
              <w:rPr>
                <w:rFonts w:hint="eastAsia" w:eastAsia="宋体"/>
                <w:szCs w:val="21"/>
                <w:lang w:eastAsia="zh-CN"/>
              </w:rPr>
            </w:pPr>
            <w:r>
              <w:rPr>
                <w:rFonts w:hint="eastAsia" w:eastAsia="宋体"/>
                <w:szCs w:val="21"/>
                <w:lang w:eastAsia="zh-CN"/>
              </w:rPr>
              <w:t>（1）具有独立承担民事责任的能力；</w:t>
            </w:r>
          </w:p>
          <w:p>
            <w:pPr>
              <w:tabs>
                <w:tab w:val="left" w:pos="720"/>
              </w:tabs>
              <w:spacing w:line="360" w:lineRule="auto"/>
              <w:rPr>
                <w:rFonts w:hint="eastAsia" w:eastAsia="宋体"/>
                <w:szCs w:val="21"/>
                <w:lang w:eastAsia="zh-CN"/>
              </w:rPr>
            </w:pPr>
            <w:r>
              <w:rPr>
                <w:rFonts w:hint="eastAsia" w:eastAsia="宋体"/>
                <w:szCs w:val="21"/>
                <w:lang w:eastAsia="zh-CN"/>
              </w:rPr>
              <w:t>（2）具有良好的商业信誉和健全的财务会计制度；</w:t>
            </w:r>
          </w:p>
          <w:p>
            <w:pPr>
              <w:tabs>
                <w:tab w:val="left" w:pos="720"/>
              </w:tabs>
              <w:spacing w:line="360" w:lineRule="auto"/>
              <w:rPr>
                <w:rFonts w:hint="eastAsia" w:eastAsia="宋体"/>
                <w:szCs w:val="21"/>
                <w:lang w:eastAsia="zh-CN"/>
              </w:rPr>
            </w:pPr>
            <w:r>
              <w:rPr>
                <w:rFonts w:hint="eastAsia" w:eastAsia="宋体"/>
                <w:szCs w:val="21"/>
                <w:lang w:eastAsia="zh-CN"/>
              </w:rPr>
              <w:t>（3）具有履行合同所必需的设备和专业技术能力；</w:t>
            </w:r>
          </w:p>
          <w:p>
            <w:pPr>
              <w:tabs>
                <w:tab w:val="left" w:pos="720"/>
              </w:tabs>
              <w:spacing w:line="360" w:lineRule="auto"/>
              <w:rPr>
                <w:rFonts w:hint="eastAsia" w:eastAsia="宋体"/>
                <w:szCs w:val="21"/>
                <w:lang w:eastAsia="zh-CN"/>
              </w:rPr>
            </w:pPr>
            <w:r>
              <w:rPr>
                <w:rFonts w:hint="eastAsia" w:eastAsia="宋体"/>
                <w:szCs w:val="21"/>
                <w:lang w:eastAsia="zh-CN"/>
              </w:rPr>
              <w:t>（4）有依法缴纳税收和社会保障资金的良好记录；</w:t>
            </w:r>
          </w:p>
          <w:p>
            <w:pPr>
              <w:tabs>
                <w:tab w:val="left" w:pos="720"/>
              </w:tabs>
              <w:spacing w:line="360" w:lineRule="auto"/>
              <w:rPr>
                <w:rFonts w:hint="eastAsia" w:eastAsia="宋体"/>
                <w:szCs w:val="21"/>
                <w:lang w:eastAsia="zh-CN"/>
              </w:rPr>
            </w:pPr>
            <w:r>
              <w:rPr>
                <w:rFonts w:hint="eastAsia" w:eastAsia="宋体"/>
                <w:szCs w:val="21"/>
                <w:lang w:eastAsia="zh-CN"/>
              </w:rPr>
              <w:t>（5）参加政府采购活动前三年内，在经营活动中没有重大违法记录；</w:t>
            </w:r>
          </w:p>
          <w:p>
            <w:pPr>
              <w:tabs>
                <w:tab w:val="left" w:pos="720"/>
              </w:tabs>
              <w:spacing w:line="360" w:lineRule="auto"/>
              <w:rPr>
                <w:rFonts w:hint="eastAsia" w:eastAsia="宋体"/>
                <w:szCs w:val="21"/>
                <w:lang w:eastAsia="zh-CN"/>
              </w:rPr>
            </w:pPr>
            <w:r>
              <w:rPr>
                <w:rFonts w:hint="eastAsia" w:eastAsia="宋体"/>
                <w:szCs w:val="21"/>
                <w:lang w:eastAsia="zh-CN"/>
              </w:rPr>
              <w:t>（6）法律、行政法规规定的其他条件。</w:t>
            </w:r>
          </w:p>
          <w:p>
            <w:pPr>
              <w:tabs>
                <w:tab w:val="left" w:pos="720"/>
              </w:tabs>
              <w:spacing w:line="360" w:lineRule="auto"/>
              <w:rPr>
                <w:rFonts w:hint="eastAsia" w:eastAsia="宋体"/>
                <w:szCs w:val="21"/>
                <w:lang w:eastAsia="zh-CN"/>
              </w:rPr>
            </w:pPr>
            <w:r>
              <w:rPr>
                <w:rFonts w:hint="eastAsia" w:eastAsia="宋体"/>
                <w:szCs w:val="21"/>
                <w:lang w:eastAsia="zh-CN"/>
              </w:rPr>
              <w:t>2、投标人具有ISO9001质量管理体系认证证书、ISO14001环境管理体系认证证书和OHSAS8001职业健康安全管理体系认证证书（认证范围包含充电设备）。</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1.5.1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质量保证及售后服务</w:t>
            </w:r>
          </w:p>
        </w:tc>
        <w:tc>
          <w:tcPr>
            <w:tcW w:w="6309"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szCs w:val="21"/>
              </w:rPr>
            </w:pPr>
            <w:r>
              <w:rPr>
                <w:rFonts w:hint="eastAsia"/>
                <w:szCs w:val="21"/>
              </w:rPr>
              <w:t>1.报价人应提供原装、全新的、符合国家及用户提出的有关质量标准的设备。</w:t>
            </w:r>
          </w:p>
          <w:p>
            <w:pPr>
              <w:tabs>
                <w:tab w:val="left" w:pos="720"/>
              </w:tabs>
              <w:spacing w:line="360" w:lineRule="auto"/>
              <w:rPr>
                <w:szCs w:val="21"/>
              </w:rPr>
            </w:pPr>
            <w:r>
              <w:rPr>
                <w:rFonts w:hint="eastAsia"/>
                <w:szCs w:val="21"/>
              </w:rPr>
              <w:t>2.中标人必须保证所提供的设备和合同规定的质量、规格和性能相一致，并确保其完整。</w:t>
            </w:r>
          </w:p>
          <w:p>
            <w:pPr>
              <w:tabs>
                <w:tab w:val="left" w:pos="720"/>
              </w:tabs>
              <w:spacing w:line="360" w:lineRule="auto"/>
              <w:rPr>
                <w:rFonts w:hint="eastAsia" w:eastAsia="宋体"/>
                <w:szCs w:val="21"/>
                <w:lang w:eastAsia="zh-CN"/>
              </w:rPr>
            </w:pPr>
            <w:r>
              <w:rPr>
                <w:rFonts w:hint="eastAsia"/>
                <w:szCs w:val="21"/>
              </w:rPr>
              <w:t>3.对于没有列出而对设备的正常运行和维护必不可少的部件、配件等，中选人必须给予补充</w:t>
            </w:r>
            <w:r>
              <w:rPr>
                <w:rFonts w:hint="eastAsia"/>
                <w:szCs w:val="21"/>
                <w:lang w:eastAsia="zh-CN"/>
              </w:rPr>
              <w:t>，补充费用由中标人承担。</w:t>
            </w:r>
          </w:p>
          <w:p>
            <w:pPr>
              <w:tabs>
                <w:tab w:val="left" w:pos="720"/>
              </w:tabs>
              <w:spacing w:line="360" w:lineRule="auto"/>
              <w:rPr>
                <w:szCs w:val="21"/>
              </w:rPr>
            </w:pPr>
            <w:r>
              <w:rPr>
                <w:rFonts w:hint="eastAsia"/>
                <w:szCs w:val="21"/>
              </w:rPr>
              <w:t>4.中标人必须给予质保期服务承诺书规定的质量保证期，此质保期从调试合格后</w:t>
            </w:r>
            <w:r>
              <w:rPr>
                <w:rFonts w:hint="eastAsia"/>
                <w:szCs w:val="21"/>
                <w:lang w:val="en-US" w:eastAsia="zh-CN"/>
              </w:rPr>
              <w:t>36</w:t>
            </w:r>
            <w:r>
              <w:rPr>
                <w:rFonts w:hint="eastAsia"/>
                <w:szCs w:val="21"/>
              </w:rPr>
              <w:t>个月</w:t>
            </w:r>
            <w:r>
              <w:rPr>
                <w:rFonts w:hint="eastAsia"/>
                <w:szCs w:val="21"/>
                <w:lang w:eastAsia="zh-CN"/>
              </w:rPr>
              <w:t>（</w:t>
            </w:r>
            <w:r>
              <w:rPr>
                <w:rFonts w:hint="eastAsia"/>
                <w:szCs w:val="21"/>
                <w:lang w:val="en-US" w:eastAsia="zh-CN"/>
              </w:rPr>
              <w:t>3年</w:t>
            </w:r>
            <w:r>
              <w:rPr>
                <w:rFonts w:hint="eastAsia"/>
                <w:szCs w:val="21"/>
                <w:lang w:eastAsia="zh-CN"/>
              </w:rPr>
              <w:t>）</w:t>
            </w:r>
            <w:r>
              <w:rPr>
                <w:rFonts w:hint="eastAsia"/>
                <w:szCs w:val="21"/>
              </w:rPr>
              <w:t>的免费质量保修期（包括零配件）。</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1.9.1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踏勘现场</w:t>
            </w:r>
          </w:p>
        </w:tc>
        <w:tc>
          <w:tcPr>
            <w:tcW w:w="6309"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不组织</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投标预备会</w:t>
            </w:r>
          </w:p>
        </w:tc>
        <w:tc>
          <w:tcPr>
            <w:tcW w:w="6309"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不召开</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投标人提出问题的截止时间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w:t>
            </w:r>
            <w:r>
              <w:rPr>
                <w:rFonts w:hint="eastAsia"/>
                <w:szCs w:val="21"/>
              </w:rPr>
              <w:t>。</w:t>
            </w:r>
          </w:p>
          <w:p>
            <w:pPr>
              <w:spacing w:line="400" w:lineRule="exact"/>
              <w:rPr>
                <w:szCs w:val="21"/>
              </w:rPr>
            </w:pPr>
            <w:r>
              <w:rPr>
                <w:rFonts w:hint="eastAsia"/>
                <w:szCs w:val="21"/>
              </w:rPr>
              <w:t>投标人应仔细阅读和检查招标文件的全部内容，如发现缺页或附件不全，应及时向招标人提出，以便补齐。投标人如对招标文件有任何疑问均应在此时间以前与招标人或招标代理机构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招标人书面澄清的时间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招标文件的澄清、修改等将在投标截止时间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日内</w:t>
            </w:r>
            <w:r>
              <w:rPr>
                <w:rFonts w:hint="eastAsia"/>
                <w:szCs w:val="21"/>
              </w:rPr>
              <w:t>在亳州交通投资控股集团有限公司官网上发布，投标人须自行查询，无须以纸质形式回复。</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构成招标文件的其他材料</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招标人发出的澄清、答疑及补充文件等。</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投标人要求澄清招标文件的截止时间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投标人认为招标文件有关内容损害了自身权益，对招标文件有异议的，应当在投标截止时间</w:t>
            </w:r>
            <w:r>
              <w:rPr>
                <w:szCs w:val="21"/>
              </w:rPr>
              <w:t>3</w:t>
            </w:r>
            <w:r>
              <w:rPr>
                <w:rFonts w:hint="eastAsia"/>
                <w:szCs w:val="21"/>
              </w:rPr>
              <w:t>日前以书面形式提出。否则，投标人无权再进行投诉。</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szCs w:val="21"/>
                <w:u w:val="single"/>
              </w:rPr>
              <w:t xml:space="preserve"> 201</w:t>
            </w:r>
            <w:r>
              <w:rPr>
                <w:rFonts w:hint="eastAsia"/>
                <w:szCs w:val="21"/>
                <w:u w:val="single"/>
              </w:rPr>
              <w:t>9</w:t>
            </w:r>
            <w:r>
              <w:rPr>
                <w:rFonts w:hint="eastAsia"/>
                <w:szCs w:val="21"/>
              </w:rPr>
              <w:t>年</w:t>
            </w:r>
            <w:r>
              <w:rPr>
                <w:rFonts w:hint="eastAsia"/>
                <w:szCs w:val="21"/>
                <w:u w:val="single"/>
                <w:lang w:val="en-US" w:eastAsia="zh-CN"/>
              </w:rPr>
              <w:t>4</w:t>
            </w:r>
            <w:r>
              <w:rPr>
                <w:rFonts w:hint="eastAsia"/>
                <w:szCs w:val="21"/>
              </w:rPr>
              <w:t>月</w:t>
            </w:r>
            <w:r>
              <w:rPr>
                <w:rFonts w:hint="eastAsia"/>
                <w:szCs w:val="21"/>
                <w:u w:val="single"/>
              </w:rPr>
              <w:t xml:space="preserve"> </w:t>
            </w:r>
            <w:r>
              <w:rPr>
                <w:rFonts w:hint="eastAsia"/>
                <w:szCs w:val="21"/>
                <w:u w:val="single"/>
                <w:lang w:val="en-US" w:eastAsia="zh-CN"/>
              </w:rPr>
              <w:t>26</w:t>
            </w:r>
            <w:r>
              <w:rPr>
                <w:szCs w:val="21"/>
                <w:u w:val="single"/>
              </w:rPr>
              <w:t xml:space="preserve"> </w:t>
            </w:r>
            <w:r>
              <w:rPr>
                <w:rFonts w:hint="eastAsia"/>
                <w:szCs w:val="21"/>
              </w:rPr>
              <w:t>日</w:t>
            </w:r>
            <w:r>
              <w:rPr>
                <w:szCs w:val="21"/>
                <w:u w:val="single"/>
              </w:rPr>
              <w:t xml:space="preserve"> </w:t>
            </w:r>
            <w:r>
              <w:rPr>
                <w:rFonts w:hint="eastAsia"/>
                <w:szCs w:val="21"/>
                <w:u w:val="single"/>
                <w:lang w:val="en-US" w:eastAsia="zh-CN"/>
              </w:rPr>
              <w:t>10</w:t>
            </w:r>
            <w:r>
              <w:rPr>
                <w:szCs w:val="21"/>
                <w:u w:val="single"/>
              </w:rPr>
              <w:t xml:space="preserve"> </w:t>
            </w:r>
            <w:r>
              <w:rPr>
                <w:rFonts w:hint="eastAsia"/>
                <w:szCs w:val="21"/>
              </w:rPr>
              <w:t>时</w:t>
            </w:r>
            <w:r>
              <w:rPr>
                <w:szCs w:val="21"/>
                <w:u w:val="single"/>
              </w:rPr>
              <w:t>00</w:t>
            </w:r>
            <w:r>
              <w:rPr>
                <w:rFonts w:hint="eastAsia"/>
                <w:szCs w:val="21"/>
              </w:rPr>
              <w:t>分</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投标人确认收到招标文件澄清的时间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2.3.2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投标人确认收到招标文件修改的时间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3.1.1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构成投标文件的其他材料</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投标人的书面澄清、说明和补正（但不得改变投标文件的实质性内容）。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3.2.3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最高投标限价</w:t>
            </w:r>
          </w:p>
          <w:p>
            <w:pPr>
              <w:spacing w:line="440" w:lineRule="exact"/>
              <w:jc w:val="center"/>
              <w:rPr>
                <w:szCs w:val="21"/>
              </w:rPr>
            </w:pPr>
            <w:r>
              <w:rPr>
                <w:rFonts w:hint="eastAsia"/>
                <w:szCs w:val="21"/>
              </w:rPr>
              <w:t>（招标控制价，下同）</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highlight w:val="yellow"/>
                <w:shd w:val="clear" w:color="auto" w:fill="D9D9D9"/>
              </w:rPr>
              <w:t>详见招标公告。</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3.3.1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投标有效期</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投标截止之日起</w:t>
            </w:r>
            <w:r>
              <w:rPr>
                <w:szCs w:val="21"/>
                <w:highlight w:val="yellow"/>
                <w:shd w:val="clear" w:color="auto" w:fill="D9D9D9"/>
              </w:rPr>
              <w:t>60</w:t>
            </w:r>
            <w:r>
              <w:rPr>
                <w:rFonts w:hint="eastAsia"/>
                <w:szCs w:val="21"/>
              </w:rPr>
              <w:t>天。</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投标保证金</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投标保证金的形式：银行汇款或转账</w:t>
            </w:r>
          </w:p>
          <w:p>
            <w:pPr>
              <w:spacing w:line="400" w:lineRule="exact"/>
              <w:rPr>
                <w:szCs w:val="21"/>
              </w:rPr>
            </w:pPr>
            <w:r>
              <w:rPr>
                <w:rFonts w:hint="eastAsia"/>
                <w:szCs w:val="21"/>
              </w:rPr>
              <w:t>投标保证金的金额：人民币（大写）：</w:t>
            </w:r>
            <w:r>
              <w:rPr>
                <w:rFonts w:hint="eastAsia" w:cs="Times New Roman"/>
                <w:b/>
                <w:bCs/>
                <w:szCs w:val="21"/>
                <w:highlight w:val="yellow"/>
                <w:u w:val="single"/>
                <w:shd w:val="clear" w:color="auto" w:fill="D9D9D9"/>
                <w:lang w:val="en-US" w:eastAsia="zh-CN"/>
              </w:rPr>
              <w:t>拾贰万元</w:t>
            </w:r>
            <w:r>
              <w:rPr>
                <w:rFonts w:hint="eastAsia"/>
                <w:szCs w:val="21"/>
              </w:rPr>
              <w:t>整，（小写）：</w:t>
            </w:r>
            <w:r>
              <w:rPr>
                <w:szCs w:val="21"/>
              </w:rPr>
              <w:t>¥</w:t>
            </w:r>
            <w:r>
              <w:rPr>
                <w:rFonts w:hint="eastAsia" w:cs="Times New Roman"/>
                <w:b/>
                <w:bCs/>
                <w:szCs w:val="21"/>
                <w:highlight w:val="yellow"/>
                <w:u w:val="single"/>
                <w:shd w:val="clear" w:color="auto" w:fill="D9D9D9"/>
                <w:lang w:val="en-US" w:eastAsia="zh-CN"/>
              </w:rPr>
              <w:t>120000</w:t>
            </w:r>
            <w:r>
              <w:rPr>
                <w:rFonts w:hint="eastAsia"/>
                <w:szCs w:val="21"/>
              </w:rPr>
              <w:t>元。</w:t>
            </w:r>
          </w:p>
          <w:p>
            <w:pPr>
              <w:wordWrap w:val="0"/>
              <w:spacing w:line="400" w:lineRule="exact"/>
              <w:ind w:firstLine="420" w:firstLineChars="200"/>
              <w:rPr>
                <w:rFonts w:hint="eastAsia" w:cs="Times New Roman"/>
                <w:szCs w:val="21"/>
              </w:rPr>
            </w:pPr>
            <w:r>
              <w:rPr>
                <w:rFonts w:hint="eastAsia" w:cs="Times New Roman"/>
                <w:szCs w:val="21"/>
              </w:rPr>
              <w:t>收取保证金账号信息：</w:t>
            </w:r>
          </w:p>
          <w:p>
            <w:pPr>
              <w:pageBreakBefore w:val="0"/>
              <w:widowControl/>
              <w:shd w:val="clear" w:color="auto" w:fill="FFFFFF"/>
              <w:kinsoku/>
              <w:overflowPunct/>
              <w:autoSpaceDE/>
              <w:autoSpaceDN/>
              <w:bidi w:val="0"/>
              <w:adjustRightInd/>
              <w:snapToGrid/>
              <w:spacing w:line="500" w:lineRule="exact"/>
              <w:ind w:firstLine="420" w:firstLineChars="200"/>
              <w:rPr>
                <w:rFonts w:hint="eastAsia"/>
                <w:szCs w:val="21"/>
              </w:rPr>
            </w:pPr>
            <w:r>
              <w:rPr>
                <w:rFonts w:hint="eastAsia"/>
                <w:szCs w:val="21"/>
              </w:rPr>
              <w:t>开户名称：亳州交通投资控股集团有限公司</w:t>
            </w:r>
          </w:p>
          <w:p>
            <w:pPr>
              <w:pageBreakBefore w:val="0"/>
              <w:widowControl/>
              <w:shd w:val="clear" w:color="auto" w:fill="FFFFFF"/>
              <w:kinsoku/>
              <w:overflowPunct/>
              <w:autoSpaceDE/>
              <w:autoSpaceDN/>
              <w:bidi w:val="0"/>
              <w:adjustRightInd/>
              <w:snapToGrid/>
              <w:spacing w:line="500" w:lineRule="exact"/>
              <w:ind w:firstLine="420" w:firstLineChars="200"/>
              <w:rPr>
                <w:szCs w:val="21"/>
              </w:rPr>
            </w:pPr>
            <w:r>
              <w:rPr>
                <w:rFonts w:hint="eastAsia"/>
                <w:szCs w:val="21"/>
              </w:rPr>
              <w:t>户银行：</w:t>
            </w:r>
            <w:r>
              <w:rPr>
                <w:rFonts w:hint="eastAsia"/>
                <w:szCs w:val="21"/>
                <w:lang w:eastAsia="zh-CN"/>
              </w:rPr>
              <w:t>中国农业</w:t>
            </w:r>
            <w:r>
              <w:rPr>
                <w:rFonts w:hint="eastAsia"/>
                <w:szCs w:val="21"/>
              </w:rPr>
              <w:t>银行</w:t>
            </w:r>
            <w:r>
              <w:rPr>
                <w:rFonts w:hint="eastAsia"/>
                <w:szCs w:val="21"/>
                <w:lang w:eastAsia="zh-CN"/>
              </w:rPr>
              <w:t>亳州分行</w:t>
            </w:r>
            <w:r>
              <w:rPr>
                <w:rFonts w:hint="eastAsia"/>
                <w:szCs w:val="21"/>
              </w:rPr>
              <w:t>营业部</w:t>
            </w:r>
          </w:p>
          <w:p>
            <w:pPr>
              <w:pageBreakBefore w:val="0"/>
              <w:widowControl/>
              <w:shd w:val="clear" w:color="auto" w:fill="FFFFFF"/>
              <w:kinsoku/>
              <w:overflowPunct/>
              <w:autoSpaceDE/>
              <w:autoSpaceDN/>
              <w:bidi w:val="0"/>
              <w:adjustRightInd/>
              <w:snapToGrid/>
              <w:spacing w:line="500" w:lineRule="exact"/>
              <w:ind w:firstLine="420" w:firstLineChars="200"/>
              <w:rPr>
                <w:rFonts w:hint="eastAsia" w:eastAsia="宋体"/>
                <w:szCs w:val="21"/>
                <w:lang w:val="en-US" w:eastAsia="zh-CN"/>
              </w:rPr>
            </w:pPr>
            <w:r>
              <w:rPr>
                <w:rFonts w:hint="eastAsia"/>
                <w:szCs w:val="21"/>
              </w:rPr>
              <w:t>账 户 号：</w:t>
            </w:r>
            <w:r>
              <w:rPr>
                <w:rFonts w:hint="eastAsia"/>
                <w:szCs w:val="21"/>
                <w:lang w:val="en-US" w:eastAsia="zh-CN"/>
              </w:rPr>
              <w:t>1267 0801 0400 09482</w:t>
            </w:r>
          </w:p>
          <w:p>
            <w:pPr>
              <w:spacing w:line="400" w:lineRule="exact"/>
              <w:rPr>
                <w:szCs w:val="21"/>
              </w:rPr>
            </w:pPr>
            <w:r>
              <w:rPr>
                <w:rFonts w:hint="eastAsia"/>
                <w:szCs w:val="21"/>
              </w:rPr>
              <w:t>其他要求：</w:t>
            </w:r>
          </w:p>
          <w:p>
            <w:pPr>
              <w:wordWrap w:val="0"/>
              <w:spacing w:line="400" w:lineRule="exact"/>
              <w:ind w:firstLine="420" w:firstLineChars="200"/>
              <w:rPr>
                <w:szCs w:val="21"/>
              </w:rPr>
            </w:pPr>
            <w:r>
              <w:rPr>
                <w:rFonts w:hint="eastAsia"/>
                <w:szCs w:val="21"/>
              </w:rPr>
              <w:t>投标保证金必须在投标截止时间前，由投标人在中华人民共和国境内注册经营的银行基本账户汇入到指定银行账号，确保银行记录可查询，转账或电汇时须在附言处备注“</w:t>
            </w:r>
            <w:r>
              <w:rPr>
                <w:szCs w:val="21"/>
                <w:highlight w:val="yellow"/>
                <w:shd w:val="clear" w:color="auto" w:fill="D9D9D9"/>
              </w:rPr>
              <w:t>BZJK-201</w:t>
            </w:r>
            <w:r>
              <w:rPr>
                <w:rFonts w:hint="eastAsia"/>
                <w:szCs w:val="21"/>
                <w:highlight w:val="yellow"/>
                <w:shd w:val="clear" w:color="auto" w:fill="D9D9D9"/>
                <w:lang w:val="en-US" w:eastAsia="zh-CN"/>
              </w:rPr>
              <w:t>9</w:t>
            </w:r>
            <w:r>
              <w:rPr>
                <w:szCs w:val="21"/>
                <w:highlight w:val="yellow"/>
                <w:shd w:val="clear" w:color="auto" w:fill="D9D9D9"/>
              </w:rPr>
              <w:t>-</w:t>
            </w:r>
            <w:r>
              <w:rPr>
                <w:rFonts w:hint="eastAsia"/>
                <w:szCs w:val="21"/>
                <w:highlight w:val="yellow"/>
                <w:shd w:val="clear" w:color="auto" w:fill="D9D9D9"/>
                <w:lang w:val="en-US" w:eastAsia="zh-CN"/>
              </w:rPr>
              <w:t>022</w:t>
            </w:r>
            <w:r>
              <w:rPr>
                <w:rFonts w:hint="eastAsia"/>
                <w:szCs w:val="21"/>
                <w:highlight w:val="yellow"/>
                <w:shd w:val="clear" w:color="auto" w:fill="D9D9D9"/>
              </w:rPr>
              <w:t>号保证金</w:t>
            </w:r>
            <w:r>
              <w:rPr>
                <w:rFonts w:hint="eastAsia"/>
                <w:szCs w:val="21"/>
              </w:rPr>
              <w:t>”，否则，责任自负。</w:t>
            </w:r>
          </w:p>
          <w:p>
            <w:pPr>
              <w:spacing w:line="400" w:lineRule="exact"/>
              <w:ind w:firstLine="420" w:firstLineChars="200"/>
              <w:rPr>
                <w:szCs w:val="21"/>
              </w:rPr>
            </w:pPr>
            <w:r>
              <w:rPr>
                <w:rFonts w:hint="eastAsia"/>
                <w:szCs w:val="21"/>
              </w:rPr>
              <w:t>未按时汇入或非投标人基本账户汇出或收款银行账号错误无法判定保证金对应关系的，保证金无效。</w:t>
            </w:r>
          </w:p>
        </w:tc>
      </w:tr>
      <w:tr>
        <w:tblPrEx>
          <w:tblLayout w:type="fixed"/>
          <w:tblCellMar>
            <w:top w:w="0" w:type="dxa"/>
            <w:left w:w="108" w:type="dxa"/>
            <w:bottom w:w="0" w:type="dxa"/>
            <w:right w:w="108" w:type="dxa"/>
          </w:tblCellMar>
        </w:tblPrEx>
        <w:trPr>
          <w:trHeight w:val="1518"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w:t>
            </w:r>
            <w:r>
              <w:rPr>
                <w:rFonts w:hint="eastAsia"/>
                <w:szCs w:val="21"/>
                <w:lang w:val="en-US" w:eastAsia="zh-CN"/>
              </w:rPr>
              <w:t>5</w:t>
            </w:r>
            <w:r>
              <w:rPr>
                <w:szCs w:val="21"/>
              </w:rPr>
              <w:t>.1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eastAsia="zh-CN"/>
              </w:rPr>
              <w:t>付款方式</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lang w:val="en-US" w:eastAsia="zh-CN"/>
              </w:rPr>
            </w:pPr>
            <w:r>
              <w:rPr>
                <w:rFonts w:hint="eastAsia"/>
                <w:szCs w:val="21"/>
                <w:lang w:val="en-US" w:eastAsia="zh-CN"/>
              </w:rPr>
              <w:t>合同签订后7日内，支付合同总价的</w:t>
            </w:r>
            <w:r>
              <w:rPr>
                <w:rFonts w:hint="default"/>
                <w:szCs w:val="21"/>
                <w:lang w:val="en-US" w:eastAsia="zh-CN"/>
              </w:rPr>
              <w:t>2</w:t>
            </w:r>
            <w:r>
              <w:rPr>
                <w:rFonts w:hint="eastAsia"/>
                <w:szCs w:val="21"/>
                <w:lang w:val="en-US" w:eastAsia="zh-CN"/>
              </w:rPr>
              <w:t>0%；合同签订满一年5日内，支付合同总价的30%；合同签订满二年5日内，支付合同总价的</w:t>
            </w:r>
            <w:r>
              <w:rPr>
                <w:rFonts w:hint="default"/>
                <w:szCs w:val="21"/>
                <w:lang w:val="en-US" w:eastAsia="zh-CN"/>
              </w:rPr>
              <w:t>4</w:t>
            </w:r>
            <w:r>
              <w:rPr>
                <w:rFonts w:hint="eastAsia"/>
                <w:szCs w:val="21"/>
                <w:lang w:val="en-US" w:eastAsia="zh-CN"/>
              </w:rPr>
              <w:t>0%；合同签订满三年5日内，支付合同总价的10%。</w:t>
            </w:r>
          </w:p>
          <w:p>
            <w:pPr>
              <w:spacing w:line="400" w:lineRule="exact"/>
              <w:rPr>
                <w:rFonts w:hint="eastAsia"/>
                <w:szCs w:val="21"/>
                <w:lang w:val="en-US" w:eastAsia="zh-CN"/>
              </w:rPr>
            </w:pPr>
            <w:r>
              <w:rPr>
                <w:rFonts w:hint="eastAsia"/>
                <w:szCs w:val="21"/>
                <w:lang w:val="en-US" w:eastAsia="zh-CN"/>
              </w:rPr>
              <w:t>中标方需支付此次招标控制价编制费用。</w:t>
            </w:r>
          </w:p>
        </w:tc>
      </w:tr>
      <w:tr>
        <w:tblPrEx>
          <w:tblLayout w:type="fixed"/>
          <w:tblCellMar>
            <w:top w:w="0" w:type="dxa"/>
            <w:left w:w="108" w:type="dxa"/>
            <w:bottom w:w="0" w:type="dxa"/>
            <w:right w:w="108" w:type="dxa"/>
          </w:tblCellMar>
        </w:tblPrEx>
        <w:trPr>
          <w:trHeight w:val="1906"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签字或盖章要求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盖章：除另有规定外，投标文件封面、封套封口处及文件中规定盖章处均须加盖投标人公章（鲜章），不得使用其它如带有“专用章”、“合同章”、“财务章”、“业务章”、下属单位或分支机构印章代替，否则其投标无效；</w:t>
            </w:r>
          </w:p>
          <w:p>
            <w:pPr>
              <w:spacing w:line="400" w:lineRule="exact"/>
              <w:rPr>
                <w:szCs w:val="21"/>
              </w:rPr>
            </w:pPr>
            <w:r>
              <w:rPr>
                <w:rFonts w:hint="eastAsia"/>
                <w:szCs w:val="21"/>
              </w:rPr>
              <w:t>（</w:t>
            </w:r>
            <w:r>
              <w:rPr>
                <w:szCs w:val="21"/>
              </w:rPr>
              <w:t>2</w:t>
            </w:r>
            <w:r>
              <w:rPr>
                <w:rFonts w:hint="eastAsia"/>
                <w:szCs w:val="21"/>
              </w:rPr>
              <w:t>）签字：除文件另有规定外，均应为手写签字，否则其投标无效。</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3.6.4</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投标文件副本份数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b/>
                <w:bCs/>
                <w:szCs w:val="21"/>
                <w:highlight w:val="yellow"/>
                <w:u w:val="single"/>
                <w:shd w:val="clear" w:color="auto" w:fill="D9D9D9"/>
                <w:lang w:eastAsia="zh-CN"/>
              </w:rPr>
              <w:t>肆份</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3.6.5</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装订要求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w:t>
            </w:r>
            <w:r>
              <w:rPr>
                <w:rFonts w:hint="eastAsia"/>
                <w:szCs w:val="21"/>
                <w:highlight w:val="yellow"/>
                <w:shd w:val="clear" w:color="auto" w:fill="D9D9D9"/>
              </w:rPr>
              <w:t>所有正本与副本封装在一个密封袋中</w:t>
            </w:r>
            <w:r>
              <w:rPr>
                <w:rFonts w:hint="eastAsia"/>
                <w:szCs w:val="21"/>
              </w:rPr>
              <w:t>，且在投标文件封面标明“正本”或“副本”的字样；</w:t>
            </w:r>
          </w:p>
          <w:p>
            <w:pPr>
              <w:spacing w:line="400" w:lineRule="exact"/>
              <w:rPr>
                <w:szCs w:val="21"/>
              </w:rPr>
            </w:pPr>
            <w:r>
              <w:rPr>
                <w:rFonts w:hint="eastAsia"/>
                <w:szCs w:val="21"/>
              </w:rPr>
              <w:t>（</w:t>
            </w:r>
            <w:r>
              <w:rPr>
                <w:szCs w:val="21"/>
              </w:rPr>
              <w:t>2</w:t>
            </w:r>
            <w:r>
              <w:rPr>
                <w:rFonts w:hint="eastAsia"/>
                <w:szCs w:val="21"/>
              </w:rPr>
              <w:t>）投标文件应按要求密封，密封袋封口加盖投标单位印章；</w:t>
            </w:r>
          </w:p>
          <w:p>
            <w:pPr>
              <w:spacing w:line="400" w:lineRule="exact"/>
              <w:rPr>
                <w:szCs w:val="21"/>
              </w:rPr>
            </w:pPr>
            <w:r>
              <w:rPr>
                <w:rFonts w:hint="eastAsia"/>
                <w:szCs w:val="21"/>
              </w:rPr>
              <w:t>（</w:t>
            </w:r>
            <w:r>
              <w:rPr>
                <w:szCs w:val="21"/>
              </w:rPr>
              <w:t>3</w:t>
            </w:r>
            <w:r>
              <w:rPr>
                <w:rFonts w:hint="eastAsia"/>
                <w:szCs w:val="21"/>
              </w:rPr>
              <w:t>）投标文件须采用胶粘方式装订，装订应牢固、不易拆散和换页，不得采用活页装订。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是否退还投标文件</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否</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5.1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开标时间和地点</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开标时间：同投标截止时间</w:t>
            </w:r>
          </w:p>
          <w:p>
            <w:pPr>
              <w:spacing w:line="400" w:lineRule="exact"/>
              <w:rPr>
                <w:szCs w:val="21"/>
              </w:rPr>
            </w:pPr>
            <w:r>
              <w:rPr>
                <w:rFonts w:hint="eastAsia"/>
                <w:szCs w:val="21"/>
              </w:rPr>
              <w:t>开标地点：</w:t>
            </w:r>
            <w:r>
              <w:rPr>
                <w:rFonts w:hint="eastAsia"/>
                <w:szCs w:val="21"/>
                <w:highlight w:val="yellow"/>
                <w:shd w:val="clear" w:color="auto" w:fill="D9D9D9"/>
              </w:rPr>
              <w:t>亳州交通投资控股集团有限公司八楼会议室（药都大道与希夷大道交叉口</w:t>
            </w:r>
            <w:r>
              <w:rPr>
                <w:rFonts w:hint="eastAsia"/>
                <w:szCs w:val="21"/>
                <w:highlight w:val="yellow"/>
                <w:shd w:val="clear" w:color="auto" w:fill="D9D9D9"/>
                <w:lang w:eastAsia="zh-CN"/>
              </w:rPr>
              <w:t>东北角</w:t>
            </w:r>
            <w:r>
              <w:rPr>
                <w:rFonts w:hint="eastAsia"/>
                <w:szCs w:val="21"/>
                <w:highlight w:val="yellow"/>
                <w:shd w:val="clear" w:color="auto" w:fill="D9D9D9"/>
                <w:lang w:val="en-US" w:eastAsia="zh-CN"/>
              </w:rPr>
              <w:t>8</w:t>
            </w:r>
            <w:r>
              <w:rPr>
                <w:rFonts w:hint="eastAsia"/>
                <w:szCs w:val="21"/>
                <w:highlight w:val="yellow"/>
                <w:shd w:val="clear" w:color="auto" w:fill="D9D9D9"/>
              </w:rPr>
              <w:t>楼）</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6.1.1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评标委员会的组建</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评标委员会构成：</w:t>
            </w:r>
            <w:r>
              <w:rPr>
                <w:szCs w:val="21"/>
                <w:highlight w:val="yellow"/>
                <w:u w:val="single"/>
                <w:shd w:val="clear" w:color="auto" w:fill="D9D9D9"/>
              </w:rPr>
              <w:t>5</w:t>
            </w:r>
            <w:r>
              <w:rPr>
                <w:rFonts w:hint="eastAsia"/>
                <w:szCs w:val="21"/>
                <w:highlight w:val="yellow"/>
                <w:shd w:val="clear" w:color="auto" w:fill="D9D9D9"/>
              </w:rPr>
              <w:t>人，其中招标人代表</w:t>
            </w:r>
            <w:r>
              <w:rPr>
                <w:szCs w:val="21"/>
                <w:highlight w:val="yellow"/>
                <w:u w:val="single"/>
                <w:shd w:val="clear" w:color="auto" w:fill="D9D9D9"/>
              </w:rPr>
              <w:t>1</w:t>
            </w:r>
            <w:r>
              <w:rPr>
                <w:rFonts w:hint="eastAsia"/>
                <w:szCs w:val="21"/>
                <w:highlight w:val="yellow"/>
                <w:shd w:val="clear" w:color="auto" w:fill="D9D9D9"/>
              </w:rPr>
              <w:t>人，专家</w:t>
            </w:r>
            <w:r>
              <w:rPr>
                <w:szCs w:val="21"/>
                <w:highlight w:val="yellow"/>
                <w:u w:val="single"/>
                <w:shd w:val="clear" w:color="auto" w:fill="D9D9D9"/>
              </w:rPr>
              <w:t>4</w:t>
            </w:r>
            <w:r>
              <w:rPr>
                <w:rFonts w:hint="eastAsia"/>
                <w:szCs w:val="21"/>
                <w:highlight w:val="yellow"/>
                <w:shd w:val="clear" w:color="auto" w:fill="D9D9D9"/>
              </w:rPr>
              <w:t>人</w:t>
            </w:r>
            <w:r>
              <w:rPr>
                <w:rFonts w:hint="eastAsia"/>
                <w:szCs w:val="21"/>
              </w:rPr>
              <w:t>；</w:t>
            </w:r>
          </w:p>
          <w:p>
            <w:pPr>
              <w:spacing w:line="400" w:lineRule="exact"/>
              <w:rPr>
                <w:szCs w:val="21"/>
              </w:rPr>
            </w:pPr>
            <w:r>
              <w:rPr>
                <w:rFonts w:hint="eastAsia"/>
                <w:szCs w:val="21"/>
              </w:rPr>
              <w:t>评标专家确定方式：按有关规定组建。</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是否授权评标委员会确定中标人</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否，推荐的中标候选人数：</w:t>
            </w:r>
            <w:r>
              <w:rPr>
                <w:szCs w:val="21"/>
              </w:rPr>
              <w:t>3</w:t>
            </w:r>
            <w:r>
              <w:rPr>
                <w:rFonts w:hint="eastAsia"/>
                <w:szCs w:val="21"/>
              </w:rPr>
              <w:t>人</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7.2</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中标候选人公示媒介</w:t>
            </w:r>
          </w:p>
        </w:tc>
        <w:tc>
          <w:tcPr>
            <w:tcW w:w="6309" w:type="dxa"/>
            <w:tcBorders>
              <w:top w:val="single" w:color="auto" w:sz="4" w:space="0"/>
              <w:left w:val="single" w:color="auto" w:sz="4" w:space="0"/>
              <w:bottom w:val="nil"/>
              <w:right w:val="single" w:color="auto" w:sz="4" w:space="0"/>
            </w:tcBorders>
            <w:vAlign w:val="center"/>
          </w:tcPr>
          <w:p>
            <w:pPr>
              <w:wordWrap w:val="0"/>
              <w:spacing w:line="400" w:lineRule="exact"/>
              <w:rPr>
                <w:sz w:val="32"/>
                <w:szCs w:val="32"/>
              </w:rPr>
            </w:pPr>
            <w:r>
              <w:rPr>
                <w:rFonts w:hint="eastAsia"/>
                <w:szCs w:val="21"/>
              </w:rPr>
              <w:t>亳州交通投资控股集团有限公司官网（</w:t>
            </w:r>
            <w:r>
              <w:rPr>
                <w:szCs w:val="21"/>
              </w:rPr>
              <w:t>www.bzjkjt.com</w:t>
            </w:r>
            <w:r>
              <w:rPr>
                <w:rFonts w:hint="eastAsia"/>
                <w:szCs w:val="21"/>
              </w:rPr>
              <w:t>）</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7.4.1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履约担保</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履约担保的形式：</w:t>
            </w:r>
          </w:p>
          <w:p>
            <w:pPr>
              <w:spacing w:line="400" w:lineRule="exact"/>
              <w:ind w:firstLine="420" w:firstLineChars="200"/>
              <w:rPr>
                <w:rFonts w:hint="eastAsia" w:eastAsia="宋体"/>
                <w:szCs w:val="21"/>
                <w:lang w:val="en-US" w:eastAsia="zh-CN"/>
              </w:rPr>
            </w:pPr>
            <w:r>
              <w:rPr>
                <w:rFonts w:hint="eastAsia"/>
                <w:szCs w:val="21"/>
              </w:rPr>
              <w:t>中标后，投标保证金自动转为履约保证金，履约保证金不足部分由中标人在收到中标通知书</w:t>
            </w:r>
            <w:r>
              <w:rPr>
                <w:szCs w:val="21"/>
              </w:rPr>
              <w:t>15</w:t>
            </w:r>
            <w:r>
              <w:rPr>
                <w:rFonts w:hint="eastAsia"/>
                <w:szCs w:val="21"/>
              </w:rPr>
              <w:t>日内从其基本账户开户行银行汇款。</w:t>
            </w:r>
            <w:r>
              <w:rPr>
                <w:rFonts w:hint="eastAsia" w:cs="Times New Roman"/>
                <w:szCs w:val="21"/>
              </w:rPr>
              <w:t>收取</w:t>
            </w:r>
            <w:r>
              <w:rPr>
                <w:rFonts w:hint="eastAsia" w:cs="Times New Roman"/>
                <w:szCs w:val="21"/>
                <w:lang w:eastAsia="zh-CN"/>
              </w:rPr>
              <w:t>履约</w:t>
            </w:r>
            <w:r>
              <w:rPr>
                <w:rFonts w:hint="eastAsia" w:cs="Times New Roman"/>
                <w:szCs w:val="21"/>
              </w:rPr>
              <w:t>保证金账号</w:t>
            </w:r>
            <w:r>
              <w:rPr>
                <w:rFonts w:hint="eastAsia" w:cs="Times New Roman"/>
                <w:szCs w:val="21"/>
                <w:lang w:eastAsia="zh-CN"/>
              </w:rPr>
              <w:t>同投标保证金账户。</w:t>
            </w:r>
          </w:p>
          <w:p>
            <w:pPr>
              <w:spacing w:line="400" w:lineRule="exact"/>
              <w:ind w:firstLine="420" w:firstLineChars="200"/>
              <w:rPr>
                <w:szCs w:val="21"/>
              </w:rPr>
            </w:pPr>
            <w:r>
              <w:rPr>
                <w:rFonts w:hint="eastAsia"/>
                <w:szCs w:val="21"/>
              </w:rPr>
              <w:t>无违约行为发生或违约行为已处理的情况下，</w:t>
            </w:r>
            <w:r>
              <w:rPr>
                <w:rFonts w:hint="eastAsia"/>
                <w:szCs w:val="21"/>
                <w:lang w:val="en-US" w:eastAsia="zh-CN"/>
              </w:rPr>
              <w:t>全部设备</w:t>
            </w:r>
            <w:r>
              <w:rPr>
                <w:rFonts w:hint="eastAsia"/>
                <w:szCs w:val="21"/>
                <w:lang w:eastAsia="zh-CN"/>
              </w:rPr>
              <w:t>经验收合格并通电运行成功后</w:t>
            </w:r>
            <w:r>
              <w:rPr>
                <w:rFonts w:hint="eastAsia"/>
                <w:szCs w:val="21"/>
              </w:rPr>
              <w:t>返还全部履约保证金（本金无息）。</w:t>
            </w:r>
          </w:p>
          <w:p>
            <w:pPr>
              <w:spacing w:line="400" w:lineRule="exact"/>
              <w:rPr>
                <w:szCs w:val="21"/>
                <w:lang w:val="en-US"/>
              </w:rPr>
            </w:pPr>
            <w:r>
              <w:rPr>
                <w:rFonts w:hint="eastAsia"/>
                <w:szCs w:val="21"/>
              </w:rPr>
              <w:t>履约</w:t>
            </w:r>
            <w:r>
              <w:rPr>
                <w:rFonts w:hint="eastAsia"/>
                <w:szCs w:val="21"/>
                <w:lang w:eastAsia="zh-CN"/>
              </w:rPr>
              <w:t>保证金</w:t>
            </w:r>
            <w:r>
              <w:rPr>
                <w:rFonts w:hint="eastAsia"/>
                <w:szCs w:val="21"/>
              </w:rPr>
              <w:t>的金额：</w:t>
            </w:r>
            <w:r>
              <w:rPr>
                <w:rFonts w:hint="eastAsia"/>
                <w:b/>
                <w:bCs/>
                <w:szCs w:val="21"/>
                <w:highlight w:val="yellow"/>
                <w:shd w:val="clear" w:color="auto" w:fill="D9D9D9"/>
              </w:rPr>
              <w:t>中标价的</w:t>
            </w:r>
            <w:r>
              <w:rPr>
                <w:rFonts w:hint="default"/>
                <w:b/>
                <w:bCs/>
                <w:szCs w:val="21"/>
                <w:highlight w:val="yellow"/>
                <w:shd w:val="clear" w:color="auto" w:fill="D9D9D9"/>
                <w:lang w:val="en-US" w:eastAsia="zh-CN"/>
              </w:rPr>
              <w:t>10</w:t>
            </w:r>
            <w:r>
              <w:rPr>
                <w:b/>
                <w:bCs/>
                <w:szCs w:val="21"/>
                <w:highlight w:val="yellow"/>
                <w:shd w:val="clear" w:color="auto" w:fill="D9D9D9"/>
              </w:rPr>
              <w:t>%</w:t>
            </w:r>
            <w:r>
              <w:rPr>
                <w:rFonts w:hint="eastAsia"/>
                <w:szCs w:val="21"/>
                <w:lang w:val="en-US" w:eastAsia="zh-CN"/>
              </w:rPr>
              <w:t>(全部设备</w:t>
            </w:r>
            <w:r>
              <w:rPr>
                <w:rFonts w:hint="eastAsia"/>
                <w:szCs w:val="21"/>
                <w:lang w:eastAsia="zh-CN"/>
              </w:rPr>
              <w:t>经验收合格并通电运行成功后无息退</w:t>
            </w:r>
            <w:r>
              <w:rPr>
                <w:rFonts w:hint="eastAsia"/>
                <w:szCs w:val="21"/>
                <w:lang w:val="en-US" w:eastAsia="zh-CN"/>
              </w:rPr>
              <w:t>还)</w:t>
            </w:r>
          </w:p>
        </w:tc>
      </w:tr>
      <w:tr>
        <w:tblPrEx>
          <w:tblLayout w:type="fixed"/>
          <w:tblCellMar>
            <w:top w:w="0" w:type="dxa"/>
            <w:left w:w="108" w:type="dxa"/>
            <w:bottom w:w="0" w:type="dxa"/>
            <w:right w:w="108" w:type="dxa"/>
          </w:tblCellMar>
        </w:tblPrEx>
        <w:tc>
          <w:tcPr>
            <w:tcW w:w="9310"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9</w:t>
            </w:r>
          </w:p>
        </w:tc>
        <w:tc>
          <w:tcPr>
            <w:tcW w:w="838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需要补充的其他内容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highlight w:val="yellow"/>
                <w:shd w:val="clear" w:color="auto" w:fill="D9D9D9"/>
              </w:rPr>
            </w:pPr>
            <w:r>
              <w:rPr>
                <w:rFonts w:hint="eastAsia"/>
                <w:szCs w:val="21"/>
                <w:highlight w:val="yellow"/>
                <w:shd w:val="clear" w:color="auto" w:fill="D9D9D9"/>
              </w:rPr>
              <w:t>其他要求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shd w:val="clear" w:color="auto" w:fill="D9D9D9"/>
              </w:rPr>
            </w:pPr>
            <w:r>
              <w:rPr>
                <w:rFonts w:hint="eastAsia"/>
                <w:szCs w:val="21"/>
                <w:highlight w:val="yellow"/>
                <w:shd w:val="clear" w:color="auto" w:fill="D9D9D9"/>
              </w:rPr>
              <w:t>否</w:t>
            </w:r>
          </w:p>
        </w:tc>
      </w:tr>
      <w:tr>
        <w:tblPrEx>
          <w:tblLayout w:type="fixed"/>
          <w:tblCellMar>
            <w:top w:w="0" w:type="dxa"/>
            <w:left w:w="108" w:type="dxa"/>
            <w:bottom w:w="0" w:type="dxa"/>
            <w:right w:w="108" w:type="dxa"/>
          </w:tblCellMar>
        </w:tblPrEx>
        <w:trPr>
          <w:trHeight w:val="680"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shd w:val="clear" w:color="auto" w:fill="D9D9D9"/>
              </w:rPr>
            </w:pPr>
            <w:r>
              <w:rPr>
                <w:rFonts w:hint="eastAsia"/>
                <w:szCs w:val="21"/>
              </w:rPr>
              <w:t>解释权</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 w:val="32"/>
                <w:szCs w:val="32"/>
                <w:shd w:val="clear" w:color="auto" w:fill="D9D9D9"/>
              </w:rPr>
            </w:pPr>
            <w:r>
              <w:rPr>
                <w:rFonts w:hint="eastAsia"/>
                <w:szCs w:val="21"/>
              </w:rPr>
              <w:t>构成本招标文件的各个组成文件应互为解释，互为说明。如有不明确或不一致的，由招标人负责解释。</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kern w:val="0"/>
          <w:highlight w:val="none"/>
        </w:rPr>
      </w:pPr>
      <w:r>
        <w:rPr>
          <w:rFonts w:hint="default" w:ascii="Times New Roman" w:hAnsi="Times New Roman" w:eastAsia="黑体" w:cs="Times New Roman"/>
          <w:color w:val="000000"/>
          <w:kern w:val="0"/>
          <w:highlight w:val="none"/>
        </w:rPr>
        <w:t>说明：</w:t>
      </w:r>
      <w:r>
        <w:rPr>
          <w:rFonts w:hint="default" w:ascii="Times New Roman" w:hAnsi="Times New Roman" w:cs="Times New Roman"/>
          <w:color w:val="000000"/>
          <w:kern w:val="0"/>
          <w:highlight w:val="none"/>
        </w:rPr>
        <w:t>投标人须知细则</w:t>
      </w:r>
      <w:r>
        <w:rPr>
          <w:rFonts w:hint="default" w:ascii="Times New Roman" w:hAnsi="Times New Roman" w:cs="Times New Roman"/>
          <w:color w:val="000000"/>
          <w:kern w:val="0"/>
          <w:highlight w:val="none"/>
          <w:lang w:val="en-US" w:eastAsia="zh-CN"/>
        </w:rPr>
        <w:t>参</w:t>
      </w:r>
      <w:r>
        <w:rPr>
          <w:rFonts w:hint="default" w:ascii="Times New Roman" w:hAnsi="Times New Roman" w:cs="Times New Roman"/>
          <w:color w:val="000000"/>
          <w:kern w:val="0"/>
          <w:highlight w:val="none"/>
        </w:rPr>
        <w:t>照国家发改委2017年9月4日印发的《中华人民共和国标准</w:t>
      </w:r>
      <w:r>
        <w:rPr>
          <w:rFonts w:hint="default" w:ascii="Times New Roman" w:hAnsi="Times New Roman" w:cs="Times New Roman"/>
          <w:color w:val="000000"/>
          <w:kern w:val="0"/>
          <w:highlight w:val="none"/>
          <w:lang w:val="en-US" w:eastAsia="zh-CN"/>
        </w:rPr>
        <w:t>设备采购</w:t>
      </w:r>
      <w:r>
        <w:rPr>
          <w:rFonts w:hint="default" w:ascii="Times New Roman" w:hAnsi="Times New Roman" w:cs="Times New Roman"/>
          <w:color w:val="000000"/>
          <w:kern w:val="0"/>
          <w:highlight w:val="none"/>
        </w:rPr>
        <w:t>招标文件》执行。招标文件相关内容与投标人须知前附表不一致的，以投标人须知前附表为准。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br w:type="page"/>
      </w:r>
    </w:p>
    <w:p>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4"/>
        <w:tblW w:w="9856" w:type="dxa"/>
        <w:jc w:val="center"/>
        <w:tblInd w:w="1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73"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6383"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资格性检查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olor w:val="FF0000"/>
                <w:sz w:val="24"/>
                <w:szCs w:val="24"/>
                <w:highlight w:val="yellow"/>
                <w:lang w:eastAsia="zh-CN"/>
              </w:rPr>
            </w:pPr>
            <w:r>
              <w:rPr>
                <w:rFonts w:hint="eastAsia" w:ascii="宋体" w:hAnsi="宋体"/>
                <w:color w:val="FF0000"/>
                <w:sz w:val="24"/>
                <w:szCs w:val="24"/>
                <w:highlight w:val="yellow"/>
              </w:rPr>
              <w:t>提供合法有效的</w:t>
            </w:r>
            <w:r>
              <w:rPr>
                <w:rFonts w:hint="eastAsia" w:ascii="宋体" w:hAnsi="宋体"/>
                <w:color w:val="FF0000"/>
                <w:sz w:val="24"/>
                <w:szCs w:val="24"/>
                <w:highlight w:val="yellow"/>
                <w:lang w:eastAsia="zh-CN"/>
              </w:rPr>
              <w:t>营业执照</w:t>
            </w:r>
            <w:r>
              <w:rPr>
                <w:rFonts w:hint="eastAsia" w:ascii="宋体" w:hAnsi="宋体"/>
                <w:color w:val="FF0000"/>
                <w:sz w:val="24"/>
                <w:szCs w:val="24"/>
                <w:highlight w:val="yellow"/>
              </w:rPr>
              <w:t>证件</w:t>
            </w:r>
            <w:r>
              <w:rPr>
                <w:rFonts w:hint="eastAsia" w:ascii="宋体" w:hAnsi="宋体"/>
                <w:color w:val="FF0000"/>
                <w:sz w:val="24"/>
                <w:szCs w:val="24"/>
                <w:highlight w:val="yellow"/>
                <w:lang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r>
              <w:rPr>
                <w:rFonts w:hint="eastAsia" w:ascii="宋体" w:hAnsi="宋体"/>
                <w:color w:val="FF0000"/>
                <w:sz w:val="24"/>
                <w:szCs w:val="24"/>
                <w:highlight w:val="yellow"/>
                <w:lang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缴纳社会保险的凭据</w:t>
            </w:r>
            <w:r>
              <w:rPr>
                <w:rFonts w:hint="eastAsia" w:ascii="宋体" w:hAnsi="宋体"/>
                <w:color w:val="FF0000"/>
                <w:sz w:val="24"/>
                <w:szCs w:val="24"/>
                <w:highlight w:val="yellow"/>
                <w:lang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投标保证金有关证明材料</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宋体" w:hAnsi="宋体"/>
                <w:sz w:val="24"/>
                <w:szCs w:val="24"/>
                <w:highlight w:val="yellow"/>
              </w:rPr>
            </w:pPr>
            <w:r>
              <w:rPr>
                <w:rFonts w:hint="eastAsia" w:ascii="宋体" w:hAnsi="宋体"/>
                <w:sz w:val="24"/>
                <w:szCs w:val="24"/>
                <w:highlight w:val="yellow"/>
              </w:rPr>
              <w:t>投标人按招标文件要求提供投标人基本存款账户开户许可证和投标保证金转账或电汇凭证（格式附后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hint="eastAsia" w:ascii="宋体" w:hAnsi="宋体" w:eastAsia="宋体"/>
                <w:sz w:val="24"/>
                <w:szCs w:val="24"/>
                <w:lang w:eastAsia="zh-CN"/>
              </w:rPr>
            </w:pPr>
            <w:r>
              <w:rPr>
                <w:rFonts w:hint="eastAsia" w:ascii="宋体" w:hAnsi="宋体"/>
                <w:sz w:val="24"/>
                <w:szCs w:val="24"/>
                <w:lang w:eastAsia="zh-CN"/>
              </w:rPr>
              <w:t>投标人资质</w:t>
            </w:r>
          </w:p>
        </w:tc>
        <w:tc>
          <w:tcPr>
            <w:tcW w:w="6383"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rFonts w:hint="eastAsia" w:eastAsia="宋体"/>
                <w:szCs w:val="21"/>
                <w:lang w:eastAsia="zh-CN"/>
              </w:rPr>
            </w:pPr>
            <w:r>
              <w:rPr>
                <w:rFonts w:hint="eastAsia" w:eastAsia="宋体"/>
                <w:szCs w:val="21"/>
                <w:lang w:eastAsia="zh-CN"/>
              </w:rPr>
              <w:t>1、符合《中华人民共和国政府采购法》第二十二条规定的投标人资格条件</w:t>
            </w:r>
            <w:r>
              <w:rPr>
                <w:rFonts w:hint="eastAsia"/>
                <w:szCs w:val="21"/>
                <w:lang w:eastAsia="zh-CN"/>
              </w:rPr>
              <w:t>：</w:t>
            </w:r>
            <w:r>
              <w:rPr>
                <w:rFonts w:hint="eastAsia" w:eastAsia="宋体"/>
                <w:szCs w:val="21"/>
                <w:lang w:eastAsia="zh-CN"/>
              </w:rPr>
              <w:t>（1）具有独立承担民事责任的能力；（2）具有良好的商业信誉和健全的财务会计制度；（3）具有履行合同所必需的设备和专业技术能力；（4）有依法缴纳税收和社会保障资金的良好记录；（5）参加政府采购活动前三年内，在经营活动中没有重大违法记录；</w:t>
            </w:r>
          </w:p>
          <w:p>
            <w:pPr>
              <w:tabs>
                <w:tab w:val="left" w:pos="720"/>
              </w:tabs>
              <w:spacing w:line="360" w:lineRule="auto"/>
              <w:rPr>
                <w:rFonts w:hint="eastAsia" w:ascii="宋体" w:hAnsi="宋体" w:eastAsia="宋体"/>
                <w:sz w:val="24"/>
                <w:szCs w:val="24"/>
                <w:highlight w:val="yellow"/>
                <w:lang w:eastAsia="zh-CN"/>
              </w:rPr>
            </w:pPr>
            <w:r>
              <w:rPr>
                <w:rFonts w:hint="eastAsia" w:eastAsia="宋体"/>
                <w:szCs w:val="21"/>
                <w:lang w:eastAsia="zh-CN"/>
              </w:rPr>
              <w:t>（6）法律、行政法规规定的其他条件。2、投标人具有ISO9001质量管理体系认证证书、ISO14001环境管理体系认证证书和OHSAS8001职业健康安全管理体系认证证书（认证范围包含充电设备）。</w:t>
            </w:r>
            <w:r>
              <w:rPr>
                <w:rFonts w:hint="eastAsia" w:ascii="宋体" w:hAnsi="宋体"/>
                <w:sz w:val="24"/>
                <w:szCs w:val="24"/>
                <w:highlight w:val="yellow"/>
                <w:lang w:eastAsia="zh-CN"/>
              </w:rPr>
              <w:t>（所有资质复印件均需</w:t>
            </w:r>
            <w:r>
              <w:rPr>
                <w:rFonts w:hint="eastAsia" w:ascii="宋体" w:hAnsi="宋体"/>
                <w:color w:val="FF0000"/>
                <w:sz w:val="24"/>
                <w:szCs w:val="24"/>
                <w:highlight w:val="yellow"/>
                <w:lang w:eastAsia="zh-CN"/>
              </w:rPr>
              <w:t>加盖公章</w:t>
            </w:r>
            <w:r>
              <w:rPr>
                <w:rFonts w:hint="eastAsia" w:ascii="宋体" w:hAnsi="宋体"/>
                <w:sz w:val="24"/>
                <w:szCs w:val="24"/>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restart"/>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sz w:val="24"/>
                <w:szCs w:val="24"/>
              </w:rPr>
              <w:t>符合性检查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与营业执照或有效“多证合一”证件一致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投标报价唯一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系统功能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系统功能必须满足</w:t>
            </w:r>
            <w:r>
              <w:rPr>
                <w:rFonts w:hint="eastAsia" w:ascii="宋体" w:hAnsi="宋体"/>
                <w:sz w:val="24"/>
                <w:szCs w:val="24"/>
                <w:lang w:eastAsia="zh-CN"/>
              </w:rPr>
              <w:t>招标</w:t>
            </w:r>
            <w:r>
              <w:rPr>
                <w:rFonts w:hint="eastAsia" w:ascii="宋体" w:hAnsi="宋体"/>
                <w:sz w:val="24"/>
                <w:szCs w:val="24"/>
              </w:rPr>
              <w:t>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20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、质保期及售后服务措施等</w:t>
            </w:r>
          </w:p>
        </w:tc>
      </w:tr>
    </w:tbl>
    <w:p>
      <w:pPr>
        <w:ind w:firstLine="480" w:firstLineChars="200"/>
        <w:rPr>
          <w:rFonts w:hint="eastAsia" w:ascii="Times New Roman" w:hAnsi="宋体"/>
          <w:sz w:val="24"/>
          <w:szCs w:val="24"/>
          <w:highlight w:val="yellow"/>
        </w:rPr>
      </w:pPr>
      <w:r>
        <w:rPr>
          <w:rFonts w:hint="eastAsia" w:ascii="Times New Roman" w:hAnsi="宋体"/>
          <w:sz w:val="24"/>
          <w:szCs w:val="24"/>
          <w:highlight w:val="yellow"/>
        </w:rPr>
        <w:t>注：初审内容若有任何一项不满足，将不能进入报价评审。</w:t>
      </w:r>
    </w:p>
    <w:p>
      <w:pPr>
        <w:ind w:firstLine="480" w:firstLineChars="200"/>
        <w:rPr>
          <w:rFonts w:hint="eastAsia" w:ascii="Times New Roman" w:hAnsi="宋体"/>
          <w:sz w:val="24"/>
          <w:szCs w:val="24"/>
          <w:highlight w:val="yellow"/>
        </w:rPr>
      </w:pPr>
      <w:r>
        <w:rPr>
          <w:rFonts w:hint="eastAsia" w:ascii="Times New Roman" w:hAnsi="宋体"/>
          <w:sz w:val="24"/>
          <w:szCs w:val="24"/>
          <w:highlight w:val="yellow"/>
        </w:rPr>
        <w:t>1、技术标评审涉及的有关资格证明材料、文件、奖项证书及业绩证明文件按招标文件要求装订在投标文件技术标文件中，材料均为扫描件或复印件须加盖单位公章。</w:t>
      </w:r>
    </w:p>
    <w:p>
      <w:pPr>
        <w:ind w:firstLine="480" w:firstLineChars="200"/>
        <w:rPr>
          <w:rFonts w:ascii="Times New Roman" w:hAnsi="宋体"/>
          <w:sz w:val="24"/>
          <w:szCs w:val="24"/>
          <w:highlight w:val="yellow"/>
        </w:rPr>
      </w:pPr>
      <w:r>
        <w:rPr>
          <w:rFonts w:hint="eastAsia" w:ascii="Times New Roman" w:hAnsi="宋体"/>
          <w:sz w:val="24"/>
          <w:szCs w:val="24"/>
          <w:highlight w:val="yellow"/>
        </w:rPr>
        <w:t>2、中标单位需保证所提供加分业绩证明材料真实有效，对于提供虚假材料的，由原评标委员会半数以上投票否决的，招标人有权取消其中标人资格。</w:t>
      </w:r>
    </w:p>
    <w:p>
      <w:pPr>
        <w:spacing w:line="360" w:lineRule="exact"/>
        <w:ind w:firstLine="480" w:firstLineChars="200"/>
        <w:rPr>
          <w:rFonts w:ascii="Times New Roman" w:hAnsi="宋体"/>
          <w:sz w:val="24"/>
          <w:szCs w:val="24"/>
          <w:highlight w:val="yellow"/>
        </w:rPr>
      </w:pPr>
    </w:p>
    <w:p>
      <w:pPr>
        <w:jc w:val="center"/>
        <w:rPr>
          <w:rFonts w:hint="eastAsia"/>
          <w:b/>
          <w:sz w:val="30"/>
          <w:szCs w:val="30"/>
        </w:rPr>
      </w:pPr>
      <w:r>
        <w:rPr>
          <w:rFonts w:hint="eastAsia"/>
          <w:b/>
          <w:sz w:val="30"/>
          <w:szCs w:val="30"/>
        </w:rPr>
        <w:t>投标文件技术和商务评审表</w:t>
      </w:r>
    </w:p>
    <w:p>
      <w:pPr>
        <w:spacing w:line="360" w:lineRule="exact"/>
        <w:ind w:firstLine="482" w:firstLineChars="200"/>
        <w:rPr>
          <w:rFonts w:hint="eastAsia" w:ascii="仿宋_GB2312" w:hAnsi="仿宋_GB2312" w:eastAsia="仿宋_GB2312" w:cs="仿宋_GB2312"/>
          <w:sz w:val="32"/>
          <w:szCs w:val="32"/>
        </w:rPr>
      </w:pPr>
      <w:r>
        <w:rPr>
          <w:rFonts w:hint="eastAsia" w:ascii="宋体" w:hAnsi="宋体"/>
          <w:b/>
          <w:sz w:val="24"/>
          <w:szCs w:val="24"/>
        </w:rPr>
        <w:t xml:space="preserve"> </w:t>
      </w:r>
    </w:p>
    <w:tbl>
      <w:tblPr>
        <w:tblStyle w:val="24"/>
        <w:tblW w:w="9547"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756"/>
        <w:gridCol w:w="900"/>
        <w:gridCol w:w="689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blHeader/>
          <w:jc w:val="center"/>
        </w:trPr>
        <w:tc>
          <w:tcPr>
            <w:tcW w:w="1756" w:type="dxa"/>
            <w:noWrap w:val="0"/>
            <w:vAlign w:val="center"/>
          </w:tcPr>
          <w:p>
            <w:pPr>
              <w:adjustRightInd w:val="0"/>
              <w:spacing w:after="60" w:line="360" w:lineRule="exact"/>
              <w:ind w:left="63" w:leftChars="30" w:right="63" w:rightChars="30"/>
              <w:jc w:val="center"/>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评分项目</w:t>
            </w:r>
          </w:p>
        </w:tc>
        <w:tc>
          <w:tcPr>
            <w:tcW w:w="900" w:type="dxa"/>
            <w:noWrap w:val="0"/>
            <w:vAlign w:val="center"/>
          </w:tcPr>
          <w:p>
            <w:pPr>
              <w:adjustRightInd w:val="0"/>
              <w:spacing w:after="60" w:line="360" w:lineRule="exact"/>
              <w:ind w:left="63" w:leftChars="30" w:right="63" w:rightChars="30"/>
              <w:jc w:val="center"/>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分值</w:t>
            </w:r>
          </w:p>
        </w:tc>
        <w:tc>
          <w:tcPr>
            <w:tcW w:w="6891" w:type="dxa"/>
            <w:noWrap w:val="0"/>
            <w:vAlign w:val="center"/>
          </w:tcPr>
          <w:p>
            <w:pPr>
              <w:adjustRightInd w:val="0"/>
              <w:spacing w:after="60" w:line="360" w:lineRule="exact"/>
              <w:ind w:left="63" w:leftChars="30" w:right="63" w:rightChars="30"/>
              <w:jc w:val="center"/>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评分内容及标准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价格</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0分</w:t>
            </w:r>
          </w:p>
        </w:tc>
        <w:tc>
          <w:tcPr>
            <w:tcW w:w="6891" w:type="dxa"/>
            <w:noWrap w:val="0"/>
            <w:vAlign w:val="top"/>
          </w:tcPr>
          <w:p>
            <w:pPr>
              <w:spacing w:line="360" w:lineRule="exact"/>
              <w:rPr>
                <w:rFonts w:hint="eastAsia" w:ascii="仿宋_GB2312" w:hAnsi="仿宋_GB2312" w:eastAsia="仿宋_GB2312" w:cs="仿宋_GB2312"/>
                <w:sz w:val="24"/>
              </w:rPr>
            </w:pPr>
            <w:r>
              <w:rPr>
                <w:rFonts w:hint="default" w:ascii="仿宋_GB2312" w:hAnsi="仿宋_GB2312" w:eastAsia="仿宋_GB2312" w:cs="仿宋_GB2312"/>
                <w:sz w:val="24"/>
                <w:lang w:val="en-US"/>
              </w:rPr>
              <w:t xml:space="preserve">    </w:t>
            </w:r>
            <w:r>
              <w:rPr>
                <w:rFonts w:hint="eastAsia" w:ascii="仿宋_GB2312" w:hAnsi="仿宋_GB2312" w:eastAsia="仿宋_GB2312" w:cs="仿宋_GB2312"/>
                <w:sz w:val="24"/>
              </w:rPr>
              <w:t>取</w:t>
            </w:r>
            <w:r>
              <w:rPr>
                <w:rFonts w:hint="eastAsia" w:ascii="仿宋_GB2312" w:hAnsi="仿宋_GB2312" w:eastAsia="仿宋_GB2312" w:cs="仿宋_GB2312"/>
                <w:sz w:val="24"/>
                <w:lang w:eastAsia="zh-CN"/>
              </w:rPr>
              <w:t>所有投标人</w:t>
            </w:r>
            <w:r>
              <w:rPr>
                <w:rFonts w:hint="eastAsia" w:ascii="仿宋_GB2312" w:hAnsi="仿宋_GB2312" w:eastAsia="仿宋_GB2312" w:cs="仿宋_GB2312"/>
                <w:sz w:val="24"/>
              </w:rPr>
              <w:t>报价</w:t>
            </w:r>
            <w:r>
              <w:rPr>
                <w:rFonts w:hint="eastAsia" w:ascii="仿宋_GB2312" w:hAnsi="仿宋_GB2312" w:eastAsia="仿宋_GB2312" w:cs="仿宋_GB2312"/>
                <w:sz w:val="24"/>
                <w:lang w:eastAsia="zh-CN"/>
              </w:rPr>
              <w:t>的算术平均数</w:t>
            </w:r>
            <w:r>
              <w:rPr>
                <w:rFonts w:hint="eastAsia" w:ascii="仿宋_GB2312" w:hAnsi="仿宋_GB2312" w:eastAsia="仿宋_GB2312" w:cs="仿宋_GB2312"/>
                <w:sz w:val="24"/>
              </w:rPr>
              <w:t>（报价</w:t>
            </w:r>
            <w:r>
              <w:rPr>
                <w:rFonts w:hint="eastAsia" w:ascii="仿宋_GB2312" w:hAnsi="仿宋_GB2312" w:eastAsia="仿宋_GB2312" w:cs="仿宋_GB2312"/>
                <w:sz w:val="24"/>
                <w:lang w:eastAsia="zh-CN"/>
              </w:rPr>
              <w:t>算术平均数</w:t>
            </w:r>
            <w:r>
              <w:rPr>
                <w:rFonts w:hint="eastAsia" w:ascii="仿宋_GB2312" w:hAnsi="仿宋_GB2312" w:eastAsia="仿宋_GB2312" w:cs="仿宋_GB2312"/>
                <w:sz w:val="24"/>
              </w:rPr>
              <w:t>为所有有效</w:t>
            </w:r>
            <w:r>
              <w:rPr>
                <w:rFonts w:hint="eastAsia" w:ascii="仿宋_GB2312" w:hAnsi="仿宋_GB2312" w:eastAsia="仿宋_GB2312" w:cs="仿宋_GB2312"/>
                <w:sz w:val="24"/>
                <w:lang w:eastAsia="zh-CN"/>
              </w:rPr>
              <w:t>投标报价</w:t>
            </w:r>
            <w:r>
              <w:rPr>
                <w:rFonts w:hint="eastAsia" w:ascii="仿宋_GB2312" w:hAnsi="仿宋_GB2312" w:eastAsia="仿宋_GB2312" w:cs="仿宋_GB2312"/>
                <w:sz w:val="24"/>
              </w:rPr>
              <w:t>的平均值）下浮</w:t>
            </w:r>
            <w:r>
              <w:rPr>
                <w:rFonts w:hint="eastAsia" w:ascii="仿宋_GB2312" w:hAnsi="仿宋_GB2312" w:eastAsia="仿宋_GB2312" w:cs="仿宋_GB2312"/>
                <w:sz w:val="24"/>
                <w:lang w:val="en-US" w:eastAsia="zh-CN"/>
              </w:rPr>
              <w:t>N</w:t>
            </w:r>
            <w:r>
              <w:rPr>
                <w:rFonts w:hint="eastAsia" w:ascii="仿宋_GB2312" w:hAnsi="仿宋_GB2312" w:eastAsia="仿宋_GB2312" w:cs="仿宋_GB2312"/>
                <w:sz w:val="24"/>
              </w:rPr>
              <w:t>% 作为评标基准价。N的取值范围为：2.5、3、</w:t>
            </w:r>
            <w:r>
              <w:rPr>
                <w:rFonts w:hint="default" w:ascii="仿宋_GB2312" w:hAnsi="仿宋_GB2312" w:eastAsia="仿宋_GB2312" w:cs="仿宋_GB2312"/>
                <w:sz w:val="24"/>
                <w:lang w:val="en-US"/>
              </w:rPr>
              <w:t>3</w:t>
            </w:r>
            <w:r>
              <w:rPr>
                <w:rFonts w:hint="eastAsia" w:ascii="仿宋_GB2312" w:hAnsi="仿宋_GB2312" w:eastAsia="仿宋_GB2312" w:cs="仿宋_GB2312"/>
                <w:sz w:val="24"/>
              </w:rPr>
              <w:t>.5、</w:t>
            </w:r>
            <w:r>
              <w:rPr>
                <w:rFonts w:hint="default" w:ascii="仿宋_GB2312" w:hAnsi="仿宋_GB2312" w:eastAsia="仿宋_GB2312" w:cs="仿宋_GB2312"/>
                <w:sz w:val="24"/>
                <w:lang w:val="en-US"/>
              </w:rPr>
              <w:t>4</w:t>
            </w:r>
            <w:r>
              <w:rPr>
                <w:rFonts w:hint="eastAsia" w:ascii="仿宋_GB2312" w:hAnsi="仿宋_GB2312" w:eastAsia="仿宋_GB2312" w:cs="仿宋_GB2312"/>
                <w:sz w:val="24"/>
              </w:rPr>
              <w:t>、</w:t>
            </w:r>
            <w:r>
              <w:rPr>
                <w:rFonts w:hint="default" w:ascii="仿宋_GB2312" w:hAnsi="仿宋_GB2312" w:eastAsia="仿宋_GB2312" w:cs="仿宋_GB2312"/>
                <w:sz w:val="24"/>
                <w:lang w:val="en-US"/>
              </w:rPr>
              <w:t>4</w:t>
            </w:r>
            <w:r>
              <w:rPr>
                <w:rFonts w:hint="eastAsia" w:ascii="仿宋_GB2312" w:hAnsi="仿宋_GB2312" w:eastAsia="仿宋_GB2312" w:cs="仿宋_GB2312"/>
                <w:sz w:val="24"/>
              </w:rPr>
              <w:t>.5（对应抽取序号分别为1、2、3、4、5，假如抽到3，则N的取值为</w:t>
            </w:r>
            <w:r>
              <w:rPr>
                <w:rFonts w:hint="default" w:ascii="仿宋_GB2312" w:hAnsi="仿宋_GB2312" w:eastAsia="仿宋_GB2312" w:cs="仿宋_GB2312"/>
                <w:sz w:val="24"/>
                <w:lang w:val="en-US"/>
              </w:rPr>
              <w:t>3</w:t>
            </w:r>
            <w:r>
              <w:rPr>
                <w:rFonts w:hint="eastAsia" w:ascii="仿宋_GB2312" w:hAnsi="仿宋_GB2312" w:eastAsia="仿宋_GB2312" w:cs="仿宋_GB2312"/>
                <w:sz w:val="24"/>
              </w:rPr>
              <w:t>.5</w:t>
            </w:r>
            <w:r>
              <w:rPr>
                <w:rFonts w:hint="eastAsia" w:ascii="仿宋_GB2312" w:hAnsi="仿宋_GB2312" w:eastAsia="仿宋_GB2312" w:cs="仿宋_GB2312"/>
                <w:sz w:val="24"/>
                <w:lang w:eastAsia="zh-CN"/>
              </w:rPr>
              <w:t>，序号在开标环节由投标人代表抽取</w:t>
            </w:r>
            <w:r>
              <w:rPr>
                <w:rFonts w:hint="eastAsia" w:ascii="仿宋_GB2312" w:hAnsi="仿宋_GB2312" w:eastAsia="仿宋_GB2312" w:cs="仿宋_GB2312"/>
                <w:sz w:val="24"/>
              </w:rPr>
              <w:t>）。</w:t>
            </w:r>
          </w:p>
          <w:p>
            <w:pPr>
              <w:spacing w:line="3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在所有有效投标</w:t>
            </w:r>
            <w:r>
              <w:rPr>
                <w:rFonts w:hint="eastAsia" w:ascii="仿宋_GB2312" w:hAnsi="仿宋_GB2312" w:eastAsia="仿宋_GB2312" w:cs="仿宋_GB2312"/>
                <w:sz w:val="24"/>
                <w:lang w:eastAsia="zh-CN"/>
              </w:rPr>
              <w:t>报价</w:t>
            </w:r>
            <w:r>
              <w:rPr>
                <w:rFonts w:hint="eastAsia" w:ascii="仿宋_GB2312" w:hAnsi="仿宋_GB2312" w:eastAsia="仿宋_GB2312" w:cs="仿宋_GB2312"/>
                <w:sz w:val="24"/>
              </w:rPr>
              <w:t>中，投标</w:t>
            </w:r>
            <w:r>
              <w:rPr>
                <w:rFonts w:hint="eastAsia" w:ascii="仿宋_GB2312" w:hAnsi="仿宋_GB2312" w:eastAsia="仿宋_GB2312" w:cs="仿宋_GB2312"/>
                <w:sz w:val="24"/>
                <w:lang w:eastAsia="zh-CN"/>
              </w:rPr>
              <w:t>报价</w:t>
            </w:r>
            <w:r>
              <w:rPr>
                <w:rFonts w:hint="eastAsia" w:ascii="仿宋_GB2312" w:hAnsi="仿宋_GB2312" w:eastAsia="仿宋_GB2312" w:cs="仿宋_GB2312"/>
                <w:sz w:val="24"/>
              </w:rPr>
              <w:t>与评标</w:t>
            </w:r>
            <w:r>
              <w:rPr>
                <w:rFonts w:hint="eastAsia" w:ascii="仿宋_GB2312" w:hAnsi="仿宋_GB2312" w:eastAsia="仿宋_GB2312" w:cs="仿宋_GB2312"/>
                <w:sz w:val="24"/>
                <w:lang w:eastAsia="zh-CN"/>
              </w:rPr>
              <w:t>基准价</w:t>
            </w:r>
            <w:r>
              <w:rPr>
                <w:rFonts w:hint="eastAsia" w:ascii="仿宋_GB2312" w:hAnsi="仿宋_GB2312" w:eastAsia="仿宋_GB2312" w:cs="仿宋_GB2312"/>
                <w:sz w:val="24"/>
              </w:rPr>
              <w:t>相比，采用内插法，投标</w:t>
            </w:r>
            <w:r>
              <w:rPr>
                <w:rFonts w:hint="eastAsia" w:ascii="仿宋_GB2312" w:hAnsi="仿宋_GB2312" w:eastAsia="仿宋_GB2312" w:cs="仿宋_GB2312"/>
                <w:sz w:val="24"/>
                <w:lang w:eastAsia="zh-CN"/>
              </w:rPr>
              <w:t>报价比</w:t>
            </w:r>
            <w:r>
              <w:rPr>
                <w:rFonts w:hint="eastAsia" w:ascii="仿宋_GB2312" w:hAnsi="仿宋_GB2312" w:eastAsia="仿宋_GB2312" w:cs="仿宋_GB2312"/>
                <w:sz w:val="24"/>
              </w:rPr>
              <w:t>评标</w:t>
            </w:r>
            <w:r>
              <w:rPr>
                <w:rFonts w:hint="eastAsia" w:ascii="仿宋_GB2312" w:hAnsi="仿宋_GB2312" w:eastAsia="仿宋_GB2312" w:cs="仿宋_GB2312"/>
                <w:sz w:val="24"/>
                <w:lang w:eastAsia="zh-CN"/>
              </w:rPr>
              <w:t>基准价</w:t>
            </w:r>
            <w:r>
              <w:rPr>
                <w:rFonts w:hint="eastAsia" w:ascii="仿宋_GB2312" w:hAnsi="仿宋_GB2312" w:eastAsia="仿宋_GB2312" w:cs="仿宋_GB2312"/>
                <w:sz w:val="24"/>
              </w:rPr>
              <w:t>每低于（小于）1%扣</w:t>
            </w: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分，每高于（大于）1%扣</w:t>
            </w: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业绩</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10分</w:t>
            </w:r>
          </w:p>
        </w:tc>
        <w:tc>
          <w:tcPr>
            <w:tcW w:w="6891" w:type="dxa"/>
            <w:noWrap w:val="0"/>
            <w:vAlign w:val="top"/>
          </w:tcPr>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2016年1月1日至开标之日，投标主体充电桩销售业绩：</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1）充电站单个合同总功率大于</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000kW的（须提供合同</w:t>
            </w:r>
            <w:r>
              <w:rPr>
                <w:rFonts w:hint="eastAsia" w:ascii="仿宋_GB2312" w:hAnsi="仿宋_GB2312" w:eastAsia="仿宋_GB2312" w:cs="仿宋_GB2312"/>
                <w:sz w:val="24"/>
                <w:szCs w:val="24"/>
                <w:lang w:eastAsia="zh-CN"/>
              </w:rPr>
              <w:t>复印件</w:t>
            </w:r>
            <w:r>
              <w:rPr>
                <w:rFonts w:hint="eastAsia" w:ascii="仿宋_GB2312" w:hAnsi="仿宋_GB2312" w:eastAsia="仿宋_GB2312" w:cs="仿宋_GB2312"/>
                <w:sz w:val="24"/>
                <w:szCs w:val="24"/>
              </w:rPr>
              <w:t>及相关文件），每提供一个得</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，以</w:t>
            </w:r>
            <w:r>
              <w:rPr>
                <w:rFonts w:hint="eastAsia" w:ascii="仿宋_GB2312" w:hAnsi="仿宋_GB2312" w:eastAsia="仿宋_GB2312" w:cs="仿宋_GB2312"/>
                <w:sz w:val="24"/>
                <w:szCs w:val="24"/>
                <w:lang w:val="en-US" w:eastAsia="zh-CN"/>
              </w:rPr>
              <w:t>5000kw为基准，每高1000kw多加1分，</w:t>
            </w:r>
            <w:r>
              <w:rPr>
                <w:rFonts w:hint="eastAsia" w:ascii="仿宋_GB2312" w:hAnsi="仿宋_GB2312" w:eastAsia="仿宋_GB2312" w:cs="仿宋_GB2312"/>
                <w:sz w:val="24"/>
                <w:szCs w:val="24"/>
              </w:rPr>
              <w:t>满分</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分；</w:t>
            </w:r>
          </w:p>
          <w:p>
            <w:pPr>
              <w:spacing w:line="36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投标人近</w:t>
            </w:r>
            <w:r>
              <w:rPr>
                <w:rFonts w:hint="eastAsia" w:ascii="仿宋_GB2312" w:hAnsi="仿宋_GB2312" w:eastAsia="仿宋_GB2312" w:cs="仿宋_GB2312"/>
                <w:sz w:val="24"/>
                <w:szCs w:val="24"/>
                <w:lang w:val="en-US" w:eastAsia="zh-CN"/>
              </w:rPr>
              <w:t>3年具有向国内新能源汽车生产厂家直接供货业绩（需提供证明材料），合作的厂家数量达3家的得2分，以3家合作厂家为基准，每多一家多加1分，满分5分；</w:t>
            </w:r>
          </w:p>
          <w:p>
            <w:pPr>
              <w:spacing w:line="360" w:lineRule="exact"/>
              <w:rPr>
                <w:rFonts w:hint="eastAsia" w:ascii="仿宋_GB2312" w:hAnsi="仿宋_GB2312" w:eastAsia="仿宋_GB2312" w:cs="仿宋_GB2312"/>
                <w:sz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以上二项业绩，不重复计分，</w:t>
            </w:r>
            <w:r>
              <w:rPr>
                <w:rFonts w:hint="eastAsia" w:ascii="仿宋_GB2312" w:hAnsi="仿宋_GB2312" w:eastAsia="仿宋_GB2312" w:cs="仿宋_GB2312"/>
                <w:sz w:val="24"/>
                <w:szCs w:val="24"/>
              </w:rPr>
              <w:t>合同业绩信息须能体现评审要素，以合同签订时间为准）。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培训</w:t>
            </w:r>
          </w:p>
        </w:tc>
        <w:tc>
          <w:tcPr>
            <w:tcW w:w="900" w:type="dxa"/>
            <w:noWrap w:val="0"/>
            <w:vAlign w:val="center"/>
          </w:tcPr>
          <w:p>
            <w:pPr>
              <w:spacing w:after="120" w:line="360" w:lineRule="exact"/>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5分</w:t>
            </w:r>
          </w:p>
        </w:tc>
        <w:tc>
          <w:tcPr>
            <w:tcW w:w="6891" w:type="dxa"/>
            <w:noWrap w:val="0"/>
            <w:vAlign w:val="top"/>
          </w:tcPr>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投标人提供详细的项目实施、培训</w:t>
            </w:r>
            <w:r>
              <w:rPr>
                <w:rFonts w:hint="eastAsia" w:ascii="仿宋_GB2312" w:hAnsi="仿宋_GB2312" w:eastAsia="仿宋_GB2312" w:cs="仿宋_GB2312"/>
                <w:bCs/>
                <w:sz w:val="24"/>
                <w:szCs w:val="24"/>
                <w:lang w:eastAsia="zh-CN"/>
              </w:rPr>
              <w:t>方案</w:t>
            </w:r>
            <w:r>
              <w:rPr>
                <w:rFonts w:hint="eastAsia" w:ascii="仿宋_GB2312" w:hAnsi="仿宋_GB2312" w:eastAsia="仿宋_GB2312" w:cs="仿宋_GB2312"/>
                <w:bCs/>
                <w:sz w:val="24"/>
                <w:szCs w:val="24"/>
              </w:rPr>
              <w:t>，包括项目实施计划、培训计划</w:t>
            </w:r>
            <w:r>
              <w:rPr>
                <w:rFonts w:hint="eastAsia" w:ascii="仿宋_GB2312" w:hAnsi="仿宋_GB2312" w:eastAsia="仿宋_GB2312" w:cs="仿宋_GB2312"/>
                <w:bCs/>
                <w:sz w:val="24"/>
                <w:szCs w:val="24"/>
                <w:lang w:eastAsia="zh-CN"/>
              </w:rPr>
              <w:t>（包括目标、课程、教材、时间、培训对象等）</w:t>
            </w:r>
            <w:r>
              <w:rPr>
                <w:rFonts w:hint="eastAsia" w:ascii="仿宋_GB2312" w:hAnsi="仿宋_GB2312" w:eastAsia="仿宋_GB2312" w:cs="仿宋_GB2312"/>
                <w:bCs/>
                <w:sz w:val="24"/>
                <w:szCs w:val="24"/>
              </w:rPr>
              <w:t>与售后服务内容等。综合评定：按1-</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rPr>
              <w:t>分酌情进行打分。未提供方案不得分。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质保及售后服务</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en-US" w:eastAsia="zh-CN"/>
              </w:rPr>
              <w:t>2分</w:t>
            </w:r>
          </w:p>
        </w:tc>
        <w:tc>
          <w:tcPr>
            <w:tcW w:w="6891" w:type="dxa"/>
            <w:noWrap w:val="0"/>
            <w:vAlign w:val="top"/>
          </w:tcPr>
          <w:p>
            <w:pPr>
              <w:spacing w:line="360" w:lineRule="exact"/>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1、满足招标文件免费质保期要求的基础上，承诺每增加一年免费质保期加1分，满分5分；</w:t>
            </w:r>
          </w:p>
          <w:p>
            <w:pPr>
              <w:spacing w:line="360" w:lineRule="exact"/>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2、根据投标文件中售后服务的承诺，售后体系、售后服务团队及维保方案、备品备件库的合理性、及时性及完善性等。评委会按1-3分酌情打分。</w:t>
            </w:r>
          </w:p>
          <w:p>
            <w:pPr>
              <w:spacing w:line="360" w:lineRule="exac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rPr>
              <w:t>、承诺一旦成为中标供应商，在接到采购人</w:t>
            </w:r>
            <w:r>
              <w:rPr>
                <w:rFonts w:hint="eastAsia" w:ascii="仿宋_GB2312" w:hAnsi="仿宋_GB2312" w:eastAsia="仿宋_GB2312" w:cs="仿宋_GB2312"/>
                <w:bCs/>
                <w:sz w:val="24"/>
                <w:szCs w:val="24"/>
                <w:lang w:eastAsia="zh-CN"/>
              </w:rPr>
              <w:t>售后服务要求</w:t>
            </w:r>
            <w:r>
              <w:rPr>
                <w:rFonts w:hint="eastAsia" w:ascii="仿宋_GB2312" w:hAnsi="仿宋_GB2312" w:eastAsia="仿宋_GB2312" w:cs="仿宋_GB2312"/>
                <w:bCs/>
                <w:sz w:val="24"/>
                <w:szCs w:val="24"/>
              </w:rPr>
              <w:t>后</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并在6小时之内排除故障的得2分。</w:t>
            </w:r>
          </w:p>
          <w:p>
            <w:pPr>
              <w:spacing w:line="360" w:lineRule="exact"/>
              <w:rPr>
                <w:rFonts w:hint="eastAsia" w:ascii="仿宋_GB2312" w:hAnsi="仿宋_GB2312" w:eastAsia="仿宋_GB2312" w:cs="仿宋_GB2312"/>
                <w:bCs/>
                <w:sz w:val="24"/>
                <w:szCs w:val="24"/>
                <w:lang w:val="zh-TW" w:eastAsia="zh-CN"/>
              </w:rPr>
            </w:pPr>
            <w:r>
              <w:rPr>
                <w:rFonts w:hint="default" w:ascii="仿宋_GB2312" w:hAnsi="仿宋_GB2312" w:eastAsia="仿宋_GB2312" w:cs="仿宋_GB2312"/>
                <w:sz w:val="24"/>
                <w:lang w:val="en-US" w:eastAsia="zh-TW"/>
              </w:rPr>
              <w:t>4</w:t>
            </w:r>
            <w:r>
              <w:rPr>
                <w:rFonts w:hint="eastAsia" w:ascii="仿宋_GB2312" w:hAnsi="仿宋_GB2312" w:eastAsia="仿宋_GB2312" w:cs="仿宋_GB2312"/>
                <w:bCs/>
                <w:sz w:val="24"/>
                <w:szCs w:val="24"/>
              </w:rPr>
              <w:t>、</w:t>
            </w:r>
            <w:r>
              <w:rPr>
                <w:rFonts w:hint="eastAsia" w:ascii="仿宋_GB2312" w:hAnsi="仿宋_GB2312" w:eastAsia="仿宋_GB2312" w:cs="仿宋_GB2312"/>
                <w:sz w:val="24"/>
                <w:lang w:val="zh-TW"/>
              </w:rPr>
              <w:t>投标人已租赁云服务器得</w:t>
            </w:r>
            <w:r>
              <w:rPr>
                <w:rFonts w:hint="default" w:ascii="仿宋_GB2312" w:hAnsi="仿宋_GB2312" w:eastAsia="仿宋_GB2312" w:cs="仿宋_GB2312"/>
                <w:sz w:val="24"/>
                <w:lang w:val="en-US" w:eastAsia="zh-CN"/>
              </w:rPr>
              <w:t>2</w:t>
            </w:r>
            <w:r>
              <w:rPr>
                <w:rFonts w:hint="eastAsia" w:ascii="仿宋_GB2312" w:hAnsi="仿宋_GB2312" w:eastAsia="仿宋_GB2312" w:cs="仿宋_GB2312"/>
                <w:sz w:val="24"/>
                <w:lang w:val="zh-TW"/>
              </w:rPr>
              <w:t>分。需提供相关租赁合同。</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67"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color w:val="FF0000"/>
                <w:sz w:val="24"/>
                <w:szCs w:val="24"/>
                <w:lang w:eastAsia="zh-CN"/>
              </w:rPr>
            </w:pPr>
            <w:r>
              <w:rPr>
                <w:rFonts w:hint="eastAsia" w:ascii="仿宋_GB2312" w:hAnsi="仿宋_GB2312" w:eastAsia="仿宋_GB2312" w:cs="仿宋_GB2312"/>
                <w:sz w:val="24"/>
                <w:lang w:eastAsia="zh-CN"/>
              </w:rPr>
              <w:t>充电模块</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分</w:t>
            </w:r>
          </w:p>
        </w:tc>
        <w:tc>
          <w:tcPr>
            <w:tcW w:w="6891" w:type="dxa"/>
            <w:noWrap w:val="0"/>
            <w:vAlign w:val="top"/>
          </w:tcPr>
          <w:p>
            <w:pPr>
              <w:spacing w:line="360" w:lineRule="exact"/>
              <w:rPr>
                <w:rFonts w:hint="eastAsia" w:ascii="仿宋_GB2312" w:hAnsi="仿宋_GB2312" w:eastAsia="仿宋_GB2312" w:cs="仿宋_GB2312"/>
                <w:sz w:val="24"/>
              </w:rPr>
            </w:pPr>
            <w:r>
              <w:rPr>
                <w:rFonts w:hint="eastAsia" w:ascii="仿宋_GB2312" w:hAnsi="仿宋_GB2312" w:eastAsia="仿宋_GB2312" w:cs="仿宋_GB2312"/>
                <w:sz w:val="24"/>
              </w:rPr>
              <w:t>1、充电模块电流：最大输出电流超过不小于25A（须提供国网电科院对充电模块的相关检验检测报告），满足要求的得</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分，否则不得分。</w:t>
            </w:r>
          </w:p>
          <w:p>
            <w:pPr>
              <w:spacing w:line="360" w:lineRule="exact"/>
              <w:rPr>
                <w:rFonts w:hint="eastAsia" w:ascii="仿宋_GB2312" w:hAnsi="仿宋_GB2312" w:eastAsia="仿宋_GB2312" w:cs="仿宋_GB2312"/>
                <w:sz w:val="24"/>
                <w:lang w:eastAsia="zh-CN"/>
              </w:rPr>
            </w:pPr>
            <w:r>
              <w:rPr>
                <w:rFonts w:hint="eastAsia" w:ascii="仿宋_GB2312" w:hAnsi="仿宋_GB2312" w:eastAsia="仿宋_GB2312" w:cs="仿宋_GB2312"/>
                <w:sz w:val="24"/>
              </w:rPr>
              <w:t>2、充电模块效率：充电模块在50%-100%额定充电电流，充电模块效率≥0.92得</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分，投标人提供国家级权威检测机构出具检测报告或权威鉴定机构出具的鉴定证书。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59"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color w:val="FF0000"/>
                <w:sz w:val="24"/>
                <w:szCs w:val="24"/>
                <w:lang w:eastAsia="zh-CN"/>
              </w:rPr>
            </w:pPr>
            <w:r>
              <w:rPr>
                <w:rFonts w:hint="eastAsia" w:ascii="仿宋_GB2312" w:hAnsi="仿宋_GB2312" w:eastAsia="仿宋_GB2312" w:cs="仿宋_GB2312"/>
                <w:bCs/>
                <w:sz w:val="24"/>
                <w:lang w:eastAsia="zh-CN"/>
              </w:rPr>
              <w:t>运营管理</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2分</w:t>
            </w:r>
          </w:p>
        </w:tc>
        <w:tc>
          <w:tcPr>
            <w:tcW w:w="6891" w:type="dxa"/>
            <w:noWrap w:val="0"/>
            <w:vAlign w:val="top"/>
          </w:tcPr>
          <w:p>
            <w:pPr>
              <w:spacing w:line="360" w:lineRule="exact"/>
              <w:rPr>
                <w:rFonts w:hint="default" w:ascii="仿宋_GB2312" w:hAnsi="仿宋_GB2312" w:eastAsia="仿宋_GB2312" w:cs="仿宋_GB2312"/>
                <w:bCs/>
                <w:sz w:val="24"/>
                <w:lang w:val="en-US" w:eastAsia="zh-CN"/>
              </w:rPr>
            </w:pPr>
            <w:r>
              <w:rPr>
                <w:rFonts w:hint="eastAsia" w:ascii="仿宋_GB2312" w:hAnsi="仿宋_GB2312" w:eastAsia="仿宋_GB2312" w:cs="仿宋_GB2312"/>
                <w:bCs/>
                <w:sz w:val="24"/>
                <w:lang w:val="en-US" w:eastAsia="zh-CN"/>
              </w:rPr>
              <w:t>投标人所开发的充电桩运行平台应具备与不同平台之间的互联互通对接能力，提供投标人相应软件著作权证书证明的，得2分。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19"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bCs/>
                <w:sz w:val="24"/>
                <w:lang w:eastAsia="zh-CN"/>
              </w:rPr>
            </w:pPr>
            <w:r>
              <w:rPr>
                <w:rFonts w:hint="eastAsia" w:ascii="仿宋_GB2312" w:hAnsi="仿宋_GB2312" w:eastAsia="仿宋_GB2312" w:cs="仿宋_GB2312"/>
                <w:bCs/>
                <w:sz w:val="24"/>
                <w:lang w:eastAsia="zh-CN"/>
              </w:rPr>
              <w:t>企业实力</w:t>
            </w:r>
          </w:p>
        </w:tc>
        <w:tc>
          <w:tcPr>
            <w:tcW w:w="900" w:type="dxa"/>
            <w:noWrap w:val="0"/>
            <w:vAlign w:val="center"/>
          </w:tcPr>
          <w:p>
            <w:pPr>
              <w:spacing w:after="120" w:line="360" w:lineRule="exact"/>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3分</w:t>
            </w:r>
          </w:p>
        </w:tc>
        <w:tc>
          <w:tcPr>
            <w:tcW w:w="6891" w:type="dxa"/>
            <w:noWrap w:val="0"/>
            <w:vAlign w:val="top"/>
          </w:tcPr>
          <w:p>
            <w:pPr>
              <w:spacing w:line="360" w:lineRule="exact"/>
              <w:rPr>
                <w:rFonts w:hint="default" w:ascii="仿宋_GB2312" w:hAnsi="仿宋_GB2312" w:eastAsia="仿宋_GB2312" w:cs="仿宋_GB2312"/>
                <w:bCs/>
                <w:sz w:val="24"/>
                <w:lang w:val="en-US" w:eastAsia="zh-CN"/>
              </w:rPr>
            </w:pPr>
            <w:r>
              <w:rPr>
                <w:rFonts w:hint="eastAsia" w:ascii="仿宋_GB2312" w:hAnsi="仿宋_GB2312" w:eastAsia="仿宋_GB2312" w:cs="仿宋_GB2312"/>
                <w:bCs/>
                <w:sz w:val="24"/>
                <w:lang w:val="en-US" w:eastAsia="zh-CN"/>
              </w:rPr>
              <w:t>投标人已获得国家电网公司集中规模招标采购电动汽车充电设施供应商资质能力核实证明的得3分。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67"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检测报告</w:t>
            </w:r>
          </w:p>
        </w:tc>
        <w:tc>
          <w:tcPr>
            <w:tcW w:w="900" w:type="dxa"/>
            <w:noWrap w:val="0"/>
            <w:vAlign w:val="center"/>
          </w:tcPr>
          <w:p>
            <w:pPr>
              <w:spacing w:after="120" w:line="360" w:lineRule="exact"/>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4分</w:t>
            </w:r>
          </w:p>
        </w:tc>
        <w:tc>
          <w:tcPr>
            <w:tcW w:w="6891" w:type="dxa"/>
            <w:noWrap w:val="0"/>
            <w:vAlign w:val="top"/>
          </w:tcPr>
          <w:p>
            <w:pPr>
              <w:spacing w:line="360" w:lineRule="exact"/>
              <w:rPr>
                <w:rFonts w:hint="eastAsia" w:ascii="仿宋_GB2312" w:hAnsi="仿宋_GB2312" w:eastAsia="仿宋_GB2312" w:cs="仿宋_GB2312"/>
                <w:color w:val="000000"/>
                <w:sz w:val="24"/>
                <w:lang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w:t>
            </w:r>
            <w:r>
              <w:rPr>
                <w:rFonts w:hint="eastAsia" w:ascii="仿宋_GB2312" w:hAnsi="仿宋_GB2312" w:eastAsia="仿宋_GB2312" w:cs="仿宋_GB2312"/>
                <w:color w:val="000000"/>
                <w:sz w:val="24"/>
              </w:rPr>
              <w:t>投标人提供的120KW直流充电设备，应具备恒功率输出功能，且恒功率电压范围不得低于DC400-750V，提供具有国家级CNAS检测中心及证书文件，得</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分</w:t>
            </w:r>
          </w:p>
          <w:p>
            <w:pPr>
              <w:spacing w:line="360" w:lineRule="exact"/>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val="en-US" w:eastAsia="zh-CN"/>
              </w:rPr>
              <w:t>2、投标人所投充电设备模块恒功率段完全满足技术规范书要求，且投标文件中提供具有CMA资质的第三方检测机构出具的检测报告扫描件证明，得1分</w:t>
            </w:r>
          </w:p>
          <w:p>
            <w:pPr>
              <w:spacing w:line="360" w:lineRule="exact"/>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投标文件中提供第三方检测机构（国网电科院、中国电科院、开普实验室、上海电科所、中检南方、广州威凯等国家级实验室）出具的直流90KW及以上充电产品型式实验报告扫描件（且报告封面具有CNAS标识），得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67"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产品</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分</w:t>
            </w:r>
          </w:p>
        </w:tc>
        <w:tc>
          <w:tcPr>
            <w:tcW w:w="6891" w:type="dxa"/>
            <w:noWrap w:val="0"/>
            <w:vAlign w:val="top"/>
          </w:tcPr>
          <w:p>
            <w:pPr>
              <w:adjustRightInd w:val="0"/>
              <w:spacing w:line="360" w:lineRule="atLeast"/>
              <w:rPr>
                <w:rFonts w:hint="eastAsia" w:ascii="仿宋_GB2312" w:hAnsi="仿宋_GB2312" w:eastAsia="仿宋_GB2312" w:cs="仿宋_GB2312"/>
                <w:sz w:val="24"/>
              </w:rPr>
            </w:pPr>
            <w:r>
              <w:rPr>
                <w:rFonts w:hint="default" w:ascii="仿宋_GB2312" w:hAnsi="仿宋_GB2312" w:eastAsia="仿宋_GB2312" w:cs="仿宋_GB2312"/>
                <w:sz w:val="24"/>
                <w:lang w:val="en-US"/>
              </w:rPr>
              <w:t>1</w:t>
            </w:r>
            <w:r>
              <w:rPr>
                <w:rFonts w:hint="eastAsia" w:ascii="仿宋_GB2312" w:hAnsi="仿宋_GB2312" w:eastAsia="仿宋_GB2312" w:cs="仿宋_GB2312"/>
                <w:sz w:val="24"/>
              </w:rPr>
              <w:t>、产品先进性：投标产品取得省级或以上认定的高新技术产品认证证书的得2分；</w:t>
            </w:r>
          </w:p>
          <w:p>
            <w:pPr>
              <w:adjustRightInd w:val="0"/>
              <w:spacing w:line="360" w:lineRule="atLeast"/>
              <w:rPr>
                <w:rFonts w:hint="eastAsia" w:ascii="仿宋_GB2312" w:hAnsi="仿宋_GB2312" w:eastAsia="仿宋_GB2312" w:cs="仿宋_GB2312"/>
                <w:sz w:val="24"/>
              </w:rPr>
            </w:pPr>
            <w:r>
              <w:rPr>
                <w:rFonts w:hint="default" w:ascii="仿宋_GB2312" w:hAnsi="仿宋_GB2312" w:eastAsia="仿宋_GB2312" w:cs="仿宋_GB2312"/>
                <w:sz w:val="24"/>
                <w:lang w:val="en-US"/>
              </w:rPr>
              <w:t>2</w:t>
            </w:r>
            <w:r>
              <w:rPr>
                <w:rFonts w:hint="eastAsia" w:ascii="仿宋_GB2312" w:hAnsi="仿宋_GB2312" w:eastAsia="仿宋_GB2312" w:cs="仿宋_GB2312"/>
                <w:sz w:val="24"/>
              </w:rPr>
              <w:t>、提供有效的实用新型专利证书，每提供一份得1分，满分</w:t>
            </w: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分。</w:t>
            </w:r>
          </w:p>
          <w:p>
            <w:pPr>
              <w:adjustRightInd w:val="0"/>
              <w:spacing w:line="360" w:lineRule="atLeast"/>
              <w:rPr>
                <w:rFonts w:hint="eastAsia" w:ascii="仿宋_GB2312" w:hAnsi="仿宋_GB2312" w:eastAsia="仿宋_GB2312" w:cs="仿宋_GB2312"/>
                <w:sz w:val="24"/>
              </w:rPr>
            </w:pPr>
            <w:r>
              <w:rPr>
                <w:rFonts w:hint="default"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、投标人每具有一项自主知识产权（需提供证明材料），得</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分，满分</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75" w:hRule="atLeast"/>
          <w:tblHeader/>
          <w:jc w:val="cent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保险</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2分</w:t>
            </w:r>
          </w:p>
        </w:tc>
        <w:tc>
          <w:tcPr>
            <w:tcW w:w="6891" w:type="dxa"/>
            <w:noWrap w:val="0"/>
            <w:vAlign w:val="top"/>
          </w:tcPr>
          <w:p>
            <w:pPr>
              <w:adjustRightInd w:val="0"/>
              <w:spacing w:line="360" w:lineRule="atLeast"/>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具有保险公司对所投产品投保的产品责任险，须提供证明材料。得2分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16" w:hRule="atLeast"/>
          <w:tblHeader/>
          <w:jc w:val="center"/>
        </w:trPr>
        <w:tc>
          <w:tcPr>
            <w:tcW w:w="9547" w:type="dxa"/>
            <w:gridSpan w:val="3"/>
            <w:noWrap w:val="0"/>
            <w:vAlign w:val="center"/>
          </w:tcPr>
          <w:p>
            <w:pPr>
              <w:spacing w:line="360" w:lineRule="exact"/>
              <w:ind w:firstLine="480" w:firstLineChars="200"/>
              <w:rPr>
                <w:rFonts w:hint="eastAsia" w:ascii="仿宋_GB2312" w:hAnsi="仿宋_GB2312" w:eastAsia="仿宋_GB2312" w:cs="仿宋_GB2312"/>
                <w:color w:val="1F497D"/>
                <w:sz w:val="24"/>
                <w:szCs w:val="24"/>
              </w:rPr>
            </w:pPr>
            <w:r>
              <w:rPr>
                <w:rFonts w:hint="eastAsia" w:ascii="仿宋_GB2312" w:hAnsi="仿宋_GB2312" w:eastAsia="仿宋_GB2312" w:cs="仿宋_GB2312"/>
                <w:color w:val="1F497D"/>
                <w:sz w:val="24"/>
                <w:szCs w:val="24"/>
              </w:rPr>
              <w:t xml:space="preserve">注： </w:t>
            </w:r>
            <w:r>
              <w:rPr>
                <w:rFonts w:hint="eastAsia" w:ascii="仿宋_GB2312" w:hAnsi="仿宋_GB2312" w:eastAsia="仿宋_GB2312" w:cs="仿宋_GB2312"/>
                <w:color w:val="1F497D"/>
                <w:sz w:val="24"/>
                <w:szCs w:val="24"/>
                <w:highlight w:val="yellow"/>
              </w:rPr>
              <w:t>技术和商务评审涉及的的相关证照、证明、证书、证件、合同等（非投标单位自身单独出具），原件的扫描件装入投标文件。原件中标后由采购人核验，如发现弄虚作假的，取消其中标资格，并按有关规定进行处理。</w:t>
            </w:r>
            <w:r>
              <w:rPr>
                <w:rFonts w:hint="eastAsia" w:ascii="Times New Roman" w:hAnsi="宋体"/>
                <w:sz w:val="24"/>
                <w:szCs w:val="24"/>
                <w:highlight w:val="yellow"/>
              </w:rPr>
              <w:t>材料均为扫描件或复印件须加盖单位公章。</w:t>
            </w:r>
          </w:p>
        </w:tc>
      </w:tr>
    </w:tbl>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评标总得分=F1+F2+F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8</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9</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10</w:t>
      </w:r>
      <w:r>
        <w:rPr>
          <w:rFonts w:hint="eastAsia" w:ascii="仿宋_GB2312" w:hAnsi="仿宋_GB2312" w:eastAsia="仿宋_GB2312" w:cs="仿宋_GB2312"/>
          <w:sz w:val="32"/>
          <w:szCs w:val="32"/>
        </w:rPr>
        <w:t>（F1、F2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10</w:t>
      </w:r>
      <w:r>
        <w:rPr>
          <w:rFonts w:hint="eastAsia" w:ascii="仿宋_GB2312" w:hAnsi="仿宋_GB2312" w:eastAsia="仿宋_GB2312" w:cs="仿宋_GB2312"/>
          <w:sz w:val="32"/>
          <w:szCs w:val="32"/>
        </w:rPr>
        <w:t>分别为各项评分因素的汇总得分）。</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sz w:val="24"/>
          <w:szCs w:val="24"/>
        </w:rPr>
      </w:pPr>
      <w:r>
        <w:rPr>
          <w:rFonts w:hint="eastAsia" w:ascii="仿宋_GB2312" w:hAnsi="仿宋_GB2312" w:eastAsia="仿宋_GB2312" w:cs="仿宋_GB2312"/>
          <w:sz w:val="32"/>
          <w:szCs w:val="32"/>
        </w:rPr>
        <w:t>评标时，评标委员会各成员应当独立对每个有效投标人的标书进行评价、打分，然后汇总每个投标人每项评分因素的得分，按评审后得分由高到低顺序排列（1、2、3、…）。</w:t>
      </w:r>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sz w:val="32"/>
          <w:szCs w:val="32"/>
        </w:rPr>
        <w:t>1. 评标办法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kern w:val="2"/>
          <w:sz w:val="32"/>
          <w:szCs w:val="32"/>
          <w:lang w:val="en-US" w:eastAsia="zh-CN" w:bidi="ar-SA"/>
        </w:rPr>
        <w:t>综合评分法（100分制）</w:t>
      </w:r>
      <w:bookmarkStart w:id="17" w:name="_Toc296602478"/>
      <w:bookmarkStart w:id="18" w:name="_Toc246996233"/>
      <w:bookmarkStart w:id="19" w:name="_Toc246996976"/>
      <w:bookmarkStart w:id="20" w:name="_Toc152042367"/>
      <w:bookmarkStart w:id="21" w:name="_Toc152045590"/>
      <w:bookmarkStart w:id="22" w:name="_Toc247085748"/>
      <w:bookmarkStart w:id="23" w:name="_Toc144974557"/>
      <w:bookmarkStart w:id="24" w:name="_Toc179632608"/>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评审标准</w:t>
      </w:r>
      <w:bookmarkEnd w:id="17"/>
      <w:bookmarkEnd w:id="18"/>
      <w:bookmarkEnd w:id="19"/>
      <w:bookmarkEnd w:id="20"/>
      <w:bookmarkEnd w:id="21"/>
      <w:bookmarkEnd w:id="22"/>
      <w:bookmarkEnd w:id="23"/>
      <w:bookmarkEnd w:id="24"/>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25" w:name="_Toc247085749"/>
      <w:bookmarkStart w:id="26" w:name="_Toc246996234"/>
      <w:bookmarkStart w:id="27" w:name="_Toc179632609"/>
      <w:bookmarkStart w:id="28" w:name="_Toc152045591"/>
      <w:bookmarkStart w:id="29" w:name="_Toc144974558"/>
      <w:bookmarkStart w:id="30" w:name="_Toc152042368"/>
      <w:bookmarkStart w:id="31" w:name="_Toc296602479"/>
      <w:bookmarkStart w:id="32" w:name="_Toc246996977"/>
      <w:r>
        <w:rPr>
          <w:rFonts w:hint="eastAsia" w:ascii="仿宋_GB2312" w:hAnsi="仿宋_GB2312" w:eastAsia="仿宋_GB2312" w:cs="仿宋_GB2312"/>
          <w:b/>
          <w:sz w:val="32"/>
          <w:szCs w:val="32"/>
        </w:rPr>
        <w:t>评审标准</w:t>
      </w:r>
      <w:bookmarkEnd w:id="25"/>
      <w:bookmarkEnd w:id="26"/>
      <w:bookmarkEnd w:id="27"/>
      <w:bookmarkEnd w:id="28"/>
      <w:bookmarkEnd w:id="29"/>
      <w:bookmarkEnd w:id="30"/>
      <w:bookmarkEnd w:id="31"/>
      <w:bookmarkEnd w:id="32"/>
      <w:r>
        <w:rPr>
          <w:rFonts w:hint="eastAsia" w:ascii="仿宋_GB2312" w:hAnsi="仿宋_GB2312" w:eastAsia="仿宋_GB2312" w:cs="仿宋_GB2312"/>
          <w:b/>
          <w:sz w:val="32"/>
          <w:szCs w:val="32"/>
        </w:rPr>
        <w:t>见评标办法前附表。</w:t>
      </w:r>
      <w:bookmarkStart w:id="33" w:name="_Toc179632611"/>
      <w:bookmarkStart w:id="34" w:name="_Toc246996979"/>
      <w:bookmarkStart w:id="35" w:name="_Toc152042370"/>
      <w:bookmarkStart w:id="36" w:name="_Toc247085751"/>
      <w:bookmarkStart w:id="37" w:name="_Toc144974560"/>
      <w:bookmarkStart w:id="38" w:name="_Toc296602481"/>
      <w:bookmarkStart w:id="39" w:name="_Toc246996236"/>
      <w:bookmarkStart w:id="40" w:name="_Toc152045593"/>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评标</w:t>
      </w:r>
      <w:bookmarkEnd w:id="33"/>
      <w:bookmarkEnd w:id="34"/>
      <w:bookmarkEnd w:id="35"/>
      <w:bookmarkEnd w:id="36"/>
      <w:bookmarkEnd w:id="37"/>
      <w:bookmarkEnd w:id="38"/>
      <w:bookmarkEnd w:id="39"/>
      <w:bookmarkEnd w:id="40"/>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41" w:name="_Toc179632612"/>
      <w:bookmarkStart w:id="42" w:name="_Toc144974561"/>
      <w:bookmarkStart w:id="43" w:name="_Toc152042371"/>
      <w:bookmarkStart w:id="44" w:name="_Toc246996237"/>
      <w:bookmarkStart w:id="45" w:name="_Toc247085752"/>
      <w:bookmarkStart w:id="46" w:name="_Toc246996980"/>
      <w:bookmarkStart w:id="47" w:name="_Toc152045594"/>
      <w:bookmarkStart w:id="48" w:name="_Toc296602482"/>
      <w:r>
        <w:rPr>
          <w:rFonts w:hint="eastAsia" w:ascii="仿宋_GB2312" w:hAnsi="仿宋_GB2312" w:eastAsia="仿宋_GB2312" w:cs="仿宋_GB2312"/>
          <w:b/>
          <w:sz w:val="32"/>
          <w:szCs w:val="32"/>
        </w:rPr>
        <w:t>3.1评标应当遵循下列工作程序:</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（一）投标文件初审。</w:t>
      </w:r>
      <w:r>
        <w:rPr>
          <w:rFonts w:hint="eastAsia" w:ascii="仿宋_GB2312" w:hAnsi="仿宋_GB2312" w:eastAsia="仿宋_GB2312" w:cs="仿宋_GB2312"/>
          <w:sz w:val="32"/>
          <w:szCs w:val="32"/>
        </w:rPr>
        <w:t>初审分为资格性检查和符合性检查。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1.资格性检查。依据法律法规和招标文件的规定，对投标文件中的资格证明、投标保证金等进行审查，以确定投标供应商是否具备投标资格。</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2.符合性检查。依</w:t>
      </w:r>
      <w:bookmarkStart w:id="78" w:name="_GoBack"/>
      <w:bookmarkEnd w:id="78"/>
      <w:r>
        <w:rPr>
          <w:rFonts w:hint="eastAsia" w:ascii="仿宋_GB2312" w:hAnsi="仿宋_GB2312" w:eastAsia="仿宋_GB2312" w:cs="仿宋_GB2312"/>
          <w:sz w:val="32"/>
          <w:szCs w:val="32"/>
        </w:rPr>
        <w:t>据招标文件的规定，从投标文件的有效性、完整性和对招标文件的响应程度进行审查，以确定是否对招标文件的实质性要求作出响应。</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（二）澄清有关问题。</w:t>
      </w:r>
      <w:r>
        <w:rPr>
          <w:rFonts w:hint="eastAsia" w:ascii="仿宋_GB2312" w:hAnsi="仿宋_GB2312" w:eastAsia="仿宋_GB2312" w:cs="仿宋_GB2312"/>
          <w:sz w:val="32"/>
          <w:szCs w:val="32"/>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（三）比较与评价。</w:t>
      </w:r>
      <w:r>
        <w:rPr>
          <w:rFonts w:hint="eastAsia" w:ascii="仿宋_GB2312" w:hAnsi="仿宋_GB2312" w:eastAsia="仿宋_GB2312" w:cs="仿宋_GB2312"/>
          <w:sz w:val="32"/>
          <w:szCs w:val="32"/>
        </w:rPr>
        <w:t>按招标文件中规定的评标方法和标准，对资格性检查和符合性检查合格的投标文件进行评估，综合比较与评价。</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（四）推荐中标候选供应商名单。</w:t>
      </w:r>
      <w:r>
        <w:rPr>
          <w:rFonts w:hint="eastAsia" w:ascii="仿宋_GB2312" w:hAnsi="仿宋_GB2312" w:eastAsia="仿宋_GB2312" w:cs="仿宋_GB2312"/>
          <w:sz w:val="32"/>
          <w:szCs w:val="32"/>
        </w:rPr>
        <w:t>中标候</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数量应当根据采购需要确定，推荐1-3名中标候选供应商，必须按顺序排列中标候选供应商。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采用综合评分法的，按评审后得分由高到低顺序排列。得分相同的，按投标报价由低到高顺序排列。得分且投标报价相同的，按</w:t>
      </w:r>
      <w:r>
        <w:rPr>
          <w:rFonts w:hint="eastAsia" w:ascii="仿宋_GB2312" w:hAnsi="仿宋_GB2312" w:eastAsia="仿宋_GB2312" w:cs="仿宋_GB2312"/>
          <w:sz w:val="32"/>
          <w:szCs w:val="32"/>
          <w:lang w:eastAsia="zh-CN"/>
        </w:rPr>
        <w:t>业绩</w:t>
      </w:r>
      <w:r>
        <w:rPr>
          <w:rFonts w:hint="eastAsia" w:ascii="仿宋_GB2312" w:hAnsi="仿宋_GB2312" w:eastAsia="仿宋_GB2312" w:cs="仿宋_GB2312"/>
          <w:sz w:val="32"/>
          <w:szCs w:val="32"/>
        </w:rPr>
        <w:t>优劣顺序排列</w:t>
      </w:r>
      <w:r>
        <w:rPr>
          <w:rFonts w:hint="eastAsia" w:ascii="仿宋_GB2312" w:hAnsi="仿宋_GB2312" w:eastAsia="仿宋_GB2312" w:cs="仿宋_GB2312"/>
          <w:sz w:val="32"/>
          <w:szCs w:val="32"/>
          <w:lang w:eastAsia="zh-CN"/>
        </w:rPr>
        <w:t>，以此类推</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（五）编写评标报告。</w:t>
      </w:r>
      <w:r>
        <w:rPr>
          <w:rFonts w:hint="eastAsia" w:ascii="仿宋_GB2312" w:hAnsi="仿宋_GB2312" w:eastAsia="仿宋_GB2312" w:cs="仿宋_GB2312"/>
          <w:sz w:val="32"/>
          <w:szCs w:val="32"/>
        </w:rPr>
        <w:t>评标报告是评标委员会根据全体评标成员签字的原始评标记录和评标结果编写的报告，其主要内容包括:</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1.开标日期和地点；</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2.投标人名单和评标委员会成员名单；</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3.评标方法和标准；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4.开标记录和评标情况及说明，包括投标无效投标人名单及原因；</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5.评标结果和中标候选供应商排序表；</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6.评标委员会的授标建议。</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保密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招标采购单位应当采取必要措施，保证评标在严格保密的情况下进行。</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sz w:val="32"/>
          <w:szCs w:val="32"/>
          <w:lang w:val="en-US" w:eastAsia="zh-CN"/>
        </w:rPr>
        <w:sectPr>
          <w:pgSz w:w="11907" w:h="16840"/>
          <w:pgMar w:top="1191" w:right="1191" w:bottom="1191" w:left="1191" w:header="851" w:footer="851" w:gutter="0"/>
          <w:cols w:space="720" w:num="1"/>
        </w:sectPr>
      </w:pPr>
      <w:r>
        <w:rPr>
          <w:rFonts w:hint="eastAsia" w:ascii="仿宋_GB2312" w:hAnsi="仿宋_GB2312" w:eastAsia="仿宋_GB2312" w:cs="仿宋_GB2312"/>
          <w:sz w:val="32"/>
          <w:szCs w:val="32"/>
        </w:rPr>
        <w:t>任何单位和个人不得非法干预、影响评标办法的确定，以及评标过程和结果</w:t>
      </w:r>
      <w:bookmarkEnd w:id="41"/>
      <w:bookmarkEnd w:id="42"/>
      <w:bookmarkEnd w:id="43"/>
      <w:bookmarkEnd w:id="44"/>
      <w:bookmarkEnd w:id="45"/>
      <w:bookmarkEnd w:id="46"/>
      <w:bookmarkEnd w:id="47"/>
      <w:bookmarkEnd w:id="48"/>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bookmarkStart w:id="49" w:name="_Toc179632627"/>
      <w:bookmarkStart w:id="50" w:name="_Toc246996995"/>
      <w:bookmarkStart w:id="51" w:name="_Toc247085767"/>
      <w:bookmarkStart w:id="52" w:name="_Toc296602497"/>
      <w:bookmarkStart w:id="53" w:name="_Toc246996252"/>
      <w:bookmarkStart w:id="54" w:name="_Toc152045609"/>
      <w:bookmarkStart w:id="55" w:name="_Toc152042387"/>
      <w:bookmarkStart w:id="56" w:name="_Toc144974577"/>
      <w:bookmarkStart w:id="57" w:name="EB7c62c7a396b64a37a73f7fce64281754"/>
      <w:r>
        <w:rPr>
          <w:rFonts w:hint="eastAsia" w:ascii="黑体" w:hAnsi="黑体" w:eastAsia="黑体" w:cs="黑体"/>
          <w:b/>
          <w:bCs/>
          <w:kern w:val="44"/>
          <w:sz w:val="32"/>
          <w:szCs w:val="32"/>
        </w:rPr>
        <w:t>第四章 合同条款及格式</w:t>
      </w:r>
      <w:bookmarkEnd w:id="49"/>
      <w:bookmarkEnd w:id="50"/>
      <w:bookmarkEnd w:id="51"/>
      <w:bookmarkEnd w:id="52"/>
      <w:bookmarkEnd w:id="53"/>
      <w:bookmarkEnd w:id="54"/>
      <w:bookmarkEnd w:id="55"/>
      <w:bookmarkEnd w:id="56"/>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t>合同条款前附表</w:t>
      </w:r>
    </w:p>
    <w:tbl>
      <w:tblPr>
        <w:tblStyle w:val="2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安徽省安车交通运输集团有限公司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spacing w:line="400" w:lineRule="exact"/>
              <w:rPr>
                <w:rFonts w:hint="eastAsia"/>
                <w:szCs w:val="21"/>
                <w:lang w:val="en-US" w:eastAsia="zh-CN"/>
              </w:rPr>
            </w:pPr>
            <w:r>
              <w:rPr>
                <w:rFonts w:hint="eastAsia"/>
                <w:szCs w:val="21"/>
                <w:lang w:val="en-US" w:eastAsia="zh-CN"/>
              </w:rPr>
              <w:t>合同签订后7日内，支付合同总价的</w:t>
            </w:r>
            <w:r>
              <w:rPr>
                <w:rFonts w:hint="default"/>
                <w:szCs w:val="21"/>
                <w:lang w:val="en-US" w:eastAsia="zh-CN"/>
              </w:rPr>
              <w:t>2</w:t>
            </w:r>
            <w:r>
              <w:rPr>
                <w:rFonts w:hint="eastAsia"/>
                <w:szCs w:val="21"/>
                <w:lang w:val="en-US" w:eastAsia="zh-CN"/>
              </w:rPr>
              <w:t>0%；合同签订满一年5日内，支付合同总价的30%；合同签订满二年5日内，支付合同总价的</w:t>
            </w:r>
            <w:r>
              <w:rPr>
                <w:rFonts w:hint="default"/>
                <w:szCs w:val="21"/>
                <w:lang w:val="en-US" w:eastAsia="zh-CN"/>
              </w:rPr>
              <w:t>4</w:t>
            </w:r>
            <w:r>
              <w:rPr>
                <w:rFonts w:hint="eastAsia"/>
                <w:szCs w:val="21"/>
                <w:lang w:val="en-US" w:eastAsia="zh-CN"/>
              </w:rPr>
              <w:t>0%；合同签订满三年5日内，支付合同总价的10%。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szCs w:val="21"/>
                <w:lang w:val="en-US" w:eastAsia="zh-CN"/>
              </w:rPr>
              <w:t>中标方需支付此次招标控制价编制费用。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shd w:val="clear" w:color="auto" w:fill="auto"/>
                <w:vertAlign w:val="baseline"/>
                <w:lang w:val="en-US" w:eastAsia="zh-CN"/>
              </w:rPr>
            </w:pPr>
            <w:r>
              <w:rPr>
                <w:rFonts w:hint="default" w:ascii="Times New Roman" w:hAnsi="Times New Roman" w:cs="Times New Roman"/>
                <w:b w:val="0"/>
                <w:bCs w:val="0"/>
                <w:kern w:val="0"/>
                <w:sz w:val="24"/>
                <w:szCs w:val="24"/>
                <w:highlight w:val="none"/>
                <w:shd w:val="clear" w:color="auto" w:fill="auto"/>
                <w:vertAlign w:val="baseline"/>
                <w:lang w:val="en-US" w:eastAsia="zh-CN"/>
              </w:rPr>
              <w:t>详见第</w:t>
            </w:r>
            <w:r>
              <w:rPr>
                <w:rFonts w:hint="eastAsia" w:ascii="Times New Roman" w:hAnsi="Times New Roman" w:cs="Times New Roman"/>
                <w:b w:val="0"/>
                <w:bCs w:val="0"/>
                <w:kern w:val="0"/>
                <w:sz w:val="24"/>
                <w:szCs w:val="24"/>
                <w:highlight w:val="none"/>
                <w:shd w:val="clear" w:color="auto" w:fill="auto"/>
                <w:vertAlign w:val="baseline"/>
                <w:lang w:val="en-US" w:eastAsia="zh-CN"/>
              </w:rPr>
              <w:t>二</w:t>
            </w:r>
            <w:r>
              <w:rPr>
                <w:rFonts w:hint="default" w:ascii="Times New Roman" w:hAnsi="Times New Roman" w:cs="Times New Roman"/>
                <w:b w:val="0"/>
                <w:bCs w:val="0"/>
                <w:kern w:val="0"/>
                <w:sz w:val="24"/>
                <w:szCs w:val="24"/>
                <w:highlight w:val="none"/>
                <w:shd w:val="clear" w:color="auto" w:fill="auto"/>
                <w:vertAlign w:val="baseline"/>
                <w:lang w:val="en-US" w:eastAsia="zh-CN"/>
              </w:rPr>
              <w:t>章</w:t>
            </w:r>
            <w:r>
              <w:rPr>
                <w:rFonts w:hint="eastAsia"/>
              </w:rPr>
              <w:t>投标人须知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售后服务响应要求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shd w:val="clear" w:color="auto" w:fill="auto"/>
                <w:vertAlign w:val="baseline"/>
                <w:lang w:val="en-US" w:eastAsia="zh-CN"/>
              </w:rPr>
            </w:pPr>
            <w:r>
              <w:rPr>
                <w:rFonts w:hint="default" w:ascii="Times New Roman" w:hAnsi="Times New Roman" w:cs="Times New Roman"/>
                <w:b w:val="0"/>
                <w:bCs w:val="0"/>
                <w:kern w:val="0"/>
                <w:sz w:val="24"/>
                <w:szCs w:val="24"/>
                <w:highlight w:val="none"/>
                <w:shd w:val="clear" w:color="auto" w:fill="auto"/>
                <w:vertAlign w:val="baseline"/>
                <w:lang w:val="en-US" w:eastAsia="zh-CN"/>
              </w:rPr>
              <w:t>详见</w:t>
            </w:r>
            <w:r>
              <w:rPr>
                <w:rFonts w:hint="eastAsia" w:ascii="Times New Roman" w:hAnsi="Times New Roman" w:cs="Times New Roman"/>
                <w:b w:val="0"/>
                <w:bCs w:val="0"/>
                <w:kern w:val="0"/>
                <w:sz w:val="24"/>
                <w:szCs w:val="24"/>
                <w:highlight w:val="none"/>
                <w:shd w:val="clear" w:color="auto" w:fill="auto"/>
                <w:vertAlign w:val="baseline"/>
                <w:lang w:val="en-US" w:eastAsia="zh-CN"/>
              </w:rPr>
              <w:t>第一章招标公告、</w:t>
            </w:r>
            <w:r>
              <w:rPr>
                <w:rFonts w:hint="default" w:ascii="Times New Roman" w:hAnsi="Times New Roman" w:cs="Times New Roman"/>
                <w:b w:val="0"/>
                <w:bCs w:val="0"/>
                <w:kern w:val="0"/>
                <w:sz w:val="24"/>
                <w:szCs w:val="24"/>
                <w:highlight w:val="none"/>
                <w:shd w:val="clear" w:color="auto" w:fill="auto"/>
                <w:vertAlign w:val="baseline"/>
                <w:lang w:val="en-US" w:eastAsia="zh-CN"/>
              </w:rPr>
              <w:t>第</w:t>
            </w:r>
            <w:r>
              <w:rPr>
                <w:rFonts w:hint="eastAsia" w:ascii="Times New Roman" w:hAnsi="Times New Roman" w:cs="Times New Roman"/>
                <w:b w:val="0"/>
                <w:bCs w:val="0"/>
                <w:kern w:val="0"/>
                <w:sz w:val="24"/>
                <w:szCs w:val="24"/>
                <w:highlight w:val="none"/>
                <w:shd w:val="clear" w:color="auto" w:fill="auto"/>
                <w:vertAlign w:val="baseline"/>
                <w:lang w:val="en-US" w:eastAsia="zh-CN"/>
              </w:rPr>
              <w:t>二</w:t>
            </w:r>
            <w:r>
              <w:rPr>
                <w:rFonts w:hint="default" w:ascii="Times New Roman" w:hAnsi="Times New Roman" w:cs="Times New Roman"/>
                <w:b w:val="0"/>
                <w:bCs w:val="0"/>
                <w:kern w:val="0"/>
                <w:sz w:val="24"/>
                <w:szCs w:val="24"/>
                <w:highlight w:val="none"/>
                <w:shd w:val="clear" w:color="auto" w:fill="auto"/>
                <w:vertAlign w:val="baseline"/>
                <w:lang w:val="en-US" w:eastAsia="zh-CN"/>
              </w:rPr>
              <w:t>章</w:t>
            </w:r>
            <w:r>
              <w:rPr>
                <w:rFonts w:hint="eastAsia"/>
              </w:rPr>
              <w:t>投标人须知</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具体合同条款及格式由招标人与中标人在不违背招标文件要求和投标文件承诺的条件下友好协商签订。</w:t>
      </w:r>
    </w:p>
    <w:p>
      <w:pPr>
        <w:spacing w:line="600" w:lineRule="exact"/>
      </w:pPr>
    </w:p>
    <w:p>
      <w:pPr>
        <w:pStyle w:val="2"/>
        <w:jc w:val="both"/>
        <w:rPr>
          <w:rFonts w:hint="eastAsia" w:ascii="黑体" w:hAnsi="黑体" w:eastAsia="黑体" w:cs="黑体"/>
          <w:sz w:val="32"/>
          <w:szCs w:val="32"/>
        </w:rPr>
      </w:pPr>
      <w:bookmarkStart w:id="58" w:name="_Toc247085855"/>
      <w:bookmarkStart w:id="59" w:name="_Toc179632789"/>
      <w:bookmarkStart w:id="60" w:name="_Toc152045772"/>
      <w:bookmarkStart w:id="61" w:name="_Toc144974834"/>
      <w:bookmarkStart w:id="62" w:name="_Toc246997083"/>
      <w:bookmarkStart w:id="63" w:name="_Toc152042554"/>
      <w:bookmarkStart w:id="64" w:name="_Toc246996340"/>
      <w:bookmarkStart w:id="65" w:name="_Toc296602587"/>
    </w:p>
    <w:p>
      <w:pPr>
        <w:pStyle w:val="2"/>
        <w:jc w:val="both"/>
        <w:rPr>
          <w:rFonts w:hint="eastAsia" w:ascii="黑体" w:hAnsi="黑体" w:eastAsia="黑体" w:cs="黑体"/>
          <w:sz w:val="32"/>
          <w:szCs w:val="32"/>
        </w:rPr>
      </w:pPr>
    </w:p>
    <w:bookmarkEnd w:id="57"/>
    <w:bookmarkEnd w:id="58"/>
    <w:bookmarkEnd w:id="59"/>
    <w:bookmarkEnd w:id="60"/>
    <w:bookmarkEnd w:id="61"/>
    <w:bookmarkEnd w:id="62"/>
    <w:bookmarkEnd w:id="63"/>
    <w:bookmarkEnd w:id="64"/>
    <w:bookmarkEnd w:id="65"/>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bookmarkStart w:id="66" w:name="_Toc247085870"/>
      <w:bookmarkStart w:id="67" w:name="_Toc296602599"/>
      <w:bookmarkStart w:id="68" w:name="_Toc179632804"/>
      <w:bookmarkStart w:id="69" w:name="_Toc246997096"/>
      <w:bookmarkStart w:id="70" w:name="_Toc246996353"/>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五</w:t>
      </w:r>
      <w:r>
        <w:rPr>
          <w:rFonts w:hint="eastAsia" w:ascii="黑体" w:hAnsi="黑体" w:eastAsia="黑体" w:cs="黑体"/>
          <w:sz w:val="32"/>
          <w:szCs w:val="32"/>
        </w:rPr>
        <w:t>章  技术标准和要求</w:t>
      </w:r>
      <w:bookmarkEnd w:id="66"/>
      <w:bookmarkEnd w:id="67"/>
      <w:bookmarkEnd w:id="68"/>
      <w:bookmarkEnd w:id="69"/>
      <w:bookmarkEnd w:id="70"/>
    </w:p>
    <w:p>
      <w:pPr>
        <w:keepNext w:val="0"/>
        <w:keepLines w:val="0"/>
        <w:pageBreakBefore w:val="0"/>
        <w:widowControl w:val="0"/>
        <w:kinsoku/>
        <w:wordWrap/>
        <w:overflowPunct/>
        <w:topLinePunct w:val="0"/>
        <w:bidi w:val="0"/>
        <w:spacing w:line="560" w:lineRule="exact"/>
        <w:jc w:val="left"/>
        <w:textAlignment w:val="auto"/>
        <w:outlineLvl w:val="2"/>
        <w:rPr>
          <w:rFonts w:hint="eastAsia" w:ascii="仿宋_GB2312" w:hAnsi="仿宋_GB2312" w:eastAsia="仿宋_GB2312" w:cs="仿宋_GB2312"/>
          <w:b/>
          <w:sz w:val="32"/>
          <w:szCs w:val="32"/>
        </w:rPr>
      </w:pPr>
      <w:bookmarkStart w:id="71" w:name="_Toc462933464"/>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技术参数及要求</w:t>
      </w:r>
      <w:bookmarkEnd w:id="71"/>
    </w:p>
    <w:p>
      <w:pPr>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b/>
          <w:sz w:val="32"/>
          <w:szCs w:val="32"/>
        </w:rPr>
      </w:pPr>
      <w:bookmarkStart w:id="72" w:name="_Toc462933465"/>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、技术要求</w:t>
      </w:r>
    </w:p>
    <w:p>
      <w:pPr>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1、分体式群充直流设备，每组充电机单枪平均功率不得低于60KW，单枪最大功率不得低于150KW，全部采用国标250A充电枪，充电枪线为6米。</w:t>
      </w:r>
    </w:p>
    <w:p>
      <w:pPr>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2、充电桩适用于现在各种车型配对，要求充电电压满足300V-750V。</w:t>
      </w:r>
    </w:p>
    <w:p>
      <w:pPr>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专用充电APP，充电方式适用于刷卡充电、调度充电等(平台费用包含在招标费用之中，永久不得向招标方收取)。</w:t>
      </w:r>
    </w:p>
    <w:p>
      <w:pPr>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4、有公交专用调度平台以便于监测、核实、收集公交车充电数据且能实现平台调度充电(平台费用包含在招标费用之中，永久不得向招标方收取)。</w:t>
      </w:r>
    </w:p>
    <w:p>
      <w:pPr>
        <w:keepNext w:val="0"/>
        <w:keepLines w:val="0"/>
        <w:pageBreakBefore w:val="0"/>
        <w:widowControl w:val="0"/>
        <w:kinsoku/>
        <w:wordWrap/>
        <w:overflowPunct/>
        <w:topLinePunct w:val="0"/>
        <w:bidi w:val="0"/>
        <w:spacing w:line="560" w:lineRule="exact"/>
        <w:ind w:firstLine="321" w:firstLineChars="1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5、售后问题解决，如遇充电桩设备问题要于</w:t>
      </w: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val="en-US" w:eastAsia="zh-CN"/>
        </w:rPr>
        <w:t>6</w:t>
      </w:r>
      <w:r>
        <w:rPr>
          <w:rFonts w:hint="eastAsia" w:ascii="仿宋_GB2312" w:hAnsi="仿宋_GB2312" w:eastAsia="仿宋_GB2312" w:cs="仿宋_GB2312"/>
          <w:b/>
          <w:sz w:val="32"/>
          <w:szCs w:val="32"/>
        </w:rPr>
        <w:t>小时内解决，避免影响公交车正常营运。</w:t>
      </w:r>
    </w:p>
    <w:p>
      <w:pPr>
        <w:keepNext w:val="0"/>
        <w:keepLines w:val="0"/>
        <w:pageBreakBefore w:val="0"/>
        <w:widowControl w:val="0"/>
        <w:kinsoku/>
        <w:wordWrap/>
        <w:overflowPunct/>
        <w:topLinePunct w:val="0"/>
        <w:bidi w:val="0"/>
        <w:spacing w:line="560" w:lineRule="exact"/>
        <w:ind w:firstLine="321" w:firstLineChars="1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6、中标方必须按照招标方要求（有需求时），接入招标方指定运营平台。</w:t>
      </w:r>
    </w:p>
    <w:p>
      <w:pPr>
        <w:keepNext w:val="0"/>
        <w:keepLines w:val="0"/>
        <w:pageBreakBefore w:val="0"/>
        <w:widowControl w:val="0"/>
        <w:kinsoku/>
        <w:wordWrap/>
        <w:overflowPunct/>
        <w:topLinePunct w:val="0"/>
        <w:autoSpaceDE w:val="0"/>
        <w:autoSpaceDN w:val="0"/>
        <w:bidi w:val="0"/>
        <w:spacing w:line="560" w:lineRule="exact"/>
        <w:jc w:val="left"/>
        <w:textAlignment w:val="auto"/>
        <w:outlineLvl w:val="3"/>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符合相关标准</w:t>
      </w:r>
      <w:bookmarkEnd w:id="72"/>
    </w:p>
    <w:tbl>
      <w:tblPr>
        <w:tblStyle w:val="24"/>
        <w:tblpPr w:leftFromText="180" w:rightFromText="180" w:vertAnchor="text" w:tblpXSpec="center" w:tblpY="1"/>
        <w:tblOverlap w:val="never"/>
        <w:tblW w:w="10031" w:type="dxa"/>
        <w:tblInd w:w="0" w:type="dxa"/>
        <w:tblLayout w:type="fixed"/>
        <w:tblCellMar>
          <w:top w:w="0" w:type="dxa"/>
          <w:left w:w="108" w:type="dxa"/>
          <w:bottom w:w="0" w:type="dxa"/>
          <w:right w:w="108" w:type="dxa"/>
        </w:tblCellMar>
      </w:tblPr>
      <w:tblGrid>
        <w:gridCol w:w="817"/>
        <w:gridCol w:w="2268"/>
        <w:gridCol w:w="6946"/>
      </w:tblGrid>
      <w:tr>
        <w:tblPrEx>
          <w:tblLayout w:type="fixed"/>
          <w:tblCellMar>
            <w:top w:w="0" w:type="dxa"/>
            <w:left w:w="108" w:type="dxa"/>
            <w:bottom w:w="0" w:type="dxa"/>
            <w:right w:w="108" w:type="dxa"/>
          </w:tblCellMar>
        </w:tblPrEx>
        <w:trPr>
          <w:trHeight w:val="699"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序号</w:t>
            </w:r>
          </w:p>
        </w:tc>
        <w:tc>
          <w:tcPr>
            <w:tcW w:w="22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标 准 号</w:t>
            </w:r>
          </w:p>
        </w:tc>
        <w:tc>
          <w:tcPr>
            <w:tcW w:w="69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技术规范及标准</w:t>
            </w:r>
          </w:p>
        </w:tc>
      </w:tr>
      <w:tr>
        <w:tblPrEx>
          <w:tblLayout w:type="fixed"/>
          <w:tblCellMar>
            <w:top w:w="0" w:type="dxa"/>
            <w:left w:w="108" w:type="dxa"/>
            <w:bottom w:w="0" w:type="dxa"/>
            <w:right w:w="108" w:type="dxa"/>
          </w:tblCellMar>
        </w:tblPrEx>
        <w:trPr>
          <w:trHeight w:val="48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22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29316-2012</w:t>
            </w:r>
          </w:p>
        </w:tc>
        <w:tc>
          <w:tcPr>
            <w:tcW w:w="69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电动汽车充换电设施电能质量技术要求</w:t>
            </w:r>
          </w:p>
        </w:tc>
      </w:tr>
      <w:tr>
        <w:tblPrEx>
          <w:tblLayout w:type="fixed"/>
          <w:tblCellMar>
            <w:top w:w="0" w:type="dxa"/>
            <w:left w:w="108" w:type="dxa"/>
            <w:bottom w:w="0" w:type="dxa"/>
            <w:right w:w="108" w:type="dxa"/>
          </w:tblCellMar>
        </w:tblPrEx>
        <w:trPr>
          <w:trHeight w:val="480"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226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NB/T 33001-2010</w:t>
            </w:r>
          </w:p>
        </w:tc>
        <w:tc>
          <w:tcPr>
            <w:tcW w:w="69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电动汽车非车载传导式充电技术条件</w:t>
            </w:r>
          </w:p>
        </w:tc>
      </w:tr>
      <w:tr>
        <w:tblPrEx>
          <w:tblLayout w:type="fixed"/>
          <w:tblCellMar>
            <w:top w:w="0" w:type="dxa"/>
            <w:left w:w="108" w:type="dxa"/>
            <w:bottom w:w="0" w:type="dxa"/>
            <w:right w:w="108" w:type="dxa"/>
          </w:tblCellMar>
        </w:tblPrEx>
        <w:trPr>
          <w:trHeight w:val="480"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226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27930-2015</w:t>
            </w:r>
          </w:p>
        </w:tc>
        <w:tc>
          <w:tcPr>
            <w:tcW w:w="69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电动汽车非车载传导式充电机与电池管理系统之间的通信协议</w:t>
            </w:r>
          </w:p>
        </w:tc>
      </w:tr>
      <w:tr>
        <w:tblPrEx>
          <w:tblLayout w:type="fixed"/>
          <w:tblCellMar>
            <w:top w:w="0" w:type="dxa"/>
            <w:left w:w="108" w:type="dxa"/>
            <w:bottom w:w="0" w:type="dxa"/>
            <w:right w:w="108" w:type="dxa"/>
          </w:tblCellMar>
        </w:tblPrEx>
        <w:trPr>
          <w:trHeight w:val="480"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226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18487.1-2005</w:t>
            </w:r>
          </w:p>
        </w:tc>
        <w:tc>
          <w:tcPr>
            <w:tcW w:w="69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电动汽车传导充电系统  第1部分：通用要求 附录B</w:t>
            </w:r>
          </w:p>
        </w:tc>
      </w:tr>
      <w:tr>
        <w:tblPrEx>
          <w:tblLayout w:type="fixed"/>
          <w:tblCellMar>
            <w:top w:w="0" w:type="dxa"/>
            <w:left w:w="108" w:type="dxa"/>
            <w:bottom w:w="0" w:type="dxa"/>
            <w:right w:w="108" w:type="dxa"/>
          </w:tblCellMar>
        </w:tblPrEx>
        <w:trPr>
          <w:trHeight w:val="480"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226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29781-2013</w:t>
            </w:r>
          </w:p>
        </w:tc>
        <w:tc>
          <w:tcPr>
            <w:tcW w:w="69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电动汽车充电站通用要求</w:t>
            </w:r>
          </w:p>
        </w:tc>
      </w:tr>
      <w:tr>
        <w:tblPrEx>
          <w:tblLayout w:type="fixed"/>
          <w:tblCellMar>
            <w:top w:w="0" w:type="dxa"/>
            <w:left w:w="108" w:type="dxa"/>
            <w:bottom w:w="0" w:type="dxa"/>
            <w:right w:w="108" w:type="dxa"/>
          </w:tblCellMar>
        </w:tblPrEx>
        <w:trPr>
          <w:trHeight w:val="480"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226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50996-2014</w:t>
            </w:r>
          </w:p>
        </w:tc>
        <w:tc>
          <w:tcPr>
            <w:tcW w:w="69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电动汽车充电站设计规范</w:t>
            </w:r>
          </w:p>
        </w:tc>
      </w:tr>
      <w:tr>
        <w:tblPrEx>
          <w:tblLayout w:type="fixed"/>
          <w:tblCellMar>
            <w:top w:w="0" w:type="dxa"/>
            <w:left w:w="108" w:type="dxa"/>
            <w:bottom w:w="0" w:type="dxa"/>
            <w:right w:w="108" w:type="dxa"/>
          </w:tblCellMar>
        </w:tblPrEx>
        <w:trPr>
          <w:trHeight w:val="480"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p>
        </w:tc>
        <w:tc>
          <w:tcPr>
            <w:tcW w:w="226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NB/T 33004-2013</w:t>
            </w:r>
          </w:p>
        </w:tc>
        <w:tc>
          <w:tcPr>
            <w:tcW w:w="69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电动汽车充换电设施工程施工和竣工验收规范</w:t>
            </w:r>
          </w:p>
        </w:tc>
      </w:tr>
      <w:tr>
        <w:tblPrEx>
          <w:tblLayout w:type="fixed"/>
          <w:tblCellMar>
            <w:top w:w="0" w:type="dxa"/>
            <w:left w:w="108" w:type="dxa"/>
            <w:bottom w:w="0" w:type="dxa"/>
            <w:right w:w="108" w:type="dxa"/>
          </w:tblCellMar>
        </w:tblPrEx>
        <w:trPr>
          <w:trHeight w:val="480"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p>
        </w:tc>
        <w:tc>
          <w:tcPr>
            <w:tcW w:w="226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DL/T645-2007</w:t>
            </w:r>
          </w:p>
        </w:tc>
        <w:tc>
          <w:tcPr>
            <w:tcW w:w="69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多功能电能表通信协议</w:t>
            </w:r>
          </w:p>
        </w:tc>
      </w:tr>
      <w:tr>
        <w:tblPrEx>
          <w:tblLayout w:type="fixed"/>
          <w:tblCellMar>
            <w:top w:w="0" w:type="dxa"/>
            <w:left w:w="108" w:type="dxa"/>
            <w:bottom w:w="0" w:type="dxa"/>
            <w:right w:w="108" w:type="dxa"/>
          </w:tblCellMar>
        </w:tblPrEx>
        <w:trPr>
          <w:trHeight w:val="48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p>
        </w:tc>
        <w:tc>
          <w:tcPr>
            <w:tcW w:w="22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20234.1-2015</w:t>
            </w:r>
          </w:p>
        </w:tc>
        <w:tc>
          <w:tcPr>
            <w:tcW w:w="69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电动汽车传导充电用连接装置 第1部分：通用要求</w:t>
            </w:r>
          </w:p>
        </w:tc>
      </w:tr>
      <w:tr>
        <w:tblPrEx>
          <w:tblLayout w:type="fixed"/>
          <w:tblCellMar>
            <w:top w:w="0" w:type="dxa"/>
            <w:left w:w="108" w:type="dxa"/>
            <w:bottom w:w="0" w:type="dxa"/>
            <w:right w:w="108" w:type="dxa"/>
          </w:tblCellMar>
        </w:tblPrEx>
        <w:trPr>
          <w:trHeight w:val="480"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p>
        </w:tc>
        <w:tc>
          <w:tcPr>
            <w:tcW w:w="226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20234.3-2015</w:t>
            </w:r>
          </w:p>
        </w:tc>
        <w:tc>
          <w:tcPr>
            <w:tcW w:w="69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电动汽车传导充电用连接装置 第3部分：直流充电接口</w:t>
            </w:r>
          </w:p>
        </w:tc>
      </w:tr>
      <w:tr>
        <w:tblPrEx>
          <w:tblLayout w:type="fixed"/>
          <w:tblCellMar>
            <w:top w:w="0" w:type="dxa"/>
            <w:left w:w="108" w:type="dxa"/>
            <w:bottom w:w="0" w:type="dxa"/>
            <w:right w:w="108" w:type="dxa"/>
          </w:tblCellMar>
        </w:tblPrEx>
        <w:trPr>
          <w:trHeight w:val="480"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w:t>
            </w:r>
          </w:p>
        </w:tc>
        <w:tc>
          <w:tcPr>
            <w:tcW w:w="226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20234.2-2015</w:t>
            </w:r>
          </w:p>
        </w:tc>
        <w:tc>
          <w:tcPr>
            <w:tcW w:w="69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电动汽车传导充电用连接装置 第2部分:交流充电接口</w:t>
            </w:r>
          </w:p>
        </w:tc>
      </w:tr>
      <w:tr>
        <w:tblPrEx>
          <w:tblLayout w:type="fixed"/>
          <w:tblCellMar>
            <w:top w:w="0" w:type="dxa"/>
            <w:left w:w="108" w:type="dxa"/>
            <w:bottom w:w="0" w:type="dxa"/>
            <w:right w:w="108" w:type="dxa"/>
          </w:tblCellMar>
        </w:tblPrEx>
        <w:trPr>
          <w:trHeight w:val="48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w:t>
            </w:r>
          </w:p>
        </w:tc>
        <w:tc>
          <w:tcPr>
            <w:tcW w:w="22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4028-2008</w:t>
            </w:r>
          </w:p>
        </w:tc>
        <w:tc>
          <w:tcPr>
            <w:tcW w:w="69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外壳防护等级（IP代码）</w:t>
            </w:r>
          </w:p>
        </w:tc>
      </w:tr>
    </w:tbl>
    <w:p>
      <w:pPr>
        <w:keepNext w:val="0"/>
        <w:keepLines w:val="0"/>
        <w:pageBreakBefore w:val="0"/>
        <w:widowControl w:val="0"/>
        <w:kinsoku/>
        <w:wordWrap/>
        <w:overflowPunct/>
        <w:topLinePunct w:val="0"/>
        <w:bidi w:val="0"/>
        <w:spacing w:line="560" w:lineRule="exact"/>
        <w:jc w:val="left"/>
        <w:textAlignment w:val="auto"/>
        <w:outlineLvl w:val="2"/>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直流充电桩技术参数</w:t>
      </w:r>
    </w:p>
    <w:p>
      <w:pPr>
        <w:keepNext w:val="0"/>
        <w:keepLines w:val="0"/>
        <w:pageBreakBefore w:val="0"/>
        <w:widowControl w:val="0"/>
        <w:kinsoku/>
        <w:wordWrap/>
        <w:overflowPunct/>
        <w:topLinePunct w:val="0"/>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直流充电机必须可实现功率调配，即充电机一台充电柜插一辆车可以全功率提供给单把枪，插两把枪功率智能调配，插三把枪功率再次进行分配依此类推；</w:t>
      </w:r>
    </w:p>
    <w:p>
      <w:pPr>
        <w:keepNext w:val="0"/>
        <w:keepLines w:val="0"/>
        <w:pageBreakBefore w:val="0"/>
        <w:widowControl w:val="0"/>
        <w:kinsoku/>
        <w:wordWrap/>
        <w:overflowPunct/>
        <w:topLinePunct w:val="0"/>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可根据运行需求实现调配输出功率，即能够满足单枪高功率快速充电和低功率慢速充电。</w:t>
      </w:r>
    </w:p>
    <w:tbl>
      <w:tblPr>
        <w:tblStyle w:val="24"/>
        <w:tblW w:w="93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91"/>
        <w:gridCol w:w="3224"/>
        <w:gridCol w:w="5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交流输入电压</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三相380V（-15%，＋15％）AC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交流输入频率</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50Hz±2%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单枪平均功率</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不低于60kW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额定输出电流</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80A--250A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结构形式</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群充式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环境温度</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不高于50℃，不低于-20℃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额定频率</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50Hz±2%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额定交流输入电压波动范围</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380V±15%（323～437V）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IP防护等级</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IP54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标称输出电压</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300V-750V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输出方式</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一机多枪、智能分配电流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单枪最大功率</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不低于150kW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功率因数</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综合效率</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满载时，效率应大于等于93%。</w:t>
            </w:r>
          </w:p>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半载及以上，效率应大于等于92%。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电流谐波总畸变率</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输出电压误差</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输出电流误差</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电流≥30A时，≤±1%；</w:t>
            </w:r>
          </w:p>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电流&lt;30A时，≤±0.3A。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稳压精度</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稳流精度</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输出电压纹波系数</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均流不平衡度</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噪声要求</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负载调整率</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电磁兼容要求</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符合GB/T 19826-2014中5.4的要求。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操作方式</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手机APP、本地触屏操作、集中调度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大气压强</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80kPa～110kPa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89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w:t>
            </w:r>
          </w:p>
        </w:tc>
        <w:tc>
          <w:tcPr>
            <w:tcW w:w="322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海拔高度</w:t>
            </w:r>
          </w:p>
        </w:tc>
        <w:tc>
          <w:tcPr>
            <w:tcW w:w="5241"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≤2000m</w:t>
            </w:r>
          </w:p>
        </w:tc>
      </w:tr>
    </w:tbl>
    <w:p>
      <w:pPr>
        <w:keepNext w:val="0"/>
        <w:keepLines w:val="0"/>
        <w:pageBreakBefore w:val="0"/>
        <w:widowControl w:val="0"/>
        <w:kinsoku/>
        <w:wordWrap/>
        <w:overflowPunct/>
        <w:topLinePunct w:val="0"/>
        <w:autoSpaceDE w:val="0"/>
        <w:autoSpaceDN w:val="0"/>
        <w:bidi w:val="0"/>
        <w:spacing w:line="560" w:lineRule="exact"/>
        <w:jc w:val="left"/>
        <w:textAlignment w:val="auto"/>
        <w:outlineLvl w:val="5"/>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（四）</w:t>
      </w:r>
      <w:r>
        <w:rPr>
          <w:rFonts w:hint="eastAsia" w:ascii="仿宋_GB2312" w:hAnsi="仿宋_GB2312" w:eastAsia="仿宋_GB2312" w:cs="仿宋_GB2312"/>
          <w:b/>
          <w:sz w:val="32"/>
          <w:szCs w:val="32"/>
        </w:rPr>
        <w:t>直流机充电设备主要功能要求</w:t>
      </w:r>
    </w:p>
    <w:p>
      <w:pPr>
        <w:keepNext w:val="0"/>
        <w:keepLines w:val="0"/>
        <w:pageBreakBefore w:val="0"/>
        <w:widowControl w:val="0"/>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充电设备的充电功能</w:t>
      </w:r>
    </w:p>
    <w:p>
      <w:pPr>
        <w:keepNext w:val="0"/>
        <w:keepLines w:val="0"/>
        <w:pageBreakBefore w:val="0"/>
        <w:widowControl w:val="0"/>
        <w:numPr>
          <w:ilvl w:val="0"/>
          <w:numId w:val="0"/>
        </w:numPr>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充电设备具有为电动汽车安全自动充满电的功能。</w:t>
      </w:r>
    </w:p>
    <w:p>
      <w:pPr>
        <w:keepNext w:val="0"/>
        <w:keepLines w:val="0"/>
        <w:pageBreakBefore w:val="0"/>
        <w:widowControl w:val="0"/>
        <w:numPr>
          <w:ilvl w:val="0"/>
          <w:numId w:val="0"/>
        </w:numPr>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充电启动可采用本地手动启动、刷卡启动或手机APP启动。</w:t>
      </w:r>
    </w:p>
    <w:p>
      <w:pPr>
        <w:keepNext w:val="0"/>
        <w:keepLines w:val="0"/>
        <w:pageBreakBefore w:val="0"/>
        <w:widowControl w:val="0"/>
        <w:numPr>
          <w:ilvl w:val="0"/>
          <w:numId w:val="0"/>
        </w:numPr>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充电设备支持采用移动端使用状况的查询，便于提前根据充电站使用情况，合理安排充电时间。</w:t>
      </w:r>
    </w:p>
    <w:p>
      <w:pPr>
        <w:keepNext w:val="0"/>
        <w:keepLines w:val="0"/>
        <w:pageBreakBefore w:val="0"/>
        <w:widowControl w:val="0"/>
        <w:numPr>
          <w:ilvl w:val="0"/>
          <w:numId w:val="0"/>
        </w:numPr>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充电方式设定功能，可分为自动控制充电模式和手动设置充电模式两种。</w:t>
      </w:r>
    </w:p>
    <w:p>
      <w:pPr>
        <w:keepNext w:val="0"/>
        <w:keepLines w:val="0"/>
        <w:pageBreakBefore w:val="0"/>
        <w:widowControl w:val="0"/>
        <w:numPr>
          <w:ilvl w:val="0"/>
          <w:numId w:val="0"/>
        </w:numPr>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充电机应能根据BMS充电电压、电流限值动态调整电压、电流实现恒功率充电模式。</w:t>
      </w:r>
    </w:p>
    <w:p>
      <w:pPr>
        <w:keepNext w:val="0"/>
        <w:keepLines w:val="0"/>
        <w:pageBreakBefore w:val="0"/>
        <w:widowControl w:val="0"/>
        <w:numPr>
          <w:ilvl w:val="0"/>
          <w:numId w:val="0"/>
        </w:numPr>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充电模块支持热拔插功能，在其中一个模块故障时，不影响整机工作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充电设备的保护功能</w:t>
      </w:r>
    </w:p>
    <w:p>
      <w:pPr>
        <w:keepNext w:val="0"/>
        <w:keepLines w:val="0"/>
        <w:pageBreakBefore w:val="0"/>
        <w:widowControl w:val="0"/>
        <w:numPr>
          <w:ilvl w:val="0"/>
          <w:numId w:val="0"/>
        </w:numPr>
        <w:tabs>
          <w:tab w:val="left" w:pos="420"/>
        </w:tabs>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直流充电机应具有急停功能，即在紧急情况下，可从硬件上切断充电回路；急停回路应设计在交流侧，持续工作电流应小于AC380V/0.5A。</w:t>
      </w:r>
    </w:p>
    <w:p>
      <w:pPr>
        <w:keepNext w:val="0"/>
        <w:keepLines w:val="0"/>
        <w:pageBreakBefore w:val="0"/>
        <w:widowControl w:val="0"/>
        <w:numPr>
          <w:ilvl w:val="0"/>
          <w:numId w:val="0"/>
        </w:numPr>
        <w:tabs>
          <w:tab w:val="left" w:pos="420"/>
        </w:tabs>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直流充电机在停止充电后输出端应确保无电流输出或回灌。</w:t>
      </w:r>
    </w:p>
    <w:p>
      <w:pPr>
        <w:keepNext w:val="0"/>
        <w:keepLines w:val="0"/>
        <w:pageBreakBefore w:val="0"/>
        <w:widowControl w:val="0"/>
        <w:numPr>
          <w:ilvl w:val="0"/>
          <w:numId w:val="0"/>
        </w:numPr>
        <w:tabs>
          <w:tab w:val="left" w:pos="420"/>
        </w:tabs>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应具备交流输入过/欠压保护、直流输出过欠/压保护、设置直流输出限压/限流值、过负荷保护、短路保护、漏电保护防倒灌保护、防雷保护、过热保护、电池反接、电池故障、电源缺相、断电重启等保护功能</w:t>
      </w:r>
    </w:p>
    <w:p>
      <w:pPr>
        <w:keepNext w:val="0"/>
        <w:keepLines w:val="0"/>
        <w:pageBreakBefore w:val="0"/>
        <w:widowControl w:val="0"/>
        <w:numPr>
          <w:ilvl w:val="0"/>
          <w:numId w:val="0"/>
        </w:numPr>
        <w:tabs>
          <w:tab w:val="left" w:pos="420"/>
        </w:tabs>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充电过程中，充电连接异常时，直流充电机应立即自动切断输出电源，并告警提示。</w:t>
      </w:r>
    </w:p>
    <w:p>
      <w:pPr>
        <w:keepNext w:val="0"/>
        <w:keepLines w:val="0"/>
        <w:pageBreakBefore w:val="0"/>
        <w:widowControl w:val="0"/>
        <w:numPr>
          <w:ilvl w:val="0"/>
          <w:numId w:val="0"/>
        </w:numPr>
        <w:tabs>
          <w:tab w:val="left" w:pos="420"/>
        </w:tabs>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应具备充电侧绝缘检测功能。</w:t>
      </w:r>
    </w:p>
    <w:p>
      <w:pPr>
        <w:keepNext w:val="0"/>
        <w:keepLines w:val="0"/>
        <w:pageBreakBefore w:val="0"/>
        <w:widowControl w:val="0"/>
        <w:numPr>
          <w:ilvl w:val="0"/>
          <w:numId w:val="0"/>
        </w:numPr>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应在负载紧急跳开的情况下确保不损坏电路和元器件；</w:t>
      </w:r>
    </w:p>
    <w:p>
      <w:pPr>
        <w:keepNext w:val="0"/>
        <w:keepLines w:val="0"/>
        <w:pageBreakBefore w:val="0"/>
        <w:widowControl w:val="0"/>
        <w:numPr>
          <w:ilvl w:val="0"/>
          <w:numId w:val="0"/>
        </w:numPr>
        <w:tabs>
          <w:tab w:val="left" w:pos="420"/>
        </w:tabs>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插头与充电接口连接或断开时，充电接口不应带电，并进行连接或断开确认；在充电状态下断开充电插头，充电设备应即时断开相应充电接口的负荷开关，中断充电过程；当充电接口连接异常时，充电设备应立即自动切断相应充电接口的输出电源。</w:t>
      </w:r>
    </w:p>
    <w:p>
      <w:pPr>
        <w:keepNext w:val="0"/>
        <w:keepLines w:val="0"/>
        <w:pageBreakBefore w:val="0"/>
        <w:widowControl w:val="0"/>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充电设备的计量收费功能</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电能计量装置应符合国家计量器具鉴定相关要求，保证电能计量准确性。</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计量收费结算可通过本地计量，平台系统结算。</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计量表计满足充电设备对上传速率、规约等要求。</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电能表具备通信功能，通信接口为RS485，通信协议应符合DL/T 645-2007《多功能电能表通讯协议》。</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平台可对设备采集电能表电量数据，电量数据与界面显示同步一致。</w:t>
      </w:r>
    </w:p>
    <w:p>
      <w:pPr>
        <w:keepNext w:val="0"/>
        <w:keepLines w:val="0"/>
        <w:pageBreakBefore w:val="0"/>
        <w:widowControl w:val="0"/>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充电桩的智能功能</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充电设备应具备自动检测功能。</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充电设备应具备故障报警功能。</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直流充电机配置平台联网通讯功能,数据记录与上传功能。主要上传数据项包括充电开始时间、充电结束时间、充电电量、起始soc值、输出电压、输出电流、充电时长、充电设备实时状态（未连接、空闲、充电、预约锁定、故障等）、刷卡信息、电表读数等。</w:t>
      </w:r>
    </w:p>
    <w:p>
      <w:pPr>
        <w:keepNext w:val="0"/>
        <w:keepLines w:val="0"/>
        <w:pageBreakBefore w:val="0"/>
        <w:widowControl w:val="0"/>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软件升级功能</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设备应具有本地和远程升级功能</w:t>
      </w:r>
    </w:p>
    <w:p>
      <w:pPr>
        <w:keepNext w:val="0"/>
        <w:keepLines w:val="0"/>
        <w:pageBreakBefore w:val="0"/>
        <w:widowControl w:val="0"/>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bookmarkStart w:id="73" w:name="_Toc413504323"/>
      <w:bookmarkStart w:id="74" w:name="_Toc352274280"/>
      <w:bookmarkStart w:id="75" w:name="_Toc429000961"/>
      <w:bookmarkStart w:id="76" w:name="_Toc155151667"/>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其它要求</w:t>
      </w:r>
      <w:bookmarkEnd w:id="73"/>
      <w:bookmarkEnd w:id="74"/>
      <w:bookmarkEnd w:id="75"/>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充电连接装置</w:t>
      </w:r>
    </w:p>
    <w:p>
      <w:pPr>
        <w:keepNext w:val="0"/>
        <w:keepLines w:val="0"/>
        <w:pageBreakBefore w:val="0"/>
        <w:widowControl w:val="0"/>
        <w:tabs>
          <w:tab w:val="left" w:pos="1134"/>
        </w:tabs>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满足国标GB/T 20234.3-2015 电动汽车传导充电用连接装置 第3部分：直流充电接口要求。</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firstLine="320"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充电设备</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设备体应外观线条流畅、整体紧凑、简洁时尚，与安装地点周边环境相协调。</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设备体应具备安装2G/3G/4G或有线通信模块，可以与充电服务运营管理系统建立通讯。</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设备体内部线束，应排布整齐、规整，标识清楚，捆扎牢固。</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设备体内元器件应布局合理，易耗易损元件方便更换。</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设备体安装于户外时，应便于特殊天气条件下的日常维护。</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设备体应采用抗冲击力强、抗老化的材质。</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设备体表面涂覆色泽层应均匀光洁，不起泡、不龟裂、不脱落。</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设备体结构设计及安装应具备防盗能力。</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非绝缘材料外壳应可靠接地，结构上应防止操作人员触及带电部件。</w:t>
      </w:r>
    </w:p>
    <w:p>
      <w:pPr>
        <w:keepNext w:val="0"/>
        <w:keepLines w:val="0"/>
        <w:pageBreakBefore w:val="0"/>
        <w:widowControl w:val="0"/>
        <w:numPr>
          <w:ilvl w:val="0"/>
          <w:numId w:val="2"/>
        </w:numPr>
        <w:kinsoku/>
        <w:wordWrap/>
        <w:overflowPunct/>
        <w:topLinePunct w:val="0"/>
        <w:autoSpaceDE w:val="0"/>
        <w:autoSpaceDN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人机交互的操作按键和显示界面应设置在便于人操作和查看的位置。</w:t>
      </w:r>
      <w:bookmarkEnd w:id="76"/>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通风口要求</w:t>
      </w:r>
    </w:p>
    <w:p>
      <w:pPr>
        <w:keepNext w:val="0"/>
        <w:keepLines w:val="0"/>
        <w:pageBreakBefore w:val="0"/>
        <w:widowControl w:val="0"/>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a.各通风口处开百叶窗式通风孔，且加装防尘网或其他装置，以满足防护等级的要求。</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 防尘网或其它装置应有耐腐蚀性，考虑可替换或方便清理。</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 提供的文件应包含防尘网的维护和/或更换操作指南。</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线缆要求</w:t>
      </w:r>
    </w:p>
    <w:p>
      <w:pPr>
        <w:keepNext w:val="0"/>
        <w:keepLines w:val="0"/>
        <w:pageBreakBefore w:val="0"/>
        <w:widowControl w:val="0"/>
        <w:kinsoku/>
        <w:wordWrap/>
        <w:overflowPunct/>
        <w:topLinePunct w:val="0"/>
        <w:autoSpaceDE w:val="0"/>
        <w:autoSpaceDN w:val="0"/>
        <w:bidi w:val="0"/>
        <w:spacing w:line="560" w:lineRule="exact"/>
        <w:ind w:left="48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a.应能保证相应设备顺利安装和便于日常维护操作。</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b.应配置进出线留的足够空间。</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c.应具有配线端子标识的位置。</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d.过线区应预留足够的过线容量以满足直流充电机满配的接线操作要求。</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e.过线区应考虑线缆引入、固定和接地时操作的便利性、可更换性和可扩容性，线缆引入孔处应进行密封，防止水和龃齿类动物进入直流充电机。</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f.提供一定数量的绑扎线配件，方便绑扎线的基本要求。</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安装要求</w:t>
      </w:r>
    </w:p>
    <w:p>
      <w:pPr>
        <w:keepNext w:val="0"/>
        <w:keepLines w:val="0"/>
        <w:pageBreakBefore w:val="0"/>
        <w:widowControl w:val="0"/>
        <w:kinsoku/>
        <w:wordWrap/>
        <w:overflowPunct/>
        <w:topLinePunct w:val="0"/>
        <w:autoSpaceDE w:val="0"/>
        <w:autoSpaceDN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a.直流充电机安装采用下进线方式，允许误差为偏离竖直位置任一方向5°。</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b.分为室外和室内安装，室外安装时，竖直安装于基础上，基础采用预制件或者现场浇筑形式；室内安装时，竖直安装于定制的机架上。</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c.可根据设备安装环境设置基础高度（基础高度建议采用200mm）。</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噪声要求  </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噪声小于等于 65dB。</w:t>
      </w:r>
    </w:p>
    <w:p>
      <w:pPr>
        <w:keepNext w:val="0"/>
        <w:keepLines w:val="0"/>
        <w:pageBreakBefore w:val="0"/>
        <w:widowControl w:val="0"/>
        <w:numPr>
          <w:ilvl w:val="0"/>
          <w:numId w:val="0"/>
        </w:numPr>
        <w:kinsoku/>
        <w:wordWrap/>
        <w:overflowPunct/>
        <w:topLinePunct w:val="0"/>
        <w:autoSpaceDE w:val="0"/>
        <w:autoSpaceDN w:val="0"/>
        <w:bidi w:val="0"/>
        <w:spacing w:line="560" w:lineRule="exact"/>
        <w:ind w:left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可靠性要求  </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MTBF平均故障间隔时间应大于等于8760h。</w:t>
      </w:r>
    </w:p>
    <w:p>
      <w:pPr>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b/>
          <w:bCs/>
          <w:sz w:val="32"/>
          <w:szCs w:val="32"/>
        </w:rPr>
      </w:pPr>
      <w:bookmarkStart w:id="77" w:name="_Toc31959"/>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充电站监控及运营管理系统平台技术功能要求</w:t>
      </w:r>
      <w:bookmarkEnd w:id="77"/>
    </w:p>
    <w:p>
      <w:pPr>
        <w:pStyle w:val="88"/>
        <w:keepNext w:val="0"/>
        <w:keepLines w:val="0"/>
        <w:pageBreakBefore w:val="0"/>
        <w:widowControl w:val="0"/>
        <w:numPr>
          <w:ilvl w:val="0"/>
          <w:numId w:val="0"/>
        </w:numPr>
        <w:kinsoku/>
        <w:wordWrap/>
        <w:overflowPunct/>
        <w:topLinePunct w:val="0"/>
        <w:bidi w:val="0"/>
        <w:spacing w:line="560" w:lineRule="exact"/>
        <w:ind w:firstLine="566" w:firstLineChars="177"/>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为确保系统和设备的无缝连接，避免后续其它问题，设备同等性能条件下的优先选择具备自主开发充电监控及运营系统的设备厂家。</w:t>
      </w:r>
    </w:p>
    <w:p>
      <w:pPr>
        <w:pStyle w:val="88"/>
        <w:keepNext w:val="0"/>
        <w:keepLines w:val="0"/>
        <w:pageBreakBefore w:val="0"/>
        <w:widowControl w:val="0"/>
        <w:numPr>
          <w:ilvl w:val="0"/>
          <w:numId w:val="0"/>
        </w:numPr>
        <w:kinsoku/>
        <w:wordWrap/>
        <w:overflowPunct/>
        <w:topLinePunct w:val="0"/>
        <w:bidi w:val="0"/>
        <w:spacing w:line="560" w:lineRule="exact"/>
        <w:jc w:val="center"/>
        <w:textAlignment w:val="auto"/>
        <w:rPr>
          <w:rFonts w:hint="eastAsia" w:ascii="仿宋_GB2312" w:hAnsi="仿宋_GB2312" w:eastAsia="仿宋_GB2312" w:cs="仿宋_GB2312"/>
          <w:color w:val="auto"/>
          <w:sz w:val="32"/>
          <w:szCs w:val="32"/>
        </w:rPr>
      </w:pPr>
    </w:p>
    <w:p>
      <w:pPr>
        <w:pStyle w:val="88"/>
        <w:keepNext w:val="0"/>
        <w:keepLines w:val="0"/>
        <w:pageBreakBefore w:val="0"/>
        <w:widowControl w:val="0"/>
        <w:numPr>
          <w:ilvl w:val="0"/>
          <w:numId w:val="0"/>
        </w:numPr>
        <w:kinsoku/>
        <w:wordWrap/>
        <w:overflowPunct/>
        <w:topLinePunct w:val="0"/>
        <w:bidi w:val="0"/>
        <w:spacing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技术要求</w:t>
      </w:r>
    </w:p>
    <w:tbl>
      <w:tblPr>
        <w:tblStyle w:val="24"/>
        <w:tblW w:w="92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983"/>
        <w:gridCol w:w="1234"/>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77" w:type="dxa"/>
            <w:noWrap w:val="0"/>
            <w:vAlign w:val="top"/>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983" w:type="dxa"/>
            <w:noWrap w:val="0"/>
            <w:vAlign w:val="top"/>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1234" w:type="dxa"/>
            <w:noWrap w:val="0"/>
            <w:vAlign w:val="top"/>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    目</w:t>
            </w:r>
          </w:p>
        </w:tc>
        <w:tc>
          <w:tcPr>
            <w:tcW w:w="6225" w:type="dxa"/>
            <w:noWrap w:val="0"/>
            <w:vAlign w:val="top"/>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77" w:type="dxa"/>
            <w:vMerge w:val="restart"/>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983" w:type="dxa"/>
            <w:vMerge w:val="restart"/>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充电监控</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系统容量</w:t>
            </w:r>
          </w:p>
        </w:tc>
        <w:tc>
          <w:tcPr>
            <w:tcW w:w="6225"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充电监控可监控充电设备：≥500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77" w:type="dxa"/>
            <w:vMerge w:val="continue"/>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983" w:type="dxa"/>
            <w:vMerge w:val="continue"/>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系统可靠性</w:t>
            </w:r>
          </w:p>
        </w:tc>
        <w:tc>
          <w:tcPr>
            <w:tcW w:w="6225"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系统可用率：≥99%</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平均无故障时间（MTBF）：≥8760小时</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模拟量测量综合误差：≤1%</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遥测合格率：≥99%</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遥信正确率：≥99%</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遥控正确率：≥99.99%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77" w:type="dxa"/>
            <w:vMerge w:val="continue"/>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983" w:type="dxa"/>
            <w:vMerge w:val="continue"/>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系统实时性</w:t>
            </w:r>
          </w:p>
        </w:tc>
        <w:tc>
          <w:tcPr>
            <w:tcW w:w="6225"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数据采样扫描周期：1秒~10秒</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系统控制操作响应时间（从按执行键到设备执行）：＜10秒</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画面调用时间：＜3秒</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画面实时数据刷新时间：5秒～30秒</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实时数据查询响应时间：＜3秒</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历史数据查询响应时间：＜10秒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77"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983"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直流电度表</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系统指标</w:t>
            </w:r>
          </w:p>
        </w:tc>
        <w:tc>
          <w:tcPr>
            <w:tcW w:w="6225"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精确度等级1.0级；</w:t>
            </w:r>
          </w:p>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具备1个CAN接口或1个RS485接口。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77"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983"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平台接口开放</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6225"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平台需开放接口（OPEN API），可实现与招标人今后延伸拓展应用所需的其他平台、系统对接。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77"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983"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平台接口兼容</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6225"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平台需支持符合规范的充电设施、新能源汽车信息源的接入，将充电设备的运行状态、充电业务状态信息、新能源汽车的行驶信息、电池信息集成到平台。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77"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983"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平台访问开放</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6225"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平台支持多种接入方式，包括：面向公众的网站、政府监管门户、厂商管理门户、个人用户门户、移动APP等。根据入口的差异，做好业务的对接与用户权限管理。保证所有的业务对外部是管控式开放的。让不同用户可以通过多种渠道使用平台提供的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77"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983"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配合建设要求</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6225"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投标人需配合招标人信息化建设过程需与本平台对接的工作，并提供支持。</w:t>
            </w:r>
          </w:p>
        </w:tc>
      </w:tr>
    </w:tbl>
    <w:p>
      <w:pPr>
        <w:pStyle w:val="88"/>
        <w:keepNext w:val="0"/>
        <w:keepLines w:val="0"/>
        <w:pageBreakBefore w:val="0"/>
        <w:widowControl w:val="0"/>
        <w:numPr>
          <w:ilvl w:val="0"/>
          <w:numId w:val="0"/>
        </w:numPr>
        <w:kinsoku/>
        <w:wordWrap/>
        <w:overflowPunct/>
        <w:topLinePunct w:val="0"/>
        <w:bidi w:val="0"/>
        <w:spacing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功能需求</w:t>
      </w:r>
    </w:p>
    <w:tbl>
      <w:tblPr>
        <w:tblStyle w:val="24"/>
        <w:tblW w:w="92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992"/>
        <w:gridCol w:w="1234"/>
        <w:gridCol w:w="6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    目</w:t>
            </w:r>
          </w:p>
        </w:tc>
        <w:tc>
          <w:tcPr>
            <w:tcW w:w="6246"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主要功能要求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992" w:type="dxa"/>
            <w:vMerge w:val="restart"/>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充电桩</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信息管理</w:t>
            </w:r>
          </w:p>
        </w:tc>
        <w:tc>
          <w:tcPr>
            <w:tcW w:w="6246" w:type="dxa"/>
            <w:noWrap w:val="0"/>
            <w:vAlign w:val="center"/>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存贮和记录每个充电回路的信息，用于对每个充电回路的识别和管理，应包括但不限于：充电桩的ID编号（二维码）、CAN地址、所属充电站、行政区划的省市信息等。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992" w:type="dxa"/>
            <w:vMerge w:val="continue"/>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监控</w:t>
            </w:r>
          </w:p>
        </w:tc>
        <w:tc>
          <w:tcPr>
            <w:tcW w:w="6246" w:type="dxa"/>
            <w:noWrap w:val="0"/>
            <w:vAlign w:val="center"/>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监控每个充电桩的工作状态，包括充电枪状态、充电回路的电压电流功率，充电回路的起动、停止、暂停、直流充电的电压电流调节控制等，实现所有场站充电设施监控，实现按权限监控单站充电设施。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充电计量</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采集和管理</w:t>
            </w:r>
          </w:p>
        </w:tc>
        <w:tc>
          <w:tcPr>
            <w:tcW w:w="6246" w:type="dxa"/>
            <w:noWrap w:val="0"/>
            <w:vAlign w:val="center"/>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采集、记录各充电支路的充电电量。记录充电过程中电量变化，并保存与充电过程有关的各种信息，如起始时间、充电账户、计费时段、峰谷电费结算等信息。实现充电数据的汇总、存储、统计、分析。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设备集群管理</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数据实时性</w:t>
            </w:r>
          </w:p>
        </w:tc>
        <w:tc>
          <w:tcPr>
            <w:tcW w:w="6246" w:type="dxa"/>
            <w:noWrap w:val="0"/>
            <w:vAlign w:val="center"/>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保存所有充电设备的实时状态映射，投标人应出具在系统确保用户端的数据实时与准确的同时，降低充电站智能监控系统对通讯通道的占用的措施。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区域负荷</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采集分配</w:t>
            </w:r>
          </w:p>
        </w:tc>
        <w:tc>
          <w:tcPr>
            <w:tcW w:w="6246" w:type="dxa"/>
            <w:noWrap w:val="0"/>
            <w:vAlign w:val="center"/>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系统可采集和记录充电系统所在区域的负荷信息，并进行短、中、长期负荷预测的分析，进而实现区域负荷调配。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车辆监控</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监控及数据分析</w:t>
            </w:r>
          </w:p>
        </w:tc>
        <w:tc>
          <w:tcPr>
            <w:tcW w:w="6246"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车企提供数据对接的情况下，支持对车辆的实时运行情况（如位置、速度、状态、电池电量、电池问题、电池电压、电池电流等）、行驶轨迹、故障报警等的监控。监控平台上可直接看到车辆行驶状态，并可通过多种方式提供故障报警信息，并对监控的车辆在不同维度进行统计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充电服务管理</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内容</w:t>
            </w:r>
          </w:p>
        </w:tc>
        <w:tc>
          <w:tcPr>
            <w:tcW w:w="6246"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应包括但不限于充电站及充电终端的监控管理、充电作业的控制管理、充电故障的警报处理、充电费用结算及财务管理、充电服务的查询统计分析等功能，并可通过多种途径将信息反馈给充电站管理者。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报表中心</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6246"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实现招标人在应用过程提出数据分析统计报表功能需求。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用户中心</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日常管理</w:t>
            </w:r>
          </w:p>
        </w:tc>
        <w:tc>
          <w:tcPr>
            <w:tcW w:w="6246"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应包括但不限于用户账号的注册与充值、充电设施的查询与导航、在线充电控制，历史充值与消费的统计查询功能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收费方式</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6246"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color="000000"/>
                <w:lang w:val="zh-TW" w:eastAsia="zh-TW"/>
              </w:rPr>
              <w:t>支持充电用户手机</w:t>
            </w:r>
            <w:r>
              <w:rPr>
                <w:rFonts w:hint="eastAsia" w:ascii="仿宋_GB2312" w:hAnsi="仿宋_GB2312" w:eastAsia="仿宋_GB2312" w:cs="仿宋_GB2312"/>
                <w:sz w:val="32"/>
                <w:szCs w:val="32"/>
                <w:u w:val="none" w:color="000000"/>
              </w:rPr>
              <w:t>APP</w:t>
            </w:r>
            <w:r>
              <w:rPr>
                <w:rFonts w:hint="eastAsia" w:ascii="仿宋_GB2312" w:hAnsi="仿宋_GB2312" w:eastAsia="仿宋_GB2312" w:cs="仿宋_GB2312"/>
                <w:sz w:val="32"/>
                <w:szCs w:val="32"/>
                <w:u w:val="none" w:color="000000"/>
                <w:lang w:val="zh-TW" w:eastAsia="zh-TW"/>
              </w:rPr>
              <w:t>扫描充电桩二维码进行充电支付</w:t>
            </w:r>
            <w:r>
              <w:rPr>
                <w:rFonts w:hint="eastAsia" w:ascii="仿宋_GB2312" w:hAnsi="仿宋_GB2312" w:eastAsia="仿宋_GB2312" w:cs="仿宋_GB2312"/>
                <w:sz w:val="32"/>
                <w:szCs w:val="32"/>
                <w:u w:val="none" w:color="000000"/>
                <w:lang w:val="zh-T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88"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w:t>
            </w:r>
          </w:p>
        </w:tc>
        <w:tc>
          <w:tcPr>
            <w:tcW w:w="992"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color="000000"/>
                <w:lang w:val="zh-TW" w:eastAsia="zh-TW"/>
              </w:rPr>
              <w:t>手机</w:t>
            </w:r>
            <w:r>
              <w:rPr>
                <w:rFonts w:hint="eastAsia" w:ascii="仿宋_GB2312" w:hAnsi="仿宋_GB2312" w:eastAsia="仿宋_GB2312" w:cs="仿宋_GB2312"/>
                <w:sz w:val="32"/>
                <w:szCs w:val="32"/>
                <w:u w:val="none" w:color="000000"/>
              </w:rPr>
              <w:t>APP</w:t>
            </w:r>
          </w:p>
        </w:tc>
        <w:tc>
          <w:tcPr>
            <w:tcW w:w="1234" w:type="dxa"/>
            <w:noWrap w:val="0"/>
            <w:vAlign w:val="center"/>
          </w:tcPr>
          <w:p>
            <w:pPr>
              <w:keepNext w:val="0"/>
              <w:keepLines w:val="0"/>
              <w:pageBreakBefore w:val="0"/>
              <w:widowControl w:val="0"/>
              <w:kinsoku/>
              <w:wordWrap/>
              <w:overflowPunct/>
              <w:topLinePunct w:val="0"/>
              <w:bidi w:val="0"/>
              <w:spacing w:line="560" w:lineRule="exact"/>
              <w:jc w:val="center"/>
              <w:textAlignment w:val="auto"/>
              <w:rPr>
                <w:rFonts w:hint="eastAsia" w:ascii="仿宋_GB2312" w:hAnsi="仿宋_GB2312" w:eastAsia="仿宋_GB2312" w:cs="仿宋_GB2312"/>
                <w:sz w:val="32"/>
                <w:szCs w:val="32"/>
              </w:rPr>
            </w:pPr>
          </w:p>
        </w:tc>
        <w:tc>
          <w:tcPr>
            <w:tcW w:w="6246" w:type="dxa"/>
            <w:noWrap w:val="0"/>
            <w:vAlign w:val="top"/>
          </w:tcPr>
          <w:p>
            <w:pPr>
              <w:keepNext w:val="0"/>
              <w:keepLines w:val="0"/>
              <w:pageBreakBefore w:val="0"/>
              <w:widowControl w:val="0"/>
              <w:kinsoku/>
              <w:wordWrap/>
              <w:overflowPunct/>
              <w:topLinePunct w:val="0"/>
              <w:bidi w:val="0"/>
              <w:spacing w:line="560" w:lineRule="exact"/>
              <w:ind w:hanging="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TW" w:eastAsia="zh-TW"/>
              </w:rPr>
              <w:t>手机</w:t>
            </w:r>
            <w:r>
              <w:rPr>
                <w:rFonts w:hint="eastAsia" w:ascii="仿宋_GB2312" w:hAnsi="仿宋_GB2312" w:eastAsia="仿宋_GB2312" w:cs="仿宋_GB2312"/>
                <w:sz w:val="32"/>
                <w:szCs w:val="32"/>
              </w:rPr>
              <w:t>APP</w:t>
            </w:r>
            <w:r>
              <w:rPr>
                <w:rFonts w:hint="eastAsia" w:ascii="仿宋_GB2312" w:hAnsi="仿宋_GB2312" w:eastAsia="仿宋_GB2312" w:cs="仿宋_GB2312"/>
                <w:sz w:val="32"/>
                <w:szCs w:val="32"/>
                <w:lang w:val="zh-TW" w:eastAsia="zh-TW"/>
              </w:rPr>
              <w:t>应是在主流</w:t>
            </w:r>
            <w:r>
              <w:rPr>
                <w:rFonts w:hint="eastAsia" w:ascii="仿宋_GB2312" w:hAnsi="仿宋_GB2312" w:eastAsia="仿宋_GB2312" w:cs="仿宋_GB2312"/>
                <w:sz w:val="32"/>
                <w:szCs w:val="32"/>
              </w:rPr>
              <w:t>Android</w:t>
            </w:r>
            <w:r>
              <w:rPr>
                <w:rFonts w:hint="eastAsia" w:ascii="仿宋_GB2312" w:hAnsi="仿宋_GB2312" w:eastAsia="仿宋_GB2312" w:cs="仿宋_GB2312"/>
                <w:sz w:val="32"/>
                <w:szCs w:val="32"/>
                <w:lang w:val="zh-TW" w:eastAsia="zh-TW"/>
              </w:rPr>
              <w:t>应用市场中正式发布的</w:t>
            </w:r>
            <w:r>
              <w:rPr>
                <w:rFonts w:hint="eastAsia" w:ascii="仿宋_GB2312" w:hAnsi="仿宋_GB2312" w:eastAsia="仿宋_GB2312" w:cs="仿宋_GB2312"/>
                <w:sz w:val="32"/>
                <w:szCs w:val="32"/>
                <w:lang w:val="zh-TW"/>
              </w:rPr>
              <w:t>，面向社会车辆运营服务，</w:t>
            </w:r>
            <w:r>
              <w:rPr>
                <w:rFonts w:hint="eastAsia" w:ascii="仿宋_GB2312" w:hAnsi="仿宋_GB2312" w:eastAsia="仿宋_GB2312" w:cs="仿宋_GB2312"/>
                <w:sz w:val="32"/>
                <w:szCs w:val="32"/>
                <w:u w:val="none" w:color="000000"/>
                <w:lang w:val="zh-TW" w:eastAsia="zh-TW"/>
              </w:rPr>
              <w:t>支持支付宝支付、微信支付等主流支付功能，支持充电站位置查询与导航、充电终端充电状态查询、充电历史记录查询、账户余额查询与充电过程监控等功能。</w:t>
            </w:r>
          </w:p>
        </w:tc>
      </w:tr>
    </w:tbl>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TW" w:eastAsia="zh-TW"/>
        </w:rPr>
        <w:t>投标人提供充电监控与运营系统的相关软件、硬件，并负责整个系统的建设、调试和售后服务。系统硬件的配置，根据各投标人的系统运行需求和招标人对系统的功能及性能需求，自行提供配置。投标人需要保证所配置的各类硬件的性能，足以满足充电监控与运营管理系统的可靠运行。涉及的操作系统、数据库等配套软件，必须为正版产品，在知识产权和版权方面保证合法、合规。</w:t>
      </w: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宋体" w:hAnsi="宋体"/>
          <w:szCs w:val="72"/>
        </w:rPr>
        <w:sectPr>
          <w:pgSz w:w="11907" w:h="16840"/>
          <w:pgMar w:top="1191" w:right="1191" w:bottom="1191" w:left="1191" w:header="851" w:footer="851" w:gutter="0"/>
          <w:cols w:space="720" w:num="1"/>
        </w:sectPr>
      </w:pPr>
    </w:p>
    <w:p>
      <w:pPr>
        <w:pStyle w:val="3"/>
        <w:jc w:val="center"/>
        <w:rPr>
          <w:rFonts w:hint="eastAsia"/>
        </w:rPr>
      </w:pPr>
      <w:r>
        <w:rPr>
          <w:rFonts w:hint="eastAsia"/>
        </w:rPr>
        <w:t>第</w:t>
      </w:r>
      <w:r>
        <w:rPr>
          <w:rFonts w:hint="eastAsia"/>
          <w:lang w:eastAsia="zh-CN"/>
        </w:rPr>
        <w:t>六</w:t>
      </w:r>
      <w:r>
        <w:rPr>
          <w:rFonts w:hint="eastAsia"/>
        </w:rPr>
        <w:t>章</w:t>
      </w:r>
      <w:r>
        <w:t xml:space="preserve">   </w:t>
      </w:r>
      <w:r>
        <w:rPr>
          <w:rFonts w:hint="eastAsia"/>
        </w:rPr>
        <w:t>投标文件格式</w:t>
      </w: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亳州市2019年五处公交首末站充电桩建设项目</w:t>
      </w:r>
    </w:p>
    <w:p>
      <w:pPr>
        <w:jc w:val="center"/>
        <w:rPr>
          <w:rFonts w:hint="eastAsia" w:ascii="黑体" w:hAnsi="黑体" w:eastAsia="黑体" w:cs="黑体"/>
          <w:sz w:val="32"/>
          <w:szCs w:val="32"/>
        </w:rPr>
      </w:pPr>
      <w:r>
        <w:rPr>
          <w:rFonts w:hint="eastAsia" w:ascii="黑体" w:hAnsi="黑体" w:eastAsia="黑体" w:cs="黑体"/>
          <w:sz w:val="32"/>
          <w:szCs w:val="32"/>
        </w:rPr>
        <w:t>（项目编号：BZJK-201</w:t>
      </w:r>
      <w:r>
        <w:rPr>
          <w:rFonts w:hint="default" w:ascii="黑体" w:hAnsi="黑体" w:eastAsia="黑体" w:cs="黑体"/>
          <w:sz w:val="32"/>
          <w:szCs w:val="32"/>
          <w:lang w:val="en-US"/>
        </w:rPr>
        <w:t>9</w:t>
      </w:r>
      <w:r>
        <w:rPr>
          <w:rFonts w:hint="eastAsia" w:ascii="黑体" w:hAnsi="黑体" w:eastAsia="黑体" w:cs="黑体"/>
          <w:sz w:val="32"/>
          <w:szCs w:val="32"/>
        </w:rPr>
        <w:t>-</w:t>
      </w:r>
      <w:r>
        <w:rPr>
          <w:rFonts w:hint="eastAsia" w:ascii="黑体" w:hAnsi="黑体" w:eastAsia="黑体" w:cs="黑体"/>
          <w:sz w:val="32"/>
          <w:szCs w:val="32"/>
          <w:lang w:val="en-US" w:eastAsia="zh-CN"/>
        </w:rPr>
        <w:t>022</w:t>
      </w:r>
      <w:r>
        <w:rPr>
          <w:rFonts w:hint="eastAsia" w:ascii="黑体" w:hAnsi="黑体" w:eastAsia="黑体" w:cs="黑体"/>
          <w:sz w:val="32"/>
          <w:szCs w:val="32"/>
        </w:rPr>
        <w:t>号）</w:t>
      </w:r>
    </w:p>
    <w:p>
      <w:pPr>
        <w:jc w:val="center"/>
        <w:rPr>
          <w:rFonts w:hint="eastAsia" w:ascii="黑体" w:hAnsi="黑体" w:eastAsia="黑体" w:cs="黑体"/>
          <w:sz w:val="32"/>
          <w:szCs w:val="32"/>
        </w:rPr>
      </w:pPr>
    </w:p>
    <w:p>
      <w:pPr>
        <w:jc w:val="center"/>
        <w:rPr>
          <w:sz w:val="32"/>
          <w:szCs w:val="32"/>
        </w:rPr>
      </w:pPr>
    </w:p>
    <w:p>
      <w:pPr>
        <w:jc w:val="center"/>
        <w:rPr>
          <w:sz w:val="32"/>
          <w:szCs w:val="32"/>
        </w:rPr>
      </w:pPr>
    </w:p>
    <w:p>
      <w:pPr>
        <w:jc w:val="center"/>
        <w:rPr>
          <w:rFonts w:ascii="黑体" w:hAnsi="黑体" w:eastAsia="黑体"/>
          <w:sz w:val="44"/>
          <w:szCs w:val="44"/>
        </w:rPr>
      </w:pPr>
      <w:r>
        <w:rPr>
          <w:rFonts w:hint="eastAsia" w:ascii="黑体" w:hAnsi="黑体" w:eastAsia="黑体"/>
          <w:sz w:val="44"/>
          <w:szCs w:val="44"/>
        </w:rPr>
        <w:t>投标文件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u w:val="single"/>
        </w:rPr>
      </w:pPr>
      <w:r>
        <w:rPr>
          <w:rFonts w:hint="eastAsia" w:ascii="黑体" w:hAnsi="黑体" w:eastAsia="黑体"/>
          <w:sz w:val="32"/>
          <w:szCs w:val="32"/>
        </w:rPr>
        <w:t>投标人：</w:t>
      </w:r>
      <w:r>
        <w:rPr>
          <w:rFonts w:hint="eastAsia" w:ascii="黑体" w:hAnsi="黑体" w:eastAsia="黑体"/>
          <w:sz w:val="32"/>
          <w:szCs w:val="32"/>
          <w:u w:val="single"/>
        </w:rPr>
        <w:t xml:space="preserve">        （盖 </w:t>
      </w:r>
      <w:r>
        <w:rPr>
          <w:rFonts w:ascii="黑体" w:hAnsi="黑体" w:eastAsia="黑体"/>
          <w:sz w:val="32"/>
          <w:szCs w:val="32"/>
          <w:u w:val="single"/>
        </w:rPr>
        <w:t xml:space="preserve"> </w:t>
      </w:r>
      <w:r>
        <w:rPr>
          <w:rFonts w:hint="eastAsia" w:ascii="黑体" w:hAnsi="黑体" w:eastAsia="黑体"/>
          <w:sz w:val="32"/>
          <w:szCs w:val="32"/>
          <w:u w:val="single"/>
        </w:rPr>
        <w:t xml:space="preserve">章）     </w:t>
      </w:r>
    </w:p>
    <w:p>
      <w:pPr>
        <w:jc w:val="center"/>
        <w:rPr>
          <w:rFonts w:ascii="黑体" w:hAnsi="黑体" w:eastAsia="黑体"/>
          <w:sz w:val="32"/>
          <w:szCs w:val="32"/>
        </w:rPr>
      </w:pPr>
    </w:p>
    <w:p>
      <w:pPr>
        <w:jc w:val="center"/>
        <w:rPr>
          <w:sz w:val="32"/>
          <w:szCs w:val="32"/>
        </w:rPr>
      </w:pPr>
    </w:p>
    <w:p>
      <w:pPr>
        <w:jc w:val="center"/>
        <w:rPr>
          <w:sz w:val="32"/>
          <w:szCs w:val="32"/>
        </w:rPr>
      </w:pPr>
      <w:r>
        <w:rPr>
          <w:sz w:val="32"/>
          <w:szCs w:val="32"/>
        </w:rPr>
        <w:t xml:space="preserve">      </w:t>
      </w: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rPr>
          <w:sz w:val="32"/>
          <w:szCs w:val="32"/>
        </w:rPr>
      </w:pPr>
    </w:p>
    <w:p/>
    <w:p/>
    <w:p/>
    <w:p/>
    <w:p/>
    <w:p>
      <w:pPr>
        <w:pStyle w:val="4"/>
      </w:pPr>
      <w:r>
        <w:rPr>
          <w:rFonts w:hint="eastAsia"/>
        </w:rPr>
        <w:t>一、投标函（格式）</w:t>
      </w:r>
    </w:p>
    <w:p>
      <w:pPr>
        <w:spacing w:line="360" w:lineRule="auto"/>
        <w:rPr>
          <w:rFonts w:ascii="宋体" w:hAnsi="宋体"/>
          <w:b/>
          <w:szCs w:val="21"/>
        </w:rPr>
      </w:pPr>
      <w:r>
        <w:rPr>
          <w:rFonts w:hint="eastAsia" w:ascii="方正小标宋简体" w:hAnsi="方正小标宋简体" w:eastAsia="方正小标宋简体" w:cs="方正小标宋简体"/>
          <w:sz w:val="32"/>
          <w:szCs w:val="32"/>
          <w:lang w:eastAsia="zh-CN"/>
        </w:rPr>
        <w:t>安徽省安车交通运输集团有限公司</w:t>
      </w:r>
      <w:r>
        <w:rPr>
          <w:rFonts w:hint="eastAsia" w:ascii="方正小标宋简体" w:hAnsi="方正小标宋简体" w:eastAsia="方正小标宋简体" w:cs="方正小标宋简体"/>
          <w:sz w:val="32"/>
          <w:szCs w:val="32"/>
        </w:rPr>
        <w:t xml:space="preserve"> </w:t>
      </w:r>
      <w:r>
        <w:rPr>
          <w:rFonts w:hint="eastAsia" w:ascii="宋体" w:hAnsi="宋体"/>
          <w:b/>
          <w:sz w:val="32"/>
          <w:szCs w:val="32"/>
        </w:rPr>
        <w:t>：</w:t>
      </w:r>
    </w:p>
    <w:p>
      <w:pPr>
        <w:spacing w:line="360" w:lineRule="auto"/>
        <w:ind w:firstLine="420" w:firstLineChars="200"/>
        <w:rPr>
          <w:rFonts w:ascii="宋体" w:hAnsi="宋体"/>
        </w:rPr>
      </w:pPr>
    </w:p>
    <w:p>
      <w:pPr>
        <w:spacing w:line="360" w:lineRule="auto"/>
        <w:ind w:firstLine="420" w:firstLineChars="200"/>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ascii="宋体" w:hAnsi="宋体"/>
          <w:b/>
          <w:u w:val="single"/>
        </w:rPr>
        <w:t>项目名称及编号</w:t>
      </w:r>
      <w:r>
        <w:rPr>
          <w:rFonts w:hint="eastAsia" w:ascii="宋体" w:hAnsi="宋体"/>
          <w:b/>
          <w:u w:val="single"/>
        </w:rPr>
        <w:t xml:space="preserve"> </w:t>
      </w:r>
      <w:r>
        <w:rPr>
          <w:rFonts w:ascii="宋体" w:hAnsi="宋体"/>
          <w:b/>
          <w:u w:val="single"/>
        </w:rPr>
        <w:t xml:space="preserve">         </w:t>
      </w:r>
      <w:r>
        <w:rPr>
          <w:rFonts w:ascii="宋体" w:hAnsi="宋体"/>
          <w:u w:val="single"/>
        </w:rPr>
        <w:t xml:space="preserve"> </w:t>
      </w:r>
      <w:r>
        <w:rPr>
          <w:rFonts w:hint="eastAsia" w:ascii="宋体" w:hAnsi="宋体"/>
        </w:rPr>
        <w:t>项目投标的有关事宜。</w:t>
      </w:r>
      <w:r>
        <w:rPr>
          <w:rFonts w:ascii="宋体" w:hAnsi="宋体"/>
        </w:rPr>
        <w:t>遵照</w:t>
      </w:r>
      <w:r>
        <w:rPr>
          <w:rFonts w:hint="eastAsia" w:ascii="宋体" w:hAnsi="宋体"/>
        </w:rPr>
        <w:t>招标文件</w:t>
      </w:r>
      <w:r>
        <w:rPr>
          <w:rFonts w:ascii="宋体" w:hAnsi="宋体"/>
        </w:rPr>
        <w:t>（含补充文件）的要求承担本项目的实施，</w:t>
      </w:r>
      <w:r>
        <w:rPr>
          <w:rFonts w:hint="eastAsia" w:ascii="宋体" w:hAnsi="宋体"/>
        </w:rPr>
        <w:t>向甲方提供所需的货物和服务。</w:t>
      </w:r>
    </w:p>
    <w:p>
      <w:pPr>
        <w:spacing w:line="360" w:lineRule="auto"/>
        <w:ind w:firstLine="420" w:firstLineChars="200"/>
        <w:rPr>
          <w:rFonts w:ascii="宋体" w:hAnsi="宋体"/>
        </w:rPr>
      </w:pPr>
      <w:r>
        <w:rPr>
          <w:rFonts w:hint="eastAsia" w:ascii="宋体" w:hAnsi="宋体"/>
        </w:rPr>
        <w:t>2、我方同意</w:t>
      </w:r>
      <w:r>
        <w:rPr>
          <w:rFonts w:hint="eastAsia" w:ascii="宋体" w:hAnsi="宋体"/>
          <w:szCs w:val="21"/>
        </w:rPr>
        <w:t>接受招标文件中招标有效期的相关规定。</w:t>
      </w:r>
    </w:p>
    <w:p>
      <w:pPr>
        <w:spacing w:line="360" w:lineRule="auto"/>
        <w:ind w:firstLine="420" w:firstLineChars="200"/>
        <w:rPr>
          <w:rFonts w:ascii="宋体" w:hAnsi="宋体"/>
        </w:rPr>
      </w:pPr>
      <w:r>
        <w:rPr>
          <w:rFonts w:hint="eastAsia" w:ascii="宋体" w:hAnsi="宋体"/>
        </w:rPr>
        <w:t>3、一旦我方中标，我方将严格履行合同规定的责任和义务。</w:t>
      </w:r>
    </w:p>
    <w:p>
      <w:pPr>
        <w:spacing w:line="360" w:lineRule="auto"/>
        <w:ind w:firstLine="420" w:firstLineChars="200"/>
        <w:rPr>
          <w:rFonts w:ascii="宋体" w:hAnsi="宋体"/>
        </w:rPr>
      </w:pPr>
      <w:r>
        <w:rPr>
          <w:rFonts w:hint="eastAsia" w:ascii="宋体" w:hAnsi="宋体"/>
        </w:rPr>
        <w:t>4、我方同意按照招标文件的要求，向贵中心递交金额为人民币（大写）</w:t>
      </w:r>
      <w:r>
        <w:rPr>
          <w:rFonts w:hint="eastAsia" w:ascii="宋体" w:hAnsi="宋体"/>
          <w:u w:val="single"/>
        </w:rPr>
        <w:t xml:space="preserve">     </w:t>
      </w:r>
      <w:r>
        <w:rPr>
          <w:rFonts w:hint="eastAsia" w:ascii="宋体" w:hAnsi="宋体"/>
        </w:rPr>
        <w:t>元（小写：</w:t>
      </w:r>
      <w:r>
        <w:rPr>
          <w:rFonts w:hint="eastAsia"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spacing w:line="360" w:lineRule="auto"/>
        <w:ind w:firstLine="420" w:firstLineChars="200"/>
        <w:rPr>
          <w:rFonts w:ascii="宋体" w:hAnsi="宋体"/>
        </w:rPr>
      </w:pPr>
      <w:r>
        <w:rPr>
          <w:rFonts w:hint="eastAsia" w:ascii="宋体" w:hAnsi="宋体"/>
        </w:rPr>
        <w:t>5、我方愿意提供贵中心可能另外要求的、与谈判有关的文件资料，并保证我方已提供和将要提供的文件是真实的、准确的。</w:t>
      </w:r>
    </w:p>
    <w:p>
      <w:pPr>
        <w:spacing w:line="360" w:lineRule="auto"/>
        <w:ind w:firstLine="420" w:firstLineChars="200"/>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ascii="宋体" w:hAnsi="宋体"/>
        </w:rPr>
      </w:pPr>
      <w:r>
        <w:rPr>
          <w:rFonts w:hint="eastAsia" w:ascii="宋体" w:hAnsi="宋体"/>
        </w:rPr>
        <w:t>7、我方完全理解贵中心不一定将合同授予最低报价的供应商。</w:t>
      </w:r>
    </w:p>
    <w:p>
      <w:pPr>
        <w:spacing w:line="360" w:lineRule="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spacing w:line="360" w:lineRule="auto"/>
        <w:rPr>
          <w:rFonts w:ascii="宋体" w:hAnsi="宋体"/>
          <w:u w:val="single"/>
        </w:rPr>
      </w:pPr>
      <w:r>
        <w:rPr>
          <w:rFonts w:ascii="宋体" w:hAnsi="宋体"/>
        </w:rPr>
        <w:t>单位地址及邮政编码：</w:t>
      </w:r>
      <w:r>
        <w:rPr>
          <w:rFonts w:hint="eastAsia" w:ascii="宋体" w:hAnsi="宋体"/>
          <w:u w:val="single"/>
        </w:rPr>
        <w:t xml:space="preserve">                                          </w:t>
      </w:r>
    </w:p>
    <w:p>
      <w:pPr>
        <w:spacing w:line="360" w:lineRule="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盖法定代表人签章）</w:t>
      </w:r>
    </w:p>
    <w:p>
      <w:pPr>
        <w:spacing w:line="360" w:lineRule="auto"/>
        <w:rPr>
          <w:rFonts w:ascii="宋体" w:hAnsi="宋体"/>
          <w:u w:val="single"/>
        </w:rPr>
      </w:pPr>
      <w:r>
        <w:rPr>
          <w:rFonts w:ascii="宋体" w:hAnsi="宋体"/>
        </w:rPr>
        <w:t>联系电话（传真）：</w:t>
      </w:r>
      <w:r>
        <w:rPr>
          <w:rFonts w:hint="eastAsia" w:ascii="宋体" w:hAnsi="宋体"/>
          <w:u w:val="single"/>
        </w:rPr>
        <w:t xml:space="preserve">                                              </w:t>
      </w:r>
    </w:p>
    <w:p>
      <w:pPr>
        <w:spacing w:line="360" w:lineRule="auto"/>
        <w:rPr>
          <w:rFonts w:ascii="宋体" w:hAnsi="宋体"/>
        </w:rPr>
      </w:pPr>
    </w:p>
    <w:p>
      <w:pPr>
        <w:spacing w:line="360" w:lineRule="auto"/>
        <w:rPr>
          <w:rFonts w:ascii="宋体" w:hAnsi="宋体"/>
        </w:rPr>
      </w:pPr>
      <w:r>
        <w:rPr>
          <w:rFonts w:hint="eastAsia" w:ascii="宋体" w:hAnsi="宋体"/>
        </w:rPr>
        <w:t xml:space="preserve">     </w:t>
      </w:r>
    </w:p>
    <w:p>
      <w:pPr>
        <w:spacing w:line="360" w:lineRule="auto"/>
        <w:rPr>
          <w:rFonts w:ascii="宋体" w:hAnsi="宋体"/>
        </w:rPr>
      </w:pPr>
      <w:r>
        <w:rPr>
          <w:rFonts w:ascii="宋体" w:hAnsi="宋体"/>
        </w:rPr>
        <w:t xml:space="preserve">                                                          年    月    日</w:t>
      </w:r>
    </w:p>
    <w:p>
      <w:pPr>
        <w:spacing w:line="360" w:lineRule="auto"/>
        <w:rPr>
          <w:rFonts w:ascii="宋体" w:hAnsi="宋体"/>
        </w:rPr>
      </w:pPr>
    </w:p>
    <w:p>
      <w:pPr>
        <w:widowControl/>
        <w:spacing w:line="360" w:lineRule="auto"/>
        <w:jc w:val="left"/>
        <w:rPr>
          <w:rFonts w:ascii="宋体" w:hAnsi="宋体"/>
        </w:rPr>
        <w:sectPr>
          <w:pgSz w:w="11907" w:h="16840"/>
          <w:pgMar w:top="1191" w:right="1191" w:bottom="1191" w:left="1191" w:header="851" w:footer="851" w:gutter="0"/>
          <w:cols w:space="720" w:num="1"/>
        </w:sectPr>
      </w:pPr>
    </w:p>
    <w:p>
      <w:pPr>
        <w:pStyle w:val="4"/>
      </w:pPr>
      <w:r>
        <w:rPr>
          <w:rFonts w:hint="eastAsia"/>
        </w:rPr>
        <w:t>二、开标一览表（格式）</w:t>
      </w:r>
    </w:p>
    <w:p>
      <w:pPr>
        <w:rPr>
          <w:rFonts w:ascii="宋体" w:hAnsi="宋体" w:cs="宋体"/>
          <w:b/>
          <w:szCs w:val="21"/>
        </w:rPr>
      </w:pPr>
    </w:p>
    <w:p>
      <w:pPr>
        <w:rPr>
          <w:rFonts w:ascii="宋体" w:hAnsi="宋体" w:cs="宋体"/>
          <w:b/>
          <w:szCs w:val="21"/>
        </w:rPr>
      </w:pPr>
    </w:p>
    <w:p>
      <w:pPr>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u w:val="single"/>
        </w:rPr>
        <w:t xml:space="preserve">          </w:t>
      </w:r>
    </w:p>
    <w:tbl>
      <w:tblPr>
        <w:tblStyle w:val="2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910" w:type="dxa"/>
            <w:tcBorders>
              <w:top w:val="doub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 xml:space="preserve">投标报价  </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人民币大写（元）:</w:t>
            </w:r>
          </w:p>
          <w:p>
            <w:pPr>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910" w:type="dxa"/>
            <w:tcBorders>
              <w:top w:val="single" w:color="auto" w:sz="4" w:space="0"/>
              <w:left w:val="double" w:color="auto" w:sz="4" w:space="0"/>
              <w:bottom w:val="doub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rPr>
                <w:rFonts w:ascii="宋体" w:hAnsi="宋体"/>
                <w:szCs w:val="18"/>
              </w:rPr>
            </w:pPr>
            <w:r>
              <w:rPr>
                <w:rFonts w:hint="eastAsia" w:ascii="宋体" w:hAnsi="宋体"/>
                <w:szCs w:val="18"/>
              </w:rPr>
              <w:t xml:space="preserve">    </w:t>
            </w:r>
          </w:p>
        </w:tc>
      </w:tr>
    </w:tbl>
    <w:p>
      <w:pPr>
        <w:autoSpaceDE w:val="0"/>
        <w:autoSpaceDN w:val="0"/>
        <w:adjustRightInd w:val="0"/>
        <w:jc w:val="left"/>
        <w:rPr>
          <w:rFonts w:ascii="宋体" w:hAnsi="宋体" w:cs="仿宋_GB2312"/>
          <w:b/>
          <w:kern w:val="0"/>
          <w:szCs w:val="21"/>
        </w:rPr>
      </w:pPr>
    </w:p>
    <w:p>
      <w:pPr>
        <w:autoSpaceDE w:val="0"/>
        <w:autoSpaceDN w:val="0"/>
        <w:adjustRightInd w:val="0"/>
        <w:jc w:val="left"/>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autoSpaceDE w:val="0"/>
        <w:autoSpaceDN w:val="0"/>
        <w:adjustRightInd w:val="0"/>
        <w:jc w:val="left"/>
        <w:rPr>
          <w:rFonts w:ascii="宋体" w:hAnsi="宋体" w:cs="仿宋_GB2312"/>
          <w:szCs w:val="21"/>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法定代表人（签字或印章）：          </w:t>
      </w:r>
    </w:p>
    <w:p>
      <w:pPr>
        <w:autoSpaceDE w:val="0"/>
        <w:autoSpaceDN w:val="0"/>
        <w:adjustRightInd w:val="0"/>
        <w:jc w:val="left"/>
        <w:rPr>
          <w:rFonts w:ascii="宋体" w:hAnsi="宋体"/>
          <w:szCs w:val="18"/>
        </w:rPr>
      </w:pPr>
      <w:r>
        <w:rPr>
          <w:rFonts w:hint="eastAsia" w:ascii="宋体" w:hAnsi="宋体"/>
          <w:szCs w:val="18"/>
        </w:rPr>
        <w:t xml:space="preserve">                                    </w:t>
      </w:r>
    </w:p>
    <w:p>
      <w:pPr>
        <w:autoSpaceDE w:val="0"/>
        <w:autoSpaceDN w:val="0"/>
        <w:adjustRightInd w:val="0"/>
        <w:ind w:firstLine="420" w:firstLineChars="200"/>
        <w:jc w:val="left"/>
        <w:rPr>
          <w:rFonts w:ascii="宋体" w:hAnsi="宋体"/>
          <w:szCs w:val="18"/>
        </w:rPr>
      </w:pPr>
      <w:r>
        <w:rPr>
          <w:rFonts w:hint="eastAsia" w:ascii="宋体" w:hAnsi="宋体"/>
          <w:szCs w:val="18"/>
        </w:rPr>
        <w:t xml:space="preserve">供应商(盖单位公章)：                 </w:t>
      </w:r>
    </w:p>
    <w:p>
      <w:pPr>
        <w:autoSpaceDE w:val="0"/>
        <w:autoSpaceDN w:val="0"/>
        <w:adjustRightInd w:val="0"/>
        <w:ind w:firstLine="840" w:firstLineChars="400"/>
        <w:jc w:val="left"/>
        <w:rPr>
          <w:rFonts w:ascii="宋体" w:hAnsi="宋体"/>
          <w:szCs w:val="18"/>
        </w:rPr>
      </w:pPr>
      <w:r>
        <w:rPr>
          <w:rFonts w:hint="eastAsia" w:ascii="宋体" w:hAnsi="宋体"/>
          <w:szCs w:val="18"/>
        </w:rPr>
        <w:t xml:space="preserve">                              </w:t>
      </w: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5670" w:firstLineChars="2700"/>
        <w:jc w:val="left"/>
        <w:rPr>
          <w:rFonts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三、投标分项报价表（格式）</w:t>
      </w:r>
    </w:p>
    <w:p>
      <w:pPr>
        <w:pageBreakBefore w:val="0"/>
        <w:kinsoku/>
        <w:wordWrap w:val="0"/>
        <w:overflowPunct/>
        <w:autoSpaceDE/>
        <w:autoSpaceDN/>
        <w:bidi w:val="0"/>
        <w:spacing w:line="360" w:lineRule="auto"/>
        <w:textAlignment w:val="auto"/>
        <w:rPr>
          <w:rFonts w:hint="default" w:ascii="Times New Roman" w:hAnsi="Times New Roman" w:cs="Times New Roman"/>
          <w:kern w:val="0"/>
          <w:sz w:val="36"/>
          <w:highlight w:val="none"/>
        </w:rPr>
      </w:pPr>
      <w:r>
        <w:rPr>
          <w:rFonts w:hint="default" w:ascii="Times New Roman" w:hAnsi="Times New Roman" w:cs="Times New Roman"/>
          <w:kern w:val="0"/>
          <w:szCs w:val="18"/>
          <w:highlight w:val="none"/>
        </w:rPr>
        <w:t>投标人名称：</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招标项目编号：</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tbl>
      <w:tblPr>
        <w:tblStyle w:val="24"/>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序</w:t>
            </w:r>
          </w:p>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号</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产品名称</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产品品牌及规格型号</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单位</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数量</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单价（元）</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金额（元）</w:t>
            </w:r>
          </w:p>
        </w:tc>
        <w:tc>
          <w:tcPr>
            <w:tcW w:w="102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1</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026" w:type="dxa"/>
            <w:vMerge w:val="restart"/>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合计</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r>
    </w:tbl>
    <w:p>
      <w:pPr>
        <w:pageBreakBefore w:val="0"/>
        <w:kinsoku/>
        <w:wordWrap w:val="0"/>
        <w:overflowPunct/>
        <w:autoSpaceDE/>
        <w:autoSpaceDN/>
        <w:bidi w:val="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u w:val="single"/>
        </w:rPr>
      </w:pPr>
      <w:r>
        <w:rPr>
          <w:rFonts w:hint="default" w:ascii="Times New Roman" w:hAnsi="Times New Roman" w:cs="Times New Roman"/>
          <w:kern w:val="0"/>
          <w:szCs w:val="21"/>
          <w:highlight w:val="none"/>
        </w:rPr>
        <w:t>投标人</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w:t>
      </w:r>
      <w:r>
        <w:rPr>
          <w:rFonts w:hint="default" w:ascii="Times New Roman" w:hAnsi="Times New Roman" w:cs="Times New Roman"/>
          <w:kern w:val="0"/>
          <w:szCs w:val="21"/>
          <w:highlight w:val="none"/>
          <w:lang w:val="en-US" w:eastAsia="zh-CN"/>
        </w:rPr>
        <w:t>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u w:val="single"/>
          <w:lang w:val="en-US" w:eastAsia="zh-CN"/>
        </w:rPr>
        <w:t xml:space="preserve">            </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u w:val="single"/>
        </w:rPr>
      </w:pPr>
      <w:r>
        <w:rPr>
          <w:rFonts w:hint="default" w:ascii="Times New Roman" w:hAnsi="Times New Roman" w:cs="Times New Roman"/>
          <w:kern w:val="0"/>
          <w:szCs w:val="21"/>
          <w:highlight w:val="none"/>
        </w:rPr>
        <w:t>法定代表人（</w:t>
      </w:r>
      <w:r>
        <w:rPr>
          <w:rFonts w:hint="default" w:ascii="Times New Roman" w:hAnsi="Times New Roman" w:cs="Times New Roman"/>
          <w:kern w:val="0"/>
          <w:szCs w:val="21"/>
          <w:highlight w:val="none"/>
          <w:lang w:val="en-US" w:eastAsia="zh-CN"/>
        </w:rPr>
        <w:t>签字或</w:t>
      </w:r>
      <w:r>
        <w:rPr>
          <w:rFonts w:hint="default" w:ascii="Times New Roman" w:hAnsi="Times New Roman" w:cs="Times New Roman"/>
          <w:kern w:val="0"/>
          <w:szCs w:val="21"/>
          <w:highlight w:val="none"/>
        </w:rPr>
        <w:t>盖</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r>
        <w:rPr>
          <w:rFonts w:hint="default" w:ascii="Times New Roman" w:hAnsi="Times New Roman" w:cs="Times New Roman"/>
          <w:kern w:val="0"/>
          <w:sz w:val="24"/>
          <w:szCs w:val="24"/>
          <w:highlight w:val="none"/>
        </w:rPr>
        <w:t xml:space="preserve"> </w:t>
      </w:r>
    </w:p>
    <w:p>
      <w:pPr>
        <w:pageBreakBefore w:val="0"/>
        <w:kinsoku/>
        <w:wordWrap w:val="0"/>
        <w:overflowPunct/>
        <w:autoSpaceDE/>
        <w:autoSpaceDN/>
        <w:bidi w:val="0"/>
        <w:spacing w:line="360" w:lineRule="exact"/>
        <w:ind w:left="420" w:hanging="420" w:hangingChars="20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注：1</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如果按单价计算的结果与总价不一致，以单价为准修正总价。</w:t>
      </w:r>
      <w:r>
        <w:rPr>
          <w:rFonts w:hint="default" w:ascii="Times New Roman" w:hAnsi="Times New Roman" w:cs="Times New Roman"/>
          <w:kern w:val="0"/>
          <w:highlight w:val="none"/>
        </w:rPr>
        <w:br w:type="textWrapping"/>
      </w:r>
      <w:r>
        <w:rPr>
          <w:rFonts w:hint="default" w:ascii="Times New Roman" w:hAnsi="Times New Roman" w:cs="Times New Roman"/>
          <w:kern w:val="0"/>
          <w:highlight w:val="none"/>
        </w:rPr>
        <w:t>2</w:t>
      </w:r>
      <w:r>
        <w:rPr>
          <w:rFonts w:hint="default" w:ascii="Times New Roman" w:hAnsi="Times New Roman" w:cs="Times New Roman"/>
          <w:kern w:val="0"/>
          <w:highlight w:val="none"/>
          <w:lang w:val="en-US" w:eastAsia="zh-CN"/>
        </w:rPr>
        <w:t>.</w:t>
      </w:r>
      <w:r>
        <w:rPr>
          <w:rFonts w:hint="default" w:ascii="Times New Roman" w:hAnsi="Times New Roman" w:cs="Times New Roman"/>
          <w:color w:val="FF0000"/>
          <w:kern w:val="0"/>
          <w:highlight w:val="none"/>
        </w:rPr>
        <w:t>如果不提供详细分项报价将视为没有实质性响应招标文件。</w:t>
      </w:r>
      <w:r>
        <w:rPr>
          <w:rFonts w:hint="default" w:ascii="Times New Roman" w:hAnsi="Times New Roman" w:cs="Times New Roman"/>
          <w:color w:val="FF0000"/>
          <w:kern w:val="0"/>
          <w:highlight w:val="none"/>
        </w:rPr>
        <w:br w:type="textWrapping"/>
      </w:r>
      <w:r>
        <w:rPr>
          <w:rFonts w:hint="default" w:ascii="Times New Roman" w:hAnsi="Times New Roman" w:cs="Times New Roman"/>
          <w:kern w:val="0"/>
          <w:highlight w:val="none"/>
        </w:rPr>
        <w:t>3</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上述单价为综合单价，应包含一切税费。</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4</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投标人根据项目实际填写，表中单项，项目招标要求不涉及的可留空或自行调整。</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kern w:val="0"/>
          <w:highlight w:val="none"/>
        </w:rPr>
        <w:sectPr>
          <w:headerReference r:id="rId3" w:type="default"/>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kern w:val="0"/>
          <w:highlight w:val="none"/>
        </w:rPr>
        <w:t>5</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表格不够可以自行加页；具体配置请投标人填写完全，没有填写完全的则按无此配置评标。</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kern w:val="0"/>
          <w:sz w:val="24"/>
          <w:szCs w:val="24"/>
          <w:highlight w:val="none"/>
          <w:u w:val="none"/>
          <w:lang w:val="en-US" w:eastAsia="zh-CN"/>
        </w:rPr>
      </w:pP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四、规格响应表（格式）</w:t>
      </w:r>
    </w:p>
    <w:p>
      <w:pPr>
        <w:pageBreakBefore w:val="0"/>
        <w:kinsoku/>
        <w:wordWrap w:val="0"/>
        <w:overflowPunct/>
        <w:autoSpaceDE/>
        <w:autoSpaceDN/>
        <w:bidi w:val="0"/>
        <w:spacing w:line="360" w:lineRule="auto"/>
        <w:textAlignment w:val="auto"/>
        <w:rPr>
          <w:rFonts w:hint="default" w:ascii="Times New Roman" w:hAnsi="Times New Roman" w:cs="Times New Roman"/>
          <w:kern w:val="0"/>
          <w:sz w:val="36"/>
          <w:highlight w:val="none"/>
        </w:rPr>
      </w:pPr>
      <w:r>
        <w:rPr>
          <w:rFonts w:hint="default" w:ascii="Times New Roman" w:hAnsi="Times New Roman" w:cs="Times New Roman"/>
          <w:kern w:val="0"/>
          <w:szCs w:val="18"/>
          <w:highlight w:val="none"/>
        </w:rPr>
        <w:t>投标人名称：</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招标项目编号：</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r>
        <w:rPr>
          <w:rFonts w:hint="default" w:ascii="Times New Roman" w:hAnsi="Times New Roman" w:cs="Times New Roman"/>
          <w:color w:val="FF0000"/>
          <w:kern w:val="0"/>
          <w:szCs w:val="18"/>
          <w:highlight w:val="none"/>
        </w:rPr>
        <w:t xml:space="preserve"> </w:t>
      </w:r>
      <w:r>
        <w:rPr>
          <w:rFonts w:hint="default" w:ascii="Times New Roman" w:hAnsi="Times New Roman" w:cs="Times New Roman"/>
          <w:kern w:val="0"/>
          <w:szCs w:val="18"/>
          <w:highlight w:val="none"/>
        </w:rPr>
        <w:t xml:space="preserve"> </w:t>
      </w:r>
    </w:p>
    <w:tbl>
      <w:tblPr>
        <w:tblStyle w:val="24"/>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321"/>
        <w:gridCol w:w="1322"/>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single" w:color="auto" w:sz="4" w:space="0"/>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序号</w:t>
            </w:r>
          </w:p>
        </w:tc>
        <w:tc>
          <w:tcPr>
            <w:tcW w:w="1321"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货物名称</w:t>
            </w:r>
          </w:p>
        </w:tc>
        <w:tc>
          <w:tcPr>
            <w:tcW w:w="1322"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eastAsiaTheme="minorEastAsia"/>
                <w:b/>
                <w:bCs/>
                <w:kern w:val="0"/>
                <w:highlight w:val="none"/>
                <w:lang w:val="en-US" w:eastAsia="zh-CN"/>
              </w:rPr>
            </w:pPr>
            <w:r>
              <w:rPr>
                <w:rFonts w:hint="eastAsia" w:ascii="Times New Roman" w:hAnsi="Times New Roman" w:cs="Times New Roman"/>
                <w:b/>
                <w:bCs/>
                <w:kern w:val="0"/>
                <w:highlight w:val="none"/>
                <w:lang w:val="en-US" w:eastAsia="zh-CN"/>
              </w:rPr>
              <w:t>品牌及型号</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color w:val="FF0000"/>
                <w:kern w:val="0"/>
                <w:highlight w:val="none"/>
              </w:rPr>
              <w:t>招标文件</w:t>
            </w:r>
            <w:r>
              <w:rPr>
                <w:rFonts w:hint="default" w:ascii="Times New Roman" w:hAnsi="Times New Roman" w:cs="Times New Roman"/>
                <w:b/>
                <w:bCs/>
                <w:kern w:val="0"/>
                <w:highlight w:val="none"/>
              </w:rPr>
              <w:t>要求部分</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FF0000"/>
                <w:kern w:val="0"/>
                <w:highlight w:val="none"/>
              </w:rPr>
            </w:pPr>
            <w:r>
              <w:rPr>
                <w:rFonts w:hint="default" w:ascii="Times New Roman" w:hAnsi="Times New Roman" w:cs="Times New Roman"/>
                <w:b/>
                <w:bCs/>
                <w:color w:val="FF0000"/>
                <w:kern w:val="0"/>
                <w:highlight w:val="none"/>
              </w:rPr>
              <w:t>投标文件响应部分</w:t>
            </w:r>
          </w:p>
        </w:tc>
        <w:tc>
          <w:tcPr>
            <w:tcW w:w="1494" w:type="dxa"/>
            <w:vMerge w:val="restart"/>
            <w:tcBorders>
              <w:top w:val="single" w:color="auto" w:sz="4" w:space="0"/>
              <w:righ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r>
              <w:rPr>
                <w:rFonts w:hint="default" w:ascii="Times New Roman" w:hAnsi="Times New Roman" w:cs="Times New Roman"/>
                <w:b/>
                <w:bCs/>
                <w:kern w:val="0"/>
                <w:highlight w:val="none"/>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25" w:type="dxa"/>
            <w:vMerge w:val="continue"/>
            <w:tcBorders>
              <w:lef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1321"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1322"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数量</w:t>
            </w: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数量</w:t>
            </w:r>
          </w:p>
        </w:tc>
        <w:tc>
          <w:tcPr>
            <w:tcW w:w="1494" w:type="dxa"/>
            <w:vMerge w:val="continue"/>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1</w:t>
            </w:r>
          </w:p>
        </w:tc>
        <w:tc>
          <w:tcPr>
            <w:tcW w:w="1321"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322"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3402"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701"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3402" w:type="dxa"/>
            <w:tcBorders>
              <w:bottom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701" w:type="dxa"/>
            <w:tcBorders>
              <w:bottom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494" w:type="dxa"/>
            <w:tcBorders>
              <w:bottom w:val="single" w:color="auto" w:sz="4" w:space="0"/>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r>
    </w:tbl>
    <w:p>
      <w:pPr>
        <w:pageBreakBefore w:val="0"/>
        <w:kinsoku/>
        <w:wordWrap w:val="0"/>
        <w:overflowPunct/>
        <w:autoSpaceDE/>
        <w:autoSpaceDN/>
        <w:bidi w:val="0"/>
        <w:spacing w:line="300" w:lineRule="auto"/>
        <w:jc w:val="center"/>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投标人</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u w:val="single"/>
          <w:lang w:val="en-US" w:eastAsia="zh-CN"/>
        </w:rPr>
        <w:t xml:space="preserve">        </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r>
        <w:rPr>
          <w:rFonts w:hint="default" w:ascii="Times New Roman" w:hAnsi="Times New Roman" w:cs="Times New Roman"/>
          <w:kern w:val="0"/>
          <w:szCs w:val="21"/>
          <w:highlight w:val="none"/>
        </w:rPr>
        <w:t>法定代表人（</w:t>
      </w:r>
      <w:r>
        <w:rPr>
          <w:rFonts w:hint="default" w:ascii="Times New Roman" w:hAnsi="Times New Roman" w:cs="Times New Roman"/>
          <w:kern w:val="0"/>
          <w:szCs w:val="21"/>
          <w:highlight w:val="none"/>
          <w:lang w:val="en-US" w:eastAsia="zh-CN"/>
        </w:rPr>
        <w:t>签字或</w:t>
      </w:r>
      <w:r>
        <w:rPr>
          <w:rFonts w:hint="default" w:ascii="Times New Roman" w:hAnsi="Times New Roman" w:cs="Times New Roman"/>
          <w:kern w:val="0"/>
          <w:szCs w:val="21"/>
          <w:highlight w:val="none"/>
        </w:rPr>
        <w:t>盖</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注：1、本表填写时，</w:t>
      </w:r>
      <w:r>
        <w:rPr>
          <w:rFonts w:hint="default" w:ascii="Times New Roman" w:hAnsi="Times New Roman" w:cs="Times New Roman"/>
          <w:b/>
          <w:bCs/>
          <w:kern w:val="0"/>
          <w:highlight w:val="none"/>
        </w:rPr>
        <w:t>投标货物技术参数与规格不得复制招标文件的技术参数要求</w:t>
      </w:r>
      <w:r>
        <w:rPr>
          <w:rFonts w:hint="default" w:ascii="Times New Roman" w:hAnsi="Times New Roman" w:cs="Times New Roman"/>
          <w:kern w:val="0"/>
          <w:highlight w:val="none"/>
        </w:rPr>
        <w:t>，应据实填写。</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eastAsiaTheme="minorEastAsia"/>
          <w:kern w:val="0"/>
          <w:highlight w:val="none"/>
          <w:lang w:val="en-US" w:eastAsia="zh-CN"/>
        </w:rPr>
        <w:sectPr>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kern w:val="0"/>
          <w:highlight w:val="none"/>
        </w:rPr>
        <w:t>2、投标人根据项目实际填写，表中单项，项目招标要求不涉及的可留空或自行调</w:t>
      </w:r>
      <w:r>
        <w:rPr>
          <w:rFonts w:hint="default" w:ascii="Times New Roman" w:hAnsi="Times New Roman" w:cs="Times New Roman"/>
          <w:kern w:val="0"/>
          <w:highlight w:val="none"/>
          <w:lang w:val="en-US" w:eastAsia="zh-CN"/>
        </w:rPr>
        <w:t>整。</w:t>
      </w:r>
    </w:p>
    <w:p>
      <w:pPr>
        <w:spacing w:line="360" w:lineRule="exact"/>
        <w:ind w:left="420" w:hanging="420" w:hangingChars="200"/>
      </w:pPr>
    </w:p>
    <w:p>
      <w:pPr>
        <w:pStyle w:val="4"/>
        <w:jc w:val="center"/>
      </w:pPr>
      <w:r>
        <w:rPr>
          <w:rFonts w:hint="eastAsia"/>
          <w:lang w:eastAsia="zh-CN"/>
        </w:rPr>
        <w:t>五</w:t>
      </w:r>
      <w:r>
        <w:rPr>
          <w:rFonts w:hint="eastAsia"/>
        </w:rPr>
        <w:t>、拟投入本项目的工作人员汇总表（格式）</w:t>
      </w:r>
    </w:p>
    <w:p>
      <w:pPr>
        <w:spacing w:line="360" w:lineRule="auto"/>
        <w:rPr>
          <w:rFonts w:ascii="宋体" w:hAnsi="宋体"/>
          <w:sz w:val="36"/>
        </w:rPr>
      </w:pPr>
      <w:r>
        <w:rPr>
          <w:rFonts w:hint="eastAsia" w:ascii="宋体" w:hAnsi="宋体"/>
          <w:szCs w:val="18"/>
        </w:rPr>
        <w:t xml:space="preserve">投标人名称：                          项目编号：                   </w:t>
      </w:r>
    </w:p>
    <w:tbl>
      <w:tblPr>
        <w:tblStyle w:val="24"/>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职务</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姓名</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出生年月</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文化程度</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资格证书（如有）</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专业技术职称</w:t>
            </w:r>
          </w:p>
          <w:p>
            <w:pPr>
              <w:jc w:val="center"/>
              <w:rPr>
                <w:rFonts w:ascii="宋体" w:hAnsi="宋体"/>
                <w:color w:val="0000FF"/>
                <w:szCs w:val="21"/>
              </w:rPr>
            </w:pPr>
            <w:r>
              <w:rPr>
                <w:rFonts w:hint="eastAsia" w:ascii="宋体" w:hAnsi="宋体"/>
                <w:color w:val="0000FF"/>
                <w:szCs w:val="21"/>
              </w:rPr>
              <w:t>（如有）</w:t>
            </w:r>
          </w:p>
          <w:p>
            <w:pPr>
              <w:jc w:val="center"/>
              <w:rPr>
                <w:rFonts w:ascii="宋体" w:hAnsi="宋体"/>
                <w:color w:val="0000FF"/>
                <w:szCs w:val="21"/>
              </w:rPr>
            </w:pPr>
            <w:r>
              <w:rPr>
                <w:rFonts w:hint="eastAsia" w:ascii="宋体" w:hAnsi="宋体"/>
                <w:color w:val="0000FF"/>
                <w:szCs w:val="21"/>
              </w:rPr>
              <w:t>9</w:t>
            </w: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r>
              <w:rPr>
                <w:rFonts w:hint="eastAsia" w:ascii="宋体" w:hAnsi="宋体"/>
                <w:color w:val="0000FF"/>
                <w:szCs w:val="21"/>
              </w:rPr>
              <w:t>9</w:t>
            </w: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从事该行业年限</w:t>
            </w: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从事专业</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bl>
    <w:p>
      <w:pPr>
        <w:jc w:val="center"/>
        <w:rPr>
          <w:rFonts w:ascii="宋体" w:hAnsi="宋体"/>
          <w:szCs w:val="21"/>
        </w:rPr>
      </w:pPr>
    </w:p>
    <w:p>
      <w:pPr>
        <w:spacing w:line="300" w:lineRule="auto"/>
        <w:rPr>
          <w:rFonts w:ascii="宋体" w:hAnsi="宋体"/>
          <w:szCs w:val="21"/>
        </w:rPr>
      </w:pPr>
      <w:r>
        <w:rPr>
          <w:rFonts w:hint="eastAsia" w:ascii="宋体" w:hAnsi="宋体"/>
          <w:szCs w:val="21"/>
        </w:rPr>
        <w:t>投标人(盖单位公章)</w:t>
      </w:r>
    </w:p>
    <w:p>
      <w:pPr>
        <w:spacing w:line="300" w:lineRule="auto"/>
        <w:rPr>
          <w:rFonts w:ascii="宋体" w:hAnsi="宋体"/>
          <w:szCs w:val="21"/>
        </w:rPr>
      </w:pPr>
    </w:p>
    <w:p>
      <w:pPr>
        <w:spacing w:line="300" w:lineRule="auto"/>
        <w:rPr>
          <w:rFonts w:ascii="宋体" w:hAnsi="宋体"/>
        </w:rPr>
      </w:pPr>
      <w:r>
        <w:rPr>
          <w:rFonts w:hint="eastAsia" w:ascii="宋体" w:hAnsi="宋体"/>
          <w:szCs w:val="21"/>
        </w:rPr>
        <w:t>法定代表人（签字或印章）</w:t>
      </w:r>
    </w:p>
    <w:p>
      <w:pPr>
        <w:spacing w:line="360" w:lineRule="auto"/>
        <w:rPr>
          <w:rFonts w:ascii="宋体" w:hAnsi="宋体"/>
        </w:rPr>
      </w:pPr>
    </w:p>
    <w:p>
      <w:pPr>
        <w:spacing w:line="360" w:lineRule="exact"/>
        <w:ind w:firstLine="411" w:firstLineChars="196"/>
        <w:rPr>
          <w:rFonts w:ascii="宋体" w:hAnsi="宋体"/>
        </w:rPr>
      </w:pPr>
      <w:r>
        <w:rPr>
          <w:rFonts w:hint="eastAsia" w:ascii="宋体" w:hAnsi="宋体"/>
        </w:rPr>
        <w:t>注：1、投标人根据项目实际填写，表中单项，项目招标要求不涉及的可留空或自行调整。</w:t>
      </w:r>
    </w:p>
    <w:p>
      <w:pPr>
        <w:spacing w:line="360" w:lineRule="exact"/>
        <w:ind w:firstLine="831" w:firstLineChars="396"/>
        <w:rPr>
          <w:rFonts w:ascii="宋体" w:hAnsi="宋体"/>
        </w:rPr>
        <w:sectPr>
          <w:pgSz w:w="16840" w:h="11907" w:orient="landscape"/>
          <w:pgMar w:top="1191" w:right="1191" w:bottom="1191" w:left="1191" w:header="851" w:footer="851" w:gutter="0"/>
          <w:cols w:space="720" w:num="1"/>
        </w:sectPr>
      </w:pPr>
      <w:r>
        <w:rPr>
          <w:rFonts w:hint="eastAsia" w:ascii="宋体" w:hAnsi="宋体"/>
        </w:rPr>
        <w:t>2、表格不够可以自行加页；具体配置请投标人填写完全，没有填写完全的则按无此配置评标</w:t>
      </w:r>
    </w:p>
    <w:p>
      <w:pPr>
        <w:pStyle w:val="4"/>
        <w:jc w:val="center"/>
      </w:pPr>
      <w:r>
        <w:rPr>
          <w:rFonts w:hint="eastAsia"/>
          <w:lang w:eastAsia="zh-CN"/>
        </w:rPr>
        <w:t>六</w:t>
      </w:r>
      <w:r>
        <w:rPr>
          <w:rFonts w:hint="eastAsia"/>
        </w:rPr>
        <w:t>、投标人主要业绩一览表（格式）</w:t>
      </w:r>
    </w:p>
    <w:p>
      <w:pPr>
        <w:spacing w:line="360" w:lineRule="auto"/>
        <w:ind w:firstLine="315" w:firstLineChars="150"/>
        <w:rPr>
          <w:rFonts w:ascii="仿宋_GB2312" w:eastAsia="仿宋_GB2312"/>
          <w:sz w:val="24"/>
          <w:szCs w:val="24"/>
        </w:rPr>
      </w:pPr>
      <w:r>
        <w:rPr>
          <w:rFonts w:hint="eastAsia" w:ascii="宋体" w:hAnsi="宋体"/>
          <w:szCs w:val="18"/>
        </w:rPr>
        <w:t xml:space="preserve">投标人名称：                     招标项目编号：                  </w:t>
      </w:r>
    </w:p>
    <w:tbl>
      <w:tblPr>
        <w:tblStyle w:val="24"/>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3425"/>
        <w:gridCol w:w="2622"/>
        <w:gridCol w:w="2340"/>
        <w:gridCol w:w="1836"/>
        <w:gridCol w:w="1755"/>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序号</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委托单位</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合同签订时间</w:t>
            </w: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项目所在地   （XX省XX市）</w:t>
            </w: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中标金额    （万元）</w:t>
            </w: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1</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2</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3</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bl>
    <w:p>
      <w:pPr>
        <w:spacing w:line="300" w:lineRule="auto"/>
        <w:rPr>
          <w:rFonts w:ascii="仿宋_GB2312" w:hAnsi="宋体" w:eastAsia="仿宋_GB2312"/>
          <w:sz w:val="24"/>
          <w:szCs w:val="24"/>
        </w:rPr>
      </w:pPr>
    </w:p>
    <w:p>
      <w:pPr>
        <w:spacing w:line="300" w:lineRule="auto"/>
        <w:rPr>
          <w:rFonts w:ascii="宋体" w:hAnsi="宋体"/>
          <w:szCs w:val="21"/>
        </w:rPr>
      </w:pPr>
      <w:r>
        <w:rPr>
          <w:rFonts w:hint="eastAsia" w:ascii="宋体" w:hAnsi="宋体"/>
          <w:szCs w:val="21"/>
        </w:rPr>
        <w:t>投标人(盖单位公</w:t>
      </w:r>
      <w:r>
        <w:rPr>
          <w:rFonts w:hint="eastAsia" w:ascii="Times New Roman" w:hAnsi="Times New Roman"/>
        </w:rPr>
        <w:t>章</w:t>
      </w:r>
      <w:r>
        <w:rPr>
          <w:rFonts w:hint="eastAsia" w:ascii="宋体" w:hAnsi="宋体"/>
          <w:szCs w:val="21"/>
        </w:rPr>
        <w:t>)</w:t>
      </w:r>
    </w:p>
    <w:p>
      <w:pPr>
        <w:spacing w:line="300" w:lineRule="auto"/>
        <w:rPr>
          <w:rFonts w:ascii="宋体" w:hAnsi="宋体"/>
          <w:szCs w:val="21"/>
        </w:rPr>
      </w:pPr>
    </w:p>
    <w:p>
      <w:pPr>
        <w:spacing w:line="300" w:lineRule="auto"/>
        <w:rPr>
          <w:rFonts w:ascii="宋体" w:hAnsi="宋体"/>
          <w:szCs w:val="21"/>
        </w:rPr>
      </w:pPr>
      <w:r>
        <w:rPr>
          <w:rFonts w:hint="eastAsia" w:ascii="宋体" w:hAnsi="宋体"/>
          <w:szCs w:val="21"/>
        </w:rPr>
        <w:t>法定代表人（签字或盖章）</w:t>
      </w:r>
    </w:p>
    <w:p>
      <w:pPr>
        <w:rPr>
          <w:rFonts w:ascii="宋体" w:hAnsi="宋体"/>
        </w:rPr>
      </w:pPr>
    </w:p>
    <w:p>
      <w:pPr>
        <w:rPr>
          <w:rFonts w:ascii="宋体" w:hAnsi="宋体"/>
        </w:rPr>
      </w:pPr>
    </w:p>
    <w:p>
      <w:pPr>
        <w:rPr>
          <w:rFonts w:ascii="宋体" w:hAnsi="宋体"/>
          <w:color w:val="0000FF"/>
        </w:rPr>
      </w:pPr>
      <w:r>
        <w:rPr>
          <w:rFonts w:hint="eastAsia" w:ascii="宋体" w:hAnsi="宋体"/>
        </w:rPr>
        <w:t>注：1、</w:t>
      </w:r>
      <w:r>
        <w:rPr>
          <w:rFonts w:hint="eastAsia" w:ascii="宋体" w:hAnsi="宋体"/>
          <w:color w:val="0000FF"/>
        </w:rPr>
        <w:t>提供证明投标人业绩的合同等相关资料。</w:t>
      </w:r>
    </w:p>
    <w:p>
      <w:pPr>
        <w:ind w:firstLine="420" w:firstLineChars="200"/>
        <w:rPr>
          <w:rFonts w:ascii="宋体" w:hAnsi="宋体"/>
        </w:rPr>
      </w:pPr>
      <w:r>
        <w:rPr>
          <w:rFonts w:hint="eastAsia" w:ascii="宋体" w:hAnsi="宋体"/>
        </w:rPr>
        <w:t>2、投标人根据项目实际填写，表中单项，项目招标要求不涉及的可留空或自行调整。</w:t>
      </w:r>
    </w:p>
    <w:p>
      <w:pPr>
        <w:ind w:firstLine="420" w:firstLineChars="200"/>
        <w:rPr>
          <w:rFonts w:ascii="宋体" w:hAnsi="宋体"/>
        </w:rPr>
        <w:sectPr>
          <w:pgSz w:w="16840" w:h="11907" w:orient="landscape"/>
          <w:pgMar w:top="1191" w:right="1191" w:bottom="1191" w:left="1191" w:header="851" w:footer="851" w:gutter="0"/>
          <w:cols w:space="720" w:num="1"/>
        </w:sectPr>
      </w:pPr>
      <w:r>
        <w:rPr>
          <w:rFonts w:hint="eastAsia" w:ascii="宋体" w:hAnsi="宋体"/>
        </w:rPr>
        <w:t>3、表格不够可以自行加页；具体配置请投标人填写完全，没有填写完全的则按无此配置评标</w:t>
      </w:r>
    </w:p>
    <w:p>
      <w:pPr>
        <w:rPr>
          <w:rFonts w:hint="eastAsia"/>
          <w:lang w:eastAsia="zh-CN"/>
        </w:rPr>
      </w:pPr>
    </w:p>
    <w:p>
      <w:pPr>
        <w:rPr>
          <w:rFonts w:hint="eastAsia"/>
          <w:lang w:eastAsia="zh-CN"/>
        </w:rPr>
      </w:pPr>
    </w:p>
    <w:p>
      <w:pPr>
        <w:pStyle w:val="4"/>
        <w:pageBreakBefore w:val="0"/>
        <w:kinsoku/>
        <w:wordWrap w:val="0"/>
        <w:overflowPunct/>
        <w:autoSpaceDE/>
        <w:autoSpaceDN/>
        <w:bidi w:val="0"/>
        <w:textAlignment w:val="auto"/>
        <w:rPr>
          <w:rFonts w:hint="default" w:ascii="Times New Roman" w:hAnsi="Times New Roman" w:cs="Times New Roman"/>
          <w:b w:val="0"/>
          <w:kern w:val="0"/>
          <w:highlight w:val="none"/>
        </w:rPr>
      </w:pPr>
      <w:r>
        <w:rPr>
          <w:rFonts w:hint="eastAsia" w:ascii="Times New Roman" w:hAnsi="Times New Roman" w:cs="Times New Roman"/>
          <w:kern w:val="0"/>
          <w:highlight w:val="none"/>
          <w:lang w:eastAsia="zh-CN"/>
        </w:rPr>
        <w:t>七</w:t>
      </w:r>
      <w:r>
        <w:rPr>
          <w:rFonts w:hint="default" w:ascii="Times New Roman" w:hAnsi="Times New Roman" w:cs="Times New Roman"/>
          <w:kern w:val="0"/>
          <w:highlight w:val="none"/>
        </w:rPr>
        <w:t>、投标人关于产品质量和售后服务方面的承诺</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r>
        <w:rPr>
          <w:rFonts w:hint="default" w:ascii="Times New Roman" w:hAnsi="Times New Roman" w:cs="Times New Roman"/>
          <w:kern w:val="0"/>
          <w:szCs w:val="18"/>
          <w:highlight w:val="none"/>
        </w:rPr>
        <w:t>如：产品质量、保修范围、保修期长短及服务、保修期满后的服务、</w:t>
      </w:r>
      <w:r>
        <w:rPr>
          <w:rFonts w:hint="eastAsia" w:ascii="Times New Roman" w:hAnsi="Times New Roman" w:cs="Times New Roman"/>
          <w:kern w:val="0"/>
          <w:szCs w:val="18"/>
          <w:highlight w:val="none"/>
          <w:lang w:eastAsia="zh-CN"/>
        </w:rPr>
        <w:t>培训计划</w:t>
      </w:r>
      <w:r>
        <w:rPr>
          <w:rFonts w:hint="default" w:ascii="Times New Roman" w:hAnsi="Times New Roman" w:cs="Times New Roman"/>
          <w:kern w:val="0"/>
          <w:szCs w:val="18"/>
          <w:highlight w:val="none"/>
        </w:rPr>
        <w:t>等。投标人须提供盖单位公章</w:t>
      </w:r>
      <w:r>
        <w:rPr>
          <w:rFonts w:hint="default" w:ascii="Times New Roman" w:hAnsi="Times New Roman" w:cs="Times New Roman"/>
          <w:b w:val="0"/>
          <w:bCs w:val="0"/>
          <w:kern w:val="0"/>
          <w:szCs w:val="18"/>
          <w:highlight w:val="none"/>
        </w:rPr>
        <w:t>的</w:t>
      </w:r>
      <w:r>
        <w:rPr>
          <w:rFonts w:hint="default" w:ascii="Times New Roman" w:hAnsi="Times New Roman" w:cs="Times New Roman"/>
          <w:b/>
          <w:bCs/>
          <w:kern w:val="0"/>
          <w:szCs w:val="18"/>
          <w:highlight w:val="none"/>
        </w:rPr>
        <w:t>产品质量承诺和售后服务承诺</w:t>
      </w:r>
      <w:r>
        <w:rPr>
          <w:rFonts w:hint="default" w:ascii="Times New Roman" w:hAnsi="Times New Roman" w:cs="Times New Roman"/>
          <w:b/>
          <w:bCs/>
          <w:kern w:val="0"/>
          <w:highlight w:val="none"/>
        </w:rPr>
        <w:t>。</w:t>
      </w:r>
    </w:p>
    <w:p>
      <w:pPr>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pPr>
      <w:r>
        <w:rPr>
          <w:rFonts w:hint="eastAsia"/>
          <w:lang w:eastAsia="zh-CN"/>
        </w:rPr>
        <w:t>八</w:t>
      </w:r>
      <w:r>
        <w:rPr>
          <w:rFonts w:hint="eastAsia"/>
        </w:rPr>
        <w:t>、</w:t>
      </w:r>
      <w:r>
        <w:rPr>
          <w:rFonts w:hint="default" w:ascii="Times New Roman" w:hAnsi="Times New Roman" w:cs="Times New Roman"/>
          <w:kern w:val="0"/>
          <w:highlight w:val="none"/>
        </w:rPr>
        <w:t>货物服务技术方案</w:t>
      </w:r>
      <w:r>
        <w:rPr>
          <w:rFonts w:hint="eastAsia"/>
        </w:rPr>
        <w:t>（格式）</w:t>
      </w:r>
    </w:p>
    <w:p>
      <w:pPr>
        <w:jc w:val="center"/>
        <w:rPr>
          <w:rFonts w:ascii="Times New Roman" w:hAnsi="Times New Roman"/>
          <w:b/>
          <w:sz w:val="32"/>
          <w:szCs w:val="20"/>
        </w:rPr>
      </w:pPr>
      <w:r>
        <w:rPr>
          <w:rFonts w:hint="eastAsia" w:ascii="Times New Roman" w:hAnsi="Times New Roman"/>
          <w:b/>
          <w:sz w:val="32"/>
          <w:szCs w:val="20"/>
        </w:rPr>
        <w:t>（投标人根据本项目</w:t>
      </w:r>
      <w:r>
        <w:rPr>
          <w:rFonts w:hint="eastAsia" w:ascii="Times New Roman" w:hAnsi="Times New Roman"/>
          <w:b/>
          <w:sz w:val="32"/>
          <w:szCs w:val="20"/>
          <w:lang w:eastAsia="zh-CN"/>
        </w:rPr>
        <w:t>招标</w:t>
      </w:r>
      <w:r>
        <w:rPr>
          <w:rFonts w:hint="eastAsia" w:ascii="Times New Roman" w:hAnsi="Times New Roman"/>
          <w:b/>
          <w:sz w:val="32"/>
          <w:szCs w:val="20"/>
        </w:rPr>
        <w:t>需求和企业实际情况自行编写）</w:t>
      </w:r>
    </w:p>
    <w:p>
      <w:pPr>
        <w:spacing w:line="360" w:lineRule="exact"/>
        <w:ind w:left="420" w:hanging="420" w:hangingChars="200"/>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widowControl/>
        <w:jc w:val="left"/>
        <w:rPr>
          <w:rFonts w:ascii="宋体" w:hAnsi="宋体"/>
          <w:szCs w:val="18"/>
        </w:rPr>
        <w:sectPr>
          <w:pgSz w:w="11907" w:h="16840"/>
          <w:pgMar w:top="1191" w:right="1191" w:bottom="1191" w:left="1191" w:header="851" w:footer="851" w:gutter="0"/>
          <w:cols w:space="720" w:num="1"/>
        </w:sectPr>
      </w:pPr>
    </w:p>
    <w:p>
      <w:pPr>
        <w:pStyle w:val="4"/>
        <w:jc w:val="center"/>
      </w:pPr>
      <w:r>
        <w:rPr>
          <w:rFonts w:hint="eastAsia"/>
          <w:lang w:eastAsia="zh-CN"/>
        </w:rPr>
        <w:t>九</w:t>
      </w:r>
      <w:r>
        <w:rPr>
          <w:rFonts w:hint="eastAsia"/>
        </w:rPr>
        <w:t>、资格证明及有关材料</w:t>
      </w:r>
    </w:p>
    <w:p>
      <w:pPr>
        <w:snapToGrid w:val="0"/>
        <w:spacing w:line="480" w:lineRule="auto"/>
        <w:rPr>
          <w:rFonts w:ascii="宋体" w:hAnsi="宋体"/>
          <w:szCs w:val="21"/>
          <w:highlight w:val="yellow"/>
        </w:rPr>
      </w:pPr>
      <w:r>
        <w:rPr>
          <w:rFonts w:hint="eastAsia" w:ascii="宋体" w:hAnsi="宋体"/>
          <w:szCs w:val="21"/>
          <w:highlight w:val="yellow"/>
        </w:rPr>
        <w:t>1、营业执照</w:t>
      </w:r>
    </w:p>
    <w:p>
      <w:pPr>
        <w:snapToGrid w:val="0"/>
        <w:spacing w:line="480" w:lineRule="auto"/>
        <w:rPr>
          <w:rFonts w:hint="eastAsia" w:ascii="宋体" w:hAns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hAnsi="宋体"/>
          <w:szCs w:val="21"/>
          <w:highlight w:val="yellow"/>
        </w:rPr>
      </w:pPr>
      <w:r>
        <w:rPr>
          <w:rFonts w:hint="eastAsia" w:ascii="宋体" w:hAnsi="宋体"/>
          <w:szCs w:val="21"/>
          <w:highlight w:val="yellow"/>
          <w:lang w:val="en-US" w:eastAsia="zh-CN"/>
        </w:rPr>
        <w:t>3</w:t>
      </w:r>
      <w:r>
        <w:rPr>
          <w:rFonts w:hint="eastAsia" w:ascii="宋体" w:hAnsi="宋体"/>
          <w:szCs w:val="21"/>
          <w:highlight w:val="yellow"/>
        </w:rPr>
        <w:t>、社会保障资金证明材料</w:t>
      </w:r>
    </w:p>
    <w:p>
      <w:pPr>
        <w:snapToGrid w:val="0"/>
        <w:spacing w:line="480" w:lineRule="auto"/>
        <w:rPr>
          <w:rFonts w:ascii="宋体" w:hAnsi="宋体"/>
          <w:szCs w:val="21"/>
          <w:highlight w:val="yellow"/>
        </w:rPr>
      </w:pPr>
      <w:r>
        <w:rPr>
          <w:rFonts w:hint="eastAsia" w:ascii="宋体" w:hAnsi="宋体"/>
          <w:szCs w:val="21"/>
          <w:highlight w:val="yellow"/>
          <w:lang w:val="en-US" w:eastAsia="zh-CN"/>
        </w:rPr>
        <w:t>4</w:t>
      </w:r>
      <w:r>
        <w:rPr>
          <w:rFonts w:hint="eastAsia" w:ascii="宋体" w:hAnsi="宋体"/>
          <w:szCs w:val="21"/>
          <w:highlight w:val="yellow"/>
        </w:rPr>
        <w:t>、专业技术能力材料（格式</w:t>
      </w:r>
      <w:r>
        <w:rPr>
          <w:rFonts w:hint="eastAsia" w:ascii="宋体" w:hAnsi="宋体"/>
          <w:szCs w:val="21"/>
          <w:highlight w:val="yellow"/>
          <w:lang w:eastAsia="zh-CN"/>
        </w:rPr>
        <w:t>自拟</w:t>
      </w:r>
      <w:r>
        <w:rPr>
          <w:rFonts w:hint="eastAsia" w:ascii="宋体" w:hAnsi="宋体"/>
          <w:szCs w:val="21"/>
          <w:highlight w:val="yellow"/>
        </w:rPr>
        <w:t>）</w:t>
      </w:r>
    </w:p>
    <w:p>
      <w:pPr>
        <w:snapToGrid w:val="0"/>
        <w:spacing w:line="480" w:lineRule="auto"/>
        <w:rPr>
          <w:rFonts w:ascii="宋体" w:hAnsi="宋体"/>
          <w:szCs w:val="21"/>
          <w:highlight w:val="yellow"/>
        </w:rPr>
      </w:pPr>
      <w:r>
        <w:rPr>
          <w:rFonts w:hint="eastAsia" w:ascii="宋体" w:hAnsi="宋体"/>
          <w:szCs w:val="21"/>
          <w:highlight w:val="yellow"/>
          <w:lang w:val="en-US" w:eastAsia="zh-CN"/>
        </w:rPr>
        <w:t>5</w:t>
      </w:r>
      <w:r>
        <w:rPr>
          <w:rFonts w:hint="eastAsia" w:ascii="宋体" w:hAnsi="宋体"/>
          <w:szCs w:val="21"/>
          <w:highlight w:val="yellow"/>
        </w:rPr>
        <w:t>、无重大违法记录声明函（格式附后）</w:t>
      </w:r>
    </w:p>
    <w:p>
      <w:pPr>
        <w:snapToGrid w:val="0"/>
        <w:spacing w:line="480" w:lineRule="auto"/>
        <w:rPr>
          <w:rFonts w:ascii="宋体" w:hAnsi="宋体"/>
          <w:szCs w:val="21"/>
          <w:highlight w:val="yellow"/>
        </w:rPr>
      </w:pPr>
      <w:r>
        <w:rPr>
          <w:rFonts w:hint="eastAsia" w:ascii="宋体" w:hAnsi="宋体"/>
          <w:szCs w:val="21"/>
          <w:highlight w:val="yellow"/>
          <w:lang w:val="en-US" w:eastAsia="zh-CN"/>
        </w:rPr>
        <w:t>6</w:t>
      </w:r>
      <w:r>
        <w:rPr>
          <w:rFonts w:hint="eastAsia" w:ascii="宋体" w:hAnsi="宋体"/>
          <w:szCs w:val="21"/>
          <w:highlight w:val="yellow"/>
        </w:rPr>
        <w:t>、法定代表人身份证明书、法定代表人授权书（格式附后）</w:t>
      </w:r>
    </w:p>
    <w:p>
      <w:pPr>
        <w:snapToGrid w:val="0"/>
        <w:spacing w:line="480" w:lineRule="auto"/>
        <w:rPr>
          <w:rFonts w:ascii="宋体" w:hAnsi="宋体"/>
          <w:szCs w:val="21"/>
          <w:highlight w:val="yellow"/>
        </w:rPr>
      </w:pPr>
      <w:r>
        <w:rPr>
          <w:rFonts w:hint="eastAsia" w:ascii="宋体" w:hAnsi="宋体"/>
          <w:szCs w:val="21"/>
          <w:highlight w:val="yellow"/>
          <w:lang w:val="en-US" w:eastAsia="zh-CN"/>
        </w:rPr>
        <w:t>7</w:t>
      </w:r>
      <w:r>
        <w:rPr>
          <w:rFonts w:hint="eastAsia" w:ascii="宋体" w:hAnsi="宋体"/>
          <w:szCs w:val="21"/>
          <w:highlight w:val="yellow"/>
        </w:rPr>
        <w:t>、投标保证金有关证明材料（格式附后）</w:t>
      </w:r>
    </w:p>
    <w:p>
      <w:pPr>
        <w:snapToGrid w:val="0"/>
        <w:spacing w:line="480" w:lineRule="auto"/>
        <w:rPr>
          <w:rFonts w:ascii="宋体" w:hAnsi="宋体"/>
          <w:szCs w:val="21"/>
          <w:highlight w:val="yellow"/>
        </w:rPr>
      </w:pPr>
      <w:r>
        <w:rPr>
          <w:rFonts w:hint="eastAsia" w:ascii="宋体" w:hAnsi="宋体"/>
          <w:szCs w:val="21"/>
          <w:highlight w:val="yellow"/>
          <w:lang w:val="en-US" w:eastAsia="zh-CN"/>
        </w:rPr>
        <w:t>8</w:t>
      </w:r>
      <w:r>
        <w:rPr>
          <w:rFonts w:hint="eastAsia" w:ascii="宋体" w:hAnsi="宋体"/>
          <w:szCs w:val="21"/>
          <w:highlight w:val="yellow"/>
        </w:rPr>
        <w:t>、其他资格要求（按招标公告要求提供）</w:t>
      </w:r>
    </w:p>
    <w:p>
      <w:pPr>
        <w:snapToGrid w:val="0"/>
        <w:spacing w:line="480" w:lineRule="auto"/>
        <w:rPr>
          <w:rFonts w:ascii="宋体" w:hAnsi="宋体"/>
          <w:szCs w:val="21"/>
          <w:highlight w:val="yellow"/>
        </w:rPr>
      </w:pPr>
      <w:r>
        <w:rPr>
          <w:rFonts w:hint="eastAsia" w:ascii="宋体" w:hAnsi="宋体"/>
          <w:szCs w:val="21"/>
          <w:highlight w:val="yellow"/>
          <w:lang w:val="en-US" w:eastAsia="zh-CN"/>
        </w:rPr>
        <w:t>9</w:t>
      </w:r>
      <w:r>
        <w:rPr>
          <w:rFonts w:hint="eastAsia" w:ascii="宋体" w:hAnsi="宋体"/>
          <w:szCs w:val="21"/>
          <w:highlight w:val="yellow"/>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ascii="宋体" w:hAnsi="宋体"/>
          <w:szCs w:val="21"/>
        </w:rPr>
      </w:pPr>
      <w:r>
        <w:rPr>
          <w:rFonts w:hint="eastAsia" w:ascii="宋体" w:hAnsi="宋体"/>
          <w:szCs w:val="21"/>
        </w:rPr>
        <w:t>格式1</w:t>
      </w:r>
    </w:p>
    <w:p>
      <w:pPr>
        <w:spacing w:line="360" w:lineRule="auto"/>
        <w:jc w:val="center"/>
        <w:rPr>
          <w:rFonts w:ascii="宋体" w:hAns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3"/>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24"/>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rPr>
          <w:rFonts w:ascii="宋体" w:hAnsi="宋体"/>
          <w:b/>
          <w:sz w:val="32"/>
          <w:szCs w:val="32"/>
        </w:rPr>
      </w:pPr>
      <w:r>
        <w:rPr>
          <w:rFonts w:hint="eastAsia" w:ascii="宋体" w:hAnsi="宋体"/>
        </w:rPr>
        <w:t>格式2</w:t>
      </w:r>
    </w:p>
    <w:p>
      <w:pPr>
        <w:spacing w:line="360" w:lineRule="auto"/>
        <w:jc w:val="center"/>
        <w:rPr>
          <w:rFonts w:ascii="宋体" w:hAns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4"/>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（签字或盖章）</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widowControl/>
        <w:spacing w:line="360" w:lineRule="auto"/>
        <w:jc w:val="left"/>
        <w:rPr>
          <w:rFonts w:ascii="宋体" w:hAnsi="宋体"/>
          <w:b/>
          <w:szCs w:val="21"/>
        </w:rPr>
      </w:pPr>
    </w:p>
    <w:p>
      <w:pPr>
        <w:spacing w:line="400" w:lineRule="exact"/>
        <w:rPr>
          <w:rFonts w:ascii="宋体" w:hAnsi="宋体"/>
          <w:b/>
          <w:bCs/>
          <w:sz w:val="32"/>
          <w:szCs w:val="32"/>
        </w:rPr>
      </w:pPr>
      <w:r>
        <w:rPr>
          <w:rFonts w:hint="eastAsia" w:ascii="宋体" w:hAnsi="宋体"/>
          <w:b/>
          <w:bCs/>
        </w:rPr>
        <w:t>格式3</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before="312" w:beforeLines="100" w:after="312" w:afterLines="100"/>
        <w:jc w:val="center"/>
        <w:rPr>
          <w:b/>
          <w:color w:val="000000"/>
          <w:sz w:val="30"/>
          <w:szCs w:val="30"/>
        </w:rPr>
      </w:pPr>
      <w:r>
        <w:rPr>
          <w:rFonts w:hint="eastAsia"/>
          <w:b/>
          <w:color w:val="000000"/>
          <w:sz w:val="30"/>
          <w:szCs w:val="30"/>
        </w:rPr>
        <w:t>保证金有关证明材料</w:t>
      </w:r>
    </w:p>
    <w:p>
      <w:pPr>
        <w:adjustRightInd w:val="0"/>
        <w:snapToGrid w:val="0"/>
        <w:spacing w:before="62" w:beforeLines="20" w:after="62" w:afterLines="20" w:line="540" w:lineRule="exact"/>
        <w:jc w:val="center"/>
        <w:rPr>
          <w:rFonts w:ascii="宋体" w:hAnsi="宋体"/>
          <w:b/>
          <w:color w:val="000000"/>
          <w:sz w:val="28"/>
          <w:szCs w:val="28"/>
        </w:rPr>
      </w:pPr>
    </w:p>
    <w:p>
      <w:pPr>
        <w:adjustRightInd w:val="0"/>
        <w:snapToGrid w:val="0"/>
        <w:spacing w:before="62" w:beforeLines="20" w:after="62"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widowControl/>
        <w:spacing w:line="360" w:lineRule="auto"/>
        <w:jc w:val="left"/>
        <w:rPr>
          <w:rFonts w:hint="eastAsia" w:ascii="宋体" w:hAnsi="宋体"/>
          <w:b/>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spacing w:line="360" w:lineRule="auto"/>
        <w:jc w:val="center"/>
        <w:rPr>
          <w:rFonts w:ascii="宋体" w:hAnsi="宋体"/>
          <w:b/>
          <w:sz w:val="32"/>
          <w:szCs w:val="32"/>
        </w:rPr>
      </w:pPr>
      <w:r>
        <w:rPr>
          <w:rFonts w:hint="eastAsia" w:ascii="宋体" w:hAnsi="宋体"/>
          <w:b/>
          <w:sz w:val="32"/>
          <w:szCs w:val="32"/>
          <w:highlight w:val="yellow"/>
        </w:rPr>
        <w:t>承诺</w:t>
      </w:r>
      <w:r>
        <w:rPr>
          <w:rFonts w:ascii="宋体" w:hAnsi="宋体"/>
          <w:b/>
          <w:sz w:val="32"/>
          <w:szCs w:val="32"/>
          <w:highlight w:val="yellow"/>
        </w:rPr>
        <w:t>书</w:t>
      </w:r>
      <w:r>
        <w:rPr>
          <w:rFonts w:hint="eastAsia" w:ascii="宋体" w:hAnsi="宋体"/>
          <w:b/>
          <w:sz w:val="32"/>
          <w:szCs w:val="32"/>
          <w:highlight w:val="yellow"/>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w:t>
      </w:r>
      <w:r>
        <w:rPr>
          <w:rFonts w:hint="eastAsia" w:ascii="宋体" w:hAnsi="宋体"/>
          <w:szCs w:val="21"/>
          <w:lang w:eastAsia="zh-CN"/>
        </w:rPr>
        <w:t>人</w:t>
      </w:r>
      <w:r>
        <w:rPr>
          <w:rFonts w:hint="eastAsia" w:ascii="宋体" w:hAnsi="宋体"/>
          <w:szCs w:val="21"/>
        </w:rPr>
        <w:t>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widowControl/>
        <w:spacing w:line="360" w:lineRule="auto"/>
        <w:jc w:val="left"/>
        <w:rPr>
          <w:rFonts w:hint="eastAsia" w:ascii="宋体" w:hAnsi="宋体"/>
          <w:b/>
          <w:szCs w:val="21"/>
        </w:rPr>
      </w:pPr>
    </w:p>
    <w:p>
      <w:pPr>
        <w:widowControl/>
        <w:spacing w:line="360" w:lineRule="auto"/>
        <w:jc w:val="left"/>
        <w:rPr>
          <w:rFonts w:hint="eastAsia" w:ascii="宋体" w:hAnsi="宋体"/>
          <w:b/>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5</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color w:val="0000FF"/>
          <w:szCs w:val="21"/>
        </w:rPr>
      </w:pPr>
      <w:r>
        <w:rPr>
          <w:rFonts w:hint="eastAsia" w:ascii="宋体" w:hAnsi="宋体"/>
          <w:b/>
          <w:color w:val="0000FF"/>
          <w:szCs w:val="21"/>
        </w:rPr>
        <w:t>我单位近三年（从   年   月至  年   月）无重大违法记录，特此声明。</w:t>
      </w:r>
    </w:p>
    <w:p>
      <w:pPr>
        <w:widowControl/>
        <w:spacing w:line="360" w:lineRule="auto"/>
        <w:ind w:firstLine="1050" w:firstLineChars="498"/>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jc w:val="center"/>
        <w:rPr>
          <w:rFonts w:ascii="宋体" w:hAnsi="宋体"/>
          <w:szCs w:val="21"/>
        </w:rPr>
      </w:pPr>
      <w:r>
        <w:rPr>
          <w:rFonts w:hint="eastAsia" w:ascii="宋体" w:hAnsi="宋体"/>
          <w:szCs w:val="21"/>
          <w:lang w:val="en-US" w:eastAsia="zh-CN"/>
        </w:rPr>
        <w:t xml:space="preserve">                                             </w:t>
      </w:r>
      <w:r>
        <w:rPr>
          <w:rFonts w:hint="eastAsia" w:ascii="宋体" w:hAnsi="宋体"/>
          <w:szCs w:val="21"/>
        </w:rPr>
        <w:t>投标</w:t>
      </w:r>
      <w:r>
        <w:rPr>
          <w:rFonts w:hint="eastAsia" w:ascii="宋体" w:hAnsi="宋体"/>
          <w:szCs w:val="21"/>
          <w:lang w:eastAsia="zh-CN"/>
        </w:rPr>
        <w:t>人</w:t>
      </w:r>
      <w:r>
        <w:rPr>
          <w:rFonts w:hint="eastAsia" w:ascii="宋体" w:hAnsi="宋体"/>
          <w:szCs w:val="21"/>
        </w:rPr>
        <w:t>名称(盖单位公</w:t>
      </w:r>
      <w:r>
        <w:rPr>
          <w:rFonts w:hint="eastAsia" w:ascii="Times New Roman" w:hAnsi="Times New Roman"/>
        </w:rPr>
        <w:t>章</w:t>
      </w:r>
      <w:r>
        <w:rPr>
          <w:rFonts w:hint="eastAsia" w:ascii="宋体" w:hAnsi="宋体"/>
          <w:szCs w:val="21"/>
        </w:rPr>
        <w:t>)：</w:t>
      </w:r>
    </w:p>
    <w:p>
      <w:pPr>
        <w:spacing w:line="360" w:lineRule="auto"/>
        <w:ind w:right="525" w:firstLine="4725" w:firstLineChars="2250"/>
        <w:jc w:val="right"/>
        <w:rPr>
          <w:rFonts w:ascii="宋体" w:hAnsi="宋体"/>
          <w:szCs w:val="21"/>
        </w:rPr>
      </w:pPr>
      <w:r>
        <w:rPr>
          <w:rFonts w:hint="eastAsia" w:ascii="宋体" w:hAnsi="宋体"/>
          <w:szCs w:val="21"/>
        </w:rPr>
        <w:t>日期：     年   月   日</w:t>
      </w:r>
    </w:p>
    <w:p>
      <w:pPr>
        <w:widowControl/>
        <w:spacing w:line="360" w:lineRule="auto"/>
        <w:jc w:val="left"/>
        <w:rPr>
          <w:rFonts w:ascii="宋体" w:hAns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lang w:eastAsia="zh-CN"/>
        </w:rPr>
        <w:t>十</w:t>
      </w:r>
      <w:r>
        <w:rPr>
          <w:rFonts w:hint="eastAsia"/>
          <w:highlight w:val="yellow"/>
        </w:rPr>
        <w:t>、其他资料</w:t>
      </w:r>
    </w:p>
    <w:p>
      <w:pPr>
        <w:widowControl/>
        <w:spacing w:line="360" w:lineRule="auto"/>
        <w:jc w:val="left"/>
        <w:rPr>
          <w:rFonts w:ascii="宋体" w:hAns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等线">
    <w:altName w:val="宋体"/>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宋体"/>
    <w:panose1 w:val="00000000000000000000"/>
    <w:charset w:val="86"/>
    <w:family w:val="auto"/>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32F41"/>
    <w:multiLevelType w:val="multilevel"/>
    <w:tmpl w:val="1E832F41"/>
    <w:lvl w:ilvl="0" w:tentative="0">
      <w:start w:val="1"/>
      <w:numFmt w:val="decimal"/>
      <w:pStyle w:val="88"/>
      <w:lvlText w:val="%1)"/>
      <w:lvlJc w:val="left"/>
      <w:pPr>
        <w:ind w:left="900" w:hanging="420"/>
      </w:pPr>
      <w:rPr>
        <w:rFonts w:cs="Times New Roman"/>
      </w:rPr>
    </w:lvl>
    <w:lvl w:ilvl="1" w:tentative="0">
      <w:start w:val="1"/>
      <w:numFmt w:val="lowerLetter"/>
      <w:lvlText w:val="%2)"/>
      <w:lvlJc w:val="left"/>
      <w:pPr>
        <w:ind w:left="1320" w:hanging="420"/>
      </w:pPr>
      <w:rPr>
        <w:rFonts w:cs="Times New Roman"/>
      </w:rPr>
    </w:lvl>
    <w:lvl w:ilvl="2" w:tentative="0">
      <w:start w:val="1"/>
      <w:numFmt w:val="lowerRoman"/>
      <w:lvlText w:val="%3."/>
      <w:lvlJc w:val="right"/>
      <w:pPr>
        <w:ind w:left="1740" w:hanging="420"/>
      </w:pPr>
      <w:rPr>
        <w:rFonts w:cs="Times New Roman"/>
      </w:rPr>
    </w:lvl>
    <w:lvl w:ilvl="3" w:tentative="0">
      <w:start w:val="1"/>
      <w:numFmt w:val="decimal"/>
      <w:lvlText w:val="%4."/>
      <w:lvlJc w:val="left"/>
      <w:pPr>
        <w:ind w:left="2160" w:hanging="420"/>
      </w:pPr>
      <w:rPr>
        <w:rFonts w:cs="Times New Roman"/>
      </w:rPr>
    </w:lvl>
    <w:lvl w:ilvl="4" w:tentative="0">
      <w:start w:val="1"/>
      <w:numFmt w:val="lowerLetter"/>
      <w:lvlText w:val="%5)"/>
      <w:lvlJc w:val="left"/>
      <w:pPr>
        <w:ind w:left="2580" w:hanging="420"/>
      </w:pPr>
      <w:rPr>
        <w:rFonts w:cs="Times New Roman"/>
      </w:rPr>
    </w:lvl>
    <w:lvl w:ilvl="5" w:tentative="0">
      <w:start w:val="1"/>
      <w:numFmt w:val="lowerRoman"/>
      <w:lvlText w:val="%6."/>
      <w:lvlJc w:val="right"/>
      <w:pPr>
        <w:ind w:left="3000" w:hanging="420"/>
      </w:pPr>
      <w:rPr>
        <w:rFonts w:cs="Times New Roman"/>
      </w:rPr>
    </w:lvl>
    <w:lvl w:ilvl="6" w:tentative="0">
      <w:start w:val="1"/>
      <w:numFmt w:val="decimal"/>
      <w:lvlText w:val="%7."/>
      <w:lvlJc w:val="left"/>
      <w:pPr>
        <w:ind w:left="3420" w:hanging="420"/>
      </w:pPr>
      <w:rPr>
        <w:rFonts w:cs="Times New Roman"/>
      </w:rPr>
    </w:lvl>
    <w:lvl w:ilvl="7" w:tentative="0">
      <w:start w:val="1"/>
      <w:numFmt w:val="lowerLetter"/>
      <w:lvlText w:val="%8)"/>
      <w:lvlJc w:val="left"/>
      <w:pPr>
        <w:ind w:left="3840" w:hanging="420"/>
      </w:pPr>
      <w:rPr>
        <w:rFonts w:cs="Times New Roman"/>
      </w:rPr>
    </w:lvl>
    <w:lvl w:ilvl="8" w:tentative="0">
      <w:start w:val="1"/>
      <w:numFmt w:val="lowerRoman"/>
      <w:lvlText w:val="%9."/>
      <w:lvlJc w:val="right"/>
      <w:pPr>
        <w:ind w:left="4260" w:hanging="420"/>
      </w:pPr>
      <w:rPr>
        <w:rFonts w:cs="Times New Roman"/>
      </w:rPr>
    </w:lvl>
  </w:abstractNum>
  <w:abstractNum w:abstractNumId="1">
    <w:nsid w:val="6C3339F6"/>
    <w:multiLevelType w:val="multilevel"/>
    <w:tmpl w:val="6C3339F6"/>
    <w:lvl w:ilvl="0" w:tentative="0">
      <w:start w:val="1"/>
      <w:numFmt w:val="lowerLetter"/>
      <w:lvlText w:val="%1."/>
      <w:lvlJc w:val="left"/>
      <w:pPr>
        <w:ind w:left="1260" w:hanging="420"/>
      </w:pPr>
      <w:rPr>
        <w:rFonts w:hint="default"/>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67"/>
    <w:rsid w:val="00015616"/>
    <w:rsid w:val="00040B57"/>
    <w:rsid w:val="00043BA7"/>
    <w:rsid w:val="00045E34"/>
    <w:rsid w:val="0009291E"/>
    <w:rsid w:val="000A416F"/>
    <w:rsid w:val="000F1DC7"/>
    <w:rsid w:val="00117DFC"/>
    <w:rsid w:val="001531DE"/>
    <w:rsid w:val="00162093"/>
    <w:rsid w:val="00162BE8"/>
    <w:rsid w:val="001A0FCF"/>
    <w:rsid w:val="001D3169"/>
    <w:rsid w:val="001D653D"/>
    <w:rsid w:val="00202C7A"/>
    <w:rsid w:val="003457F7"/>
    <w:rsid w:val="0034678A"/>
    <w:rsid w:val="003B39BF"/>
    <w:rsid w:val="003C3054"/>
    <w:rsid w:val="00483B92"/>
    <w:rsid w:val="004F0904"/>
    <w:rsid w:val="0053162C"/>
    <w:rsid w:val="00544445"/>
    <w:rsid w:val="005455BE"/>
    <w:rsid w:val="00583433"/>
    <w:rsid w:val="005E3D0B"/>
    <w:rsid w:val="005F5873"/>
    <w:rsid w:val="00607F62"/>
    <w:rsid w:val="0062559E"/>
    <w:rsid w:val="006374C1"/>
    <w:rsid w:val="006419E6"/>
    <w:rsid w:val="0067764E"/>
    <w:rsid w:val="006A3688"/>
    <w:rsid w:val="00700A26"/>
    <w:rsid w:val="00774ECC"/>
    <w:rsid w:val="00790030"/>
    <w:rsid w:val="007A7EDD"/>
    <w:rsid w:val="007C4E06"/>
    <w:rsid w:val="00800F45"/>
    <w:rsid w:val="00804D82"/>
    <w:rsid w:val="00813905"/>
    <w:rsid w:val="00821F2D"/>
    <w:rsid w:val="00826AC2"/>
    <w:rsid w:val="00841AB1"/>
    <w:rsid w:val="008B20FF"/>
    <w:rsid w:val="008F1296"/>
    <w:rsid w:val="00906A63"/>
    <w:rsid w:val="0091284E"/>
    <w:rsid w:val="009665A2"/>
    <w:rsid w:val="0097730C"/>
    <w:rsid w:val="009815C5"/>
    <w:rsid w:val="0098198B"/>
    <w:rsid w:val="00984167"/>
    <w:rsid w:val="009A2F00"/>
    <w:rsid w:val="00A35796"/>
    <w:rsid w:val="00AC6422"/>
    <w:rsid w:val="00AE28D4"/>
    <w:rsid w:val="00BD2876"/>
    <w:rsid w:val="00CA14B2"/>
    <w:rsid w:val="00CE7396"/>
    <w:rsid w:val="00DC0AA1"/>
    <w:rsid w:val="00DE0BF4"/>
    <w:rsid w:val="00E95685"/>
    <w:rsid w:val="00ED3B67"/>
    <w:rsid w:val="00ED68BE"/>
    <w:rsid w:val="00F10591"/>
    <w:rsid w:val="00F30EFA"/>
    <w:rsid w:val="00F40777"/>
    <w:rsid w:val="00F83EF9"/>
    <w:rsid w:val="00FF02E7"/>
    <w:rsid w:val="01306B6E"/>
    <w:rsid w:val="01666EAC"/>
    <w:rsid w:val="018B2C05"/>
    <w:rsid w:val="019452CD"/>
    <w:rsid w:val="01A96E5A"/>
    <w:rsid w:val="01D77A89"/>
    <w:rsid w:val="01E57560"/>
    <w:rsid w:val="01EB7929"/>
    <w:rsid w:val="01F27730"/>
    <w:rsid w:val="01FB63A6"/>
    <w:rsid w:val="02162590"/>
    <w:rsid w:val="0272399E"/>
    <w:rsid w:val="027C1790"/>
    <w:rsid w:val="029B3060"/>
    <w:rsid w:val="02B43F75"/>
    <w:rsid w:val="02B65B06"/>
    <w:rsid w:val="02BE5F54"/>
    <w:rsid w:val="02E50087"/>
    <w:rsid w:val="02F07B6B"/>
    <w:rsid w:val="03002AF9"/>
    <w:rsid w:val="03054B01"/>
    <w:rsid w:val="03084300"/>
    <w:rsid w:val="03597B41"/>
    <w:rsid w:val="035E5F6D"/>
    <w:rsid w:val="03721F6F"/>
    <w:rsid w:val="038B32D9"/>
    <w:rsid w:val="03A7028E"/>
    <w:rsid w:val="03B34436"/>
    <w:rsid w:val="03D57169"/>
    <w:rsid w:val="03E67070"/>
    <w:rsid w:val="03E727B0"/>
    <w:rsid w:val="03F1125C"/>
    <w:rsid w:val="03FE640A"/>
    <w:rsid w:val="04202A33"/>
    <w:rsid w:val="043A660F"/>
    <w:rsid w:val="045A45DF"/>
    <w:rsid w:val="0481730F"/>
    <w:rsid w:val="048558FE"/>
    <w:rsid w:val="049070E9"/>
    <w:rsid w:val="04B102E3"/>
    <w:rsid w:val="04CF07A3"/>
    <w:rsid w:val="04D02DD4"/>
    <w:rsid w:val="04E06B28"/>
    <w:rsid w:val="04E92A5E"/>
    <w:rsid w:val="04F11D7E"/>
    <w:rsid w:val="05071AD8"/>
    <w:rsid w:val="052460C8"/>
    <w:rsid w:val="053830C5"/>
    <w:rsid w:val="057E22DD"/>
    <w:rsid w:val="05870C9D"/>
    <w:rsid w:val="05BD4CD3"/>
    <w:rsid w:val="05D24CE7"/>
    <w:rsid w:val="05D63C43"/>
    <w:rsid w:val="05DE09A0"/>
    <w:rsid w:val="06055928"/>
    <w:rsid w:val="060C3B1E"/>
    <w:rsid w:val="062B0398"/>
    <w:rsid w:val="064515AF"/>
    <w:rsid w:val="065C2DC5"/>
    <w:rsid w:val="066461FC"/>
    <w:rsid w:val="06BA45F9"/>
    <w:rsid w:val="06C259F2"/>
    <w:rsid w:val="06DC5A8B"/>
    <w:rsid w:val="06E51288"/>
    <w:rsid w:val="06F30E95"/>
    <w:rsid w:val="0706002C"/>
    <w:rsid w:val="070D48A8"/>
    <w:rsid w:val="07151E68"/>
    <w:rsid w:val="07227655"/>
    <w:rsid w:val="072932BC"/>
    <w:rsid w:val="073721A2"/>
    <w:rsid w:val="07485A5F"/>
    <w:rsid w:val="075C6BE1"/>
    <w:rsid w:val="076B2E2F"/>
    <w:rsid w:val="077C4F10"/>
    <w:rsid w:val="078C1329"/>
    <w:rsid w:val="07A40ED1"/>
    <w:rsid w:val="07AC1501"/>
    <w:rsid w:val="07C315DA"/>
    <w:rsid w:val="07CD1D19"/>
    <w:rsid w:val="0831495E"/>
    <w:rsid w:val="08336D98"/>
    <w:rsid w:val="08356DA0"/>
    <w:rsid w:val="08443576"/>
    <w:rsid w:val="08564C38"/>
    <w:rsid w:val="086E39DD"/>
    <w:rsid w:val="088307C1"/>
    <w:rsid w:val="08847914"/>
    <w:rsid w:val="08A95441"/>
    <w:rsid w:val="08C16C3F"/>
    <w:rsid w:val="08CA692B"/>
    <w:rsid w:val="08CB11AB"/>
    <w:rsid w:val="090B2E0A"/>
    <w:rsid w:val="090F0D44"/>
    <w:rsid w:val="095C7247"/>
    <w:rsid w:val="096B693C"/>
    <w:rsid w:val="096F6C88"/>
    <w:rsid w:val="097018B5"/>
    <w:rsid w:val="097331B4"/>
    <w:rsid w:val="097A3EA7"/>
    <w:rsid w:val="0997225F"/>
    <w:rsid w:val="09A805B1"/>
    <w:rsid w:val="09A83F32"/>
    <w:rsid w:val="09B724AD"/>
    <w:rsid w:val="09DC0061"/>
    <w:rsid w:val="09F07693"/>
    <w:rsid w:val="09F3173B"/>
    <w:rsid w:val="0A2F61F0"/>
    <w:rsid w:val="0A491065"/>
    <w:rsid w:val="0A552E2D"/>
    <w:rsid w:val="0A841969"/>
    <w:rsid w:val="0ABC264A"/>
    <w:rsid w:val="0ACF2105"/>
    <w:rsid w:val="0B052162"/>
    <w:rsid w:val="0B072E82"/>
    <w:rsid w:val="0B283F58"/>
    <w:rsid w:val="0B2C603D"/>
    <w:rsid w:val="0B341448"/>
    <w:rsid w:val="0B397686"/>
    <w:rsid w:val="0B5A6375"/>
    <w:rsid w:val="0B5F129A"/>
    <w:rsid w:val="0B6D1BB2"/>
    <w:rsid w:val="0B6E2ADF"/>
    <w:rsid w:val="0B6E7AC2"/>
    <w:rsid w:val="0B924D97"/>
    <w:rsid w:val="0B955EC8"/>
    <w:rsid w:val="0BAA22E6"/>
    <w:rsid w:val="0BAF4F4B"/>
    <w:rsid w:val="0BB86AFB"/>
    <w:rsid w:val="0BBE5E96"/>
    <w:rsid w:val="0BC3738A"/>
    <w:rsid w:val="0BC950E2"/>
    <w:rsid w:val="0BDC4D64"/>
    <w:rsid w:val="0BFB21B0"/>
    <w:rsid w:val="0C033AD7"/>
    <w:rsid w:val="0C040E64"/>
    <w:rsid w:val="0C2F4424"/>
    <w:rsid w:val="0C3172FF"/>
    <w:rsid w:val="0C41152C"/>
    <w:rsid w:val="0C462B92"/>
    <w:rsid w:val="0C465C75"/>
    <w:rsid w:val="0C4C6F48"/>
    <w:rsid w:val="0C5B657F"/>
    <w:rsid w:val="0C8850B9"/>
    <w:rsid w:val="0C8F1E8C"/>
    <w:rsid w:val="0C9D2E17"/>
    <w:rsid w:val="0CB343A5"/>
    <w:rsid w:val="0CE71575"/>
    <w:rsid w:val="0CEE5A80"/>
    <w:rsid w:val="0D4317F9"/>
    <w:rsid w:val="0D4D1DF6"/>
    <w:rsid w:val="0D5F4E7E"/>
    <w:rsid w:val="0D9B340C"/>
    <w:rsid w:val="0DDB1BF8"/>
    <w:rsid w:val="0DDE623A"/>
    <w:rsid w:val="0DEB44B4"/>
    <w:rsid w:val="0E047A18"/>
    <w:rsid w:val="0E39465A"/>
    <w:rsid w:val="0E3C6BE2"/>
    <w:rsid w:val="0E4C0355"/>
    <w:rsid w:val="0E4E6A1C"/>
    <w:rsid w:val="0E7F15AA"/>
    <w:rsid w:val="0EAA489B"/>
    <w:rsid w:val="0EAC2077"/>
    <w:rsid w:val="0EB33225"/>
    <w:rsid w:val="0F097C10"/>
    <w:rsid w:val="0F1A542E"/>
    <w:rsid w:val="0F1B410F"/>
    <w:rsid w:val="0F1E4870"/>
    <w:rsid w:val="0F2C2B55"/>
    <w:rsid w:val="0F4849C5"/>
    <w:rsid w:val="0F4E35D2"/>
    <w:rsid w:val="0F6F0E2E"/>
    <w:rsid w:val="0F753240"/>
    <w:rsid w:val="0F871164"/>
    <w:rsid w:val="0FAE40CC"/>
    <w:rsid w:val="0FBC42CF"/>
    <w:rsid w:val="0FC05A6A"/>
    <w:rsid w:val="0FC34AB4"/>
    <w:rsid w:val="0FDE2324"/>
    <w:rsid w:val="10153E2B"/>
    <w:rsid w:val="1023300C"/>
    <w:rsid w:val="10243984"/>
    <w:rsid w:val="102638BD"/>
    <w:rsid w:val="103466DC"/>
    <w:rsid w:val="10482157"/>
    <w:rsid w:val="10604043"/>
    <w:rsid w:val="109D76E7"/>
    <w:rsid w:val="10A534B1"/>
    <w:rsid w:val="10FE726C"/>
    <w:rsid w:val="110730A1"/>
    <w:rsid w:val="1123066C"/>
    <w:rsid w:val="114D31EE"/>
    <w:rsid w:val="11542921"/>
    <w:rsid w:val="116859F5"/>
    <w:rsid w:val="117D0B50"/>
    <w:rsid w:val="117E5164"/>
    <w:rsid w:val="11914392"/>
    <w:rsid w:val="11A2655F"/>
    <w:rsid w:val="11BD399C"/>
    <w:rsid w:val="11BD3FCD"/>
    <w:rsid w:val="11C06091"/>
    <w:rsid w:val="11D41883"/>
    <w:rsid w:val="11EE55F4"/>
    <w:rsid w:val="11FC5E2E"/>
    <w:rsid w:val="12272CFA"/>
    <w:rsid w:val="123816AB"/>
    <w:rsid w:val="12385140"/>
    <w:rsid w:val="1265323D"/>
    <w:rsid w:val="1266717E"/>
    <w:rsid w:val="12771A10"/>
    <w:rsid w:val="12853CE2"/>
    <w:rsid w:val="12A62520"/>
    <w:rsid w:val="12E7559F"/>
    <w:rsid w:val="1306607A"/>
    <w:rsid w:val="13433941"/>
    <w:rsid w:val="13480F43"/>
    <w:rsid w:val="13B47AED"/>
    <w:rsid w:val="13B76B87"/>
    <w:rsid w:val="13C91390"/>
    <w:rsid w:val="13F32937"/>
    <w:rsid w:val="14055F98"/>
    <w:rsid w:val="142A7BFE"/>
    <w:rsid w:val="14410B0B"/>
    <w:rsid w:val="144D5898"/>
    <w:rsid w:val="14574A87"/>
    <w:rsid w:val="14802533"/>
    <w:rsid w:val="148D68BA"/>
    <w:rsid w:val="148F3910"/>
    <w:rsid w:val="14A3289A"/>
    <w:rsid w:val="14BE37B2"/>
    <w:rsid w:val="14D63290"/>
    <w:rsid w:val="14D80944"/>
    <w:rsid w:val="14D8518B"/>
    <w:rsid w:val="15045279"/>
    <w:rsid w:val="150629ED"/>
    <w:rsid w:val="15475563"/>
    <w:rsid w:val="156920FF"/>
    <w:rsid w:val="1590779A"/>
    <w:rsid w:val="15A13B02"/>
    <w:rsid w:val="15C213E7"/>
    <w:rsid w:val="15E91427"/>
    <w:rsid w:val="161A54A9"/>
    <w:rsid w:val="1623491C"/>
    <w:rsid w:val="16396409"/>
    <w:rsid w:val="163E262E"/>
    <w:rsid w:val="163F19D6"/>
    <w:rsid w:val="164E5E27"/>
    <w:rsid w:val="165F2E0B"/>
    <w:rsid w:val="16675AEC"/>
    <w:rsid w:val="16883C6A"/>
    <w:rsid w:val="169F396A"/>
    <w:rsid w:val="16AA172B"/>
    <w:rsid w:val="16B70EFF"/>
    <w:rsid w:val="16C95D77"/>
    <w:rsid w:val="16CE2C21"/>
    <w:rsid w:val="16D6307D"/>
    <w:rsid w:val="16DC193C"/>
    <w:rsid w:val="16E44E8C"/>
    <w:rsid w:val="16F22D8B"/>
    <w:rsid w:val="16FA2CAA"/>
    <w:rsid w:val="16FE7B6A"/>
    <w:rsid w:val="1708355A"/>
    <w:rsid w:val="173B367B"/>
    <w:rsid w:val="176924FF"/>
    <w:rsid w:val="176A2C6F"/>
    <w:rsid w:val="17866AA1"/>
    <w:rsid w:val="17896760"/>
    <w:rsid w:val="179C27E1"/>
    <w:rsid w:val="17A4015F"/>
    <w:rsid w:val="17A8633A"/>
    <w:rsid w:val="17AA5CDE"/>
    <w:rsid w:val="17AC2437"/>
    <w:rsid w:val="17B07912"/>
    <w:rsid w:val="17CD15FD"/>
    <w:rsid w:val="17DB5FBD"/>
    <w:rsid w:val="17E6778E"/>
    <w:rsid w:val="180A0B37"/>
    <w:rsid w:val="180D27D0"/>
    <w:rsid w:val="180E6704"/>
    <w:rsid w:val="1846009F"/>
    <w:rsid w:val="1868406C"/>
    <w:rsid w:val="18956E44"/>
    <w:rsid w:val="189D4049"/>
    <w:rsid w:val="18B64912"/>
    <w:rsid w:val="18B76110"/>
    <w:rsid w:val="18BA1275"/>
    <w:rsid w:val="18BA721F"/>
    <w:rsid w:val="18BD339C"/>
    <w:rsid w:val="18C378EC"/>
    <w:rsid w:val="18D04797"/>
    <w:rsid w:val="18E913E0"/>
    <w:rsid w:val="18EB3DB2"/>
    <w:rsid w:val="18EC46AE"/>
    <w:rsid w:val="191026E1"/>
    <w:rsid w:val="19116E27"/>
    <w:rsid w:val="19727856"/>
    <w:rsid w:val="19CF11F2"/>
    <w:rsid w:val="19E050FE"/>
    <w:rsid w:val="19F52B11"/>
    <w:rsid w:val="1A071857"/>
    <w:rsid w:val="1A11686E"/>
    <w:rsid w:val="1A2000A1"/>
    <w:rsid w:val="1A22430C"/>
    <w:rsid w:val="1AB04A19"/>
    <w:rsid w:val="1AB459C8"/>
    <w:rsid w:val="1AC36387"/>
    <w:rsid w:val="1AD83EF4"/>
    <w:rsid w:val="1AE37027"/>
    <w:rsid w:val="1AE60FD4"/>
    <w:rsid w:val="1B024738"/>
    <w:rsid w:val="1B0F6A2E"/>
    <w:rsid w:val="1B176278"/>
    <w:rsid w:val="1B185407"/>
    <w:rsid w:val="1B1E02D4"/>
    <w:rsid w:val="1B577E93"/>
    <w:rsid w:val="1B68571D"/>
    <w:rsid w:val="1B7F0D90"/>
    <w:rsid w:val="1B817D0C"/>
    <w:rsid w:val="1BC908C4"/>
    <w:rsid w:val="1BF3556E"/>
    <w:rsid w:val="1C0A3ED4"/>
    <w:rsid w:val="1C140A0D"/>
    <w:rsid w:val="1C1D1DF2"/>
    <w:rsid w:val="1C373CD2"/>
    <w:rsid w:val="1C4F19FF"/>
    <w:rsid w:val="1CA90FB7"/>
    <w:rsid w:val="1CB05923"/>
    <w:rsid w:val="1CC469F0"/>
    <w:rsid w:val="1CC911C3"/>
    <w:rsid w:val="1CDD60C2"/>
    <w:rsid w:val="1D064227"/>
    <w:rsid w:val="1D097EB9"/>
    <w:rsid w:val="1D0C035F"/>
    <w:rsid w:val="1D121A8A"/>
    <w:rsid w:val="1D436355"/>
    <w:rsid w:val="1D4B3106"/>
    <w:rsid w:val="1D677558"/>
    <w:rsid w:val="1D760E3D"/>
    <w:rsid w:val="1D90750E"/>
    <w:rsid w:val="1E1D2ABC"/>
    <w:rsid w:val="1E311206"/>
    <w:rsid w:val="1E3A1230"/>
    <w:rsid w:val="1E4662D1"/>
    <w:rsid w:val="1E4F7FBD"/>
    <w:rsid w:val="1E712987"/>
    <w:rsid w:val="1EB62E41"/>
    <w:rsid w:val="1F0D7F71"/>
    <w:rsid w:val="1F552D1E"/>
    <w:rsid w:val="1F7502D6"/>
    <w:rsid w:val="1F773A0E"/>
    <w:rsid w:val="1F7D200D"/>
    <w:rsid w:val="1F7F20B0"/>
    <w:rsid w:val="1F9404A1"/>
    <w:rsid w:val="1FA022E3"/>
    <w:rsid w:val="1FC05AF5"/>
    <w:rsid w:val="1FC55F14"/>
    <w:rsid w:val="1FC934A6"/>
    <w:rsid w:val="1FCC402F"/>
    <w:rsid w:val="1FF92559"/>
    <w:rsid w:val="2000058D"/>
    <w:rsid w:val="20014CC7"/>
    <w:rsid w:val="201E080E"/>
    <w:rsid w:val="202D3844"/>
    <w:rsid w:val="20376A92"/>
    <w:rsid w:val="203F10AC"/>
    <w:rsid w:val="2057621B"/>
    <w:rsid w:val="206332E5"/>
    <w:rsid w:val="20691AD2"/>
    <w:rsid w:val="208C66E9"/>
    <w:rsid w:val="20B66411"/>
    <w:rsid w:val="20BA3EB2"/>
    <w:rsid w:val="20C36B31"/>
    <w:rsid w:val="20CA43EC"/>
    <w:rsid w:val="20CE4861"/>
    <w:rsid w:val="210623F2"/>
    <w:rsid w:val="2139038F"/>
    <w:rsid w:val="2139426F"/>
    <w:rsid w:val="214065AA"/>
    <w:rsid w:val="214E56EB"/>
    <w:rsid w:val="214E5EAE"/>
    <w:rsid w:val="2151424A"/>
    <w:rsid w:val="21712E02"/>
    <w:rsid w:val="21BD4628"/>
    <w:rsid w:val="224B7E5A"/>
    <w:rsid w:val="225A0C7F"/>
    <w:rsid w:val="22686CFD"/>
    <w:rsid w:val="227C0C52"/>
    <w:rsid w:val="22AF78E3"/>
    <w:rsid w:val="22FB5EE0"/>
    <w:rsid w:val="23443BAE"/>
    <w:rsid w:val="23773E69"/>
    <w:rsid w:val="237E44D8"/>
    <w:rsid w:val="23944B78"/>
    <w:rsid w:val="23A05E84"/>
    <w:rsid w:val="23A71670"/>
    <w:rsid w:val="23CB3213"/>
    <w:rsid w:val="23D11720"/>
    <w:rsid w:val="242B20A1"/>
    <w:rsid w:val="24310962"/>
    <w:rsid w:val="2432582E"/>
    <w:rsid w:val="245D177A"/>
    <w:rsid w:val="24780FB7"/>
    <w:rsid w:val="247A462A"/>
    <w:rsid w:val="24824584"/>
    <w:rsid w:val="2484732A"/>
    <w:rsid w:val="248C1A07"/>
    <w:rsid w:val="248F3659"/>
    <w:rsid w:val="24B85BE6"/>
    <w:rsid w:val="24C00FC2"/>
    <w:rsid w:val="24C37F7F"/>
    <w:rsid w:val="24DF1E77"/>
    <w:rsid w:val="24F626A8"/>
    <w:rsid w:val="24F702CD"/>
    <w:rsid w:val="25240AFD"/>
    <w:rsid w:val="25390ED9"/>
    <w:rsid w:val="25504F9E"/>
    <w:rsid w:val="25507D2D"/>
    <w:rsid w:val="2576334D"/>
    <w:rsid w:val="257E05C4"/>
    <w:rsid w:val="258209EF"/>
    <w:rsid w:val="258752B9"/>
    <w:rsid w:val="25B620E6"/>
    <w:rsid w:val="25C4447A"/>
    <w:rsid w:val="25D26421"/>
    <w:rsid w:val="25F81174"/>
    <w:rsid w:val="2631752B"/>
    <w:rsid w:val="263B1D3D"/>
    <w:rsid w:val="263E7303"/>
    <w:rsid w:val="265B3BA5"/>
    <w:rsid w:val="2692058F"/>
    <w:rsid w:val="26946F61"/>
    <w:rsid w:val="26A533BC"/>
    <w:rsid w:val="26AE0989"/>
    <w:rsid w:val="26C84952"/>
    <w:rsid w:val="26E66846"/>
    <w:rsid w:val="26FA3651"/>
    <w:rsid w:val="27003D89"/>
    <w:rsid w:val="2736796F"/>
    <w:rsid w:val="278F1FBC"/>
    <w:rsid w:val="27A3432A"/>
    <w:rsid w:val="27B22BA0"/>
    <w:rsid w:val="27DB2350"/>
    <w:rsid w:val="27DE016E"/>
    <w:rsid w:val="27E946FA"/>
    <w:rsid w:val="27F0591B"/>
    <w:rsid w:val="27F657E8"/>
    <w:rsid w:val="28102235"/>
    <w:rsid w:val="28123D45"/>
    <w:rsid w:val="28321AE9"/>
    <w:rsid w:val="28517687"/>
    <w:rsid w:val="286A5AC8"/>
    <w:rsid w:val="28782B82"/>
    <w:rsid w:val="28885AB3"/>
    <w:rsid w:val="28E16146"/>
    <w:rsid w:val="2918062E"/>
    <w:rsid w:val="292431B6"/>
    <w:rsid w:val="29263B88"/>
    <w:rsid w:val="29444145"/>
    <w:rsid w:val="294D1976"/>
    <w:rsid w:val="2951771D"/>
    <w:rsid w:val="29CA41A9"/>
    <w:rsid w:val="29CA426F"/>
    <w:rsid w:val="29DF766A"/>
    <w:rsid w:val="29E30D2C"/>
    <w:rsid w:val="29E90BFE"/>
    <w:rsid w:val="2A0301F7"/>
    <w:rsid w:val="2A03295D"/>
    <w:rsid w:val="2A0D6FE7"/>
    <w:rsid w:val="2A3B63EF"/>
    <w:rsid w:val="2A471634"/>
    <w:rsid w:val="2A4B012F"/>
    <w:rsid w:val="2A5431BD"/>
    <w:rsid w:val="2A625850"/>
    <w:rsid w:val="2A625C2E"/>
    <w:rsid w:val="2A7317A0"/>
    <w:rsid w:val="2A8B26F4"/>
    <w:rsid w:val="2AA53CA4"/>
    <w:rsid w:val="2AAA6188"/>
    <w:rsid w:val="2AB628C9"/>
    <w:rsid w:val="2AB67623"/>
    <w:rsid w:val="2AC753E8"/>
    <w:rsid w:val="2ADF5388"/>
    <w:rsid w:val="2AF33759"/>
    <w:rsid w:val="2AF477AB"/>
    <w:rsid w:val="2B04145D"/>
    <w:rsid w:val="2B1F2930"/>
    <w:rsid w:val="2B3509E6"/>
    <w:rsid w:val="2B680115"/>
    <w:rsid w:val="2B766C07"/>
    <w:rsid w:val="2B802033"/>
    <w:rsid w:val="2BC01647"/>
    <w:rsid w:val="2BC44F1A"/>
    <w:rsid w:val="2C062FAB"/>
    <w:rsid w:val="2C090018"/>
    <w:rsid w:val="2C466829"/>
    <w:rsid w:val="2C4A44F7"/>
    <w:rsid w:val="2C5D4963"/>
    <w:rsid w:val="2C5F1EED"/>
    <w:rsid w:val="2CAF3389"/>
    <w:rsid w:val="2CC91F3C"/>
    <w:rsid w:val="2CCE67A9"/>
    <w:rsid w:val="2CDD05A4"/>
    <w:rsid w:val="2CE45AE6"/>
    <w:rsid w:val="2CED60C7"/>
    <w:rsid w:val="2CF11432"/>
    <w:rsid w:val="2CFC53C3"/>
    <w:rsid w:val="2D3039FB"/>
    <w:rsid w:val="2D72342E"/>
    <w:rsid w:val="2D90604D"/>
    <w:rsid w:val="2D9917D0"/>
    <w:rsid w:val="2DAA12EC"/>
    <w:rsid w:val="2DD04959"/>
    <w:rsid w:val="2DEF371D"/>
    <w:rsid w:val="2DF46570"/>
    <w:rsid w:val="2E4670DE"/>
    <w:rsid w:val="2E5D384D"/>
    <w:rsid w:val="2EA103B0"/>
    <w:rsid w:val="2EA85906"/>
    <w:rsid w:val="2EC45272"/>
    <w:rsid w:val="2EC51715"/>
    <w:rsid w:val="2ED147ED"/>
    <w:rsid w:val="2ED87C51"/>
    <w:rsid w:val="2EE32E40"/>
    <w:rsid w:val="2EF323DF"/>
    <w:rsid w:val="2EFC2309"/>
    <w:rsid w:val="2F0C383F"/>
    <w:rsid w:val="2F125CE7"/>
    <w:rsid w:val="2F154791"/>
    <w:rsid w:val="2F4E0CF5"/>
    <w:rsid w:val="2F5F7082"/>
    <w:rsid w:val="2F6004B3"/>
    <w:rsid w:val="2F801E85"/>
    <w:rsid w:val="2FA64F52"/>
    <w:rsid w:val="2FA718D4"/>
    <w:rsid w:val="2FC10131"/>
    <w:rsid w:val="2FD43AAB"/>
    <w:rsid w:val="2FE575A8"/>
    <w:rsid w:val="2FEB7C90"/>
    <w:rsid w:val="2FF47050"/>
    <w:rsid w:val="30021344"/>
    <w:rsid w:val="301D7F60"/>
    <w:rsid w:val="30242049"/>
    <w:rsid w:val="304E7E66"/>
    <w:rsid w:val="305355C6"/>
    <w:rsid w:val="30587A60"/>
    <w:rsid w:val="30633C4A"/>
    <w:rsid w:val="307E72A6"/>
    <w:rsid w:val="308C337C"/>
    <w:rsid w:val="30B2605C"/>
    <w:rsid w:val="30DD6003"/>
    <w:rsid w:val="31137A10"/>
    <w:rsid w:val="311F71EF"/>
    <w:rsid w:val="31525426"/>
    <w:rsid w:val="316E5DD3"/>
    <w:rsid w:val="31EC7E90"/>
    <w:rsid w:val="31F34430"/>
    <w:rsid w:val="31FA21C5"/>
    <w:rsid w:val="32060049"/>
    <w:rsid w:val="32121A11"/>
    <w:rsid w:val="324A29EC"/>
    <w:rsid w:val="32750B8A"/>
    <w:rsid w:val="32856C3B"/>
    <w:rsid w:val="32A36CEB"/>
    <w:rsid w:val="32B3727E"/>
    <w:rsid w:val="32C52C6F"/>
    <w:rsid w:val="331150C4"/>
    <w:rsid w:val="33125B84"/>
    <w:rsid w:val="33252650"/>
    <w:rsid w:val="332D0D33"/>
    <w:rsid w:val="333636C4"/>
    <w:rsid w:val="333B3790"/>
    <w:rsid w:val="33870E6E"/>
    <w:rsid w:val="338712C2"/>
    <w:rsid w:val="338A6105"/>
    <w:rsid w:val="33A55A2F"/>
    <w:rsid w:val="33C3644A"/>
    <w:rsid w:val="33D6575E"/>
    <w:rsid w:val="33D87BF0"/>
    <w:rsid w:val="33E31335"/>
    <w:rsid w:val="33EE6DFF"/>
    <w:rsid w:val="33F21235"/>
    <w:rsid w:val="33F2729A"/>
    <w:rsid w:val="33F4683E"/>
    <w:rsid w:val="33FB336A"/>
    <w:rsid w:val="342629A1"/>
    <w:rsid w:val="34405AE7"/>
    <w:rsid w:val="34875598"/>
    <w:rsid w:val="34CB1E9D"/>
    <w:rsid w:val="34F34DCA"/>
    <w:rsid w:val="34F46DFA"/>
    <w:rsid w:val="35053121"/>
    <w:rsid w:val="35056B57"/>
    <w:rsid w:val="353110EC"/>
    <w:rsid w:val="353B15B7"/>
    <w:rsid w:val="354662F5"/>
    <w:rsid w:val="35487707"/>
    <w:rsid w:val="35554AFC"/>
    <w:rsid w:val="35617855"/>
    <w:rsid w:val="35843EF4"/>
    <w:rsid w:val="35875021"/>
    <w:rsid w:val="358D4C7D"/>
    <w:rsid w:val="3595435E"/>
    <w:rsid w:val="35BA2909"/>
    <w:rsid w:val="35C37BB9"/>
    <w:rsid w:val="360C2D6A"/>
    <w:rsid w:val="36111186"/>
    <w:rsid w:val="36124DFD"/>
    <w:rsid w:val="36250F08"/>
    <w:rsid w:val="3625406D"/>
    <w:rsid w:val="36615293"/>
    <w:rsid w:val="36990226"/>
    <w:rsid w:val="36A91413"/>
    <w:rsid w:val="36AA22D1"/>
    <w:rsid w:val="36B945DF"/>
    <w:rsid w:val="36BC6256"/>
    <w:rsid w:val="36C37E0E"/>
    <w:rsid w:val="36F95D87"/>
    <w:rsid w:val="37313AB8"/>
    <w:rsid w:val="37397F49"/>
    <w:rsid w:val="373C7126"/>
    <w:rsid w:val="37625A99"/>
    <w:rsid w:val="37745F2E"/>
    <w:rsid w:val="37A95489"/>
    <w:rsid w:val="37D017B7"/>
    <w:rsid w:val="37D50B4D"/>
    <w:rsid w:val="37D67E6E"/>
    <w:rsid w:val="37DE5A99"/>
    <w:rsid w:val="37F77666"/>
    <w:rsid w:val="38162B54"/>
    <w:rsid w:val="38244450"/>
    <w:rsid w:val="382E0386"/>
    <w:rsid w:val="3855023D"/>
    <w:rsid w:val="387501F5"/>
    <w:rsid w:val="387714CF"/>
    <w:rsid w:val="387E3E17"/>
    <w:rsid w:val="38874E1B"/>
    <w:rsid w:val="389F236A"/>
    <w:rsid w:val="38DB5948"/>
    <w:rsid w:val="38FB7982"/>
    <w:rsid w:val="39061798"/>
    <w:rsid w:val="393D3567"/>
    <w:rsid w:val="397B2A4F"/>
    <w:rsid w:val="39C67FF4"/>
    <w:rsid w:val="39D94059"/>
    <w:rsid w:val="39DD0728"/>
    <w:rsid w:val="39DF0520"/>
    <w:rsid w:val="3A422AE1"/>
    <w:rsid w:val="3A464AB6"/>
    <w:rsid w:val="3A795E9B"/>
    <w:rsid w:val="3A887B90"/>
    <w:rsid w:val="3A915208"/>
    <w:rsid w:val="3A9E1C83"/>
    <w:rsid w:val="3ABF2893"/>
    <w:rsid w:val="3AE82517"/>
    <w:rsid w:val="3B4B30D1"/>
    <w:rsid w:val="3B4E465B"/>
    <w:rsid w:val="3B6F4D35"/>
    <w:rsid w:val="3B8C3047"/>
    <w:rsid w:val="3BA5205B"/>
    <w:rsid w:val="3BAC7C0C"/>
    <w:rsid w:val="3BB00042"/>
    <w:rsid w:val="3BB91655"/>
    <w:rsid w:val="3BD2733C"/>
    <w:rsid w:val="3BD523FD"/>
    <w:rsid w:val="3BD769CE"/>
    <w:rsid w:val="3BE51F1F"/>
    <w:rsid w:val="3C12712E"/>
    <w:rsid w:val="3C205115"/>
    <w:rsid w:val="3C2B0FA1"/>
    <w:rsid w:val="3C2E40C1"/>
    <w:rsid w:val="3C363EC9"/>
    <w:rsid w:val="3C3F11AD"/>
    <w:rsid w:val="3C4F2E61"/>
    <w:rsid w:val="3C50628B"/>
    <w:rsid w:val="3C516BBA"/>
    <w:rsid w:val="3C57613E"/>
    <w:rsid w:val="3C7012BA"/>
    <w:rsid w:val="3C9703CC"/>
    <w:rsid w:val="3C9A10E1"/>
    <w:rsid w:val="3CA3578F"/>
    <w:rsid w:val="3CB36FCF"/>
    <w:rsid w:val="3CCB3D5C"/>
    <w:rsid w:val="3CEF5BCA"/>
    <w:rsid w:val="3CF75552"/>
    <w:rsid w:val="3CFC6329"/>
    <w:rsid w:val="3D1377FD"/>
    <w:rsid w:val="3D1D138E"/>
    <w:rsid w:val="3D3A67A9"/>
    <w:rsid w:val="3D781EC2"/>
    <w:rsid w:val="3D9239FB"/>
    <w:rsid w:val="3D9A0453"/>
    <w:rsid w:val="3DD477B6"/>
    <w:rsid w:val="3DD678D1"/>
    <w:rsid w:val="3DDB7329"/>
    <w:rsid w:val="3DF50A57"/>
    <w:rsid w:val="3DF7160C"/>
    <w:rsid w:val="3DFE7706"/>
    <w:rsid w:val="3E37182B"/>
    <w:rsid w:val="3E4D61AB"/>
    <w:rsid w:val="3E5325C6"/>
    <w:rsid w:val="3E532E9D"/>
    <w:rsid w:val="3E621170"/>
    <w:rsid w:val="3E6C5593"/>
    <w:rsid w:val="3E7C5726"/>
    <w:rsid w:val="3E85255A"/>
    <w:rsid w:val="3E857F79"/>
    <w:rsid w:val="3E9A19E2"/>
    <w:rsid w:val="3E9B2B06"/>
    <w:rsid w:val="3EA43C16"/>
    <w:rsid w:val="3EA659A5"/>
    <w:rsid w:val="3EA95D3B"/>
    <w:rsid w:val="3EC84315"/>
    <w:rsid w:val="3ED515A5"/>
    <w:rsid w:val="3F2A4EF5"/>
    <w:rsid w:val="3F2F6001"/>
    <w:rsid w:val="3F751B56"/>
    <w:rsid w:val="3F7737AA"/>
    <w:rsid w:val="3F833364"/>
    <w:rsid w:val="3F891088"/>
    <w:rsid w:val="3FAC7624"/>
    <w:rsid w:val="3FDE70E8"/>
    <w:rsid w:val="40016A77"/>
    <w:rsid w:val="40781328"/>
    <w:rsid w:val="408C6AC8"/>
    <w:rsid w:val="40A260DF"/>
    <w:rsid w:val="40A96104"/>
    <w:rsid w:val="40B3012C"/>
    <w:rsid w:val="40ED4C2B"/>
    <w:rsid w:val="410F37EC"/>
    <w:rsid w:val="411F680C"/>
    <w:rsid w:val="41416F1B"/>
    <w:rsid w:val="417113A9"/>
    <w:rsid w:val="417343F1"/>
    <w:rsid w:val="4179432A"/>
    <w:rsid w:val="419C4BA9"/>
    <w:rsid w:val="41DB7865"/>
    <w:rsid w:val="41F001F6"/>
    <w:rsid w:val="41F56D6A"/>
    <w:rsid w:val="41FC7DB8"/>
    <w:rsid w:val="421F5809"/>
    <w:rsid w:val="42356C86"/>
    <w:rsid w:val="42407A87"/>
    <w:rsid w:val="4241494F"/>
    <w:rsid w:val="425A3BF7"/>
    <w:rsid w:val="42725102"/>
    <w:rsid w:val="427A3A08"/>
    <w:rsid w:val="428F05F2"/>
    <w:rsid w:val="4293330E"/>
    <w:rsid w:val="42A42ED1"/>
    <w:rsid w:val="42BF30EE"/>
    <w:rsid w:val="42D006B4"/>
    <w:rsid w:val="42E82656"/>
    <w:rsid w:val="43034613"/>
    <w:rsid w:val="43180CB6"/>
    <w:rsid w:val="435E6D6E"/>
    <w:rsid w:val="43BE5E63"/>
    <w:rsid w:val="43C95072"/>
    <w:rsid w:val="43D11056"/>
    <w:rsid w:val="43DE3E65"/>
    <w:rsid w:val="44350037"/>
    <w:rsid w:val="44666FB5"/>
    <w:rsid w:val="44740B82"/>
    <w:rsid w:val="44764C77"/>
    <w:rsid w:val="448C6E5B"/>
    <w:rsid w:val="44964A7F"/>
    <w:rsid w:val="44E13C3D"/>
    <w:rsid w:val="44ED0D38"/>
    <w:rsid w:val="44FF7038"/>
    <w:rsid w:val="451A6E5C"/>
    <w:rsid w:val="451E22E0"/>
    <w:rsid w:val="45253646"/>
    <w:rsid w:val="452D7D9B"/>
    <w:rsid w:val="45600601"/>
    <w:rsid w:val="456943D8"/>
    <w:rsid w:val="456B5D38"/>
    <w:rsid w:val="4573099C"/>
    <w:rsid w:val="459C04FB"/>
    <w:rsid w:val="45AE15E7"/>
    <w:rsid w:val="45BF2862"/>
    <w:rsid w:val="45CE03C7"/>
    <w:rsid w:val="45E84953"/>
    <w:rsid w:val="46052973"/>
    <w:rsid w:val="465C32B8"/>
    <w:rsid w:val="4671021F"/>
    <w:rsid w:val="46861F40"/>
    <w:rsid w:val="46A72F4A"/>
    <w:rsid w:val="46AC5C53"/>
    <w:rsid w:val="46C60823"/>
    <w:rsid w:val="47241E12"/>
    <w:rsid w:val="47266CF6"/>
    <w:rsid w:val="474C5BB1"/>
    <w:rsid w:val="476A7C5B"/>
    <w:rsid w:val="47725D4E"/>
    <w:rsid w:val="47A60178"/>
    <w:rsid w:val="47AF62C2"/>
    <w:rsid w:val="47E864F7"/>
    <w:rsid w:val="47FF20B6"/>
    <w:rsid w:val="480A2B93"/>
    <w:rsid w:val="480B431B"/>
    <w:rsid w:val="48137F60"/>
    <w:rsid w:val="48336643"/>
    <w:rsid w:val="4855009A"/>
    <w:rsid w:val="48985728"/>
    <w:rsid w:val="48BB2AEC"/>
    <w:rsid w:val="48C47EED"/>
    <w:rsid w:val="48DD2980"/>
    <w:rsid w:val="492E3CAF"/>
    <w:rsid w:val="49320EC7"/>
    <w:rsid w:val="49335DE0"/>
    <w:rsid w:val="49341EFD"/>
    <w:rsid w:val="49390D3D"/>
    <w:rsid w:val="493D549A"/>
    <w:rsid w:val="49421A26"/>
    <w:rsid w:val="49423A78"/>
    <w:rsid w:val="49581DCD"/>
    <w:rsid w:val="498750D8"/>
    <w:rsid w:val="49DF5926"/>
    <w:rsid w:val="49F00967"/>
    <w:rsid w:val="49F67A60"/>
    <w:rsid w:val="4A100446"/>
    <w:rsid w:val="4A1B0AF9"/>
    <w:rsid w:val="4A292811"/>
    <w:rsid w:val="4A366813"/>
    <w:rsid w:val="4A4F7849"/>
    <w:rsid w:val="4A6A10B9"/>
    <w:rsid w:val="4A835469"/>
    <w:rsid w:val="4A851A7F"/>
    <w:rsid w:val="4AF713D8"/>
    <w:rsid w:val="4B0F3B0F"/>
    <w:rsid w:val="4B301D89"/>
    <w:rsid w:val="4B384BC8"/>
    <w:rsid w:val="4B44754C"/>
    <w:rsid w:val="4B4C24F9"/>
    <w:rsid w:val="4B511315"/>
    <w:rsid w:val="4B5E266F"/>
    <w:rsid w:val="4B7D5AF4"/>
    <w:rsid w:val="4B7F7194"/>
    <w:rsid w:val="4B833358"/>
    <w:rsid w:val="4B8D19A5"/>
    <w:rsid w:val="4BA751FF"/>
    <w:rsid w:val="4BAF4369"/>
    <w:rsid w:val="4BB24D57"/>
    <w:rsid w:val="4BC666D3"/>
    <w:rsid w:val="4BF51E8C"/>
    <w:rsid w:val="4C3B3D86"/>
    <w:rsid w:val="4C4863E2"/>
    <w:rsid w:val="4C513A05"/>
    <w:rsid w:val="4C7973A6"/>
    <w:rsid w:val="4C9308E5"/>
    <w:rsid w:val="4C937EB8"/>
    <w:rsid w:val="4C9F5E69"/>
    <w:rsid w:val="4CA45BFF"/>
    <w:rsid w:val="4CAA6180"/>
    <w:rsid w:val="4CB7470F"/>
    <w:rsid w:val="4CB74E71"/>
    <w:rsid w:val="4CC077CC"/>
    <w:rsid w:val="4CC35211"/>
    <w:rsid w:val="4CD65286"/>
    <w:rsid w:val="4CE602F5"/>
    <w:rsid w:val="4D013DCC"/>
    <w:rsid w:val="4D113C11"/>
    <w:rsid w:val="4D164552"/>
    <w:rsid w:val="4D295308"/>
    <w:rsid w:val="4D361950"/>
    <w:rsid w:val="4D38520E"/>
    <w:rsid w:val="4D3A5BB0"/>
    <w:rsid w:val="4D7D36E0"/>
    <w:rsid w:val="4D976EB0"/>
    <w:rsid w:val="4DA2638C"/>
    <w:rsid w:val="4DA8162B"/>
    <w:rsid w:val="4DAB6E66"/>
    <w:rsid w:val="4DD71C3F"/>
    <w:rsid w:val="4DFE47A4"/>
    <w:rsid w:val="4E1B25BB"/>
    <w:rsid w:val="4E4F76CC"/>
    <w:rsid w:val="4E64476B"/>
    <w:rsid w:val="4E7341FD"/>
    <w:rsid w:val="4EA358F2"/>
    <w:rsid w:val="4EBC4735"/>
    <w:rsid w:val="4EC70DC5"/>
    <w:rsid w:val="4ED46C46"/>
    <w:rsid w:val="4EE347F8"/>
    <w:rsid w:val="4EE34904"/>
    <w:rsid w:val="4F165BF4"/>
    <w:rsid w:val="4F166391"/>
    <w:rsid w:val="4F1B333C"/>
    <w:rsid w:val="4F251D7F"/>
    <w:rsid w:val="4F565325"/>
    <w:rsid w:val="4F71145D"/>
    <w:rsid w:val="4F8E2EAB"/>
    <w:rsid w:val="4FA86E81"/>
    <w:rsid w:val="4FAB1924"/>
    <w:rsid w:val="4FB94ACA"/>
    <w:rsid w:val="4FC97682"/>
    <w:rsid w:val="4FCC3151"/>
    <w:rsid w:val="50106976"/>
    <w:rsid w:val="50213CA7"/>
    <w:rsid w:val="503B31CB"/>
    <w:rsid w:val="50532C4F"/>
    <w:rsid w:val="507135C1"/>
    <w:rsid w:val="507750E1"/>
    <w:rsid w:val="50892F40"/>
    <w:rsid w:val="50C145EA"/>
    <w:rsid w:val="50C43D15"/>
    <w:rsid w:val="50D156B0"/>
    <w:rsid w:val="50DF0AC6"/>
    <w:rsid w:val="50E51301"/>
    <w:rsid w:val="50EA6882"/>
    <w:rsid w:val="50FC5A54"/>
    <w:rsid w:val="511571B3"/>
    <w:rsid w:val="51223B44"/>
    <w:rsid w:val="512A31FF"/>
    <w:rsid w:val="512E220D"/>
    <w:rsid w:val="513B0385"/>
    <w:rsid w:val="516B7E86"/>
    <w:rsid w:val="51702D35"/>
    <w:rsid w:val="517272FA"/>
    <w:rsid w:val="517941F3"/>
    <w:rsid w:val="5187574D"/>
    <w:rsid w:val="519740F1"/>
    <w:rsid w:val="51AC22DE"/>
    <w:rsid w:val="51B86368"/>
    <w:rsid w:val="51CC2AC1"/>
    <w:rsid w:val="51D258AB"/>
    <w:rsid w:val="51DE0F6C"/>
    <w:rsid w:val="51ED4866"/>
    <w:rsid w:val="51FD3D54"/>
    <w:rsid w:val="52144897"/>
    <w:rsid w:val="521A0F6B"/>
    <w:rsid w:val="522B00BB"/>
    <w:rsid w:val="526D7E62"/>
    <w:rsid w:val="528862C9"/>
    <w:rsid w:val="52895867"/>
    <w:rsid w:val="528F3C5C"/>
    <w:rsid w:val="52960FCB"/>
    <w:rsid w:val="52A4010B"/>
    <w:rsid w:val="52AF2FDC"/>
    <w:rsid w:val="52C34C2F"/>
    <w:rsid w:val="52E850B8"/>
    <w:rsid w:val="52F76CB5"/>
    <w:rsid w:val="52F83F96"/>
    <w:rsid w:val="52FE5DCD"/>
    <w:rsid w:val="530A0052"/>
    <w:rsid w:val="531F4FE2"/>
    <w:rsid w:val="532F64D3"/>
    <w:rsid w:val="53364A26"/>
    <w:rsid w:val="53437DCD"/>
    <w:rsid w:val="53547789"/>
    <w:rsid w:val="537362D3"/>
    <w:rsid w:val="537F64E6"/>
    <w:rsid w:val="538F1D3C"/>
    <w:rsid w:val="53C702FC"/>
    <w:rsid w:val="53CF7AB8"/>
    <w:rsid w:val="53E63FB2"/>
    <w:rsid w:val="53F90BCB"/>
    <w:rsid w:val="54044D39"/>
    <w:rsid w:val="54086B94"/>
    <w:rsid w:val="5414486D"/>
    <w:rsid w:val="5420515E"/>
    <w:rsid w:val="544F139B"/>
    <w:rsid w:val="545F7590"/>
    <w:rsid w:val="546350F0"/>
    <w:rsid w:val="54743AD1"/>
    <w:rsid w:val="54BC272B"/>
    <w:rsid w:val="54CA7E12"/>
    <w:rsid w:val="54D91A9B"/>
    <w:rsid w:val="54DD1993"/>
    <w:rsid w:val="54F67C91"/>
    <w:rsid w:val="54F75BB8"/>
    <w:rsid w:val="551815EC"/>
    <w:rsid w:val="55321234"/>
    <w:rsid w:val="55613F1C"/>
    <w:rsid w:val="55881E81"/>
    <w:rsid w:val="55C14C45"/>
    <w:rsid w:val="55CF3B1C"/>
    <w:rsid w:val="55D711AD"/>
    <w:rsid w:val="55DD555B"/>
    <w:rsid w:val="55F15500"/>
    <w:rsid w:val="560A60FE"/>
    <w:rsid w:val="56360B33"/>
    <w:rsid w:val="564009C7"/>
    <w:rsid w:val="564455B0"/>
    <w:rsid w:val="56773703"/>
    <w:rsid w:val="56861F07"/>
    <w:rsid w:val="56894D16"/>
    <w:rsid w:val="56A0597B"/>
    <w:rsid w:val="56BA69E3"/>
    <w:rsid w:val="56BB61F8"/>
    <w:rsid w:val="56D1481D"/>
    <w:rsid w:val="572517F6"/>
    <w:rsid w:val="574572A6"/>
    <w:rsid w:val="576D062A"/>
    <w:rsid w:val="577048BD"/>
    <w:rsid w:val="5787781E"/>
    <w:rsid w:val="57906259"/>
    <w:rsid w:val="579E6826"/>
    <w:rsid w:val="57A61471"/>
    <w:rsid w:val="57AE5DD1"/>
    <w:rsid w:val="57B832E3"/>
    <w:rsid w:val="57C63ADF"/>
    <w:rsid w:val="57C830C0"/>
    <w:rsid w:val="57D377C8"/>
    <w:rsid w:val="58036E53"/>
    <w:rsid w:val="581C1059"/>
    <w:rsid w:val="581E1B71"/>
    <w:rsid w:val="581F0C05"/>
    <w:rsid w:val="58461308"/>
    <w:rsid w:val="58465D3B"/>
    <w:rsid w:val="58476AEE"/>
    <w:rsid w:val="586F4527"/>
    <w:rsid w:val="588921C2"/>
    <w:rsid w:val="5894307D"/>
    <w:rsid w:val="58DF0B3E"/>
    <w:rsid w:val="590728EA"/>
    <w:rsid w:val="590B428D"/>
    <w:rsid w:val="59254136"/>
    <w:rsid w:val="59257E7C"/>
    <w:rsid w:val="59481624"/>
    <w:rsid w:val="5963656F"/>
    <w:rsid w:val="59AB561D"/>
    <w:rsid w:val="59C05F9B"/>
    <w:rsid w:val="59D86922"/>
    <w:rsid w:val="59E53991"/>
    <w:rsid w:val="59EE6BC3"/>
    <w:rsid w:val="59F45E1E"/>
    <w:rsid w:val="5A12393C"/>
    <w:rsid w:val="5A437D16"/>
    <w:rsid w:val="5A5E6E30"/>
    <w:rsid w:val="5A6917DF"/>
    <w:rsid w:val="5A6B25A1"/>
    <w:rsid w:val="5A79760E"/>
    <w:rsid w:val="5AB26551"/>
    <w:rsid w:val="5ADF7A8F"/>
    <w:rsid w:val="5AE519CE"/>
    <w:rsid w:val="5AE728F2"/>
    <w:rsid w:val="5AE90AB9"/>
    <w:rsid w:val="5B5A30F7"/>
    <w:rsid w:val="5B69730C"/>
    <w:rsid w:val="5B71355B"/>
    <w:rsid w:val="5B872F69"/>
    <w:rsid w:val="5BB0219E"/>
    <w:rsid w:val="5BB219CB"/>
    <w:rsid w:val="5BD145E6"/>
    <w:rsid w:val="5C094662"/>
    <w:rsid w:val="5C0F207A"/>
    <w:rsid w:val="5C17765B"/>
    <w:rsid w:val="5C2A5A14"/>
    <w:rsid w:val="5C325BC6"/>
    <w:rsid w:val="5C371608"/>
    <w:rsid w:val="5C4D3A67"/>
    <w:rsid w:val="5C632936"/>
    <w:rsid w:val="5C6B7ADC"/>
    <w:rsid w:val="5C6B7B6A"/>
    <w:rsid w:val="5C8F7FE9"/>
    <w:rsid w:val="5CBB337F"/>
    <w:rsid w:val="5CC84675"/>
    <w:rsid w:val="5CE81438"/>
    <w:rsid w:val="5CEC2F19"/>
    <w:rsid w:val="5CFA2FF2"/>
    <w:rsid w:val="5D115534"/>
    <w:rsid w:val="5D3B4826"/>
    <w:rsid w:val="5D644B75"/>
    <w:rsid w:val="5D711535"/>
    <w:rsid w:val="5D75715F"/>
    <w:rsid w:val="5D7A6E65"/>
    <w:rsid w:val="5D906EB0"/>
    <w:rsid w:val="5DA3511B"/>
    <w:rsid w:val="5DA55816"/>
    <w:rsid w:val="5DA659C4"/>
    <w:rsid w:val="5DAA0B41"/>
    <w:rsid w:val="5DCE4CE6"/>
    <w:rsid w:val="5E0A55D1"/>
    <w:rsid w:val="5E0A6E80"/>
    <w:rsid w:val="5E0B628F"/>
    <w:rsid w:val="5E0F19E0"/>
    <w:rsid w:val="5E1C50BE"/>
    <w:rsid w:val="5E294764"/>
    <w:rsid w:val="5E2B5C67"/>
    <w:rsid w:val="5E2E5CF0"/>
    <w:rsid w:val="5E510865"/>
    <w:rsid w:val="5E6D3C76"/>
    <w:rsid w:val="5E9351ED"/>
    <w:rsid w:val="5E947055"/>
    <w:rsid w:val="5E9954C0"/>
    <w:rsid w:val="5EDC234C"/>
    <w:rsid w:val="5EE73163"/>
    <w:rsid w:val="5F207714"/>
    <w:rsid w:val="5F4B26F8"/>
    <w:rsid w:val="5F521681"/>
    <w:rsid w:val="5F5C2B89"/>
    <w:rsid w:val="5F6309B0"/>
    <w:rsid w:val="5F6D1F1D"/>
    <w:rsid w:val="5F722D00"/>
    <w:rsid w:val="5F7A756C"/>
    <w:rsid w:val="5F872D53"/>
    <w:rsid w:val="5FE10A94"/>
    <w:rsid w:val="60012050"/>
    <w:rsid w:val="601C4294"/>
    <w:rsid w:val="607A4832"/>
    <w:rsid w:val="607F1942"/>
    <w:rsid w:val="609B5788"/>
    <w:rsid w:val="611248CD"/>
    <w:rsid w:val="611A6E7F"/>
    <w:rsid w:val="612010B9"/>
    <w:rsid w:val="612C2FB7"/>
    <w:rsid w:val="6183061B"/>
    <w:rsid w:val="618D0FA0"/>
    <w:rsid w:val="618F578D"/>
    <w:rsid w:val="61984726"/>
    <w:rsid w:val="61A6123F"/>
    <w:rsid w:val="61A83969"/>
    <w:rsid w:val="61D124C6"/>
    <w:rsid w:val="61D47D90"/>
    <w:rsid w:val="61DF3A0A"/>
    <w:rsid w:val="61EB0337"/>
    <w:rsid w:val="620806C4"/>
    <w:rsid w:val="6218585F"/>
    <w:rsid w:val="623662BC"/>
    <w:rsid w:val="62373C4F"/>
    <w:rsid w:val="62577ACA"/>
    <w:rsid w:val="62593427"/>
    <w:rsid w:val="625C2518"/>
    <w:rsid w:val="625E330B"/>
    <w:rsid w:val="625E5973"/>
    <w:rsid w:val="628E46D6"/>
    <w:rsid w:val="62A27B67"/>
    <w:rsid w:val="62B72BD3"/>
    <w:rsid w:val="62C17420"/>
    <w:rsid w:val="6333705E"/>
    <w:rsid w:val="636739FF"/>
    <w:rsid w:val="63893F4E"/>
    <w:rsid w:val="63913FC0"/>
    <w:rsid w:val="63B16485"/>
    <w:rsid w:val="63DC7C17"/>
    <w:rsid w:val="63EA0153"/>
    <w:rsid w:val="63F245BB"/>
    <w:rsid w:val="640E0057"/>
    <w:rsid w:val="641D5906"/>
    <w:rsid w:val="64433AD0"/>
    <w:rsid w:val="644B63E6"/>
    <w:rsid w:val="64681277"/>
    <w:rsid w:val="64705CE7"/>
    <w:rsid w:val="64894E16"/>
    <w:rsid w:val="649316B8"/>
    <w:rsid w:val="64D11745"/>
    <w:rsid w:val="64DC6153"/>
    <w:rsid w:val="64E1441E"/>
    <w:rsid w:val="64FA723C"/>
    <w:rsid w:val="64FF7818"/>
    <w:rsid w:val="650C2233"/>
    <w:rsid w:val="650D6202"/>
    <w:rsid w:val="65182109"/>
    <w:rsid w:val="652B0157"/>
    <w:rsid w:val="652F5952"/>
    <w:rsid w:val="654C3F58"/>
    <w:rsid w:val="65754F07"/>
    <w:rsid w:val="65901B9E"/>
    <w:rsid w:val="65AD3426"/>
    <w:rsid w:val="65B03297"/>
    <w:rsid w:val="65CD0570"/>
    <w:rsid w:val="65DB0DC2"/>
    <w:rsid w:val="66077228"/>
    <w:rsid w:val="662C630C"/>
    <w:rsid w:val="66463027"/>
    <w:rsid w:val="664F56C8"/>
    <w:rsid w:val="66564A15"/>
    <w:rsid w:val="667C33C5"/>
    <w:rsid w:val="66AF0A52"/>
    <w:rsid w:val="66C758A9"/>
    <w:rsid w:val="66DD165A"/>
    <w:rsid w:val="670D6306"/>
    <w:rsid w:val="672D7433"/>
    <w:rsid w:val="673B2B83"/>
    <w:rsid w:val="675D7AE1"/>
    <w:rsid w:val="6763721A"/>
    <w:rsid w:val="67640451"/>
    <w:rsid w:val="67664901"/>
    <w:rsid w:val="67676F05"/>
    <w:rsid w:val="67704596"/>
    <w:rsid w:val="6780752C"/>
    <w:rsid w:val="67A415EF"/>
    <w:rsid w:val="67A479FD"/>
    <w:rsid w:val="67F3624F"/>
    <w:rsid w:val="684E2C5E"/>
    <w:rsid w:val="686F0779"/>
    <w:rsid w:val="689C5A45"/>
    <w:rsid w:val="689E44E9"/>
    <w:rsid w:val="68A07350"/>
    <w:rsid w:val="68AC713E"/>
    <w:rsid w:val="68CE1731"/>
    <w:rsid w:val="68D74B76"/>
    <w:rsid w:val="68EF2D94"/>
    <w:rsid w:val="68F44233"/>
    <w:rsid w:val="68FB4076"/>
    <w:rsid w:val="6905655A"/>
    <w:rsid w:val="690634AF"/>
    <w:rsid w:val="691A4426"/>
    <w:rsid w:val="6938794B"/>
    <w:rsid w:val="696B5CFA"/>
    <w:rsid w:val="697C2381"/>
    <w:rsid w:val="69816225"/>
    <w:rsid w:val="69836C11"/>
    <w:rsid w:val="6999700A"/>
    <w:rsid w:val="699A7370"/>
    <w:rsid w:val="69A35A6F"/>
    <w:rsid w:val="69A872C2"/>
    <w:rsid w:val="69C90212"/>
    <w:rsid w:val="6A0724F9"/>
    <w:rsid w:val="6A165C6B"/>
    <w:rsid w:val="6A2871C3"/>
    <w:rsid w:val="6A2D681A"/>
    <w:rsid w:val="6A6B1161"/>
    <w:rsid w:val="6AB134DB"/>
    <w:rsid w:val="6AD26DCD"/>
    <w:rsid w:val="6AE77918"/>
    <w:rsid w:val="6AF5357C"/>
    <w:rsid w:val="6B061092"/>
    <w:rsid w:val="6B2137A0"/>
    <w:rsid w:val="6B3A7A70"/>
    <w:rsid w:val="6B3D0314"/>
    <w:rsid w:val="6B5B623A"/>
    <w:rsid w:val="6BA00309"/>
    <w:rsid w:val="6BC07B6D"/>
    <w:rsid w:val="6BCB677C"/>
    <w:rsid w:val="6BD4768A"/>
    <w:rsid w:val="6BD90CB3"/>
    <w:rsid w:val="6BFE1A9E"/>
    <w:rsid w:val="6C2C6B2D"/>
    <w:rsid w:val="6C5056ED"/>
    <w:rsid w:val="6C6624CD"/>
    <w:rsid w:val="6C701932"/>
    <w:rsid w:val="6C831932"/>
    <w:rsid w:val="6C8C06B3"/>
    <w:rsid w:val="6C8E44E9"/>
    <w:rsid w:val="6CB579D1"/>
    <w:rsid w:val="6CBE605E"/>
    <w:rsid w:val="6CBF0D8B"/>
    <w:rsid w:val="6CD418C9"/>
    <w:rsid w:val="6CF5521A"/>
    <w:rsid w:val="6D067B0B"/>
    <w:rsid w:val="6D0A436D"/>
    <w:rsid w:val="6D2905A1"/>
    <w:rsid w:val="6D40062B"/>
    <w:rsid w:val="6D473010"/>
    <w:rsid w:val="6D4F2A40"/>
    <w:rsid w:val="6D5D1D92"/>
    <w:rsid w:val="6D7D7934"/>
    <w:rsid w:val="6D843AA0"/>
    <w:rsid w:val="6D873780"/>
    <w:rsid w:val="6D874C7F"/>
    <w:rsid w:val="6D9A2A51"/>
    <w:rsid w:val="6DA65B2F"/>
    <w:rsid w:val="6E2058DF"/>
    <w:rsid w:val="6E2314E1"/>
    <w:rsid w:val="6E3D7EA8"/>
    <w:rsid w:val="6E3E57D8"/>
    <w:rsid w:val="6E6A5FDF"/>
    <w:rsid w:val="6E723423"/>
    <w:rsid w:val="6EB52761"/>
    <w:rsid w:val="6EBD333F"/>
    <w:rsid w:val="6ED03BE8"/>
    <w:rsid w:val="6F1806B1"/>
    <w:rsid w:val="6F1A465E"/>
    <w:rsid w:val="6F267B1A"/>
    <w:rsid w:val="6F2C5301"/>
    <w:rsid w:val="6F355555"/>
    <w:rsid w:val="6F5E46B6"/>
    <w:rsid w:val="6F785F95"/>
    <w:rsid w:val="6FBB1202"/>
    <w:rsid w:val="6FBF29B6"/>
    <w:rsid w:val="6FD766EC"/>
    <w:rsid w:val="701D2148"/>
    <w:rsid w:val="701E6A3A"/>
    <w:rsid w:val="702A39A6"/>
    <w:rsid w:val="70384780"/>
    <w:rsid w:val="706F1853"/>
    <w:rsid w:val="70747100"/>
    <w:rsid w:val="707E338E"/>
    <w:rsid w:val="708225FA"/>
    <w:rsid w:val="7083404D"/>
    <w:rsid w:val="708816E6"/>
    <w:rsid w:val="70A00311"/>
    <w:rsid w:val="70BA54F6"/>
    <w:rsid w:val="70BB0D5E"/>
    <w:rsid w:val="70BE1DC3"/>
    <w:rsid w:val="70D504F6"/>
    <w:rsid w:val="70D61D09"/>
    <w:rsid w:val="70F84D5E"/>
    <w:rsid w:val="70F9659C"/>
    <w:rsid w:val="70FE2686"/>
    <w:rsid w:val="710724F3"/>
    <w:rsid w:val="7124739D"/>
    <w:rsid w:val="71266A74"/>
    <w:rsid w:val="713E2D0F"/>
    <w:rsid w:val="714C1A4B"/>
    <w:rsid w:val="71635360"/>
    <w:rsid w:val="717D55A0"/>
    <w:rsid w:val="71916B4B"/>
    <w:rsid w:val="71A41974"/>
    <w:rsid w:val="71A53EAC"/>
    <w:rsid w:val="71A97073"/>
    <w:rsid w:val="71B25DC4"/>
    <w:rsid w:val="71D50174"/>
    <w:rsid w:val="71F04757"/>
    <w:rsid w:val="71F30F05"/>
    <w:rsid w:val="721C60FD"/>
    <w:rsid w:val="724947B6"/>
    <w:rsid w:val="72604EDD"/>
    <w:rsid w:val="72666AC2"/>
    <w:rsid w:val="726D7524"/>
    <w:rsid w:val="7281774F"/>
    <w:rsid w:val="72BF0985"/>
    <w:rsid w:val="72FC42E0"/>
    <w:rsid w:val="72FF3886"/>
    <w:rsid w:val="730563D5"/>
    <w:rsid w:val="73260B65"/>
    <w:rsid w:val="73271AC9"/>
    <w:rsid w:val="733C5D78"/>
    <w:rsid w:val="73690309"/>
    <w:rsid w:val="7377668C"/>
    <w:rsid w:val="737D21F1"/>
    <w:rsid w:val="73873502"/>
    <w:rsid w:val="73AB732E"/>
    <w:rsid w:val="73B20127"/>
    <w:rsid w:val="73B2258E"/>
    <w:rsid w:val="73D01890"/>
    <w:rsid w:val="73D24D08"/>
    <w:rsid w:val="73F17CB8"/>
    <w:rsid w:val="73FA0E27"/>
    <w:rsid w:val="7431631F"/>
    <w:rsid w:val="74316CBA"/>
    <w:rsid w:val="744B3A5E"/>
    <w:rsid w:val="74941150"/>
    <w:rsid w:val="7496473B"/>
    <w:rsid w:val="74B33FA3"/>
    <w:rsid w:val="74B60D87"/>
    <w:rsid w:val="74B66864"/>
    <w:rsid w:val="74BB5AF8"/>
    <w:rsid w:val="74E450D3"/>
    <w:rsid w:val="74F86EAD"/>
    <w:rsid w:val="751034C9"/>
    <w:rsid w:val="75134D9F"/>
    <w:rsid w:val="752F3CFE"/>
    <w:rsid w:val="754C1678"/>
    <w:rsid w:val="754F0DC0"/>
    <w:rsid w:val="75570D15"/>
    <w:rsid w:val="75761081"/>
    <w:rsid w:val="759E41AF"/>
    <w:rsid w:val="75A562C0"/>
    <w:rsid w:val="75AC6B2F"/>
    <w:rsid w:val="75E57258"/>
    <w:rsid w:val="75E75883"/>
    <w:rsid w:val="75F7352B"/>
    <w:rsid w:val="76046285"/>
    <w:rsid w:val="761D5852"/>
    <w:rsid w:val="763531C8"/>
    <w:rsid w:val="76365A75"/>
    <w:rsid w:val="765A1929"/>
    <w:rsid w:val="765C4817"/>
    <w:rsid w:val="76653EF8"/>
    <w:rsid w:val="767C10AD"/>
    <w:rsid w:val="76A302C1"/>
    <w:rsid w:val="76D24DA2"/>
    <w:rsid w:val="76D85037"/>
    <w:rsid w:val="76E5294C"/>
    <w:rsid w:val="76F033B7"/>
    <w:rsid w:val="771A3C01"/>
    <w:rsid w:val="777907DB"/>
    <w:rsid w:val="777B41F4"/>
    <w:rsid w:val="77A04FEF"/>
    <w:rsid w:val="77A13F33"/>
    <w:rsid w:val="77B63A57"/>
    <w:rsid w:val="77BA73C5"/>
    <w:rsid w:val="77C1791F"/>
    <w:rsid w:val="77C57F3C"/>
    <w:rsid w:val="780A24F5"/>
    <w:rsid w:val="783B47D0"/>
    <w:rsid w:val="786E611C"/>
    <w:rsid w:val="787A1CAF"/>
    <w:rsid w:val="78812A2D"/>
    <w:rsid w:val="78855DAD"/>
    <w:rsid w:val="78976AF5"/>
    <w:rsid w:val="78D20543"/>
    <w:rsid w:val="78DF0397"/>
    <w:rsid w:val="78E40EB8"/>
    <w:rsid w:val="78EA100E"/>
    <w:rsid w:val="794B1CBE"/>
    <w:rsid w:val="795528FA"/>
    <w:rsid w:val="795B6B06"/>
    <w:rsid w:val="799F1A75"/>
    <w:rsid w:val="79AB7F06"/>
    <w:rsid w:val="79B738D1"/>
    <w:rsid w:val="79BA0F42"/>
    <w:rsid w:val="79D04C69"/>
    <w:rsid w:val="79D253BD"/>
    <w:rsid w:val="79DA1C85"/>
    <w:rsid w:val="79DD203F"/>
    <w:rsid w:val="79E04974"/>
    <w:rsid w:val="7A350440"/>
    <w:rsid w:val="7AA4152E"/>
    <w:rsid w:val="7AC12AA4"/>
    <w:rsid w:val="7AE03CB9"/>
    <w:rsid w:val="7AE05CA0"/>
    <w:rsid w:val="7B046EF0"/>
    <w:rsid w:val="7B1B0C46"/>
    <w:rsid w:val="7B294E90"/>
    <w:rsid w:val="7B2E417F"/>
    <w:rsid w:val="7B3418B7"/>
    <w:rsid w:val="7B3A4C6A"/>
    <w:rsid w:val="7B557719"/>
    <w:rsid w:val="7B6B7E98"/>
    <w:rsid w:val="7B9A508B"/>
    <w:rsid w:val="7BAD1723"/>
    <w:rsid w:val="7BBC5468"/>
    <w:rsid w:val="7BC718F2"/>
    <w:rsid w:val="7BDC64FE"/>
    <w:rsid w:val="7C3672FF"/>
    <w:rsid w:val="7C551DB9"/>
    <w:rsid w:val="7C8B2C1F"/>
    <w:rsid w:val="7C942B4D"/>
    <w:rsid w:val="7C9B00A3"/>
    <w:rsid w:val="7CA501DC"/>
    <w:rsid w:val="7CA722C8"/>
    <w:rsid w:val="7CB72EE4"/>
    <w:rsid w:val="7CF67626"/>
    <w:rsid w:val="7CFC3CED"/>
    <w:rsid w:val="7CFC437D"/>
    <w:rsid w:val="7D123F7B"/>
    <w:rsid w:val="7D2360EB"/>
    <w:rsid w:val="7D245D39"/>
    <w:rsid w:val="7D474204"/>
    <w:rsid w:val="7D645B07"/>
    <w:rsid w:val="7D6541CB"/>
    <w:rsid w:val="7D662CA2"/>
    <w:rsid w:val="7D6E48EB"/>
    <w:rsid w:val="7D764B56"/>
    <w:rsid w:val="7D785C0A"/>
    <w:rsid w:val="7DC66C7B"/>
    <w:rsid w:val="7DD23860"/>
    <w:rsid w:val="7DFC43D4"/>
    <w:rsid w:val="7E031CD2"/>
    <w:rsid w:val="7E040ABB"/>
    <w:rsid w:val="7E101F9D"/>
    <w:rsid w:val="7E105E91"/>
    <w:rsid w:val="7E1754BE"/>
    <w:rsid w:val="7E223BDC"/>
    <w:rsid w:val="7E3552D9"/>
    <w:rsid w:val="7E3C2CE6"/>
    <w:rsid w:val="7E650141"/>
    <w:rsid w:val="7E8B67DD"/>
    <w:rsid w:val="7E9D6DFD"/>
    <w:rsid w:val="7EAB3461"/>
    <w:rsid w:val="7EC20B31"/>
    <w:rsid w:val="7EC84B45"/>
    <w:rsid w:val="7EDF2C84"/>
    <w:rsid w:val="7EED21FB"/>
    <w:rsid w:val="7F0D478C"/>
    <w:rsid w:val="7F123BF3"/>
    <w:rsid w:val="7F21006A"/>
    <w:rsid w:val="7F2D34C8"/>
    <w:rsid w:val="7F2F7D0C"/>
    <w:rsid w:val="7F3C30AF"/>
    <w:rsid w:val="7F3E5646"/>
    <w:rsid w:val="7F734787"/>
    <w:rsid w:val="7FAB7425"/>
    <w:rsid w:val="7FD305C7"/>
    <w:rsid w:val="7FD63995"/>
    <w:rsid w:val="7FD7348F"/>
    <w:rsid w:val="7FDA0F38"/>
    <w:rsid w:val="7FF37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iPriority="99" w:name="Body Text First Indent"/>
    <w:lsdException w:uiPriority="99" w:name="Body Text First Indent 2"/>
    <w:lsdException w:uiPriority="99" w:name="Note Heading"/>
    <w:lsdException w:uiPriority="99" w:name="Body Text 2"/>
    <w:lsdException w:qFormat="1" w:uiPriority="99" w:name="Body Text 3"/>
    <w:lsdException w:qFormat="1" w:uiPriority="99" w:name="Body Text Indent 2"/>
    <w:lsdException w:qFormat="1" w:uiPriority="99" w:name="Body Text Indent 3"/>
    <w:lsdException w:uiPriority="99" w:name="Block Text"/>
    <w:lsdException w:qFormat="1" w:uiPriority="0" w:semiHidden="0" w:name="Hyperlink"/>
    <w:lsdException w:qFormat="1" w:uiPriority="0" w:name="FollowedHyperlink"/>
    <w:lsdException w:qFormat="1" w:unhideWhenUsed="0" w:uiPriority="0"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0"/>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1"/>
    <w:unhideWhenUsed/>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2"/>
    <w:unhideWhenUsed/>
    <w:qFormat/>
    <w:uiPriority w:val="0"/>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3"/>
    <w:semiHidden/>
    <w:unhideWhenUsed/>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4"/>
    <w:semiHidden/>
    <w:unhideWhenUsed/>
    <w:qFormat/>
    <w:uiPriority w:val="0"/>
    <w:pPr>
      <w:keepNext/>
      <w:keepLines/>
      <w:spacing w:before="280" w:after="290" w:line="374"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7">
    <w:name w:val="Normal Indent"/>
    <w:basedOn w:val="1"/>
    <w:semiHidden/>
    <w:unhideWhenUsed/>
    <w:qFormat/>
    <w:uiPriority w:val="99"/>
    <w:pPr>
      <w:ind w:firstLine="420"/>
    </w:pPr>
    <w:rPr>
      <w:rFonts w:ascii="幼圆" w:eastAsia="幼圆"/>
      <w:sz w:val="24"/>
      <w:szCs w:val="20"/>
    </w:rPr>
  </w:style>
  <w:style w:type="paragraph" w:styleId="8">
    <w:name w:val="Document Map"/>
    <w:basedOn w:val="1"/>
    <w:link w:val="48"/>
    <w:semiHidden/>
    <w:unhideWhenUsed/>
    <w:qFormat/>
    <w:uiPriority w:val="99"/>
    <w:pPr>
      <w:shd w:val="clear" w:color="auto" w:fill="000080"/>
    </w:pPr>
  </w:style>
  <w:style w:type="paragraph" w:styleId="9">
    <w:name w:val="annotation text"/>
    <w:basedOn w:val="1"/>
    <w:link w:val="36"/>
    <w:semiHidden/>
    <w:unhideWhenUsed/>
    <w:qFormat/>
    <w:uiPriority w:val="99"/>
    <w:pPr>
      <w:jc w:val="left"/>
    </w:pPr>
    <w:rPr>
      <w:rFonts w:ascii="Times New Roman" w:hAnsi="Times New Roman"/>
      <w:szCs w:val="20"/>
    </w:rPr>
  </w:style>
  <w:style w:type="paragraph" w:styleId="10">
    <w:name w:val="Body Text 3"/>
    <w:basedOn w:val="1"/>
    <w:link w:val="45"/>
    <w:semiHidden/>
    <w:unhideWhenUsed/>
    <w:qFormat/>
    <w:uiPriority w:val="99"/>
    <w:pPr>
      <w:spacing w:after="120"/>
    </w:pPr>
    <w:rPr>
      <w:sz w:val="16"/>
      <w:szCs w:val="16"/>
    </w:rPr>
  </w:style>
  <w:style w:type="paragraph" w:styleId="11">
    <w:name w:val="Closing"/>
    <w:basedOn w:val="1"/>
    <w:next w:val="1"/>
    <w:link w:val="40"/>
    <w:semiHidden/>
    <w:unhideWhenUsed/>
    <w:qFormat/>
    <w:uiPriority w:val="99"/>
    <w:pPr>
      <w:widowControl/>
      <w:ind w:left="4320"/>
      <w:jc w:val="left"/>
    </w:pPr>
    <w:rPr>
      <w:kern w:val="0"/>
      <w:sz w:val="20"/>
      <w:szCs w:val="20"/>
    </w:rPr>
  </w:style>
  <w:style w:type="paragraph" w:styleId="12">
    <w:name w:val="Body Text"/>
    <w:basedOn w:val="1"/>
    <w:link w:val="41"/>
    <w:semiHidden/>
    <w:unhideWhenUsed/>
    <w:qFormat/>
    <w:uiPriority w:val="99"/>
    <w:pPr>
      <w:spacing w:after="120"/>
    </w:pPr>
  </w:style>
  <w:style w:type="paragraph" w:styleId="13">
    <w:name w:val="Body Text Indent"/>
    <w:basedOn w:val="1"/>
    <w:link w:val="42"/>
    <w:semiHidden/>
    <w:unhideWhenUsed/>
    <w:qFormat/>
    <w:uiPriority w:val="99"/>
    <w:pPr>
      <w:spacing w:after="120"/>
      <w:ind w:left="420" w:leftChars="200"/>
    </w:pPr>
  </w:style>
  <w:style w:type="paragraph" w:styleId="14">
    <w:name w:val="Plain Text"/>
    <w:basedOn w:val="1"/>
    <w:link w:val="49"/>
    <w:semiHidden/>
    <w:unhideWhenUsed/>
    <w:qFormat/>
    <w:uiPriority w:val="99"/>
    <w:rPr>
      <w:rFonts w:ascii="宋体" w:hAnsi="Courier New"/>
      <w:szCs w:val="20"/>
    </w:rPr>
  </w:style>
  <w:style w:type="paragraph" w:styleId="15">
    <w:name w:val="Date"/>
    <w:basedOn w:val="1"/>
    <w:next w:val="1"/>
    <w:link w:val="43"/>
    <w:unhideWhenUsed/>
    <w:qFormat/>
    <w:uiPriority w:val="0"/>
  </w:style>
  <w:style w:type="paragraph" w:styleId="16">
    <w:name w:val="Body Text Indent 2"/>
    <w:basedOn w:val="1"/>
    <w:link w:val="46"/>
    <w:semiHidden/>
    <w:unhideWhenUsed/>
    <w:qFormat/>
    <w:uiPriority w:val="99"/>
    <w:pPr>
      <w:spacing w:line="360" w:lineRule="auto"/>
      <w:ind w:firstLine="540" w:firstLineChars="225"/>
    </w:pPr>
    <w:rPr>
      <w:rFonts w:ascii="幼圆" w:eastAsia="幼圆"/>
      <w:sz w:val="24"/>
      <w:szCs w:val="20"/>
    </w:rPr>
  </w:style>
  <w:style w:type="paragraph" w:styleId="17">
    <w:name w:val="Balloon Text"/>
    <w:basedOn w:val="1"/>
    <w:link w:val="50"/>
    <w:semiHidden/>
    <w:unhideWhenUsed/>
    <w:qFormat/>
    <w:uiPriority w:val="99"/>
    <w:rPr>
      <w:sz w:val="18"/>
      <w:szCs w:val="18"/>
    </w:rPr>
  </w:style>
  <w:style w:type="paragraph" w:styleId="18">
    <w:name w:val="footer"/>
    <w:basedOn w:val="1"/>
    <w:link w:val="38"/>
    <w:unhideWhenUsed/>
    <w:qFormat/>
    <w:uiPriority w:val="99"/>
    <w:pPr>
      <w:widowControl/>
      <w:tabs>
        <w:tab w:val="center" w:pos="4153"/>
        <w:tab w:val="right" w:pos="8306"/>
      </w:tabs>
      <w:snapToGrid w:val="0"/>
      <w:jc w:val="left"/>
    </w:pPr>
    <w:rPr>
      <w:rFonts w:ascii="宋体" w:hAnsi="宋体"/>
      <w:kern w:val="0"/>
      <w:sz w:val="18"/>
      <w:szCs w:val="18"/>
    </w:rPr>
  </w:style>
  <w:style w:type="paragraph" w:styleId="19">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Body Text Indent 3"/>
    <w:basedOn w:val="1"/>
    <w:link w:val="47"/>
    <w:semiHidden/>
    <w:unhideWhenUsed/>
    <w:qFormat/>
    <w:uiPriority w:val="99"/>
    <w:pPr>
      <w:widowControl/>
      <w:spacing w:line="300" w:lineRule="auto"/>
      <w:ind w:firstLine="480" w:firstLineChars="200"/>
    </w:pPr>
    <w:rPr>
      <w:rFonts w:ascii="宋体" w:hAnsi="宋体"/>
      <w:bCs/>
      <w:kern w:val="0"/>
      <w:sz w:val="24"/>
    </w:rPr>
  </w:style>
  <w:style w:type="paragraph" w:styleId="21">
    <w:name w:val="Normal (Web)"/>
    <w:basedOn w:val="1"/>
    <w:qFormat/>
    <w:uiPriority w:val="0"/>
    <w:pPr>
      <w:spacing w:before="100" w:beforeAutospacing="1" w:after="100" w:afterAutospacing="1"/>
      <w:jc w:val="left"/>
    </w:pPr>
    <w:rPr>
      <w:kern w:val="0"/>
      <w:sz w:val="24"/>
      <w:szCs w:val="24"/>
    </w:rPr>
  </w:style>
  <w:style w:type="paragraph" w:styleId="22">
    <w:name w:val="Title"/>
    <w:basedOn w:val="1"/>
    <w:next w:val="1"/>
    <w:link w:val="39"/>
    <w:qFormat/>
    <w:uiPriority w:val="10"/>
    <w:pPr>
      <w:spacing w:before="240" w:after="60"/>
      <w:jc w:val="center"/>
      <w:outlineLvl w:val="0"/>
    </w:pPr>
    <w:rPr>
      <w:rFonts w:ascii="Cambria" w:hAnsi="Cambria"/>
      <w:b/>
      <w:bCs/>
      <w:sz w:val="32"/>
      <w:szCs w:val="32"/>
    </w:rPr>
  </w:style>
  <w:style w:type="paragraph" w:styleId="23">
    <w:name w:val="Body Text First Indent"/>
    <w:basedOn w:val="12"/>
    <w:link w:val="44"/>
    <w:semiHidden/>
    <w:unhideWhenUsed/>
    <w:qFormat/>
    <w:uiPriority w:val="99"/>
    <w:pPr>
      <w:ind w:firstLine="420" w:firstLineChars="100"/>
    </w:p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7">
    <w:name w:val="Strong"/>
    <w:qFormat/>
    <w:uiPriority w:val="0"/>
    <w:rPr>
      <w:b/>
    </w:rPr>
  </w:style>
  <w:style w:type="character" w:styleId="28">
    <w:name w:val="FollowedHyperlink"/>
    <w:basedOn w:val="26"/>
    <w:semiHidden/>
    <w:unhideWhenUsed/>
    <w:qFormat/>
    <w:uiPriority w:val="0"/>
    <w:rPr>
      <w:color w:val="800080"/>
      <w:u w:val="none"/>
    </w:rPr>
  </w:style>
  <w:style w:type="character" w:styleId="29">
    <w:name w:val="Hyperlink"/>
    <w:unhideWhenUsed/>
    <w:qFormat/>
    <w:uiPriority w:val="0"/>
    <w:rPr>
      <w:color w:val="0000FF"/>
      <w:u w:val="single"/>
    </w:rPr>
  </w:style>
  <w:style w:type="character" w:customStyle="1" w:styleId="30">
    <w:name w:val="标题 1 字符"/>
    <w:basedOn w:val="26"/>
    <w:link w:val="2"/>
    <w:qFormat/>
    <w:uiPriority w:val="0"/>
    <w:rPr>
      <w:rFonts w:ascii="Times New Roman" w:hAnsi="Times New Roman" w:eastAsia="宋体" w:cs="Times New Roman"/>
      <w:b/>
      <w:kern w:val="44"/>
      <w:sz w:val="44"/>
      <w:szCs w:val="20"/>
    </w:rPr>
  </w:style>
  <w:style w:type="character" w:customStyle="1" w:styleId="31">
    <w:name w:val="标题 2 字符"/>
    <w:basedOn w:val="26"/>
    <w:link w:val="3"/>
    <w:qFormat/>
    <w:uiPriority w:val="0"/>
    <w:rPr>
      <w:rFonts w:ascii="Arial" w:hAnsi="Arial" w:eastAsia="黑体" w:cs="Times New Roman"/>
      <w:b/>
      <w:sz w:val="32"/>
      <w:szCs w:val="20"/>
    </w:rPr>
  </w:style>
  <w:style w:type="character" w:customStyle="1" w:styleId="32">
    <w:name w:val="标题 3 字符"/>
    <w:basedOn w:val="26"/>
    <w:link w:val="4"/>
    <w:qFormat/>
    <w:uiPriority w:val="0"/>
    <w:rPr>
      <w:rFonts w:ascii="Times New Roman" w:hAnsi="Times New Roman" w:eastAsia="宋体" w:cs="Times New Roman"/>
      <w:b/>
      <w:sz w:val="32"/>
      <w:szCs w:val="20"/>
    </w:rPr>
  </w:style>
  <w:style w:type="character" w:customStyle="1" w:styleId="33">
    <w:name w:val="标题 4 字符"/>
    <w:basedOn w:val="26"/>
    <w:link w:val="5"/>
    <w:semiHidden/>
    <w:qFormat/>
    <w:uiPriority w:val="0"/>
    <w:rPr>
      <w:rFonts w:ascii="Arial" w:hAnsi="Arial" w:eastAsia="黑体" w:cs="Times New Roman"/>
      <w:b/>
      <w:bCs/>
      <w:sz w:val="28"/>
      <w:szCs w:val="28"/>
    </w:rPr>
  </w:style>
  <w:style w:type="character" w:customStyle="1" w:styleId="34">
    <w:name w:val="标题 5 字符"/>
    <w:basedOn w:val="26"/>
    <w:link w:val="6"/>
    <w:semiHidden/>
    <w:qFormat/>
    <w:uiPriority w:val="0"/>
    <w:rPr>
      <w:rFonts w:ascii="Calibri" w:hAnsi="Calibri" w:eastAsia="宋体" w:cs="Times New Roman"/>
      <w:b/>
      <w:bCs/>
      <w:sz w:val="28"/>
      <w:szCs w:val="28"/>
    </w:rPr>
  </w:style>
  <w:style w:type="paragraph" w:customStyle="1" w:styleId="35">
    <w:name w:val="msonormal"/>
    <w:basedOn w:val="1"/>
    <w:qFormat/>
    <w:uiPriority w:val="99"/>
    <w:pPr>
      <w:widowControl/>
      <w:spacing w:before="100" w:beforeAutospacing="1" w:after="100" w:afterAutospacing="1"/>
      <w:jc w:val="left"/>
    </w:pPr>
    <w:rPr>
      <w:rFonts w:ascii="宋体" w:hAnsi="宋体"/>
      <w:kern w:val="0"/>
      <w:sz w:val="24"/>
    </w:rPr>
  </w:style>
  <w:style w:type="character" w:customStyle="1" w:styleId="36">
    <w:name w:val="批注文字 字符"/>
    <w:basedOn w:val="26"/>
    <w:link w:val="9"/>
    <w:semiHidden/>
    <w:qFormat/>
    <w:uiPriority w:val="99"/>
    <w:rPr>
      <w:rFonts w:ascii="Times New Roman" w:hAnsi="Times New Roman" w:eastAsia="宋体" w:cs="Times New Roman"/>
      <w:szCs w:val="20"/>
    </w:rPr>
  </w:style>
  <w:style w:type="character" w:customStyle="1" w:styleId="37">
    <w:name w:val="页眉 字符"/>
    <w:basedOn w:val="26"/>
    <w:link w:val="19"/>
    <w:qFormat/>
    <w:uiPriority w:val="99"/>
    <w:rPr>
      <w:rFonts w:ascii="Calibri" w:hAnsi="Calibri" w:eastAsia="宋体" w:cs="Times New Roman"/>
      <w:sz w:val="18"/>
      <w:szCs w:val="18"/>
    </w:rPr>
  </w:style>
  <w:style w:type="character" w:customStyle="1" w:styleId="38">
    <w:name w:val="页脚 字符"/>
    <w:basedOn w:val="26"/>
    <w:link w:val="18"/>
    <w:qFormat/>
    <w:uiPriority w:val="99"/>
    <w:rPr>
      <w:rFonts w:ascii="宋体" w:hAnsi="宋体" w:eastAsia="宋体" w:cs="Times New Roman"/>
      <w:kern w:val="0"/>
      <w:sz w:val="18"/>
      <w:szCs w:val="18"/>
    </w:rPr>
  </w:style>
  <w:style w:type="character" w:customStyle="1" w:styleId="39">
    <w:name w:val="标题 字符"/>
    <w:basedOn w:val="26"/>
    <w:link w:val="22"/>
    <w:qFormat/>
    <w:uiPriority w:val="10"/>
    <w:rPr>
      <w:rFonts w:ascii="Cambria" w:hAnsi="Cambria" w:eastAsia="宋体" w:cs="Times New Roman"/>
      <w:b/>
      <w:bCs/>
      <w:sz w:val="32"/>
      <w:szCs w:val="32"/>
    </w:rPr>
  </w:style>
  <w:style w:type="character" w:customStyle="1" w:styleId="40">
    <w:name w:val="结束语 字符"/>
    <w:basedOn w:val="26"/>
    <w:link w:val="11"/>
    <w:semiHidden/>
    <w:qFormat/>
    <w:uiPriority w:val="99"/>
    <w:rPr>
      <w:rFonts w:ascii="Calibri" w:hAnsi="Calibri" w:eastAsia="宋体" w:cs="Times New Roman"/>
      <w:kern w:val="0"/>
      <w:sz w:val="20"/>
      <w:szCs w:val="20"/>
    </w:rPr>
  </w:style>
  <w:style w:type="character" w:customStyle="1" w:styleId="41">
    <w:name w:val="正文文本 字符"/>
    <w:basedOn w:val="26"/>
    <w:link w:val="12"/>
    <w:semiHidden/>
    <w:qFormat/>
    <w:uiPriority w:val="99"/>
    <w:rPr>
      <w:rFonts w:ascii="Calibri" w:hAnsi="Calibri" w:eastAsia="宋体" w:cs="Times New Roman"/>
    </w:rPr>
  </w:style>
  <w:style w:type="character" w:customStyle="1" w:styleId="42">
    <w:name w:val="正文文本缩进 字符"/>
    <w:basedOn w:val="26"/>
    <w:link w:val="13"/>
    <w:semiHidden/>
    <w:qFormat/>
    <w:uiPriority w:val="99"/>
    <w:rPr>
      <w:rFonts w:ascii="Calibri" w:hAnsi="Calibri" w:eastAsia="宋体" w:cs="Times New Roman"/>
    </w:rPr>
  </w:style>
  <w:style w:type="character" w:customStyle="1" w:styleId="43">
    <w:name w:val="日期 字符"/>
    <w:basedOn w:val="26"/>
    <w:link w:val="15"/>
    <w:semiHidden/>
    <w:qFormat/>
    <w:uiPriority w:val="99"/>
    <w:rPr>
      <w:rFonts w:ascii="Calibri" w:hAnsi="Calibri" w:eastAsia="宋体" w:cs="Times New Roman"/>
    </w:rPr>
  </w:style>
  <w:style w:type="character" w:customStyle="1" w:styleId="44">
    <w:name w:val="正文首行缩进 字符"/>
    <w:basedOn w:val="41"/>
    <w:link w:val="23"/>
    <w:semiHidden/>
    <w:qFormat/>
    <w:uiPriority w:val="99"/>
    <w:rPr>
      <w:rFonts w:ascii="Calibri" w:hAnsi="Calibri" w:eastAsia="宋体" w:cs="Times New Roman"/>
    </w:rPr>
  </w:style>
  <w:style w:type="character" w:customStyle="1" w:styleId="45">
    <w:name w:val="正文文本 3 字符"/>
    <w:basedOn w:val="26"/>
    <w:link w:val="10"/>
    <w:semiHidden/>
    <w:qFormat/>
    <w:uiPriority w:val="99"/>
    <w:rPr>
      <w:rFonts w:ascii="Calibri" w:hAnsi="Calibri" w:eastAsia="宋体" w:cs="Times New Roman"/>
      <w:sz w:val="16"/>
      <w:szCs w:val="16"/>
    </w:rPr>
  </w:style>
  <w:style w:type="character" w:customStyle="1" w:styleId="46">
    <w:name w:val="正文文本缩进 2 字符"/>
    <w:basedOn w:val="26"/>
    <w:link w:val="16"/>
    <w:semiHidden/>
    <w:qFormat/>
    <w:uiPriority w:val="99"/>
    <w:rPr>
      <w:rFonts w:ascii="幼圆" w:hAnsi="Calibri" w:eastAsia="幼圆" w:cs="Times New Roman"/>
      <w:sz w:val="24"/>
      <w:szCs w:val="20"/>
    </w:rPr>
  </w:style>
  <w:style w:type="character" w:customStyle="1" w:styleId="47">
    <w:name w:val="正文文本缩进 3 字符"/>
    <w:basedOn w:val="26"/>
    <w:link w:val="20"/>
    <w:semiHidden/>
    <w:qFormat/>
    <w:uiPriority w:val="99"/>
    <w:rPr>
      <w:rFonts w:ascii="宋体" w:hAnsi="宋体" w:eastAsia="宋体" w:cs="Times New Roman"/>
      <w:bCs/>
      <w:kern w:val="0"/>
      <w:sz w:val="24"/>
    </w:rPr>
  </w:style>
  <w:style w:type="character" w:customStyle="1" w:styleId="48">
    <w:name w:val="文档结构图 字符"/>
    <w:basedOn w:val="26"/>
    <w:link w:val="8"/>
    <w:semiHidden/>
    <w:qFormat/>
    <w:uiPriority w:val="99"/>
    <w:rPr>
      <w:rFonts w:ascii="Calibri" w:hAnsi="Calibri" w:eastAsia="宋体" w:cs="Times New Roman"/>
      <w:shd w:val="clear" w:color="auto" w:fill="000080"/>
    </w:rPr>
  </w:style>
  <w:style w:type="character" w:customStyle="1" w:styleId="49">
    <w:name w:val="纯文本 字符"/>
    <w:basedOn w:val="26"/>
    <w:link w:val="14"/>
    <w:semiHidden/>
    <w:qFormat/>
    <w:uiPriority w:val="99"/>
    <w:rPr>
      <w:rFonts w:ascii="宋体" w:hAnsi="Courier New" w:eastAsia="宋体" w:cs="Times New Roman"/>
      <w:szCs w:val="20"/>
    </w:rPr>
  </w:style>
  <w:style w:type="character" w:customStyle="1" w:styleId="50">
    <w:name w:val="批注框文本 字符"/>
    <w:basedOn w:val="26"/>
    <w:link w:val="17"/>
    <w:semiHidden/>
    <w:qFormat/>
    <w:uiPriority w:val="99"/>
    <w:rPr>
      <w:rFonts w:ascii="Calibri" w:hAnsi="Calibri" w:eastAsia="宋体" w:cs="Times New Roman"/>
      <w:sz w:val="18"/>
      <w:szCs w:val="18"/>
    </w:rPr>
  </w:style>
  <w:style w:type="character" w:customStyle="1" w:styleId="51">
    <w:name w:val="无间隔 字符"/>
    <w:link w:val="52"/>
    <w:qFormat/>
    <w:locked/>
    <w:uiPriority w:val="0"/>
    <w:rPr>
      <w:rFonts w:ascii="Calibri" w:hAnsi="Calibri" w:cs="Calibri"/>
      <w:sz w:val="22"/>
    </w:rPr>
  </w:style>
  <w:style w:type="paragraph" w:styleId="52">
    <w:name w:val="No Spacing"/>
    <w:link w:val="51"/>
    <w:qFormat/>
    <w:uiPriority w:val="0"/>
    <w:rPr>
      <w:rFonts w:ascii="Calibri" w:hAnsi="Calibri" w:cs="Calibri" w:eastAsiaTheme="minorEastAsia"/>
      <w:kern w:val="2"/>
      <w:sz w:val="22"/>
      <w:szCs w:val="22"/>
      <w:lang w:val="en-US" w:eastAsia="zh-CN" w:bidi="ar-SA"/>
    </w:rPr>
  </w:style>
  <w:style w:type="paragraph" w:styleId="53">
    <w:name w:val="List Paragraph"/>
    <w:basedOn w:val="1"/>
    <w:qFormat/>
    <w:uiPriority w:val="99"/>
    <w:pPr>
      <w:ind w:firstLine="420" w:firstLineChars="200"/>
    </w:pPr>
  </w:style>
  <w:style w:type="paragraph" w:customStyle="1" w:styleId="54">
    <w:name w:val="TOC Heading"/>
    <w:basedOn w:val="2"/>
    <w:next w:val="1"/>
    <w:semiHidden/>
    <w:unhideWhenUsed/>
    <w:qFormat/>
    <w:uiPriority w:val="99"/>
    <w:pPr>
      <w:widowControl/>
      <w:spacing w:before="480" w:after="0" w:line="276" w:lineRule="auto"/>
      <w:outlineLvl w:val="9"/>
    </w:pPr>
    <w:rPr>
      <w:rFonts w:ascii="Cambria" w:hAnsi="Cambria"/>
      <w:color w:val="365F91"/>
      <w:kern w:val="0"/>
      <w:sz w:val="28"/>
    </w:rPr>
  </w:style>
  <w:style w:type="paragraph" w:customStyle="1" w:styleId="55">
    <w:name w:val="列出段落[858D7CFB-ED40-4347-BF05-701D383B685F][858D7CFB-ED40-4347-BF05-701D383B685F]"/>
    <w:basedOn w:val="1"/>
    <w:qFormat/>
    <w:uiPriority w:val="99"/>
    <w:pPr>
      <w:ind w:firstLine="420" w:firstLineChars="200"/>
    </w:pPr>
  </w:style>
  <w:style w:type="paragraph" w:customStyle="1" w:styleId="56">
    <w:name w:val="Char Char Char Char"/>
    <w:basedOn w:val="1"/>
    <w:qFormat/>
    <w:uiPriority w:val="99"/>
    <w:pPr>
      <w:widowControl/>
      <w:spacing w:line="400" w:lineRule="exact"/>
      <w:jc w:val="center"/>
    </w:pPr>
    <w:rPr>
      <w:rFonts w:ascii="Verdana" w:hAnsi="Verdana"/>
      <w:kern w:val="0"/>
      <w:szCs w:val="20"/>
      <w:lang w:eastAsia="en-US"/>
    </w:rPr>
  </w:style>
  <w:style w:type="paragraph" w:customStyle="1" w:styleId="57">
    <w:name w:val="样式 标题 3 + (中文) 黑体 小四 非加粗 段前: 7.8 磅 段后: 0 磅 行距: 固定值 20 磅"/>
    <w:basedOn w:val="4"/>
    <w:qFormat/>
    <w:uiPriority w:val="99"/>
    <w:pPr>
      <w:spacing w:before="0" w:after="0" w:line="400" w:lineRule="exact"/>
    </w:pPr>
    <w:rPr>
      <w:rFonts w:eastAsia="黑体" w:cs="宋体"/>
      <w:b w:val="0"/>
      <w:sz w:val="24"/>
    </w:rPr>
  </w:style>
  <w:style w:type="paragraph" w:customStyle="1" w:styleId="58">
    <w:name w:val="1"/>
    <w:basedOn w:val="1"/>
    <w:qFormat/>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9">
    <w:name w:val="Char"/>
    <w:basedOn w:val="1"/>
    <w:qFormat/>
    <w:uiPriority w:val="99"/>
    <w:rPr>
      <w:rFonts w:ascii="Tahoma" w:hAnsi="Tahoma"/>
      <w:sz w:val="24"/>
      <w:szCs w:val="20"/>
    </w:rPr>
  </w:style>
  <w:style w:type="paragraph" w:customStyle="1" w:styleId="60">
    <w:name w:val="正文1"/>
    <w:qFormat/>
    <w:uiPriority w:val="99"/>
    <w:rPr>
      <w:rFonts w:ascii="Times New Roman" w:hAnsi="Times New Roman" w:eastAsia="Times New Roman" w:cs="Times New Roman"/>
      <w:kern w:val="0"/>
      <w:sz w:val="24"/>
      <w:szCs w:val="24"/>
      <w:lang w:val="en-US" w:eastAsia="zh-CN" w:bidi="ar-SA"/>
    </w:rPr>
  </w:style>
  <w:style w:type="paragraph" w:customStyle="1" w:styleId="61">
    <w:name w:val="Char Char Char Char Char Char Char"/>
    <w:basedOn w:val="1"/>
    <w:qFormat/>
    <w:uiPriority w:val="99"/>
    <w:pPr>
      <w:tabs>
        <w:tab w:val="left" w:pos="432"/>
      </w:tabs>
      <w:ind w:left="432" w:hanging="432"/>
    </w:pPr>
    <w:rPr>
      <w:rFonts w:ascii="Tahoma" w:hAnsi="Tahoma"/>
      <w:sz w:val="24"/>
      <w:szCs w:val="20"/>
    </w:rPr>
  </w:style>
  <w:style w:type="paragraph" w:customStyle="1" w:styleId="62">
    <w:name w:val="正文文字2"/>
    <w:basedOn w:val="12"/>
    <w:qFormat/>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3">
    <w:name w:val="招标标题2"/>
    <w:basedOn w:val="3"/>
    <w:qFormat/>
    <w:uiPriority w:val="99"/>
    <w:pPr>
      <w:spacing w:before="0" w:beforeLines="50" w:after="0" w:afterLines="50" w:line="240" w:lineRule="auto"/>
    </w:pPr>
    <w:rPr>
      <w:rFonts w:ascii="宋体" w:hAnsi="宋体" w:eastAsia="宋体"/>
      <w:bCs/>
      <w:sz w:val="28"/>
      <w:szCs w:val="28"/>
    </w:rPr>
  </w:style>
  <w:style w:type="paragraph" w:customStyle="1" w:styleId="64">
    <w:name w:val="文档正文"/>
    <w:basedOn w:val="1"/>
    <w:qFormat/>
    <w:uiPriority w:val="99"/>
    <w:pPr>
      <w:spacing w:before="120" w:after="120" w:line="360" w:lineRule="auto"/>
    </w:pPr>
    <w:rPr>
      <w:rFonts w:ascii="宋体" w:hAnsi="Arial" w:eastAsia="幼圆"/>
      <w:sz w:val="24"/>
      <w:szCs w:val="20"/>
    </w:rPr>
  </w:style>
  <w:style w:type="paragraph" w:customStyle="1" w:styleId="65">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6">
    <w:name w:val="pa-2"/>
    <w:basedOn w:val="1"/>
    <w:qFormat/>
    <w:uiPriority w:val="99"/>
    <w:pPr>
      <w:widowControl/>
      <w:spacing w:before="150" w:after="150"/>
      <w:jc w:val="left"/>
    </w:pPr>
    <w:rPr>
      <w:rFonts w:ascii="宋体" w:hAnsi="宋体" w:cs="宋体"/>
      <w:kern w:val="0"/>
      <w:sz w:val="24"/>
    </w:rPr>
  </w:style>
  <w:style w:type="paragraph" w:customStyle="1" w:styleId="67">
    <w:name w:val="大汉方案正文 Char"/>
    <w:basedOn w:val="1"/>
    <w:qFormat/>
    <w:uiPriority w:val="99"/>
    <w:pPr>
      <w:spacing w:line="360" w:lineRule="auto"/>
      <w:ind w:firstLine="200" w:firstLineChars="200"/>
    </w:pPr>
    <w:rPr>
      <w:rFonts w:ascii="Arial" w:hAnsi="Arial"/>
      <w:sz w:val="24"/>
      <w:szCs w:val="24"/>
    </w:rPr>
  </w:style>
  <w:style w:type="paragraph" w:customStyle="1" w:styleId="68">
    <w:name w:val="样式 标题 2 + Times New Roman 四号 非加粗 段前: 5 磅 段后: 0 磅 行距: 固定值 20..."/>
    <w:basedOn w:val="3"/>
    <w:qFormat/>
    <w:uiPriority w:val="99"/>
    <w:pPr>
      <w:spacing w:before="100" w:after="0" w:line="400" w:lineRule="exact"/>
    </w:pPr>
    <w:rPr>
      <w:rFonts w:ascii="Times New Roman" w:hAnsi="Times New Roman" w:cs="宋体"/>
      <w:b w:val="0"/>
      <w:sz w:val="28"/>
    </w:rPr>
  </w:style>
  <w:style w:type="paragraph" w:customStyle="1" w:styleId="69">
    <w:name w:val="正文_0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0">
    <w:name w:val="Char Char Char"/>
    <w:basedOn w:val="1"/>
    <w:qFormat/>
    <w:uiPriority w:val="99"/>
    <w:rPr>
      <w:rFonts w:ascii="Tahoma" w:hAnsi="Tahoma"/>
      <w:sz w:val="24"/>
      <w:szCs w:val="20"/>
    </w:rPr>
  </w:style>
  <w:style w:type="paragraph" w:customStyle="1" w:styleId="71">
    <w:name w:val="正文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2">
    <w:name w:val="技术报告正文"/>
    <w:basedOn w:val="1"/>
    <w:qFormat/>
    <w:uiPriority w:val="99"/>
    <w:pPr>
      <w:spacing w:beforeLines="50" w:line="440" w:lineRule="exact"/>
      <w:ind w:firstLine="538" w:firstLineChars="192"/>
    </w:pPr>
    <w:rPr>
      <w:rFonts w:cs="Arial"/>
      <w:bCs/>
      <w:sz w:val="28"/>
    </w:rPr>
  </w:style>
  <w:style w:type="paragraph" w:customStyle="1" w:styleId="73">
    <w:name w:val="默认段落字体 Para Char Char Char Char Char Char Char Char Char1 Char Char Char Char Char Char Char Char"/>
    <w:basedOn w:val="8"/>
    <w:qFormat/>
    <w:uiPriority w:val="99"/>
  </w:style>
  <w:style w:type="paragraph" w:customStyle="1" w:styleId="74">
    <w:name w:val="p0"/>
    <w:basedOn w:val="1"/>
    <w:qFormat/>
    <w:uiPriority w:val="99"/>
    <w:pPr>
      <w:widowControl/>
    </w:pPr>
    <w:rPr>
      <w:kern w:val="0"/>
      <w:szCs w:val="21"/>
    </w:rPr>
  </w:style>
  <w:style w:type="character" w:customStyle="1" w:styleId="75">
    <w:name w:val="ca-21"/>
    <w:qFormat/>
    <w:uiPriority w:val="0"/>
    <w:rPr>
      <w:rFonts w:hint="eastAsia" w:ascii="宋体-18030" w:hAnsi="宋体-18030" w:eastAsia="宋体-18030" w:cs="宋体-18030"/>
      <w:sz w:val="24"/>
      <w:szCs w:val="24"/>
    </w:rPr>
  </w:style>
  <w:style w:type="character" w:customStyle="1" w:styleId="76">
    <w:name w:val="ca-1"/>
    <w:basedOn w:val="26"/>
    <w:qFormat/>
    <w:uiPriority w:val="0"/>
  </w:style>
  <w:style w:type="character" w:customStyle="1" w:styleId="77">
    <w:name w:val="apple-converted-space"/>
    <w:basedOn w:val="26"/>
    <w:qFormat/>
    <w:uiPriority w:val="0"/>
  </w:style>
  <w:style w:type="character" w:customStyle="1" w:styleId="78">
    <w:name w:val="标题 2 Char Char Char"/>
    <w:qFormat/>
    <w:uiPriority w:val="0"/>
    <w:rPr>
      <w:rFonts w:hint="default" w:ascii="Arial" w:hAnsi="Arial" w:eastAsia="宋体" w:cs="Arial"/>
      <w:b/>
      <w:bCs/>
      <w:i/>
      <w:iCs/>
      <w:sz w:val="28"/>
      <w:szCs w:val="28"/>
      <w:lang w:val="en-US" w:eastAsia="zh-CN" w:bidi="ar-SA"/>
    </w:rPr>
  </w:style>
  <w:style w:type="character" w:customStyle="1" w:styleId="79">
    <w:name w:val="b122"/>
    <w:qFormat/>
    <w:uiPriority w:val="0"/>
    <w:rPr>
      <w:rFonts w:hint="default" w:ascii="Arial" w:hAnsi="Arial" w:cs="Arial"/>
      <w:color w:val="FFFFFF"/>
      <w:sz w:val="18"/>
      <w:szCs w:val="18"/>
    </w:rPr>
  </w:style>
  <w:style w:type="character" w:customStyle="1" w:styleId="80">
    <w:name w:val="ca-11"/>
    <w:qFormat/>
    <w:uiPriority w:val="0"/>
    <w:rPr>
      <w:rFonts w:hint="eastAsia" w:ascii="宋体" w:hAnsi="宋体" w:eastAsia="宋体"/>
      <w:sz w:val="24"/>
      <w:szCs w:val="24"/>
    </w:rPr>
  </w:style>
  <w:style w:type="character" w:customStyle="1" w:styleId="81">
    <w:name w:val="blue"/>
    <w:basedOn w:val="26"/>
    <w:qFormat/>
    <w:uiPriority w:val="0"/>
  </w:style>
  <w:style w:type="character" w:customStyle="1" w:styleId="82">
    <w:name w:val="普通文字1 Char1"/>
    <w:qFormat/>
    <w:uiPriority w:val="0"/>
    <w:rPr>
      <w:rFonts w:hint="default" w:ascii="Courier New" w:hAnsi="Courier New" w:eastAsia="宋体" w:cs="Courier New"/>
      <w:kern w:val="2"/>
      <w:sz w:val="21"/>
      <w:lang w:val="en-US" w:eastAsia="zh-CN" w:bidi="ar-SA"/>
    </w:rPr>
  </w:style>
  <w:style w:type="character" w:customStyle="1" w:styleId="83">
    <w:name w:val="all sel"/>
    <w:basedOn w:val="26"/>
    <w:qFormat/>
    <w:uiPriority w:val="0"/>
  </w:style>
  <w:style w:type="character" w:customStyle="1" w:styleId="84">
    <w:name w:val="style81"/>
    <w:qFormat/>
    <w:uiPriority w:val="0"/>
    <w:rPr>
      <w:sz w:val="21"/>
      <w:szCs w:val="21"/>
    </w:rPr>
  </w:style>
  <w:style w:type="character" w:customStyle="1" w:styleId="85">
    <w:name w:val="h121"/>
    <w:qFormat/>
    <w:uiPriority w:val="0"/>
    <w:rPr>
      <w:color w:val="333333"/>
    </w:rPr>
  </w:style>
  <w:style w:type="character" w:customStyle="1" w:styleId="86">
    <w:name w:val="ca-2"/>
    <w:basedOn w:val="26"/>
    <w:qFormat/>
    <w:uiPriority w:val="0"/>
  </w:style>
  <w:style w:type="character" w:customStyle="1" w:styleId="87">
    <w:name w:val="标题 字符1"/>
    <w:basedOn w:val="26"/>
    <w:qFormat/>
    <w:uiPriority w:val="10"/>
    <w:rPr>
      <w:rFonts w:hint="eastAsia" w:asciiTheme="majorHAnsi" w:hAnsiTheme="majorHAnsi" w:eastAsiaTheme="majorEastAsia" w:cstheme="majorBidi"/>
      <w:b/>
      <w:bCs/>
      <w:kern w:val="2"/>
      <w:sz w:val="32"/>
      <w:szCs w:val="32"/>
    </w:rPr>
  </w:style>
  <w:style w:type="paragraph" w:customStyle="1" w:styleId="88">
    <w:name w:val="四级标题"/>
    <w:basedOn w:val="1"/>
    <w:qFormat/>
    <w:uiPriority w:val="99"/>
    <w:pPr>
      <w:widowControl/>
      <w:numPr>
        <w:ilvl w:val="0"/>
        <w:numId w:val="1"/>
      </w:numPr>
      <w:tabs>
        <w:tab w:val="left" w:pos="851"/>
      </w:tabs>
      <w:spacing w:line="360" w:lineRule="auto"/>
      <w:jc w:val="left"/>
    </w:pPr>
    <w:rPr>
      <w:rFonts w:ascii="宋体" w:hAnsi="宋体"/>
      <w:color w:val="000000"/>
      <w:kern w:val="0"/>
      <w:sz w:val="24"/>
      <w:szCs w:val="24"/>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A47333-21CF-4815-A0E3-5343CAEBB902}">
  <ds:schemaRefs/>
</ds:datastoreItem>
</file>

<file path=docProps/app.xml><?xml version="1.0" encoding="utf-8"?>
<Properties xmlns="http://schemas.openxmlformats.org/officeDocument/2006/extended-properties" xmlns:vt="http://schemas.openxmlformats.org/officeDocument/2006/docPropsVTypes">
  <Template>Normal</Template>
  <Pages>1</Pages>
  <Words>2131</Words>
  <Characters>12147</Characters>
  <Lines>101</Lines>
  <Paragraphs>28</Paragraphs>
  <TotalTime>8</TotalTime>
  <ScaleCrop>false</ScaleCrop>
  <LinksUpToDate>false</LinksUpToDate>
  <CharactersWithSpaces>14250</CharactersWithSpaces>
  <Application>WPS Office_11.1.0.8642_F1E327BC-269C-435d-A152-05C5408002CA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2018-09-13T11:31:00Z</dcterms:created>
  <dc:creator>xr</dc:creator>
  <cp:lastModifiedBy>月光照灯</cp:lastModifiedBy>
  <cp:lastPrinted>2019-04-18T10:07:00Z</cp:lastPrinted>
  <dcterms:modified xsi:type="dcterms:W3CDTF">2019-04-19T07:02:24Z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2052-11.1.0.8642</vt:lpwstr>
  </property>
</Properties>
</file>