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bookmarkStart w:id="0" w:name="_GoBack"/>
      <w:r>
        <w:rPr>
          <w:rFonts w:hint="default" w:ascii="Times New Roman" w:hAnsi="Times New Roman" w:eastAsia="方正小标宋简体" w:cs="Times New Roman"/>
          <w:sz w:val="44"/>
          <w:szCs w:val="44"/>
          <w:lang w:val="en-US" w:eastAsia="zh-CN"/>
        </w:rPr>
        <w:t>亳州交控集团2018年银行间市场债务</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融资工具（PPN和短融）主承销商</w:t>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招标文件澄清公告</w:t>
      </w:r>
    </w:p>
    <w:bookmarkEnd w:id="0"/>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项目编号：BZJK-2018-032号</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各投标人：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经研究，对“亳州交控集团2018年银行间市场债务融资工具（PPN和短融）主承销商招标文件”作如下澄清：</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一、关于“履约保证金”的释疑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根据招标文件第四章“合同条款及格式”说明，履约保障金等未在招标文件中明确的内容，由招标人与中标人在不违背招标文件要求和投标文件承诺的条件下友好协商约定。</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二、关于“券商投标人资格要求”的释疑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组成联合体的券商投标人应具有银行间市场交易商协会主承销商资质。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三、关于“投标文件格式”的释疑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投标文件格式可在一定范围内作出修改，但不应改变其规定的实质性内容，该修改的含义包括改变目录顺序、格式排版等。</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四、关于评标办法中“安徽省分行”的释疑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“安徽省分行承销实力”意指投标人在安徽省范围内的承销业务能力，并不要求投标人必须在安徽省内具有省级分支机构。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五、关于“中标通知书规定期限内签订合同”的释疑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一般规定中标人自收到中标通知书后30日内与招标人签订合同，该期限可根据实际情况进行调整。</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六、关于“联合体投标”的释疑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（一）投标文件中，联合体协议书、与券商投标人有关的资质证明、券商投标人向己方代表出具的授权委托书均应有券商投标人印章，其他资料可由其联合体牵头人统一签署。</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（二）联合体投标人授权委托书可由其成员单位分别出具，经授权的委托代理人应是授权单位的正式员工。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七、关于评标办法中“综合金融服务”的释疑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（一）评标办法中第2.2.2（1）条“综合金融服务”特指债务融资业务。</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（二）评标办法中第2.2.2（1）条“综合金融服务”第二项“对招标人业务梳理以及发展建议情况”对应的招标人业务情况和公司简介可致电我公司项目负责人获取。</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八、关于评标办法中“发行品种选取”的释疑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评标办法中第2.2.2（2）条“发行方案设计”中第一项“发行品种选取”对应内容为说明材料中的发行方案设计。</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九、关于“国家发改委”字眼的释疑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有关“国家发改委”的字眼已修改为“交易商协会”。</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十、关于“发行利率承诺函“的释疑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发行利率承诺函不再作为实质性要求和响应性评审标准，该函的出具由投标人自选，其与评标办法中第2.2.2（7）条无直接联系。</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招标文件其他内容不变。</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4800" w:firstLineChars="15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2018年11月24日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812290"/>
    <w:rsid w:val="3520119A"/>
    <w:rsid w:val="3AB05894"/>
    <w:rsid w:val="5E2468DA"/>
    <w:rsid w:val="5EF661DE"/>
    <w:rsid w:val="64F106F9"/>
    <w:rsid w:val="6D043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高层层</cp:lastModifiedBy>
  <cp:lastPrinted>2018-11-21T07:36:00Z</cp:lastPrinted>
  <dcterms:modified xsi:type="dcterms:W3CDTF">2018-11-24T11:10:39Z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